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charts/chart11.xml" ContentType="application/vnd.openxmlformats-officedocument.drawingml.chart+xml"/>
  <Override PartName="/word/theme/themeOverride2.xml" ContentType="application/vnd.openxmlformats-officedocument.themeOverrid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646"/>
        <w:gridCol w:w="3653"/>
      </w:tblGrid>
      <w:tr w:rsidR="00D72292" w14:paraId="7466C9A3" w14:textId="77777777" w:rsidTr="00D72292">
        <w:trPr>
          <w:tblCellSpacing w:w="15" w:type="dxa"/>
        </w:trPr>
        <w:tc>
          <w:tcPr>
            <w:tcW w:w="0" w:type="auto"/>
            <w:vAlign w:val="center"/>
            <w:hideMark/>
          </w:tcPr>
          <w:p w14:paraId="45FCCC25" w14:textId="2FE8640C" w:rsidR="00D72292" w:rsidRPr="00D72292" w:rsidRDefault="00D72292" w:rsidP="00D72292">
            <w:pPr>
              <w:widowControl/>
              <w:rPr>
                <w:rFonts w:ascii="Arial" w:eastAsia="楷体" w:hAnsi="Arial" w:cs="Arial"/>
                <w:sz w:val="32"/>
                <w:szCs w:val="32"/>
              </w:rPr>
            </w:pPr>
            <w:r w:rsidRPr="00D72292">
              <w:rPr>
                <w:rFonts w:ascii="Arial" w:eastAsia="楷体" w:hAnsi="Arial" w:cs="Arial" w:hint="eastAsia"/>
                <w:sz w:val="32"/>
                <w:szCs w:val="32"/>
              </w:rPr>
              <w:t>备案号：</w:t>
            </w:r>
            <w:r w:rsidRPr="00D72292">
              <w:rPr>
                <w:rFonts w:ascii="Arial" w:eastAsia="楷体" w:hAnsi="Arial" w:cs="Arial" w:hint="eastAsia"/>
                <w:sz w:val="32"/>
                <w:szCs w:val="32"/>
              </w:rPr>
              <w:t xml:space="preserve"> </w:t>
            </w:r>
          </w:p>
        </w:tc>
        <w:tc>
          <w:tcPr>
            <w:tcW w:w="1959" w:type="pct"/>
            <w:vMerge w:val="restart"/>
            <w:hideMark/>
          </w:tcPr>
          <w:p w14:paraId="0E30778B" w14:textId="6D41B219" w:rsidR="00D72292" w:rsidRPr="00D72292" w:rsidRDefault="00D72292" w:rsidP="00D72292">
            <w:pPr>
              <w:jc w:val="right"/>
              <w:rPr>
                <w:rFonts w:ascii="Arial" w:hAnsi="Arial" w:cs="Arial"/>
              </w:rPr>
            </w:pPr>
          </w:p>
        </w:tc>
      </w:tr>
      <w:tr w:rsidR="00D72292" w14:paraId="69475461" w14:textId="77777777" w:rsidTr="00D72292">
        <w:trPr>
          <w:tblCellSpacing w:w="15" w:type="dxa"/>
        </w:trPr>
        <w:tc>
          <w:tcPr>
            <w:tcW w:w="0" w:type="auto"/>
            <w:vAlign w:val="center"/>
            <w:hideMark/>
          </w:tcPr>
          <w:p w14:paraId="2652709F" w14:textId="0C5A62EB" w:rsidR="00D72292" w:rsidRPr="00D72292" w:rsidRDefault="00D72292" w:rsidP="00D72292">
            <w:pPr>
              <w:widowControl/>
              <w:rPr>
                <w:rFonts w:ascii="Arial" w:eastAsia="楷体" w:hAnsi="Arial" w:cs="Arial"/>
                <w:sz w:val="32"/>
                <w:szCs w:val="32"/>
              </w:rPr>
            </w:pPr>
            <w:r w:rsidRPr="00D72292">
              <w:rPr>
                <w:rFonts w:ascii="Arial" w:eastAsia="楷体" w:hAnsi="Arial" w:cs="Arial" w:hint="eastAsia"/>
                <w:sz w:val="32"/>
                <w:szCs w:val="32"/>
              </w:rPr>
              <w:t>查询码：</w:t>
            </w:r>
            <w:r w:rsidRPr="00D72292">
              <w:rPr>
                <w:rFonts w:ascii="Arial" w:eastAsia="楷体" w:hAnsi="Arial" w:cs="Arial" w:hint="eastAsia"/>
                <w:sz w:val="32"/>
                <w:szCs w:val="32"/>
              </w:rPr>
              <w:t xml:space="preserve"> </w:t>
            </w:r>
          </w:p>
        </w:tc>
        <w:tc>
          <w:tcPr>
            <w:tcW w:w="1959" w:type="pct"/>
            <w:vMerge w:val="restart"/>
            <w:hideMark/>
          </w:tcPr>
          <w:p w14:paraId="43B747B9" w14:textId="77777777" w:rsidR="00D72292" w:rsidRPr="00D72292" w:rsidRDefault="00D72292" w:rsidP="00D72292">
            <w:pPr>
              <w:jc w:val="right"/>
              <w:rPr>
                <w:rFonts w:ascii="Arial" w:hAnsi="Arial" w:cs="Arial"/>
              </w:rPr>
            </w:pPr>
          </w:p>
        </w:tc>
      </w:tr>
      <w:tr w:rsidR="00D72292" w14:paraId="107B07AE" w14:textId="77777777" w:rsidTr="00D72292">
        <w:trPr>
          <w:tblCellSpacing w:w="15" w:type="dxa"/>
        </w:trPr>
        <w:tc>
          <w:tcPr>
            <w:tcW w:w="0" w:type="auto"/>
            <w:vAlign w:val="center"/>
            <w:hideMark/>
          </w:tcPr>
          <w:p w14:paraId="707CF4B6" w14:textId="77777777" w:rsidR="00D72292" w:rsidRPr="00D72292" w:rsidRDefault="00D72292" w:rsidP="00D72292">
            <w:pPr>
              <w:widowControl/>
              <w:rPr>
                <w:rFonts w:ascii="Arial" w:eastAsia="楷体" w:hAnsi="Arial" w:cs="Arial"/>
                <w:sz w:val="32"/>
                <w:szCs w:val="32"/>
              </w:rPr>
            </w:pPr>
            <w:r w:rsidRPr="00D72292">
              <w:rPr>
                <w:rFonts w:ascii="Arial" w:eastAsia="楷体" w:hAnsi="Arial" w:cs="Arial" w:hint="eastAsia"/>
                <w:sz w:val="32"/>
                <w:szCs w:val="32"/>
              </w:rPr>
              <w:t xml:space="preserve">  </w:t>
            </w:r>
          </w:p>
        </w:tc>
        <w:tc>
          <w:tcPr>
            <w:tcW w:w="1959" w:type="pct"/>
            <w:vMerge w:val="restart"/>
            <w:hideMark/>
          </w:tcPr>
          <w:p w14:paraId="04C4E467" w14:textId="77777777" w:rsidR="00D72292" w:rsidRPr="00D72292" w:rsidRDefault="00D72292" w:rsidP="00D72292">
            <w:pPr>
              <w:jc w:val="right"/>
              <w:rPr>
                <w:rFonts w:ascii="Arial" w:hAnsi="Arial" w:cs="Arial"/>
              </w:rPr>
            </w:pPr>
          </w:p>
        </w:tc>
      </w:tr>
      <w:tr w:rsidR="00D72292" w14:paraId="56FC237E" w14:textId="77777777" w:rsidTr="00D72292">
        <w:trPr>
          <w:tblCellSpacing w:w="15" w:type="dxa"/>
        </w:trPr>
        <w:tc>
          <w:tcPr>
            <w:tcW w:w="0" w:type="auto"/>
            <w:vAlign w:val="center"/>
            <w:hideMark/>
          </w:tcPr>
          <w:p w14:paraId="5AE263E5" w14:textId="77777777" w:rsidR="00D72292" w:rsidRPr="00D72292" w:rsidRDefault="00D72292" w:rsidP="00D72292">
            <w:pPr>
              <w:widowControl/>
              <w:rPr>
                <w:rFonts w:ascii="Arial" w:eastAsia="楷体" w:hAnsi="Arial" w:cs="Arial"/>
                <w:sz w:val="32"/>
                <w:szCs w:val="32"/>
              </w:rPr>
            </w:pPr>
            <w:r w:rsidRPr="00D72292">
              <w:rPr>
                <w:rFonts w:ascii="Arial" w:eastAsia="楷体" w:hAnsi="Arial" w:cs="Arial" w:hint="eastAsia"/>
                <w:sz w:val="32"/>
                <w:szCs w:val="32"/>
              </w:rPr>
              <w:t xml:space="preserve">  </w:t>
            </w:r>
          </w:p>
        </w:tc>
        <w:tc>
          <w:tcPr>
            <w:tcW w:w="1959" w:type="pct"/>
            <w:hideMark/>
          </w:tcPr>
          <w:p w14:paraId="3A1F1F2F" w14:textId="77777777" w:rsidR="00D72292" w:rsidRPr="00D72292" w:rsidRDefault="00D72292" w:rsidP="00D72292">
            <w:pPr>
              <w:jc w:val="right"/>
              <w:rPr>
                <w:rFonts w:ascii="Arial" w:hAnsi="Arial" w:cs="Arial"/>
              </w:rPr>
            </w:pPr>
          </w:p>
        </w:tc>
      </w:tr>
    </w:tbl>
    <w:p w14:paraId="5165D882" w14:textId="77777777" w:rsidR="002C3ABF" w:rsidRPr="00F631FB" w:rsidRDefault="002C3ABF" w:rsidP="002C3ABF">
      <w:pPr>
        <w:spacing w:line="432" w:lineRule="auto"/>
        <w:jc w:val="center"/>
        <w:rPr>
          <w:rFonts w:ascii="Arial" w:eastAsia="楷体_GB2312" w:hAnsi="Arial" w:cs="Arial"/>
          <w:b/>
          <w:sz w:val="32"/>
        </w:rPr>
      </w:pPr>
    </w:p>
    <w:p w14:paraId="4B2FCD11" w14:textId="77777777" w:rsidR="002C3ABF" w:rsidRPr="00F631FB" w:rsidRDefault="002C3ABF" w:rsidP="002C3ABF">
      <w:pPr>
        <w:spacing w:line="432" w:lineRule="auto"/>
        <w:jc w:val="center"/>
        <w:rPr>
          <w:rFonts w:ascii="Arial" w:eastAsia="楷体_GB2312" w:hAnsi="Arial" w:cs="Arial"/>
          <w:b/>
          <w:sz w:val="32"/>
        </w:rPr>
      </w:pPr>
    </w:p>
    <w:p w14:paraId="03DAD6DA" w14:textId="77777777" w:rsidR="002C3ABF" w:rsidRPr="00F631FB" w:rsidRDefault="002C3ABF" w:rsidP="002C3ABF">
      <w:pPr>
        <w:spacing w:line="432" w:lineRule="auto"/>
        <w:jc w:val="center"/>
        <w:rPr>
          <w:rFonts w:ascii="Arial" w:hAnsi="Arial" w:cs="Arial"/>
          <w:b/>
          <w:sz w:val="44"/>
        </w:rPr>
      </w:pPr>
      <w:r w:rsidRPr="00F631FB">
        <w:rPr>
          <w:rFonts w:ascii="Arial" w:hAnsi="Arial" w:cs="Arial"/>
          <w:b/>
          <w:sz w:val="44"/>
        </w:rPr>
        <w:t>土</w:t>
      </w:r>
      <w:r w:rsidRPr="00F631FB">
        <w:rPr>
          <w:rFonts w:ascii="Arial" w:eastAsia="仿宋_GB2312" w:hAnsi="Arial" w:cs="Arial"/>
          <w:b/>
          <w:sz w:val="44"/>
        </w:rPr>
        <w:t xml:space="preserve"> </w:t>
      </w:r>
      <w:r w:rsidRPr="00F631FB">
        <w:rPr>
          <w:rFonts w:ascii="Arial" w:hAnsi="Arial" w:cs="Arial"/>
          <w:b/>
          <w:sz w:val="44"/>
        </w:rPr>
        <w:t>地</w:t>
      </w:r>
      <w:r w:rsidRPr="00F631FB">
        <w:rPr>
          <w:rFonts w:ascii="Arial" w:eastAsia="仿宋_GB2312" w:hAnsi="Arial" w:cs="Arial"/>
          <w:b/>
          <w:sz w:val="44"/>
        </w:rPr>
        <w:t xml:space="preserve"> </w:t>
      </w:r>
      <w:r w:rsidRPr="00F631FB">
        <w:rPr>
          <w:rFonts w:ascii="Arial" w:hAnsi="Arial" w:cs="Arial"/>
          <w:b/>
          <w:sz w:val="44"/>
        </w:rPr>
        <w:t>估</w:t>
      </w:r>
      <w:r w:rsidRPr="00F631FB">
        <w:rPr>
          <w:rFonts w:ascii="Arial" w:eastAsia="仿宋_GB2312" w:hAnsi="Arial" w:cs="Arial"/>
          <w:b/>
          <w:sz w:val="44"/>
        </w:rPr>
        <w:t xml:space="preserve"> </w:t>
      </w:r>
      <w:r w:rsidRPr="00F631FB">
        <w:rPr>
          <w:rFonts w:ascii="Arial" w:hAnsi="Arial" w:cs="Arial"/>
          <w:b/>
          <w:sz w:val="44"/>
        </w:rPr>
        <w:t>价</w:t>
      </w:r>
      <w:r w:rsidRPr="00F631FB">
        <w:rPr>
          <w:rFonts w:ascii="Arial" w:eastAsia="仿宋_GB2312" w:hAnsi="Arial" w:cs="Arial"/>
          <w:b/>
          <w:sz w:val="44"/>
        </w:rPr>
        <w:t xml:space="preserve"> </w:t>
      </w:r>
      <w:r w:rsidRPr="00F631FB">
        <w:rPr>
          <w:rFonts w:ascii="Arial" w:hAnsi="Arial" w:cs="Arial"/>
          <w:b/>
          <w:sz w:val="44"/>
        </w:rPr>
        <w:t>报</w:t>
      </w:r>
      <w:r w:rsidRPr="00F631FB">
        <w:rPr>
          <w:rFonts w:ascii="Arial" w:eastAsia="仿宋_GB2312" w:hAnsi="Arial" w:cs="Arial"/>
          <w:b/>
          <w:sz w:val="44"/>
        </w:rPr>
        <w:t xml:space="preserve"> </w:t>
      </w:r>
      <w:r w:rsidRPr="00F631FB">
        <w:rPr>
          <w:rFonts w:ascii="Arial" w:hAnsi="Arial" w:cs="Arial"/>
          <w:b/>
          <w:sz w:val="44"/>
        </w:rPr>
        <w:t>告</w:t>
      </w:r>
    </w:p>
    <w:p w14:paraId="7D711C38" w14:textId="77777777" w:rsidR="002C3ABF" w:rsidRPr="00F631FB" w:rsidRDefault="002C3ABF" w:rsidP="002C3ABF">
      <w:pPr>
        <w:spacing w:line="432" w:lineRule="auto"/>
        <w:jc w:val="center"/>
        <w:rPr>
          <w:rFonts w:ascii="Arial" w:eastAsia="昆仑仿宋" w:hAnsi="Arial" w:cs="Arial"/>
          <w:b/>
          <w:sz w:val="44"/>
        </w:rPr>
      </w:pPr>
    </w:p>
    <w:p w14:paraId="775484EE" w14:textId="77777777" w:rsidR="002C3ABF" w:rsidRPr="00F631FB" w:rsidRDefault="002C3ABF" w:rsidP="002C3ABF">
      <w:pPr>
        <w:spacing w:line="432" w:lineRule="auto"/>
        <w:jc w:val="center"/>
        <w:rPr>
          <w:rFonts w:ascii="Arial" w:eastAsia="楷体_GB2312" w:hAnsi="Arial" w:cs="Arial"/>
          <w:b/>
          <w:sz w:val="32"/>
        </w:rPr>
      </w:pPr>
    </w:p>
    <w:p w14:paraId="007C9095" w14:textId="6A7DA676" w:rsidR="002C3ABF" w:rsidRPr="00F631FB" w:rsidRDefault="002C3ABF" w:rsidP="00771E24">
      <w:pPr>
        <w:spacing w:line="432" w:lineRule="auto"/>
        <w:ind w:left="2201" w:hangingChars="685" w:hanging="2201"/>
        <w:jc w:val="both"/>
        <w:rPr>
          <w:rFonts w:ascii="Arial" w:eastAsia="楷体_GB2312" w:hAnsi="Arial" w:cs="Arial"/>
          <w:b/>
          <w:i/>
          <w:sz w:val="28"/>
          <w:szCs w:val="28"/>
        </w:rPr>
      </w:pPr>
      <w:r w:rsidRPr="00F631FB">
        <w:rPr>
          <w:rFonts w:ascii="Arial" w:eastAsia="楷体_GB2312" w:hAnsi="Arial" w:cs="Arial"/>
          <w:b/>
          <w:sz w:val="32"/>
        </w:rPr>
        <w:t>项</w:t>
      </w:r>
      <w:r w:rsidRPr="00F631FB">
        <w:rPr>
          <w:rFonts w:ascii="Arial" w:eastAsia="仿宋_GB2312" w:hAnsi="Arial" w:cs="Arial"/>
          <w:b/>
          <w:sz w:val="32"/>
        </w:rPr>
        <w:t xml:space="preserve">  </w:t>
      </w:r>
      <w:r w:rsidRPr="00F631FB">
        <w:rPr>
          <w:rFonts w:ascii="Arial" w:eastAsia="楷体_GB2312" w:hAnsi="Arial" w:cs="Arial"/>
          <w:b/>
          <w:sz w:val="32"/>
        </w:rPr>
        <w:t>目</w:t>
      </w:r>
      <w:r w:rsidRPr="00F631FB">
        <w:rPr>
          <w:rFonts w:ascii="Arial" w:eastAsia="仿宋_GB2312" w:hAnsi="Arial" w:cs="Arial"/>
          <w:b/>
          <w:sz w:val="32"/>
        </w:rPr>
        <w:t xml:space="preserve"> </w:t>
      </w:r>
      <w:r w:rsidRPr="00F631FB">
        <w:rPr>
          <w:rFonts w:ascii="Arial" w:eastAsia="楷体_GB2312" w:hAnsi="Arial" w:cs="Arial"/>
          <w:b/>
          <w:sz w:val="32"/>
        </w:rPr>
        <w:t>名</w:t>
      </w:r>
      <w:r w:rsidRPr="00F631FB">
        <w:rPr>
          <w:rFonts w:ascii="Arial" w:eastAsia="仿宋_GB2312" w:hAnsi="Arial" w:cs="Arial"/>
          <w:b/>
          <w:sz w:val="32"/>
        </w:rPr>
        <w:t xml:space="preserve"> </w:t>
      </w:r>
      <w:r w:rsidRPr="00F631FB">
        <w:rPr>
          <w:rFonts w:ascii="Arial" w:eastAsia="楷体_GB2312" w:hAnsi="Arial" w:cs="Arial"/>
          <w:b/>
          <w:sz w:val="32"/>
        </w:rPr>
        <w:t>称：</w:t>
      </w:r>
      <w:r w:rsidR="00BC6EDC" w:rsidRPr="00F631FB">
        <w:rPr>
          <w:rFonts w:ascii="Arial" w:eastAsia="楷体_GB2312" w:hAnsi="Arial" w:cs="Arial"/>
          <w:b/>
          <w:sz w:val="32"/>
        </w:rPr>
        <w:t>北京市海淀区</w:t>
      </w:r>
      <w:r w:rsidR="0030440C">
        <w:rPr>
          <w:rFonts w:ascii="Arial" w:eastAsia="楷体_GB2312" w:hAnsi="Arial" w:cs="Arial" w:hint="eastAsia"/>
          <w:b/>
          <w:sz w:val="32"/>
        </w:rPr>
        <w:t>苏州街站一体化棚户区改造一次</w:t>
      </w:r>
      <w:r w:rsidR="003D6BCC">
        <w:rPr>
          <w:rFonts w:ascii="Arial" w:eastAsia="楷体_GB2312" w:hAnsi="Arial" w:cs="Arial" w:hint="eastAsia"/>
          <w:b/>
          <w:sz w:val="32"/>
        </w:rPr>
        <w:t>性招标项目</w:t>
      </w:r>
      <w:r w:rsidRPr="00F631FB">
        <w:rPr>
          <w:rFonts w:ascii="Arial" w:eastAsia="楷体_GB2312" w:hAnsi="Arial" w:cs="Arial"/>
          <w:b/>
          <w:sz w:val="32"/>
        </w:rPr>
        <w:t>国有建设用地使用权出让地价评估</w:t>
      </w:r>
    </w:p>
    <w:p w14:paraId="45C349D1" w14:textId="77777777" w:rsidR="002C3ABF" w:rsidRPr="00F631FB" w:rsidRDefault="002C3ABF" w:rsidP="00771E24">
      <w:pPr>
        <w:spacing w:line="432" w:lineRule="auto"/>
        <w:ind w:left="1925" w:hangingChars="685" w:hanging="1925"/>
        <w:jc w:val="both"/>
        <w:rPr>
          <w:rFonts w:ascii="Arial" w:eastAsia="楷体_GB2312" w:hAnsi="Arial" w:cs="Arial"/>
          <w:b/>
          <w:sz w:val="28"/>
          <w:szCs w:val="28"/>
        </w:rPr>
      </w:pPr>
    </w:p>
    <w:p w14:paraId="6FF3BEC6" w14:textId="77777777" w:rsidR="002C3ABF" w:rsidRPr="00F631FB" w:rsidRDefault="002C3ABF" w:rsidP="002C3ABF">
      <w:pPr>
        <w:spacing w:line="432" w:lineRule="auto"/>
        <w:jc w:val="both"/>
        <w:rPr>
          <w:rFonts w:ascii="Arial" w:eastAsia="楷体_GB2312" w:hAnsi="Arial" w:cs="Arial"/>
          <w:b/>
          <w:sz w:val="32"/>
        </w:rPr>
      </w:pPr>
      <w:r w:rsidRPr="00F631FB">
        <w:rPr>
          <w:rFonts w:ascii="Arial" w:eastAsia="楷体_GB2312" w:hAnsi="Arial" w:cs="Arial"/>
          <w:b/>
          <w:sz w:val="32"/>
        </w:rPr>
        <w:t>受托估价单位：</w:t>
      </w:r>
      <w:proofErr w:type="gramStart"/>
      <w:r w:rsidRPr="00F631FB">
        <w:rPr>
          <w:rFonts w:ascii="Arial" w:eastAsia="楷体_GB2312" w:hAnsi="Arial" w:cs="Arial"/>
          <w:b/>
          <w:sz w:val="32"/>
        </w:rPr>
        <w:t>北京康正宏</w:t>
      </w:r>
      <w:proofErr w:type="gramEnd"/>
      <w:r w:rsidRPr="00F631FB">
        <w:rPr>
          <w:rFonts w:ascii="Arial" w:eastAsia="楷体_GB2312" w:hAnsi="Arial" w:cs="Arial"/>
          <w:b/>
          <w:sz w:val="32"/>
        </w:rPr>
        <w:t>基房地产评估有限公司</w:t>
      </w:r>
    </w:p>
    <w:p w14:paraId="74EAB427" w14:textId="77777777" w:rsidR="002C3ABF" w:rsidRPr="00F631FB" w:rsidRDefault="002C3ABF" w:rsidP="002C3ABF">
      <w:pPr>
        <w:spacing w:line="432" w:lineRule="auto"/>
        <w:jc w:val="both"/>
        <w:rPr>
          <w:rFonts w:ascii="Arial" w:eastAsia="楷体_GB2312" w:hAnsi="Arial" w:cs="Arial"/>
          <w:b/>
          <w:sz w:val="32"/>
        </w:rPr>
      </w:pPr>
    </w:p>
    <w:p w14:paraId="6B0E30AE" w14:textId="77180902" w:rsidR="002C3ABF" w:rsidRPr="00F631FB" w:rsidRDefault="002C3ABF" w:rsidP="002C3ABF">
      <w:pPr>
        <w:spacing w:line="432" w:lineRule="auto"/>
        <w:jc w:val="both"/>
        <w:rPr>
          <w:rFonts w:ascii="Arial" w:eastAsia="楷体_GB2312" w:hAnsi="Arial" w:cs="Arial"/>
          <w:b/>
          <w:sz w:val="32"/>
        </w:rPr>
      </w:pPr>
      <w:r w:rsidRPr="00F631FB">
        <w:rPr>
          <w:rFonts w:ascii="Arial" w:eastAsia="楷体_GB2312" w:hAnsi="Arial" w:cs="Arial"/>
          <w:b/>
          <w:sz w:val="32"/>
        </w:rPr>
        <w:t>土地估价报告编号：</w:t>
      </w:r>
      <w:r w:rsidR="003D6BCC" w:rsidRPr="003D6BCC">
        <w:rPr>
          <w:rFonts w:ascii="Arial" w:eastAsia="楷体_GB2312" w:hAnsi="Arial" w:cs="Arial"/>
          <w:b/>
          <w:sz w:val="32"/>
        </w:rPr>
        <w:t>2021-1-0606</w:t>
      </w:r>
      <w:r w:rsidR="00835E64">
        <w:rPr>
          <w:rFonts w:ascii="Arial" w:eastAsia="楷体_GB2312" w:hAnsi="Arial" w:cs="Arial"/>
          <w:b/>
          <w:sz w:val="32"/>
        </w:rPr>
        <w:t>-</w:t>
      </w:r>
      <w:r w:rsidR="00831261">
        <w:rPr>
          <w:rFonts w:ascii="Arial" w:eastAsia="楷体_GB2312" w:hAnsi="Arial" w:cs="Arial"/>
          <w:b/>
          <w:sz w:val="32"/>
        </w:rPr>
        <w:t>F02</w:t>
      </w:r>
      <w:r w:rsidR="00835E64">
        <w:rPr>
          <w:rFonts w:ascii="Arial" w:eastAsia="楷体_GB2312" w:hAnsi="Arial" w:cs="Arial"/>
          <w:b/>
          <w:sz w:val="32"/>
        </w:rPr>
        <w:t>TDCR6</w:t>
      </w:r>
    </w:p>
    <w:p w14:paraId="1A6E6E70" w14:textId="77777777" w:rsidR="002C3ABF" w:rsidRPr="003D6BCC" w:rsidRDefault="002C3ABF" w:rsidP="002C3ABF">
      <w:pPr>
        <w:spacing w:line="432" w:lineRule="auto"/>
        <w:jc w:val="both"/>
        <w:rPr>
          <w:rFonts w:ascii="Arial" w:eastAsia="楷体_GB2312" w:hAnsi="Arial" w:cs="Arial"/>
          <w:b/>
          <w:sz w:val="32"/>
        </w:rPr>
      </w:pPr>
    </w:p>
    <w:p w14:paraId="198F6F78" w14:textId="0830B0EA" w:rsidR="002C3ABF" w:rsidRPr="00F631FB" w:rsidRDefault="002C3ABF" w:rsidP="002C3ABF">
      <w:pPr>
        <w:tabs>
          <w:tab w:val="left" w:pos="6413"/>
        </w:tabs>
        <w:spacing w:line="432" w:lineRule="auto"/>
        <w:jc w:val="both"/>
        <w:rPr>
          <w:rFonts w:ascii="Arial" w:eastAsia="仿宋_GB2312" w:hAnsi="Arial" w:cs="Arial"/>
          <w:sz w:val="44"/>
        </w:rPr>
      </w:pPr>
      <w:r w:rsidRPr="00F631FB">
        <w:rPr>
          <w:rFonts w:ascii="Arial" w:eastAsia="楷体_GB2312" w:hAnsi="Arial" w:cs="Arial"/>
          <w:b/>
          <w:sz w:val="32"/>
        </w:rPr>
        <w:t>提交估价报告日期：</w:t>
      </w:r>
      <w:r w:rsidR="00831261">
        <w:rPr>
          <w:rFonts w:ascii="Arial" w:eastAsia="楷体_GB2312" w:hAnsi="Arial" w:cs="Arial"/>
          <w:b/>
          <w:sz w:val="32"/>
        </w:rPr>
        <w:t>2021</w:t>
      </w:r>
      <w:r w:rsidR="00831261">
        <w:rPr>
          <w:rFonts w:ascii="Arial" w:eastAsia="楷体_GB2312" w:hAnsi="Arial" w:cs="Arial"/>
          <w:b/>
          <w:sz w:val="32"/>
        </w:rPr>
        <w:t>年</w:t>
      </w:r>
      <w:r w:rsidR="00831261">
        <w:rPr>
          <w:rFonts w:ascii="Arial" w:eastAsia="楷体_GB2312" w:hAnsi="Arial" w:cs="Arial"/>
          <w:b/>
          <w:sz w:val="32"/>
        </w:rPr>
        <w:t>12</w:t>
      </w:r>
      <w:r w:rsidR="00831261">
        <w:rPr>
          <w:rFonts w:ascii="Arial" w:eastAsia="楷体_GB2312" w:hAnsi="Arial" w:cs="Arial"/>
          <w:b/>
          <w:sz w:val="32"/>
        </w:rPr>
        <w:t>月</w:t>
      </w:r>
      <w:r w:rsidR="00831261">
        <w:rPr>
          <w:rFonts w:ascii="Arial" w:eastAsia="楷体_GB2312" w:hAnsi="Arial" w:cs="Arial"/>
          <w:b/>
          <w:sz w:val="32"/>
        </w:rPr>
        <w:t>1</w:t>
      </w:r>
      <w:r w:rsidR="00831261">
        <w:rPr>
          <w:rFonts w:ascii="Arial" w:eastAsia="楷体_GB2312" w:hAnsi="Arial" w:cs="Arial"/>
          <w:b/>
          <w:sz w:val="32"/>
        </w:rPr>
        <w:t>日</w:t>
      </w:r>
      <w:bookmarkStart w:id="0" w:name="_GoBack"/>
      <w:bookmarkEnd w:id="0"/>
      <w:r w:rsidRPr="00F631FB">
        <w:rPr>
          <w:rFonts w:ascii="Arial" w:eastAsia="楷体_GB2312" w:hAnsi="Arial" w:cs="Arial"/>
          <w:b/>
          <w:sz w:val="32"/>
        </w:rPr>
        <w:tab/>
      </w:r>
      <w:r w:rsidRPr="00F631FB">
        <w:rPr>
          <w:rFonts w:ascii="Arial" w:eastAsia="仿宋_GB2312" w:hAnsi="Arial" w:cs="Arial"/>
          <w:sz w:val="44"/>
        </w:rPr>
        <w:tab/>
      </w:r>
    </w:p>
    <w:p w14:paraId="6897CD21" w14:textId="77777777" w:rsidR="003D6BCC" w:rsidRDefault="003D6BCC" w:rsidP="002C3ABF">
      <w:pPr>
        <w:spacing w:line="360" w:lineRule="auto"/>
        <w:jc w:val="center"/>
        <w:rPr>
          <w:rFonts w:ascii="Arial" w:hAnsi="Arial" w:cs="Arial"/>
          <w:b/>
          <w:sz w:val="32"/>
          <w:szCs w:val="32"/>
        </w:rPr>
      </w:pPr>
      <w:r>
        <w:rPr>
          <w:rFonts w:ascii="Arial" w:hAnsi="Arial" w:cs="Arial"/>
          <w:b/>
          <w:sz w:val="32"/>
          <w:szCs w:val="32"/>
        </w:rPr>
        <w:br w:type="page"/>
      </w:r>
    </w:p>
    <w:p w14:paraId="010DFF20" w14:textId="13D18995" w:rsidR="002C3ABF" w:rsidRPr="00F631FB" w:rsidRDefault="002C3ABF" w:rsidP="002C3ABF">
      <w:pPr>
        <w:spacing w:line="360" w:lineRule="auto"/>
        <w:jc w:val="center"/>
        <w:rPr>
          <w:rFonts w:ascii="Arial" w:hAnsi="Arial" w:cs="Arial"/>
          <w:b/>
          <w:sz w:val="32"/>
          <w:szCs w:val="32"/>
        </w:rPr>
      </w:pPr>
      <w:r w:rsidRPr="00F631FB">
        <w:rPr>
          <w:rFonts w:ascii="Arial" w:hAnsi="Arial" w:cs="Arial"/>
          <w:b/>
          <w:sz w:val="32"/>
          <w:szCs w:val="32"/>
        </w:rPr>
        <w:lastRenderedPageBreak/>
        <w:t>目录</w:t>
      </w:r>
    </w:p>
    <w:p w14:paraId="11011FB5" w14:textId="55D8B346" w:rsidR="002C3ABF" w:rsidRPr="00F631FB" w:rsidRDefault="00123EE9" w:rsidP="002C3ABF">
      <w:pPr>
        <w:pStyle w:val="TOC1"/>
        <w:rPr>
          <w:rFonts w:asciiTheme="minorHAnsi" w:eastAsiaTheme="minorEastAsia" w:hAnsiTheme="minorHAnsi" w:cstheme="minorBidi"/>
          <w:noProof/>
          <w:kern w:val="2"/>
          <w:sz w:val="21"/>
          <w:szCs w:val="22"/>
        </w:rPr>
      </w:pPr>
      <w:r w:rsidRPr="00F631FB">
        <w:rPr>
          <w:rFonts w:ascii="Arial" w:cs="Arial"/>
        </w:rPr>
        <w:fldChar w:fldCharType="begin"/>
      </w:r>
      <w:r w:rsidR="002C3ABF" w:rsidRPr="00F631FB">
        <w:rPr>
          <w:rFonts w:ascii="Arial" w:cs="Arial"/>
        </w:rPr>
        <w:instrText xml:space="preserve"> TOC \o "1-2" \h \z \u </w:instrText>
      </w:r>
      <w:r w:rsidRPr="00F631FB">
        <w:rPr>
          <w:rFonts w:ascii="Arial" w:cs="Arial"/>
        </w:rPr>
        <w:fldChar w:fldCharType="separate"/>
      </w:r>
      <w:hyperlink w:anchor="_Toc69393366" w:history="1">
        <w:r w:rsidR="002C3ABF" w:rsidRPr="00F631FB">
          <w:rPr>
            <w:rStyle w:val="ad"/>
            <w:rFonts w:ascii="Arial" w:cs="Arial" w:hint="eastAsia"/>
            <w:b/>
            <w:noProof/>
          </w:rPr>
          <w:t>第一部分</w:t>
        </w:r>
        <w:r w:rsidR="002C3ABF" w:rsidRPr="00F631FB">
          <w:rPr>
            <w:rStyle w:val="ad"/>
            <w:rFonts w:ascii="Arial" w:cs="Arial"/>
            <w:b/>
            <w:noProof/>
          </w:rPr>
          <w:t xml:space="preserve">  </w:t>
        </w:r>
        <w:r w:rsidR="002C3ABF" w:rsidRPr="00F631FB">
          <w:rPr>
            <w:rStyle w:val="ad"/>
            <w:rFonts w:ascii="Arial" w:cs="Arial" w:hint="eastAsia"/>
            <w:b/>
            <w:noProof/>
          </w:rPr>
          <w:t>摘</w:t>
        </w:r>
        <w:r w:rsidR="002C3ABF" w:rsidRPr="00F631FB">
          <w:rPr>
            <w:rStyle w:val="ad"/>
            <w:rFonts w:ascii="Arial" w:cs="Arial"/>
            <w:b/>
            <w:noProof/>
          </w:rPr>
          <w:t xml:space="preserve">  </w:t>
        </w:r>
        <w:r w:rsidR="002C3ABF" w:rsidRPr="00F631FB">
          <w:rPr>
            <w:rStyle w:val="ad"/>
            <w:rFonts w:ascii="Arial" w:cs="Arial" w:hint="eastAsia"/>
            <w:b/>
            <w:noProof/>
          </w:rPr>
          <w:t>要</w:t>
        </w:r>
        <w:r w:rsidR="002C3ABF" w:rsidRPr="00F631FB">
          <w:rPr>
            <w:noProof/>
            <w:webHidden/>
          </w:rPr>
          <w:tab/>
        </w:r>
        <w:r w:rsidRPr="00F631FB">
          <w:rPr>
            <w:noProof/>
            <w:webHidden/>
          </w:rPr>
          <w:fldChar w:fldCharType="begin"/>
        </w:r>
        <w:r w:rsidR="002C3ABF" w:rsidRPr="00F631FB">
          <w:rPr>
            <w:noProof/>
            <w:webHidden/>
          </w:rPr>
          <w:instrText xml:space="preserve"> PAGEREF _Toc69393366 \h </w:instrText>
        </w:r>
        <w:r w:rsidRPr="00F631FB">
          <w:rPr>
            <w:noProof/>
            <w:webHidden/>
          </w:rPr>
        </w:r>
        <w:r w:rsidRPr="00F631FB">
          <w:rPr>
            <w:noProof/>
            <w:webHidden/>
          </w:rPr>
          <w:fldChar w:fldCharType="separate"/>
        </w:r>
        <w:r w:rsidR="004907BD">
          <w:rPr>
            <w:noProof/>
            <w:webHidden/>
          </w:rPr>
          <w:t>1</w:t>
        </w:r>
        <w:r w:rsidRPr="00F631FB">
          <w:rPr>
            <w:noProof/>
            <w:webHidden/>
          </w:rPr>
          <w:fldChar w:fldCharType="end"/>
        </w:r>
      </w:hyperlink>
    </w:p>
    <w:p w14:paraId="732A1541" w14:textId="2FE8C5E9" w:rsidR="002C3ABF" w:rsidRPr="00F631FB" w:rsidRDefault="007B5839" w:rsidP="002C3ABF">
      <w:pPr>
        <w:pStyle w:val="TOC2"/>
        <w:rPr>
          <w:rFonts w:asciiTheme="minorHAnsi" w:eastAsiaTheme="minorEastAsia" w:hAnsiTheme="minorHAnsi" w:cstheme="minorBidi"/>
          <w:noProof/>
          <w:kern w:val="2"/>
          <w:sz w:val="21"/>
          <w:szCs w:val="22"/>
        </w:rPr>
      </w:pPr>
      <w:hyperlink w:anchor="_Toc69393367" w:history="1">
        <w:r w:rsidR="002C3ABF" w:rsidRPr="00F631FB">
          <w:rPr>
            <w:rStyle w:val="ad"/>
            <w:rFonts w:ascii="Arial" w:eastAsia="仿宋_GB2312" w:hAnsi="Arial" w:cs="Arial" w:hint="eastAsia"/>
            <w:b/>
            <w:bCs/>
            <w:noProof/>
          </w:rPr>
          <w:t>一、估价项目名称</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_Toc69393367 \h </w:instrText>
        </w:r>
        <w:r w:rsidR="00123EE9" w:rsidRPr="00F631FB">
          <w:rPr>
            <w:noProof/>
            <w:webHidden/>
          </w:rPr>
        </w:r>
        <w:r w:rsidR="00123EE9" w:rsidRPr="00F631FB">
          <w:rPr>
            <w:noProof/>
            <w:webHidden/>
          </w:rPr>
          <w:fldChar w:fldCharType="separate"/>
        </w:r>
        <w:r w:rsidR="004907BD">
          <w:rPr>
            <w:noProof/>
            <w:webHidden/>
          </w:rPr>
          <w:t>1</w:t>
        </w:r>
        <w:r w:rsidR="00123EE9" w:rsidRPr="00F631FB">
          <w:rPr>
            <w:noProof/>
            <w:webHidden/>
          </w:rPr>
          <w:fldChar w:fldCharType="end"/>
        </w:r>
      </w:hyperlink>
    </w:p>
    <w:p w14:paraId="307E544A" w14:textId="04918A0D" w:rsidR="002C3ABF" w:rsidRPr="00F631FB" w:rsidRDefault="007B5839" w:rsidP="002C3ABF">
      <w:pPr>
        <w:pStyle w:val="TOC2"/>
        <w:rPr>
          <w:rFonts w:asciiTheme="minorHAnsi" w:eastAsiaTheme="minorEastAsia" w:hAnsiTheme="minorHAnsi" w:cstheme="minorBidi"/>
          <w:noProof/>
          <w:kern w:val="2"/>
          <w:sz w:val="21"/>
          <w:szCs w:val="22"/>
        </w:rPr>
      </w:pPr>
      <w:hyperlink w:anchor="_Toc69393368" w:history="1">
        <w:r w:rsidR="002C3ABF" w:rsidRPr="00F631FB">
          <w:rPr>
            <w:rStyle w:val="ad"/>
            <w:rFonts w:ascii="Arial" w:eastAsia="仿宋_GB2312" w:hAnsi="Arial" w:cs="Arial" w:hint="eastAsia"/>
            <w:b/>
            <w:bCs/>
            <w:noProof/>
          </w:rPr>
          <w:t>二、委托估价方</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_Toc69393368 \h </w:instrText>
        </w:r>
        <w:r w:rsidR="00123EE9" w:rsidRPr="00F631FB">
          <w:rPr>
            <w:noProof/>
            <w:webHidden/>
          </w:rPr>
        </w:r>
        <w:r w:rsidR="00123EE9" w:rsidRPr="00F631FB">
          <w:rPr>
            <w:noProof/>
            <w:webHidden/>
          </w:rPr>
          <w:fldChar w:fldCharType="separate"/>
        </w:r>
        <w:r w:rsidR="004907BD">
          <w:rPr>
            <w:noProof/>
            <w:webHidden/>
          </w:rPr>
          <w:t>1</w:t>
        </w:r>
        <w:r w:rsidR="00123EE9" w:rsidRPr="00F631FB">
          <w:rPr>
            <w:noProof/>
            <w:webHidden/>
          </w:rPr>
          <w:fldChar w:fldCharType="end"/>
        </w:r>
      </w:hyperlink>
    </w:p>
    <w:p w14:paraId="79746BE1" w14:textId="1ABF2360" w:rsidR="002C3ABF" w:rsidRPr="00F631FB" w:rsidRDefault="007B5839" w:rsidP="002C3ABF">
      <w:pPr>
        <w:pStyle w:val="TOC2"/>
        <w:rPr>
          <w:rFonts w:asciiTheme="minorHAnsi" w:eastAsiaTheme="minorEastAsia" w:hAnsiTheme="minorHAnsi" w:cstheme="minorBidi"/>
          <w:noProof/>
          <w:kern w:val="2"/>
          <w:sz w:val="21"/>
          <w:szCs w:val="22"/>
        </w:rPr>
      </w:pPr>
      <w:hyperlink w:anchor="_Toc69393369" w:history="1">
        <w:r w:rsidR="002C3ABF" w:rsidRPr="00F631FB">
          <w:rPr>
            <w:rStyle w:val="ad"/>
            <w:rFonts w:ascii="Arial" w:eastAsia="仿宋_GB2312" w:hAnsi="Arial" w:cs="Arial" w:hint="eastAsia"/>
            <w:b/>
            <w:bCs/>
            <w:noProof/>
          </w:rPr>
          <w:t>三、估价目的</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_Toc69393369 \h </w:instrText>
        </w:r>
        <w:r w:rsidR="00123EE9" w:rsidRPr="00F631FB">
          <w:rPr>
            <w:noProof/>
            <w:webHidden/>
          </w:rPr>
        </w:r>
        <w:r w:rsidR="00123EE9" w:rsidRPr="00F631FB">
          <w:rPr>
            <w:noProof/>
            <w:webHidden/>
          </w:rPr>
          <w:fldChar w:fldCharType="separate"/>
        </w:r>
        <w:r w:rsidR="004907BD">
          <w:rPr>
            <w:noProof/>
            <w:webHidden/>
          </w:rPr>
          <w:t>1</w:t>
        </w:r>
        <w:r w:rsidR="00123EE9" w:rsidRPr="00F631FB">
          <w:rPr>
            <w:noProof/>
            <w:webHidden/>
          </w:rPr>
          <w:fldChar w:fldCharType="end"/>
        </w:r>
      </w:hyperlink>
    </w:p>
    <w:p w14:paraId="025B7E25" w14:textId="34C2747D" w:rsidR="002C3ABF" w:rsidRPr="00F631FB" w:rsidRDefault="007B5839" w:rsidP="002C3ABF">
      <w:pPr>
        <w:pStyle w:val="TOC2"/>
        <w:rPr>
          <w:rFonts w:asciiTheme="minorHAnsi" w:eastAsiaTheme="minorEastAsia" w:hAnsiTheme="minorHAnsi" w:cstheme="minorBidi"/>
          <w:noProof/>
          <w:kern w:val="2"/>
          <w:sz w:val="21"/>
          <w:szCs w:val="22"/>
        </w:rPr>
      </w:pPr>
      <w:hyperlink w:anchor="_Toc69393370" w:history="1">
        <w:r w:rsidR="002C3ABF" w:rsidRPr="00F631FB">
          <w:rPr>
            <w:rStyle w:val="ad"/>
            <w:rFonts w:ascii="Arial" w:eastAsia="仿宋_GB2312" w:hAnsi="Arial" w:cs="Arial" w:hint="eastAsia"/>
            <w:b/>
            <w:bCs/>
            <w:noProof/>
          </w:rPr>
          <w:t>四、估价期日</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_Toc69393370 \h </w:instrText>
        </w:r>
        <w:r w:rsidR="00123EE9" w:rsidRPr="00F631FB">
          <w:rPr>
            <w:noProof/>
            <w:webHidden/>
          </w:rPr>
        </w:r>
        <w:r w:rsidR="00123EE9" w:rsidRPr="00F631FB">
          <w:rPr>
            <w:noProof/>
            <w:webHidden/>
          </w:rPr>
          <w:fldChar w:fldCharType="separate"/>
        </w:r>
        <w:r w:rsidR="004907BD">
          <w:rPr>
            <w:noProof/>
            <w:webHidden/>
          </w:rPr>
          <w:t>1</w:t>
        </w:r>
        <w:r w:rsidR="00123EE9" w:rsidRPr="00F631FB">
          <w:rPr>
            <w:noProof/>
            <w:webHidden/>
          </w:rPr>
          <w:fldChar w:fldCharType="end"/>
        </w:r>
      </w:hyperlink>
    </w:p>
    <w:p w14:paraId="0B02F808" w14:textId="29FF4BF7" w:rsidR="002C3ABF" w:rsidRPr="00F631FB" w:rsidRDefault="007B5839" w:rsidP="002C3ABF">
      <w:pPr>
        <w:pStyle w:val="TOC2"/>
        <w:rPr>
          <w:rFonts w:asciiTheme="minorHAnsi" w:eastAsiaTheme="minorEastAsia" w:hAnsiTheme="minorHAnsi" w:cstheme="minorBidi"/>
          <w:noProof/>
          <w:kern w:val="2"/>
          <w:sz w:val="21"/>
          <w:szCs w:val="22"/>
        </w:rPr>
      </w:pPr>
      <w:hyperlink w:anchor="_Toc69393371" w:history="1">
        <w:r w:rsidR="002C3ABF" w:rsidRPr="00F631FB">
          <w:rPr>
            <w:rStyle w:val="ad"/>
            <w:rFonts w:ascii="Arial" w:eastAsia="仿宋_GB2312" w:hAnsi="Arial" w:cs="Arial" w:hint="eastAsia"/>
            <w:b/>
            <w:bCs/>
            <w:noProof/>
          </w:rPr>
          <w:t>五、估价日期</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_Toc69393371 \h </w:instrText>
        </w:r>
        <w:r w:rsidR="00123EE9" w:rsidRPr="00F631FB">
          <w:rPr>
            <w:noProof/>
            <w:webHidden/>
          </w:rPr>
        </w:r>
        <w:r w:rsidR="00123EE9" w:rsidRPr="00F631FB">
          <w:rPr>
            <w:noProof/>
            <w:webHidden/>
          </w:rPr>
          <w:fldChar w:fldCharType="separate"/>
        </w:r>
        <w:r w:rsidR="004907BD">
          <w:rPr>
            <w:noProof/>
            <w:webHidden/>
          </w:rPr>
          <w:t>2</w:t>
        </w:r>
        <w:r w:rsidR="00123EE9" w:rsidRPr="00F631FB">
          <w:rPr>
            <w:noProof/>
            <w:webHidden/>
          </w:rPr>
          <w:fldChar w:fldCharType="end"/>
        </w:r>
      </w:hyperlink>
    </w:p>
    <w:p w14:paraId="0BF2134B" w14:textId="477251AA" w:rsidR="002C3ABF" w:rsidRPr="00F631FB" w:rsidRDefault="007B5839" w:rsidP="002C3ABF">
      <w:pPr>
        <w:pStyle w:val="TOC2"/>
        <w:rPr>
          <w:rFonts w:asciiTheme="minorHAnsi" w:eastAsiaTheme="minorEastAsia" w:hAnsiTheme="minorHAnsi" w:cstheme="minorBidi"/>
          <w:noProof/>
          <w:kern w:val="2"/>
          <w:sz w:val="21"/>
          <w:szCs w:val="22"/>
        </w:rPr>
      </w:pPr>
      <w:hyperlink w:anchor="_Toc69393372" w:history="1">
        <w:r w:rsidR="002C3ABF" w:rsidRPr="00F631FB">
          <w:rPr>
            <w:rStyle w:val="ad"/>
            <w:rFonts w:ascii="Arial" w:eastAsia="仿宋_GB2312" w:hAnsi="Arial" w:cs="Arial" w:hint="eastAsia"/>
            <w:b/>
            <w:bCs/>
            <w:noProof/>
          </w:rPr>
          <w:t>六、地价定义</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_Toc69393372 \h </w:instrText>
        </w:r>
        <w:r w:rsidR="00123EE9" w:rsidRPr="00F631FB">
          <w:rPr>
            <w:noProof/>
            <w:webHidden/>
          </w:rPr>
        </w:r>
        <w:r w:rsidR="00123EE9" w:rsidRPr="00F631FB">
          <w:rPr>
            <w:noProof/>
            <w:webHidden/>
          </w:rPr>
          <w:fldChar w:fldCharType="separate"/>
        </w:r>
        <w:r w:rsidR="004907BD">
          <w:rPr>
            <w:noProof/>
            <w:webHidden/>
          </w:rPr>
          <w:t>2</w:t>
        </w:r>
        <w:r w:rsidR="00123EE9" w:rsidRPr="00F631FB">
          <w:rPr>
            <w:noProof/>
            <w:webHidden/>
          </w:rPr>
          <w:fldChar w:fldCharType="end"/>
        </w:r>
      </w:hyperlink>
    </w:p>
    <w:p w14:paraId="60DADA2F" w14:textId="17BC6A91" w:rsidR="002C3ABF" w:rsidRPr="00F631FB" w:rsidRDefault="007B5839" w:rsidP="002C3ABF">
      <w:pPr>
        <w:pStyle w:val="TOC2"/>
        <w:rPr>
          <w:rFonts w:asciiTheme="minorHAnsi" w:eastAsiaTheme="minorEastAsia" w:hAnsiTheme="minorHAnsi" w:cstheme="minorBidi"/>
          <w:noProof/>
          <w:kern w:val="2"/>
          <w:sz w:val="21"/>
          <w:szCs w:val="22"/>
        </w:rPr>
      </w:pPr>
      <w:hyperlink w:anchor="_Toc69393373" w:history="1">
        <w:r w:rsidR="002C3ABF" w:rsidRPr="00F631FB">
          <w:rPr>
            <w:rStyle w:val="ad"/>
            <w:rFonts w:ascii="Arial" w:eastAsia="仿宋_GB2312" w:hAnsi="Arial" w:cs="Arial" w:hint="eastAsia"/>
            <w:b/>
            <w:noProof/>
          </w:rPr>
          <w:t>七、估价结果</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_Toc69393373 \h </w:instrText>
        </w:r>
        <w:r w:rsidR="00123EE9" w:rsidRPr="00F631FB">
          <w:rPr>
            <w:noProof/>
            <w:webHidden/>
          </w:rPr>
        </w:r>
        <w:r w:rsidR="00123EE9" w:rsidRPr="00F631FB">
          <w:rPr>
            <w:noProof/>
            <w:webHidden/>
          </w:rPr>
          <w:fldChar w:fldCharType="separate"/>
        </w:r>
        <w:r w:rsidR="004907BD">
          <w:rPr>
            <w:noProof/>
            <w:webHidden/>
          </w:rPr>
          <w:t>7</w:t>
        </w:r>
        <w:r w:rsidR="00123EE9" w:rsidRPr="00F631FB">
          <w:rPr>
            <w:noProof/>
            <w:webHidden/>
          </w:rPr>
          <w:fldChar w:fldCharType="end"/>
        </w:r>
      </w:hyperlink>
    </w:p>
    <w:p w14:paraId="46F125A1" w14:textId="64F4A707" w:rsidR="002C3ABF" w:rsidRPr="00F631FB" w:rsidRDefault="007B5839" w:rsidP="002C3ABF">
      <w:pPr>
        <w:pStyle w:val="TOC2"/>
        <w:rPr>
          <w:rFonts w:asciiTheme="minorHAnsi" w:eastAsiaTheme="minorEastAsia" w:hAnsiTheme="minorHAnsi" w:cstheme="minorBidi"/>
          <w:noProof/>
          <w:kern w:val="2"/>
          <w:sz w:val="21"/>
          <w:szCs w:val="22"/>
        </w:rPr>
      </w:pPr>
      <w:hyperlink w:anchor="_Toc69393374" w:history="1">
        <w:r w:rsidR="002C3ABF" w:rsidRPr="00F631FB">
          <w:rPr>
            <w:rStyle w:val="ad"/>
            <w:rFonts w:ascii="Arial" w:hAnsi="Arial" w:cs="Arial" w:hint="eastAsia"/>
            <w:b/>
            <w:bCs/>
            <w:noProof/>
          </w:rPr>
          <w:t>八</w:t>
        </w:r>
        <w:r w:rsidR="002C3ABF" w:rsidRPr="00F631FB">
          <w:rPr>
            <w:rStyle w:val="ad"/>
            <w:rFonts w:ascii="Arial" w:eastAsia="仿宋_GB2312" w:hAnsi="Arial" w:cs="Arial" w:hint="eastAsia"/>
            <w:b/>
            <w:bCs/>
            <w:noProof/>
          </w:rPr>
          <w:t>、评估专业人员签字</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_Toc69393374 \h </w:instrText>
        </w:r>
        <w:r w:rsidR="00123EE9" w:rsidRPr="00F631FB">
          <w:rPr>
            <w:noProof/>
            <w:webHidden/>
          </w:rPr>
        </w:r>
        <w:r w:rsidR="00123EE9" w:rsidRPr="00F631FB">
          <w:rPr>
            <w:noProof/>
            <w:webHidden/>
          </w:rPr>
          <w:fldChar w:fldCharType="separate"/>
        </w:r>
        <w:r w:rsidR="004907BD">
          <w:rPr>
            <w:noProof/>
            <w:webHidden/>
          </w:rPr>
          <w:t>16</w:t>
        </w:r>
        <w:r w:rsidR="00123EE9" w:rsidRPr="00F631FB">
          <w:rPr>
            <w:noProof/>
            <w:webHidden/>
          </w:rPr>
          <w:fldChar w:fldCharType="end"/>
        </w:r>
      </w:hyperlink>
    </w:p>
    <w:p w14:paraId="2C3D5B4B" w14:textId="011D6FAF" w:rsidR="002C3ABF" w:rsidRPr="00F631FB" w:rsidRDefault="007B5839" w:rsidP="002C3ABF">
      <w:pPr>
        <w:pStyle w:val="TOC2"/>
        <w:rPr>
          <w:rFonts w:asciiTheme="minorHAnsi" w:eastAsiaTheme="minorEastAsia" w:hAnsiTheme="minorHAnsi" w:cstheme="minorBidi"/>
          <w:noProof/>
          <w:kern w:val="2"/>
          <w:sz w:val="21"/>
          <w:szCs w:val="22"/>
        </w:rPr>
      </w:pPr>
      <w:hyperlink w:anchor="_Toc69393375" w:history="1">
        <w:r w:rsidR="002C3ABF" w:rsidRPr="00F631FB">
          <w:rPr>
            <w:rStyle w:val="ad"/>
            <w:rFonts w:ascii="Arial" w:eastAsia="仿宋_GB2312" w:hAnsi="Arial" w:cs="Arial" w:hint="eastAsia"/>
            <w:b/>
            <w:noProof/>
          </w:rPr>
          <w:t>九、土地估价机构</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_Toc69393375 \h </w:instrText>
        </w:r>
        <w:r w:rsidR="00123EE9" w:rsidRPr="00F631FB">
          <w:rPr>
            <w:noProof/>
            <w:webHidden/>
          </w:rPr>
        </w:r>
        <w:r w:rsidR="00123EE9" w:rsidRPr="00F631FB">
          <w:rPr>
            <w:noProof/>
            <w:webHidden/>
          </w:rPr>
          <w:fldChar w:fldCharType="separate"/>
        </w:r>
        <w:r w:rsidR="004907BD">
          <w:rPr>
            <w:noProof/>
            <w:webHidden/>
          </w:rPr>
          <w:t>16</w:t>
        </w:r>
        <w:r w:rsidR="00123EE9" w:rsidRPr="00F631FB">
          <w:rPr>
            <w:noProof/>
            <w:webHidden/>
          </w:rPr>
          <w:fldChar w:fldCharType="end"/>
        </w:r>
      </w:hyperlink>
    </w:p>
    <w:p w14:paraId="48E422DD" w14:textId="2B6A44A8" w:rsidR="002C3ABF" w:rsidRPr="00F631FB" w:rsidRDefault="007B5839" w:rsidP="002C3ABF">
      <w:pPr>
        <w:pStyle w:val="TOC1"/>
        <w:rPr>
          <w:rFonts w:asciiTheme="minorHAnsi" w:eastAsiaTheme="minorEastAsia" w:hAnsiTheme="minorHAnsi" w:cstheme="minorBidi"/>
          <w:noProof/>
          <w:kern w:val="2"/>
          <w:sz w:val="21"/>
          <w:szCs w:val="22"/>
        </w:rPr>
      </w:pPr>
      <w:hyperlink w:anchor="_Toc69393376" w:history="1">
        <w:r w:rsidR="002C3ABF" w:rsidRPr="00F631FB">
          <w:rPr>
            <w:rStyle w:val="ad"/>
            <w:rFonts w:ascii="Arial" w:cs="Arial" w:hint="eastAsia"/>
            <w:b/>
            <w:noProof/>
          </w:rPr>
          <w:t>第二部分</w:t>
        </w:r>
        <w:r w:rsidR="002C3ABF" w:rsidRPr="00F631FB">
          <w:rPr>
            <w:rStyle w:val="ad"/>
            <w:rFonts w:ascii="Arial" w:cs="Arial"/>
            <w:b/>
            <w:noProof/>
          </w:rPr>
          <w:t xml:space="preserve">  </w:t>
        </w:r>
        <w:r w:rsidR="002C3ABF" w:rsidRPr="00F631FB">
          <w:rPr>
            <w:rStyle w:val="ad"/>
            <w:rFonts w:ascii="Arial" w:cs="Arial" w:hint="eastAsia"/>
            <w:b/>
            <w:noProof/>
          </w:rPr>
          <w:t>估价对象界定</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_Toc69393376 \h </w:instrText>
        </w:r>
        <w:r w:rsidR="00123EE9" w:rsidRPr="00F631FB">
          <w:rPr>
            <w:noProof/>
            <w:webHidden/>
          </w:rPr>
        </w:r>
        <w:r w:rsidR="00123EE9" w:rsidRPr="00F631FB">
          <w:rPr>
            <w:noProof/>
            <w:webHidden/>
          </w:rPr>
          <w:fldChar w:fldCharType="separate"/>
        </w:r>
        <w:r w:rsidR="004907BD">
          <w:rPr>
            <w:noProof/>
            <w:webHidden/>
          </w:rPr>
          <w:t>19</w:t>
        </w:r>
        <w:r w:rsidR="00123EE9" w:rsidRPr="00F631FB">
          <w:rPr>
            <w:noProof/>
            <w:webHidden/>
          </w:rPr>
          <w:fldChar w:fldCharType="end"/>
        </w:r>
      </w:hyperlink>
    </w:p>
    <w:p w14:paraId="731A5139" w14:textId="60A8CFA9" w:rsidR="002C3ABF" w:rsidRPr="00F631FB" w:rsidRDefault="007B5839" w:rsidP="002C3ABF">
      <w:pPr>
        <w:pStyle w:val="TOC2"/>
        <w:rPr>
          <w:rFonts w:asciiTheme="minorHAnsi" w:eastAsiaTheme="minorEastAsia" w:hAnsiTheme="minorHAnsi" w:cstheme="minorBidi"/>
          <w:noProof/>
          <w:kern w:val="2"/>
          <w:sz w:val="21"/>
          <w:szCs w:val="22"/>
        </w:rPr>
      </w:pPr>
      <w:hyperlink w:anchor="_Toc69393377" w:history="1">
        <w:r w:rsidR="002C3ABF" w:rsidRPr="00F631FB">
          <w:rPr>
            <w:rStyle w:val="ad"/>
            <w:rFonts w:ascii="Arial" w:eastAsia="仿宋_GB2312" w:hAnsi="Arial" w:cs="Arial" w:hint="eastAsia"/>
            <w:b/>
            <w:noProof/>
          </w:rPr>
          <w:t>一、委托估价方</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_Toc69393377 \h </w:instrText>
        </w:r>
        <w:r w:rsidR="00123EE9" w:rsidRPr="00F631FB">
          <w:rPr>
            <w:noProof/>
            <w:webHidden/>
          </w:rPr>
        </w:r>
        <w:r w:rsidR="00123EE9" w:rsidRPr="00F631FB">
          <w:rPr>
            <w:noProof/>
            <w:webHidden/>
          </w:rPr>
          <w:fldChar w:fldCharType="separate"/>
        </w:r>
        <w:r w:rsidR="004907BD">
          <w:rPr>
            <w:noProof/>
            <w:webHidden/>
          </w:rPr>
          <w:t>19</w:t>
        </w:r>
        <w:r w:rsidR="00123EE9" w:rsidRPr="00F631FB">
          <w:rPr>
            <w:noProof/>
            <w:webHidden/>
          </w:rPr>
          <w:fldChar w:fldCharType="end"/>
        </w:r>
      </w:hyperlink>
    </w:p>
    <w:p w14:paraId="53AAE8D9" w14:textId="1B303641" w:rsidR="002C3ABF" w:rsidRPr="00F631FB" w:rsidRDefault="007B5839" w:rsidP="002C3ABF">
      <w:pPr>
        <w:pStyle w:val="TOC2"/>
        <w:rPr>
          <w:rFonts w:asciiTheme="minorHAnsi" w:eastAsiaTheme="minorEastAsia" w:hAnsiTheme="minorHAnsi" w:cstheme="minorBidi"/>
          <w:noProof/>
          <w:kern w:val="2"/>
          <w:sz w:val="21"/>
          <w:szCs w:val="22"/>
        </w:rPr>
      </w:pPr>
      <w:hyperlink w:anchor="_Toc69393378" w:history="1">
        <w:r w:rsidR="002C3ABF" w:rsidRPr="00F631FB">
          <w:rPr>
            <w:rStyle w:val="ad"/>
            <w:rFonts w:ascii="Arial" w:eastAsia="仿宋_GB2312" w:hAnsi="Arial" w:cs="Arial" w:hint="eastAsia"/>
            <w:b/>
            <w:noProof/>
          </w:rPr>
          <w:t>二、估价对象</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_Toc69393378 \h </w:instrText>
        </w:r>
        <w:r w:rsidR="00123EE9" w:rsidRPr="00F631FB">
          <w:rPr>
            <w:noProof/>
            <w:webHidden/>
          </w:rPr>
        </w:r>
        <w:r w:rsidR="00123EE9" w:rsidRPr="00F631FB">
          <w:rPr>
            <w:noProof/>
            <w:webHidden/>
          </w:rPr>
          <w:fldChar w:fldCharType="separate"/>
        </w:r>
        <w:r w:rsidR="004907BD">
          <w:rPr>
            <w:noProof/>
            <w:webHidden/>
          </w:rPr>
          <w:t>19</w:t>
        </w:r>
        <w:r w:rsidR="00123EE9" w:rsidRPr="00F631FB">
          <w:rPr>
            <w:noProof/>
            <w:webHidden/>
          </w:rPr>
          <w:fldChar w:fldCharType="end"/>
        </w:r>
      </w:hyperlink>
    </w:p>
    <w:p w14:paraId="5EB3B176" w14:textId="01F21451" w:rsidR="002C3ABF" w:rsidRPr="00F631FB" w:rsidRDefault="007B5839" w:rsidP="002C3ABF">
      <w:pPr>
        <w:pStyle w:val="TOC2"/>
        <w:rPr>
          <w:rFonts w:asciiTheme="minorHAnsi" w:eastAsiaTheme="minorEastAsia" w:hAnsiTheme="minorHAnsi" w:cstheme="minorBidi"/>
          <w:noProof/>
          <w:kern w:val="2"/>
          <w:sz w:val="21"/>
          <w:szCs w:val="22"/>
        </w:rPr>
      </w:pPr>
      <w:hyperlink w:anchor="_Toc69393379" w:history="1">
        <w:r w:rsidR="002C3ABF" w:rsidRPr="00F631FB">
          <w:rPr>
            <w:rStyle w:val="ad"/>
            <w:rFonts w:ascii="Arial" w:eastAsia="仿宋_GB2312" w:hAnsi="Arial" w:cs="Arial" w:hint="eastAsia"/>
            <w:b/>
            <w:noProof/>
          </w:rPr>
          <w:t>三、估价对象概况</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_Toc69393379 \h </w:instrText>
        </w:r>
        <w:r w:rsidR="00123EE9" w:rsidRPr="00F631FB">
          <w:rPr>
            <w:noProof/>
            <w:webHidden/>
          </w:rPr>
        </w:r>
        <w:r w:rsidR="00123EE9" w:rsidRPr="00F631FB">
          <w:rPr>
            <w:noProof/>
            <w:webHidden/>
          </w:rPr>
          <w:fldChar w:fldCharType="separate"/>
        </w:r>
        <w:r w:rsidR="004907BD">
          <w:rPr>
            <w:noProof/>
            <w:webHidden/>
          </w:rPr>
          <w:t>21</w:t>
        </w:r>
        <w:r w:rsidR="00123EE9" w:rsidRPr="00F631FB">
          <w:rPr>
            <w:noProof/>
            <w:webHidden/>
          </w:rPr>
          <w:fldChar w:fldCharType="end"/>
        </w:r>
      </w:hyperlink>
    </w:p>
    <w:p w14:paraId="2EABD389" w14:textId="4D45134F" w:rsidR="002C3ABF" w:rsidRPr="00F631FB" w:rsidRDefault="007B5839" w:rsidP="002C3ABF">
      <w:pPr>
        <w:pStyle w:val="TOC2"/>
        <w:rPr>
          <w:rFonts w:asciiTheme="minorHAnsi" w:eastAsiaTheme="minorEastAsia" w:hAnsiTheme="minorHAnsi" w:cstheme="minorBidi"/>
          <w:noProof/>
          <w:kern w:val="2"/>
          <w:sz w:val="21"/>
          <w:szCs w:val="22"/>
        </w:rPr>
      </w:pPr>
      <w:hyperlink w:anchor="_Toc69393380" w:history="1">
        <w:r w:rsidR="002C3ABF" w:rsidRPr="00F631FB">
          <w:rPr>
            <w:rStyle w:val="ad"/>
            <w:rFonts w:ascii="Arial" w:eastAsia="仿宋_GB2312" w:hAnsi="Arial" w:cs="Arial" w:hint="eastAsia"/>
            <w:b/>
            <w:bCs/>
            <w:noProof/>
          </w:rPr>
          <w:t>四、影响地价的因素说明</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_Toc69393380 \h </w:instrText>
        </w:r>
        <w:r w:rsidR="00123EE9" w:rsidRPr="00F631FB">
          <w:rPr>
            <w:noProof/>
            <w:webHidden/>
          </w:rPr>
        </w:r>
        <w:r w:rsidR="00123EE9" w:rsidRPr="00F631FB">
          <w:rPr>
            <w:noProof/>
            <w:webHidden/>
          </w:rPr>
          <w:fldChar w:fldCharType="separate"/>
        </w:r>
        <w:r w:rsidR="004907BD">
          <w:rPr>
            <w:noProof/>
            <w:webHidden/>
          </w:rPr>
          <w:t>25</w:t>
        </w:r>
        <w:r w:rsidR="00123EE9" w:rsidRPr="00F631FB">
          <w:rPr>
            <w:noProof/>
            <w:webHidden/>
          </w:rPr>
          <w:fldChar w:fldCharType="end"/>
        </w:r>
      </w:hyperlink>
    </w:p>
    <w:p w14:paraId="10DEF62E" w14:textId="763CC6A0" w:rsidR="002C3ABF" w:rsidRPr="00F631FB" w:rsidRDefault="007B5839" w:rsidP="002C3ABF">
      <w:pPr>
        <w:pStyle w:val="TOC1"/>
        <w:rPr>
          <w:rFonts w:asciiTheme="minorHAnsi" w:eastAsiaTheme="minorEastAsia" w:hAnsiTheme="minorHAnsi" w:cstheme="minorBidi"/>
          <w:noProof/>
          <w:kern w:val="2"/>
          <w:sz w:val="21"/>
          <w:szCs w:val="22"/>
        </w:rPr>
      </w:pPr>
      <w:hyperlink w:anchor="_Toc69393381" w:history="1">
        <w:r w:rsidR="002C3ABF" w:rsidRPr="00F631FB">
          <w:rPr>
            <w:rStyle w:val="ad"/>
            <w:rFonts w:ascii="Arial" w:cs="Arial" w:hint="eastAsia"/>
            <w:b/>
            <w:noProof/>
          </w:rPr>
          <w:t>第三部分</w:t>
        </w:r>
        <w:r w:rsidR="002C3ABF" w:rsidRPr="00F631FB">
          <w:rPr>
            <w:rStyle w:val="ad"/>
            <w:rFonts w:ascii="Arial" w:cs="Arial"/>
            <w:b/>
            <w:noProof/>
          </w:rPr>
          <w:t xml:space="preserve">  </w:t>
        </w:r>
        <w:r w:rsidR="002C3ABF" w:rsidRPr="00F631FB">
          <w:rPr>
            <w:rStyle w:val="ad"/>
            <w:rFonts w:ascii="Arial" w:cs="Arial" w:hint="eastAsia"/>
            <w:b/>
            <w:noProof/>
          </w:rPr>
          <w:t>土地估价结果及其使用</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_Toc69393381 \h </w:instrText>
        </w:r>
        <w:r w:rsidR="00123EE9" w:rsidRPr="00F631FB">
          <w:rPr>
            <w:noProof/>
            <w:webHidden/>
          </w:rPr>
        </w:r>
        <w:r w:rsidR="00123EE9" w:rsidRPr="00F631FB">
          <w:rPr>
            <w:noProof/>
            <w:webHidden/>
          </w:rPr>
          <w:fldChar w:fldCharType="separate"/>
        </w:r>
        <w:r w:rsidR="004907BD">
          <w:rPr>
            <w:noProof/>
            <w:webHidden/>
          </w:rPr>
          <w:t>51</w:t>
        </w:r>
        <w:r w:rsidR="00123EE9" w:rsidRPr="00F631FB">
          <w:rPr>
            <w:noProof/>
            <w:webHidden/>
          </w:rPr>
          <w:fldChar w:fldCharType="end"/>
        </w:r>
      </w:hyperlink>
    </w:p>
    <w:p w14:paraId="5496FA28" w14:textId="63E2A0BE" w:rsidR="002C3ABF" w:rsidRPr="00F631FB" w:rsidRDefault="007B5839" w:rsidP="002C3ABF">
      <w:pPr>
        <w:pStyle w:val="TOC2"/>
        <w:rPr>
          <w:rFonts w:asciiTheme="minorHAnsi" w:eastAsiaTheme="minorEastAsia" w:hAnsiTheme="minorHAnsi" w:cstheme="minorBidi"/>
          <w:noProof/>
          <w:kern w:val="2"/>
          <w:sz w:val="21"/>
          <w:szCs w:val="22"/>
        </w:rPr>
      </w:pPr>
      <w:hyperlink w:anchor="_Toc69393382" w:history="1">
        <w:r w:rsidR="002C3ABF" w:rsidRPr="00F631FB">
          <w:rPr>
            <w:rStyle w:val="ad"/>
            <w:rFonts w:ascii="Arial" w:eastAsia="仿宋_GB2312" w:hAnsi="Arial" w:cs="Arial" w:hint="eastAsia"/>
            <w:b/>
            <w:noProof/>
          </w:rPr>
          <w:t>一、估价依据</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_Toc69393382 \h </w:instrText>
        </w:r>
        <w:r w:rsidR="00123EE9" w:rsidRPr="00F631FB">
          <w:rPr>
            <w:noProof/>
            <w:webHidden/>
          </w:rPr>
        </w:r>
        <w:r w:rsidR="00123EE9" w:rsidRPr="00F631FB">
          <w:rPr>
            <w:noProof/>
            <w:webHidden/>
          </w:rPr>
          <w:fldChar w:fldCharType="separate"/>
        </w:r>
        <w:r w:rsidR="004907BD">
          <w:rPr>
            <w:noProof/>
            <w:webHidden/>
          </w:rPr>
          <w:t>51</w:t>
        </w:r>
        <w:r w:rsidR="00123EE9" w:rsidRPr="00F631FB">
          <w:rPr>
            <w:noProof/>
            <w:webHidden/>
          </w:rPr>
          <w:fldChar w:fldCharType="end"/>
        </w:r>
      </w:hyperlink>
    </w:p>
    <w:p w14:paraId="3F07BA41" w14:textId="3A076777" w:rsidR="002C3ABF" w:rsidRPr="00F631FB" w:rsidRDefault="007B5839" w:rsidP="002C3ABF">
      <w:pPr>
        <w:pStyle w:val="TOC2"/>
        <w:rPr>
          <w:rFonts w:asciiTheme="minorHAnsi" w:eastAsiaTheme="minorEastAsia" w:hAnsiTheme="minorHAnsi" w:cstheme="minorBidi"/>
          <w:noProof/>
          <w:kern w:val="2"/>
          <w:sz w:val="21"/>
          <w:szCs w:val="22"/>
        </w:rPr>
      </w:pPr>
      <w:hyperlink w:anchor="_Toc69393383" w:history="1">
        <w:r w:rsidR="002C3ABF" w:rsidRPr="00F631FB">
          <w:rPr>
            <w:rStyle w:val="ad"/>
            <w:rFonts w:ascii="Arial" w:eastAsia="仿宋_GB2312" w:hAnsi="Arial" w:cs="Arial" w:hint="eastAsia"/>
            <w:b/>
            <w:noProof/>
          </w:rPr>
          <w:t>二、土地估价原则</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_Toc69393383 \h </w:instrText>
        </w:r>
        <w:r w:rsidR="00123EE9" w:rsidRPr="00F631FB">
          <w:rPr>
            <w:noProof/>
            <w:webHidden/>
          </w:rPr>
        </w:r>
        <w:r w:rsidR="00123EE9" w:rsidRPr="00F631FB">
          <w:rPr>
            <w:noProof/>
            <w:webHidden/>
          </w:rPr>
          <w:fldChar w:fldCharType="separate"/>
        </w:r>
        <w:r w:rsidR="004907BD">
          <w:rPr>
            <w:noProof/>
            <w:webHidden/>
          </w:rPr>
          <w:t>55</w:t>
        </w:r>
        <w:r w:rsidR="00123EE9" w:rsidRPr="00F631FB">
          <w:rPr>
            <w:noProof/>
            <w:webHidden/>
          </w:rPr>
          <w:fldChar w:fldCharType="end"/>
        </w:r>
      </w:hyperlink>
    </w:p>
    <w:p w14:paraId="268134C5" w14:textId="60E4EEE9" w:rsidR="002C3ABF" w:rsidRPr="00F631FB" w:rsidRDefault="007B5839" w:rsidP="002C3ABF">
      <w:pPr>
        <w:pStyle w:val="TOC2"/>
        <w:rPr>
          <w:rFonts w:asciiTheme="minorHAnsi" w:eastAsiaTheme="minorEastAsia" w:hAnsiTheme="minorHAnsi" w:cstheme="minorBidi"/>
          <w:noProof/>
          <w:kern w:val="2"/>
          <w:sz w:val="21"/>
          <w:szCs w:val="22"/>
        </w:rPr>
      </w:pPr>
      <w:hyperlink w:anchor="_Toc69393384" w:history="1">
        <w:r w:rsidR="002C3ABF" w:rsidRPr="00F631FB">
          <w:rPr>
            <w:rStyle w:val="ad"/>
            <w:rFonts w:ascii="Arial" w:eastAsia="仿宋_GB2312" w:hAnsi="Arial" w:cs="Arial" w:hint="eastAsia"/>
            <w:b/>
            <w:noProof/>
          </w:rPr>
          <w:t>三、估价结果和估价报告的使用</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_Toc69393384 \h </w:instrText>
        </w:r>
        <w:r w:rsidR="00123EE9" w:rsidRPr="00F631FB">
          <w:rPr>
            <w:noProof/>
            <w:webHidden/>
          </w:rPr>
        </w:r>
        <w:r w:rsidR="00123EE9" w:rsidRPr="00F631FB">
          <w:rPr>
            <w:noProof/>
            <w:webHidden/>
          </w:rPr>
          <w:fldChar w:fldCharType="separate"/>
        </w:r>
        <w:r w:rsidR="004907BD">
          <w:rPr>
            <w:noProof/>
            <w:webHidden/>
          </w:rPr>
          <w:t>72</w:t>
        </w:r>
        <w:r w:rsidR="00123EE9" w:rsidRPr="00F631FB">
          <w:rPr>
            <w:noProof/>
            <w:webHidden/>
          </w:rPr>
          <w:fldChar w:fldCharType="end"/>
        </w:r>
      </w:hyperlink>
    </w:p>
    <w:p w14:paraId="45D22549" w14:textId="3EEEF739" w:rsidR="002C3ABF" w:rsidRPr="00F631FB" w:rsidRDefault="007B5839" w:rsidP="002C3ABF">
      <w:pPr>
        <w:pStyle w:val="TOC1"/>
        <w:rPr>
          <w:rFonts w:asciiTheme="minorHAnsi" w:eastAsiaTheme="minorEastAsia" w:hAnsiTheme="minorHAnsi" w:cstheme="minorBidi"/>
          <w:noProof/>
          <w:kern w:val="2"/>
          <w:sz w:val="21"/>
          <w:szCs w:val="22"/>
        </w:rPr>
      </w:pPr>
      <w:hyperlink w:anchor="_Toc69393385" w:history="1">
        <w:r w:rsidR="002C3ABF" w:rsidRPr="00F631FB">
          <w:rPr>
            <w:rStyle w:val="ad"/>
            <w:rFonts w:ascii="Arial" w:cs="Arial" w:hint="eastAsia"/>
            <w:b/>
            <w:noProof/>
          </w:rPr>
          <w:t>第四部分</w:t>
        </w:r>
        <w:r w:rsidR="002C3ABF" w:rsidRPr="00F631FB">
          <w:rPr>
            <w:rStyle w:val="ad"/>
            <w:rFonts w:ascii="Arial" w:cs="Arial"/>
            <w:b/>
            <w:noProof/>
          </w:rPr>
          <w:t xml:space="preserve">  </w:t>
        </w:r>
        <w:r w:rsidR="002C3ABF" w:rsidRPr="00F631FB">
          <w:rPr>
            <w:rStyle w:val="ad"/>
            <w:rFonts w:ascii="Arial" w:cs="Arial" w:hint="eastAsia"/>
            <w:b/>
            <w:noProof/>
          </w:rPr>
          <w:t>附</w:t>
        </w:r>
        <w:r w:rsidR="002C3ABF" w:rsidRPr="00F631FB">
          <w:rPr>
            <w:rStyle w:val="ad"/>
            <w:rFonts w:ascii="Arial" w:cs="Arial"/>
            <w:b/>
            <w:noProof/>
          </w:rPr>
          <w:t xml:space="preserve">  </w:t>
        </w:r>
        <w:r w:rsidR="002C3ABF" w:rsidRPr="00F631FB">
          <w:rPr>
            <w:rStyle w:val="ad"/>
            <w:rFonts w:ascii="Arial" w:cs="Arial" w:hint="eastAsia"/>
            <w:b/>
            <w:noProof/>
          </w:rPr>
          <w:t>件</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_Toc69393385 \h </w:instrText>
        </w:r>
        <w:r w:rsidR="00123EE9" w:rsidRPr="00F631FB">
          <w:rPr>
            <w:noProof/>
            <w:webHidden/>
          </w:rPr>
        </w:r>
        <w:r w:rsidR="00123EE9" w:rsidRPr="00F631FB">
          <w:rPr>
            <w:noProof/>
            <w:webHidden/>
          </w:rPr>
          <w:fldChar w:fldCharType="separate"/>
        </w:r>
        <w:r w:rsidR="004907BD">
          <w:rPr>
            <w:noProof/>
            <w:webHidden/>
          </w:rPr>
          <w:t>80</w:t>
        </w:r>
        <w:r w:rsidR="00123EE9" w:rsidRPr="00F631FB">
          <w:rPr>
            <w:noProof/>
            <w:webHidden/>
          </w:rPr>
          <w:fldChar w:fldCharType="end"/>
        </w:r>
      </w:hyperlink>
    </w:p>
    <w:p w14:paraId="29ED3272" w14:textId="77777777" w:rsidR="002C3ABF" w:rsidRPr="00F631FB" w:rsidRDefault="00123EE9" w:rsidP="002C3ABF">
      <w:pPr>
        <w:spacing w:line="360" w:lineRule="auto"/>
        <w:rPr>
          <w:rFonts w:ascii="Arial" w:eastAsia="仿宋_GB2312" w:hAnsi="Arial" w:cs="Arial"/>
          <w:sz w:val="44"/>
        </w:rPr>
        <w:sectPr w:rsidR="002C3ABF" w:rsidRPr="00F631FB">
          <w:headerReference w:type="even" r:id="rId8"/>
          <w:headerReference w:type="default" r:id="rId9"/>
          <w:footerReference w:type="even" r:id="rId10"/>
          <w:footerReference w:type="default" r:id="rId11"/>
          <w:headerReference w:type="first" r:id="rId12"/>
          <w:footerReference w:type="first" r:id="rId13"/>
          <w:pgSz w:w="11907" w:h="16840"/>
          <w:pgMar w:top="1843" w:right="1134" w:bottom="1134" w:left="1134" w:header="1134" w:footer="907" w:gutter="340"/>
          <w:pgNumType w:start="0"/>
          <w:cols w:space="720"/>
          <w:titlePg/>
          <w:docGrid w:linePitch="326"/>
        </w:sectPr>
      </w:pPr>
      <w:r w:rsidRPr="00F631FB">
        <w:rPr>
          <w:rFonts w:ascii="Arial" w:eastAsia="仿宋_GB2312" w:hAnsi="Arial" w:cs="Arial"/>
          <w:sz w:val="28"/>
          <w:szCs w:val="28"/>
        </w:rPr>
        <w:fldChar w:fldCharType="end"/>
      </w:r>
    </w:p>
    <w:p w14:paraId="0BB4F97D" w14:textId="77777777" w:rsidR="002C3ABF" w:rsidRPr="00F631FB" w:rsidRDefault="002C3ABF" w:rsidP="002C3ABF">
      <w:pPr>
        <w:spacing w:line="360" w:lineRule="auto"/>
        <w:rPr>
          <w:rFonts w:ascii="Arial" w:eastAsia="仿宋_GB2312" w:hAnsi="Arial" w:cs="Arial"/>
          <w:sz w:val="44"/>
        </w:rPr>
        <w:sectPr w:rsidR="002C3ABF" w:rsidRPr="00F631FB">
          <w:headerReference w:type="default" r:id="rId14"/>
          <w:footerReference w:type="even" r:id="rId15"/>
          <w:footerReference w:type="default" r:id="rId16"/>
          <w:headerReference w:type="first" r:id="rId17"/>
          <w:footerReference w:type="first" r:id="rId18"/>
          <w:type w:val="continuous"/>
          <w:pgSz w:w="11907" w:h="16840"/>
          <w:pgMar w:top="1440" w:right="1440" w:bottom="1440" w:left="1803" w:header="851" w:footer="1134" w:gutter="0"/>
          <w:pgNumType w:start="1"/>
          <w:cols w:space="720"/>
          <w:titlePg/>
        </w:sectPr>
      </w:pPr>
    </w:p>
    <w:p w14:paraId="38D3DB1F" w14:textId="77777777" w:rsidR="002C3ABF" w:rsidRPr="00F631FB" w:rsidRDefault="002C3ABF" w:rsidP="002C3ABF">
      <w:pPr>
        <w:spacing w:line="360" w:lineRule="auto"/>
        <w:jc w:val="center"/>
        <w:rPr>
          <w:rFonts w:ascii="Arial" w:hAnsi="Arial" w:cs="Arial"/>
          <w:b/>
          <w:sz w:val="32"/>
        </w:rPr>
      </w:pPr>
      <w:r w:rsidRPr="00F631FB">
        <w:rPr>
          <w:rFonts w:ascii="Arial" w:hAnsi="Arial" w:cs="Arial"/>
          <w:b/>
          <w:sz w:val="32"/>
        </w:rPr>
        <w:lastRenderedPageBreak/>
        <w:t>土</w:t>
      </w:r>
      <w:r w:rsidRPr="00F631FB">
        <w:rPr>
          <w:rFonts w:ascii="Arial" w:eastAsia="仿宋_GB2312" w:hAnsi="Arial" w:cs="Arial"/>
          <w:b/>
          <w:sz w:val="32"/>
        </w:rPr>
        <w:t xml:space="preserve"> </w:t>
      </w:r>
      <w:r w:rsidRPr="00F631FB">
        <w:rPr>
          <w:rFonts w:ascii="Arial" w:hAnsi="Arial" w:cs="Arial"/>
          <w:b/>
          <w:sz w:val="32"/>
        </w:rPr>
        <w:t>地</w:t>
      </w:r>
      <w:r w:rsidRPr="00F631FB">
        <w:rPr>
          <w:rFonts w:ascii="Arial" w:eastAsia="仿宋_GB2312" w:hAnsi="Arial" w:cs="Arial"/>
          <w:b/>
          <w:sz w:val="32"/>
        </w:rPr>
        <w:t xml:space="preserve"> </w:t>
      </w:r>
      <w:r w:rsidRPr="00F631FB">
        <w:rPr>
          <w:rFonts w:ascii="Arial" w:hAnsi="Arial" w:cs="Arial"/>
          <w:b/>
          <w:sz w:val="32"/>
        </w:rPr>
        <w:t>估</w:t>
      </w:r>
      <w:r w:rsidRPr="00F631FB">
        <w:rPr>
          <w:rFonts w:ascii="Arial" w:eastAsia="仿宋_GB2312" w:hAnsi="Arial" w:cs="Arial"/>
          <w:b/>
          <w:sz w:val="32"/>
        </w:rPr>
        <w:t xml:space="preserve"> </w:t>
      </w:r>
      <w:r w:rsidRPr="00F631FB">
        <w:rPr>
          <w:rFonts w:ascii="Arial" w:hAnsi="Arial" w:cs="Arial"/>
          <w:b/>
          <w:sz w:val="32"/>
        </w:rPr>
        <w:t>价</w:t>
      </w:r>
      <w:r w:rsidRPr="00F631FB">
        <w:rPr>
          <w:rFonts w:ascii="Arial" w:eastAsia="仿宋_GB2312" w:hAnsi="Arial" w:cs="Arial"/>
          <w:b/>
          <w:sz w:val="32"/>
        </w:rPr>
        <w:t xml:space="preserve"> </w:t>
      </w:r>
      <w:r w:rsidRPr="00F631FB">
        <w:rPr>
          <w:rFonts w:ascii="Arial" w:hAnsi="Arial" w:cs="Arial"/>
          <w:b/>
          <w:sz w:val="32"/>
        </w:rPr>
        <w:t>报</w:t>
      </w:r>
      <w:r w:rsidRPr="00F631FB">
        <w:rPr>
          <w:rFonts w:ascii="Arial" w:eastAsia="仿宋_GB2312" w:hAnsi="Arial" w:cs="Arial"/>
          <w:b/>
          <w:sz w:val="32"/>
        </w:rPr>
        <w:t xml:space="preserve"> </w:t>
      </w:r>
      <w:r w:rsidRPr="00F631FB">
        <w:rPr>
          <w:rFonts w:ascii="Arial" w:hAnsi="Arial" w:cs="Arial"/>
          <w:b/>
          <w:sz w:val="32"/>
        </w:rPr>
        <w:t>告</w:t>
      </w:r>
    </w:p>
    <w:p w14:paraId="3289FC45" w14:textId="77777777" w:rsidR="002C3ABF" w:rsidRPr="00F631FB" w:rsidRDefault="002C3ABF" w:rsidP="002C3ABF">
      <w:pPr>
        <w:spacing w:line="360" w:lineRule="auto"/>
        <w:rPr>
          <w:rFonts w:ascii="Arial" w:eastAsia="楷体_GB2312" w:hAnsi="Arial" w:cs="Arial"/>
          <w:b/>
          <w:sz w:val="32"/>
        </w:rPr>
      </w:pPr>
    </w:p>
    <w:p w14:paraId="729FABE5" w14:textId="77777777" w:rsidR="002C3ABF" w:rsidRPr="00F631FB" w:rsidRDefault="002C3ABF" w:rsidP="002C3ABF">
      <w:pPr>
        <w:tabs>
          <w:tab w:val="center" w:pos="4332"/>
          <w:tab w:val="right" w:pos="8664"/>
        </w:tabs>
        <w:spacing w:line="360" w:lineRule="auto"/>
        <w:ind w:firstLineChars="1100" w:firstLine="3534"/>
        <w:outlineLvl w:val="0"/>
        <w:rPr>
          <w:rFonts w:ascii="Arial" w:hAnsi="Arial" w:cs="Arial"/>
          <w:sz w:val="32"/>
        </w:rPr>
      </w:pPr>
      <w:bookmarkStart w:id="1" w:name="_Toc416783516"/>
      <w:bookmarkStart w:id="2" w:name="_Toc418750878"/>
      <w:bookmarkStart w:id="3" w:name="_Toc425250300"/>
      <w:bookmarkStart w:id="4" w:name="_Toc469066300"/>
      <w:bookmarkStart w:id="5" w:name="_Toc524335054"/>
      <w:bookmarkStart w:id="6" w:name="_Toc69393366"/>
      <w:r w:rsidRPr="00F631FB">
        <w:rPr>
          <w:rFonts w:ascii="Arial" w:hAnsi="Arial" w:cs="Arial"/>
          <w:b/>
          <w:sz w:val="32"/>
        </w:rPr>
        <w:t>第一部分</w:t>
      </w:r>
      <w:r w:rsidRPr="00F631FB">
        <w:rPr>
          <w:rFonts w:ascii="Arial" w:eastAsia="仿宋_GB2312" w:hAnsi="Arial" w:cs="Arial"/>
          <w:b/>
          <w:sz w:val="32"/>
        </w:rPr>
        <w:t xml:space="preserve">  </w:t>
      </w:r>
      <w:r w:rsidRPr="00F631FB">
        <w:rPr>
          <w:rFonts w:ascii="Arial" w:hAnsi="Arial" w:cs="Arial"/>
          <w:b/>
          <w:sz w:val="32"/>
        </w:rPr>
        <w:t>摘</w:t>
      </w:r>
      <w:r w:rsidRPr="00F631FB">
        <w:rPr>
          <w:rFonts w:ascii="Arial" w:eastAsia="仿宋_GB2312" w:hAnsi="Arial" w:cs="Arial"/>
          <w:b/>
          <w:sz w:val="32"/>
        </w:rPr>
        <w:t xml:space="preserve">  </w:t>
      </w:r>
      <w:r w:rsidRPr="00F631FB">
        <w:rPr>
          <w:rFonts w:ascii="Arial" w:hAnsi="Arial" w:cs="Arial"/>
          <w:b/>
          <w:sz w:val="32"/>
        </w:rPr>
        <w:t>要</w:t>
      </w:r>
      <w:bookmarkEnd w:id="1"/>
      <w:bookmarkEnd w:id="2"/>
      <w:bookmarkEnd w:id="3"/>
      <w:bookmarkEnd w:id="4"/>
      <w:bookmarkEnd w:id="5"/>
      <w:bookmarkEnd w:id="6"/>
      <w:r w:rsidRPr="00F631FB">
        <w:rPr>
          <w:rFonts w:ascii="Arial" w:hAnsi="Arial" w:cs="Arial"/>
          <w:b/>
          <w:sz w:val="32"/>
        </w:rPr>
        <w:tab/>
      </w:r>
    </w:p>
    <w:p w14:paraId="72925F4F" w14:textId="77777777" w:rsidR="002C3ABF" w:rsidRPr="00F631FB" w:rsidRDefault="002C3ABF" w:rsidP="002C3ABF">
      <w:pPr>
        <w:spacing w:line="360" w:lineRule="auto"/>
        <w:rPr>
          <w:rFonts w:ascii="Arial" w:eastAsia="仿宋_GB2312" w:hAnsi="Arial" w:cs="Arial"/>
          <w:sz w:val="28"/>
        </w:rPr>
      </w:pPr>
    </w:p>
    <w:p w14:paraId="745F41EC" w14:textId="77777777" w:rsidR="002C3ABF" w:rsidRPr="00F631FB" w:rsidRDefault="002C3ABF" w:rsidP="002C3ABF">
      <w:pPr>
        <w:spacing w:line="360" w:lineRule="auto"/>
        <w:jc w:val="both"/>
        <w:outlineLvl w:val="1"/>
        <w:rPr>
          <w:rFonts w:ascii="Arial" w:eastAsia="仿宋_GB2312" w:hAnsi="Arial" w:cs="Arial"/>
          <w:b/>
          <w:bCs/>
          <w:sz w:val="28"/>
        </w:rPr>
      </w:pPr>
      <w:bookmarkStart w:id="7" w:name="_Toc425250301"/>
      <w:bookmarkStart w:id="8" w:name="_Toc515458358"/>
      <w:bookmarkStart w:id="9" w:name="_Toc469066301"/>
      <w:bookmarkStart w:id="10" w:name="_Toc416783517"/>
      <w:bookmarkStart w:id="11" w:name="_Toc418750879"/>
      <w:bookmarkStart w:id="12" w:name="_Toc524335055"/>
      <w:bookmarkStart w:id="13" w:name="_Toc69393367"/>
      <w:r w:rsidRPr="00F631FB">
        <w:rPr>
          <w:rFonts w:ascii="Arial" w:eastAsia="仿宋_GB2312" w:hAnsi="Arial" w:cs="Arial"/>
          <w:b/>
          <w:bCs/>
          <w:sz w:val="28"/>
        </w:rPr>
        <w:t>一、估价项目名称</w:t>
      </w:r>
      <w:bookmarkEnd w:id="7"/>
      <w:bookmarkEnd w:id="8"/>
      <w:bookmarkEnd w:id="9"/>
      <w:bookmarkEnd w:id="10"/>
      <w:bookmarkEnd w:id="11"/>
      <w:bookmarkEnd w:id="12"/>
      <w:bookmarkEnd w:id="13"/>
    </w:p>
    <w:p w14:paraId="0570EE0E" w14:textId="718111A5" w:rsidR="002C3ABF" w:rsidRPr="00F631FB" w:rsidRDefault="003D6BCC" w:rsidP="002C3ABF">
      <w:pPr>
        <w:spacing w:line="360" w:lineRule="auto"/>
        <w:ind w:firstLineChars="199" w:firstLine="557"/>
        <w:jc w:val="both"/>
        <w:rPr>
          <w:rFonts w:ascii="Arial" w:eastAsia="仿宋_GB2312" w:hAnsi="Arial" w:cs="Arial"/>
          <w:sz w:val="28"/>
        </w:rPr>
      </w:pPr>
      <w:bookmarkStart w:id="14" w:name="_Hlk79696906"/>
      <w:bookmarkStart w:id="15" w:name="_Hlk79698272"/>
      <w:r w:rsidRPr="003D6BCC">
        <w:rPr>
          <w:rFonts w:ascii="Arial" w:eastAsia="仿宋_GB2312" w:hAnsi="Arial" w:cs="Arial" w:hint="eastAsia"/>
          <w:sz w:val="28"/>
        </w:rPr>
        <w:t>北京市海淀区苏州街站一体化棚户区改造一次性招标项目国有建设用地使用权出让地价评估</w:t>
      </w:r>
    </w:p>
    <w:p w14:paraId="5869312D" w14:textId="77777777" w:rsidR="002C3ABF" w:rsidRPr="00F631FB" w:rsidRDefault="002C3ABF" w:rsidP="002C3ABF">
      <w:pPr>
        <w:spacing w:line="360" w:lineRule="auto"/>
        <w:jc w:val="both"/>
        <w:rPr>
          <w:rFonts w:ascii="Arial" w:eastAsia="仿宋_GB2312" w:hAnsi="Arial" w:cs="Arial"/>
          <w:b/>
          <w:bCs/>
          <w:sz w:val="28"/>
        </w:rPr>
      </w:pPr>
    </w:p>
    <w:p w14:paraId="56907DFD" w14:textId="77777777" w:rsidR="002C3ABF" w:rsidRPr="00F631FB" w:rsidRDefault="002C3ABF" w:rsidP="002C3ABF">
      <w:pPr>
        <w:spacing w:line="360" w:lineRule="auto"/>
        <w:jc w:val="both"/>
        <w:outlineLvl w:val="1"/>
        <w:rPr>
          <w:rFonts w:ascii="Arial" w:eastAsia="仿宋_GB2312" w:hAnsi="Arial" w:cs="Arial"/>
          <w:b/>
          <w:bCs/>
          <w:sz w:val="28"/>
        </w:rPr>
      </w:pPr>
      <w:bookmarkStart w:id="16" w:name="_Toc69393368"/>
      <w:r w:rsidRPr="00F631FB">
        <w:rPr>
          <w:rFonts w:ascii="Arial" w:eastAsia="仿宋_GB2312" w:hAnsi="Arial" w:cs="Arial"/>
          <w:b/>
          <w:bCs/>
          <w:sz w:val="28"/>
        </w:rPr>
        <w:t>二、委托估价方</w:t>
      </w:r>
      <w:bookmarkEnd w:id="16"/>
    </w:p>
    <w:p w14:paraId="003E294F"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北京市土地利用事务</w:t>
      </w:r>
      <w:r w:rsidRPr="00F631FB">
        <w:rPr>
          <w:rFonts w:ascii="Arial" w:eastAsia="仿宋_GB2312" w:hAnsi="Arial" w:cs="Arial" w:hint="eastAsia"/>
          <w:bCs/>
          <w:sz w:val="28"/>
        </w:rPr>
        <w:t>中心</w:t>
      </w:r>
      <w:r w:rsidRPr="00F631FB">
        <w:rPr>
          <w:rFonts w:ascii="Arial" w:eastAsia="仿宋_GB2312" w:hAnsi="Arial" w:cs="Arial"/>
          <w:bCs/>
          <w:sz w:val="28"/>
        </w:rPr>
        <w:t xml:space="preserve"> </w:t>
      </w:r>
    </w:p>
    <w:p w14:paraId="6BC3595E" w14:textId="77777777" w:rsidR="002C3ABF" w:rsidRPr="00F631FB" w:rsidRDefault="002C3ABF" w:rsidP="002C3ABF">
      <w:pPr>
        <w:spacing w:line="360" w:lineRule="auto"/>
        <w:ind w:left="1" w:right="-85" w:firstLineChars="200" w:firstLine="562"/>
        <w:jc w:val="both"/>
        <w:rPr>
          <w:rFonts w:ascii="Arial" w:eastAsia="仿宋_GB2312" w:hAnsi="Arial" w:cs="Arial"/>
          <w:b/>
          <w:bCs/>
          <w:sz w:val="28"/>
        </w:rPr>
      </w:pPr>
    </w:p>
    <w:p w14:paraId="404868A8" w14:textId="77777777" w:rsidR="002C3ABF" w:rsidRPr="00F631FB" w:rsidRDefault="002C3ABF" w:rsidP="002C3ABF">
      <w:pPr>
        <w:spacing w:line="360" w:lineRule="auto"/>
        <w:jc w:val="both"/>
        <w:outlineLvl w:val="1"/>
        <w:rPr>
          <w:rFonts w:ascii="Arial" w:eastAsia="仿宋_GB2312" w:hAnsi="Arial" w:cs="Arial"/>
          <w:b/>
          <w:bCs/>
          <w:sz w:val="28"/>
        </w:rPr>
      </w:pPr>
      <w:bookmarkStart w:id="17" w:name="_Toc425250303"/>
      <w:bookmarkStart w:id="18" w:name="_Toc416783519"/>
      <w:bookmarkStart w:id="19" w:name="_Toc515261587"/>
      <w:bookmarkStart w:id="20" w:name="_Toc469066303"/>
      <w:bookmarkStart w:id="21" w:name="_Toc418750881"/>
      <w:bookmarkStart w:id="22" w:name="_Toc515458360"/>
      <w:bookmarkStart w:id="23" w:name="_Toc524335057"/>
      <w:bookmarkStart w:id="24" w:name="_Toc69393369"/>
      <w:r w:rsidRPr="00F631FB">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34E3C07C" w14:textId="40F70585" w:rsidR="002C3ABF" w:rsidRPr="00F631FB" w:rsidRDefault="003D6BCC" w:rsidP="002C3ABF">
      <w:pPr>
        <w:snapToGrid w:val="0"/>
        <w:spacing w:line="360" w:lineRule="auto"/>
        <w:ind w:firstLine="556"/>
        <w:jc w:val="both"/>
        <w:rPr>
          <w:rFonts w:ascii="Arial" w:eastAsia="仿宋_GB2312" w:hAnsi="Arial" w:cs="Arial"/>
          <w:sz w:val="28"/>
        </w:rPr>
      </w:pPr>
      <w:r>
        <w:rPr>
          <w:rFonts w:ascii="Arial" w:eastAsia="仿宋_GB2312" w:hAnsi="Arial" w:cs="Arial" w:hint="eastAsia"/>
          <w:sz w:val="28"/>
        </w:rPr>
        <w:t>北京城投地下空间开发建设有限公司</w:t>
      </w:r>
      <w:r w:rsidR="002C3ABF" w:rsidRPr="00F631FB">
        <w:rPr>
          <w:rFonts w:ascii="Arial" w:eastAsia="仿宋_GB2312" w:hAnsi="Arial" w:cs="Arial"/>
          <w:sz w:val="28"/>
        </w:rPr>
        <w:t>向北京市规划和自然资源委员会申请办理</w:t>
      </w:r>
      <w:r w:rsidR="00927BB2" w:rsidRPr="00927BB2">
        <w:rPr>
          <w:rFonts w:ascii="Arial" w:eastAsia="仿宋_GB2312" w:hAnsi="Arial" w:cs="Arial" w:hint="eastAsia"/>
          <w:sz w:val="28"/>
        </w:rPr>
        <w:t>北京市海淀区苏州街站一体化棚户区改造</w:t>
      </w:r>
      <w:r w:rsidR="00927BB2">
        <w:rPr>
          <w:rFonts w:ascii="Arial" w:eastAsia="仿宋_GB2312" w:hAnsi="Arial" w:cs="Arial" w:hint="eastAsia"/>
          <w:sz w:val="28"/>
        </w:rPr>
        <w:t>项目</w:t>
      </w:r>
      <w:r w:rsidR="00927BB2" w:rsidRPr="00927BB2">
        <w:rPr>
          <w:rFonts w:ascii="Arial" w:eastAsia="仿宋_GB2312" w:hAnsi="Arial" w:cs="Arial" w:hint="eastAsia"/>
          <w:sz w:val="28"/>
        </w:rPr>
        <w:t>一次性招标</w:t>
      </w:r>
      <w:r w:rsidR="00927BB2">
        <w:rPr>
          <w:rFonts w:ascii="Arial" w:eastAsia="仿宋_GB2312" w:hAnsi="Arial" w:cs="Arial" w:hint="eastAsia"/>
          <w:sz w:val="28"/>
        </w:rPr>
        <w:t>出让手续</w:t>
      </w:r>
      <w:r w:rsidR="002C3ABF" w:rsidRPr="00F631FB">
        <w:rPr>
          <w:rFonts w:ascii="Arial" w:eastAsia="仿宋_GB2312" w:hAnsi="Arial" w:cs="Arial"/>
          <w:sz w:val="28"/>
          <w:szCs w:val="28"/>
        </w:rPr>
        <w:t>。</w:t>
      </w:r>
      <w:r w:rsidR="002C3ABF" w:rsidRPr="00F631FB">
        <w:rPr>
          <w:rFonts w:ascii="Arial" w:eastAsia="仿宋_GB2312" w:hAnsi="Arial" w:cs="Arial"/>
          <w:sz w:val="28"/>
        </w:rPr>
        <w:t>经北京市规划和自然资源委员会审查，该项目符合北京市国有建设用地使用权</w:t>
      </w:r>
      <w:r w:rsidR="00927BB2" w:rsidRPr="00927BB2">
        <w:rPr>
          <w:rFonts w:ascii="Arial" w:eastAsia="仿宋_GB2312" w:hAnsi="Arial" w:cs="Arial" w:hint="eastAsia"/>
          <w:sz w:val="28"/>
        </w:rPr>
        <w:t>招标</w:t>
      </w:r>
      <w:r w:rsidR="00927BB2">
        <w:rPr>
          <w:rFonts w:ascii="Arial" w:eastAsia="仿宋_GB2312" w:hAnsi="Arial" w:cs="Arial" w:hint="eastAsia"/>
          <w:sz w:val="28"/>
        </w:rPr>
        <w:t>出让</w:t>
      </w:r>
      <w:r w:rsidR="002C3ABF" w:rsidRPr="00F631FB">
        <w:rPr>
          <w:rFonts w:ascii="Arial" w:eastAsia="仿宋_GB2312" w:hAnsi="Arial" w:cs="Arial"/>
          <w:sz w:val="28"/>
        </w:rPr>
        <w:t>的条件，故由</w:t>
      </w:r>
      <w:r w:rsidR="002C3ABF" w:rsidRPr="00F631FB">
        <w:rPr>
          <w:rFonts w:ascii="Arial" w:eastAsia="仿宋_GB2312" w:hAnsi="Arial" w:cs="Arial"/>
          <w:bCs/>
          <w:sz w:val="28"/>
        </w:rPr>
        <w:t>北京市土地利用事务中心</w:t>
      </w:r>
      <w:r w:rsidR="002C3ABF" w:rsidRPr="00F631FB">
        <w:rPr>
          <w:rFonts w:ascii="Arial" w:eastAsia="仿宋_GB2312" w:hAnsi="Arial" w:cs="Arial"/>
          <w:sz w:val="28"/>
        </w:rPr>
        <w:t>委托</w:t>
      </w:r>
      <w:proofErr w:type="gramStart"/>
      <w:r w:rsidR="002C3ABF" w:rsidRPr="00F631FB">
        <w:rPr>
          <w:rFonts w:ascii="Arial" w:eastAsia="仿宋_GB2312" w:hAnsi="Arial" w:cs="Arial"/>
          <w:sz w:val="28"/>
        </w:rPr>
        <w:t>北京康正宏</w:t>
      </w:r>
      <w:proofErr w:type="gramEnd"/>
      <w:r w:rsidR="002C3ABF" w:rsidRPr="00F631FB">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sidR="00927BB2" w:rsidRPr="00927BB2">
        <w:rPr>
          <w:rFonts w:ascii="Arial" w:eastAsia="仿宋_GB2312" w:hAnsi="Arial" w:cs="Arial" w:hint="eastAsia"/>
          <w:sz w:val="28"/>
        </w:rPr>
        <w:t>招标</w:t>
      </w:r>
      <w:r w:rsidR="00927BB2">
        <w:rPr>
          <w:rFonts w:ascii="Arial" w:eastAsia="仿宋_GB2312" w:hAnsi="Arial" w:cs="Arial" w:hint="eastAsia"/>
          <w:sz w:val="28"/>
        </w:rPr>
        <w:t>出让手续</w:t>
      </w:r>
      <w:r w:rsidR="002C3ABF" w:rsidRPr="00F631FB">
        <w:rPr>
          <w:rFonts w:ascii="Arial" w:eastAsia="仿宋_GB2312" w:hAnsi="Arial" w:cs="Arial"/>
          <w:sz w:val="28"/>
        </w:rPr>
        <w:t>提供参考</w:t>
      </w:r>
      <w:r w:rsidR="002C3ABF" w:rsidRPr="00F631FB">
        <w:rPr>
          <w:rFonts w:ascii="Arial" w:eastAsia="仿宋_GB2312" w:hAnsi="Arial" w:cs="Arial" w:hint="eastAsia"/>
          <w:sz w:val="28"/>
        </w:rPr>
        <w:t>依据</w:t>
      </w:r>
      <w:r w:rsidR="002C3ABF" w:rsidRPr="00F631FB">
        <w:rPr>
          <w:rFonts w:ascii="Arial" w:eastAsia="仿宋_GB2312" w:hAnsi="Arial" w:cs="Arial"/>
          <w:sz w:val="28"/>
        </w:rPr>
        <w:t>。</w:t>
      </w:r>
    </w:p>
    <w:p w14:paraId="68D02512" w14:textId="77777777" w:rsidR="0051195E" w:rsidRDefault="0051195E" w:rsidP="002C3ABF">
      <w:pPr>
        <w:spacing w:line="360" w:lineRule="auto"/>
        <w:jc w:val="both"/>
        <w:outlineLvl w:val="1"/>
        <w:rPr>
          <w:rFonts w:ascii="Arial" w:eastAsia="仿宋_GB2312" w:hAnsi="Arial" w:cs="Arial"/>
          <w:b/>
          <w:bCs/>
          <w:sz w:val="28"/>
        </w:rPr>
      </w:pPr>
      <w:bookmarkStart w:id="25" w:name="_Toc515261588"/>
      <w:bookmarkStart w:id="26" w:name="_Toc425250304"/>
      <w:bookmarkStart w:id="27" w:name="_Toc418750882"/>
      <w:bookmarkStart w:id="28" w:name="_Toc515458361"/>
      <w:bookmarkStart w:id="29" w:name="_Toc469066304"/>
      <w:bookmarkStart w:id="30" w:name="_Toc416783520"/>
      <w:bookmarkStart w:id="31" w:name="_Toc524335058"/>
      <w:bookmarkStart w:id="32" w:name="_Toc69393370"/>
    </w:p>
    <w:p w14:paraId="0AFE31F6" w14:textId="5B7BD9CA" w:rsidR="002C3ABF" w:rsidRPr="00F631FB" w:rsidRDefault="002C3ABF" w:rsidP="002C3ABF">
      <w:pPr>
        <w:spacing w:line="360" w:lineRule="auto"/>
        <w:jc w:val="both"/>
        <w:outlineLvl w:val="1"/>
        <w:rPr>
          <w:rFonts w:ascii="Arial" w:eastAsia="仿宋_GB2312" w:hAnsi="Arial" w:cs="Arial"/>
          <w:b/>
          <w:bCs/>
          <w:sz w:val="28"/>
        </w:rPr>
      </w:pPr>
      <w:r w:rsidRPr="00F631FB">
        <w:rPr>
          <w:rFonts w:ascii="Arial" w:eastAsia="仿宋_GB2312" w:hAnsi="Arial" w:cs="Arial"/>
          <w:b/>
          <w:bCs/>
          <w:sz w:val="28"/>
        </w:rPr>
        <w:t>四、估价期日</w:t>
      </w:r>
      <w:bookmarkEnd w:id="25"/>
      <w:bookmarkEnd w:id="26"/>
      <w:bookmarkEnd w:id="27"/>
      <w:bookmarkEnd w:id="28"/>
      <w:bookmarkEnd w:id="29"/>
      <w:bookmarkEnd w:id="30"/>
      <w:bookmarkEnd w:id="31"/>
      <w:bookmarkEnd w:id="32"/>
    </w:p>
    <w:p w14:paraId="54CF5706" w14:textId="1583A2ED"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2021</w:t>
      </w:r>
      <w:r w:rsidRPr="00F631FB">
        <w:rPr>
          <w:rFonts w:ascii="Arial" w:eastAsia="仿宋_GB2312" w:hAnsi="Arial" w:cs="Arial"/>
          <w:sz w:val="28"/>
        </w:rPr>
        <w:t>年</w:t>
      </w:r>
      <w:r w:rsidR="00927BB2">
        <w:rPr>
          <w:rFonts w:ascii="Arial" w:eastAsia="仿宋_GB2312" w:hAnsi="Arial" w:cs="Arial"/>
          <w:sz w:val="28"/>
        </w:rPr>
        <w:t>10</w:t>
      </w:r>
      <w:r w:rsidRPr="00F631FB">
        <w:rPr>
          <w:rFonts w:ascii="Arial" w:eastAsia="仿宋_GB2312" w:hAnsi="Arial" w:cs="Arial"/>
          <w:sz w:val="28"/>
        </w:rPr>
        <w:t>月</w:t>
      </w:r>
      <w:r w:rsidRPr="00F631FB">
        <w:rPr>
          <w:rFonts w:ascii="Arial" w:eastAsia="仿宋_GB2312" w:hAnsi="Arial" w:cs="Arial"/>
          <w:sz w:val="28"/>
        </w:rPr>
        <w:t>1</w:t>
      </w:r>
      <w:r w:rsidR="00927BB2">
        <w:rPr>
          <w:rFonts w:ascii="Arial" w:eastAsia="仿宋_GB2312" w:hAnsi="Arial" w:cs="Arial"/>
          <w:sz w:val="28"/>
        </w:rPr>
        <w:t>5</w:t>
      </w:r>
      <w:r w:rsidRPr="00F631FB">
        <w:rPr>
          <w:rFonts w:ascii="Arial" w:eastAsia="仿宋_GB2312" w:hAnsi="Arial" w:cs="Arial"/>
          <w:sz w:val="28"/>
        </w:rPr>
        <w:t>日（</w:t>
      </w:r>
      <w:r w:rsidRPr="00F631FB">
        <w:rPr>
          <w:rFonts w:ascii="Arial" w:eastAsia="仿宋_GB2312" w:hAnsi="Arial" w:cs="Arial"/>
          <w:sz w:val="28"/>
          <w:szCs w:val="28"/>
        </w:rPr>
        <w:t>根据《国有建设用地使用权出让地价评估委托书》确定</w:t>
      </w:r>
      <w:r w:rsidRPr="00F631FB">
        <w:rPr>
          <w:rFonts w:ascii="Arial" w:eastAsia="仿宋_GB2312" w:hAnsi="Arial" w:cs="Arial"/>
          <w:sz w:val="28"/>
        </w:rPr>
        <w:t>）</w:t>
      </w:r>
    </w:p>
    <w:p w14:paraId="314A64E9" w14:textId="47BCD562" w:rsidR="002C3ABF" w:rsidRDefault="002C3ABF" w:rsidP="002C3ABF">
      <w:pPr>
        <w:spacing w:line="360" w:lineRule="auto"/>
        <w:ind w:firstLineChars="200" w:firstLine="560"/>
        <w:jc w:val="both"/>
        <w:rPr>
          <w:rFonts w:ascii="Arial" w:eastAsia="仿宋_GB2312" w:hAnsi="Arial" w:cs="Arial"/>
          <w:sz w:val="28"/>
        </w:rPr>
      </w:pPr>
    </w:p>
    <w:p w14:paraId="3252F95A" w14:textId="77777777" w:rsidR="00831261" w:rsidRPr="00F631FB" w:rsidRDefault="00831261" w:rsidP="002C3ABF">
      <w:pPr>
        <w:spacing w:line="360" w:lineRule="auto"/>
        <w:ind w:firstLineChars="200" w:firstLine="560"/>
        <w:jc w:val="both"/>
        <w:rPr>
          <w:rFonts w:ascii="Arial" w:eastAsia="仿宋_GB2312" w:hAnsi="Arial" w:cs="Arial"/>
          <w:sz w:val="28"/>
        </w:rPr>
      </w:pPr>
    </w:p>
    <w:p w14:paraId="0E0E0F6C" w14:textId="77777777" w:rsidR="002C3ABF" w:rsidRPr="00F631FB" w:rsidRDefault="002C3ABF" w:rsidP="002C3ABF">
      <w:pPr>
        <w:tabs>
          <w:tab w:val="left" w:pos="6957"/>
        </w:tabs>
        <w:spacing w:line="360" w:lineRule="auto"/>
        <w:jc w:val="both"/>
        <w:outlineLvl w:val="1"/>
        <w:rPr>
          <w:rFonts w:ascii="Arial" w:eastAsia="仿宋_GB2312" w:hAnsi="Arial" w:cs="Arial"/>
          <w:b/>
          <w:bCs/>
          <w:sz w:val="28"/>
        </w:rPr>
      </w:pPr>
      <w:bookmarkStart w:id="33" w:name="_Toc469066305"/>
      <w:bookmarkStart w:id="34" w:name="_Toc425250305"/>
      <w:bookmarkStart w:id="35" w:name="_Toc515261589"/>
      <w:bookmarkStart w:id="36" w:name="_Toc418750883"/>
      <w:bookmarkStart w:id="37" w:name="_Toc416783521"/>
      <w:bookmarkStart w:id="38" w:name="_Toc515458362"/>
      <w:bookmarkStart w:id="39" w:name="_Toc524335059"/>
      <w:bookmarkStart w:id="40" w:name="_Toc69393371"/>
      <w:r w:rsidRPr="00F631FB">
        <w:rPr>
          <w:rFonts w:ascii="Arial" w:eastAsia="仿宋_GB2312" w:hAnsi="Arial" w:cs="Arial"/>
          <w:b/>
          <w:bCs/>
          <w:sz w:val="28"/>
        </w:rPr>
        <w:lastRenderedPageBreak/>
        <w:t>五、估价日期</w:t>
      </w:r>
      <w:bookmarkEnd w:id="33"/>
      <w:bookmarkEnd w:id="34"/>
      <w:bookmarkEnd w:id="35"/>
      <w:bookmarkEnd w:id="36"/>
      <w:bookmarkEnd w:id="37"/>
      <w:bookmarkEnd w:id="38"/>
      <w:bookmarkEnd w:id="39"/>
      <w:bookmarkEnd w:id="40"/>
      <w:r w:rsidRPr="00F631FB">
        <w:rPr>
          <w:rFonts w:ascii="Arial" w:eastAsia="仿宋_GB2312" w:hAnsi="Arial" w:cs="Arial"/>
          <w:b/>
          <w:bCs/>
          <w:sz w:val="28"/>
        </w:rPr>
        <w:tab/>
      </w:r>
    </w:p>
    <w:p w14:paraId="4C724E5E" w14:textId="422C112F" w:rsidR="002C3ABF" w:rsidRPr="00F631FB" w:rsidRDefault="00831261"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29</w:t>
      </w:r>
      <w:r>
        <w:rPr>
          <w:rFonts w:ascii="Arial" w:eastAsia="仿宋_GB2312" w:hAnsi="Arial" w:cs="Arial"/>
          <w:sz w:val="28"/>
        </w:rPr>
        <w:t>日</w:t>
      </w:r>
      <w:r w:rsidR="002C3ABF" w:rsidRPr="00F631FB">
        <w:rPr>
          <w:rFonts w:ascii="Arial" w:eastAsia="仿宋_GB2312" w:hAnsi="Arial" w:cs="Arial"/>
          <w:sz w:val="28"/>
        </w:rPr>
        <w:t>至</w:t>
      </w:r>
      <w:bookmarkStart w:id="41" w:name="_Toc425250306"/>
      <w:bookmarkStart w:id="42" w:name="_Toc416783522"/>
      <w:bookmarkStart w:id="43" w:name="_Toc469066306"/>
      <w:bookmarkStart w:id="44" w:name="_Toc418750884"/>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12</w:t>
      </w:r>
      <w:r>
        <w:rPr>
          <w:rFonts w:ascii="Arial" w:eastAsia="仿宋_GB2312" w:hAnsi="Arial" w:cs="Arial"/>
          <w:sz w:val="28"/>
        </w:rPr>
        <w:t>月</w:t>
      </w:r>
      <w:r>
        <w:rPr>
          <w:rFonts w:ascii="Arial" w:eastAsia="仿宋_GB2312" w:hAnsi="Arial" w:cs="Arial"/>
          <w:sz w:val="28"/>
        </w:rPr>
        <w:t>1</w:t>
      </w:r>
      <w:r>
        <w:rPr>
          <w:rFonts w:ascii="Arial" w:eastAsia="仿宋_GB2312" w:hAnsi="Arial" w:cs="Arial"/>
          <w:sz w:val="28"/>
        </w:rPr>
        <w:t>日</w:t>
      </w:r>
    </w:p>
    <w:p w14:paraId="58354576" w14:textId="77777777" w:rsidR="002C3ABF" w:rsidRPr="00F631FB" w:rsidRDefault="002C3ABF" w:rsidP="002C3ABF">
      <w:pPr>
        <w:spacing w:line="360" w:lineRule="auto"/>
        <w:ind w:firstLineChars="200" w:firstLine="560"/>
        <w:jc w:val="both"/>
        <w:rPr>
          <w:rFonts w:ascii="Arial" w:eastAsia="仿宋_GB2312" w:hAnsi="Arial" w:cs="Arial"/>
          <w:sz w:val="28"/>
        </w:rPr>
      </w:pPr>
    </w:p>
    <w:p w14:paraId="0EB6AD7E" w14:textId="77777777" w:rsidR="002C3ABF" w:rsidRPr="00F631FB" w:rsidRDefault="002C3ABF" w:rsidP="002C3ABF">
      <w:pPr>
        <w:tabs>
          <w:tab w:val="left" w:pos="6957"/>
        </w:tabs>
        <w:spacing w:line="360" w:lineRule="auto"/>
        <w:jc w:val="both"/>
        <w:outlineLvl w:val="1"/>
        <w:rPr>
          <w:rFonts w:ascii="Arial" w:eastAsia="仿宋_GB2312" w:hAnsi="Arial" w:cs="Arial"/>
          <w:b/>
          <w:bCs/>
          <w:sz w:val="28"/>
        </w:rPr>
      </w:pPr>
      <w:bookmarkStart w:id="45" w:name="_Toc524335060"/>
      <w:bookmarkStart w:id="46" w:name="_Toc69393372"/>
      <w:r w:rsidRPr="00F631FB">
        <w:rPr>
          <w:rFonts w:ascii="Arial" w:eastAsia="仿宋_GB2312" w:hAnsi="Arial" w:cs="Arial"/>
          <w:b/>
          <w:bCs/>
          <w:sz w:val="28"/>
        </w:rPr>
        <w:t>六、地价定义</w:t>
      </w:r>
      <w:bookmarkEnd w:id="41"/>
      <w:bookmarkEnd w:id="42"/>
      <w:bookmarkEnd w:id="43"/>
      <w:bookmarkEnd w:id="44"/>
      <w:bookmarkEnd w:id="45"/>
      <w:bookmarkEnd w:id="46"/>
    </w:p>
    <w:p w14:paraId="0780C9FD" w14:textId="77777777" w:rsidR="0020403B" w:rsidRDefault="0020403B" w:rsidP="0020403B">
      <w:pPr>
        <w:snapToGrid w:val="0"/>
        <w:spacing w:line="360" w:lineRule="auto"/>
        <w:ind w:firstLine="556"/>
        <w:jc w:val="both"/>
        <w:rPr>
          <w:rFonts w:ascii="Arial" w:eastAsia="仿宋_GB2312" w:hAnsi="Arial" w:cs="Arial"/>
          <w:sz w:val="28"/>
        </w:rPr>
      </w:pPr>
      <w:r>
        <w:rPr>
          <w:rFonts w:ascii="Arial" w:eastAsia="仿宋_GB2312" w:hAnsi="Arial" w:cs="Arial" w:hint="eastAsia"/>
          <w:sz w:val="28"/>
        </w:rPr>
        <w:t>核定本项目应该缴纳的地价款，需评估估价对象的熟地价（</w:t>
      </w:r>
      <w:r>
        <w:rPr>
          <w:rFonts w:ascii="Arial" w:eastAsia="仿宋_GB2312" w:hAnsi="Arial" w:cs="Arial" w:hint="eastAsia"/>
          <w:sz w:val="28"/>
          <w:szCs w:val="28"/>
        </w:rPr>
        <w:t>正常市场价格</w:t>
      </w:r>
      <w:r>
        <w:rPr>
          <w:rFonts w:ascii="Arial" w:eastAsia="仿宋_GB2312" w:hAnsi="Arial" w:cs="Arial" w:hint="eastAsia"/>
          <w:sz w:val="28"/>
        </w:rPr>
        <w:t>）、</w:t>
      </w:r>
      <w:r>
        <w:rPr>
          <w:rFonts w:ascii="Arial" w:eastAsia="仿宋_GB2312" w:hAnsi="Arial" w:cs="Arial" w:hint="eastAsia"/>
          <w:sz w:val="28"/>
          <w:szCs w:val="28"/>
        </w:rPr>
        <w:t>政府土地出让收益、土地开发总成本。</w:t>
      </w:r>
    </w:p>
    <w:p w14:paraId="72D1B531" w14:textId="77777777" w:rsidR="0020403B" w:rsidRDefault="0020403B" w:rsidP="0020403B">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（一）</w:t>
      </w:r>
      <w:r>
        <w:rPr>
          <w:rFonts w:ascii="Arial" w:eastAsia="仿宋_GB2312" w:hAnsi="Arial" w:cs="Arial" w:hint="eastAsia"/>
          <w:sz w:val="28"/>
        </w:rPr>
        <w:t>熟地价（</w:t>
      </w:r>
      <w:r>
        <w:rPr>
          <w:rFonts w:ascii="Arial" w:eastAsia="仿宋_GB2312" w:hAnsi="Arial" w:cs="Arial" w:hint="eastAsia"/>
          <w:sz w:val="28"/>
          <w:szCs w:val="28"/>
        </w:rPr>
        <w:t>正常市场价格</w:t>
      </w:r>
      <w:r>
        <w:rPr>
          <w:rFonts w:ascii="Arial" w:eastAsia="仿宋_GB2312" w:hAnsi="Arial" w:cs="Arial" w:hint="eastAsia"/>
          <w:sz w:val="28"/>
        </w:rPr>
        <w:t>）</w:t>
      </w:r>
    </w:p>
    <w:p w14:paraId="7221012C" w14:textId="77777777" w:rsidR="0020403B" w:rsidRDefault="0020403B" w:rsidP="0020403B">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出让土地正常市场价格为设定开发建设条件下的完整国有建设用地使用权价格（即熟地价），对有关事项做出的设定及地价内涵如下：</w:t>
      </w:r>
    </w:p>
    <w:p w14:paraId="7736F63C" w14:textId="77777777" w:rsidR="0020403B" w:rsidRDefault="0020403B" w:rsidP="0020403B">
      <w:pPr>
        <w:pStyle w:val="ae"/>
        <w:numPr>
          <w:ilvl w:val="0"/>
          <w:numId w:val="38"/>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土地用途设定：</w:t>
      </w:r>
    </w:p>
    <w:p w14:paraId="12914260" w14:textId="77777777" w:rsidR="0020403B" w:rsidRDefault="0020403B" w:rsidP="0020403B">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及其附图复印件、《土地权属审查告知书》</w:t>
      </w:r>
      <w:r>
        <w:rPr>
          <w:rFonts w:ascii="Arial" w:eastAsia="仿宋_GB2312" w:hAnsi="Arial" w:cs="Arial"/>
          <w:sz w:val="28"/>
        </w:rPr>
        <w:t>[</w:t>
      </w:r>
      <w:r>
        <w:rPr>
          <w:rFonts w:ascii="Arial" w:eastAsia="仿宋_GB2312" w:hAnsi="Arial" w:cs="Arial" w:hint="eastAsia"/>
          <w:sz w:val="28"/>
        </w:rPr>
        <w:t>编号：海权属审（</w:t>
      </w:r>
      <w:r>
        <w:rPr>
          <w:rFonts w:ascii="Arial" w:eastAsia="仿宋_GB2312" w:hAnsi="Arial" w:cs="Arial"/>
          <w:sz w:val="28"/>
        </w:rPr>
        <w:t>2021</w:t>
      </w:r>
      <w:r>
        <w:rPr>
          <w:rFonts w:ascii="Arial" w:eastAsia="仿宋_GB2312" w:hAnsi="Arial" w:cs="Arial" w:hint="eastAsia"/>
          <w:sz w:val="28"/>
        </w:rPr>
        <w:t>）字第</w:t>
      </w:r>
      <w:r>
        <w:rPr>
          <w:rFonts w:ascii="Arial" w:eastAsia="仿宋_GB2312" w:hAnsi="Arial" w:cs="Arial"/>
          <w:sz w:val="28"/>
        </w:rPr>
        <w:t>1268</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及其附表附图复印件</w:t>
      </w:r>
      <w:r>
        <w:rPr>
          <w:rFonts w:ascii="Arial" w:eastAsia="仿宋_GB2312" w:hAnsi="Arial" w:cs="Arial" w:hint="eastAsia"/>
          <w:sz w:val="28"/>
          <w:szCs w:val="28"/>
        </w:rPr>
        <w:t>，</w:t>
      </w:r>
      <w:r>
        <w:rPr>
          <w:rFonts w:ascii="Arial" w:eastAsia="仿宋_GB2312" w:hAnsi="Arial" w:cs="Arial" w:hint="eastAsia"/>
          <w:sz w:val="28"/>
        </w:rPr>
        <w:t>北京市海淀区苏州街站一体化棚户区改造一次性招标项目</w:t>
      </w:r>
      <w:r>
        <w:rPr>
          <w:rFonts w:ascii="Arial" w:eastAsia="仿宋_GB2312" w:hAnsi="Arial" w:cs="Arial" w:hint="eastAsia"/>
          <w:sz w:val="28"/>
          <w:szCs w:val="28"/>
        </w:rPr>
        <w:t>规划用途为</w:t>
      </w:r>
      <w:r>
        <w:rPr>
          <w:rFonts w:ascii="Arial" w:eastAsia="仿宋_GB2312" w:hAnsi="Arial" w:cs="Arial"/>
          <w:sz w:val="28"/>
          <w:szCs w:val="28"/>
        </w:rPr>
        <w:t>R2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r>
        <w:rPr>
          <w:rFonts w:ascii="Arial" w:eastAsia="仿宋_GB2312" w:hAnsi="Arial" w:cs="Arial"/>
          <w:sz w:val="28"/>
          <w:szCs w:val="28"/>
        </w:rPr>
        <w:t xml:space="preserve"> </w:t>
      </w:r>
    </w:p>
    <w:p w14:paraId="69AC29F9" w14:textId="77777777" w:rsidR="0020403B" w:rsidRDefault="0020403B" w:rsidP="0020403B">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及其附件复印件、《海淀区苏州街一体化棚户区改造项目建筑面积及用途的说明》及其附表，以及委托估价方在《国有建设用地使用权出让地价评估委托书》中明确，估价对象土地用途为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GB/T21010-2007</w:t>
      </w:r>
      <w:r>
        <w:rPr>
          <w:rFonts w:ascii="Arial" w:eastAsia="仿宋_GB2312" w:hAnsi="Arial" w:cs="Arial"/>
          <w:sz w:val="28"/>
          <w:szCs w:val="28"/>
        </w:rPr>
        <w:t>]</w:t>
      </w:r>
      <w:r>
        <w:rPr>
          <w:rFonts w:ascii="Arial" w:eastAsia="仿宋_GB2312" w:hAnsi="Arial" w:cs="Arial" w:hint="eastAsia"/>
          <w:sz w:val="28"/>
        </w:rPr>
        <w:t>、《北京市关于更新出让国有建设用地使用权基准地价的通知》</w:t>
      </w:r>
      <w:r>
        <w:rPr>
          <w:rFonts w:ascii="Arial" w:eastAsia="仿宋_GB2312" w:hAnsi="Arial" w:cs="Arial"/>
          <w:sz w:val="28"/>
          <w:szCs w:val="28"/>
        </w:rPr>
        <w:t>[</w:t>
      </w:r>
      <w:r>
        <w:rPr>
          <w:rFonts w:ascii="Arial" w:eastAsia="仿宋_GB2312" w:hAnsi="Arial" w:cs="Arial" w:hint="eastAsia"/>
          <w:sz w:val="28"/>
        </w:rPr>
        <w:t>京政发（</w:t>
      </w:r>
      <w:r>
        <w:rPr>
          <w:rFonts w:ascii="Arial" w:eastAsia="仿宋_GB2312" w:hAnsi="Arial" w:cs="Arial"/>
          <w:sz w:val="28"/>
        </w:rPr>
        <w:t>2014</w:t>
      </w:r>
      <w:r>
        <w:rPr>
          <w:rFonts w:ascii="Arial" w:eastAsia="仿宋_GB2312" w:hAnsi="Arial" w:cs="Arial" w:hint="eastAsia"/>
          <w:sz w:val="28"/>
        </w:rPr>
        <w:t>）</w:t>
      </w:r>
      <w:r>
        <w:rPr>
          <w:rFonts w:ascii="Arial" w:eastAsia="仿宋_GB2312" w:hAnsi="Arial" w:cs="Arial"/>
          <w:sz w:val="28"/>
        </w:rPr>
        <w:t>26</w:t>
      </w:r>
      <w:r>
        <w:rPr>
          <w:rFonts w:ascii="Arial" w:eastAsia="仿宋_GB2312" w:hAnsi="Arial" w:cs="Arial" w:hint="eastAsia"/>
          <w:sz w:val="28"/>
        </w:rPr>
        <w:t>号</w:t>
      </w:r>
      <w:r>
        <w:rPr>
          <w:rFonts w:ascii="Arial" w:eastAsia="仿宋_GB2312" w:hAnsi="Arial" w:cs="Arial"/>
          <w:sz w:val="28"/>
          <w:szCs w:val="28"/>
        </w:rPr>
        <w:t>]</w:t>
      </w:r>
      <w:r>
        <w:rPr>
          <w:rFonts w:ascii="Arial" w:eastAsia="仿宋_GB2312" w:hAnsi="Arial" w:cs="Arial" w:hint="eastAsia"/>
          <w:sz w:val="28"/>
          <w:szCs w:val="28"/>
        </w:rPr>
        <w:t>内容</w:t>
      </w:r>
      <w:r>
        <w:rPr>
          <w:rFonts w:ascii="Arial" w:eastAsia="仿宋_GB2312" w:hAnsi="Arial" w:cs="Arial" w:hint="eastAsia"/>
          <w:sz w:val="28"/>
        </w:rPr>
        <w:t>，此次</w:t>
      </w:r>
      <w:r>
        <w:rPr>
          <w:rFonts w:ascii="Arial" w:eastAsia="仿宋_GB2312" w:hAnsi="Arial" w:cs="Arial" w:hint="eastAsia"/>
          <w:sz w:val="28"/>
        </w:rPr>
        <w:lastRenderedPageBreak/>
        <w:t>估价设定估价对象用途为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w:t>
      </w:r>
    </w:p>
    <w:p w14:paraId="0CD33224" w14:textId="77777777" w:rsidR="0020403B" w:rsidRDefault="0020403B" w:rsidP="0020403B">
      <w:pPr>
        <w:pStyle w:val="ae"/>
        <w:numPr>
          <w:ilvl w:val="0"/>
          <w:numId w:val="38"/>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土地使用权类型：</w:t>
      </w:r>
    </w:p>
    <w:p w14:paraId="1D374C26" w14:textId="77777777" w:rsidR="0020403B" w:rsidRDefault="0020403B" w:rsidP="0020403B">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及其附件、《土地权属审查告知书》</w:t>
      </w:r>
      <w:r>
        <w:rPr>
          <w:rFonts w:ascii="Arial" w:eastAsia="仿宋_GB2312" w:hAnsi="Arial" w:cs="Arial"/>
          <w:sz w:val="28"/>
        </w:rPr>
        <w:t>[</w:t>
      </w:r>
      <w:r>
        <w:rPr>
          <w:rFonts w:ascii="Arial" w:eastAsia="仿宋_GB2312" w:hAnsi="Arial" w:cs="Arial" w:hint="eastAsia"/>
          <w:sz w:val="28"/>
        </w:rPr>
        <w:t>编号：海权属审（</w:t>
      </w:r>
      <w:r>
        <w:rPr>
          <w:rFonts w:ascii="Arial" w:eastAsia="仿宋_GB2312" w:hAnsi="Arial" w:cs="Arial"/>
          <w:sz w:val="28"/>
        </w:rPr>
        <w:t>2021</w:t>
      </w:r>
      <w:r>
        <w:rPr>
          <w:rFonts w:ascii="Arial" w:eastAsia="仿宋_GB2312" w:hAnsi="Arial" w:cs="Arial" w:hint="eastAsia"/>
          <w:sz w:val="28"/>
        </w:rPr>
        <w:t>）字第</w:t>
      </w:r>
      <w:r>
        <w:rPr>
          <w:rFonts w:ascii="Arial" w:eastAsia="仿宋_GB2312" w:hAnsi="Arial" w:cs="Arial"/>
          <w:sz w:val="28"/>
        </w:rPr>
        <w:t>1268</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及其附表附图及《国有建设用地使用权出让地价评估委托书》，本次评估是为北京市规划和自然资源委员会办理该项目一次性招标出让手续提供参考依据，结合</w:t>
      </w:r>
      <w:r>
        <w:rPr>
          <w:rFonts w:ascii="Arial" w:eastAsia="仿宋_GB2312" w:hAnsi="Arial" w:cs="Arial" w:hint="eastAsia"/>
          <w:sz w:val="28"/>
          <w:szCs w:val="28"/>
        </w:rPr>
        <w:t>估价目的，设定估价对象土地使用权类型为出让。</w:t>
      </w:r>
      <w:r>
        <w:rPr>
          <w:rFonts w:ascii="Arial" w:eastAsia="仿宋_GB2312" w:hAnsi="Arial" w:cs="Arial"/>
          <w:sz w:val="28"/>
          <w:szCs w:val="28"/>
        </w:rPr>
        <w:t xml:space="preserve">    </w:t>
      </w:r>
    </w:p>
    <w:p w14:paraId="6D7102B4" w14:textId="77777777" w:rsidR="0020403B" w:rsidRDefault="0020403B" w:rsidP="0020403B">
      <w:pPr>
        <w:pStyle w:val="ae"/>
        <w:numPr>
          <w:ilvl w:val="0"/>
          <w:numId w:val="38"/>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土地开发程度设定：</w:t>
      </w:r>
    </w:p>
    <w:p w14:paraId="2381965F" w14:textId="77777777" w:rsidR="0020403B" w:rsidRDefault="0020403B" w:rsidP="0020403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根据《海淀区苏州街站一体化棚户区改造项目前期工作及拟改造土地使用权一次性招标方案》及其附件，要求市政基础设施条件最终达到“七通”（</w:t>
      </w:r>
      <w:r>
        <w:rPr>
          <w:rFonts w:ascii="Arial" w:eastAsia="仿宋_GB2312" w:hAnsi="Arial" w:cs="Arial" w:hint="eastAsia"/>
          <w:sz w:val="28"/>
          <w:szCs w:val="28"/>
        </w:rPr>
        <w:t>即通路、通电（管沟和电缆）、通讯、通上水（自来水、中水）、通下水（雨水、污水）、通燃气、通热</w:t>
      </w:r>
      <w:r>
        <w:rPr>
          <w:rFonts w:ascii="Arial" w:eastAsia="仿宋_GB2312" w:hAnsi="Arial" w:cs="Arial" w:hint="eastAsia"/>
          <w:sz w:val="28"/>
        </w:rPr>
        <w:t>），截至价值时点，</w:t>
      </w:r>
      <w:r>
        <w:rPr>
          <w:rFonts w:ascii="Arial" w:eastAsia="仿宋_GB2312" w:hAnsi="Arial" w:cs="Arial" w:hint="eastAsia"/>
          <w:sz w:val="28"/>
          <w:szCs w:val="28"/>
        </w:rPr>
        <w:t>宗地内建筑物正在进行结构施工。</w:t>
      </w:r>
      <w:r>
        <w:rPr>
          <w:rFonts w:ascii="Arial" w:eastAsia="仿宋_GB2312" w:hAnsi="Arial" w:cs="Arial" w:hint="eastAsia"/>
          <w:sz w:val="28"/>
        </w:rPr>
        <w:t>本次评估是为北京市规划和自然资源委员会办理该项目一次性招标出让手续提供参考依据，结合</w:t>
      </w:r>
      <w:r>
        <w:rPr>
          <w:rFonts w:ascii="Arial" w:eastAsia="仿宋_GB2312" w:hAnsi="Arial" w:cs="Arial" w:hint="eastAsia"/>
          <w:sz w:val="28"/>
          <w:szCs w:val="28"/>
        </w:rPr>
        <w:t>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七通</w:t>
      </w:r>
      <w:r>
        <w:rPr>
          <w:rFonts w:ascii="Arial" w:eastAsia="仿宋_GB2312" w:hAnsi="Arial" w:cs="Arial"/>
          <w:sz w:val="28"/>
          <w:szCs w:val="28"/>
        </w:rPr>
        <w:t>”</w:t>
      </w:r>
      <w:r>
        <w:rPr>
          <w:rFonts w:ascii="Arial" w:eastAsia="仿宋_GB2312" w:hAnsi="Arial" w:cs="Arial" w:hint="eastAsia"/>
          <w:sz w:val="28"/>
          <w:szCs w:val="28"/>
        </w:rPr>
        <w:t>（即通路、通电（管沟和电缆）、通讯、通上水（自来水、中水）、通下水（雨水、污水）、通燃气、通热），宗地内</w:t>
      </w:r>
      <w:r>
        <w:rPr>
          <w:rFonts w:ascii="Arial" w:eastAsia="仿宋_GB2312" w:hAnsi="Arial" w:cs="Arial"/>
          <w:sz w:val="28"/>
          <w:szCs w:val="28"/>
        </w:rPr>
        <w:t>“</w:t>
      </w:r>
      <w:r>
        <w:rPr>
          <w:rFonts w:ascii="Arial" w:eastAsia="仿宋_GB2312" w:hAnsi="Arial" w:cs="Arial" w:hint="eastAsia"/>
          <w:sz w:val="28"/>
          <w:szCs w:val="28"/>
        </w:rPr>
        <w:t>场地平整</w:t>
      </w:r>
      <w:r>
        <w:rPr>
          <w:rFonts w:ascii="Arial" w:eastAsia="仿宋_GB2312" w:hAnsi="Arial" w:cs="Arial"/>
          <w:sz w:val="28"/>
          <w:szCs w:val="28"/>
        </w:rPr>
        <w:t>”</w:t>
      </w:r>
      <w:r>
        <w:rPr>
          <w:rFonts w:ascii="Arial" w:eastAsia="仿宋_GB2312" w:hAnsi="Arial" w:cs="Arial" w:hint="eastAsia"/>
          <w:sz w:val="28"/>
          <w:szCs w:val="28"/>
        </w:rPr>
        <w:t>。</w:t>
      </w:r>
    </w:p>
    <w:p w14:paraId="3D729267" w14:textId="77777777" w:rsidR="0020403B" w:rsidRDefault="0020403B" w:rsidP="0020403B">
      <w:pPr>
        <w:pStyle w:val="ae"/>
        <w:numPr>
          <w:ilvl w:val="0"/>
          <w:numId w:val="38"/>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土地使用权年限设定：</w:t>
      </w:r>
    </w:p>
    <w:p w14:paraId="6F6755BA" w14:textId="77777777" w:rsidR="0020403B" w:rsidRDefault="0020403B" w:rsidP="0020403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w:t>
      </w:r>
      <w:r>
        <w:rPr>
          <w:rFonts w:ascii="Arial" w:eastAsia="仿宋_GB2312" w:hAnsi="Arial" w:cs="Arial" w:hint="eastAsia"/>
          <w:sz w:val="28"/>
          <w:szCs w:val="28"/>
        </w:rPr>
        <w:t>考虑到本次估价目的，根据《中华人民共和国城镇国有土地使用权出让和转让暂行条例》</w:t>
      </w:r>
      <w:r>
        <w:rPr>
          <w:rFonts w:ascii="Arial" w:eastAsia="仿宋_GB2312" w:hAnsi="Arial" w:cs="Arial"/>
          <w:sz w:val="28"/>
          <w:szCs w:val="28"/>
        </w:rPr>
        <w:t>[</w:t>
      </w:r>
      <w:r>
        <w:rPr>
          <w:rFonts w:ascii="Arial" w:eastAsia="仿宋_GB2312" w:hAnsi="Arial" w:cs="Arial" w:hint="eastAsia"/>
          <w:sz w:val="28"/>
          <w:szCs w:val="28"/>
        </w:rPr>
        <w:t>国务院令第</w:t>
      </w:r>
      <w:r>
        <w:rPr>
          <w:rFonts w:ascii="Arial" w:eastAsia="仿宋_GB2312" w:hAnsi="Arial" w:cs="Arial"/>
          <w:sz w:val="28"/>
          <w:szCs w:val="28"/>
        </w:rPr>
        <w:t>55</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的有关规定，本次评估设定土地使用年限为居住用途法定最高使用年限</w:t>
      </w:r>
      <w:r>
        <w:rPr>
          <w:rFonts w:ascii="Arial" w:eastAsia="仿宋_GB2312" w:hAnsi="Arial" w:cs="Arial"/>
          <w:sz w:val="28"/>
          <w:szCs w:val="28"/>
        </w:rPr>
        <w:t>70</w:t>
      </w:r>
      <w:r>
        <w:rPr>
          <w:rFonts w:ascii="Arial" w:eastAsia="仿宋_GB2312" w:hAnsi="Arial" w:cs="Arial" w:hint="eastAsia"/>
          <w:sz w:val="28"/>
          <w:szCs w:val="28"/>
        </w:rPr>
        <w:t>年、商业用途法定最高使用年限</w:t>
      </w:r>
      <w:r>
        <w:rPr>
          <w:rFonts w:ascii="Arial" w:eastAsia="仿宋_GB2312" w:hAnsi="Arial" w:cs="Arial"/>
          <w:sz w:val="28"/>
          <w:szCs w:val="28"/>
        </w:rPr>
        <w:lastRenderedPageBreak/>
        <w:t>40</w:t>
      </w:r>
      <w:r>
        <w:rPr>
          <w:rFonts w:ascii="Arial" w:eastAsia="仿宋_GB2312" w:hAnsi="Arial" w:cs="Arial" w:hint="eastAsia"/>
          <w:sz w:val="28"/>
          <w:szCs w:val="28"/>
        </w:rPr>
        <w:t>年、办公用途法定最高使用年限</w:t>
      </w:r>
      <w:r>
        <w:rPr>
          <w:rFonts w:ascii="Arial" w:eastAsia="仿宋_GB2312" w:hAnsi="Arial" w:cs="Arial"/>
          <w:sz w:val="28"/>
          <w:szCs w:val="28"/>
        </w:rPr>
        <w:t>50</w:t>
      </w:r>
      <w:r>
        <w:rPr>
          <w:rFonts w:ascii="Arial" w:eastAsia="仿宋_GB2312" w:hAnsi="Arial" w:cs="Arial" w:hint="eastAsia"/>
          <w:sz w:val="28"/>
          <w:szCs w:val="28"/>
        </w:rPr>
        <w:t>年、地下办公用途法定最高使用年限</w:t>
      </w:r>
      <w:r>
        <w:rPr>
          <w:rFonts w:ascii="Arial" w:eastAsia="仿宋_GB2312" w:hAnsi="Arial" w:cs="Arial"/>
          <w:sz w:val="28"/>
          <w:szCs w:val="28"/>
        </w:rPr>
        <w:t>50</w:t>
      </w:r>
      <w:r>
        <w:rPr>
          <w:rFonts w:ascii="Arial" w:eastAsia="仿宋_GB2312" w:hAnsi="Arial" w:cs="Arial" w:hint="eastAsia"/>
          <w:sz w:val="28"/>
          <w:szCs w:val="28"/>
        </w:rPr>
        <w:t>年、地下车库用途法定最高使用年限</w:t>
      </w:r>
      <w:r>
        <w:rPr>
          <w:rFonts w:ascii="Arial" w:eastAsia="仿宋_GB2312" w:hAnsi="Arial" w:cs="Arial"/>
          <w:sz w:val="28"/>
          <w:szCs w:val="28"/>
        </w:rPr>
        <w:t>50</w:t>
      </w:r>
      <w:r>
        <w:rPr>
          <w:rFonts w:ascii="Arial" w:eastAsia="仿宋_GB2312" w:hAnsi="Arial" w:cs="Arial" w:hint="eastAsia"/>
          <w:sz w:val="28"/>
          <w:szCs w:val="28"/>
        </w:rPr>
        <w:t>年。</w:t>
      </w:r>
    </w:p>
    <w:p w14:paraId="6A50B861" w14:textId="77777777" w:rsidR="0020403B" w:rsidRDefault="0020403B" w:rsidP="0020403B">
      <w:pPr>
        <w:pStyle w:val="ae"/>
        <w:numPr>
          <w:ilvl w:val="0"/>
          <w:numId w:val="38"/>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容积率设定：</w:t>
      </w:r>
    </w:p>
    <w:p w14:paraId="531CDE76" w14:textId="30DB7FB6" w:rsidR="00A908C5" w:rsidRDefault="0020403B" w:rsidP="0020403B">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 xml:space="preserve"> </w:t>
      </w:r>
      <w:r>
        <w:rPr>
          <w:rFonts w:ascii="Arial" w:eastAsia="仿宋_GB2312" w:hAnsi="Arial" w:cs="Arial" w:hint="eastAsia"/>
          <w:sz w:val="28"/>
          <w:szCs w:val="28"/>
        </w:rPr>
        <w:t>根据</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及其附图复印件、《海淀区苏州街一体化棚户区改造项目建筑面积及用途的说明》及其附表记载，估价对象总用地面积</w:t>
      </w:r>
      <w:r>
        <w:rPr>
          <w:rFonts w:ascii="Arial" w:eastAsia="仿宋_GB2312" w:hAnsi="Arial" w:cs="Arial"/>
          <w:sz w:val="28"/>
        </w:rPr>
        <w:t>6180.978</w:t>
      </w:r>
      <w:r>
        <w:rPr>
          <w:rFonts w:ascii="Arial" w:eastAsia="仿宋_GB2312" w:hAnsi="Arial" w:cs="Arial" w:hint="eastAsia"/>
          <w:sz w:val="28"/>
        </w:rPr>
        <w:t>平方米，均为建设用地。总规划建筑面积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。详见下表：</w:t>
      </w:r>
    </w:p>
    <w:p w14:paraId="6FBF4401" w14:textId="7D5652E1" w:rsidR="0020403B" w:rsidRDefault="0020403B" w:rsidP="0020403B">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14:paraId="5CA5BB80" w14:textId="77777777" w:rsidR="0020403B" w:rsidRDefault="0020403B" w:rsidP="001D4423">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b/>
          <w:bCs/>
          <w:szCs w:val="18"/>
        </w:rPr>
        <w:br w:type="page"/>
      </w:r>
    </w:p>
    <w:p w14:paraId="69C954DB" w14:textId="3C532456" w:rsidR="001D4423" w:rsidRPr="00090D86" w:rsidRDefault="00CD767E" w:rsidP="001D4423">
      <w:pPr>
        <w:autoSpaceDE w:val="0"/>
        <w:autoSpaceDN w:val="0"/>
        <w:snapToGrid w:val="0"/>
        <w:spacing w:line="240" w:lineRule="auto"/>
        <w:jc w:val="center"/>
        <w:textAlignment w:val="bottom"/>
        <w:rPr>
          <w:rFonts w:ascii="Arial" w:eastAsia="仿宋_GB2312" w:hAnsi="Arial" w:cs="Arial"/>
          <w:b/>
          <w:bCs/>
          <w:szCs w:val="18"/>
        </w:rPr>
      </w:pPr>
      <w:r w:rsidRPr="00090D86">
        <w:rPr>
          <w:rFonts w:ascii="Arial" w:eastAsia="仿宋_GB2312" w:hAnsi="Arial" w:cs="Arial" w:hint="eastAsia"/>
          <w:b/>
          <w:bCs/>
          <w:szCs w:val="18"/>
        </w:rPr>
        <w:lastRenderedPageBreak/>
        <w:t>土地用途及建筑面积表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06"/>
        <w:gridCol w:w="1308"/>
        <w:gridCol w:w="2943"/>
        <w:gridCol w:w="2636"/>
      </w:tblGrid>
      <w:tr w:rsidR="00CD767E" w:rsidRPr="00F86D61" w14:paraId="71DFD230" w14:textId="77777777" w:rsidTr="00CE438D">
        <w:trPr>
          <w:trHeight w:val="632"/>
          <w:tblHeader/>
        </w:trPr>
        <w:tc>
          <w:tcPr>
            <w:tcW w:w="1371" w:type="pct"/>
            <w:gridSpan w:val="2"/>
            <w:shd w:val="clear" w:color="auto" w:fill="auto"/>
            <w:noWrap/>
            <w:vAlign w:val="center"/>
          </w:tcPr>
          <w:p w14:paraId="4C385262"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位置</w:t>
            </w:r>
          </w:p>
        </w:tc>
        <w:tc>
          <w:tcPr>
            <w:tcW w:w="782" w:type="pct"/>
            <w:shd w:val="clear" w:color="auto" w:fill="auto"/>
            <w:noWrap/>
            <w:vAlign w:val="center"/>
          </w:tcPr>
          <w:p w14:paraId="27BD5863"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用途</w:t>
            </w:r>
          </w:p>
        </w:tc>
        <w:tc>
          <w:tcPr>
            <w:tcW w:w="1662" w:type="pct"/>
            <w:shd w:val="clear" w:color="auto" w:fill="auto"/>
            <w:noWrap/>
            <w:vAlign w:val="center"/>
          </w:tcPr>
          <w:p w14:paraId="25F49F30"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分类</w:t>
            </w:r>
          </w:p>
        </w:tc>
        <w:tc>
          <w:tcPr>
            <w:tcW w:w="1185" w:type="pct"/>
            <w:shd w:val="clear" w:color="auto" w:fill="auto"/>
            <w:noWrap/>
            <w:vAlign w:val="center"/>
          </w:tcPr>
          <w:p w14:paraId="348BCA62" w14:textId="600E6744" w:rsidR="00CD767E" w:rsidRPr="00F86D61" w:rsidRDefault="0020403B"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规划</w:t>
            </w:r>
            <w:r w:rsidR="00CD767E" w:rsidRPr="00F86D61">
              <w:rPr>
                <w:rFonts w:ascii="Arial" w:eastAsia="仿宋_GB2312" w:hAnsi="Arial" w:cs="Arial" w:hint="eastAsia"/>
                <w:sz w:val="22"/>
                <w:szCs w:val="16"/>
              </w:rPr>
              <w:t>建筑面积（平方米）</w:t>
            </w:r>
          </w:p>
        </w:tc>
      </w:tr>
      <w:tr w:rsidR="00CD767E" w:rsidRPr="00F86D61" w14:paraId="1801D09A" w14:textId="77777777" w:rsidTr="00CE438D">
        <w:trPr>
          <w:trHeight w:val="345"/>
        </w:trPr>
        <w:tc>
          <w:tcPr>
            <w:tcW w:w="590" w:type="pct"/>
            <w:vMerge w:val="restart"/>
            <w:shd w:val="clear" w:color="auto" w:fill="auto"/>
            <w:noWrap/>
            <w:vAlign w:val="center"/>
            <w:hideMark/>
          </w:tcPr>
          <w:p w14:paraId="328F6B4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地上</w:t>
            </w:r>
            <w:r>
              <w:rPr>
                <w:rFonts w:ascii="Arial" w:eastAsia="仿宋_GB2312" w:hAnsi="Arial" w:cs="Arial" w:hint="eastAsia"/>
                <w:sz w:val="22"/>
                <w:szCs w:val="16"/>
              </w:rPr>
              <w:t>部分</w:t>
            </w:r>
          </w:p>
        </w:tc>
        <w:tc>
          <w:tcPr>
            <w:tcW w:w="781" w:type="pct"/>
            <w:vMerge w:val="restart"/>
            <w:vAlign w:val="center"/>
          </w:tcPr>
          <w:p w14:paraId="4314708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vMerge w:val="restart"/>
            <w:shd w:val="clear" w:color="auto" w:fill="auto"/>
            <w:noWrap/>
            <w:vAlign w:val="center"/>
            <w:hideMark/>
          </w:tcPr>
          <w:p w14:paraId="022D685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住宅</w:t>
            </w:r>
          </w:p>
        </w:tc>
        <w:tc>
          <w:tcPr>
            <w:tcW w:w="1662" w:type="pct"/>
            <w:shd w:val="clear" w:color="auto" w:fill="auto"/>
            <w:noWrap/>
            <w:vAlign w:val="center"/>
            <w:hideMark/>
          </w:tcPr>
          <w:p w14:paraId="2308E37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回迁安置房</w:t>
            </w:r>
          </w:p>
        </w:tc>
        <w:tc>
          <w:tcPr>
            <w:tcW w:w="1185" w:type="pct"/>
            <w:shd w:val="clear" w:color="auto" w:fill="auto"/>
            <w:noWrap/>
            <w:vAlign w:val="center"/>
            <w:hideMark/>
          </w:tcPr>
          <w:p w14:paraId="270C255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13920.98</w:t>
            </w:r>
          </w:p>
        </w:tc>
      </w:tr>
      <w:tr w:rsidR="00CD767E" w:rsidRPr="001D4423" w14:paraId="791AA750" w14:textId="77777777" w:rsidTr="00CE438D">
        <w:trPr>
          <w:trHeight w:val="345"/>
        </w:trPr>
        <w:tc>
          <w:tcPr>
            <w:tcW w:w="590" w:type="pct"/>
            <w:vMerge/>
            <w:shd w:val="clear" w:color="auto" w:fill="auto"/>
            <w:vAlign w:val="center"/>
            <w:hideMark/>
          </w:tcPr>
          <w:p w14:paraId="18AC74C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B09693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31611D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0B6203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w:t>
            </w:r>
          </w:p>
        </w:tc>
        <w:tc>
          <w:tcPr>
            <w:tcW w:w="1185" w:type="pct"/>
            <w:shd w:val="clear" w:color="auto" w:fill="auto"/>
            <w:noWrap/>
            <w:vAlign w:val="center"/>
            <w:hideMark/>
          </w:tcPr>
          <w:p w14:paraId="05FDEA8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13794.02</w:t>
            </w:r>
          </w:p>
        </w:tc>
      </w:tr>
      <w:tr w:rsidR="00CD767E" w:rsidRPr="001D4423" w14:paraId="222251D0" w14:textId="77777777" w:rsidTr="00CE438D">
        <w:trPr>
          <w:trHeight w:val="345"/>
        </w:trPr>
        <w:tc>
          <w:tcPr>
            <w:tcW w:w="590" w:type="pct"/>
            <w:vMerge/>
            <w:shd w:val="clear" w:color="auto" w:fill="auto"/>
            <w:vAlign w:val="center"/>
            <w:hideMark/>
          </w:tcPr>
          <w:p w14:paraId="0E918E5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10E773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2FF9FF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3A8A8A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人防室外出入口及其他</w:t>
            </w:r>
          </w:p>
        </w:tc>
        <w:tc>
          <w:tcPr>
            <w:tcW w:w="1185" w:type="pct"/>
            <w:shd w:val="clear" w:color="auto" w:fill="auto"/>
            <w:noWrap/>
            <w:vAlign w:val="center"/>
            <w:hideMark/>
          </w:tcPr>
          <w:p w14:paraId="385B503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w:t>
            </w:r>
          </w:p>
        </w:tc>
      </w:tr>
      <w:tr w:rsidR="00CD767E" w:rsidRPr="00F86D61" w14:paraId="0EE1B208" w14:textId="77777777" w:rsidTr="00CE438D">
        <w:trPr>
          <w:trHeight w:val="345"/>
        </w:trPr>
        <w:tc>
          <w:tcPr>
            <w:tcW w:w="590" w:type="pct"/>
            <w:vMerge/>
            <w:shd w:val="clear" w:color="auto" w:fill="auto"/>
            <w:vAlign w:val="center"/>
            <w:hideMark/>
          </w:tcPr>
          <w:p w14:paraId="19A952A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FD3E1E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4E8F091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605D19A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6EAD715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28075</w:t>
            </w:r>
          </w:p>
        </w:tc>
      </w:tr>
      <w:tr w:rsidR="00CD767E" w:rsidRPr="00F86D61" w14:paraId="08C16888" w14:textId="77777777" w:rsidTr="00CE438D">
        <w:trPr>
          <w:trHeight w:val="345"/>
        </w:trPr>
        <w:tc>
          <w:tcPr>
            <w:tcW w:w="590" w:type="pct"/>
            <w:vMerge/>
            <w:shd w:val="clear" w:color="auto" w:fill="auto"/>
            <w:vAlign w:val="center"/>
            <w:hideMark/>
          </w:tcPr>
          <w:p w14:paraId="0377A2F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FB3B13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4BA1D8B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商业</w:t>
            </w:r>
          </w:p>
        </w:tc>
        <w:tc>
          <w:tcPr>
            <w:tcW w:w="1662" w:type="pct"/>
            <w:shd w:val="clear" w:color="auto" w:fill="auto"/>
            <w:vAlign w:val="center"/>
            <w:hideMark/>
          </w:tcPr>
          <w:p w14:paraId="1B034FC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w:t>
            </w:r>
            <w:proofErr w:type="gramStart"/>
            <w:r w:rsidRPr="001D4423">
              <w:rPr>
                <w:rFonts w:ascii="Arial" w:eastAsia="仿宋_GB2312" w:hAnsi="Arial" w:cs="Arial" w:hint="eastAsia"/>
                <w:sz w:val="22"/>
                <w:szCs w:val="16"/>
              </w:rPr>
              <w:t>房配套</w:t>
            </w:r>
            <w:proofErr w:type="gramEnd"/>
            <w:r w:rsidRPr="001D4423">
              <w:rPr>
                <w:rFonts w:ascii="Arial" w:eastAsia="仿宋_GB2312" w:hAnsi="Arial" w:cs="Arial" w:hint="eastAsia"/>
                <w:sz w:val="22"/>
                <w:szCs w:val="16"/>
              </w:rPr>
              <w:t>商业</w:t>
            </w:r>
          </w:p>
        </w:tc>
        <w:tc>
          <w:tcPr>
            <w:tcW w:w="1185" w:type="pct"/>
            <w:shd w:val="clear" w:color="auto" w:fill="auto"/>
            <w:noWrap/>
            <w:vAlign w:val="center"/>
            <w:hideMark/>
          </w:tcPr>
          <w:p w14:paraId="6919403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260</w:t>
            </w:r>
          </w:p>
        </w:tc>
      </w:tr>
      <w:tr w:rsidR="00CD767E" w:rsidRPr="00F86D61" w14:paraId="4D3C9E32" w14:textId="77777777" w:rsidTr="00CE438D">
        <w:trPr>
          <w:trHeight w:val="345"/>
        </w:trPr>
        <w:tc>
          <w:tcPr>
            <w:tcW w:w="590" w:type="pct"/>
            <w:vMerge/>
            <w:shd w:val="clear" w:color="auto" w:fill="auto"/>
            <w:vAlign w:val="center"/>
            <w:hideMark/>
          </w:tcPr>
          <w:p w14:paraId="7ED3E81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27CC86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81FDFE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69DE1A6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平衡资金商品房配套商业</w:t>
            </w:r>
          </w:p>
        </w:tc>
        <w:tc>
          <w:tcPr>
            <w:tcW w:w="1185" w:type="pct"/>
            <w:shd w:val="clear" w:color="auto" w:fill="auto"/>
            <w:noWrap/>
            <w:vAlign w:val="center"/>
            <w:hideMark/>
          </w:tcPr>
          <w:p w14:paraId="08A8C28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3045</w:t>
            </w:r>
          </w:p>
        </w:tc>
      </w:tr>
      <w:tr w:rsidR="00CD767E" w:rsidRPr="00F86D61" w14:paraId="5AA78B9B" w14:textId="77777777" w:rsidTr="00CE438D">
        <w:trPr>
          <w:trHeight w:val="345"/>
        </w:trPr>
        <w:tc>
          <w:tcPr>
            <w:tcW w:w="590" w:type="pct"/>
            <w:vMerge/>
            <w:shd w:val="clear" w:color="auto" w:fill="auto"/>
            <w:vAlign w:val="center"/>
            <w:hideMark/>
          </w:tcPr>
          <w:p w14:paraId="298DD17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0AA5C6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2A8043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62B72E5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小型商服</w:t>
            </w:r>
          </w:p>
        </w:tc>
        <w:tc>
          <w:tcPr>
            <w:tcW w:w="1185" w:type="pct"/>
            <w:shd w:val="clear" w:color="auto" w:fill="auto"/>
            <w:noWrap/>
            <w:vAlign w:val="center"/>
            <w:hideMark/>
          </w:tcPr>
          <w:p w14:paraId="2879907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w:t>
            </w:r>
          </w:p>
        </w:tc>
      </w:tr>
      <w:tr w:rsidR="00CD767E" w:rsidRPr="00F86D61" w14:paraId="7DEAE30E" w14:textId="77777777" w:rsidTr="00CE438D">
        <w:trPr>
          <w:trHeight w:val="345"/>
        </w:trPr>
        <w:tc>
          <w:tcPr>
            <w:tcW w:w="590" w:type="pct"/>
            <w:vMerge/>
            <w:shd w:val="clear" w:color="auto" w:fill="auto"/>
            <w:vAlign w:val="center"/>
            <w:hideMark/>
          </w:tcPr>
          <w:p w14:paraId="68A38E8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59EB27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4327E7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702B5EC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4ADF91D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3318</w:t>
            </w:r>
          </w:p>
        </w:tc>
      </w:tr>
      <w:tr w:rsidR="00CD767E" w:rsidRPr="00F86D61" w14:paraId="7BB01853" w14:textId="77777777" w:rsidTr="00CE438D">
        <w:trPr>
          <w:trHeight w:val="345"/>
        </w:trPr>
        <w:tc>
          <w:tcPr>
            <w:tcW w:w="590" w:type="pct"/>
            <w:vMerge/>
            <w:shd w:val="clear" w:color="auto" w:fill="auto"/>
            <w:vAlign w:val="center"/>
            <w:hideMark/>
          </w:tcPr>
          <w:p w14:paraId="37159D4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33E822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2015081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办公</w:t>
            </w:r>
          </w:p>
        </w:tc>
        <w:tc>
          <w:tcPr>
            <w:tcW w:w="1662" w:type="pct"/>
            <w:shd w:val="clear" w:color="auto" w:fill="auto"/>
            <w:vAlign w:val="center"/>
            <w:hideMark/>
          </w:tcPr>
          <w:p w14:paraId="61E3101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5EEE6BF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D767E" w:rsidRPr="00F86D61" w14:paraId="54BA6EAC" w14:textId="77777777" w:rsidTr="00CE438D">
        <w:trPr>
          <w:trHeight w:val="345"/>
        </w:trPr>
        <w:tc>
          <w:tcPr>
            <w:tcW w:w="590" w:type="pct"/>
            <w:vMerge/>
            <w:shd w:val="clear" w:color="auto" w:fill="auto"/>
            <w:vAlign w:val="center"/>
            <w:hideMark/>
          </w:tcPr>
          <w:p w14:paraId="2DA21A3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3ED3B55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ADFFDB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5E15BAD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02AD7DA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D767E" w:rsidRPr="00F86D61" w14:paraId="4ED22A12" w14:textId="77777777" w:rsidTr="00CE438D">
        <w:trPr>
          <w:trHeight w:val="345"/>
        </w:trPr>
        <w:tc>
          <w:tcPr>
            <w:tcW w:w="590" w:type="pct"/>
            <w:vMerge/>
            <w:shd w:val="clear" w:color="auto" w:fill="auto"/>
            <w:vAlign w:val="center"/>
            <w:hideMark/>
          </w:tcPr>
          <w:p w14:paraId="0F3491C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EC87EB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1CB2180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774FE35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31511</w:t>
            </w:r>
          </w:p>
        </w:tc>
      </w:tr>
      <w:tr w:rsidR="00CD767E" w:rsidRPr="00F86D61" w14:paraId="25FC8F99" w14:textId="77777777" w:rsidTr="00CE438D">
        <w:trPr>
          <w:trHeight w:val="345"/>
        </w:trPr>
        <w:tc>
          <w:tcPr>
            <w:tcW w:w="590" w:type="pct"/>
            <w:vMerge w:val="restart"/>
            <w:shd w:val="clear" w:color="auto" w:fill="auto"/>
            <w:noWrap/>
            <w:vAlign w:val="center"/>
            <w:hideMark/>
          </w:tcPr>
          <w:p w14:paraId="6FA4D2D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w:t>
            </w:r>
            <w:r>
              <w:rPr>
                <w:rFonts w:ascii="Arial" w:eastAsia="仿宋_GB2312" w:hAnsi="Arial" w:cs="Arial" w:hint="eastAsia"/>
                <w:sz w:val="22"/>
                <w:szCs w:val="16"/>
              </w:rPr>
              <w:t>部分</w:t>
            </w:r>
          </w:p>
        </w:tc>
        <w:tc>
          <w:tcPr>
            <w:tcW w:w="781" w:type="pct"/>
            <w:vMerge w:val="restart"/>
            <w:vAlign w:val="center"/>
          </w:tcPr>
          <w:p w14:paraId="213AA92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shd w:val="clear" w:color="auto" w:fill="auto"/>
            <w:vAlign w:val="center"/>
            <w:hideMark/>
          </w:tcPr>
          <w:p w14:paraId="6278059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地下办公</w:t>
            </w:r>
          </w:p>
        </w:tc>
        <w:tc>
          <w:tcPr>
            <w:tcW w:w="1662" w:type="pct"/>
            <w:shd w:val="clear" w:color="auto" w:fill="auto"/>
            <w:vAlign w:val="center"/>
            <w:hideMark/>
          </w:tcPr>
          <w:p w14:paraId="317C976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13C920D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32</w:t>
            </w:r>
          </w:p>
        </w:tc>
      </w:tr>
      <w:tr w:rsidR="00CD767E" w:rsidRPr="00F86D61" w14:paraId="41CF725B" w14:textId="77777777" w:rsidTr="00CE438D">
        <w:trPr>
          <w:trHeight w:val="345"/>
        </w:trPr>
        <w:tc>
          <w:tcPr>
            <w:tcW w:w="590" w:type="pct"/>
            <w:vMerge/>
            <w:shd w:val="clear" w:color="auto" w:fill="auto"/>
            <w:vAlign w:val="center"/>
            <w:hideMark/>
          </w:tcPr>
          <w:p w14:paraId="651DB7B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01E179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5D7AC39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地下车库</w:t>
            </w:r>
          </w:p>
        </w:tc>
        <w:tc>
          <w:tcPr>
            <w:tcW w:w="1662" w:type="pct"/>
            <w:shd w:val="clear" w:color="auto" w:fill="auto"/>
            <w:vAlign w:val="center"/>
            <w:hideMark/>
          </w:tcPr>
          <w:p w14:paraId="49AEF86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汽车库</w:t>
            </w:r>
          </w:p>
        </w:tc>
        <w:tc>
          <w:tcPr>
            <w:tcW w:w="1185" w:type="pct"/>
            <w:shd w:val="clear" w:color="auto" w:fill="auto"/>
            <w:noWrap/>
            <w:vAlign w:val="center"/>
            <w:hideMark/>
          </w:tcPr>
          <w:p w14:paraId="587CAB9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10345.02</w:t>
            </w:r>
          </w:p>
        </w:tc>
      </w:tr>
      <w:tr w:rsidR="00CD767E" w:rsidRPr="00F86D61" w14:paraId="0DE5998B" w14:textId="77777777" w:rsidTr="00CE438D">
        <w:trPr>
          <w:trHeight w:val="345"/>
        </w:trPr>
        <w:tc>
          <w:tcPr>
            <w:tcW w:w="590" w:type="pct"/>
            <w:vMerge/>
            <w:shd w:val="clear" w:color="auto" w:fill="auto"/>
            <w:vAlign w:val="center"/>
            <w:hideMark/>
          </w:tcPr>
          <w:p w14:paraId="4E62F73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restart"/>
            <w:vAlign w:val="center"/>
          </w:tcPr>
          <w:p w14:paraId="45B37B0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不出让</w:t>
            </w:r>
          </w:p>
        </w:tc>
        <w:tc>
          <w:tcPr>
            <w:tcW w:w="782" w:type="pct"/>
            <w:shd w:val="clear" w:color="auto" w:fill="auto"/>
            <w:vAlign w:val="center"/>
            <w:hideMark/>
          </w:tcPr>
          <w:p w14:paraId="1183D1A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662" w:type="pct"/>
            <w:shd w:val="clear" w:color="auto" w:fill="auto"/>
            <w:vAlign w:val="center"/>
            <w:hideMark/>
          </w:tcPr>
          <w:p w14:paraId="090DBA4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185" w:type="pct"/>
            <w:shd w:val="clear" w:color="auto" w:fill="auto"/>
            <w:noWrap/>
            <w:vAlign w:val="center"/>
            <w:hideMark/>
          </w:tcPr>
          <w:p w14:paraId="6EB0C0E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227</w:t>
            </w:r>
          </w:p>
        </w:tc>
      </w:tr>
      <w:tr w:rsidR="00CD767E" w:rsidRPr="00F86D61" w14:paraId="42CDDFE8" w14:textId="77777777" w:rsidTr="00CE438D">
        <w:trPr>
          <w:trHeight w:val="345"/>
        </w:trPr>
        <w:tc>
          <w:tcPr>
            <w:tcW w:w="590" w:type="pct"/>
            <w:vMerge/>
            <w:shd w:val="clear" w:color="auto" w:fill="auto"/>
            <w:vAlign w:val="center"/>
            <w:hideMark/>
          </w:tcPr>
          <w:p w14:paraId="3C40166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1A7598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0C21BB0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662" w:type="pct"/>
            <w:shd w:val="clear" w:color="auto" w:fill="auto"/>
            <w:vAlign w:val="center"/>
            <w:hideMark/>
          </w:tcPr>
          <w:p w14:paraId="050FC2A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185" w:type="pct"/>
            <w:shd w:val="clear" w:color="auto" w:fill="auto"/>
            <w:noWrap/>
            <w:vAlign w:val="center"/>
            <w:hideMark/>
          </w:tcPr>
          <w:p w14:paraId="48AA280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3600.98</w:t>
            </w:r>
          </w:p>
        </w:tc>
      </w:tr>
      <w:tr w:rsidR="00CD767E" w:rsidRPr="00F86D61" w14:paraId="050D58DF" w14:textId="77777777" w:rsidTr="00CE438D">
        <w:trPr>
          <w:trHeight w:val="345"/>
        </w:trPr>
        <w:tc>
          <w:tcPr>
            <w:tcW w:w="590" w:type="pct"/>
            <w:vMerge/>
            <w:shd w:val="clear" w:color="auto" w:fill="auto"/>
            <w:vAlign w:val="center"/>
            <w:hideMark/>
          </w:tcPr>
          <w:p w14:paraId="6F139D2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E809AC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vAlign w:val="center"/>
            <w:hideMark/>
          </w:tcPr>
          <w:p w14:paraId="06BF051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非经营性用途</w:t>
            </w:r>
          </w:p>
        </w:tc>
        <w:tc>
          <w:tcPr>
            <w:tcW w:w="1662" w:type="pct"/>
            <w:shd w:val="clear" w:color="auto" w:fill="auto"/>
            <w:vAlign w:val="center"/>
            <w:hideMark/>
          </w:tcPr>
          <w:p w14:paraId="6932DE5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室内覆盖系统机房</w:t>
            </w:r>
          </w:p>
        </w:tc>
        <w:tc>
          <w:tcPr>
            <w:tcW w:w="1185" w:type="pct"/>
            <w:shd w:val="clear" w:color="auto" w:fill="auto"/>
            <w:noWrap/>
            <w:vAlign w:val="center"/>
            <w:hideMark/>
          </w:tcPr>
          <w:p w14:paraId="5F88255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D767E" w:rsidRPr="001D4423" w14:paraId="13BF307F" w14:textId="77777777" w:rsidTr="00CE438D">
        <w:trPr>
          <w:trHeight w:val="345"/>
        </w:trPr>
        <w:tc>
          <w:tcPr>
            <w:tcW w:w="590" w:type="pct"/>
            <w:vMerge/>
            <w:shd w:val="clear" w:color="auto" w:fill="auto"/>
            <w:vAlign w:val="center"/>
            <w:hideMark/>
          </w:tcPr>
          <w:p w14:paraId="6C17037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9EC6BE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DF56DC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1B81C08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固定通信设备间</w:t>
            </w:r>
          </w:p>
        </w:tc>
        <w:tc>
          <w:tcPr>
            <w:tcW w:w="1185" w:type="pct"/>
            <w:shd w:val="clear" w:color="auto" w:fill="auto"/>
            <w:noWrap/>
            <w:vAlign w:val="center"/>
            <w:hideMark/>
          </w:tcPr>
          <w:p w14:paraId="5BC4460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D767E" w:rsidRPr="001D4423" w14:paraId="31285BD5" w14:textId="77777777" w:rsidTr="00CE438D">
        <w:trPr>
          <w:trHeight w:val="345"/>
        </w:trPr>
        <w:tc>
          <w:tcPr>
            <w:tcW w:w="590" w:type="pct"/>
            <w:vMerge/>
            <w:shd w:val="clear" w:color="auto" w:fill="auto"/>
            <w:vAlign w:val="center"/>
            <w:hideMark/>
          </w:tcPr>
          <w:p w14:paraId="28B4233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1B8063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BD2606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0C8A6F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有线电视光电转换间</w:t>
            </w:r>
          </w:p>
        </w:tc>
        <w:tc>
          <w:tcPr>
            <w:tcW w:w="1185" w:type="pct"/>
            <w:shd w:val="clear" w:color="auto" w:fill="auto"/>
            <w:noWrap/>
            <w:vAlign w:val="center"/>
            <w:hideMark/>
          </w:tcPr>
          <w:p w14:paraId="6CB9DB8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w:t>
            </w:r>
          </w:p>
        </w:tc>
      </w:tr>
      <w:tr w:rsidR="00CD767E" w:rsidRPr="001D4423" w14:paraId="55AD4A78" w14:textId="77777777" w:rsidTr="00CE438D">
        <w:trPr>
          <w:trHeight w:val="345"/>
        </w:trPr>
        <w:tc>
          <w:tcPr>
            <w:tcW w:w="590" w:type="pct"/>
            <w:vMerge/>
            <w:shd w:val="clear" w:color="auto" w:fill="auto"/>
            <w:vAlign w:val="center"/>
            <w:hideMark/>
          </w:tcPr>
          <w:p w14:paraId="7457C96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6D74CA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CA3F4B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68F0C33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配电室</w:t>
            </w:r>
          </w:p>
        </w:tc>
        <w:tc>
          <w:tcPr>
            <w:tcW w:w="1185" w:type="pct"/>
            <w:shd w:val="clear" w:color="auto" w:fill="auto"/>
            <w:noWrap/>
            <w:vAlign w:val="center"/>
            <w:hideMark/>
          </w:tcPr>
          <w:p w14:paraId="777EC73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180</w:t>
            </w:r>
          </w:p>
        </w:tc>
      </w:tr>
      <w:tr w:rsidR="00CD767E" w:rsidRPr="001D4423" w14:paraId="5D7CCC88" w14:textId="77777777" w:rsidTr="00CE438D">
        <w:trPr>
          <w:trHeight w:val="345"/>
        </w:trPr>
        <w:tc>
          <w:tcPr>
            <w:tcW w:w="590" w:type="pct"/>
            <w:vMerge/>
            <w:shd w:val="clear" w:color="auto" w:fill="auto"/>
            <w:vAlign w:val="center"/>
            <w:hideMark/>
          </w:tcPr>
          <w:p w14:paraId="740EAE2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23B7F0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F853BB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65516F7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热力站</w:t>
            </w:r>
          </w:p>
        </w:tc>
        <w:tc>
          <w:tcPr>
            <w:tcW w:w="1185" w:type="pct"/>
            <w:shd w:val="clear" w:color="auto" w:fill="auto"/>
            <w:noWrap/>
            <w:vAlign w:val="center"/>
            <w:hideMark/>
          </w:tcPr>
          <w:p w14:paraId="002D1B4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200</w:t>
            </w:r>
          </w:p>
        </w:tc>
      </w:tr>
      <w:tr w:rsidR="00CD767E" w:rsidRPr="001D4423" w14:paraId="5F62F2A5" w14:textId="77777777" w:rsidTr="00CE438D">
        <w:trPr>
          <w:trHeight w:val="345"/>
        </w:trPr>
        <w:tc>
          <w:tcPr>
            <w:tcW w:w="590" w:type="pct"/>
            <w:vMerge/>
            <w:shd w:val="clear" w:color="auto" w:fill="auto"/>
            <w:vAlign w:val="center"/>
            <w:hideMark/>
          </w:tcPr>
          <w:p w14:paraId="17BF77C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76273D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701FC0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722F8AD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设备用房</w:t>
            </w:r>
          </w:p>
        </w:tc>
        <w:tc>
          <w:tcPr>
            <w:tcW w:w="1185" w:type="pct"/>
            <w:shd w:val="clear" w:color="auto" w:fill="auto"/>
            <w:noWrap/>
            <w:vAlign w:val="center"/>
            <w:hideMark/>
          </w:tcPr>
          <w:p w14:paraId="24EE273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661</w:t>
            </w:r>
          </w:p>
        </w:tc>
      </w:tr>
      <w:tr w:rsidR="00CD767E" w:rsidRPr="00F86D61" w14:paraId="447A59B0" w14:textId="77777777" w:rsidTr="00CE438D">
        <w:trPr>
          <w:trHeight w:val="345"/>
        </w:trPr>
        <w:tc>
          <w:tcPr>
            <w:tcW w:w="590" w:type="pct"/>
            <w:vMerge/>
            <w:shd w:val="clear" w:color="auto" w:fill="auto"/>
            <w:vAlign w:val="center"/>
            <w:hideMark/>
          </w:tcPr>
          <w:p w14:paraId="72038E5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D7876C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17060D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F3F0D3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20E9CD6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1077</w:t>
            </w:r>
          </w:p>
        </w:tc>
      </w:tr>
      <w:tr w:rsidR="00CD767E" w:rsidRPr="00F86D61" w14:paraId="06E77607" w14:textId="77777777" w:rsidTr="00CE438D">
        <w:trPr>
          <w:trHeight w:val="345"/>
        </w:trPr>
        <w:tc>
          <w:tcPr>
            <w:tcW w:w="590" w:type="pct"/>
            <w:vMerge/>
            <w:shd w:val="clear" w:color="auto" w:fill="auto"/>
            <w:vAlign w:val="center"/>
            <w:hideMark/>
          </w:tcPr>
          <w:p w14:paraId="24CF8A4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Align w:val="center"/>
          </w:tcPr>
          <w:p w14:paraId="48F8C1B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0A2CC0A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71E8B15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15282</w:t>
            </w:r>
          </w:p>
        </w:tc>
      </w:tr>
      <w:tr w:rsidR="00CD767E" w:rsidRPr="00F86D61" w14:paraId="66B3F278" w14:textId="77777777" w:rsidTr="00CE438D">
        <w:trPr>
          <w:trHeight w:val="345"/>
        </w:trPr>
        <w:tc>
          <w:tcPr>
            <w:tcW w:w="590" w:type="pct"/>
            <w:shd w:val="clear" w:color="auto" w:fill="auto"/>
            <w:noWrap/>
            <w:vAlign w:val="center"/>
            <w:hideMark/>
          </w:tcPr>
          <w:p w14:paraId="78A798E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总计</w:t>
            </w:r>
          </w:p>
        </w:tc>
        <w:tc>
          <w:tcPr>
            <w:tcW w:w="781" w:type="pct"/>
            <w:vAlign w:val="center"/>
          </w:tcPr>
          <w:p w14:paraId="50A2804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hideMark/>
          </w:tcPr>
          <w:p w14:paraId="05202F6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w:t>
            </w:r>
          </w:p>
        </w:tc>
        <w:tc>
          <w:tcPr>
            <w:tcW w:w="1185" w:type="pct"/>
            <w:shd w:val="clear" w:color="auto" w:fill="auto"/>
            <w:noWrap/>
            <w:vAlign w:val="center"/>
            <w:hideMark/>
          </w:tcPr>
          <w:p w14:paraId="3EC6ABA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46793</w:t>
            </w:r>
          </w:p>
        </w:tc>
      </w:tr>
      <w:tr w:rsidR="00CD767E" w:rsidRPr="00F86D61" w14:paraId="187D7EA3" w14:textId="77777777" w:rsidTr="00CE438D">
        <w:trPr>
          <w:trHeight w:val="345"/>
        </w:trPr>
        <w:tc>
          <w:tcPr>
            <w:tcW w:w="590" w:type="pct"/>
            <w:shd w:val="clear" w:color="auto" w:fill="auto"/>
            <w:noWrap/>
            <w:vAlign w:val="center"/>
          </w:tcPr>
          <w:p w14:paraId="2069C66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14ED2AF9"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699645D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总用地面积</w:t>
            </w:r>
          </w:p>
        </w:tc>
        <w:tc>
          <w:tcPr>
            <w:tcW w:w="1185" w:type="pct"/>
            <w:shd w:val="clear" w:color="auto" w:fill="auto"/>
            <w:noWrap/>
            <w:vAlign w:val="center"/>
          </w:tcPr>
          <w:p w14:paraId="4502D3A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6180.978</w:t>
            </w:r>
          </w:p>
        </w:tc>
      </w:tr>
      <w:tr w:rsidR="00CD767E" w:rsidRPr="00F86D61" w14:paraId="5648FE16" w14:textId="77777777" w:rsidTr="00CE438D">
        <w:trPr>
          <w:trHeight w:val="345"/>
        </w:trPr>
        <w:tc>
          <w:tcPr>
            <w:tcW w:w="590" w:type="pct"/>
            <w:shd w:val="clear" w:color="auto" w:fill="auto"/>
            <w:noWrap/>
            <w:vAlign w:val="center"/>
          </w:tcPr>
          <w:p w14:paraId="2170011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60E5B873" w14:textId="77777777" w:rsidR="00CD767E"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67E1F45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容积率</w:t>
            </w:r>
          </w:p>
        </w:tc>
        <w:tc>
          <w:tcPr>
            <w:tcW w:w="1185" w:type="pct"/>
            <w:shd w:val="clear" w:color="auto" w:fill="auto"/>
            <w:noWrap/>
            <w:vAlign w:val="center"/>
          </w:tcPr>
          <w:p w14:paraId="62684C6E" w14:textId="1A418EC2"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5</w:t>
            </w:r>
            <w:r>
              <w:rPr>
                <w:rFonts w:ascii="Arial" w:eastAsia="仿宋_GB2312" w:hAnsi="Arial" w:cs="Arial"/>
                <w:sz w:val="22"/>
                <w:szCs w:val="16"/>
              </w:rPr>
              <w:t>.1</w:t>
            </w:r>
            <w:r w:rsidR="0020403B">
              <w:rPr>
                <w:rFonts w:ascii="Arial" w:eastAsia="仿宋_GB2312" w:hAnsi="Arial" w:cs="Arial"/>
                <w:sz w:val="22"/>
                <w:szCs w:val="16"/>
              </w:rPr>
              <w:t>0</w:t>
            </w:r>
          </w:p>
        </w:tc>
      </w:tr>
    </w:tbl>
    <w:p w14:paraId="3767CEA8" w14:textId="77777777" w:rsidR="002C3ABF" w:rsidRPr="00F631FB" w:rsidRDefault="002C3ABF" w:rsidP="00F86D61">
      <w:pPr>
        <w:pStyle w:val="ae"/>
        <w:numPr>
          <w:ilvl w:val="0"/>
          <w:numId w:val="1"/>
        </w:numPr>
        <w:adjustRightInd/>
        <w:snapToGrid w:val="0"/>
        <w:spacing w:beforeLines="100" w:before="240" w:line="360" w:lineRule="auto"/>
        <w:ind w:left="981"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地价内涵：</w:t>
      </w:r>
    </w:p>
    <w:p w14:paraId="6E31BA2F" w14:textId="6D8774DB" w:rsidR="002C3ABF" w:rsidRPr="001D4423" w:rsidRDefault="0020403B" w:rsidP="001D4423">
      <w:pPr>
        <w:autoSpaceDE w:val="0"/>
        <w:autoSpaceDN w:val="0"/>
        <w:snapToGrid w:val="0"/>
        <w:spacing w:line="360" w:lineRule="auto"/>
        <w:ind w:firstLineChars="200" w:firstLine="560"/>
        <w:jc w:val="both"/>
        <w:textAlignment w:val="bottom"/>
        <w:rPr>
          <w:rFonts w:ascii="Arial" w:eastAsia="仿宋_GB2312" w:hAnsi="Arial" w:cs="Arial"/>
          <w:sz w:val="28"/>
          <w:szCs w:val="28"/>
        </w:rPr>
      </w:pPr>
      <w:bookmarkStart w:id="47" w:name="_Toc515458363"/>
      <w:bookmarkStart w:id="48" w:name="_Toc524335061"/>
      <w:r>
        <w:rPr>
          <w:rFonts w:ascii="Arial" w:eastAsia="仿宋_GB2312" w:hAnsi="Arial" w:cs="Arial" w:hint="eastAsia"/>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15</w:t>
      </w:r>
      <w:r>
        <w:rPr>
          <w:rFonts w:ascii="Arial" w:eastAsia="仿宋_GB2312" w:hAnsi="Arial" w:cs="Arial" w:hint="eastAsia"/>
          <w:sz w:val="28"/>
          <w:szCs w:val="28"/>
        </w:rPr>
        <w:t>日，在北京市基准地价居住类二级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区片、商业类三级</w:t>
      </w:r>
      <w:r>
        <w:rPr>
          <w:rFonts w:ascii="微软雅黑" w:eastAsia="微软雅黑" w:hAnsi="微软雅黑" w:cs="Arial" w:hint="eastAsia"/>
          <w:sz w:val="28"/>
          <w:szCs w:val="28"/>
        </w:rPr>
        <w:t>Ⅲ</w:t>
      </w:r>
      <w:r>
        <w:rPr>
          <w:rFonts w:ascii="Arial" w:eastAsia="仿宋_GB2312" w:hAnsi="Arial" w:cs="Arial"/>
          <w:sz w:val="28"/>
          <w:szCs w:val="28"/>
        </w:rPr>
        <w:t>-06</w:t>
      </w:r>
      <w:r>
        <w:rPr>
          <w:rFonts w:ascii="Arial" w:eastAsia="仿宋_GB2312" w:hAnsi="Arial" w:cs="Arial" w:hint="eastAsia"/>
          <w:sz w:val="28"/>
          <w:szCs w:val="28"/>
        </w:rPr>
        <w:t>区片、办公类二级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区片地价区内，评估设定土地使用权类型为出让；设定开发程度为宗地外</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七通</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（即通路、通电（管沟和电缆）、通讯、通上水（自来水、中水）、通下水（雨水、污水）、通燃气、通热），宗地内</w:t>
      </w:r>
      <w:r>
        <w:rPr>
          <w:rFonts w:ascii="Arial" w:eastAsia="仿宋_GB2312" w:hAnsi="Arial" w:cs="Arial"/>
          <w:sz w:val="28"/>
          <w:szCs w:val="28"/>
        </w:rPr>
        <w:t>“</w:t>
      </w:r>
      <w:r>
        <w:rPr>
          <w:rFonts w:ascii="Arial" w:eastAsia="仿宋_GB2312" w:hAnsi="Arial" w:cs="Arial" w:hint="eastAsia"/>
          <w:sz w:val="28"/>
          <w:szCs w:val="28"/>
        </w:rPr>
        <w:t>场地平整</w:t>
      </w:r>
      <w:r>
        <w:rPr>
          <w:rFonts w:ascii="Arial" w:eastAsia="仿宋_GB2312" w:hAnsi="Arial" w:cs="Arial"/>
          <w:sz w:val="28"/>
          <w:szCs w:val="28"/>
        </w:rPr>
        <w:t>”</w:t>
      </w:r>
      <w:r>
        <w:rPr>
          <w:rFonts w:ascii="Arial" w:eastAsia="仿宋_GB2312" w:hAnsi="Arial" w:cs="Arial" w:hint="eastAsia"/>
          <w:sz w:val="28"/>
          <w:szCs w:val="28"/>
        </w:rPr>
        <w:t>；设定土地用途为</w:t>
      </w:r>
      <w:r>
        <w:rPr>
          <w:rFonts w:ascii="Arial" w:eastAsia="仿宋_GB2312" w:hAnsi="Arial" w:cs="Arial" w:hint="eastAsia"/>
          <w:sz w:val="28"/>
          <w:szCs w:val="28"/>
        </w:rPr>
        <w:lastRenderedPageBreak/>
        <w:t>住宅、商业、办公、地下办公、地下车库；地上容积率为</w:t>
      </w:r>
      <w:r>
        <w:rPr>
          <w:rFonts w:ascii="Arial" w:eastAsia="仿宋_GB2312" w:hAnsi="Arial" w:cs="Arial"/>
          <w:sz w:val="28"/>
          <w:szCs w:val="28"/>
        </w:rPr>
        <w:t>5.10</w:t>
      </w:r>
      <w:r>
        <w:rPr>
          <w:rFonts w:ascii="Arial" w:eastAsia="仿宋_GB2312" w:hAnsi="Arial" w:cs="Arial" w:hint="eastAsia"/>
          <w:sz w:val="28"/>
          <w:szCs w:val="28"/>
        </w:rPr>
        <w:t>，地上住宅</w:t>
      </w:r>
      <w:r>
        <w:rPr>
          <w:rFonts w:ascii="Arial" w:eastAsia="仿宋_GB2312" w:hAnsi="Arial" w:cs="Arial"/>
          <w:sz w:val="28"/>
          <w:szCs w:val="28"/>
        </w:rPr>
        <w:t>70</w:t>
      </w:r>
      <w:r>
        <w:rPr>
          <w:rFonts w:ascii="Arial" w:eastAsia="仿宋_GB2312" w:hAnsi="Arial" w:cs="Arial" w:hint="eastAsia"/>
          <w:sz w:val="28"/>
          <w:szCs w:val="28"/>
        </w:rPr>
        <w:t>年，地上商业</w:t>
      </w:r>
      <w:r>
        <w:rPr>
          <w:rFonts w:ascii="Arial" w:eastAsia="仿宋_GB2312" w:hAnsi="Arial" w:cs="Arial"/>
          <w:sz w:val="28"/>
          <w:szCs w:val="28"/>
        </w:rPr>
        <w:t>40</w:t>
      </w:r>
      <w:r>
        <w:rPr>
          <w:rFonts w:ascii="Arial" w:eastAsia="仿宋_GB2312" w:hAnsi="Arial" w:cs="Arial" w:hint="eastAsia"/>
          <w:sz w:val="28"/>
          <w:szCs w:val="28"/>
        </w:rPr>
        <w:t>年，地上办公</w:t>
      </w:r>
      <w:r>
        <w:rPr>
          <w:rFonts w:ascii="Arial" w:eastAsia="仿宋_GB2312" w:hAnsi="Arial" w:cs="Arial"/>
          <w:sz w:val="28"/>
          <w:szCs w:val="28"/>
        </w:rPr>
        <w:t>50</w:t>
      </w:r>
      <w:r>
        <w:rPr>
          <w:rFonts w:ascii="Arial" w:eastAsia="仿宋_GB2312" w:hAnsi="Arial" w:cs="Arial" w:hint="eastAsia"/>
          <w:sz w:val="28"/>
          <w:szCs w:val="28"/>
        </w:rPr>
        <w:t>年、地下办公</w:t>
      </w:r>
      <w:r>
        <w:rPr>
          <w:rFonts w:ascii="Arial" w:eastAsia="仿宋_GB2312" w:hAnsi="Arial" w:cs="Arial"/>
          <w:sz w:val="28"/>
          <w:szCs w:val="28"/>
        </w:rPr>
        <w:t>50</w:t>
      </w:r>
      <w:r>
        <w:rPr>
          <w:rFonts w:ascii="Arial" w:eastAsia="仿宋_GB2312" w:hAnsi="Arial" w:cs="Arial" w:hint="eastAsia"/>
          <w:sz w:val="28"/>
          <w:szCs w:val="28"/>
        </w:rPr>
        <w:t>年、地下车库</w:t>
      </w:r>
      <w:r>
        <w:rPr>
          <w:rFonts w:ascii="Arial" w:eastAsia="仿宋_GB2312" w:hAnsi="Arial" w:cs="Arial"/>
          <w:sz w:val="28"/>
          <w:szCs w:val="28"/>
        </w:rPr>
        <w:t>50</w:t>
      </w:r>
      <w:r>
        <w:rPr>
          <w:rFonts w:ascii="Arial" w:eastAsia="仿宋_GB2312" w:hAnsi="Arial" w:cs="Arial" w:hint="eastAsia"/>
          <w:sz w:val="28"/>
          <w:szCs w:val="28"/>
        </w:rPr>
        <w:t>年于设定条件下完整的国有建设用地使用权价格，即出让土地使用权的正常市场价格。</w:t>
      </w:r>
    </w:p>
    <w:p w14:paraId="1A6AF5FC" w14:textId="77777777" w:rsidR="0020403B" w:rsidRDefault="0020403B" w:rsidP="002C3ABF">
      <w:pPr>
        <w:spacing w:line="360" w:lineRule="auto"/>
        <w:outlineLvl w:val="1"/>
        <w:rPr>
          <w:rFonts w:ascii="Arial" w:eastAsia="仿宋_GB2312" w:hAnsi="Arial" w:cs="Arial"/>
          <w:b/>
          <w:sz w:val="28"/>
        </w:rPr>
      </w:pPr>
      <w:bookmarkStart w:id="49" w:name="_Toc69393373"/>
      <w:r>
        <w:rPr>
          <w:rFonts w:ascii="Arial" w:eastAsia="仿宋_GB2312" w:hAnsi="Arial" w:cs="Arial"/>
          <w:b/>
          <w:sz w:val="28"/>
        </w:rPr>
        <w:br w:type="page"/>
      </w:r>
    </w:p>
    <w:p w14:paraId="04C096D6" w14:textId="459258F1" w:rsidR="002C3ABF" w:rsidRPr="00F631FB" w:rsidRDefault="002C3ABF" w:rsidP="002C3ABF">
      <w:pPr>
        <w:spacing w:line="360" w:lineRule="auto"/>
        <w:outlineLvl w:val="1"/>
        <w:rPr>
          <w:rFonts w:ascii="Arial" w:eastAsia="仿宋_GB2312" w:hAnsi="Arial" w:cs="Arial"/>
          <w:b/>
          <w:sz w:val="28"/>
        </w:rPr>
      </w:pPr>
      <w:r w:rsidRPr="00F631FB">
        <w:rPr>
          <w:rFonts w:ascii="Arial" w:eastAsia="仿宋_GB2312" w:hAnsi="Arial" w:cs="Arial"/>
          <w:b/>
          <w:sz w:val="28"/>
        </w:rPr>
        <w:lastRenderedPageBreak/>
        <w:t>七、估价结果</w:t>
      </w:r>
      <w:bookmarkEnd w:id="47"/>
      <w:bookmarkEnd w:id="48"/>
      <w:bookmarkEnd w:id="49"/>
    </w:p>
    <w:p w14:paraId="6B6749A9" w14:textId="6799FCD8" w:rsidR="002C3ABF"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kern w:val="2"/>
          <w:sz w:val="28"/>
        </w:rPr>
        <w:t>评估专业人员根据估价的目的，按照估价的程序，采用科学的估价方法（剩余法、基准地价系数修正法和</w:t>
      </w:r>
      <w:r w:rsidRPr="00F631FB">
        <w:rPr>
          <w:rFonts w:ascii="Arial" w:eastAsia="仿宋_GB2312" w:hAnsi="Arial" w:cs="Arial"/>
          <w:sz w:val="28"/>
        </w:rPr>
        <w:t>市场比较法</w:t>
      </w:r>
      <w:r w:rsidRPr="00F631FB">
        <w:rPr>
          <w:rFonts w:ascii="Arial" w:eastAsia="仿宋_GB2312" w:hAnsi="Arial" w:cs="Arial"/>
          <w:kern w:val="2"/>
          <w:sz w:val="28"/>
        </w:rPr>
        <w:t>），在认真分析现有资料的基础上，通过仔细测算和认真分析各种影响</w:t>
      </w:r>
      <w:r w:rsidRPr="00F631FB">
        <w:rPr>
          <w:rFonts w:ascii="Arial" w:eastAsia="仿宋_GB2312" w:hAnsi="Arial" w:cs="Arial"/>
          <w:sz w:val="28"/>
        </w:rPr>
        <w:t>土地</w:t>
      </w:r>
      <w:r w:rsidRPr="00F631FB">
        <w:rPr>
          <w:rFonts w:ascii="Arial" w:eastAsia="仿宋_GB2312" w:hAnsi="Arial" w:cs="Arial"/>
          <w:kern w:val="2"/>
          <w:sz w:val="28"/>
        </w:rPr>
        <w:t>价格的因素，确定</w:t>
      </w:r>
      <w:r w:rsidRPr="00F631FB">
        <w:rPr>
          <w:rFonts w:ascii="Arial" w:eastAsia="仿宋_GB2312" w:hAnsi="Arial" w:cs="Arial"/>
          <w:sz w:val="28"/>
        </w:rPr>
        <w:t>估价对象于估价期日的出让国有建设用地使用权评估价格为（币种：人民币）：</w:t>
      </w:r>
    </w:p>
    <w:p w14:paraId="34662A32" w14:textId="608AF7A9" w:rsidR="001D4423" w:rsidRDefault="001D4423" w:rsidP="001D4423">
      <w:pPr>
        <w:snapToGrid w:val="0"/>
        <w:ind w:firstLine="556"/>
        <w:rPr>
          <w:rFonts w:ascii="Arial" w:eastAsia="仿宋_GB2312" w:hAnsi="Arial" w:cs="Arial"/>
          <w:b/>
          <w:sz w:val="28"/>
          <w:szCs w:val="28"/>
        </w:rPr>
      </w:pPr>
      <w:r w:rsidRPr="00AF4CFE">
        <w:rPr>
          <w:rFonts w:ascii="Arial" w:eastAsia="仿宋_GB2312" w:hAnsi="Arial" w:cs="Arial"/>
          <w:b/>
          <w:sz w:val="28"/>
          <w:szCs w:val="28"/>
        </w:rPr>
        <w:sym w:font="Wingdings 2" w:char="F0C3"/>
      </w:r>
      <w:r w:rsidRPr="00AF4CFE">
        <w:rPr>
          <w:rFonts w:ascii="Arial" w:eastAsia="仿宋_GB2312" w:hAnsi="Arial" w:cs="Arial"/>
          <w:b/>
          <w:sz w:val="28"/>
          <w:szCs w:val="28"/>
        </w:rPr>
        <w:t xml:space="preserve"> </w:t>
      </w:r>
      <w:r w:rsidRPr="00AF4CFE">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1123"/>
        <w:gridCol w:w="1844"/>
        <w:gridCol w:w="1844"/>
        <w:gridCol w:w="2124"/>
        <w:gridCol w:w="2349"/>
      </w:tblGrid>
      <w:tr w:rsidR="00666906" w:rsidRPr="006C526D" w14:paraId="5414C436" w14:textId="77777777" w:rsidTr="00326051">
        <w:trPr>
          <w:trHeight w:val="720"/>
          <w:jc w:val="center"/>
        </w:trPr>
        <w:tc>
          <w:tcPr>
            <w:tcW w:w="605"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7E2969B2" w14:textId="77777777" w:rsidR="00666906" w:rsidRPr="006C526D" w:rsidRDefault="00666906" w:rsidP="00326051">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部位</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8D517" w14:textId="77777777" w:rsidR="00666906" w:rsidRPr="006C526D" w:rsidRDefault="00666906" w:rsidP="00326051">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7BBF4" w14:textId="0DF3B607" w:rsidR="00666906" w:rsidRPr="006C526D" w:rsidRDefault="00666906" w:rsidP="00326051">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出让建筑面积</w:t>
            </w:r>
          </w:p>
          <w:p w14:paraId="54A39DE8" w14:textId="6FB25907" w:rsidR="00666906" w:rsidRPr="006C526D" w:rsidRDefault="00666906" w:rsidP="00326051">
            <w:pPr>
              <w:spacing w:line="240" w:lineRule="auto"/>
              <w:jc w:val="center"/>
              <w:rPr>
                <w:rFonts w:ascii="Arial" w:eastAsia="仿宋_GB2312" w:hAnsi="Arial" w:cs="Arial"/>
                <w:b/>
                <w:bCs/>
                <w:sz w:val="22"/>
                <w:szCs w:val="16"/>
              </w:rPr>
            </w:pPr>
            <w:r w:rsidRPr="006C526D">
              <w:rPr>
                <w:rFonts w:ascii="Arial" w:eastAsia="仿宋_GB2312" w:hAnsi="Arial" w:cs="Arial" w:hint="eastAsia"/>
                <w:b/>
                <w:bCs/>
                <w:sz w:val="22"/>
                <w:szCs w:val="16"/>
              </w:rPr>
              <w:t>（</w:t>
            </w:r>
            <w:r w:rsidRPr="006C526D">
              <w:rPr>
                <w:rFonts w:ascii="Segoe UI Emoji" w:eastAsia="Segoe UI Emoji" w:hAnsi="Segoe UI Emoji" w:cs="Segoe UI Emoji" w:hint="eastAsia"/>
                <w:b/>
                <w:bCs/>
                <w:sz w:val="22"/>
                <w:szCs w:val="16"/>
              </w:rPr>
              <w:t>㎡</w:t>
            </w:r>
            <w:r w:rsidRPr="006C526D">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E5BF8" w14:textId="599AEC8E" w:rsidR="00666906" w:rsidRPr="006C526D" w:rsidRDefault="00666906" w:rsidP="00326051">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楼面熟地单价</w:t>
            </w:r>
          </w:p>
          <w:p w14:paraId="23EDC338" w14:textId="1D0B26DE" w:rsidR="00666906" w:rsidRPr="006C526D" w:rsidRDefault="00666906" w:rsidP="00326051">
            <w:pPr>
              <w:spacing w:line="240" w:lineRule="auto"/>
              <w:jc w:val="center"/>
              <w:rPr>
                <w:rFonts w:ascii="Arial" w:eastAsia="仿宋_GB2312" w:hAnsi="Arial" w:cs="Arial"/>
                <w:b/>
                <w:bCs/>
                <w:sz w:val="22"/>
                <w:szCs w:val="16"/>
              </w:rPr>
            </w:pPr>
            <w:r w:rsidRPr="006C526D">
              <w:rPr>
                <w:rFonts w:ascii="Arial" w:eastAsia="仿宋_GB2312" w:hAnsi="Arial" w:cs="Arial" w:hint="eastAsia"/>
                <w:b/>
                <w:bCs/>
                <w:sz w:val="22"/>
                <w:szCs w:val="16"/>
              </w:rPr>
              <w:t>（元</w:t>
            </w:r>
            <w:r w:rsidRPr="006C526D">
              <w:rPr>
                <w:rFonts w:ascii="Arial" w:eastAsia="仿宋_GB2312" w:hAnsi="Arial" w:cs="Arial" w:hint="eastAsia"/>
                <w:b/>
                <w:bCs/>
                <w:sz w:val="22"/>
                <w:szCs w:val="16"/>
              </w:rPr>
              <w:t>/</w:t>
            </w:r>
            <w:r w:rsidRPr="006C526D">
              <w:rPr>
                <w:rFonts w:ascii="Segoe UI Emoji" w:eastAsia="Segoe UI Emoji" w:hAnsi="Segoe UI Emoji" w:cs="Segoe UI Emoji" w:hint="eastAsia"/>
                <w:b/>
                <w:bCs/>
                <w:sz w:val="22"/>
                <w:szCs w:val="16"/>
              </w:rPr>
              <w:t>㎡</w:t>
            </w:r>
            <w:r w:rsidRPr="006C526D">
              <w:rPr>
                <w:rFonts w:ascii="Arial" w:eastAsia="仿宋_GB2312" w:hAnsi="Arial" w:cs="Arial"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55664" w14:textId="77777777" w:rsidR="00666906" w:rsidRPr="006C526D" w:rsidRDefault="00666906" w:rsidP="00326051">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熟地总价</w:t>
            </w:r>
          </w:p>
          <w:p w14:paraId="7367116F" w14:textId="135EC549" w:rsidR="00666906" w:rsidRPr="006C526D" w:rsidRDefault="00666906" w:rsidP="00326051">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w:t>
            </w:r>
            <w:r w:rsidRPr="006C526D">
              <w:rPr>
                <w:rFonts w:ascii="Arial" w:eastAsia="仿宋_GB2312" w:hAnsi="Arial" w:cs="Arial" w:hint="eastAsia"/>
                <w:b/>
                <w:bCs/>
                <w:sz w:val="22"/>
                <w:szCs w:val="16"/>
              </w:rPr>
              <w:t>万元）</w:t>
            </w:r>
          </w:p>
        </w:tc>
      </w:tr>
      <w:tr w:rsidR="003C48EF" w:rsidRPr="000B7D55" w14:paraId="6605826D" w14:textId="77777777" w:rsidTr="00326051">
        <w:trPr>
          <w:trHeight w:val="420"/>
          <w:jc w:val="center"/>
        </w:trPr>
        <w:tc>
          <w:tcPr>
            <w:tcW w:w="605" w:type="pct"/>
            <w:vMerge w:val="restart"/>
            <w:tcBorders>
              <w:top w:val="nil"/>
              <w:left w:val="single" w:sz="8" w:space="0" w:color="auto"/>
              <w:bottom w:val="single" w:sz="8" w:space="0" w:color="auto"/>
              <w:right w:val="single" w:sz="8" w:space="0" w:color="auto"/>
            </w:tcBorders>
            <w:shd w:val="clear" w:color="auto" w:fill="auto"/>
            <w:vAlign w:val="center"/>
            <w:hideMark/>
          </w:tcPr>
          <w:p w14:paraId="0941BBF2" w14:textId="77777777"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地上</w:t>
            </w:r>
          </w:p>
        </w:tc>
        <w:tc>
          <w:tcPr>
            <w:tcW w:w="993" w:type="pct"/>
            <w:tcBorders>
              <w:top w:val="single" w:sz="4" w:space="0" w:color="auto"/>
              <w:left w:val="nil"/>
              <w:bottom w:val="single" w:sz="8" w:space="0" w:color="auto"/>
              <w:right w:val="single" w:sz="8" w:space="0" w:color="auto"/>
            </w:tcBorders>
            <w:shd w:val="clear" w:color="auto" w:fill="auto"/>
            <w:vAlign w:val="center"/>
            <w:hideMark/>
          </w:tcPr>
          <w:p w14:paraId="39D3F1C8" w14:textId="77777777"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住宅</w:t>
            </w:r>
          </w:p>
        </w:tc>
        <w:tc>
          <w:tcPr>
            <w:tcW w:w="993" w:type="pct"/>
            <w:tcBorders>
              <w:top w:val="single" w:sz="4" w:space="0" w:color="auto"/>
              <w:left w:val="nil"/>
              <w:bottom w:val="single" w:sz="8" w:space="0" w:color="auto"/>
              <w:right w:val="single" w:sz="8" w:space="0" w:color="auto"/>
            </w:tcBorders>
            <w:shd w:val="clear" w:color="auto" w:fill="auto"/>
            <w:vAlign w:val="center"/>
            <w:hideMark/>
          </w:tcPr>
          <w:p w14:paraId="12EF4858" w14:textId="47837199" w:rsidR="003C48EF" w:rsidRPr="000B7D55" w:rsidRDefault="003C48EF" w:rsidP="003C48EF">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28075</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00B724C6" w14:textId="008D765E" w:rsidR="003C48EF" w:rsidRPr="000B7D55" w:rsidRDefault="000B7D55" w:rsidP="003C48EF">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79598</w:t>
            </w:r>
            <w:r w:rsidR="003C48EF" w:rsidRPr="000B7D55">
              <w:rPr>
                <w:rFonts w:ascii="Arial" w:eastAsia="仿宋_GB2312" w:hAnsi="Arial" w:cs="Arial"/>
                <w:color w:val="000000" w:themeColor="text1"/>
                <w:sz w:val="22"/>
                <w:szCs w:val="16"/>
              </w:rPr>
              <w:t xml:space="preserve"> </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0D0A7A61" w14:textId="13F47FB4" w:rsidR="003C48EF" w:rsidRPr="000B7D55" w:rsidRDefault="000B7D55" w:rsidP="003C48EF">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223471.3850</w:t>
            </w:r>
          </w:p>
        </w:tc>
      </w:tr>
      <w:tr w:rsidR="003C48EF" w:rsidRPr="000B7D55" w14:paraId="1A61AB22" w14:textId="77777777" w:rsidTr="00326051">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7C6974DC" w14:textId="77777777"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74B51B99" w14:textId="77777777"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商业</w:t>
            </w:r>
          </w:p>
        </w:tc>
        <w:tc>
          <w:tcPr>
            <w:tcW w:w="993" w:type="pct"/>
            <w:tcBorders>
              <w:top w:val="nil"/>
              <w:left w:val="nil"/>
              <w:bottom w:val="single" w:sz="8" w:space="0" w:color="auto"/>
              <w:right w:val="single" w:sz="8" w:space="0" w:color="auto"/>
            </w:tcBorders>
            <w:shd w:val="clear" w:color="auto" w:fill="auto"/>
            <w:vAlign w:val="center"/>
            <w:hideMark/>
          </w:tcPr>
          <w:p w14:paraId="62F0AA33" w14:textId="33E44F66" w:rsidR="003C48EF" w:rsidRPr="000B7D55" w:rsidRDefault="003C48EF" w:rsidP="003C48EF">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3318</w:t>
            </w:r>
          </w:p>
        </w:tc>
        <w:tc>
          <w:tcPr>
            <w:tcW w:w="1144" w:type="pct"/>
            <w:tcBorders>
              <w:top w:val="nil"/>
              <w:left w:val="nil"/>
              <w:bottom w:val="single" w:sz="8" w:space="0" w:color="auto"/>
              <w:right w:val="single" w:sz="8" w:space="0" w:color="auto"/>
            </w:tcBorders>
            <w:shd w:val="clear" w:color="auto" w:fill="auto"/>
            <w:vAlign w:val="center"/>
            <w:hideMark/>
          </w:tcPr>
          <w:p w14:paraId="45BE5CD7" w14:textId="2BD03DAA" w:rsidR="003C48EF" w:rsidRPr="000B7D55" w:rsidRDefault="000B7D55" w:rsidP="003C48EF">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30853</w:t>
            </w:r>
            <w:r w:rsidR="003C48EF" w:rsidRPr="000B7D55">
              <w:rPr>
                <w:rFonts w:ascii="Arial" w:eastAsia="仿宋_GB2312" w:hAnsi="Arial" w:cs="Arial"/>
                <w:color w:val="000000" w:themeColor="text1"/>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32FC76AD" w14:textId="53A69134" w:rsidR="003C48EF" w:rsidRPr="000B7D55" w:rsidRDefault="000B7D55" w:rsidP="003C48EF">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10237.0254</w:t>
            </w:r>
          </w:p>
        </w:tc>
      </w:tr>
      <w:tr w:rsidR="003C48EF" w:rsidRPr="000B7D55" w14:paraId="1A207E80" w14:textId="77777777" w:rsidTr="00326051">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2FEEFA7D" w14:textId="77777777"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7E0C5DA8" w14:textId="77777777"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办公</w:t>
            </w:r>
          </w:p>
        </w:tc>
        <w:tc>
          <w:tcPr>
            <w:tcW w:w="993" w:type="pct"/>
            <w:tcBorders>
              <w:top w:val="nil"/>
              <w:left w:val="nil"/>
              <w:bottom w:val="single" w:sz="8" w:space="0" w:color="auto"/>
              <w:right w:val="single" w:sz="8" w:space="0" w:color="auto"/>
            </w:tcBorders>
            <w:shd w:val="clear" w:color="auto" w:fill="auto"/>
            <w:vAlign w:val="center"/>
            <w:hideMark/>
          </w:tcPr>
          <w:p w14:paraId="3B71E47A" w14:textId="594E364A" w:rsidR="003C48EF" w:rsidRPr="000B7D55" w:rsidRDefault="003C48EF" w:rsidP="003C48EF">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118</w:t>
            </w:r>
          </w:p>
        </w:tc>
        <w:tc>
          <w:tcPr>
            <w:tcW w:w="1144" w:type="pct"/>
            <w:tcBorders>
              <w:top w:val="nil"/>
              <w:left w:val="nil"/>
              <w:bottom w:val="single" w:sz="8" w:space="0" w:color="auto"/>
              <w:right w:val="single" w:sz="8" w:space="0" w:color="auto"/>
            </w:tcBorders>
            <w:shd w:val="clear" w:color="auto" w:fill="auto"/>
            <w:vAlign w:val="center"/>
            <w:hideMark/>
          </w:tcPr>
          <w:p w14:paraId="1B56EC45" w14:textId="649F1E8C" w:rsidR="003C48EF" w:rsidRPr="000B7D55" w:rsidRDefault="000B7D55" w:rsidP="003C48EF">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30708</w:t>
            </w:r>
            <w:r w:rsidR="003C48EF" w:rsidRPr="000B7D55">
              <w:rPr>
                <w:rFonts w:ascii="Arial" w:eastAsia="仿宋_GB2312" w:hAnsi="Arial" w:cs="Arial"/>
                <w:color w:val="000000" w:themeColor="text1"/>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70B2E5A2" w14:textId="08ECBE22" w:rsidR="003C48EF" w:rsidRPr="000B7D55" w:rsidRDefault="000B7D55" w:rsidP="003C48EF">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362.3544</w:t>
            </w:r>
          </w:p>
        </w:tc>
      </w:tr>
      <w:tr w:rsidR="003C48EF" w:rsidRPr="000B7D55" w14:paraId="432EF1CD" w14:textId="77777777" w:rsidTr="00326051">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6BA1B7B5" w14:textId="77777777"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36119856" w14:textId="77777777"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小计</w:t>
            </w:r>
          </w:p>
        </w:tc>
        <w:tc>
          <w:tcPr>
            <w:tcW w:w="993" w:type="pct"/>
            <w:tcBorders>
              <w:top w:val="nil"/>
              <w:left w:val="nil"/>
              <w:bottom w:val="single" w:sz="8" w:space="0" w:color="auto"/>
              <w:right w:val="single" w:sz="8" w:space="0" w:color="auto"/>
            </w:tcBorders>
            <w:shd w:val="clear" w:color="auto" w:fill="auto"/>
            <w:vAlign w:val="center"/>
            <w:hideMark/>
          </w:tcPr>
          <w:p w14:paraId="5C0DDF33" w14:textId="02E1B239"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31511</w:t>
            </w:r>
          </w:p>
        </w:tc>
        <w:tc>
          <w:tcPr>
            <w:tcW w:w="1144" w:type="pct"/>
            <w:tcBorders>
              <w:top w:val="nil"/>
              <w:left w:val="nil"/>
              <w:bottom w:val="single" w:sz="8" w:space="0" w:color="auto"/>
              <w:right w:val="single" w:sz="8" w:space="0" w:color="auto"/>
            </w:tcBorders>
            <w:shd w:val="clear" w:color="auto" w:fill="auto"/>
            <w:vAlign w:val="center"/>
            <w:hideMark/>
          </w:tcPr>
          <w:p w14:paraId="1B389E11" w14:textId="53513438"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w:t>
            </w:r>
            <w:r w:rsidR="00826D24" w:rsidRPr="000B7D55">
              <w:rPr>
                <w:rFonts w:ascii="Arial" w:eastAsia="仿宋_GB2312" w:hAnsi="Arial" w:cs="Arial"/>
                <w:b/>
                <w:bCs/>
                <w:color w:val="000000" w:themeColor="text1"/>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6614B349" w14:textId="5BA9EB3F" w:rsidR="003C48EF" w:rsidRPr="000B7D55" w:rsidRDefault="000B7D55" w:rsidP="003C48EF">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234070.7648</w:t>
            </w:r>
          </w:p>
        </w:tc>
      </w:tr>
      <w:tr w:rsidR="003C48EF" w:rsidRPr="000B7D55" w14:paraId="0EFDDD98" w14:textId="77777777" w:rsidTr="00326051">
        <w:trPr>
          <w:trHeight w:val="420"/>
          <w:jc w:val="center"/>
        </w:trPr>
        <w:tc>
          <w:tcPr>
            <w:tcW w:w="605" w:type="pct"/>
            <w:vMerge w:val="restart"/>
            <w:tcBorders>
              <w:top w:val="nil"/>
              <w:left w:val="single" w:sz="8" w:space="0" w:color="auto"/>
              <w:bottom w:val="single" w:sz="8" w:space="0" w:color="auto"/>
              <w:right w:val="single" w:sz="8" w:space="0" w:color="auto"/>
            </w:tcBorders>
            <w:shd w:val="clear" w:color="auto" w:fill="auto"/>
            <w:vAlign w:val="center"/>
            <w:hideMark/>
          </w:tcPr>
          <w:p w14:paraId="7AFF3018" w14:textId="77777777"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地下</w:t>
            </w:r>
          </w:p>
        </w:tc>
        <w:tc>
          <w:tcPr>
            <w:tcW w:w="993" w:type="pct"/>
            <w:tcBorders>
              <w:top w:val="nil"/>
              <w:left w:val="nil"/>
              <w:bottom w:val="single" w:sz="8" w:space="0" w:color="auto"/>
              <w:right w:val="single" w:sz="8" w:space="0" w:color="auto"/>
            </w:tcBorders>
            <w:shd w:val="clear" w:color="auto" w:fill="auto"/>
            <w:vAlign w:val="center"/>
            <w:hideMark/>
          </w:tcPr>
          <w:p w14:paraId="2AE4F4C4" w14:textId="77777777"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地下办公</w:t>
            </w:r>
          </w:p>
        </w:tc>
        <w:tc>
          <w:tcPr>
            <w:tcW w:w="993" w:type="pct"/>
            <w:tcBorders>
              <w:top w:val="nil"/>
              <w:left w:val="nil"/>
              <w:bottom w:val="single" w:sz="8" w:space="0" w:color="auto"/>
              <w:right w:val="single" w:sz="8" w:space="0" w:color="auto"/>
            </w:tcBorders>
            <w:shd w:val="clear" w:color="auto" w:fill="auto"/>
            <w:vAlign w:val="center"/>
            <w:hideMark/>
          </w:tcPr>
          <w:p w14:paraId="2C8EDA59" w14:textId="48877CCE" w:rsidR="003C48EF" w:rsidRPr="000B7D55" w:rsidRDefault="003C48EF" w:rsidP="003C48EF">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32</w:t>
            </w:r>
          </w:p>
        </w:tc>
        <w:tc>
          <w:tcPr>
            <w:tcW w:w="1144" w:type="pct"/>
            <w:tcBorders>
              <w:top w:val="nil"/>
              <w:left w:val="nil"/>
              <w:bottom w:val="single" w:sz="8" w:space="0" w:color="auto"/>
              <w:right w:val="single" w:sz="8" w:space="0" w:color="auto"/>
            </w:tcBorders>
            <w:shd w:val="clear" w:color="auto" w:fill="auto"/>
            <w:vAlign w:val="center"/>
            <w:hideMark/>
          </w:tcPr>
          <w:p w14:paraId="7F5B4552" w14:textId="6FFA0D79" w:rsidR="003C48EF" w:rsidRPr="000B7D55" w:rsidRDefault="000B7D55" w:rsidP="003C48EF">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9538</w:t>
            </w:r>
            <w:r w:rsidR="003C48EF" w:rsidRPr="000B7D55">
              <w:rPr>
                <w:rFonts w:ascii="Arial" w:eastAsia="仿宋_GB2312" w:hAnsi="Arial" w:cs="Arial"/>
                <w:color w:val="000000" w:themeColor="text1"/>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6B7F5572" w14:textId="5EB2BE5A" w:rsidR="003C48EF" w:rsidRPr="000B7D55" w:rsidRDefault="000B7D55" w:rsidP="003C48EF">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30.5216</w:t>
            </w:r>
          </w:p>
        </w:tc>
      </w:tr>
      <w:tr w:rsidR="003C48EF" w:rsidRPr="000B7D55" w14:paraId="366A0CFE" w14:textId="77777777" w:rsidTr="00326051">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3C2AC857" w14:textId="77777777"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50548D51" w14:textId="77777777"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地下车库</w:t>
            </w:r>
          </w:p>
        </w:tc>
        <w:tc>
          <w:tcPr>
            <w:tcW w:w="993" w:type="pct"/>
            <w:tcBorders>
              <w:top w:val="nil"/>
              <w:left w:val="nil"/>
              <w:bottom w:val="single" w:sz="8" w:space="0" w:color="auto"/>
              <w:right w:val="single" w:sz="8" w:space="0" w:color="auto"/>
            </w:tcBorders>
            <w:shd w:val="clear" w:color="auto" w:fill="auto"/>
            <w:vAlign w:val="center"/>
            <w:hideMark/>
          </w:tcPr>
          <w:p w14:paraId="56BE42DA" w14:textId="42C9769B" w:rsidR="003C48EF" w:rsidRPr="000B7D55" w:rsidRDefault="003C48EF" w:rsidP="003C48EF">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10345</w:t>
            </w:r>
            <w:r w:rsidR="00826D24" w:rsidRPr="000B7D55">
              <w:rPr>
                <w:rFonts w:ascii="Arial" w:eastAsia="仿宋_GB2312" w:hAnsi="Arial" w:cs="Arial"/>
                <w:color w:val="000000" w:themeColor="text1"/>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5C178AA6" w14:textId="16582B59" w:rsidR="003C48EF" w:rsidRPr="000B7D55" w:rsidRDefault="00443EF8" w:rsidP="003C48EF">
            <w:pPr>
              <w:widowControl/>
              <w:adjustRightInd/>
              <w:spacing w:line="240" w:lineRule="auto"/>
              <w:jc w:val="center"/>
              <w:textAlignment w:val="auto"/>
              <w:rPr>
                <w:rFonts w:ascii="Arial" w:eastAsia="仿宋_GB2312" w:hAnsi="Arial" w:cs="Arial"/>
                <w:color w:val="000000" w:themeColor="text1"/>
                <w:sz w:val="22"/>
                <w:szCs w:val="16"/>
              </w:rPr>
            </w:pPr>
            <w:r>
              <w:rPr>
                <w:rFonts w:ascii="Arial" w:eastAsia="仿宋_GB2312" w:hAnsi="Arial" w:cs="Arial"/>
                <w:color w:val="000000" w:themeColor="text1"/>
                <w:sz w:val="22"/>
                <w:szCs w:val="16"/>
              </w:rPr>
              <w:t>9922</w:t>
            </w:r>
            <w:r w:rsidR="003C48EF" w:rsidRPr="000B7D55">
              <w:rPr>
                <w:rFonts w:ascii="Arial" w:eastAsia="仿宋_GB2312" w:hAnsi="Arial" w:cs="Arial"/>
                <w:color w:val="000000" w:themeColor="text1"/>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0E2ED9E6" w14:textId="4C1D35C9" w:rsidR="003C48EF" w:rsidRPr="000B7D55" w:rsidRDefault="00443EF8" w:rsidP="003C48EF">
            <w:pPr>
              <w:widowControl/>
              <w:adjustRightInd/>
              <w:spacing w:line="240" w:lineRule="auto"/>
              <w:jc w:val="center"/>
              <w:textAlignment w:val="auto"/>
              <w:rPr>
                <w:rFonts w:ascii="Arial" w:eastAsia="仿宋_GB2312" w:hAnsi="Arial" w:cs="Arial"/>
                <w:color w:val="000000" w:themeColor="text1"/>
                <w:sz w:val="22"/>
                <w:szCs w:val="16"/>
              </w:rPr>
            </w:pPr>
            <w:r>
              <w:rPr>
                <w:rFonts w:ascii="Arial" w:eastAsia="仿宋_GB2312" w:hAnsi="Arial" w:cs="Arial"/>
                <w:color w:val="000000" w:themeColor="text1"/>
                <w:sz w:val="22"/>
                <w:szCs w:val="16"/>
              </w:rPr>
              <w:t>10264.3288</w:t>
            </w:r>
          </w:p>
        </w:tc>
      </w:tr>
      <w:tr w:rsidR="003C48EF" w:rsidRPr="000B7D55" w14:paraId="2D6163D3" w14:textId="77777777" w:rsidTr="00326051">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1D814E35" w14:textId="77777777"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04A20A3E" w14:textId="77777777"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小计</w:t>
            </w:r>
          </w:p>
        </w:tc>
        <w:tc>
          <w:tcPr>
            <w:tcW w:w="993" w:type="pct"/>
            <w:tcBorders>
              <w:top w:val="nil"/>
              <w:left w:val="nil"/>
              <w:bottom w:val="single" w:sz="8" w:space="0" w:color="auto"/>
              <w:right w:val="single" w:sz="8" w:space="0" w:color="auto"/>
            </w:tcBorders>
            <w:shd w:val="clear" w:color="auto" w:fill="auto"/>
            <w:vAlign w:val="center"/>
            <w:hideMark/>
          </w:tcPr>
          <w:p w14:paraId="576FAED5" w14:textId="7DBD03CE" w:rsidR="003C48EF" w:rsidRPr="000B7D55" w:rsidRDefault="0020403B" w:rsidP="003C48EF">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10377.02</w:t>
            </w:r>
          </w:p>
        </w:tc>
        <w:tc>
          <w:tcPr>
            <w:tcW w:w="1144" w:type="pct"/>
            <w:tcBorders>
              <w:top w:val="nil"/>
              <w:left w:val="nil"/>
              <w:bottom w:val="single" w:sz="8" w:space="0" w:color="auto"/>
              <w:right w:val="single" w:sz="8" w:space="0" w:color="auto"/>
            </w:tcBorders>
            <w:shd w:val="clear" w:color="auto" w:fill="auto"/>
            <w:vAlign w:val="center"/>
            <w:hideMark/>
          </w:tcPr>
          <w:p w14:paraId="72931810" w14:textId="6D4D35A9"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w:t>
            </w:r>
            <w:r w:rsidR="00826D24" w:rsidRPr="000B7D55">
              <w:rPr>
                <w:rFonts w:ascii="Arial" w:eastAsia="仿宋_GB2312" w:hAnsi="Arial" w:cs="Arial"/>
                <w:b/>
                <w:bCs/>
                <w:color w:val="000000" w:themeColor="text1"/>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100F133A" w14:textId="66044160" w:rsidR="003C48EF" w:rsidRPr="000B7D55" w:rsidRDefault="00443EF8" w:rsidP="003C48EF">
            <w:pPr>
              <w:widowControl/>
              <w:adjustRightInd/>
              <w:spacing w:line="240" w:lineRule="auto"/>
              <w:jc w:val="center"/>
              <w:textAlignment w:val="auto"/>
              <w:rPr>
                <w:rFonts w:ascii="Arial" w:eastAsia="仿宋_GB2312" w:hAnsi="Arial" w:cs="Arial"/>
                <w:b/>
                <w:bCs/>
                <w:color w:val="000000" w:themeColor="text1"/>
                <w:sz w:val="22"/>
                <w:szCs w:val="16"/>
              </w:rPr>
            </w:pPr>
            <w:r>
              <w:rPr>
                <w:rFonts w:ascii="Arial" w:eastAsia="仿宋_GB2312" w:hAnsi="Arial" w:cs="Arial"/>
                <w:b/>
                <w:bCs/>
                <w:color w:val="000000" w:themeColor="text1"/>
                <w:sz w:val="22"/>
                <w:szCs w:val="16"/>
              </w:rPr>
              <w:t>10294.8504</w:t>
            </w:r>
          </w:p>
        </w:tc>
      </w:tr>
      <w:tr w:rsidR="003C48EF" w:rsidRPr="000B7D55" w14:paraId="5A7E634D" w14:textId="77777777" w:rsidTr="00326051">
        <w:trPr>
          <w:trHeight w:val="420"/>
          <w:jc w:val="center"/>
        </w:trPr>
        <w:tc>
          <w:tcPr>
            <w:tcW w:w="1598"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C3F61A2" w14:textId="77777777"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合计</w:t>
            </w:r>
          </w:p>
        </w:tc>
        <w:tc>
          <w:tcPr>
            <w:tcW w:w="993" w:type="pct"/>
            <w:tcBorders>
              <w:top w:val="nil"/>
              <w:left w:val="nil"/>
              <w:bottom w:val="single" w:sz="8" w:space="0" w:color="auto"/>
              <w:right w:val="single" w:sz="8" w:space="0" w:color="auto"/>
            </w:tcBorders>
            <w:shd w:val="clear" w:color="auto" w:fill="auto"/>
            <w:vAlign w:val="center"/>
            <w:hideMark/>
          </w:tcPr>
          <w:p w14:paraId="76913E5E" w14:textId="222E2E2A" w:rsidR="003C48EF" w:rsidRPr="000B7D55" w:rsidRDefault="0028694F" w:rsidP="003C48EF">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41888.02</w:t>
            </w:r>
          </w:p>
        </w:tc>
        <w:tc>
          <w:tcPr>
            <w:tcW w:w="1144" w:type="pct"/>
            <w:tcBorders>
              <w:top w:val="nil"/>
              <w:left w:val="nil"/>
              <w:bottom w:val="single" w:sz="8" w:space="0" w:color="auto"/>
              <w:right w:val="single" w:sz="8" w:space="0" w:color="auto"/>
            </w:tcBorders>
            <w:shd w:val="clear" w:color="auto" w:fill="auto"/>
            <w:vAlign w:val="center"/>
            <w:hideMark/>
          </w:tcPr>
          <w:p w14:paraId="3D129708" w14:textId="06280A3F" w:rsidR="003C48EF" w:rsidRPr="000B7D55" w:rsidRDefault="003C48EF" w:rsidP="003C48EF">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0D38E38D" w14:textId="6DE9A379" w:rsidR="003C48EF" w:rsidRPr="000B7D55" w:rsidRDefault="00443EF8" w:rsidP="003C48EF">
            <w:pPr>
              <w:widowControl/>
              <w:adjustRightInd/>
              <w:spacing w:line="240" w:lineRule="auto"/>
              <w:jc w:val="center"/>
              <w:textAlignment w:val="auto"/>
              <w:rPr>
                <w:rFonts w:ascii="Arial" w:eastAsia="仿宋_GB2312" w:hAnsi="Arial" w:cs="Arial"/>
                <w:b/>
                <w:bCs/>
                <w:color w:val="000000" w:themeColor="text1"/>
                <w:sz w:val="22"/>
                <w:szCs w:val="16"/>
              </w:rPr>
            </w:pPr>
            <w:r>
              <w:rPr>
                <w:rFonts w:ascii="Arial" w:eastAsia="仿宋_GB2312" w:hAnsi="Arial" w:cs="Arial"/>
                <w:b/>
                <w:bCs/>
                <w:color w:val="000000" w:themeColor="text1"/>
                <w:sz w:val="22"/>
                <w:szCs w:val="16"/>
              </w:rPr>
              <w:t>244365.6152</w:t>
            </w:r>
          </w:p>
        </w:tc>
      </w:tr>
    </w:tbl>
    <w:p w14:paraId="49EC0963" w14:textId="282BEF96" w:rsidR="001D4423" w:rsidRPr="000B7D55" w:rsidRDefault="001D4423" w:rsidP="00666906">
      <w:pPr>
        <w:snapToGrid w:val="0"/>
        <w:spacing w:beforeLines="100" w:before="240"/>
        <w:ind w:firstLine="556"/>
        <w:rPr>
          <w:rFonts w:ascii="Arial" w:eastAsia="仿宋_GB2312" w:hAnsi="Arial" w:cs="Arial"/>
          <w:b/>
          <w:color w:val="000000" w:themeColor="text1"/>
          <w:sz w:val="28"/>
          <w:szCs w:val="28"/>
        </w:rPr>
      </w:pPr>
      <w:r w:rsidRPr="000B7D55">
        <w:rPr>
          <w:rFonts w:ascii="Arial" w:eastAsia="仿宋_GB2312" w:hAnsi="Arial" w:cs="Arial"/>
          <w:b/>
          <w:color w:val="000000" w:themeColor="text1"/>
          <w:sz w:val="28"/>
          <w:szCs w:val="28"/>
        </w:rPr>
        <w:sym w:font="Wingdings 2" w:char="F0C3"/>
      </w:r>
      <w:r w:rsidRPr="000B7D55">
        <w:rPr>
          <w:rFonts w:ascii="Arial" w:eastAsia="仿宋_GB2312" w:hAnsi="Arial" w:cs="Arial"/>
          <w:b/>
          <w:color w:val="000000" w:themeColor="text1"/>
          <w:sz w:val="28"/>
          <w:szCs w:val="28"/>
        </w:rPr>
        <w:t>政府土地出让收益</w:t>
      </w:r>
    </w:p>
    <w:tbl>
      <w:tblPr>
        <w:tblW w:w="5000" w:type="pct"/>
        <w:tblLook w:val="04A0" w:firstRow="1" w:lastRow="0" w:firstColumn="1" w:lastColumn="0" w:noHBand="0" w:noVBand="1"/>
      </w:tblPr>
      <w:tblGrid>
        <w:gridCol w:w="1123"/>
        <w:gridCol w:w="1844"/>
        <w:gridCol w:w="1844"/>
        <w:gridCol w:w="2124"/>
        <w:gridCol w:w="2349"/>
      </w:tblGrid>
      <w:tr w:rsidR="00666906" w:rsidRPr="000B7D55" w14:paraId="6B01B6AA" w14:textId="77777777" w:rsidTr="00666906">
        <w:trPr>
          <w:trHeight w:val="936"/>
        </w:trPr>
        <w:tc>
          <w:tcPr>
            <w:tcW w:w="60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5EFEF3FC" w14:textId="77777777" w:rsidR="00666906" w:rsidRPr="000B7D55" w:rsidRDefault="00666906" w:rsidP="00666906">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部位</w:t>
            </w:r>
          </w:p>
        </w:tc>
        <w:tc>
          <w:tcPr>
            <w:tcW w:w="993"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75E304E7" w14:textId="77777777" w:rsidR="00666906" w:rsidRPr="000B7D55" w:rsidRDefault="00666906" w:rsidP="00666906">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DAC01" w14:textId="03AE60A9" w:rsidR="00666906" w:rsidRPr="000B7D55" w:rsidRDefault="00666906" w:rsidP="00666906">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出让建筑面积</w:t>
            </w:r>
          </w:p>
          <w:p w14:paraId="21400383" w14:textId="569C7A41" w:rsidR="00666906" w:rsidRPr="000B7D55" w:rsidRDefault="00666906" w:rsidP="00666906">
            <w:pPr>
              <w:spacing w:line="240" w:lineRule="auto"/>
              <w:jc w:val="center"/>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w:t>
            </w:r>
            <w:r w:rsidRPr="000B7D55">
              <w:rPr>
                <w:rFonts w:ascii="Segoe UI Emoji" w:eastAsia="Segoe UI Emoji" w:hAnsi="Segoe UI Emoji" w:cs="Segoe UI Emoji" w:hint="eastAsia"/>
                <w:b/>
                <w:bCs/>
                <w:color w:val="000000" w:themeColor="text1"/>
                <w:sz w:val="22"/>
                <w:szCs w:val="16"/>
              </w:rPr>
              <w:t>㎡</w:t>
            </w:r>
            <w:r w:rsidRPr="000B7D55">
              <w:rPr>
                <w:rFonts w:ascii="Arial" w:eastAsia="仿宋_GB2312" w:hAnsi="Arial" w:cs="Arial" w:hint="eastAsia"/>
                <w:b/>
                <w:bCs/>
                <w:color w:val="000000" w:themeColor="text1"/>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37A27" w14:textId="147DF90E" w:rsidR="00666906" w:rsidRPr="000B7D55" w:rsidRDefault="00666906" w:rsidP="00666906">
            <w:pPr>
              <w:widowControl/>
              <w:adjustRightInd/>
              <w:spacing w:line="240" w:lineRule="auto"/>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政府土地出让收益楼面单价（元</w:t>
            </w:r>
            <w:r w:rsidRPr="000B7D55">
              <w:rPr>
                <w:rFonts w:ascii="Arial" w:eastAsia="仿宋_GB2312" w:hAnsi="Arial" w:cs="Arial" w:hint="eastAsia"/>
                <w:b/>
                <w:bCs/>
                <w:color w:val="000000" w:themeColor="text1"/>
                <w:sz w:val="22"/>
                <w:szCs w:val="16"/>
              </w:rPr>
              <w:t>/</w:t>
            </w:r>
            <w:r w:rsidRPr="000B7D55">
              <w:rPr>
                <w:rFonts w:ascii="Segoe UI Emoji" w:eastAsia="Segoe UI Emoji" w:hAnsi="Segoe UI Emoji" w:cs="Segoe UI Emoji" w:hint="eastAsia"/>
                <w:b/>
                <w:bCs/>
                <w:color w:val="000000" w:themeColor="text1"/>
                <w:sz w:val="22"/>
                <w:szCs w:val="16"/>
              </w:rPr>
              <w:t>㎡</w:t>
            </w:r>
            <w:r w:rsidRPr="000B7D55">
              <w:rPr>
                <w:rFonts w:ascii="微软雅黑" w:eastAsia="微软雅黑" w:hAnsi="微软雅黑" w:cs="微软雅黑" w:hint="eastAsia"/>
                <w:b/>
                <w:bCs/>
                <w:color w:val="000000" w:themeColor="text1"/>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A9142" w14:textId="77777777" w:rsidR="00666906" w:rsidRPr="000B7D55" w:rsidRDefault="00666906" w:rsidP="00666906">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政府土地出让</w:t>
            </w:r>
          </w:p>
          <w:p w14:paraId="5F020188" w14:textId="5ECB7F96" w:rsidR="00666906" w:rsidRPr="000B7D55" w:rsidRDefault="00666906" w:rsidP="00666906">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收益总价</w:t>
            </w:r>
            <w:r w:rsidRPr="000B7D55">
              <w:rPr>
                <w:rFonts w:ascii="Arial" w:eastAsia="仿宋_GB2312" w:hAnsi="Arial" w:cs="Arial" w:hint="eastAsia"/>
                <w:b/>
                <w:bCs/>
                <w:color w:val="000000" w:themeColor="text1"/>
                <w:sz w:val="22"/>
                <w:szCs w:val="16"/>
              </w:rPr>
              <w:t>(</w:t>
            </w:r>
            <w:r w:rsidRPr="000B7D55">
              <w:rPr>
                <w:rFonts w:ascii="Arial" w:eastAsia="仿宋_GB2312" w:hAnsi="Arial" w:cs="Arial" w:hint="eastAsia"/>
                <w:b/>
                <w:bCs/>
                <w:color w:val="000000" w:themeColor="text1"/>
                <w:sz w:val="22"/>
                <w:szCs w:val="16"/>
              </w:rPr>
              <w:t>万元）</w:t>
            </w:r>
          </w:p>
        </w:tc>
      </w:tr>
      <w:tr w:rsidR="00826D24" w:rsidRPr="000B7D55" w14:paraId="2A8F1A48" w14:textId="77777777" w:rsidTr="00666906">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7C57A0F7" w14:textId="77777777"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地上</w:t>
            </w:r>
          </w:p>
        </w:tc>
        <w:tc>
          <w:tcPr>
            <w:tcW w:w="993" w:type="pct"/>
            <w:tcBorders>
              <w:top w:val="nil"/>
              <w:left w:val="nil"/>
              <w:bottom w:val="single" w:sz="8" w:space="0" w:color="auto"/>
              <w:right w:val="nil"/>
            </w:tcBorders>
            <w:shd w:val="clear" w:color="auto" w:fill="auto"/>
            <w:vAlign w:val="center"/>
            <w:hideMark/>
          </w:tcPr>
          <w:p w14:paraId="48C72A14" w14:textId="77777777"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住宅</w:t>
            </w:r>
          </w:p>
        </w:tc>
        <w:tc>
          <w:tcPr>
            <w:tcW w:w="99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BA60EF8" w14:textId="77777777" w:rsidR="00826D24" w:rsidRPr="000B7D55" w:rsidRDefault="00826D24" w:rsidP="00826D24">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 xml:space="preserve">28075 </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4C99016E" w14:textId="2897F931" w:rsidR="00826D24" w:rsidRPr="000B7D55" w:rsidRDefault="000B7D55" w:rsidP="00826D24">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19900</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24D8C1CA" w14:textId="3FB80583" w:rsidR="00826D24" w:rsidRPr="000B7D55" w:rsidRDefault="000B7D55" w:rsidP="00826D24">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55869.2500</w:t>
            </w:r>
          </w:p>
        </w:tc>
      </w:tr>
      <w:tr w:rsidR="00826D24" w:rsidRPr="000B7D55" w14:paraId="1EA333D8" w14:textId="77777777" w:rsidTr="00666906">
        <w:trPr>
          <w:trHeight w:val="420"/>
        </w:trPr>
        <w:tc>
          <w:tcPr>
            <w:tcW w:w="605" w:type="pct"/>
            <w:vMerge/>
            <w:tcBorders>
              <w:top w:val="nil"/>
              <w:left w:val="single" w:sz="8" w:space="0" w:color="auto"/>
              <w:bottom w:val="single" w:sz="8" w:space="0" w:color="000000"/>
              <w:right w:val="single" w:sz="8" w:space="0" w:color="auto"/>
            </w:tcBorders>
            <w:vAlign w:val="center"/>
            <w:hideMark/>
          </w:tcPr>
          <w:p w14:paraId="4EF002F7" w14:textId="77777777"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p>
        </w:tc>
        <w:tc>
          <w:tcPr>
            <w:tcW w:w="993" w:type="pct"/>
            <w:tcBorders>
              <w:top w:val="nil"/>
              <w:left w:val="nil"/>
              <w:bottom w:val="single" w:sz="8" w:space="0" w:color="auto"/>
              <w:right w:val="nil"/>
            </w:tcBorders>
            <w:shd w:val="clear" w:color="auto" w:fill="auto"/>
            <w:vAlign w:val="center"/>
            <w:hideMark/>
          </w:tcPr>
          <w:p w14:paraId="68AE8A28" w14:textId="77777777"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商业</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0AF704DD" w14:textId="77777777" w:rsidR="00826D24" w:rsidRPr="000B7D55" w:rsidRDefault="00826D24" w:rsidP="00826D24">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 xml:space="preserve">3318 </w:t>
            </w:r>
          </w:p>
        </w:tc>
        <w:tc>
          <w:tcPr>
            <w:tcW w:w="1144" w:type="pct"/>
            <w:tcBorders>
              <w:top w:val="nil"/>
              <w:left w:val="nil"/>
              <w:bottom w:val="single" w:sz="8" w:space="0" w:color="auto"/>
              <w:right w:val="single" w:sz="8" w:space="0" w:color="auto"/>
            </w:tcBorders>
            <w:shd w:val="clear" w:color="auto" w:fill="auto"/>
            <w:vAlign w:val="center"/>
            <w:hideMark/>
          </w:tcPr>
          <w:p w14:paraId="41824E14" w14:textId="781357FB" w:rsidR="00826D24" w:rsidRPr="000B7D55" w:rsidRDefault="000B7D55" w:rsidP="00826D24">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7713</w:t>
            </w:r>
          </w:p>
        </w:tc>
        <w:tc>
          <w:tcPr>
            <w:tcW w:w="1265" w:type="pct"/>
            <w:tcBorders>
              <w:top w:val="nil"/>
              <w:left w:val="nil"/>
              <w:bottom w:val="single" w:sz="8" w:space="0" w:color="auto"/>
              <w:right w:val="single" w:sz="8" w:space="0" w:color="auto"/>
            </w:tcBorders>
            <w:shd w:val="clear" w:color="auto" w:fill="auto"/>
            <w:vAlign w:val="center"/>
            <w:hideMark/>
          </w:tcPr>
          <w:p w14:paraId="3EFA2D28" w14:textId="47B395D7" w:rsidR="00826D24" w:rsidRPr="000B7D55" w:rsidRDefault="000B7D55" w:rsidP="00826D24">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2559.1734</w:t>
            </w:r>
          </w:p>
        </w:tc>
      </w:tr>
      <w:tr w:rsidR="00826D24" w:rsidRPr="000B7D55" w14:paraId="00807DAB" w14:textId="77777777" w:rsidTr="00666906">
        <w:trPr>
          <w:trHeight w:val="420"/>
        </w:trPr>
        <w:tc>
          <w:tcPr>
            <w:tcW w:w="605" w:type="pct"/>
            <w:vMerge/>
            <w:tcBorders>
              <w:top w:val="nil"/>
              <w:left w:val="single" w:sz="8" w:space="0" w:color="auto"/>
              <w:bottom w:val="single" w:sz="8" w:space="0" w:color="000000"/>
              <w:right w:val="single" w:sz="8" w:space="0" w:color="auto"/>
            </w:tcBorders>
            <w:vAlign w:val="center"/>
            <w:hideMark/>
          </w:tcPr>
          <w:p w14:paraId="7608B6EA" w14:textId="77777777"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p>
        </w:tc>
        <w:tc>
          <w:tcPr>
            <w:tcW w:w="993" w:type="pct"/>
            <w:tcBorders>
              <w:top w:val="nil"/>
              <w:left w:val="nil"/>
              <w:bottom w:val="single" w:sz="8" w:space="0" w:color="auto"/>
              <w:right w:val="nil"/>
            </w:tcBorders>
            <w:shd w:val="clear" w:color="auto" w:fill="auto"/>
            <w:vAlign w:val="center"/>
            <w:hideMark/>
          </w:tcPr>
          <w:p w14:paraId="475E19DB" w14:textId="77777777"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0012C14D" w14:textId="77777777" w:rsidR="00826D24" w:rsidRPr="000B7D55" w:rsidRDefault="00826D24" w:rsidP="00826D24">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 xml:space="preserve">118 </w:t>
            </w:r>
          </w:p>
        </w:tc>
        <w:tc>
          <w:tcPr>
            <w:tcW w:w="1144" w:type="pct"/>
            <w:tcBorders>
              <w:top w:val="nil"/>
              <w:left w:val="nil"/>
              <w:bottom w:val="single" w:sz="8" w:space="0" w:color="auto"/>
              <w:right w:val="single" w:sz="8" w:space="0" w:color="auto"/>
            </w:tcBorders>
            <w:shd w:val="clear" w:color="auto" w:fill="auto"/>
            <w:vAlign w:val="center"/>
            <w:hideMark/>
          </w:tcPr>
          <w:p w14:paraId="6A8E592C" w14:textId="0B473928" w:rsidR="00826D24" w:rsidRPr="000B7D55" w:rsidRDefault="000B7D55" w:rsidP="00826D24">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7677</w:t>
            </w:r>
          </w:p>
        </w:tc>
        <w:tc>
          <w:tcPr>
            <w:tcW w:w="1265" w:type="pct"/>
            <w:tcBorders>
              <w:top w:val="nil"/>
              <w:left w:val="nil"/>
              <w:bottom w:val="single" w:sz="8" w:space="0" w:color="auto"/>
              <w:right w:val="single" w:sz="8" w:space="0" w:color="auto"/>
            </w:tcBorders>
            <w:shd w:val="clear" w:color="auto" w:fill="auto"/>
            <w:vAlign w:val="center"/>
            <w:hideMark/>
          </w:tcPr>
          <w:p w14:paraId="71FFE1A5" w14:textId="2DB0E809" w:rsidR="00826D24" w:rsidRPr="000B7D55" w:rsidRDefault="000B7D55" w:rsidP="00826D24">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90.5886</w:t>
            </w:r>
          </w:p>
        </w:tc>
      </w:tr>
      <w:tr w:rsidR="00826D24" w:rsidRPr="000B7D55" w14:paraId="58DB7D22" w14:textId="77777777" w:rsidTr="00666906">
        <w:trPr>
          <w:trHeight w:val="420"/>
        </w:trPr>
        <w:tc>
          <w:tcPr>
            <w:tcW w:w="605" w:type="pct"/>
            <w:vMerge/>
            <w:tcBorders>
              <w:top w:val="nil"/>
              <w:left w:val="single" w:sz="8" w:space="0" w:color="auto"/>
              <w:bottom w:val="single" w:sz="8" w:space="0" w:color="000000"/>
              <w:right w:val="single" w:sz="8" w:space="0" w:color="auto"/>
            </w:tcBorders>
            <w:vAlign w:val="center"/>
            <w:hideMark/>
          </w:tcPr>
          <w:p w14:paraId="5C61AD03" w14:textId="77777777"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p>
        </w:tc>
        <w:tc>
          <w:tcPr>
            <w:tcW w:w="993" w:type="pct"/>
            <w:tcBorders>
              <w:top w:val="nil"/>
              <w:left w:val="nil"/>
              <w:bottom w:val="single" w:sz="8" w:space="0" w:color="auto"/>
              <w:right w:val="nil"/>
            </w:tcBorders>
            <w:shd w:val="clear" w:color="auto" w:fill="auto"/>
            <w:vAlign w:val="center"/>
            <w:hideMark/>
          </w:tcPr>
          <w:p w14:paraId="2A372628" w14:textId="77777777"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0BF9836" w14:textId="77777777"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 xml:space="preserve">31511 </w:t>
            </w:r>
          </w:p>
        </w:tc>
        <w:tc>
          <w:tcPr>
            <w:tcW w:w="1144" w:type="pct"/>
            <w:tcBorders>
              <w:top w:val="nil"/>
              <w:left w:val="nil"/>
              <w:bottom w:val="single" w:sz="8" w:space="0" w:color="auto"/>
              <w:right w:val="single" w:sz="8" w:space="0" w:color="auto"/>
            </w:tcBorders>
            <w:shd w:val="clear" w:color="auto" w:fill="auto"/>
            <w:vAlign w:val="center"/>
            <w:hideMark/>
          </w:tcPr>
          <w:p w14:paraId="713F14A0" w14:textId="376E61E2" w:rsidR="00826D24" w:rsidRPr="000B7D55" w:rsidRDefault="00826D24" w:rsidP="00826D24">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1C072321" w14:textId="7C084090" w:rsidR="00826D24" w:rsidRPr="000B7D55" w:rsidRDefault="000B7D55" w:rsidP="00826D24">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58519.0120</w:t>
            </w:r>
          </w:p>
        </w:tc>
      </w:tr>
      <w:tr w:rsidR="00826D24" w:rsidRPr="000B7D55" w14:paraId="14D6536A" w14:textId="77777777" w:rsidTr="00666906">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775C5A83" w14:textId="77777777"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地下</w:t>
            </w:r>
          </w:p>
        </w:tc>
        <w:tc>
          <w:tcPr>
            <w:tcW w:w="993" w:type="pct"/>
            <w:tcBorders>
              <w:top w:val="nil"/>
              <w:left w:val="nil"/>
              <w:bottom w:val="single" w:sz="8" w:space="0" w:color="auto"/>
              <w:right w:val="nil"/>
            </w:tcBorders>
            <w:shd w:val="clear" w:color="auto" w:fill="auto"/>
            <w:vAlign w:val="center"/>
            <w:hideMark/>
          </w:tcPr>
          <w:p w14:paraId="2D0959A3" w14:textId="77777777"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地下办公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5AC09A67" w14:textId="77777777" w:rsidR="00826D24" w:rsidRPr="000B7D55" w:rsidRDefault="00826D24" w:rsidP="00826D24">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 xml:space="preserve">32 </w:t>
            </w:r>
          </w:p>
        </w:tc>
        <w:tc>
          <w:tcPr>
            <w:tcW w:w="1144" w:type="pct"/>
            <w:tcBorders>
              <w:top w:val="nil"/>
              <w:left w:val="nil"/>
              <w:bottom w:val="single" w:sz="8" w:space="0" w:color="auto"/>
              <w:right w:val="single" w:sz="8" w:space="0" w:color="auto"/>
            </w:tcBorders>
            <w:shd w:val="clear" w:color="auto" w:fill="auto"/>
            <w:vAlign w:val="center"/>
            <w:hideMark/>
          </w:tcPr>
          <w:p w14:paraId="29F0599B" w14:textId="7CED8DEC" w:rsidR="00826D24" w:rsidRPr="000B7D55" w:rsidRDefault="000B7D55" w:rsidP="00826D24">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2385</w:t>
            </w:r>
          </w:p>
        </w:tc>
        <w:tc>
          <w:tcPr>
            <w:tcW w:w="1265" w:type="pct"/>
            <w:tcBorders>
              <w:top w:val="nil"/>
              <w:left w:val="nil"/>
              <w:bottom w:val="single" w:sz="8" w:space="0" w:color="auto"/>
              <w:right w:val="single" w:sz="8" w:space="0" w:color="auto"/>
            </w:tcBorders>
            <w:shd w:val="clear" w:color="auto" w:fill="auto"/>
            <w:vAlign w:val="center"/>
            <w:hideMark/>
          </w:tcPr>
          <w:p w14:paraId="04AA5046" w14:textId="46D12DA2" w:rsidR="00826D24" w:rsidRPr="000B7D55" w:rsidRDefault="000B7D55" w:rsidP="00826D24">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7.6320</w:t>
            </w:r>
          </w:p>
        </w:tc>
      </w:tr>
      <w:tr w:rsidR="00826D24" w:rsidRPr="000B7D55" w14:paraId="2309450E" w14:textId="77777777" w:rsidTr="00666906">
        <w:trPr>
          <w:trHeight w:val="420"/>
        </w:trPr>
        <w:tc>
          <w:tcPr>
            <w:tcW w:w="605" w:type="pct"/>
            <w:vMerge/>
            <w:tcBorders>
              <w:top w:val="nil"/>
              <w:left w:val="single" w:sz="8" w:space="0" w:color="auto"/>
              <w:bottom w:val="single" w:sz="8" w:space="0" w:color="000000"/>
              <w:right w:val="single" w:sz="8" w:space="0" w:color="auto"/>
            </w:tcBorders>
            <w:vAlign w:val="center"/>
            <w:hideMark/>
          </w:tcPr>
          <w:p w14:paraId="7D4AD602" w14:textId="77777777"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p>
        </w:tc>
        <w:tc>
          <w:tcPr>
            <w:tcW w:w="993" w:type="pct"/>
            <w:tcBorders>
              <w:top w:val="nil"/>
              <w:left w:val="nil"/>
              <w:bottom w:val="single" w:sz="8" w:space="0" w:color="auto"/>
              <w:right w:val="nil"/>
            </w:tcBorders>
            <w:shd w:val="clear" w:color="auto" w:fill="auto"/>
            <w:vAlign w:val="center"/>
            <w:hideMark/>
          </w:tcPr>
          <w:p w14:paraId="3B00F606" w14:textId="77777777"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地下车库</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EEB2237" w14:textId="1A4D5456" w:rsidR="00826D24" w:rsidRPr="000B7D55" w:rsidRDefault="00826D24" w:rsidP="00826D24">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10345 .02</w:t>
            </w:r>
          </w:p>
        </w:tc>
        <w:tc>
          <w:tcPr>
            <w:tcW w:w="1144" w:type="pct"/>
            <w:tcBorders>
              <w:top w:val="nil"/>
              <w:left w:val="nil"/>
              <w:bottom w:val="single" w:sz="8" w:space="0" w:color="auto"/>
              <w:right w:val="single" w:sz="8" w:space="0" w:color="auto"/>
            </w:tcBorders>
            <w:shd w:val="clear" w:color="auto" w:fill="auto"/>
            <w:vAlign w:val="center"/>
            <w:hideMark/>
          </w:tcPr>
          <w:p w14:paraId="0D8C7040" w14:textId="2DFD811A" w:rsidR="00826D24" w:rsidRPr="000B7D55" w:rsidRDefault="00443EF8" w:rsidP="00826D24">
            <w:pPr>
              <w:widowControl/>
              <w:adjustRightInd/>
              <w:spacing w:line="240" w:lineRule="auto"/>
              <w:jc w:val="center"/>
              <w:textAlignment w:val="auto"/>
              <w:rPr>
                <w:rFonts w:ascii="Arial" w:eastAsia="仿宋_GB2312" w:hAnsi="Arial" w:cs="Arial"/>
                <w:color w:val="000000" w:themeColor="text1"/>
                <w:sz w:val="22"/>
                <w:szCs w:val="16"/>
              </w:rPr>
            </w:pPr>
            <w:r>
              <w:rPr>
                <w:rFonts w:ascii="Arial" w:eastAsia="仿宋_GB2312" w:hAnsi="Arial" w:cs="Arial"/>
                <w:color w:val="000000" w:themeColor="text1"/>
                <w:sz w:val="22"/>
                <w:szCs w:val="16"/>
              </w:rPr>
              <w:t>2481</w:t>
            </w:r>
          </w:p>
        </w:tc>
        <w:tc>
          <w:tcPr>
            <w:tcW w:w="1265" w:type="pct"/>
            <w:tcBorders>
              <w:top w:val="nil"/>
              <w:left w:val="nil"/>
              <w:bottom w:val="single" w:sz="8" w:space="0" w:color="auto"/>
              <w:right w:val="single" w:sz="8" w:space="0" w:color="auto"/>
            </w:tcBorders>
            <w:shd w:val="clear" w:color="auto" w:fill="auto"/>
            <w:vAlign w:val="center"/>
            <w:hideMark/>
          </w:tcPr>
          <w:p w14:paraId="5FBAF9AD" w14:textId="19520A19" w:rsidR="00826D24" w:rsidRPr="000B7D55" w:rsidRDefault="00443EF8" w:rsidP="00826D24">
            <w:pPr>
              <w:widowControl/>
              <w:adjustRightInd/>
              <w:spacing w:line="240" w:lineRule="auto"/>
              <w:jc w:val="center"/>
              <w:textAlignment w:val="auto"/>
              <w:rPr>
                <w:rFonts w:ascii="Arial" w:eastAsia="仿宋_GB2312" w:hAnsi="Arial" w:cs="Arial"/>
                <w:color w:val="000000" w:themeColor="text1"/>
                <w:sz w:val="22"/>
                <w:szCs w:val="16"/>
              </w:rPr>
            </w:pPr>
            <w:r>
              <w:rPr>
                <w:rFonts w:ascii="Arial" w:eastAsia="仿宋_GB2312" w:hAnsi="Arial" w:cs="Arial"/>
                <w:color w:val="000000" w:themeColor="text1"/>
                <w:sz w:val="22"/>
                <w:szCs w:val="16"/>
              </w:rPr>
              <w:t>2566.5995</w:t>
            </w:r>
          </w:p>
        </w:tc>
      </w:tr>
      <w:tr w:rsidR="00826D24" w:rsidRPr="000B7D55" w14:paraId="621119A1" w14:textId="77777777" w:rsidTr="00666906">
        <w:trPr>
          <w:trHeight w:val="420"/>
        </w:trPr>
        <w:tc>
          <w:tcPr>
            <w:tcW w:w="605" w:type="pct"/>
            <w:vMerge/>
            <w:tcBorders>
              <w:top w:val="nil"/>
              <w:left w:val="single" w:sz="8" w:space="0" w:color="auto"/>
              <w:bottom w:val="single" w:sz="8" w:space="0" w:color="000000"/>
              <w:right w:val="single" w:sz="8" w:space="0" w:color="auto"/>
            </w:tcBorders>
            <w:vAlign w:val="center"/>
            <w:hideMark/>
          </w:tcPr>
          <w:p w14:paraId="35AAF072" w14:textId="77777777"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p>
        </w:tc>
        <w:tc>
          <w:tcPr>
            <w:tcW w:w="993" w:type="pct"/>
            <w:tcBorders>
              <w:top w:val="nil"/>
              <w:left w:val="nil"/>
              <w:bottom w:val="single" w:sz="8" w:space="0" w:color="auto"/>
              <w:right w:val="nil"/>
            </w:tcBorders>
            <w:shd w:val="clear" w:color="auto" w:fill="auto"/>
            <w:vAlign w:val="center"/>
            <w:hideMark/>
          </w:tcPr>
          <w:p w14:paraId="79D70E64" w14:textId="77777777"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A500F62" w14:textId="00DBB6C2" w:rsidR="00826D24" w:rsidRPr="000B7D55" w:rsidRDefault="0020403B" w:rsidP="00826D24">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10377.02</w:t>
            </w:r>
            <w:r w:rsidR="00826D24" w:rsidRPr="000B7D55">
              <w:rPr>
                <w:rFonts w:ascii="Arial" w:eastAsia="仿宋_GB2312" w:hAnsi="Arial" w:cs="Arial"/>
                <w:b/>
                <w:bCs/>
                <w:color w:val="000000" w:themeColor="text1"/>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7C6B0295" w14:textId="20ADFB29"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304F021F" w14:textId="174A2EB5" w:rsidR="00826D24" w:rsidRPr="000B7D55" w:rsidRDefault="00443EF8" w:rsidP="00826D24">
            <w:pPr>
              <w:widowControl/>
              <w:adjustRightInd/>
              <w:spacing w:line="240" w:lineRule="auto"/>
              <w:jc w:val="center"/>
              <w:textAlignment w:val="auto"/>
              <w:rPr>
                <w:rFonts w:ascii="Arial" w:eastAsia="仿宋_GB2312" w:hAnsi="Arial" w:cs="Arial"/>
                <w:b/>
                <w:bCs/>
                <w:color w:val="000000" w:themeColor="text1"/>
                <w:sz w:val="22"/>
                <w:szCs w:val="16"/>
              </w:rPr>
            </w:pPr>
            <w:r>
              <w:rPr>
                <w:rFonts w:ascii="Arial" w:eastAsia="仿宋_GB2312" w:hAnsi="Arial" w:cs="Arial"/>
                <w:b/>
                <w:bCs/>
                <w:color w:val="000000" w:themeColor="text1"/>
                <w:sz w:val="22"/>
                <w:szCs w:val="16"/>
              </w:rPr>
              <w:t>2574.2315</w:t>
            </w:r>
          </w:p>
        </w:tc>
      </w:tr>
      <w:tr w:rsidR="00826D24" w:rsidRPr="000B7D55" w14:paraId="6F23255E" w14:textId="77777777" w:rsidTr="00666906">
        <w:trPr>
          <w:trHeight w:val="420"/>
        </w:trPr>
        <w:tc>
          <w:tcPr>
            <w:tcW w:w="1598" w:type="pct"/>
            <w:gridSpan w:val="2"/>
            <w:tcBorders>
              <w:top w:val="single" w:sz="8" w:space="0" w:color="auto"/>
              <w:left w:val="single" w:sz="8" w:space="0" w:color="auto"/>
              <w:bottom w:val="single" w:sz="8" w:space="0" w:color="auto"/>
              <w:right w:val="nil"/>
            </w:tcBorders>
            <w:shd w:val="clear" w:color="auto" w:fill="auto"/>
            <w:vAlign w:val="center"/>
            <w:hideMark/>
          </w:tcPr>
          <w:p w14:paraId="4511226F" w14:textId="77777777"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合计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3D62DA36" w14:textId="04C74D48" w:rsidR="00826D24" w:rsidRPr="000B7D55" w:rsidRDefault="0028694F" w:rsidP="00826D24">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41888.02</w:t>
            </w:r>
            <w:r w:rsidR="00826D24" w:rsidRPr="000B7D55">
              <w:rPr>
                <w:rFonts w:ascii="Arial" w:eastAsia="仿宋_GB2312" w:hAnsi="Arial" w:cs="Arial"/>
                <w:b/>
                <w:bCs/>
                <w:color w:val="000000" w:themeColor="text1"/>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145A13F3" w14:textId="4D89287D" w:rsidR="00826D24" w:rsidRPr="000B7D55" w:rsidRDefault="00826D24" w:rsidP="00826D24">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5EBC0BF2" w14:textId="617E74C3" w:rsidR="00826D24" w:rsidRPr="000B7D55" w:rsidRDefault="00443EF8" w:rsidP="007F1FA0">
            <w:pPr>
              <w:widowControl/>
              <w:adjustRightInd/>
              <w:spacing w:line="240" w:lineRule="auto"/>
              <w:jc w:val="center"/>
              <w:textAlignment w:val="auto"/>
              <w:rPr>
                <w:rFonts w:ascii="Arial" w:eastAsia="仿宋_GB2312" w:hAnsi="Arial" w:cs="Arial"/>
                <w:b/>
                <w:bCs/>
                <w:color w:val="000000" w:themeColor="text1"/>
                <w:sz w:val="22"/>
                <w:szCs w:val="16"/>
              </w:rPr>
            </w:pPr>
            <w:r>
              <w:rPr>
                <w:rFonts w:ascii="Arial" w:eastAsia="仿宋_GB2312" w:hAnsi="Arial" w:cs="Arial"/>
                <w:b/>
                <w:bCs/>
                <w:color w:val="000000" w:themeColor="text1"/>
                <w:sz w:val="22"/>
                <w:szCs w:val="16"/>
              </w:rPr>
              <w:t>61093.2435</w:t>
            </w:r>
          </w:p>
        </w:tc>
      </w:tr>
    </w:tbl>
    <w:p w14:paraId="4D223672" w14:textId="2D9EEBC0" w:rsidR="008A04BE" w:rsidRDefault="008A04BE" w:rsidP="008A04BE">
      <w:pPr>
        <w:pStyle w:val="11"/>
        <w:ind w:firstLine="562"/>
        <w:rPr>
          <w:rFonts w:ascii="Arial" w:hAnsi="Arial" w:cs="Arial"/>
          <w:b/>
          <w:szCs w:val="28"/>
        </w:rPr>
      </w:pPr>
      <w:r>
        <w:rPr>
          <w:rFonts w:ascii="Arial" w:hAnsi="Arial" w:cs="Arial"/>
          <w:b/>
          <w:szCs w:val="28"/>
        </w:rPr>
        <w:sym w:font="Wingdings 2" w:char="F0C3"/>
      </w:r>
      <w:r>
        <w:rPr>
          <w:rFonts w:ascii="Arial" w:hAnsi="Arial" w:cs="Arial" w:hint="eastAsia"/>
          <w:b/>
          <w:szCs w:val="28"/>
        </w:rPr>
        <w:t>土地开发总成本</w:t>
      </w:r>
    </w:p>
    <w:p w14:paraId="44C6E856" w14:textId="5E45FF10" w:rsidR="001C2131" w:rsidRPr="001C2131" w:rsidRDefault="001C2131" w:rsidP="00B03551">
      <w:pPr>
        <w:pStyle w:val="11"/>
        <w:jc w:val="both"/>
        <w:rPr>
          <w:rFonts w:ascii="Arial" w:hAnsi="Arial" w:cs="Arial"/>
          <w:bCs/>
          <w:szCs w:val="28"/>
        </w:rPr>
      </w:pPr>
      <w:r w:rsidRPr="001C2131">
        <w:rPr>
          <w:rFonts w:ascii="Arial" w:hAnsi="Arial" w:cs="Arial" w:hint="eastAsia"/>
          <w:bCs/>
          <w:szCs w:val="28"/>
        </w:rPr>
        <w:t>根据《北京市海淀区人民政府关于商请加快地铁</w:t>
      </w:r>
      <w:r w:rsidRPr="001C2131">
        <w:rPr>
          <w:rFonts w:ascii="Arial" w:hAnsi="Arial" w:cs="Arial" w:hint="eastAsia"/>
          <w:bCs/>
          <w:szCs w:val="28"/>
        </w:rPr>
        <w:t>16</w:t>
      </w:r>
      <w:r w:rsidRPr="001C2131">
        <w:rPr>
          <w:rFonts w:ascii="Arial" w:hAnsi="Arial" w:cs="Arial" w:hint="eastAsia"/>
          <w:bCs/>
          <w:szCs w:val="28"/>
        </w:rPr>
        <w:t>号线苏州街站一体化</w:t>
      </w:r>
      <w:r w:rsidRPr="001C2131">
        <w:rPr>
          <w:rFonts w:ascii="Arial" w:hAnsi="Arial" w:cs="Arial" w:hint="eastAsia"/>
          <w:bCs/>
          <w:szCs w:val="28"/>
        </w:rPr>
        <w:lastRenderedPageBreak/>
        <w:t>棚改项目国有建设用地使用权出让手续办理有关事宜的函》</w:t>
      </w:r>
      <w:r w:rsidRPr="001C2131">
        <w:rPr>
          <w:rFonts w:ascii="Arial" w:hAnsi="Arial" w:cs="Arial" w:hint="eastAsia"/>
          <w:bCs/>
          <w:szCs w:val="28"/>
        </w:rPr>
        <w:t>[</w:t>
      </w:r>
      <w:r w:rsidRPr="001C2131">
        <w:rPr>
          <w:rFonts w:ascii="Arial" w:hAnsi="Arial" w:cs="Arial" w:hint="eastAsia"/>
          <w:bCs/>
          <w:szCs w:val="28"/>
        </w:rPr>
        <w:t>海政函（</w:t>
      </w:r>
      <w:r w:rsidRPr="001C2131">
        <w:rPr>
          <w:rFonts w:ascii="Arial" w:hAnsi="Arial" w:cs="Arial" w:hint="eastAsia"/>
          <w:bCs/>
          <w:szCs w:val="28"/>
        </w:rPr>
        <w:t>2021</w:t>
      </w:r>
      <w:r w:rsidRPr="001C2131">
        <w:rPr>
          <w:rFonts w:ascii="Arial" w:hAnsi="Arial" w:cs="Arial" w:hint="eastAsia"/>
          <w:bCs/>
          <w:szCs w:val="28"/>
        </w:rPr>
        <w:t>）</w:t>
      </w:r>
      <w:r w:rsidRPr="001C2131">
        <w:rPr>
          <w:rFonts w:ascii="Arial" w:hAnsi="Arial" w:cs="Arial" w:hint="eastAsia"/>
          <w:bCs/>
          <w:szCs w:val="28"/>
        </w:rPr>
        <w:t>50</w:t>
      </w:r>
      <w:r w:rsidRPr="001C2131">
        <w:rPr>
          <w:rFonts w:ascii="Arial" w:hAnsi="Arial" w:cs="Arial" w:hint="eastAsia"/>
          <w:bCs/>
          <w:szCs w:val="28"/>
        </w:rPr>
        <w:t>号</w:t>
      </w:r>
      <w:r w:rsidRPr="001C2131">
        <w:rPr>
          <w:rFonts w:ascii="Arial" w:hAnsi="Arial" w:cs="Arial" w:hint="eastAsia"/>
          <w:bCs/>
          <w:szCs w:val="28"/>
        </w:rPr>
        <w:t>]</w:t>
      </w:r>
      <w:r w:rsidRPr="001C2131">
        <w:rPr>
          <w:rFonts w:ascii="Arial" w:hAnsi="Arial" w:cs="Arial" w:hint="eastAsia"/>
          <w:bCs/>
          <w:szCs w:val="28"/>
        </w:rPr>
        <w:t>及其附件。</w:t>
      </w:r>
      <w:r w:rsidR="00B03551">
        <w:rPr>
          <w:rFonts w:ascii="Arial" w:hAnsi="Arial" w:cs="Arial" w:hint="eastAsia"/>
        </w:rPr>
        <w:t>该项目前期土地开发成本</w:t>
      </w:r>
      <w:r w:rsidR="00B03551" w:rsidRPr="00B03551">
        <w:rPr>
          <w:rFonts w:ascii="Arial" w:hAnsi="Arial" w:cs="Arial" w:hint="eastAsia"/>
        </w:rPr>
        <w:t>包括房屋拆迁补偿费等主要成本的实际发生额，以及未来计划发生成本和不可预见费（根据招标方案预估）</w:t>
      </w:r>
      <w:r w:rsidR="00B03551">
        <w:rPr>
          <w:rFonts w:ascii="Arial" w:hAnsi="Arial" w:cs="Arial" w:hint="eastAsia"/>
        </w:rPr>
        <w:t>。</w:t>
      </w:r>
    </w:p>
    <w:p w14:paraId="348F9FD6" w14:textId="7F18D5D9" w:rsidR="008A04BE" w:rsidRDefault="008A04BE" w:rsidP="00B03551">
      <w:pPr>
        <w:snapToGrid w:val="0"/>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土地开发总成本：</w:t>
      </w:r>
      <w:r>
        <w:rPr>
          <w:rFonts w:ascii="Arial" w:eastAsia="仿宋_GB2312" w:hAnsi="Arial" w:cs="Arial"/>
          <w:sz w:val="28"/>
        </w:rPr>
        <w:t>158379.13</w:t>
      </w:r>
      <w:r>
        <w:rPr>
          <w:rFonts w:ascii="Arial" w:eastAsia="仿宋_GB2312" w:hAnsi="Arial" w:cs="Arial" w:hint="eastAsia"/>
          <w:sz w:val="28"/>
        </w:rPr>
        <w:t>万元</w:t>
      </w:r>
    </w:p>
    <w:p w14:paraId="04F3A837" w14:textId="77777777" w:rsidR="008A04BE" w:rsidRDefault="008A04BE" w:rsidP="008A04BE">
      <w:pPr>
        <w:snapToGrid w:val="0"/>
        <w:spacing w:beforeLines="50" w:before="120" w:line="360" w:lineRule="auto"/>
        <w:ind w:firstLineChars="200" w:firstLine="560"/>
        <w:rPr>
          <w:rFonts w:ascii="Arial" w:eastAsia="仿宋_GB2312" w:hAnsi="Arial" w:cs="Arial"/>
          <w:sz w:val="28"/>
        </w:rPr>
      </w:pPr>
      <w:r>
        <w:rPr>
          <w:rFonts w:ascii="Arial" w:eastAsia="仿宋_GB2312" w:hAnsi="Arial" w:cs="Arial" w:hint="eastAsia"/>
          <w:sz w:val="28"/>
        </w:rPr>
        <w:t>大写金额：壹拾伍亿捌仟叁佰柒拾玖万壹仟叁佰元整</w:t>
      </w:r>
    </w:p>
    <w:p w14:paraId="7B57B9CE" w14:textId="5B7BC9E6" w:rsidR="001D4423" w:rsidRPr="00AF4CFE" w:rsidRDefault="008A04BE" w:rsidP="008A04BE">
      <w:pPr>
        <w:pStyle w:val="11"/>
        <w:ind w:firstLine="562"/>
        <w:rPr>
          <w:rFonts w:ascii="Arial" w:hAnsi="Arial" w:cs="Arial"/>
          <w:b/>
          <w:szCs w:val="28"/>
        </w:rPr>
      </w:pPr>
      <w:r>
        <w:rPr>
          <w:rFonts w:ascii="Arial" w:hAnsi="Arial" w:cs="Arial"/>
          <w:b/>
          <w:szCs w:val="28"/>
        </w:rPr>
        <w:sym w:font="Wingdings 2" w:char="F0C3"/>
      </w:r>
      <w:r>
        <w:rPr>
          <w:rFonts w:ascii="Arial" w:hAnsi="Arial" w:cs="Arial" w:hint="eastAsia"/>
          <w:b/>
          <w:szCs w:val="28"/>
        </w:rPr>
        <w:t>需缴纳地价款</w:t>
      </w:r>
    </w:p>
    <w:tbl>
      <w:tblPr>
        <w:tblW w:w="5000" w:type="pct"/>
        <w:tblLook w:val="04A0" w:firstRow="1" w:lastRow="0" w:firstColumn="1" w:lastColumn="0" w:noHBand="0" w:noVBand="1"/>
      </w:tblPr>
      <w:tblGrid>
        <w:gridCol w:w="1123"/>
        <w:gridCol w:w="1844"/>
        <w:gridCol w:w="1844"/>
        <w:gridCol w:w="2124"/>
        <w:gridCol w:w="2349"/>
      </w:tblGrid>
      <w:tr w:rsidR="00D346D3" w:rsidRPr="00666906" w14:paraId="0222DADA" w14:textId="77777777" w:rsidTr="006B33D2">
        <w:trPr>
          <w:trHeight w:val="936"/>
        </w:trPr>
        <w:tc>
          <w:tcPr>
            <w:tcW w:w="60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20B29BF0"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部位</w:t>
            </w:r>
          </w:p>
        </w:tc>
        <w:tc>
          <w:tcPr>
            <w:tcW w:w="993"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7F14F850"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8702C1" w14:textId="77777777" w:rsidR="00D346D3" w:rsidRPr="000B7D55" w:rsidRDefault="00D346D3" w:rsidP="006B33D2">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出让建筑面积</w:t>
            </w:r>
          </w:p>
          <w:p w14:paraId="7081A351" w14:textId="77777777" w:rsidR="00D346D3" w:rsidRPr="000B7D55" w:rsidRDefault="00D346D3" w:rsidP="006B33D2">
            <w:pPr>
              <w:spacing w:line="240" w:lineRule="auto"/>
              <w:jc w:val="center"/>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w:t>
            </w:r>
            <w:r w:rsidRPr="000B7D55">
              <w:rPr>
                <w:rFonts w:ascii="Batang" w:eastAsia="Batang" w:hAnsi="Batang" w:cs="Batang" w:hint="eastAsia"/>
                <w:b/>
                <w:bCs/>
                <w:color w:val="000000" w:themeColor="text1"/>
                <w:sz w:val="22"/>
                <w:szCs w:val="16"/>
              </w:rPr>
              <w:t>㎡</w:t>
            </w:r>
            <w:r w:rsidRPr="000B7D55">
              <w:rPr>
                <w:rFonts w:ascii="Arial" w:eastAsia="仿宋_GB2312" w:hAnsi="Arial" w:cs="Arial" w:hint="eastAsia"/>
                <w:b/>
                <w:bCs/>
                <w:color w:val="000000" w:themeColor="text1"/>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634845" w14:textId="77777777" w:rsidR="00D346D3" w:rsidRPr="000B7D55" w:rsidRDefault="00D346D3" w:rsidP="006B33D2">
            <w:pPr>
              <w:widowControl/>
              <w:adjustRightInd/>
              <w:spacing w:line="240" w:lineRule="auto"/>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政府土地出让收益楼面单价（元</w:t>
            </w:r>
            <w:r w:rsidRPr="000B7D55">
              <w:rPr>
                <w:rFonts w:ascii="Arial" w:eastAsia="仿宋_GB2312" w:hAnsi="Arial" w:cs="Arial" w:hint="eastAsia"/>
                <w:b/>
                <w:bCs/>
                <w:color w:val="000000" w:themeColor="text1"/>
                <w:sz w:val="22"/>
                <w:szCs w:val="16"/>
              </w:rPr>
              <w:t>/</w:t>
            </w:r>
            <w:r w:rsidRPr="000B7D55">
              <w:rPr>
                <w:rFonts w:ascii="Batang" w:eastAsia="Batang" w:hAnsi="Batang" w:cs="Batang" w:hint="eastAsia"/>
                <w:b/>
                <w:bCs/>
                <w:color w:val="000000" w:themeColor="text1"/>
                <w:sz w:val="22"/>
                <w:szCs w:val="16"/>
              </w:rPr>
              <w:t>㎡</w:t>
            </w:r>
            <w:r w:rsidRPr="000B7D55">
              <w:rPr>
                <w:rFonts w:ascii="微软雅黑" w:eastAsia="微软雅黑" w:hAnsi="微软雅黑" w:cs="微软雅黑" w:hint="eastAsia"/>
                <w:b/>
                <w:bCs/>
                <w:color w:val="000000" w:themeColor="text1"/>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863FE" w14:textId="77777777" w:rsidR="00D346D3" w:rsidRPr="000B7D55" w:rsidRDefault="00D346D3" w:rsidP="006B33D2">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政府土地出让</w:t>
            </w:r>
          </w:p>
          <w:p w14:paraId="2F80FAD0" w14:textId="77777777" w:rsidR="00D346D3" w:rsidRPr="000B7D55" w:rsidRDefault="00D346D3" w:rsidP="006B33D2">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hint="eastAsia"/>
                <w:b/>
                <w:bCs/>
                <w:color w:val="000000" w:themeColor="text1"/>
                <w:sz w:val="22"/>
                <w:szCs w:val="16"/>
              </w:rPr>
              <w:t>收益总价</w:t>
            </w:r>
            <w:r w:rsidRPr="000B7D55">
              <w:rPr>
                <w:rFonts w:ascii="Arial" w:eastAsia="仿宋_GB2312" w:hAnsi="Arial" w:cs="Arial" w:hint="eastAsia"/>
                <w:b/>
                <w:bCs/>
                <w:color w:val="000000" w:themeColor="text1"/>
                <w:sz w:val="22"/>
                <w:szCs w:val="16"/>
              </w:rPr>
              <w:t>(</w:t>
            </w:r>
            <w:r w:rsidRPr="000B7D55">
              <w:rPr>
                <w:rFonts w:ascii="Arial" w:eastAsia="仿宋_GB2312" w:hAnsi="Arial" w:cs="Arial" w:hint="eastAsia"/>
                <w:b/>
                <w:bCs/>
                <w:color w:val="000000" w:themeColor="text1"/>
                <w:sz w:val="22"/>
                <w:szCs w:val="16"/>
              </w:rPr>
              <w:t>万元）</w:t>
            </w:r>
          </w:p>
        </w:tc>
      </w:tr>
      <w:tr w:rsidR="00D346D3" w:rsidRPr="00666906" w14:paraId="3EFF76A9" w14:textId="77777777" w:rsidTr="006B33D2">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0E329625"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地上</w:t>
            </w:r>
          </w:p>
        </w:tc>
        <w:tc>
          <w:tcPr>
            <w:tcW w:w="993" w:type="pct"/>
            <w:tcBorders>
              <w:top w:val="nil"/>
              <w:left w:val="nil"/>
              <w:bottom w:val="single" w:sz="8" w:space="0" w:color="auto"/>
              <w:right w:val="nil"/>
            </w:tcBorders>
            <w:shd w:val="clear" w:color="auto" w:fill="auto"/>
            <w:vAlign w:val="center"/>
            <w:hideMark/>
          </w:tcPr>
          <w:p w14:paraId="45B6BEB8"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住宅</w:t>
            </w:r>
          </w:p>
        </w:tc>
        <w:tc>
          <w:tcPr>
            <w:tcW w:w="99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EBF68F2" w14:textId="77777777" w:rsidR="00D346D3" w:rsidRPr="000B7D55" w:rsidRDefault="00D346D3" w:rsidP="006B33D2">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 xml:space="preserve">28075 </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6029C60F" w14:textId="4639DDAB" w:rsidR="00D346D3" w:rsidRPr="000B7D55" w:rsidRDefault="000B7D55" w:rsidP="006B33D2">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19900</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3DA0057E" w14:textId="689AAFA3" w:rsidR="00D346D3" w:rsidRPr="000B7D55" w:rsidRDefault="000B7D55" w:rsidP="006B33D2">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55869.2500</w:t>
            </w:r>
          </w:p>
        </w:tc>
      </w:tr>
      <w:tr w:rsidR="00D346D3" w:rsidRPr="00666906" w14:paraId="3FD86652" w14:textId="77777777" w:rsidTr="006B33D2">
        <w:trPr>
          <w:trHeight w:val="420"/>
        </w:trPr>
        <w:tc>
          <w:tcPr>
            <w:tcW w:w="605" w:type="pct"/>
            <w:vMerge/>
            <w:tcBorders>
              <w:top w:val="nil"/>
              <w:left w:val="single" w:sz="8" w:space="0" w:color="auto"/>
              <w:bottom w:val="single" w:sz="8" w:space="0" w:color="000000"/>
              <w:right w:val="single" w:sz="8" w:space="0" w:color="auto"/>
            </w:tcBorders>
            <w:vAlign w:val="center"/>
            <w:hideMark/>
          </w:tcPr>
          <w:p w14:paraId="6977FA99"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3AD5AB2E"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商业</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3214D742" w14:textId="77777777" w:rsidR="00D346D3" w:rsidRPr="000B7D55" w:rsidRDefault="00D346D3" w:rsidP="006B33D2">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 xml:space="preserve">3318 </w:t>
            </w:r>
          </w:p>
        </w:tc>
        <w:tc>
          <w:tcPr>
            <w:tcW w:w="1144" w:type="pct"/>
            <w:tcBorders>
              <w:top w:val="nil"/>
              <w:left w:val="nil"/>
              <w:bottom w:val="single" w:sz="8" w:space="0" w:color="auto"/>
              <w:right w:val="single" w:sz="8" w:space="0" w:color="auto"/>
            </w:tcBorders>
            <w:shd w:val="clear" w:color="auto" w:fill="auto"/>
            <w:vAlign w:val="center"/>
            <w:hideMark/>
          </w:tcPr>
          <w:p w14:paraId="6492C6C2" w14:textId="749C1DB6" w:rsidR="00D346D3" w:rsidRPr="000B7D55" w:rsidRDefault="000B7D55" w:rsidP="006B33D2">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7713</w:t>
            </w:r>
          </w:p>
        </w:tc>
        <w:tc>
          <w:tcPr>
            <w:tcW w:w="1265" w:type="pct"/>
            <w:tcBorders>
              <w:top w:val="nil"/>
              <w:left w:val="nil"/>
              <w:bottom w:val="single" w:sz="8" w:space="0" w:color="auto"/>
              <w:right w:val="single" w:sz="8" w:space="0" w:color="auto"/>
            </w:tcBorders>
            <w:shd w:val="clear" w:color="auto" w:fill="auto"/>
            <w:vAlign w:val="center"/>
            <w:hideMark/>
          </w:tcPr>
          <w:p w14:paraId="6DDFDAC3" w14:textId="36D8026F" w:rsidR="00D346D3" w:rsidRPr="000B7D55" w:rsidRDefault="000B7D55" w:rsidP="006B33D2">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2559.1734</w:t>
            </w:r>
          </w:p>
        </w:tc>
      </w:tr>
      <w:tr w:rsidR="00D346D3" w:rsidRPr="00666906" w14:paraId="5C22C2FE" w14:textId="77777777" w:rsidTr="006B33D2">
        <w:trPr>
          <w:trHeight w:val="420"/>
        </w:trPr>
        <w:tc>
          <w:tcPr>
            <w:tcW w:w="605" w:type="pct"/>
            <w:vMerge/>
            <w:tcBorders>
              <w:top w:val="nil"/>
              <w:left w:val="single" w:sz="8" w:space="0" w:color="auto"/>
              <w:bottom w:val="single" w:sz="8" w:space="0" w:color="000000"/>
              <w:right w:val="single" w:sz="8" w:space="0" w:color="auto"/>
            </w:tcBorders>
            <w:vAlign w:val="center"/>
            <w:hideMark/>
          </w:tcPr>
          <w:p w14:paraId="6BDA3ED0"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2EA8A866"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17512E32" w14:textId="77777777" w:rsidR="00D346D3" w:rsidRPr="000B7D55" w:rsidRDefault="00D346D3" w:rsidP="006B33D2">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 xml:space="preserve">118 </w:t>
            </w:r>
          </w:p>
        </w:tc>
        <w:tc>
          <w:tcPr>
            <w:tcW w:w="1144" w:type="pct"/>
            <w:tcBorders>
              <w:top w:val="nil"/>
              <w:left w:val="nil"/>
              <w:bottom w:val="single" w:sz="8" w:space="0" w:color="auto"/>
              <w:right w:val="single" w:sz="8" w:space="0" w:color="auto"/>
            </w:tcBorders>
            <w:shd w:val="clear" w:color="auto" w:fill="auto"/>
            <w:vAlign w:val="center"/>
            <w:hideMark/>
          </w:tcPr>
          <w:p w14:paraId="2065DF2D" w14:textId="2CF9F846" w:rsidR="00D346D3" w:rsidRPr="000B7D55" w:rsidRDefault="000B7D55" w:rsidP="006B33D2">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7677</w:t>
            </w:r>
          </w:p>
        </w:tc>
        <w:tc>
          <w:tcPr>
            <w:tcW w:w="1265" w:type="pct"/>
            <w:tcBorders>
              <w:top w:val="nil"/>
              <w:left w:val="nil"/>
              <w:bottom w:val="single" w:sz="8" w:space="0" w:color="auto"/>
              <w:right w:val="single" w:sz="8" w:space="0" w:color="auto"/>
            </w:tcBorders>
            <w:shd w:val="clear" w:color="auto" w:fill="auto"/>
            <w:vAlign w:val="center"/>
            <w:hideMark/>
          </w:tcPr>
          <w:p w14:paraId="7F2F7EDC" w14:textId="1DDCF424" w:rsidR="00D346D3" w:rsidRPr="000B7D55" w:rsidRDefault="000B7D55" w:rsidP="006B33D2">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90.5886</w:t>
            </w:r>
          </w:p>
        </w:tc>
      </w:tr>
      <w:tr w:rsidR="00D346D3" w:rsidRPr="00666906" w14:paraId="6C966368" w14:textId="77777777" w:rsidTr="006B33D2">
        <w:trPr>
          <w:trHeight w:val="420"/>
        </w:trPr>
        <w:tc>
          <w:tcPr>
            <w:tcW w:w="605" w:type="pct"/>
            <w:vMerge/>
            <w:tcBorders>
              <w:top w:val="nil"/>
              <w:left w:val="single" w:sz="8" w:space="0" w:color="auto"/>
              <w:bottom w:val="single" w:sz="8" w:space="0" w:color="000000"/>
              <w:right w:val="single" w:sz="8" w:space="0" w:color="auto"/>
            </w:tcBorders>
            <w:vAlign w:val="center"/>
            <w:hideMark/>
          </w:tcPr>
          <w:p w14:paraId="3C9F7AE4"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4D3A56E4"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52244F67" w14:textId="77777777" w:rsidR="00D346D3" w:rsidRPr="000B7D55" w:rsidRDefault="00D346D3" w:rsidP="006B33D2">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 xml:space="preserve">31511 </w:t>
            </w:r>
          </w:p>
        </w:tc>
        <w:tc>
          <w:tcPr>
            <w:tcW w:w="1144" w:type="pct"/>
            <w:tcBorders>
              <w:top w:val="nil"/>
              <w:left w:val="nil"/>
              <w:bottom w:val="single" w:sz="8" w:space="0" w:color="auto"/>
              <w:right w:val="single" w:sz="8" w:space="0" w:color="auto"/>
            </w:tcBorders>
            <w:shd w:val="clear" w:color="auto" w:fill="auto"/>
            <w:vAlign w:val="center"/>
            <w:hideMark/>
          </w:tcPr>
          <w:p w14:paraId="560715CE" w14:textId="77777777" w:rsidR="00D346D3" w:rsidRPr="000B7D55" w:rsidRDefault="00D346D3" w:rsidP="006B33D2">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68DC758C" w14:textId="50999230" w:rsidR="00D346D3" w:rsidRPr="000B7D55" w:rsidRDefault="000B7D55" w:rsidP="006B33D2">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58519.0120</w:t>
            </w:r>
          </w:p>
        </w:tc>
      </w:tr>
      <w:tr w:rsidR="00D346D3" w:rsidRPr="00666906" w14:paraId="18980A5D" w14:textId="77777777" w:rsidTr="006B33D2">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60708E08"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w:t>
            </w:r>
          </w:p>
        </w:tc>
        <w:tc>
          <w:tcPr>
            <w:tcW w:w="993" w:type="pct"/>
            <w:tcBorders>
              <w:top w:val="nil"/>
              <w:left w:val="nil"/>
              <w:bottom w:val="single" w:sz="8" w:space="0" w:color="auto"/>
              <w:right w:val="nil"/>
            </w:tcBorders>
            <w:shd w:val="clear" w:color="auto" w:fill="auto"/>
            <w:vAlign w:val="center"/>
            <w:hideMark/>
          </w:tcPr>
          <w:p w14:paraId="5905AF7B"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A29F513" w14:textId="77777777" w:rsidR="00D346D3" w:rsidRPr="000B7D55" w:rsidRDefault="00D346D3" w:rsidP="006B33D2">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 xml:space="preserve">32 </w:t>
            </w:r>
          </w:p>
        </w:tc>
        <w:tc>
          <w:tcPr>
            <w:tcW w:w="1144" w:type="pct"/>
            <w:tcBorders>
              <w:top w:val="nil"/>
              <w:left w:val="nil"/>
              <w:bottom w:val="single" w:sz="8" w:space="0" w:color="auto"/>
              <w:right w:val="single" w:sz="8" w:space="0" w:color="auto"/>
            </w:tcBorders>
            <w:shd w:val="clear" w:color="auto" w:fill="auto"/>
            <w:vAlign w:val="center"/>
            <w:hideMark/>
          </w:tcPr>
          <w:p w14:paraId="46ABA940" w14:textId="554F99CC" w:rsidR="00D346D3" w:rsidRPr="000B7D55" w:rsidRDefault="000B7D55" w:rsidP="006B33D2">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2385</w:t>
            </w:r>
          </w:p>
        </w:tc>
        <w:tc>
          <w:tcPr>
            <w:tcW w:w="1265" w:type="pct"/>
            <w:tcBorders>
              <w:top w:val="nil"/>
              <w:left w:val="nil"/>
              <w:bottom w:val="single" w:sz="8" w:space="0" w:color="auto"/>
              <w:right w:val="single" w:sz="8" w:space="0" w:color="auto"/>
            </w:tcBorders>
            <w:shd w:val="clear" w:color="auto" w:fill="auto"/>
            <w:vAlign w:val="center"/>
            <w:hideMark/>
          </w:tcPr>
          <w:p w14:paraId="4288E3CD" w14:textId="17B67782" w:rsidR="00D346D3" w:rsidRPr="000B7D55" w:rsidRDefault="000B7D55" w:rsidP="006B33D2">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7.6320</w:t>
            </w:r>
          </w:p>
        </w:tc>
      </w:tr>
      <w:tr w:rsidR="00D346D3" w:rsidRPr="00666906" w14:paraId="487C4700" w14:textId="77777777" w:rsidTr="006B33D2">
        <w:trPr>
          <w:trHeight w:val="420"/>
        </w:trPr>
        <w:tc>
          <w:tcPr>
            <w:tcW w:w="605" w:type="pct"/>
            <w:vMerge/>
            <w:tcBorders>
              <w:top w:val="nil"/>
              <w:left w:val="single" w:sz="8" w:space="0" w:color="auto"/>
              <w:bottom w:val="single" w:sz="8" w:space="0" w:color="000000"/>
              <w:right w:val="single" w:sz="8" w:space="0" w:color="auto"/>
            </w:tcBorders>
            <w:vAlign w:val="center"/>
            <w:hideMark/>
          </w:tcPr>
          <w:p w14:paraId="1BD251ED"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6E9DB727"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地下车库</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33884D01" w14:textId="77777777" w:rsidR="00D346D3" w:rsidRPr="000B7D55" w:rsidRDefault="00D346D3" w:rsidP="006B33D2">
            <w:pPr>
              <w:widowControl/>
              <w:adjustRightInd/>
              <w:spacing w:line="240" w:lineRule="auto"/>
              <w:jc w:val="center"/>
              <w:textAlignment w:val="auto"/>
              <w:rPr>
                <w:rFonts w:ascii="Arial" w:eastAsia="仿宋_GB2312" w:hAnsi="Arial" w:cs="Arial"/>
                <w:color w:val="000000" w:themeColor="text1"/>
                <w:sz w:val="22"/>
                <w:szCs w:val="16"/>
              </w:rPr>
            </w:pPr>
            <w:r w:rsidRPr="000B7D55">
              <w:rPr>
                <w:rFonts w:ascii="Arial" w:eastAsia="仿宋_GB2312" w:hAnsi="Arial" w:cs="Arial"/>
                <w:color w:val="000000" w:themeColor="text1"/>
                <w:sz w:val="22"/>
                <w:szCs w:val="16"/>
              </w:rPr>
              <w:t>10345 .02</w:t>
            </w:r>
          </w:p>
        </w:tc>
        <w:tc>
          <w:tcPr>
            <w:tcW w:w="1144" w:type="pct"/>
            <w:tcBorders>
              <w:top w:val="nil"/>
              <w:left w:val="nil"/>
              <w:bottom w:val="single" w:sz="8" w:space="0" w:color="auto"/>
              <w:right w:val="single" w:sz="8" w:space="0" w:color="auto"/>
            </w:tcBorders>
            <w:shd w:val="clear" w:color="auto" w:fill="auto"/>
            <w:vAlign w:val="center"/>
            <w:hideMark/>
          </w:tcPr>
          <w:p w14:paraId="0EFEE054" w14:textId="4994FCDD" w:rsidR="00D346D3" w:rsidRPr="000B7D55" w:rsidRDefault="00443EF8" w:rsidP="006B33D2">
            <w:pPr>
              <w:widowControl/>
              <w:adjustRightInd/>
              <w:spacing w:line="240" w:lineRule="auto"/>
              <w:jc w:val="center"/>
              <w:textAlignment w:val="auto"/>
              <w:rPr>
                <w:rFonts w:ascii="Arial" w:eastAsia="仿宋_GB2312" w:hAnsi="Arial" w:cs="Arial"/>
                <w:color w:val="000000" w:themeColor="text1"/>
                <w:sz w:val="22"/>
                <w:szCs w:val="16"/>
              </w:rPr>
            </w:pPr>
            <w:r>
              <w:rPr>
                <w:rFonts w:ascii="Arial" w:eastAsia="仿宋_GB2312" w:hAnsi="Arial" w:cs="Arial"/>
                <w:color w:val="000000" w:themeColor="text1"/>
                <w:sz w:val="22"/>
                <w:szCs w:val="16"/>
              </w:rPr>
              <w:t>2481</w:t>
            </w:r>
          </w:p>
        </w:tc>
        <w:tc>
          <w:tcPr>
            <w:tcW w:w="1265" w:type="pct"/>
            <w:tcBorders>
              <w:top w:val="nil"/>
              <w:left w:val="nil"/>
              <w:bottom w:val="single" w:sz="8" w:space="0" w:color="auto"/>
              <w:right w:val="single" w:sz="8" w:space="0" w:color="auto"/>
            </w:tcBorders>
            <w:shd w:val="clear" w:color="auto" w:fill="auto"/>
            <w:vAlign w:val="center"/>
            <w:hideMark/>
          </w:tcPr>
          <w:p w14:paraId="62F0BC7F" w14:textId="4BD60C79" w:rsidR="00D346D3" w:rsidRPr="000B7D55" w:rsidRDefault="00443EF8" w:rsidP="006B33D2">
            <w:pPr>
              <w:widowControl/>
              <w:adjustRightInd/>
              <w:spacing w:line="240" w:lineRule="auto"/>
              <w:jc w:val="center"/>
              <w:textAlignment w:val="auto"/>
              <w:rPr>
                <w:rFonts w:ascii="Arial" w:eastAsia="仿宋_GB2312" w:hAnsi="Arial" w:cs="Arial"/>
                <w:color w:val="000000" w:themeColor="text1"/>
                <w:sz w:val="22"/>
                <w:szCs w:val="16"/>
              </w:rPr>
            </w:pPr>
            <w:r>
              <w:rPr>
                <w:rFonts w:ascii="Arial" w:eastAsia="仿宋_GB2312" w:hAnsi="Arial" w:cs="Arial"/>
                <w:color w:val="000000" w:themeColor="text1"/>
                <w:sz w:val="22"/>
                <w:szCs w:val="16"/>
              </w:rPr>
              <w:t>2566.5995</w:t>
            </w:r>
          </w:p>
        </w:tc>
      </w:tr>
      <w:tr w:rsidR="00D346D3" w:rsidRPr="00666906" w14:paraId="31D02D08" w14:textId="77777777" w:rsidTr="006B33D2">
        <w:trPr>
          <w:trHeight w:val="420"/>
        </w:trPr>
        <w:tc>
          <w:tcPr>
            <w:tcW w:w="605" w:type="pct"/>
            <w:vMerge/>
            <w:tcBorders>
              <w:top w:val="nil"/>
              <w:left w:val="single" w:sz="8" w:space="0" w:color="auto"/>
              <w:bottom w:val="single" w:sz="8" w:space="0" w:color="000000"/>
              <w:right w:val="single" w:sz="8" w:space="0" w:color="auto"/>
            </w:tcBorders>
            <w:vAlign w:val="center"/>
            <w:hideMark/>
          </w:tcPr>
          <w:p w14:paraId="62BCB64C"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7CAA5FA4"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F241535" w14:textId="5787844E" w:rsidR="00D346D3" w:rsidRPr="000B7D55" w:rsidRDefault="0020403B" w:rsidP="006B33D2">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10377.02</w:t>
            </w:r>
            <w:r w:rsidR="00D346D3" w:rsidRPr="000B7D55">
              <w:rPr>
                <w:rFonts w:ascii="Arial" w:eastAsia="仿宋_GB2312" w:hAnsi="Arial" w:cs="Arial"/>
                <w:b/>
                <w:bCs/>
                <w:color w:val="000000" w:themeColor="text1"/>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164E6B32" w14:textId="77777777" w:rsidR="00D346D3" w:rsidRPr="000B7D55" w:rsidRDefault="00D346D3" w:rsidP="006B33D2">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597327F1" w14:textId="45495D9C" w:rsidR="00D346D3" w:rsidRPr="000B7D55" w:rsidRDefault="00443EF8" w:rsidP="006B33D2">
            <w:pPr>
              <w:widowControl/>
              <w:adjustRightInd/>
              <w:spacing w:line="240" w:lineRule="auto"/>
              <w:jc w:val="center"/>
              <w:textAlignment w:val="auto"/>
              <w:rPr>
                <w:rFonts w:ascii="Arial" w:eastAsia="仿宋_GB2312" w:hAnsi="Arial" w:cs="Arial"/>
                <w:b/>
                <w:bCs/>
                <w:color w:val="000000" w:themeColor="text1"/>
                <w:sz w:val="22"/>
                <w:szCs w:val="16"/>
              </w:rPr>
            </w:pPr>
            <w:r>
              <w:rPr>
                <w:rFonts w:ascii="Arial" w:eastAsia="仿宋_GB2312" w:hAnsi="Arial" w:cs="Arial"/>
                <w:b/>
                <w:bCs/>
                <w:color w:val="000000" w:themeColor="text1"/>
                <w:sz w:val="22"/>
                <w:szCs w:val="16"/>
              </w:rPr>
              <w:t>2574.2315</w:t>
            </w:r>
          </w:p>
        </w:tc>
      </w:tr>
      <w:tr w:rsidR="00D346D3" w:rsidRPr="00666906" w14:paraId="788E39F1" w14:textId="77777777" w:rsidTr="006B33D2">
        <w:trPr>
          <w:trHeight w:val="420"/>
        </w:trPr>
        <w:tc>
          <w:tcPr>
            <w:tcW w:w="1598" w:type="pct"/>
            <w:gridSpan w:val="2"/>
            <w:tcBorders>
              <w:top w:val="single" w:sz="8" w:space="0" w:color="auto"/>
              <w:left w:val="single" w:sz="8" w:space="0" w:color="auto"/>
              <w:bottom w:val="single" w:sz="8" w:space="0" w:color="auto"/>
              <w:right w:val="nil"/>
            </w:tcBorders>
            <w:shd w:val="clear" w:color="auto" w:fill="auto"/>
            <w:vAlign w:val="center"/>
            <w:hideMark/>
          </w:tcPr>
          <w:p w14:paraId="1A5C55A3"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合计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634E1DDD" w14:textId="77777777" w:rsidR="00D346D3" w:rsidRPr="000B7D55" w:rsidRDefault="00D346D3" w:rsidP="006B33D2">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 xml:space="preserve">41888.02 </w:t>
            </w:r>
          </w:p>
        </w:tc>
        <w:tc>
          <w:tcPr>
            <w:tcW w:w="1144" w:type="pct"/>
            <w:tcBorders>
              <w:top w:val="nil"/>
              <w:left w:val="nil"/>
              <w:bottom w:val="single" w:sz="8" w:space="0" w:color="auto"/>
              <w:right w:val="single" w:sz="8" w:space="0" w:color="auto"/>
            </w:tcBorders>
            <w:shd w:val="clear" w:color="auto" w:fill="auto"/>
            <w:vAlign w:val="center"/>
            <w:hideMark/>
          </w:tcPr>
          <w:p w14:paraId="46DC8459" w14:textId="77777777" w:rsidR="00D346D3" w:rsidRPr="000B7D55" w:rsidRDefault="00D346D3" w:rsidP="006B33D2">
            <w:pPr>
              <w:widowControl/>
              <w:adjustRightInd/>
              <w:spacing w:line="240" w:lineRule="auto"/>
              <w:jc w:val="center"/>
              <w:textAlignment w:val="auto"/>
              <w:rPr>
                <w:rFonts w:ascii="Arial" w:eastAsia="仿宋_GB2312" w:hAnsi="Arial" w:cs="Arial"/>
                <w:b/>
                <w:bCs/>
                <w:color w:val="000000" w:themeColor="text1"/>
                <w:sz w:val="22"/>
                <w:szCs w:val="16"/>
              </w:rPr>
            </w:pPr>
            <w:r w:rsidRPr="000B7D55">
              <w:rPr>
                <w:rFonts w:ascii="Arial" w:eastAsia="仿宋_GB2312" w:hAnsi="Arial" w:cs="Arial"/>
                <w:b/>
                <w:bCs/>
                <w:color w:val="000000" w:themeColor="text1"/>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40FE584C" w14:textId="30FF09B9" w:rsidR="00D346D3" w:rsidRPr="000B7D55" w:rsidRDefault="00443EF8" w:rsidP="007F1FA0">
            <w:pPr>
              <w:widowControl/>
              <w:adjustRightInd/>
              <w:spacing w:line="240" w:lineRule="auto"/>
              <w:jc w:val="center"/>
              <w:textAlignment w:val="auto"/>
              <w:rPr>
                <w:rFonts w:ascii="Arial" w:eastAsia="仿宋_GB2312" w:hAnsi="Arial" w:cs="Arial"/>
                <w:b/>
                <w:bCs/>
                <w:color w:val="000000" w:themeColor="text1"/>
                <w:sz w:val="22"/>
                <w:szCs w:val="16"/>
              </w:rPr>
            </w:pPr>
            <w:r>
              <w:rPr>
                <w:rFonts w:ascii="Arial" w:eastAsia="仿宋_GB2312" w:hAnsi="Arial" w:cs="Arial"/>
                <w:b/>
                <w:bCs/>
                <w:color w:val="000000" w:themeColor="text1"/>
                <w:sz w:val="22"/>
                <w:szCs w:val="16"/>
              </w:rPr>
              <w:t>61093.2435</w:t>
            </w:r>
          </w:p>
        </w:tc>
      </w:tr>
    </w:tbl>
    <w:p w14:paraId="1985E940" w14:textId="444CA0D5" w:rsidR="001D4423" w:rsidRDefault="00666906" w:rsidP="00721237">
      <w:pPr>
        <w:spacing w:beforeLines="100" w:before="240" w:line="360" w:lineRule="auto"/>
        <w:ind w:firstLineChars="200" w:firstLine="560"/>
        <w:jc w:val="both"/>
        <w:rPr>
          <w:rFonts w:ascii="Arial" w:eastAsia="仿宋_GB2312" w:hAnsi="Arial" w:cs="Arial"/>
          <w:sz w:val="28"/>
        </w:rPr>
      </w:pPr>
      <w:r w:rsidRPr="00666906">
        <w:rPr>
          <w:rFonts w:ascii="Arial" w:eastAsia="仿宋_GB2312" w:hAnsi="Arial" w:cs="Arial" w:hint="eastAsia"/>
          <w:sz w:val="28"/>
        </w:rPr>
        <w:t>具体结果详见《估价结果一览表》</w:t>
      </w:r>
    </w:p>
    <w:p w14:paraId="06ECB024" w14:textId="77777777" w:rsidR="006A417A" w:rsidRDefault="006A417A" w:rsidP="00D61A22">
      <w:pPr>
        <w:snapToGrid w:val="0"/>
        <w:spacing w:line="360" w:lineRule="auto"/>
        <w:ind w:firstLine="556"/>
        <w:rPr>
          <w:rFonts w:ascii="Arial" w:hAnsi="Arial" w:cs="Arial"/>
          <w:b/>
          <w:szCs w:val="28"/>
        </w:rPr>
      </w:pPr>
      <w:r>
        <w:rPr>
          <w:rFonts w:ascii="Arial" w:hAnsi="Arial" w:cs="Arial"/>
          <w:b/>
          <w:szCs w:val="28"/>
        </w:rPr>
        <w:br w:type="page"/>
      </w:r>
    </w:p>
    <w:p w14:paraId="253F5ABF" w14:textId="77777777" w:rsidR="00F7311A" w:rsidRPr="00AF4CFE" w:rsidRDefault="00F7311A" w:rsidP="00F7311A">
      <w:pPr>
        <w:snapToGrid w:val="0"/>
        <w:spacing w:line="360" w:lineRule="auto"/>
        <w:ind w:firstLine="556"/>
        <w:rPr>
          <w:rFonts w:ascii="Arial" w:eastAsia="仿宋_GB2312" w:hAnsi="Arial" w:cs="Arial"/>
          <w:b/>
          <w:kern w:val="2"/>
          <w:sz w:val="28"/>
          <w:szCs w:val="28"/>
        </w:rPr>
      </w:pPr>
      <w:r w:rsidRPr="00042468">
        <w:rPr>
          <w:rFonts w:ascii="Arial" w:hAnsi="Arial" w:cs="Arial"/>
          <w:b/>
          <w:szCs w:val="28"/>
        </w:rPr>
        <w:lastRenderedPageBreak/>
        <w:sym w:font="Wingdings 2" w:char="F0C3"/>
      </w:r>
      <w:r w:rsidRPr="00042468">
        <w:rPr>
          <w:rFonts w:ascii="Arial" w:eastAsia="仿宋_GB2312" w:hAnsi="Arial" w:cs="Arial"/>
          <w:b/>
          <w:kern w:val="2"/>
          <w:sz w:val="28"/>
          <w:szCs w:val="28"/>
        </w:rPr>
        <w:t>出让底价建议</w:t>
      </w:r>
    </w:p>
    <w:p w14:paraId="0A892011" w14:textId="77777777" w:rsidR="00F7311A" w:rsidRDefault="00F7311A" w:rsidP="00F7311A">
      <w:pPr>
        <w:pStyle w:val="11"/>
        <w:jc w:val="both"/>
        <w:rPr>
          <w:rFonts w:ascii="Arial" w:hAnsi="Arial" w:cs="Arial"/>
          <w:szCs w:val="28"/>
        </w:rPr>
      </w:pPr>
      <w:r>
        <w:rPr>
          <w:rFonts w:ascii="Arial" w:hAnsi="Arial" w:cs="Arial" w:hint="eastAsia"/>
        </w:rPr>
        <w:t>本次评估是</w:t>
      </w:r>
      <w:r w:rsidRPr="00F631FB">
        <w:rPr>
          <w:rFonts w:ascii="Arial" w:hAnsi="Arial" w:cs="Arial"/>
        </w:rPr>
        <w:t>为北京市规划和自然资源委员会办理该项目</w:t>
      </w:r>
      <w:r w:rsidRPr="00927BB2">
        <w:rPr>
          <w:rFonts w:ascii="Arial" w:hAnsi="Arial" w:cs="Arial" w:hint="eastAsia"/>
        </w:rPr>
        <w:t>一次性招标</w:t>
      </w:r>
      <w:r>
        <w:rPr>
          <w:rFonts w:ascii="Arial" w:hAnsi="Arial" w:cs="Arial" w:hint="eastAsia"/>
        </w:rPr>
        <w:t>出让手续</w:t>
      </w:r>
      <w:r w:rsidRPr="00F631FB">
        <w:rPr>
          <w:rFonts w:ascii="Arial" w:hAnsi="Arial" w:cs="Arial"/>
        </w:rPr>
        <w:t>提供参考</w:t>
      </w:r>
      <w:r w:rsidRPr="00F631FB">
        <w:rPr>
          <w:rFonts w:ascii="Arial" w:hAnsi="Arial" w:cs="Arial" w:hint="eastAsia"/>
        </w:rPr>
        <w:t>依据</w:t>
      </w:r>
      <w:r w:rsidRPr="00F631FB">
        <w:rPr>
          <w:rFonts w:ascii="Arial" w:hAnsi="Arial" w:cs="Arial"/>
        </w:rPr>
        <w:t>。</w:t>
      </w:r>
      <w:r>
        <w:rPr>
          <w:rFonts w:ascii="Arial" w:hAnsi="Arial" w:cs="Arial" w:hint="eastAsia"/>
        </w:rPr>
        <w:t>估价对象非特</w:t>
      </w:r>
      <w:proofErr w:type="gramStart"/>
      <w:r>
        <w:rPr>
          <w:rFonts w:ascii="Arial" w:hAnsi="Arial" w:cs="Arial" w:hint="eastAsia"/>
        </w:rPr>
        <w:t>定条件下招拍挂</w:t>
      </w:r>
      <w:proofErr w:type="gramEnd"/>
      <w:r>
        <w:rPr>
          <w:rFonts w:ascii="Arial" w:hAnsi="Arial" w:cs="Arial" w:hint="eastAsia"/>
        </w:rPr>
        <w:t>出让方式，</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Pr>
          <w:rFonts w:ascii="Arial" w:hAnsi="Arial" w:cs="Arial" w:hint="eastAsia"/>
          <w:szCs w:val="28"/>
        </w:rPr>
        <w:t>中未对一次性招标出让底价进行特殊规定，</w:t>
      </w:r>
      <w:r>
        <w:rPr>
          <w:rFonts w:ascii="Arial" w:hAnsi="Arial" w:cs="Arial" w:hint="eastAsia"/>
        </w:rPr>
        <w:t>故本次出让底价建议参考</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sidRPr="00AF4CFE">
        <w:rPr>
          <w:rFonts w:ascii="Arial" w:hAnsi="Arial" w:cs="Arial"/>
          <w:szCs w:val="28"/>
        </w:rPr>
        <w:t>对于</w:t>
      </w:r>
      <w:r>
        <w:rPr>
          <w:rFonts w:ascii="Arial" w:hAnsi="Arial" w:cs="Arial" w:hint="eastAsia"/>
          <w:szCs w:val="28"/>
        </w:rPr>
        <w:t>协议</w:t>
      </w:r>
      <w:r w:rsidRPr="00AF4CFE">
        <w:rPr>
          <w:rFonts w:ascii="Arial" w:hAnsi="Arial" w:cs="Arial"/>
          <w:szCs w:val="28"/>
        </w:rPr>
        <w:t>出让项目</w:t>
      </w:r>
      <w:r>
        <w:rPr>
          <w:rFonts w:ascii="Arial" w:hAnsi="Arial" w:cs="Arial" w:hint="eastAsia"/>
          <w:szCs w:val="28"/>
        </w:rPr>
        <w:t>的规定：</w:t>
      </w:r>
      <w:r w:rsidRPr="00AF4CFE">
        <w:rPr>
          <w:rFonts w:ascii="Arial" w:hAnsi="Arial" w:cs="Arial"/>
          <w:szCs w:val="28"/>
        </w:rPr>
        <w:t>“</w:t>
      </w:r>
      <w:r w:rsidRPr="00AF4CFE">
        <w:rPr>
          <w:rFonts w:ascii="Arial" w:hAnsi="Arial" w:cs="Arial"/>
          <w:szCs w:val="28"/>
        </w:rPr>
        <w:t>确定估价结果，并根据当地市场情况、有关法律法规和政策规定，给出底价决策建议</w:t>
      </w:r>
      <w:r w:rsidRPr="00AF4CFE">
        <w:rPr>
          <w:rFonts w:ascii="Arial" w:hAnsi="Arial" w:cs="Arial"/>
          <w:szCs w:val="28"/>
        </w:rPr>
        <w:t>”</w:t>
      </w:r>
      <w:r w:rsidRPr="00AF4CFE">
        <w:rPr>
          <w:rFonts w:ascii="Arial" w:hAnsi="Arial" w:cs="Arial"/>
          <w:szCs w:val="28"/>
        </w:rPr>
        <w:t>，出让底价应不低于宗地所在级别基准地价低限修正后结果。</w:t>
      </w:r>
    </w:p>
    <w:p w14:paraId="499FD503" w14:textId="77777777" w:rsidR="00F7311A" w:rsidRPr="000B7D55" w:rsidRDefault="00F7311A" w:rsidP="00F7311A">
      <w:pPr>
        <w:spacing w:line="360" w:lineRule="auto"/>
        <w:ind w:firstLineChars="200" w:firstLine="560"/>
        <w:rPr>
          <w:rFonts w:ascii="Arial" w:eastAsia="仿宋_GB2312" w:hAnsi="Arial" w:cs="Arial"/>
          <w:sz w:val="28"/>
        </w:rPr>
      </w:pPr>
      <w:r w:rsidRPr="004B7002">
        <w:rPr>
          <w:rFonts w:ascii="Arial" w:eastAsia="仿宋_GB2312" w:hAnsi="Arial" w:cs="Arial"/>
          <w:sz w:val="28"/>
          <w:szCs w:val="28"/>
        </w:rPr>
        <w:t xml:space="preserve">1. </w:t>
      </w: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p>
    <w:p w14:paraId="13BBADB5" w14:textId="548669E9" w:rsidR="00F7311A" w:rsidRDefault="00F7311A" w:rsidP="006957FF">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估价对象所在</w:t>
      </w:r>
      <w:r w:rsidRPr="000B7D55">
        <w:rPr>
          <w:rFonts w:ascii="Arial" w:eastAsia="仿宋_GB2312" w:hAnsi="Arial" w:cs="Arial"/>
          <w:sz w:val="28"/>
        </w:rPr>
        <w:t>居住类</w:t>
      </w:r>
      <w:r w:rsidRPr="000B7D55">
        <w:rPr>
          <w:rFonts w:ascii="Arial" w:eastAsia="仿宋_GB2312" w:hAnsi="Arial" w:cs="Arial" w:hint="eastAsia"/>
          <w:sz w:val="28"/>
        </w:rPr>
        <w:t>二</w:t>
      </w:r>
      <w:r w:rsidRPr="000B7D55">
        <w:rPr>
          <w:rFonts w:ascii="Arial" w:eastAsia="仿宋_GB2312" w:hAnsi="Arial" w:cs="Arial"/>
          <w:sz w:val="28"/>
        </w:rPr>
        <w:t>级</w:t>
      </w:r>
      <w:r w:rsidRPr="000B7D55">
        <w:rPr>
          <w:rFonts w:ascii="Arial" w:eastAsia="仿宋_GB2312" w:hAnsi="Arial" w:cs="Arial" w:hint="eastAsia"/>
          <w:sz w:val="28"/>
        </w:rPr>
        <w:t>Ⅱ</w:t>
      </w:r>
      <w:r w:rsidRPr="000B7D55">
        <w:rPr>
          <w:rFonts w:ascii="Arial" w:eastAsia="仿宋_GB2312" w:hAnsi="Arial" w:cs="Arial"/>
          <w:sz w:val="28"/>
        </w:rPr>
        <w:t>-0</w:t>
      </w:r>
      <w:r w:rsidRPr="000B7D55">
        <w:rPr>
          <w:rFonts w:ascii="Arial" w:eastAsia="仿宋_GB2312" w:hAnsi="Arial" w:cs="Arial" w:hint="eastAsia"/>
          <w:sz w:val="28"/>
        </w:rPr>
        <w:t>3</w:t>
      </w:r>
      <w:r w:rsidRPr="000B7D55">
        <w:rPr>
          <w:rFonts w:ascii="Arial" w:eastAsia="仿宋_GB2312" w:hAnsi="Arial" w:cs="Arial"/>
          <w:sz w:val="28"/>
        </w:rPr>
        <w:t>区片、商业类三级</w:t>
      </w:r>
      <w:r w:rsidRPr="000B7D55">
        <w:rPr>
          <w:rFonts w:ascii="Arial" w:eastAsia="仿宋_GB2312" w:hAnsi="Arial" w:cs="Arial" w:hint="eastAsia"/>
          <w:sz w:val="28"/>
        </w:rPr>
        <w:t>Ⅲ</w:t>
      </w:r>
      <w:r w:rsidRPr="000B7D55">
        <w:rPr>
          <w:rFonts w:ascii="Arial" w:eastAsia="仿宋_GB2312" w:hAnsi="Arial" w:cs="Arial"/>
          <w:sz w:val="28"/>
        </w:rPr>
        <w:t>-06</w:t>
      </w:r>
      <w:r w:rsidRPr="000B7D55">
        <w:rPr>
          <w:rFonts w:ascii="Arial" w:eastAsia="仿宋_GB2312" w:hAnsi="Arial" w:cs="Arial"/>
          <w:sz w:val="28"/>
        </w:rPr>
        <w:t>区片、办公类</w:t>
      </w:r>
      <w:r w:rsidRPr="000B7D55">
        <w:rPr>
          <w:rFonts w:ascii="Arial" w:eastAsia="仿宋_GB2312" w:hAnsi="Arial" w:cs="Arial" w:hint="eastAsia"/>
          <w:sz w:val="28"/>
        </w:rPr>
        <w:t>二</w:t>
      </w:r>
      <w:r w:rsidRPr="000B7D55">
        <w:rPr>
          <w:rFonts w:ascii="Arial" w:eastAsia="仿宋_GB2312" w:hAnsi="Arial" w:cs="Arial"/>
          <w:sz w:val="28"/>
        </w:rPr>
        <w:t>级</w:t>
      </w:r>
      <w:r w:rsidRPr="000B7D55">
        <w:rPr>
          <w:rFonts w:ascii="Arial" w:eastAsia="仿宋_GB2312" w:hAnsi="Arial" w:cs="Arial" w:hint="eastAsia"/>
          <w:sz w:val="28"/>
        </w:rPr>
        <w:t>Ⅱ</w:t>
      </w:r>
      <w:r w:rsidRPr="000B7D55">
        <w:rPr>
          <w:rFonts w:ascii="Arial" w:eastAsia="仿宋_GB2312" w:hAnsi="Arial" w:cs="Arial"/>
          <w:sz w:val="28"/>
        </w:rPr>
        <w:t>-0</w:t>
      </w:r>
      <w:r w:rsidRPr="000B7D55">
        <w:rPr>
          <w:rFonts w:ascii="Arial" w:eastAsia="仿宋_GB2312" w:hAnsi="Arial" w:cs="Arial" w:hint="eastAsia"/>
          <w:sz w:val="28"/>
        </w:rPr>
        <w:t>3</w:t>
      </w:r>
      <w:r w:rsidRPr="000B7D55">
        <w:rPr>
          <w:rFonts w:ascii="Arial" w:eastAsia="仿宋_GB2312" w:hAnsi="Arial" w:cs="Arial"/>
          <w:sz w:val="28"/>
        </w:rPr>
        <w:t>区片</w:t>
      </w:r>
      <w:r w:rsidRPr="000B7D55">
        <w:rPr>
          <w:rFonts w:ascii="Arial" w:eastAsia="仿宋_GB2312" w:hAnsi="Arial" w:cs="Arial" w:hint="eastAsia"/>
          <w:sz w:val="28"/>
        </w:rPr>
        <w:t>内</w:t>
      </w:r>
      <w:r>
        <w:rPr>
          <w:rFonts w:ascii="Arial" w:eastAsia="仿宋_GB2312" w:hAnsi="Arial" w:cs="Arial" w:hint="eastAsia"/>
          <w:sz w:val="28"/>
        </w:rPr>
        <w:t>；</w:t>
      </w:r>
      <w:r w:rsidRPr="000B7D55">
        <w:rPr>
          <w:rFonts w:ascii="Arial" w:eastAsia="仿宋_GB2312" w:hAnsi="Arial" w:cs="Arial"/>
          <w:sz w:val="28"/>
        </w:rPr>
        <w:t>居住类</w:t>
      </w:r>
      <w:r w:rsidRPr="000B7D55">
        <w:rPr>
          <w:rFonts w:ascii="Arial" w:eastAsia="仿宋_GB2312" w:hAnsi="Arial" w:cs="Arial" w:hint="eastAsia"/>
          <w:sz w:val="28"/>
        </w:rPr>
        <w:t>二</w:t>
      </w:r>
      <w:r w:rsidRPr="000B7D55">
        <w:rPr>
          <w:rFonts w:ascii="Arial" w:eastAsia="仿宋_GB2312" w:hAnsi="Arial" w:cs="Arial"/>
          <w:sz w:val="28"/>
        </w:rPr>
        <w:t>级</w:t>
      </w:r>
      <w:r w:rsidRPr="004B7002">
        <w:rPr>
          <w:rFonts w:ascii="Arial" w:eastAsia="仿宋_GB2312" w:hAnsi="Arial" w:cs="Arial"/>
          <w:sz w:val="28"/>
        </w:rPr>
        <w:t>区片价区间为</w:t>
      </w:r>
      <w:r>
        <w:rPr>
          <w:rFonts w:ascii="Arial" w:eastAsia="仿宋_GB2312" w:hAnsi="Arial" w:cs="Arial"/>
          <w:sz w:val="28"/>
        </w:rPr>
        <w:t>21250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27790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0B7D55">
        <w:rPr>
          <w:rFonts w:ascii="Arial" w:eastAsia="仿宋_GB2312" w:hAnsi="Arial" w:cs="Arial"/>
          <w:sz w:val="28"/>
        </w:rPr>
        <w:t>、商业类三级</w:t>
      </w:r>
      <w:r w:rsidRPr="004B7002">
        <w:rPr>
          <w:rFonts w:ascii="Arial" w:eastAsia="仿宋_GB2312" w:hAnsi="Arial" w:cs="Arial"/>
          <w:sz w:val="28"/>
        </w:rPr>
        <w:t>区片价区间为</w:t>
      </w:r>
      <w:r>
        <w:rPr>
          <w:rFonts w:ascii="Arial" w:eastAsia="仿宋_GB2312" w:hAnsi="Arial" w:cs="Arial"/>
          <w:sz w:val="28"/>
        </w:rPr>
        <w:t>17430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24410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0B7D55">
        <w:rPr>
          <w:rFonts w:ascii="Arial" w:eastAsia="仿宋_GB2312" w:hAnsi="Arial" w:cs="Arial"/>
          <w:sz w:val="28"/>
        </w:rPr>
        <w:t>、办公类</w:t>
      </w:r>
      <w:r w:rsidRPr="000B7D55">
        <w:rPr>
          <w:rFonts w:ascii="Arial" w:eastAsia="仿宋_GB2312" w:hAnsi="Arial" w:cs="Arial" w:hint="eastAsia"/>
          <w:sz w:val="28"/>
        </w:rPr>
        <w:t>二</w:t>
      </w:r>
      <w:r w:rsidRPr="000B7D55">
        <w:rPr>
          <w:rFonts w:ascii="Arial" w:eastAsia="仿宋_GB2312" w:hAnsi="Arial" w:cs="Arial"/>
          <w:sz w:val="28"/>
        </w:rPr>
        <w:t>级</w:t>
      </w:r>
      <w:r w:rsidRPr="004B7002">
        <w:rPr>
          <w:rFonts w:ascii="Arial" w:eastAsia="仿宋_GB2312" w:hAnsi="Arial" w:cs="Arial"/>
          <w:sz w:val="28"/>
        </w:rPr>
        <w:t>区片价区间为</w:t>
      </w:r>
      <w:r>
        <w:rPr>
          <w:rFonts w:ascii="Arial" w:eastAsia="仿宋_GB2312" w:hAnsi="Arial" w:cs="Arial"/>
          <w:sz w:val="28"/>
        </w:rPr>
        <w:t>21480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28080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Pr>
          <w:rFonts w:ascii="Arial" w:eastAsia="仿宋_GB2312" w:hAnsi="Arial" w:cs="Arial" w:hint="eastAsia"/>
          <w:sz w:val="28"/>
        </w:rPr>
        <w:t>，</w:t>
      </w:r>
      <w:r w:rsidRPr="004B7002">
        <w:rPr>
          <w:rFonts w:ascii="Arial" w:eastAsia="仿宋_GB2312" w:hAnsi="Arial" w:cs="Arial"/>
          <w:sz w:val="28"/>
        </w:rPr>
        <w:t>对其对应的各用途基准地价级别低限进行修正，过程和结果见下表：</w:t>
      </w:r>
    </w:p>
    <w:p w14:paraId="4399F5D9" w14:textId="77777777" w:rsidR="006957FF" w:rsidRPr="004B7002" w:rsidRDefault="006957FF" w:rsidP="006957FF">
      <w:pPr>
        <w:spacing w:line="360" w:lineRule="auto"/>
        <w:ind w:firstLineChars="200" w:firstLine="560"/>
        <w:jc w:val="both"/>
        <w:rPr>
          <w:rFonts w:ascii="Arial" w:eastAsia="仿宋_GB2312" w:hAnsi="Arial" w:cs="Arial"/>
          <w:sz w:val="28"/>
        </w:rPr>
      </w:pPr>
    </w:p>
    <w:tbl>
      <w:tblPr>
        <w:tblStyle w:val="aff5"/>
        <w:tblW w:w="9640" w:type="dxa"/>
        <w:jc w:val="center"/>
        <w:tblLook w:val="04A0" w:firstRow="1" w:lastRow="0" w:firstColumn="1" w:lastColumn="0" w:noHBand="0" w:noVBand="1"/>
      </w:tblPr>
      <w:tblGrid>
        <w:gridCol w:w="662"/>
        <w:gridCol w:w="703"/>
        <w:gridCol w:w="771"/>
        <w:gridCol w:w="767"/>
        <w:gridCol w:w="789"/>
        <w:gridCol w:w="767"/>
        <w:gridCol w:w="810"/>
        <w:gridCol w:w="808"/>
        <w:gridCol w:w="767"/>
        <w:gridCol w:w="662"/>
        <w:gridCol w:w="967"/>
        <w:gridCol w:w="1167"/>
      </w:tblGrid>
      <w:tr w:rsidR="00F7311A" w:rsidRPr="004B7002" w14:paraId="7D2A5F93" w14:textId="77777777" w:rsidTr="00F7311A">
        <w:trPr>
          <w:jc w:val="center"/>
        </w:trPr>
        <w:tc>
          <w:tcPr>
            <w:tcW w:w="662" w:type="dxa"/>
            <w:vAlign w:val="center"/>
          </w:tcPr>
          <w:p w14:paraId="2203B586"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lastRenderedPageBreak/>
              <w:t>用途</w:t>
            </w:r>
          </w:p>
        </w:tc>
        <w:tc>
          <w:tcPr>
            <w:tcW w:w="703" w:type="dxa"/>
            <w:vAlign w:val="center"/>
          </w:tcPr>
          <w:p w14:paraId="03579513"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土地级别</w:t>
            </w:r>
          </w:p>
        </w:tc>
        <w:tc>
          <w:tcPr>
            <w:tcW w:w="771" w:type="dxa"/>
            <w:vAlign w:val="center"/>
          </w:tcPr>
          <w:p w14:paraId="51FEA0A4"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所在级别低限基准地价</w:t>
            </w:r>
          </w:p>
        </w:tc>
        <w:tc>
          <w:tcPr>
            <w:tcW w:w="767" w:type="dxa"/>
            <w:vAlign w:val="center"/>
          </w:tcPr>
          <w:p w14:paraId="306589E6"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期日修正系数</w:t>
            </w:r>
          </w:p>
        </w:tc>
        <w:tc>
          <w:tcPr>
            <w:tcW w:w="789" w:type="dxa"/>
            <w:vAlign w:val="center"/>
          </w:tcPr>
          <w:p w14:paraId="4267F99F"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年期修正系数</w:t>
            </w:r>
          </w:p>
        </w:tc>
        <w:tc>
          <w:tcPr>
            <w:tcW w:w="767" w:type="dxa"/>
            <w:vAlign w:val="center"/>
          </w:tcPr>
          <w:p w14:paraId="29E02407"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hint="eastAsia"/>
                <w:b/>
                <w:color w:val="000000"/>
                <w:sz w:val="18"/>
                <w:szCs w:val="18"/>
              </w:rPr>
              <w:t>容积率修正系数</w:t>
            </w:r>
          </w:p>
        </w:tc>
        <w:tc>
          <w:tcPr>
            <w:tcW w:w="810" w:type="dxa"/>
            <w:vAlign w:val="center"/>
          </w:tcPr>
          <w:p w14:paraId="16D2DD2A"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因素修正系数</w:t>
            </w:r>
          </w:p>
        </w:tc>
        <w:tc>
          <w:tcPr>
            <w:tcW w:w="808" w:type="dxa"/>
            <w:vAlign w:val="center"/>
          </w:tcPr>
          <w:p w14:paraId="327B45B6" w14:textId="77777777" w:rsidR="00F7311A" w:rsidRPr="004B7002" w:rsidRDefault="00F7311A" w:rsidP="00F7311A">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r>
              <w:rPr>
                <w:rFonts w:ascii="Arial" w:eastAsia="仿宋_GB2312" w:hAnsi="Arial" w:cs="Arial"/>
                <w:b/>
                <w:color w:val="000000"/>
                <w:sz w:val="18"/>
                <w:szCs w:val="18"/>
              </w:rPr>
              <w:t>/</w:t>
            </w:r>
            <w:r>
              <w:rPr>
                <w:rFonts w:ascii="Arial" w:eastAsia="仿宋_GB2312" w:hAnsi="Arial" w:cs="Arial" w:hint="eastAsia"/>
                <w:b/>
                <w:color w:val="000000"/>
                <w:sz w:val="18"/>
                <w:szCs w:val="18"/>
              </w:rPr>
              <w:t>地下空间修正系数</w:t>
            </w:r>
          </w:p>
        </w:tc>
        <w:tc>
          <w:tcPr>
            <w:tcW w:w="767" w:type="dxa"/>
            <w:vAlign w:val="center"/>
          </w:tcPr>
          <w:p w14:paraId="3E2E2C76"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楼面熟地价</w:t>
            </w:r>
          </w:p>
        </w:tc>
        <w:tc>
          <w:tcPr>
            <w:tcW w:w="662" w:type="dxa"/>
            <w:vAlign w:val="center"/>
          </w:tcPr>
          <w:p w14:paraId="0C6C8070" w14:textId="77777777" w:rsidR="00F7311A" w:rsidRPr="004B7002" w:rsidRDefault="00F7311A" w:rsidP="00F7311A">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政府土地出让收益</w:t>
            </w:r>
          </w:p>
        </w:tc>
        <w:tc>
          <w:tcPr>
            <w:tcW w:w="967" w:type="dxa"/>
            <w:vAlign w:val="center"/>
          </w:tcPr>
          <w:p w14:paraId="39880CCC" w14:textId="77777777" w:rsidR="00F7311A" w:rsidRPr="0063620D" w:rsidRDefault="00F7311A" w:rsidP="00F7311A">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建筑面积</w:t>
            </w:r>
          </w:p>
        </w:tc>
        <w:tc>
          <w:tcPr>
            <w:tcW w:w="1167" w:type="dxa"/>
            <w:vAlign w:val="center"/>
          </w:tcPr>
          <w:p w14:paraId="335FCC38" w14:textId="77777777" w:rsidR="00F7311A" w:rsidRPr="0063620D" w:rsidRDefault="00F7311A" w:rsidP="00F7311A">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w:t>
            </w:r>
            <w:r>
              <w:rPr>
                <w:rFonts w:ascii="Arial" w:eastAsia="仿宋_GB2312" w:hAnsi="Arial" w:cs="Arial" w:hint="eastAsia"/>
                <w:b/>
                <w:color w:val="000000"/>
                <w:sz w:val="18"/>
                <w:szCs w:val="18"/>
              </w:rPr>
              <w:t>总</w:t>
            </w:r>
            <w:r w:rsidRPr="0063620D">
              <w:rPr>
                <w:rFonts w:ascii="Arial" w:eastAsia="仿宋_GB2312" w:hAnsi="Arial" w:cs="Arial" w:hint="eastAsia"/>
                <w:b/>
                <w:color w:val="000000"/>
                <w:sz w:val="18"/>
                <w:szCs w:val="18"/>
              </w:rPr>
              <w:t>收益</w:t>
            </w:r>
          </w:p>
        </w:tc>
      </w:tr>
      <w:tr w:rsidR="00F7311A" w:rsidRPr="004B7002" w14:paraId="73715531" w14:textId="77777777" w:rsidTr="00F7311A">
        <w:trPr>
          <w:jc w:val="center"/>
        </w:trPr>
        <w:tc>
          <w:tcPr>
            <w:tcW w:w="662" w:type="dxa"/>
            <w:vAlign w:val="center"/>
          </w:tcPr>
          <w:p w14:paraId="5DA1856F"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住宅</w:t>
            </w:r>
          </w:p>
        </w:tc>
        <w:tc>
          <w:tcPr>
            <w:tcW w:w="703" w:type="dxa"/>
            <w:vAlign w:val="center"/>
          </w:tcPr>
          <w:p w14:paraId="1888D70E"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54AF04DC"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595A3E6B"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7619682F"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47BEC0B2"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0.865</w:t>
            </w:r>
            <w:r>
              <w:rPr>
                <w:rFonts w:ascii="Arial" w:eastAsia="仿宋_GB2312" w:hAnsi="Arial" w:cs="Arial"/>
                <w:color w:val="000000"/>
                <w:sz w:val="18"/>
                <w:szCs w:val="18"/>
              </w:rPr>
              <w:t>2</w:t>
            </w:r>
          </w:p>
        </w:tc>
        <w:tc>
          <w:tcPr>
            <w:tcW w:w="810" w:type="dxa"/>
            <w:vAlign w:val="center"/>
          </w:tcPr>
          <w:p w14:paraId="7BF33C9C"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3D69259B"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05D48BBF"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3</w:t>
            </w:r>
            <w:r>
              <w:rPr>
                <w:rFonts w:ascii="Arial" w:eastAsia="仿宋_GB2312" w:hAnsi="Arial" w:cs="Arial"/>
                <w:b/>
                <w:bCs/>
                <w:color w:val="000000"/>
                <w:sz w:val="18"/>
                <w:szCs w:val="18"/>
              </w:rPr>
              <w:t>4471</w:t>
            </w:r>
          </w:p>
        </w:tc>
        <w:tc>
          <w:tcPr>
            <w:tcW w:w="662" w:type="dxa"/>
            <w:vAlign w:val="center"/>
          </w:tcPr>
          <w:p w14:paraId="4601C919"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8</w:t>
            </w:r>
            <w:r>
              <w:rPr>
                <w:rFonts w:ascii="Arial" w:eastAsia="仿宋_GB2312" w:hAnsi="Arial" w:cs="Arial"/>
                <w:b/>
                <w:bCs/>
                <w:color w:val="000000"/>
                <w:sz w:val="18"/>
                <w:szCs w:val="18"/>
              </w:rPr>
              <w:t>618</w:t>
            </w:r>
          </w:p>
        </w:tc>
        <w:tc>
          <w:tcPr>
            <w:tcW w:w="967" w:type="dxa"/>
            <w:vAlign w:val="center"/>
          </w:tcPr>
          <w:p w14:paraId="4D8C8C16"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28075</w:t>
            </w:r>
          </w:p>
        </w:tc>
        <w:tc>
          <w:tcPr>
            <w:tcW w:w="1167" w:type="dxa"/>
            <w:vAlign w:val="center"/>
          </w:tcPr>
          <w:p w14:paraId="23E71730"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24195.035</w:t>
            </w:r>
            <w:r>
              <w:rPr>
                <w:rFonts w:ascii="Arial" w:eastAsia="仿宋_GB2312" w:hAnsi="Arial" w:cs="Arial"/>
                <w:b/>
                <w:bCs/>
                <w:color w:val="000000"/>
                <w:sz w:val="18"/>
                <w:szCs w:val="18"/>
              </w:rPr>
              <w:t>0</w:t>
            </w:r>
          </w:p>
        </w:tc>
      </w:tr>
      <w:tr w:rsidR="00F7311A" w:rsidRPr="004B7002" w14:paraId="76795668" w14:textId="77777777" w:rsidTr="00F7311A">
        <w:trPr>
          <w:jc w:val="center"/>
        </w:trPr>
        <w:tc>
          <w:tcPr>
            <w:tcW w:w="662" w:type="dxa"/>
            <w:vAlign w:val="center"/>
          </w:tcPr>
          <w:p w14:paraId="5DDE20F3"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703" w:type="dxa"/>
            <w:vAlign w:val="center"/>
          </w:tcPr>
          <w:p w14:paraId="2DA2F6B3"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Ⅲ</w:t>
            </w:r>
            <w:r w:rsidRPr="0063620D">
              <w:rPr>
                <w:rFonts w:ascii="Arial" w:eastAsia="仿宋_GB2312" w:hAnsi="Arial" w:cs="Arial" w:hint="eastAsia"/>
                <w:color w:val="000000"/>
                <w:sz w:val="18"/>
                <w:szCs w:val="18"/>
              </w:rPr>
              <w:t>-06</w:t>
            </w:r>
          </w:p>
        </w:tc>
        <w:tc>
          <w:tcPr>
            <w:tcW w:w="771" w:type="dxa"/>
            <w:vAlign w:val="center"/>
          </w:tcPr>
          <w:p w14:paraId="5FDF047F"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767" w:type="dxa"/>
            <w:vAlign w:val="center"/>
          </w:tcPr>
          <w:p w14:paraId="09BC6351"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1B3AD27A"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3AA940B4"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.8175</w:t>
            </w:r>
          </w:p>
        </w:tc>
        <w:tc>
          <w:tcPr>
            <w:tcW w:w="810" w:type="dxa"/>
            <w:vAlign w:val="center"/>
          </w:tcPr>
          <w:p w14:paraId="0A23FD94"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.0535</w:t>
            </w:r>
          </w:p>
        </w:tc>
        <w:tc>
          <w:tcPr>
            <w:tcW w:w="808" w:type="dxa"/>
            <w:vAlign w:val="center"/>
          </w:tcPr>
          <w:p w14:paraId="21C3D57C"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70E1AACB"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0960</w:t>
            </w:r>
          </w:p>
        </w:tc>
        <w:tc>
          <w:tcPr>
            <w:tcW w:w="662" w:type="dxa"/>
            <w:vAlign w:val="center"/>
          </w:tcPr>
          <w:p w14:paraId="1C622928"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5</w:t>
            </w:r>
            <w:r>
              <w:rPr>
                <w:rFonts w:ascii="Arial" w:eastAsia="仿宋_GB2312" w:hAnsi="Arial" w:cs="Arial"/>
                <w:b/>
                <w:bCs/>
                <w:color w:val="000000"/>
                <w:sz w:val="18"/>
                <w:szCs w:val="18"/>
              </w:rPr>
              <w:t>240</w:t>
            </w:r>
          </w:p>
        </w:tc>
        <w:tc>
          <w:tcPr>
            <w:tcW w:w="967" w:type="dxa"/>
            <w:vAlign w:val="center"/>
          </w:tcPr>
          <w:p w14:paraId="7CD19D4C"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3318</w:t>
            </w:r>
          </w:p>
        </w:tc>
        <w:tc>
          <w:tcPr>
            <w:tcW w:w="1167" w:type="dxa"/>
            <w:vAlign w:val="center"/>
          </w:tcPr>
          <w:p w14:paraId="108C6E8A"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1738.632</w:t>
            </w:r>
            <w:r>
              <w:rPr>
                <w:rFonts w:ascii="Arial" w:eastAsia="仿宋_GB2312" w:hAnsi="Arial" w:cs="Arial"/>
                <w:b/>
                <w:bCs/>
                <w:color w:val="000000"/>
                <w:sz w:val="18"/>
                <w:szCs w:val="18"/>
              </w:rPr>
              <w:t>0</w:t>
            </w:r>
          </w:p>
        </w:tc>
      </w:tr>
      <w:tr w:rsidR="00F7311A" w:rsidRPr="004B7002" w14:paraId="668B25CB" w14:textId="77777777" w:rsidTr="00F7311A">
        <w:trPr>
          <w:jc w:val="center"/>
        </w:trPr>
        <w:tc>
          <w:tcPr>
            <w:tcW w:w="662" w:type="dxa"/>
            <w:vAlign w:val="center"/>
          </w:tcPr>
          <w:p w14:paraId="27F4CF6A"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办公</w:t>
            </w:r>
          </w:p>
        </w:tc>
        <w:tc>
          <w:tcPr>
            <w:tcW w:w="703" w:type="dxa"/>
            <w:vAlign w:val="center"/>
          </w:tcPr>
          <w:p w14:paraId="75C5E441"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43D28E25"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7FA3F715"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504AD212"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6169D6AD"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.9151</w:t>
            </w:r>
          </w:p>
        </w:tc>
        <w:tc>
          <w:tcPr>
            <w:tcW w:w="810" w:type="dxa"/>
            <w:vAlign w:val="center"/>
          </w:tcPr>
          <w:p w14:paraId="345D9865"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05AC239A"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37DE744E"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8536</w:t>
            </w:r>
          </w:p>
        </w:tc>
        <w:tc>
          <w:tcPr>
            <w:tcW w:w="662" w:type="dxa"/>
            <w:vAlign w:val="center"/>
          </w:tcPr>
          <w:p w14:paraId="6C20B85D"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7</w:t>
            </w:r>
            <w:r>
              <w:rPr>
                <w:rFonts w:ascii="Arial" w:eastAsia="仿宋_GB2312" w:hAnsi="Arial" w:cs="Arial"/>
                <w:b/>
                <w:bCs/>
                <w:color w:val="000000"/>
                <w:sz w:val="18"/>
                <w:szCs w:val="18"/>
              </w:rPr>
              <w:t>134</w:t>
            </w:r>
          </w:p>
        </w:tc>
        <w:tc>
          <w:tcPr>
            <w:tcW w:w="967" w:type="dxa"/>
            <w:vAlign w:val="center"/>
          </w:tcPr>
          <w:p w14:paraId="3E4DB46E"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118</w:t>
            </w:r>
          </w:p>
        </w:tc>
        <w:tc>
          <w:tcPr>
            <w:tcW w:w="1167" w:type="dxa"/>
            <w:vAlign w:val="center"/>
          </w:tcPr>
          <w:p w14:paraId="460FC87C"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84.1812</w:t>
            </w:r>
          </w:p>
        </w:tc>
      </w:tr>
      <w:tr w:rsidR="00F7311A" w:rsidRPr="004B7002" w14:paraId="397969DC" w14:textId="77777777" w:rsidTr="00F7311A">
        <w:trPr>
          <w:jc w:val="center"/>
        </w:trPr>
        <w:tc>
          <w:tcPr>
            <w:tcW w:w="662" w:type="dxa"/>
            <w:vAlign w:val="center"/>
          </w:tcPr>
          <w:p w14:paraId="0335DA68"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703" w:type="dxa"/>
            <w:vAlign w:val="center"/>
          </w:tcPr>
          <w:p w14:paraId="44086C59"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12315E64"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0AFED475"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6D2953D5"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65820F95"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499CB50C"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1BDA791C"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0.3</w:t>
            </w:r>
          </w:p>
        </w:tc>
        <w:tc>
          <w:tcPr>
            <w:tcW w:w="767" w:type="dxa"/>
            <w:vAlign w:val="center"/>
          </w:tcPr>
          <w:p w14:paraId="2764E24B"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355</w:t>
            </w:r>
          </w:p>
        </w:tc>
        <w:tc>
          <w:tcPr>
            <w:tcW w:w="662" w:type="dxa"/>
            <w:vAlign w:val="center"/>
          </w:tcPr>
          <w:p w14:paraId="644A16C9"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339</w:t>
            </w:r>
          </w:p>
        </w:tc>
        <w:tc>
          <w:tcPr>
            <w:tcW w:w="967" w:type="dxa"/>
            <w:vAlign w:val="center"/>
          </w:tcPr>
          <w:p w14:paraId="0958F810"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32</w:t>
            </w:r>
          </w:p>
        </w:tc>
        <w:tc>
          <w:tcPr>
            <w:tcW w:w="1167" w:type="dxa"/>
            <w:vAlign w:val="center"/>
          </w:tcPr>
          <w:p w14:paraId="35312587"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7.4848</w:t>
            </w:r>
          </w:p>
        </w:tc>
      </w:tr>
      <w:tr w:rsidR="00F7311A" w:rsidRPr="004B7002" w14:paraId="67E020F6" w14:textId="77777777" w:rsidTr="00F7311A">
        <w:trPr>
          <w:jc w:val="center"/>
        </w:trPr>
        <w:tc>
          <w:tcPr>
            <w:tcW w:w="662" w:type="dxa"/>
            <w:vAlign w:val="center"/>
          </w:tcPr>
          <w:p w14:paraId="01DEF125"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地下车库</w:t>
            </w:r>
          </w:p>
        </w:tc>
        <w:tc>
          <w:tcPr>
            <w:tcW w:w="703" w:type="dxa"/>
            <w:vAlign w:val="center"/>
          </w:tcPr>
          <w:p w14:paraId="60D5D236"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05EE3D30"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1FADFD35"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70D79884"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1A02FDFC"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10" w:type="dxa"/>
            <w:vAlign w:val="center"/>
          </w:tcPr>
          <w:p w14:paraId="7FD6741A"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6130F531"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0.25</w:t>
            </w:r>
          </w:p>
        </w:tc>
        <w:tc>
          <w:tcPr>
            <w:tcW w:w="767" w:type="dxa"/>
            <w:vAlign w:val="center"/>
          </w:tcPr>
          <w:p w14:paraId="2E3B3A6F"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960</w:t>
            </w:r>
          </w:p>
        </w:tc>
        <w:tc>
          <w:tcPr>
            <w:tcW w:w="662" w:type="dxa"/>
            <w:vAlign w:val="center"/>
          </w:tcPr>
          <w:p w14:paraId="313D81CD"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490</w:t>
            </w:r>
          </w:p>
        </w:tc>
        <w:tc>
          <w:tcPr>
            <w:tcW w:w="967" w:type="dxa"/>
            <w:vAlign w:val="center"/>
          </w:tcPr>
          <w:p w14:paraId="1FA96845"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10345.02</w:t>
            </w:r>
          </w:p>
        </w:tc>
        <w:tc>
          <w:tcPr>
            <w:tcW w:w="1167" w:type="dxa"/>
            <w:vAlign w:val="center"/>
          </w:tcPr>
          <w:p w14:paraId="4111EDE4"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2575.91</w:t>
            </w:r>
            <w:r>
              <w:rPr>
                <w:rFonts w:ascii="Arial" w:eastAsia="仿宋_GB2312" w:hAnsi="Arial" w:cs="Arial"/>
                <w:b/>
                <w:bCs/>
                <w:color w:val="000000"/>
                <w:sz w:val="18"/>
                <w:szCs w:val="18"/>
              </w:rPr>
              <w:t>00</w:t>
            </w:r>
          </w:p>
        </w:tc>
      </w:tr>
      <w:tr w:rsidR="00F7311A" w:rsidRPr="004B7002" w14:paraId="1987EF37" w14:textId="77777777" w:rsidTr="00F7311A">
        <w:trPr>
          <w:jc w:val="center"/>
        </w:trPr>
        <w:tc>
          <w:tcPr>
            <w:tcW w:w="662" w:type="dxa"/>
            <w:vAlign w:val="center"/>
          </w:tcPr>
          <w:p w14:paraId="1C5D751B"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合计</w:t>
            </w:r>
          </w:p>
        </w:tc>
        <w:tc>
          <w:tcPr>
            <w:tcW w:w="703" w:type="dxa"/>
            <w:vAlign w:val="center"/>
          </w:tcPr>
          <w:p w14:paraId="48624A53"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7DCA30DC"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50C1588A"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89" w:type="dxa"/>
            <w:vAlign w:val="center"/>
          </w:tcPr>
          <w:p w14:paraId="246E8046"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3E3BC49D"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15F283F1"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08" w:type="dxa"/>
            <w:vAlign w:val="center"/>
          </w:tcPr>
          <w:p w14:paraId="13BC8447"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767" w:type="dxa"/>
            <w:vAlign w:val="center"/>
          </w:tcPr>
          <w:p w14:paraId="422B5576" w14:textId="77777777" w:rsidR="00F7311A"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662" w:type="dxa"/>
            <w:vAlign w:val="center"/>
          </w:tcPr>
          <w:p w14:paraId="137A5627"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967" w:type="dxa"/>
            <w:vAlign w:val="center"/>
          </w:tcPr>
          <w:p w14:paraId="5747D82E"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41888.02</w:t>
            </w:r>
          </w:p>
        </w:tc>
        <w:tc>
          <w:tcPr>
            <w:tcW w:w="1167" w:type="dxa"/>
            <w:vAlign w:val="center"/>
          </w:tcPr>
          <w:p w14:paraId="7A3D3785"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28601.243</w:t>
            </w:r>
            <w:r>
              <w:rPr>
                <w:rFonts w:ascii="Arial" w:eastAsia="仿宋_GB2312" w:hAnsi="Arial" w:cs="Arial"/>
                <w:b/>
                <w:bCs/>
                <w:color w:val="000000"/>
                <w:sz w:val="18"/>
                <w:szCs w:val="18"/>
              </w:rPr>
              <w:t>0</w:t>
            </w:r>
          </w:p>
        </w:tc>
      </w:tr>
    </w:tbl>
    <w:p w14:paraId="0EF0DB3D" w14:textId="77777777" w:rsidR="00F7311A" w:rsidRPr="004B7002" w:rsidRDefault="00F7311A" w:rsidP="00F7311A">
      <w:pPr>
        <w:pStyle w:val="11"/>
        <w:ind w:firstLine="361"/>
        <w:jc w:val="both"/>
        <w:rPr>
          <w:rFonts w:ascii="Arial" w:hAnsi="Arial" w:cs="Arial"/>
          <w:b/>
          <w:sz w:val="18"/>
          <w:szCs w:val="18"/>
        </w:rPr>
      </w:pPr>
      <w:r w:rsidRPr="004B7002">
        <w:rPr>
          <w:rFonts w:ascii="Arial" w:hAnsi="Arial" w:cs="Arial"/>
          <w:b/>
          <w:sz w:val="18"/>
          <w:szCs w:val="18"/>
        </w:rPr>
        <w:t>单位：元</w:t>
      </w:r>
      <w:r w:rsidRPr="004B7002">
        <w:rPr>
          <w:rFonts w:ascii="Arial" w:hAnsi="Arial" w:cs="Arial"/>
          <w:b/>
          <w:sz w:val="18"/>
          <w:szCs w:val="18"/>
        </w:rPr>
        <w:t>/</w:t>
      </w:r>
      <w:r w:rsidRPr="004B7002">
        <w:rPr>
          <w:rFonts w:ascii="Arial" w:hAnsi="Arial" w:cs="Arial"/>
          <w:b/>
          <w:sz w:val="18"/>
          <w:szCs w:val="18"/>
        </w:rPr>
        <w:t>平方米</w:t>
      </w:r>
      <w:r>
        <w:rPr>
          <w:rFonts w:ascii="Arial" w:hAnsi="Arial" w:cs="Arial" w:hint="eastAsia"/>
          <w:b/>
          <w:sz w:val="18"/>
          <w:szCs w:val="18"/>
        </w:rPr>
        <w:t>、平方米、万元</w:t>
      </w:r>
    </w:p>
    <w:p w14:paraId="491766DC" w14:textId="74ACB69E" w:rsidR="00F7311A" w:rsidRDefault="00F7311A" w:rsidP="00F7311A">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根据</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及其附件复印件、《关于海淀区苏州街站一体化棚户区改造项目成本说明》</w:t>
      </w:r>
      <w:r>
        <w:rPr>
          <w:rFonts w:ascii="Arial" w:eastAsia="仿宋_GB2312" w:hAnsi="Arial" w:cs="Arial" w:hint="eastAsia"/>
          <w:bCs/>
          <w:sz w:val="28"/>
        </w:rPr>
        <w:t>，估价对象前期土地开发成本约为</w:t>
      </w:r>
      <w:r>
        <w:rPr>
          <w:rFonts w:ascii="Arial" w:eastAsia="仿宋_GB2312" w:hAnsi="Arial" w:cs="Arial"/>
          <w:bCs/>
          <w:sz w:val="28"/>
        </w:rPr>
        <w:t>158379.13</w:t>
      </w:r>
      <w:r>
        <w:rPr>
          <w:rFonts w:ascii="Arial" w:eastAsia="仿宋_GB2312" w:hAnsi="Arial" w:cs="Arial" w:hint="eastAsia"/>
          <w:bCs/>
          <w:sz w:val="28"/>
        </w:rPr>
        <w:t>万元，本次评估测算政府土地出让收益总价为</w:t>
      </w:r>
      <w:r w:rsidR="00443EF8">
        <w:rPr>
          <w:rFonts w:ascii="Arial" w:eastAsia="仿宋_GB2312" w:hAnsi="Arial" w:cs="Arial"/>
          <w:bCs/>
          <w:color w:val="000000" w:themeColor="text1"/>
          <w:sz w:val="28"/>
        </w:rPr>
        <w:t>61093.2435</w:t>
      </w:r>
      <w:r w:rsidRPr="000B7D55">
        <w:rPr>
          <w:rFonts w:ascii="Arial" w:eastAsia="仿宋_GB2312" w:hAnsi="Arial" w:cs="Arial" w:hint="eastAsia"/>
          <w:bCs/>
          <w:color w:val="000000" w:themeColor="text1"/>
          <w:sz w:val="28"/>
        </w:rPr>
        <w:t>万元，</w:t>
      </w:r>
      <w:r w:rsidRPr="000B7D55">
        <w:rPr>
          <w:rFonts w:ascii="Arial" w:eastAsia="仿宋_GB2312" w:hAnsi="Arial" w:cs="Arial" w:hint="eastAsia"/>
          <w:color w:val="000000" w:themeColor="text1"/>
          <w:sz w:val="28"/>
        </w:rPr>
        <w:t>则政府土地收益与</w:t>
      </w:r>
      <w:r w:rsidRPr="000B7D55">
        <w:rPr>
          <w:rFonts w:ascii="Arial" w:eastAsia="仿宋_GB2312" w:hAnsi="Arial" w:cs="Arial" w:hint="eastAsia"/>
          <w:bCs/>
          <w:color w:val="000000" w:themeColor="text1"/>
          <w:sz w:val="28"/>
        </w:rPr>
        <w:t>土地开发成本</w:t>
      </w:r>
      <w:r w:rsidRPr="000B7D55">
        <w:rPr>
          <w:rFonts w:ascii="Arial" w:eastAsia="仿宋_GB2312" w:hAnsi="Arial" w:cs="Arial" w:hint="eastAsia"/>
          <w:color w:val="000000" w:themeColor="text1"/>
          <w:sz w:val="28"/>
        </w:rPr>
        <w:t>合计为</w:t>
      </w:r>
      <w:r w:rsidR="000B7D55" w:rsidRPr="000B7D55">
        <w:rPr>
          <w:rFonts w:ascii="Arial" w:eastAsia="仿宋_GB2312" w:hAnsi="Arial" w:cs="Arial"/>
          <w:bCs/>
          <w:color w:val="000000" w:themeColor="text1"/>
          <w:sz w:val="28"/>
        </w:rPr>
        <w:t>219473.4080</w:t>
      </w:r>
      <w:r w:rsidRPr="000B7D55">
        <w:rPr>
          <w:rFonts w:ascii="Arial" w:eastAsia="仿宋_GB2312" w:hAnsi="Arial" w:cs="Arial" w:hint="eastAsia"/>
          <w:bCs/>
          <w:color w:val="000000" w:themeColor="text1"/>
          <w:sz w:val="28"/>
        </w:rPr>
        <w:t>万元，</w:t>
      </w:r>
      <w:r w:rsidRPr="000B7D55">
        <w:rPr>
          <w:rFonts w:ascii="Arial" w:eastAsia="仿宋_GB2312" w:hAnsi="Arial" w:cs="Arial"/>
          <w:bCs/>
          <w:color w:val="000000" w:themeColor="text1"/>
          <w:sz w:val="28"/>
        </w:rPr>
        <w:t xml:space="preserve"> </w:t>
      </w:r>
      <w:r>
        <w:rPr>
          <w:rFonts w:ascii="Arial" w:eastAsia="仿宋_GB2312" w:hAnsi="Arial" w:cs="Arial" w:hint="eastAsia"/>
          <w:sz w:val="28"/>
        </w:rPr>
        <w:t>与</w:t>
      </w:r>
      <w:r>
        <w:rPr>
          <w:rFonts w:ascii="Arial" w:eastAsia="仿宋_GB2312" w:hAnsi="Arial" w:cs="Arial" w:hint="eastAsia"/>
          <w:bCs/>
          <w:sz w:val="28"/>
        </w:rPr>
        <w:t>上表中级别地价低限对比</w:t>
      </w:r>
      <w:r>
        <w:rPr>
          <w:rFonts w:ascii="Arial" w:eastAsia="仿宋_GB2312" w:hAnsi="Arial" w:cs="Arial"/>
          <w:bCs/>
          <w:sz w:val="28"/>
        </w:rPr>
        <w:t>,</w:t>
      </w:r>
      <w:r>
        <w:rPr>
          <w:rFonts w:ascii="Arial" w:eastAsia="仿宋_GB2312" w:hAnsi="Arial" w:cs="Arial" w:hint="eastAsia"/>
          <w:sz w:val="28"/>
        </w:rPr>
        <w:t>政府土地出让收益与土地开发成本合计高于</w:t>
      </w:r>
      <w:r>
        <w:rPr>
          <w:rFonts w:ascii="Arial" w:eastAsia="仿宋_GB2312" w:hAnsi="Arial" w:cs="Arial" w:hint="eastAsia"/>
          <w:bCs/>
          <w:sz w:val="28"/>
        </w:rPr>
        <w:t>修正后基准地价级别地价低限，故评估结果符合相关文件规定。</w:t>
      </w:r>
    </w:p>
    <w:p w14:paraId="21D1EC80" w14:textId="77777777" w:rsidR="00F7311A" w:rsidRPr="004B7002" w:rsidRDefault="00F7311A" w:rsidP="00F7311A">
      <w:pPr>
        <w:spacing w:line="360" w:lineRule="auto"/>
        <w:ind w:firstLineChars="200" w:firstLine="560"/>
        <w:rPr>
          <w:rFonts w:ascii="Arial" w:eastAsia="仿宋_GB2312" w:hAnsi="Arial" w:cs="Arial"/>
          <w:bCs/>
          <w:sz w:val="28"/>
        </w:rPr>
      </w:pPr>
      <w:r w:rsidRPr="004B7002">
        <w:rPr>
          <w:rFonts w:ascii="Arial" w:eastAsia="仿宋_GB2312" w:hAnsi="Arial" w:cs="Arial"/>
          <w:sz w:val="28"/>
          <w:szCs w:val="28"/>
        </w:rPr>
        <w:t>2</w:t>
      </w:r>
      <w:r w:rsidRPr="004B7002">
        <w:rPr>
          <w:rFonts w:ascii="Arial" w:eastAsia="仿宋_GB2312" w:hAnsi="Arial" w:cs="Arial"/>
          <w:bCs/>
          <w:sz w:val="28"/>
        </w:rPr>
        <w:t>.</w:t>
      </w:r>
      <w:r w:rsidRPr="004B7002">
        <w:rPr>
          <w:rFonts w:ascii="Arial" w:eastAsia="仿宋_GB2312" w:hAnsi="Arial" w:cs="Arial"/>
          <w:bCs/>
          <w:sz w:val="28"/>
        </w:rPr>
        <w:t>土地市场分析</w:t>
      </w:r>
    </w:p>
    <w:p w14:paraId="0D6AB788" w14:textId="77777777" w:rsidR="00F7311A" w:rsidRDefault="00F7311A" w:rsidP="00F7311A">
      <w:pPr>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估价对象为住宅</w:t>
      </w:r>
      <w:r>
        <w:rPr>
          <w:rFonts w:ascii="Arial" w:eastAsia="仿宋_GB2312" w:hAnsi="Arial" w:cs="Arial" w:hint="eastAsia"/>
          <w:sz w:val="28"/>
          <w:szCs w:val="28"/>
        </w:rPr>
        <w:t>、商业、办公、地下办公、地下车库</w:t>
      </w:r>
      <w:r w:rsidRPr="004B7002">
        <w:rPr>
          <w:rFonts w:ascii="Arial" w:eastAsia="仿宋_GB2312" w:hAnsi="Arial" w:cs="Arial" w:hint="eastAsia"/>
          <w:sz w:val="28"/>
          <w:szCs w:val="28"/>
        </w:rPr>
        <w:t>用地，符合土地集约节约利用的政策要求。</w:t>
      </w:r>
    </w:p>
    <w:p w14:paraId="520F8564" w14:textId="77777777" w:rsidR="00F7311A" w:rsidRPr="004B00B4" w:rsidRDefault="00F7311A" w:rsidP="00F7311A">
      <w:pPr>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目前海淀区尚未有充足的住宅用地土地使用权的交易案例，难以用市场价格判断评估价是否与市场吻合。</w:t>
      </w:r>
      <w:r>
        <w:rPr>
          <w:rFonts w:ascii="Arial" w:eastAsia="仿宋_GB2312" w:hAnsi="Arial" w:cs="Arial" w:hint="eastAsia"/>
          <w:sz w:val="28"/>
          <w:szCs w:val="28"/>
        </w:rPr>
        <w:t>但</w:t>
      </w:r>
      <w:r w:rsidRPr="007C07A4">
        <w:rPr>
          <w:rFonts w:ascii="Arial" w:eastAsia="仿宋_GB2312" w:hAnsi="Arial" w:cs="Arial" w:hint="eastAsia"/>
          <w:sz w:val="28"/>
          <w:szCs w:val="28"/>
        </w:rPr>
        <w:t>有充足的商业、办公用地土地使用权的交易案例，</w:t>
      </w:r>
      <w:r w:rsidRPr="004B7002">
        <w:rPr>
          <w:rFonts w:ascii="Arial" w:eastAsia="仿宋_GB2312" w:hAnsi="Arial" w:cs="Arial" w:hint="eastAsia"/>
          <w:sz w:val="28"/>
          <w:szCs w:val="28"/>
        </w:rPr>
        <w:t>北京市基准地价为出让地价的重要参考依据，可以参照基准地价判断评估结果的合理性。</w:t>
      </w:r>
    </w:p>
    <w:p w14:paraId="387D34E1" w14:textId="77777777" w:rsidR="00F7311A" w:rsidRPr="004B7002" w:rsidRDefault="00F7311A" w:rsidP="00F7311A">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经分析估价对象同区域内（海淀区）近三年（</w:t>
      </w:r>
      <w:r w:rsidRPr="004B7002">
        <w:rPr>
          <w:rFonts w:ascii="Arial" w:eastAsia="仿宋_GB2312" w:hAnsi="Arial" w:cs="Arial"/>
          <w:sz w:val="28"/>
          <w:szCs w:val="28"/>
        </w:rPr>
        <w:t>2018-2020</w:t>
      </w:r>
      <w:r w:rsidRPr="004B7002">
        <w:rPr>
          <w:rFonts w:ascii="Arial" w:eastAsia="仿宋_GB2312" w:hAnsi="Arial" w:cs="Arial"/>
          <w:sz w:val="28"/>
          <w:szCs w:val="28"/>
        </w:rPr>
        <w:t>年）已审定</w:t>
      </w:r>
      <w:r w:rsidRPr="004B7002">
        <w:rPr>
          <w:rFonts w:ascii="Arial" w:eastAsia="仿宋_GB2312" w:hAnsi="Arial" w:cs="Arial" w:hint="eastAsia"/>
          <w:sz w:val="28"/>
          <w:szCs w:val="28"/>
        </w:rPr>
        <w:t>住宅</w:t>
      </w:r>
      <w:r w:rsidRPr="004B7002">
        <w:rPr>
          <w:rFonts w:ascii="Arial" w:eastAsia="仿宋_GB2312" w:hAnsi="Arial" w:cs="Arial"/>
          <w:sz w:val="28"/>
          <w:szCs w:val="28"/>
        </w:rPr>
        <w:t>用途协议出让案例有</w:t>
      </w:r>
      <w:r>
        <w:rPr>
          <w:rFonts w:ascii="Arial" w:eastAsia="仿宋_GB2312" w:hAnsi="Arial" w:cs="Arial" w:hint="eastAsia"/>
          <w:sz w:val="28"/>
          <w:szCs w:val="28"/>
        </w:rPr>
        <w:t>1</w:t>
      </w:r>
      <w:r w:rsidRPr="004B7002">
        <w:rPr>
          <w:rFonts w:ascii="Arial" w:eastAsia="仿宋_GB2312" w:hAnsi="Arial" w:cs="Arial"/>
          <w:sz w:val="28"/>
          <w:szCs w:val="28"/>
        </w:rPr>
        <w:t>个，其中</w:t>
      </w:r>
      <w:r w:rsidRPr="004B7002">
        <w:rPr>
          <w:rFonts w:ascii="Arial" w:eastAsia="仿宋_GB2312" w:hAnsi="Arial" w:cs="Arial"/>
          <w:sz w:val="28"/>
          <w:szCs w:val="28"/>
        </w:rPr>
        <w:t>2018</w:t>
      </w:r>
      <w:r>
        <w:rPr>
          <w:rFonts w:ascii="Arial" w:eastAsia="仿宋_GB2312" w:hAnsi="Arial" w:cs="Arial" w:hint="eastAsia"/>
          <w:sz w:val="28"/>
          <w:szCs w:val="28"/>
        </w:rPr>
        <w:t>、</w:t>
      </w:r>
      <w:r w:rsidRPr="004B7002">
        <w:rPr>
          <w:rFonts w:ascii="Arial" w:eastAsia="仿宋_GB2312" w:hAnsi="Arial" w:cs="Arial" w:hint="eastAsia"/>
          <w:sz w:val="28"/>
          <w:szCs w:val="28"/>
        </w:rPr>
        <w:t>2</w:t>
      </w:r>
      <w:r w:rsidRPr="004B7002">
        <w:rPr>
          <w:rFonts w:ascii="Arial" w:eastAsia="仿宋_GB2312" w:hAnsi="Arial" w:cs="Arial"/>
          <w:sz w:val="28"/>
          <w:szCs w:val="28"/>
        </w:rPr>
        <w:t>019</w:t>
      </w:r>
      <w:r w:rsidRPr="004B7002">
        <w:rPr>
          <w:rFonts w:ascii="Arial" w:eastAsia="仿宋_GB2312" w:hAnsi="Arial" w:cs="Arial"/>
          <w:sz w:val="28"/>
          <w:szCs w:val="28"/>
        </w:rPr>
        <w:t>年</w:t>
      </w:r>
      <w:proofErr w:type="gramStart"/>
      <w:r w:rsidRPr="004B7002">
        <w:rPr>
          <w:rFonts w:ascii="Arial" w:eastAsia="仿宋_GB2312" w:hAnsi="Arial" w:cs="Arial" w:hint="eastAsia"/>
          <w:sz w:val="28"/>
          <w:szCs w:val="28"/>
        </w:rPr>
        <w:t>无住宅</w:t>
      </w:r>
      <w:proofErr w:type="gramEnd"/>
      <w:r w:rsidRPr="004B7002">
        <w:rPr>
          <w:rFonts w:ascii="Arial" w:eastAsia="仿宋_GB2312" w:hAnsi="Arial" w:cs="Arial" w:hint="eastAsia"/>
          <w:sz w:val="28"/>
          <w:szCs w:val="28"/>
        </w:rPr>
        <w:t>用途协议出让案例，</w:t>
      </w:r>
      <w:r w:rsidRPr="004B7002">
        <w:rPr>
          <w:rFonts w:ascii="Arial" w:eastAsia="仿宋_GB2312" w:hAnsi="Arial" w:cs="Arial"/>
          <w:sz w:val="28"/>
          <w:szCs w:val="28"/>
        </w:rPr>
        <w:t>2020</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sidRPr="004B7002">
        <w:rPr>
          <w:rFonts w:ascii="Arial" w:eastAsia="仿宋_GB2312" w:hAnsi="Arial" w:cs="Arial"/>
          <w:sz w:val="28"/>
          <w:szCs w:val="28"/>
        </w:rPr>
        <w:t>19622</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4B7002">
        <w:rPr>
          <w:rFonts w:ascii="Arial" w:eastAsia="仿宋_GB2312" w:hAnsi="Arial" w:cs="Arial" w:hint="eastAsia"/>
          <w:sz w:val="28"/>
          <w:szCs w:val="28"/>
        </w:rPr>
        <w:t>仅</w:t>
      </w:r>
      <w:r w:rsidRPr="004B7002">
        <w:rPr>
          <w:rFonts w:ascii="Arial" w:eastAsia="仿宋_GB2312" w:hAnsi="Arial" w:cs="Arial"/>
          <w:sz w:val="28"/>
          <w:szCs w:val="28"/>
        </w:rPr>
        <w:t>1</w:t>
      </w:r>
      <w:r w:rsidRPr="004B7002">
        <w:rPr>
          <w:rFonts w:ascii="Arial" w:eastAsia="仿宋_GB2312" w:hAnsi="Arial" w:cs="Arial"/>
          <w:sz w:val="28"/>
          <w:szCs w:val="28"/>
        </w:rPr>
        <w:t>宗，</w:t>
      </w:r>
      <w:r w:rsidRPr="004B7002">
        <w:rPr>
          <w:rFonts w:ascii="Arial" w:eastAsia="仿宋_GB2312" w:hAnsi="Arial" w:cs="Arial" w:hint="eastAsia"/>
          <w:sz w:val="28"/>
          <w:szCs w:val="28"/>
        </w:rPr>
        <w:t>位于</w:t>
      </w:r>
      <w:r w:rsidRPr="004B7002">
        <w:rPr>
          <w:rFonts w:ascii="Arial" w:eastAsia="仿宋_GB2312" w:hAnsi="Arial" w:cs="Arial"/>
          <w:sz w:val="28"/>
          <w:szCs w:val="28"/>
        </w:rPr>
        <w:t>七级</w:t>
      </w:r>
      <w:r w:rsidRPr="004B7002">
        <w:rPr>
          <w:rFonts w:ascii="Arial" w:eastAsia="仿宋_GB2312" w:hAnsi="Arial" w:cs="Arial"/>
          <w:sz w:val="28"/>
          <w:szCs w:val="28"/>
        </w:rPr>
        <w:lastRenderedPageBreak/>
        <w:t>地价区）</w:t>
      </w:r>
      <w:r w:rsidRPr="004B7002">
        <w:rPr>
          <w:rFonts w:ascii="Arial" w:eastAsia="仿宋_GB2312" w:hAnsi="Arial" w:cs="Arial" w:hint="eastAsia"/>
          <w:sz w:val="28"/>
          <w:szCs w:val="28"/>
        </w:rPr>
        <w:t>，估价对象位于</w:t>
      </w:r>
      <w:r>
        <w:rPr>
          <w:rFonts w:ascii="Arial" w:eastAsia="仿宋_GB2312" w:hAnsi="Arial" w:cs="Arial" w:hint="eastAsia"/>
          <w:sz w:val="28"/>
          <w:szCs w:val="28"/>
        </w:rPr>
        <w:t>二</w:t>
      </w:r>
      <w:r w:rsidRPr="004B7002">
        <w:rPr>
          <w:rFonts w:ascii="Arial" w:eastAsia="仿宋_GB2312" w:hAnsi="Arial" w:cs="Arial" w:hint="eastAsia"/>
          <w:sz w:val="28"/>
          <w:szCs w:val="28"/>
        </w:rPr>
        <w:t>级地价区，</w:t>
      </w:r>
      <w:r>
        <w:rPr>
          <w:rFonts w:ascii="Arial" w:eastAsia="仿宋_GB2312" w:hAnsi="Arial" w:cs="Arial" w:hint="eastAsia"/>
          <w:sz w:val="28"/>
          <w:szCs w:val="28"/>
        </w:rPr>
        <w:t>2020</w:t>
      </w:r>
      <w:r w:rsidRPr="004B7002">
        <w:rPr>
          <w:rFonts w:ascii="Arial" w:eastAsia="仿宋_GB2312" w:hAnsi="Arial" w:cs="Arial" w:hint="eastAsia"/>
          <w:sz w:val="28"/>
          <w:szCs w:val="28"/>
        </w:rPr>
        <w:t>年</w:t>
      </w:r>
      <w:r>
        <w:rPr>
          <w:rFonts w:ascii="Arial" w:eastAsia="仿宋_GB2312" w:hAnsi="Arial" w:cs="Arial" w:hint="eastAsia"/>
          <w:sz w:val="28"/>
          <w:szCs w:val="28"/>
        </w:rPr>
        <w:t>成交的</w:t>
      </w:r>
      <w:r w:rsidRPr="004B7002">
        <w:rPr>
          <w:rFonts w:ascii="Arial" w:eastAsia="仿宋_GB2312" w:hAnsi="Arial" w:cs="Arial" w:hint="eastAsia"/>
          <w:sz w:val="28"/>
          <w:szCs w:val="28"/>
        </w:rPr>
        <w:t>住宅用途协议出让案例</w:t>
      </w:r>
      <w:r>
        <w:rPr>
          <w:rFonts w:ascii="Arial" w:eastAsia="仿宋_GB2312" w:hAnsi="Arial" w:cs="Arial" w:hint="eastAsia"/>
          <w:sz w:val="28"/>
          <w:szCs w:val="28"/>
        </w:rPr>
        <w:t>土地级别较低，</w:t>
      </w:r>
      <w:r w:rsidRPr="004B7002">
        <w:rPr>
          <w:rFonts w:ascii="Arial" w:eastAsia="仿宋_GB2312" w:hAnsi="Arial" w:cs="Arial" w:hint="eastAsia"/>
          <w:sz w:val="28"/>
          <w:szCs w:val="28"/>
        </w:rPr>
        <w:t>不具有参考性</w:t>
      </w:r>
      <w:r w:rsidRPr="004B7002">
        <w:rPr>
          <w:rFonts w:ascii="Arial" w:eastAsia="仿宋_GB2312" w:hAnsi="Arial" w:cs="Arial"/>
          <w:sz w:val="28"/>
          <w:szCs w:val="28"/>
        </w:rPr>
        <w:t>。</w:t>
      </w:r>
    </w:p>
    <w:p w14:paraId="366276A1" w14:textId="680C422C" w:rsidR="00F7311A" w:rsidRDefault="00F7311A" w:rsidP="00F7311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近三年同区域内（海淀区）住宅</w:t>
      </w:r>
      <w:proofErr w:type="gramStart"/>
      <w:r>
        <w:rPr>
          <w:rFonts w:ascii="Arial" w:eastAsia="仿宋_GB2312" w:hAnsi="Arial" w:cs="Arial" w:hint="eastAsia"/>
          <w:sz w:val="28"/>
          <w:szCs w:val="28"/>
        </w:rPr>
        <w:t>类招拍挂成交</w:t>
      </w:r>
      <w:proofErr w:type="gramEnd"/>
      <w:r>
        <w:rPr>
          <w:rFonts w:ascii="Arial" w:eastAsia="仿宋_GB2312" w:hAnsi="Arial" w:cs="Arial" w:hint="eastAsia"/>
          <w:sz w:val="28"/>
          <w:szCs w:val="28"/>
        </w:rPr>
        <w:t>地块共</w:t>
      </w:r>
      <w:r>
        <w:rPr>
          <w:rFonts w:ascii="Arial" w:eastAsia="仿宋_GB2312" w:hAnsi="Arial" w:cs="Arial"/>
          <w:sz w:val="28"/>
          <w:szCs w:val="28"/>
        </w:rPr>
        <w:t>3</w:t>
      </w:r>
      <w:r>
        <w:rPr>
          <w:rFonts w:ascii="Arial" w:eastAsia="仿宋_GB2312" w:hAnsi="Arial" w:cs="Arial" w:hint="eastAsia"/>
          <w:sz w:val="28"/>
          <w:szCs w:val="28"/>
        </w:rPr>
        <w:t>宗，其中</w:t>
      </w:r>
      <w:r w:rsidRPr="004B7002">
        <w:rPr>
          <w:rFonts w:ascii="Arial" w:eastAsia="仿宋_GB2312" w:hAnsi="Arial" w:cs="Arial"/>
          <w:sz w:val="28"/>
          <w:szCs w:val="28"/>
        </w:rPr>
        <w:t>2018</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Pr>
          <w:rFonts w:ascii="Arial" w:eastAsia="仿宋_GB2312" w:hAnsi="Arial" w:cs="Arial"/>
          <w:sz w:val="28"/>
          <w:szCs w:val="28"/>
        </w:rPr>
        <w:t>40865</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7B3A83">
        <w:rPr>
          <w:rFonts w:ascii="Arial" w:eastAsia="仿宋_GB2312" w:hAnsi="Arial" w:cs="Arial" w:hint="eastAsia"/>
          <w:sz w:val="28"/>
          <w:szCs w:val="28"/>
        </w:rPr>
        <w:t>仅</w:t>
      </w:r>
      <w:r w:rsidRPr="007B3A83">
        <w:rPr>
          <w:rFonts w:ascii="Arial" w:eastAsia="仿宋_GB2312" w:hAnsi="Arial" w:cs="Arial" w:hint="eastAsia"/>
          <w:sz w:val="28"/>
          <w:szCs w:val="28"/>
        </w:rPr>
        <w:t>1</w:t>
      </w:r>
      <w:r w:rsidRPr="007B3A83">
        <w:rPr>
          <w:rFonts w:ascii="Arial" w:eastAsia="仿宋_GB2312" w:hAnsi="Arial" w:cs="Arial"/>
          <w:sz w:val="28"/>
          <w:szCs w:val="28"/>
        </w:rPr>
        <w:t>宗，</w:t>
      </w:r>
      <w:r w:rsidRPr="007B3A83">
        <w:rPr>
          <w:rFonts w:ascii="Arial" w:eastAsia="仿宋_GB2312" w:hAnsi="Arial" w:cs="Arial" w:hint="eastAsia"/>
          <w:sz w:val="28"/>
          <w:szCs w:val="28"/>
        </w:rPr>
        <w:t>位于八</w:t>
      </w:r>
      <w:r w:rsidRPr="007B3A83">
        <w:rPr>
          <w:rFonts w:ascii="Arial" w:eastAsia="仿宋_GB2312" w:hAnsi="Arial" w:cs="Arial"/>
          <w:sz w:val="28"/>
          <w:szCs w:val="28"/>
        </w:rPr>
        <w:t>级地价区）；</w:t>
      </w:r>
      <w:r w:rsidRPr="007B3A83">
        <w:rPr>
          <w:rFonts w:ascii="Arial" w:eastAsia="仿宋_GB2312" w:hAnsi="Arial" w:cs="Arial"/>
          <w:sz w:val="28"/>
          <w:szCs w:val="28"/>
        </w:rPr>
        <w:t>2019</w:t>
      </w:r>
      <w:r w:rsidRPr="007B3A83">
        <w:rPr>
          <w:rFonts w:ascii="Arial" w:eastAsia="仿宋_GB2312" w:hAnsi="Arial" w:cs="Arial" w:hint="eastAsia"/>
          <w:sz w:val="28"/>
          <w:szCs w:val="28"/>
        </w:rPr>
        <w:t>年</w:t>
      </w:r>
      <w:proofErr w:type="gramStart"/>
      <w:r w:rsidRPr="007B3A83">
        <w:rPr>
          <w:rFonts w:ascii="Arial" w:eastAsia="仿宋_GB2312" w:hAnsi="Arial" w:cs="Arial" w:hint="eastAsia"/>
          <w:sz w:val="28"/>
          <w:szCs w:val="28"/>
        </w:rPr>
        <w:t>无住宅类招拍挂成交</w:t>
      </w:r>
      <w:proofErr w:type="gramEnd"/>
      <w:r w:rsidRPr="007B3A83">
        <w:rPr>
          <w:rFonts w:ascii="Arial" w:eastAsia="仿宋_GB2312" w:hAnsi="Arial" w:cs="Arial" w:hint="eastAsia"/>
          <w:sz w:val="28"/>
          <w:szCs w:val="28"/>
        </w:rPr>
        <w:t>地块，</w:t>
      </w:r>
      <w:r w:rsidRPr="007B3A83">
        <w:rPr>
          <w:rFonts w:ascii="Arial" w:eastAsia="仿宋_GB2312" w:hAnsi="Arial" w:cs="Arial"/>
          <w:sz w:val="28"/>
          <w:szCs w:val="28"/>
        </w:rPr>
        <w:t>2020</w:t>
      </w:r>
      <w:r w:rsidRPr="007B3A83">
        <w:rPr>
          <w:rFonts w:ascii="Arial" w:eastAsia="仿宋_GB2312" w:hAnsi="Arial" w:cs="Arial" w:hint="eastAsia"/>
          <w:sz w:val="28"/>
          <w:szCs w:val="28"/>
        </w:rPr>
        <w:t>年成交均价为</w:t>
      </w:r>
      <w:r w:rsidRPr="007B3A83">
        <w:rPr>
          <w:rFonts w:ascii="Arial" w:eastAsia="仿宋_GB2312" w:hAnsi="Arial" w:cs="Arial"/>
          <w:sz w:val="28"/>
          <w:szCs w:val="28"/>
        </w:rPr>
        <w:t>70049</w:t>
      </w:r>
      <w:r w:rsidRPr="007B3A83">
        <w:rPr>
          <w:rFonts w:ascii="Arial" w:eastAsia="仿宋_GB2312" w:hAnsi="Arial" w:cs="Arial" w:hint="eastAsia"/>
          <w:sz w:val="28"/>
          <w:szCs w:val="28"/>
        </w:rPr>
        <w:t>元</w:t>
      </w:r>
      <w:r w:rsidRPr="007B3A83">
        <w:rPr>
          <w:rFonts w:ascii="Arial" w:eastAsia="仿宋_GB2312" w:hAnsi="Arial" w:cs="Arial"/>
          <w:sz w:val="28"/>
          <w:szCs w:val="28"/>
        </w:rPr>
        <w:t>/</w:t>
      </w:r>
      <w:r w:rsidRPr="007B3A83">
        <w:rPr>
          <w:rFonts w:ascii="Arial" w:eastAsia="仿宋_GB2312" w:hAnsi="Arial" w:cs="Arial" w:hint="eastAsia"/>
          <w:sz w:val="28"/>
          <w:szCs w:val="28"/>
        </w:rPr>
        <w:t>平方米（共</w:t>
      </w:r>
      <w:r w:rsidRPr="007B3A83">
        <w:rPr>
          <w:rFonts w:ascii="Arial" w:eastAsia="仿宋_GB2312" w:hAnsi="Arial" w:cs="Arial"/>
          <w:sz w:val="28"/>
          <w:szCs w:val="28"/>
        </w:rPr>
        <w:t>2</w:t>
      </w:r>
      <w:r w:rsidRPr="007B3A83">
        <w:rPr>
          <w:rFonts w:ascii="Arial" w:eastAsia="仿宋_GB2312" w:hAnsi="Arial" w:cs="Arial" w:hint="eastAsia"/>
          <w:sz w:val="28"/>
          <w:szCs w:val="28"/>
        </w:rPr>
        <w:t>宗，均为四级地价区），估价对象位于二级</w:t>
      </w:r>
      <w:r>
        <w:rPr>
          <w:rFonts w:ascii="Arial" w:eastAsia="仿宋_GB2312" w:hAnsi="Arial" w:cs="Arial" w:hint="eastAsia"/>
          <w:sz w:val="28"/>
          <w:szCs w:val="28"/>
        </w:rPr>
        <w:t>地价区。本次评估结果高于</w:t>
      </w:r>
      <w:r>
        <w:rPr>
          <w:rFonts w:ascii="Arial" w:eastAsia="仿宋_GB2312" w:hAnsi="Arial" w:cs="Arial" w:hint="eastAsia"/>
          <w:sz w:val="28"/>
          <w:szCs w:val="28"/>
        </w:rPr>
        <w:t>2</w:t>
      </w:r>
      <w:r>
        <w:rPr>
          <w:rFonts w:ascii="Arial" w:eastAsia="仿宋_GB2312" w:hAnsi="Arial" w:cs="Arial"/>
          <w:sz w:val="28"/>
          <w:szCs w:val="28"/>
        </w:rPr>
        <w:t>018</w:t>
      </w:r>
      <w:r w:rsidR="000B7D55">
        <w:rPr>
          <w:rFonts w:ascii="Arial" w:eastAsia="仿宋_GB2312" w:hAnsi="Arial" w:cs="Arial" w:hint="eastAsia"/>
          <w:sz w:val="28"/>
          <w:szCs w:val="28"/>
        </w:rPr>
        <w:t>、</w:t>
      </w:r>
      <w:r w:rsidR="000B7D55">
        <w:rPr>
          <w:rFonts w:ascii="Arial" w:eastAsia="仿宋_GB2312" w:hAnsi="Arial" w:cs="Arial" w:hint="eastAsia"/>
          <w:sz w:val="28"/>
          <w:szCs w:val="28"/>
        </w:rPr>
        <w:t>2</w:t>
      </w:r>
      <w:r w:rsidR="000B7D55">
        <w:rPr>
          <w:rFonts w:ascii="Arial" w:eastAsia="仿宋_GB2312" w:hAnsi="Arial" w:cs="Arial"/>
          <w:sz w:val="28"/>
          <w:szCs w:val="28"/>
        </w:rPr>
        <w:t>020</w:t>
      </w:r>
      <w:r>
        <w:rPr>
          <w:rFonts w:ascii="Arial" w:eastAsia="仿宋_GB2312" w:hAnsi="Arial" w:cs="Arial" w:hint="eastAsia"/>
          <w:sz w:val="28"/>
          <w:szCs w:val="28"/>
        </w:rPr>
        <w:t>年的楼面熟地价在合理范围内。</w:t>
      </w:r>
    </w:p>
    <w:p w14:paraId="7A6DBEA0" w14:textId="77777777" w:rsidR="00F7311A" w:rsidRDefault="00F7311A" w:rsidP="00F7311A">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估价对象的估价结果与近三年已审定（或成交）案例的平均价格水平相当，因受估价对象所在区域、估价期日、容积率等因素的影响，最终估价结果在合理范围之内。</w:t>
      </w:r>
    </w:p>
    <w:p w14:paraId="5F36EC8B" w14:textId="77777777" w:rsidR="00F7311A" w:rsidRDefault="00F7311A" w:rsidP="00F7311A">
      <w:pPr>
        <w:spacing w:line="360" w:lineRule="auto"/>
        <w:jc w:val="center"/>
        <w:rPr>
          <w:rFonts w:ascii="Arial" w:eastAsia="仿宋_GB2312" w:hAnsi="Arial" w:cs="Arial"/>
          <w:sz w:val="28"/>
          <w:szCs w:val="28"/>
        </w:rPr>
      </w:pPr>
      <w:r w:rsidRPr="00193CEB">
        <w:rPr>
          <w:rFonts w:ascii="Arial" w:eastAsia="仿宋_GB2312" w:hAnsi="Arial" w:cs="Arial" w:hint="eastAsia"/>
          <w:sz w:val="28"/>
          <w:szCs w:val="28"/>
        </w:rPr>
        <w:t>住宅</w:t>
      </w:r>
      <w:r w:rsidRPr="00193CEB">
        <w:rPr>
          <w:rFonts w:ascii="Arial" w:eastAsia="仿宋_GB2312" w:hAnsi="Arial" w:cs="Arial"/>
          <w:sz w:val="28"/>
          <w:szCs w:val="28"/>
        </w:rPr>
        <w:t>用途案例分析</w:t>
      </w:r>
    </w:p>
    <w:p w14:paraId="591D8A67" w14:textId="175DC095" w:rsidR="00F7311A" w:rsidRPr="00193CEB" w:rsidRDefault="000B7D55" w:rsidP="00F7311A">
      <w:pPr>
        <w:spacing w:line="360" w:lineRule="auto"/>
        <w:jc w:val="center"/>
        <w:rPr>
          <w:rFonts w:ascii="Arial" w:eastAsia="仿宋_GB2312" w:hAnsi="Arial" w:cs="Arial"/>
          <w:sz w:val="28"/>
          <w:szCs w:val="28"/>
        </w:rPr>
      </w:pPr>
      <w:r>
        <w:rPr>
          <w:noProof/>
        </w:rPr>
        <w:drawing>
          <wp:inline distT="0" distB="0" distL="0" distR="0" wp14:anchorId="02B1C044" wp14:editId="407D276A">
            <wp:extent cx="5709684" cy="3466214"/>
            <wp:effectExtent l="0" t="0" r="5715" b="1270"/>
            <wp:docPr id="5" name="图表 5">
              <a:extLst xmlns:a="http://schemas.openxmlformats.org/drawingml/2006/main">
                <a:ext uri="{FF2B5EF4-FFF2-40B4-BE49-F238E27FC236}">
                  <a16:creationId xmlns:a16="http://schemas.microsoft.com/office/drawing/2014/main" id="{C9AC4BE7-DBC3-4E8F-B115-ED87DC000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537F90" w14:textId="5FC13FBF" w:rsidR="00F7311A" w:rsidRDefault="00F7311A" w:rsidP="00F7311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经分析同区域内（海淀区）近三年（</w:t>
      </w:r>
      <w:r>
        <w:rPr>
          <w:rFonts w:ascii="Arial" w:eastAsia="仿宋_GB2312" w:hAnsi="Arial" w:cs="Arial"/>
          <w:sz w:val="28"/>
          <w:szCs w:val="28"/>
        </w:rPr>
        <w:t>2018-2020</w:t>
      </w:r>
      <w:r>
        <w:rPr>
          <w:rFonts w:ascii="Arial" w:eastAsia="仿宋_GB2312" w:hAnsi="Arial" w:cs="Arial" w:hint="eastAsia"/>
          <w:sz w:val="28"/>
          <w:szCs w:val="28"/>
        </w:rPr>
        <w:t>年）估价对象周边已审定（或成交）商业用途协议出让案例有</w:t>
      </w:r>
      <w:r>
        <w:rPr>
          <w:rFonts w:ascii="Arial" w:eastAsia="仿宋_GB2312" w:hAnsi="Arial" w:cs="Arial" w:hint="eastAsia"/>
          <w:sz w:val="28"/>
          <w:szCs w:val="28"/>
        </w:rPr>
        <w:t>8</w:t>
      </w:r>
      <w:r>
        <w:rPr>
          <w:rFonts w:ascii="Arial" w:eastAsia="仿宋_GB2312" w:hAnsi="Arial" w:cs="Arial" w:hint="eastAsia"/>
          <w:sz w:val="28"/>
          <w:szCs w:val="28"/>
        </w:rPr>
        <w:t>个，其中</w:t>
      </w:r>
      <w:r>
        <w:rPr>
          <w:rFonts w:ascii="Arial" w:eastAsia="仿宋_GB2312" w:hAnsi="Arial" w:cs="Arial"/>
          <w:sz w:val="28"/>
          <w:szCs w:val="28"/>
        </w:rPr>
        <w:t>2018</w:t>
      </w:r>
      <w:r>
        <w:rPr>
          <w:rFonts w:ascii="Arial" w:eastAsia="仿宋_GB2312" w:hAnsi="Arial" w:cs="Arial" w:hint="eastAsia"/>
          <w:sz w:val="28"/>
          <w:szCs w:val="28"/>
        </w:rPr>
        <w:t>年楼面熟地价平均值为</w:t>
      </w:r>
      <w:r>
        <w:rPr>
          <w:rFonts w:ascii="Arial" w:eastAsia="仿宋_GB2312" w:hAnsi="Arial" w:cs="Arial"/>
          <w:sz w:val="28"/>
          <w:szCs w:val="28"/>
        </w:rPr>
        <w:t>20293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5</w:t>
      </w:r>
      <w:r>
        <w:rPr>
          <w:rFonts w:ascii="Arial" w:eastAsia="仿宋_GB2312" w:hAnsi="Arial" w:cs="Arial" w:hint="eastAsia"/>
          <w:sz w:val="28"/>
          <w:szCs w:val="28"/>
        </w:rPr>
        <w:t>宗，</w:t>
      </w:r>
      <w:r>
        <w:rPr>
          <w:rFonts w:ascii="Arial" w:eastAsia="仿宋_GB2312" w:hAnsi="Arial" w:cs="Arial"/>
          <w:sz w:val="28"/>
          <w:szCs w:val="28"/>
        </w:rPr>
        <w:t>1</w:t>
      </w:r>
      <w:r>
        <w:rPr>
          <w:rFonts w:ascii="Arial" w:eastAsia="仿宋_GB2312" w:hAnsi="Arial" w:cs="Arial" w:hint="eastAsia"/>
          <w:sz w:val="28"/>
          <w:szCs w:val="28"/>
        </w:rPr>
        <w:t>宗位于七级地价区，</w:t>
      </w:r>
      <w:r>
        <w:rPr>
          <w:rFonts w:ascii="Arial" w:eastAsia="仿宋_GB2312" w:hAnsi="Arial" w:cs="Arial"/>
          <w:sz w:val="28"/>
          <w:szCs w:val="28"/>
        </w:rPr>
        <w:t xml:space="preserve"> 1</w:t>
      </w:r>
      <w:r>
        <w:rPr>
          <w:rFonts w:ascii="Arial" w:eastAsia="仿宋_GB2312" w:hAnsi="Arial" w:cs="Arial" w:hint="eastAsia"/>
          <w:sz w:val="28"/>
          <w:szCs w:val="28"/>
        </w:rPr>
        <w:t>宗位于六级地价区，</w:t>
      </w:r>
      <w:r>
        <w:rPr>
          <w:rFonts w:ascii="Arial" w:eastAsia="仿宋_GB2312" w:hAnsi="Arial" w:cs="Arial" w:hint="eastAsia"/>
          <w:sz w:val="28"/>
          <w:szCs w:val="28"/>
        </w:rPr>
        <w:t>3</w:t>
      </w:r>
      <w:r>
        <w:rPr>
          <w:rFonts w:ascii="Arial" w:eastAsia="仿宋_GB2312" w:hAnsi="Arial" w:cs="Arial" w:hint="eastAsia"/>
          <w:sz w:val="28"/>
          <w:szCs w:val="28"/>
        </w:rPr>
        <w:t>宗位于五级地价区），</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23694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3</w:t>
      </w:r>
      <w:r>
        <w:rPr>
          <w:rFonts w:ascii="Arial" w:eastAsia="仿宋_GB2312" w:hAnsi="Arial" w:cs="Arial" w:hint="eastAsia"/>
          <w:sz w:val="28"/>
          <w:szCs w:val="28"/>
        </w:rPr>
        <w:lastRenderedPageBreak/>
        <w:t>宗，</w:t>
      </w:r>
      <w:r>
        <w:rPr>
          <w:rFonts w:ascii="Arial" w:eastAsia="仿宋_GB2312" w:hAnsi="Arial" w:cs="Arial"/>
          <w:sz w:val="28"/>
          <w:szCs w:val="28"/>
        </w:rPr>
        <w:t>2</w:t>
      </w:r>
      <w:r>
        <w:rPr>
          <w:rFonts w:ascii="Arial" w:eastAsia="仿宋_GB2312" w:hAnsi="Arial" w:cs="Arial" w:hint="eastAsia"/>
          <w:sz w:val="28"/>
          <w:szCs w:val="28"/>
        </w:rPr>
        <w:t>宗位于三级地价区（其中</w:t>
      </w:r>
      <w:r>
        <w:rPr>
          <w:rFonts w:ascii="Arial" w:eastAsia="仿宋_GB2312" w:hAnsi="Arial" w:cs="Arial" w:hint="eastAsia"/>
          <w:sz w:val="28"/>
          <w:szCs w:val="28"/>
        </w:rPr>
        <w:t>1</w:t>
      </w:r>
      <w:r>
        <w:rPr>
          <w:rFonts w:ascii="Arial" w:eastAsia="仿宋_GB2312" w:hAnsi="Arial" w:cs="Arial" w:hint="eastAsia"/>
          <w:sz w:val="28"/>
          <w:szCs w:val="28"/>
        </w:rPr>
        <w:t>宗楼面熟地价</w:t>
      </w:r>
      <w:r>
        <w:rPr>
          <w:rFonts w:ascii="Arial" w:eastAsia="仿宋_GB2312" w:hAnsi="Arial" w:cs="Arial" w:hint="eastAsia"/>
          <w:sz w:val="28"/>
          <w:szCs w:val="28"/>
        </w:rPr>
        <w:t>3</w:t>
      </w:r>
      <w:r>
        <w:rPr>
          <w:rFonts w:ascii="Arial" w:eastAsia="仿宋_GB2312" w:hAnsi="Arial" w:cs="Arial"/>
          <w:sz w:val="28"/>
          <w:szCs w:val="28"/>
        </w:rPr>
        <w:t>3464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平方米，另</w:t>
      </w:r>
      <w:r>
        <w:rPr>
          <w:rFonts w:ascii="Arial" w:eastAsia="仿宋_GB2312" w:hAnsi="Arial" w:cs="Arial" w:hint="eastAsia"/>
          <w:sz w:val="28"/>
          <w:szCs w:val="28"/>
        </w:rPr>
        <w:t>1</w:t>
      </w:r>
      <w:r>
        <w:rPr>
          <w:rFonts w:ascii="Arial" w:eastAsia="仿宋_GB2312" w:hAnsi="Arial" w:cs="Arial" w:hint="eastAsia"/>
          <w:sz w:val="28"/>
          <w:szCs w:val="28"/>
        </w:rPr>
        <w:t>宗楼面熟地价</w:t>
      </w:r>
      <w:r>
        <w:rPr>
          <w:rFonts w:ascii="Arial" w:eastAsia="仿宋_GB2312" w:hAnsi="Arial" w:cs="Arial" w:hint="eastAsia"/>
          <w:sz w:val="28"/>
          <w:szCs w:val="28"/>
        </w:rPr>
        <w:t>2</w:t>
      </w:r>
      <w:r>
        <w:rPr>
          <w:rFonts w:ascii="Arial" w:eastAsia="仿宋_GB2312" w:hAnsi="Arial" w:cs="Arial"/>
          <w:sz w:val="28"/>
          <w:szCs w:val="28"/>
        </w:rPr>
        <w:t>4975</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平方米，三级</w:t>
      </w:r>
      <w:proofErr w:type="gramStart"/>
      <w:r>
        <w:rPr>
          <w:rFonts w:ascii="Arial" w:eastAsia="仿宋_GB2312" w:hAnsi="Arial" w:cs="Arial" w:hint="eastAsia"/>
          <w:sz w:val="28"/>
          <w:szCs w:val="28"/>
        </w:rPr>
        <w:t>地价区楼面熟</w:t>
      </w:r>
      <w:proofErr w:type="gramEnd"/>
      <w:r>
        <w:rPr>
          <w:rFonts w:ascii="Arial" w:eastAsia="仿宋_GB2312" w:hAnsi="Arial" w:cs="Arial" w:hint="eastAsia"/>
          <w:sz w:val="28"/>
          <w:szCs w:val="28"/>
        </w:rPr>
        <w:t>地价平均值为</w:t>
      </w:r>
      <w:r>
        <w:rPr>
          <w:rFonts w:ascii="Arial" w:eastAsia="仿宋_GB2312" w:hAnsi="Arial" w:cs="Arial" w:hint="eastAsia"/>
          <w:sz w:val="28"/>
          <w:szCs w:val="28"/>
        </w:rPr>
        <w:t>2</w:t>
      </w:r>
      <w:r>
        <w:rPr>
          <w:rFonts w:ascii="Arial" w:eastAsia="仿宋_GB2312" w:hAnsi="Arial" w:cs="Arial"/>
          <w:sz w:val="28"/>
          <w:szCs w:val="28"/>
        </w:rPr>
        <w:t>9220</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w:t>
      </w:r>
      <w:r>
        <w:rPr>
          <w:rFonts w:ascii="Arial" w:eastAsia="仿宋_GB2312" w:hAnsi="Arial" w:cs="Arial"/>
          <w:sz w:val="28"/>
          <w:szCs w:val="28"/>
        </w:rPr>
        <w:t>1</w:t>
      </w:r>
      <w:r>
        <w:rPr>
          <w:rFonts w:ascii="Arial" w:eastAsia="仿宋_GB2312" w:hAnsi="Arial" w:cs="Arial" w:hint="eastAsia"/>
          <w:sz w:val="28"/>
          <w:szCs w:val="28"/>
        </w:rPr>
        <w:t>宗位于八级地价区），</w:t>
      </w:r>
      <w:r>
        <w:rPr>
          <w:rFonts w:ascii="Arial" w:eastAsia="仿宋_GB2312" w:hAnsi="Arial" w:cs="Arial"/>
          <w:sz w:val="28"/>
          <w:szCs w:val="28"/>
        </w:rPr>
        <w:t>2020</w:t>
      </w:r>
      <w:r>
        <w:rPr>
          <w:rFonts w:ascii="Arial" w:eastAsia="仿宋_GB2312" w:hAnsi="Arial" w:cs="Arial" w:hint="eastAsia"/>
          <w:sz w:val="28"/>
          <w:szCs w:val="28"/>
        </w:rPr>
        <w:t>年</w:t>
      </w:r>
      <w:proofErr w:type="gramStart"/>
      <w:r>
        <w:rPr>
          <w:rFonts w:ascii="Arial" w:eastAsia="仿宋_GB2312" w:hAnsi="Arial" w:cs="Arial" w:hint="eastAsia"/>
          <w:sz w:val="28"/>
          <w:szCs w:val="28"/>
        </w:rPr>
        <w:t>无商业</w:t>
      </w:r>
      <w:proofErr w:type="gramEnd"/>
      <w:r>
        <w:rPr>
          <w:rFonts w:ascii="Arial" w:eastAsia="仿宋_GB2312" w:hAnsi="Arial" w:cs="Arial" w:hint="eastAsia"/>
          <w:sz w:val="28"/>
          <w:szCs w:val="28"/>
        </w:rPr>
        <w:t>类协议出让成交地块，估价对象位于三级地价区</w:t>
      </w:r>
      <w:r w:rsidR="00F81F06">
        <w:rPr>
          <w:rFonts w:ascii="Arial" w:eastAsia="仿宋_GB2312" w:hAnsi="Arial" w:cs="Arial" w:hint="eastAsia"/>
          <w:sz w:val="28"/>
          <w:szCs w:val="28"/>
        </w:rPr>
        <w:t>，</w:t>
      </w:r>
      <w:r>
        <w:rPr>
          <w:rFonts w:ascii="Arial" w:eastAsia="仿宋_GB2312" w:hAnsi="Arial" w:cs="Arial" w:hint="eastAsia"/>
          <w:sz w:val="28"/>
          <w:szCs w:val="28"/>
        </w:rPr>
        <w:t>故估价对象商业</w:t>
      </w:r>
      <w:proofErr w:type="gramStart"/>
      <w:r>
        <w:rPr>
          <w:rFonts w:ascii="Arial" w:eastAsia="仿宋_GB2312" w:hAnsi="Arial" w:cs="Arial" w:hint="eastAsia"/>
          <w:sz w:val="28"/>
          <w:szCs w:val="28"/>
        </w:rPr>
        <w:t>用途楼</w:t>
      </w:r>
      <w:proofErr w:type="gramEnd"/>
      <w:r>
        <w:rPr>
          <w:rFonts w:ascii="Arial" w:eastAsia="仿宋_GB2312" w:hAnsi="Arial" w:cs="Arial" w:hint="eastAsia"/>
          <w:sz w:val="28"/>
          <w:szCs w:val="28"/>
        </w:rPr>
        <w:t>面熟地价同</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年成交的</w:t>
      </w:r>
      <w:r>
        <w:rPr>
          <w:rFonts w:ascii="Arial" w:eastAsia="仿宋_GB2312" w:hAnsi="Arial" w:cs="Arial" w:hint="eastAsia"/>
          <w:sz w:val="28"/>
          <w:szCs w:val="28"/>
        </w:rPr>
        <w:t>2</w:t>
      </w:r>
      <w:r>
        <w:rPr>
          <w:rFonts w:ascii="Arial" w:eastAsia="仿宋_GB2312" w:hAnsi="Arial" w:cs="Arial" w:hint="eastAsia"/>
          <w:sz w:val="28"/>
          <w:szCs w:val="28"/>
        </w:rPr>
        <w:t>宗三级地成交价格接近</w:t>
      </w:r>
      <w:r w:rsidR="00DC3FE0">
        <w:rPr>
          <w:rFonts w:ascii="Arial" w:eastAsia="仿宋_GB2312" w:hAnsi="Arial" w:cs="Arial" w:hint="eastAsia"/>
          <w:sz w:val="28"/>
          <w:szCs w:val="28"/>
        </w:rPr>
        <w:t>，</w:t>
      </w:r>
      <w:r>
        <w:rPr>
          <w:rFonts w:ascii="Arial" w:eastAsia="仿宋_GB2312" w:hAnsi="Arial" w:cs="Arial" w:hint="eastAsia"/>
          <w:sz w:val="28"/>
          <w:szCs w:val="28"/>
        </w:rPr>
        <w:t>较为合理。</w:t>
      </w:r>
    </w:p>
    <w:p w14:paraId="67519199" w14:textId="63961F26" w:rsidR="00F7311A" w:rsidRDefault="00F7311A" w:rsidP="00F7311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经分析同区域内（海淀区）近三年（</w:t>
      </w:r>
      <w:r>
        <w:rPr>
          <w:rFonts w:ascii="Arial" w:eastAsia="仿宋_GB2312" w:hAnsi="Arial" w:cs="Arial"/>
          <w:sz w:val="28"/>
          <w:szCs w:val="28"/>
        </w:rPr>
        <w:t>2018-2020</w:t>
      </w:r>
      <w:r>
        <w:rPr>
          <w:rFonts w:ascii="Arial" w:eastAsia="仿宋_GB2312" w:hAnsi="Arial" w:cs="Arial" w:hint="eastAsia"/>
          <w:sz w:val="28"/>
          <w:szCs w:val="28"/>
        </w:rPr>
        <w:t>年）估价对象周边已审定（或成交）办公用途协议出让案例有</w:t>
      </w:r>
      <w:r>
        <w:rPr>
          <w:rFonts w:ascii="Arial" w:eastAsia="仿宋_GB2312" w:hAnsi="Arial" w:cs="Arial"/>
          <w:sz w:val="28"/>
          <w:szCs w:val="28"/>
        </w:rPr>
        <w:t>10</w:t>
      </w:r>
      <w:r>
        <w:rPr>
          <w:rFonts w:ascii="Arial" w:eastAsia="仿宋_GB2312" w:hAnsi="Arial" w:cs="Arial" w:hint="eastAsia"/>
          <w:sz w:val="28"/>
          <w:szCs w:val="28"/>
        </w:rPr>
        <w:t>个，其中</w:t>
      </w:r>
      <w:r>
        <w:rPr>
          <w:rFonts w:ascii="Arial" w:eastAsia="仿宋_GB2312" w:hAnsi="Arial" w:cs="Arial"/>
          <w:sz w:val="28"/>
          <w:szCs w:val="28"/>
        </w:rPr>
        <w:t>2018</w:t>
      </w:r>
      <w:r>
        <w:rPr>
          <w:rFonts w:ascii="Arial" w:eastAsia="仿宋_GB2312" w:hAnsi="Arial" w:cs="Arial" w:hint="eastAsia"/>
          <w:sz w:val="28"/>
          <w:szCs w:val="28"/>
        </w:rPr>
        <w:t>年楼面熟地价平均值为</w:t>
      </w:r>
      <w:r>
        <w:rPr>
          <w:rFonts w:ascii="Arial" w:eastAsia="仿宋_GB2312" w:hAnsi="Arial" w:cs="Arial"/>
          <w:sz w:val="28"/>
          <w:szCs w:val="28"/>
        </w:rPr>
        <w:t>16852</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6</w:t>
      </w:r>
      <w:r>
        <w:rPr>
          <w:rFonts w:ascii="Arial" w:eastAsia="仿宋_GB2312" w:hAnsi="Arial" w:cs="Arial" w:hint="eastAsia"/>
          <w:sz w:val="28"/>
          <w:szCs w:val="28"/>
        </w:rPr>
        <w:t>宗，</w:t>
      </w:r>
      <w:r>
        <w:rPr>
          <w:rFonts w:ascii="Arial" w:eastAsia="仿宋_GB2312" w:hAnsi="Arial" w:cs="Arial"/>
          <w:sz w:val="28"/>
          <w:szCs w:val="28"/>
        </w:rPr>
        <w:t>1</w:t>
      </w:r>
      <w:r>
        <w:rPr>
          <w:rFonts w:ascii="Arial" w:eastAsia="仿宋_GB2312" w:hAnsi="Arial" w:cs="Arial" w:hint="eastAsia"/>
          <w:sz w:val="28"/>
          <w:szCs w:val="28"/>
        </w:rPr>
        <w:t>宗位于七级地价区，</w:t>
      </w:r>
      <w:r>
        <w:rPr>
          <w:rFonts w:ascii="Arial" w:eastAsia="仿宋_GB2312" w:hAnsi="Arial" w:cs="Arial"/>
          <w:sz w:val="28"/>
          <w:szCs w:val="28"/>
        </w:rPr>
        <w:t xml:space="preserve"> 2</w:t>
      </w:r>
      <w:r>
        <w:rPr>
          <w:rFonts w:ascii="Arial" w:eastAsia="仿宋_GB2312" w:hAnsi="Arial" w:cs="Arial" w:hint="eastAsia"/>
          <w:sz w:val="28"/>
          <w:szCs w:val="28"/>
        </w:rPr>
        <w:t>宗位于六级地价区，</w:t>
      </w:r>
      <w:r>
        <w:rPr>
          <w:rFonts w:ascii="Arial" w:eastAsia="仿宋_GB2312" w:hAnsi="Arial" w:cs="Arial"/>
          <w:sz w:val="28"/>
          <w:szCs w:val="28"/>
        </w:rPr>
        <w:t>3</w:t>
      </w:r>
      <w:r>
        <w:rPr>
          <w:rFonts w:ascii="Arial" w:eastAsia="仿宋_GB2312" w:hAnsi="Arial" w:cs="Arial" w:hint="eastAsia"/>
          <w:sz w:val="28"/>
          <w:szCs w:val="28"/>
        </w:rPr>
        <w:t>宗位于五级地价区），</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19414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3</w:t>
      </w:r>
      <w:r>
        <w:rPr>
          <w:rFonts w:ascii="Arial" w:eastAsia="仿宋_GB2312" w:hAnsi="Arial" w:cs="Arial" w:hint="eastAsia"/>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宗位于八级地价区，</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2020</w:t>
      </w:r>
      <w:r>
        <w:rPr>
          <w:rFonts w:ascii="Arial" w:eastAsia="仿宋_GB2312" w:hAnsi="Arial" w:cs="Arial" w:hint="eastAsia"/>
          <w:sz w:val="28"/>
          <w:szCs w:val="28"/>
        </w:rPr>
        <w:t>年楼面熟地价平均值为</w:t>
      </w:r>
      <w:r>
        <w:rPr>
          <w:rFonts w:ascii="Arial" w:eastAsia="仿宋_GB2312" w:hAnsi="Arial" w:cs="Arial"/>
          <w:sz w:val="28"/>
          <w:szCs w:val="28"/>
        </w:rPr>
        <w:t>26293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平方米（仅</w:t>
      </w:r>
      <w:r>
        <w:rPr>
          <w:rFonts w:ascii="Arial" w:eastAsia="仿宋_GB2312" w:hAnsi="Arial" w:cs="Arial"/>
          <w:sz w:val="28"/>
          <w:szCs w:val="28"/>
        </w:rPr>
        <w:t>1</w:t>
      </w:r>
      <w:r>
        <w:rPr>
          <w:rFonts w:ascii="Arial" w:eastAsia="仿宋_GB2312" w:hAnsi="Arial" w:cs="Arial" w:hint="eastAsia"/>
          <w:sz w:val="28"/>
          <w:szCs w:val="28"/>
        </w:rPr>
        <w:t>宗，位于二级地价区</w:t>
      </w:r>
      <w:r w:rsidR="00EC0CE5">
        <w:rPr>
          <w:rFonts w:ascii="Arial" w:eastAsia="仿宋_GB2312" w:hAnsi="Arial" w:cs="Arial" w:hint="eastAsia"/>
          <w:sz w:val="28"/>
          <w:szCs w:val="28"/>
        </w:rPr>
        <w:t>，该</w:t>
      </w:r>
      <w:r w:rsidR="00EC0CE5">
        <w:rPr>
          <w:rFonts w:ascii="Arial" w:eastAsia="仿宋_GB2312" w:hAnsi="Arial" w:cs="Arial"/>
          <w:sz w:val="28"/>
          <w:szCs w:val="28"/>
        </w:rPr>
        <w:t>用途出让</w:t>
      </w:r>
      <w:r w:rsidR="00EC0CE5">
        <w:rPr>
          <w:rFonts w:ascii="Arial" w:eastAsia="仿宋_GB2312" w:hAnsi="Arial" w:cs="Arial" w:hint="eastAsia"/>
          <w:sz w:val="28"/>
          <w:szCs w:val="28"/>
        </w:rPr>
        <w:t>建设</w:t>
      </w:r>
      <w:r w:rsidR="00EC0CE5">
        <w:rPr>
          <w:rFonts w:ascii="Arial" w:eastAsia="仿宋_GB2312" w:hAnsi="Arial" w:cs="Arial"/>
          <w:sz w:val="28"/>
          <w:szCs w:val="28"/>
        </w:rPr>
        <w:t>规模</w:t>
      </w:r>
      <w:r w:rsidR="00EC0CE5">
        <w:rPr>
          <w:rFonts w:ascii="Arial" w:eastAsia="仿宋_GB2312" w:hAnsi="Arial" w:cs="Arial" w:hint="eastAsia"/>
          <w:sz w:val="28"/>
          <w:szCs w:val="28"/>
        </w:rPr>
        <w:t>超</w:t>
      </w:r>
      <w:r w:rsidR="00EC0CE5">
        <w:rPr>
          <w:rFonts w:ascii="Arial" w:eastAsia="仿宋_GB2312" w:hAnsi="Arial" w:cs="Arial" w:hint="eastAsia"/>
          <w:sz w:val="28"/>
          <w:szCs w:val="28"/>
        </w:rPr>
        <w:t>10000</w:t>
      </w:r>
      <w:r w:rsidR="00EC0CE5">
        <w:rPr>
          <w:rFonts w:ascii="Arial" w:eastAsia="仿宋_GB2312" w:hAnsi="Arial" w:cs="Arial" w:hint="eastAsia"/>
          <w:sz w:val="28"/>
          <w:szCs w:val="28"/>
        </w:rPr>
        <w:t>平方米</w:t>
      </w:r>
      <w:r>
        <w:rPr>
          <w:rFonts w:ascii="Arial" w:eastAsia="仿宋_GB2312" w:hAnsi="Arial" w:cs="Arial" w:hint="eastAsia"/>
          <w:sz w:val="28"/>
          <w:szCs w:val="28"/>
        </w:rPr>
        <w:t>），估价对象位于二级地价区</w:t>
      </w:r>
      <w:r w:rsidR="00F81F06">
        <w:rPr>
          <w:rFonts w:ascii="Arial" w:eastAsia="仿宋_GB2312" w:hAnsi="Arial" w:cs="Arial" w:hint="eastAsia"/>
          <w:sz w:val="28"/>
          <w:szCs w:val="28"/>
        </w:rPr>
        <w:t>，</w:t>
      </w:r>
      <w:r w:rsidR="00B5054C">
        <w:rPr>
          <w:rFonts w:ascii="Arial" w:eastAsia="仿宋_GB2312" w:hAnsi="Arial" w:cs="Arial" w:hint="eastAsia"/>
          <w:sz w:val="28"/>
          <w:szCs w:val="28"/>
        </w:rPr>
        <w:t>估价结果</w:t>
      </w:r>
      <w:r>
        <w:rPr>
          <w:rFonts w:ascii="Arial" w:eastAsia="仿宋_GB2312" w:hAnsi="Arial" w:cs="Arial" w:hint="eastAsia"/>
          <w:sz w:val="28"/>
          <w:szCs w:val="28"/>
        </w:rPr>
        <w:t>应高于</w:t>
      </w:r>
      <w:r w:rsidR="00F81F06">
        <w:rPr>
          <w:rFonts w:ascii="Arial" w:eastAsia="仿宋_GB2312" w:hAnsi="Arial" w:cs="Arial"/>
          <w:sz w:val="28"/>
          <w:szCs w:val="28"/>
        </w:rPr>
        <w:t>2018-</w:t>
      </w:r>
      <w:r>
        <w:rPr>
          <w:rFonts w:ascii="Arial" w:eastAsia="仿宋_GB2312" w:hAnsi="Arial" w:cs="Arial"/>
          <w:sz w:val="28"/>
          <w:szCs w:val="28"/>
        </w:rPr>
        <w:t>2020</w:t>
      </w:r>
      <w:r>
        <w:rPr>
          <w:rFonts w:ascii="Arial" w:eastAsia="仿宋_GB2312" w:hAnsi="Arial" w:cs="Arial" w:hint="eastAsia"/>
          <w:sz w:val="28"/>
          <w:szCs w:val="28"/>
        </w:rPr>
        <w:t>年楼面熟地价。</w:t>
      </w:r>
    </w:p>
    <w:p w14:paraId="3F4B9610" w14:textId="0D322BA8" w:rsidR="00F7311A" w:rsidRDefault="00F7311A" w:rsidP="00F7311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近三年同区域内（海淀区）共成交</w:t>
      </w:r>
      <w:r>
        <w:rPr>
          <w:rFonts w:ascii="Arial" w:eastAsia="仿宋_GB2312" w:hAnsi="Arial" w:cs="Arial"/>
          <w:sz w:val="28"/>
          <w:szCs w:val="28"/>
        </w:rPr>
        <w:t>4</w:t>
      </w:r>
      <w:r>
        <w:rPr>
          <w:rFonts w:ascii="Arial" w:eastAsia="仿宋_GB2312" w:hAnsi="Arial" w:cs="Arial" w:hint="eastAsia"/>
          <w:sz w:val="28"/>
          <w:szCs w:val="28"/>
        </w:rPr>
        <w:t>个商办</w:t>
      </w:r>
      <w:proofErr w:type="gramStart"/>
      <w:r>
        <w:rPr>
          <w:rFonts w:ascii="Arial" w:eastAsia="仿宋_GB2312" w:hAnsi="Arial" w:cs="Arial" w:hint="eastAsia"/>
          <w:sz w:val="28"/>
          <w:szCs w:val="28"/>
        </w:rPr>
        <w:t>类招拍挂</w:t>
      </w:r>
      <w:proofErr w:type="gramEnd"/>
      <w:r>
        <w:rPr>
          <w:rFonts w:ascii="Arial" w:eastAsia="仿宋_GB2312" w:hAnsi="Arial" w:cs="Arial" w:hint="eastAsia"/>
          <w:sz w:val="28"/>
          <w:szCs w:val="28"/>
        </w:rPr>
        <w:t>出让项目，</w:t>
      </w:r>
      <w:r>
        <w:rPr>
          <w:rFonts w:ascii="Arial" w:eastAsia="仿宋_GB2312" w:hAnsi="Arial" w:cs="Arial"/>
          <w:sz w:val="28"/>
          <w:szCs w:val="28"/>
        </w:rPr>
        <w:t>2018</w:t>
      </w:r>
      <w:r>
        <w:rPr>
          <w:rFonts w:ascii="Arial" w:eastAsia="仿宋_GB2312" w:hAnsi="Arial" w:cs="Arial" w:hint="eastAsia"/>
          <w:sz w:val="28"/>
          <w:szCs w:val="28"/>
        </w:rPr>
        <w:t>年同区域无商办</w:t>
      </w:r>
      <w:proofErr w:type="gramStart"/>
      <w:r>
        <w:rPr>
          <w:rFonts w:ascii="Arial" w:eastAsia="仿宋_GB2312" w:hAnsi="Arial" w:cs="Arial" w:hint="eastAsia"/>
          <w:sz w:val="28"/>
          <w:szCs w:val="28"/>
        </w:rPr>
        <w:t>类招拍挂成交</w:t>
      </w:r>
      <w:proofErr w:type="gramEnd"/>
      <w:r>
        <w:rPr>
          <w:rFonts w:ascii="Arial" w:eastAsia="仿宋_GB2312" w:hAnsi="Arial" w:cs="Arial" w:hint="eastAsia"/>
          <w:sz w:val="28"/>
          <w:szCs w:val="28"/>
        </w:rPr>
        <w:t>地块；</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22423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3</w:t>
      </w:r>
      <w:r>
        <w:rPr>
          <w:rFonts w:ascii="Arial" w:eastAsia="仿宋_GB2312" w:hAnsi="Arial" w:cs="Arial" w:hint="eastAsia"/>
          <w:sz w:val="28"/>
          <w:szCs w:val="28"/>
        </w:rPr>
        <w:t>宗，其中</w:t>
      </w:r>
      <w:r>
        <w:rPr>
          <w:rFonts w:ascii="Arial" w:eastAsia="仿宋_GB2312" w:hAnsi="Arial" w:cs="Arial"/>
          <w:sz w:val="28"/>
          <w:szCs w:val="28"/>
        </w:rPr>
        <w:t>1</w:t>
      </w:r>
      <w:r>
        <w:rPr>
          <w:rFonts w:ascii="Arial" w:eastAsia="仿宋_GB2312" w:hAnsi="Arial" w:cs="Arial" w:hint="eastAsia"/>
          <w:sz w:val="28"/>
          <w:szCs w:val="28"/>
        </w:rPr>
        <w:t>宗位于五级地，</w:t>
      </w:r>
      <w:r>
        <w:rPr>
          <w:rFonts w:ascii="Arial" w:eastAsia="仿宋_GB2312" w:hAnsi="Arial" w:cs="Arial"/>
          <w:sz w:val="28"/>
          <w:szCs w:val="28"/>
        </w:rPr>
        <w:t>2</w:t>
      </w:r>
      <w:r>
        <w:rPr>
          <w:rFonts w:ascii="Arial" w:eastAsia="仿宋_GB2312" w:hAnsi="Arial" w:cs="Arial" w:hint="eastAsia"/>
          <w:sz w:val="28"/>
          <w:szCs w:val="28"/>
        </w:rPr>
        <w:t>宗位于六级地），结合</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案例用途及位置，故估价对象评估结果高于</w:t>
      </w:r>
      <w:r>
        <w:rPr>
          <w:rFonts w:ascii="Arial" w:eastAsia="仿宋_GB2312" w:hAnsi="Arial" w:cs="Arial"/>
          <w:sz w:val="28"/>
          <w:szCs w:val="28"/>
        </w:rPr>
        <w:t>2019</w:t>
      </w:r>
      <w:r>
        <w:rPr>
          <w:rFonts w:ascii="Arial" w:eastAsia="仿宋_GB2312" w:hAnsi="Arial" w:cs="Arial" w:hint="eastAsia"/>
          <w:sz w:val="28"/>
          <w:szCs w:val="28"/>
        </w:rPr>
        <w:t>年度</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地价均值是合理的；</w:t>
      </w:r>
      <w:r>
        <w:rPr>
          <w:rFonts w:ascii="Arial" w:eastAsia="仿宋_GB2312" w:hAnsi="Arial" w:cs="Arial"/>
          <w:sz w:val="28"/>
          <w:szCs w:val="28"/>
        </w:rPr>
        <w:t>2020</w:t>
      </w:r>
      <w:r>
        <w:rPr>
          <w:rFonts w:ascii="Arial" w:eastAsia="仿宋_GB2312" w:hAnsi="Arial" w:cs="Arial" w:hint="eastAsia"/>
          <w:sz w:val="28"/>
          <w:szCs w:val="28"/>
        </w:rPr>
        <w:t>年楼面熟地价（仅成交</w:t>
      </w:r>
      <w:r>
        <w:rPr>
          <w:rFonts w:ascii="Arial" w:eastAsia="仿宋_GB2312" w:hAnsi="Arial" w:cs="Arial"/>
          <w:sz w:val="28"/>
          <w:szCs w:val="28"/>
        </w:rPr>
        <w:t>1</w:t>
      </w:r>
      <w:r>
        <w:rPr>
          <w:rFonts w:ascii="Arial" w:eastAsia="仿宋_GB2312" w:hAnsi="Arial" w:cs="Arial" w:hint="eastAsia"/>
          <w:sz w:val="28"/>
          <w:szCs w:val="28"/>
        </w:rPr>
        <w:t>宗，位于西八里庄，三级地价区）为</w:t>
      </w:r>
      <w:r>
        <w:rPr>
          <w:rFonts w:ascii="Arial" w:eastAsia="仿宋_GB2312" w:hAnsi="Arial" w:cs="Arial"/>
          <w:sz w:val="28"/>
          <w:szCs w:val="28"/>
        </w:rPr>
        <w:t>31358</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平方米，估价对象位于二级地价区，</w:t>
      </w:r>
      <w:r w:rsidR="000B6C12">
        <w:rPr>
          <w:rFonts w:ascii="Arial" w:eastAsia="仿宋_GB2312" w:hAnsi="Arial" w:cs="Arial" w:hint="eastAsia"/>
          <w:sz w:val="28"/>
          <w:szCs w:val="28"/>
        </w:rPr>
        <w:t>估价对象</w:t>
      </w:r>
      <w:r w:rsidR="000B6C12">
        <w:rPr>
          <w:rFonts w:ascii="Arial" w:eastAsia="仿宋_GB2312" w:hAnsi="Arial" w:cs="Arial"/>
          <w:sz w:val="28"/>
          <w:szCs w:val="28"/>
        </w:rPr>
        <w:t>商办</w:t>
      </w:r>
      <w:r w:rsidR="000B6C12">
        <w:rPr>
          <w:rFonts w:ascii="Arial" w:eastAsia="仿宋_GB2312" w:hAnsi="Arial" w:cs="Arial" w:hint="eastAsia"/>
          <w:sz w:val="28"/>
          <w:szCs w:val="28"/>
        </w:rPr>
        <w:t>用途</w:t>
      </w:r>
      <w:r w:rsidR="00F81F06">
        <w:rPr>
          <w:rFonts w:ascii="Arial" w:eastAsia="仿宋_GB2312" w:hAnsi="Arial" w:cs="Arial" w:hint="eastAsia"/>
          <w:sz w:val="28"/>
          <w:szCs w:val="28"/>
        </w:rPr>
        <w:t>属于</w:t>
      </w:r>
      <w:r w:rsidR="000B6C12">
        <w:rPr>
          <w:rFonts w:ascii="Arial" w:eastAsia="仿宋_GB2312" w:hAnsi="Arial" w:cs="Arial" w:hint="eastAsia"/>
          <w:sz w:val="28"/>
          <w:szCs w:val="28"/>
        </w:rPr>
        <w:t>住宅</w:t>
      </w:r>
      <w:r w:rsidR="000B6C12">
        <w:rPr>
          <w:rFonts w:ascii="Arial" w:eastAsia="仿宋_GB2312" w:hAnsi="Arial" w:cs="Arial"/>
          <w:sz w:val="28"/>
          <w:szCs w:val="28"/>
        </w:rPr>
        <w:t>配套</w:t>
      </w:r>
      <w:r w:rsidR="000B6C12">
        <w:rPr>
          <w:rFonts w:ascii="Arial" w:eastAsia="仿宋_GB2312" w:hAnsi="Arial" w:cs="Arial" w:hint="eastAsia"/>
          <w:sz w:val="28"/>
          <w:szCs w:val="28"/>
        </w:rPr>
        <w:t>，与</w:t>
      </w:r>
      <w:r w:rsidR="000B6C12">
        <w:rPr>
          <w:rFonts w:ascii="Arial" w:eastAsia="仿宋_GB2312" w:hAnsi="Arial" w:cs="Arial"/>
          <w:sz w:val="28"/>
          <w:szCs w:val="28"/>
        </w:rPr>
        <w:t>西八里</w:t>
      </w:r>
      <w:proofErr w:type="gramStart"/>
      <w:r w:rsidR="000B6C12">
        <w:rPr>
          <w:rFonts w:ascii="Arial" w:eastAsia="仿宋_GB2312" w:hAnsi="Arial" w:cs="Arial"/>
          <w:sz w:val="28"/>
          <w:szCs w:val="28"/>
        </w:rPr>
        <w:t>庄项目</w:t>
      </w:r>
      <w:proofErr w:type="gramEnd"/>
      <w:r w:rsidR="000B6C12">
        <w:rPr>
          <w:rFonts w:ascii="Arial" w:eastAsia="仿宋_GB2312" w:hAnsi="Arial" w:cs="Arial"/>
          <w:sz w:val="28"/>
          <w:szCs w:val="28"/>
        </w:rPr>
        <w:t>产品类型不同</w:t>
      </w:r>
      <w:r w:rsidR="00F81F06">
        <w:rPr>
          <w:rFonts w:ascii="Arial" w:eastAsia="仿宋_GB2312" w:hAnsi="Arial" w:cs="Arial" w:hint="eastAsia"/>
          <w:sz w:val="28"/>
          <w:szCs w:val="28"/>
        </w:rPr>
        <w:t>，</w:t>
      </w:r>
      <w:r w:rsidR="00964211">
        <w:rPr>
          <w:rFonts w:ascii="Arial" w:eastAsia="仿宋_GB2312" w:hAnsi="Arial" w:cs="Arial" w:hint="eastAsia"/>
          <w:sz w:val="28"/>
          <w:szCs w:val="28"/>
        </w:rPr>
        <w:t>估价结果</w:t>
      </w:r>
      <w:r>
        <w:rPr>
          <w:rFonts w:ascii="Arial" w:eastAsia="仿宋_GB2312" w:hAnsi="Arial" w:cs="Arial" w:hint="eastAsia"/>
          <w:sz w:val="28"/>
          <w:szCs w:val="28"/>
        </w:rPr>
        <w:t>略低于</w:t>
      </w:r>
      <w:r w:rsidR="00964211">
        <w:rPr>
          <w:rFonts w:ascii="Arial" w:eastAsia="仿宋_GB2312" w:hAnsi="Arial" w:cs="Arial" w:hint="eastAsia"/>
          <w:sz w:val="28"/>
          <w:szCs w:val="28"/>
        </w:rPr>
        <w:t>西八里</w:t>
      </w:r>
      <w:proofErr w:type="gramStart"/>
      <w:r w:rsidR="00964211">
        <w:rPr>
          <w:rFonts w:ascii="Arial" w:eastAsia="仿宋_GB2312" w:hAnsi="Arial" w:cs="Arial" w:hint="eastAsia"/>
          <w:sz w:val="28"/>
          <w:szCs w:val="28"/>
        </w:rPr>
        <w:t>庄</w:t>
      </w:r>
      <w:r>
        <w:rPr>
          <w:rFonts w:ascii="Arial" w:eastAsia="仿宋_GB2312" w:hAnsi="Arial" w:cs="Arial" w:hint="eastAsia"/>
          <w:sz w:val="28"/>
          <w:szCs w:val="28"/>
        </w:rPr>
        <w:t>招拍挂成交</w:t>
      </w:r>
      <w:proofErr w:type="gramEnd"/>
      <w:r>
        <w:rPr>
          <w:rFonts w:ascii="Arial" w:eastAsia="仿宋_GB2312" w:hAnsi="Arial" w:cs="Arial" w:hint="eastAsia"/>
          <w:sz w:val="28"/>
          <w:szCs w:val="28"/>
        </w:rPr>
        <w:t>地价是合理的。</w:t>
      </w:r>
    </w:p>
    <w:p w14:paraId="51C8CAD7" w14:textId="77777777" w:rsidR="00F7311A" w:rsidRDefault="00F7311A" w:rsidP="00F7311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估价对象的估价结果与近三年已审定（或成交）案例的平均价格水平相当，因受估价对象所在区域、估价期日、容积率等因素的影响，最终估价结果在合理范围之内。</w:t>
      </w:r>
      <w:r w:rsidRPr="003A3E89">
        <w:rPr>
          <w:rFonts w:ascii="Arial" w:eastAsia="仿宋_GB2312" w:hAnsi="Arial" w:cs="Arial" w:hint="eastAsia"/>
          <w:sz w:val="28"/>
          <w:szCs w:val="28"/>
        </w:rPr>
        <w:t xml:space="preserve"> </w:t>
      </w:r>
    </w:p>
    <w:p w14:paraId="53778CC0" w14:textId="77777777" w:rsidR="00F7311A" w:rsidRPr="00CB3EE5" w:rsidRDefault="00F7311A" w:rsidP="00F7311A">
      <w:pPr>
        <w:spacing w:line="360" w:lineRule="auto"/>
        <w:jc w:val="both"/>
        <w:rPr>
          <w:rFonts w:ascii="Arial" w:eastAsia="仿宋_GB2312" w:hAnsi="Arial" w:cs="Arial"/>
          <w:sz w:val="28"/>
          <w:szCs w:val="28"/>
        </w:rPr>
      </w:pPr>
    </w:p>
    <w:p w14:paraId="2C5F8B8D" w14:textId="77777777" w:rsidR="00F7311A" w:rsidRDefault="00F7311A" w:rsidP="00F7311A">
      <w:pPr>
        <w:adjustRightInd/>
        <w:spacing w:line="360" w:lineRule="auto"/>
        <w:jc w:val="center"/>
        <w:textAlignment w:val="auto"/>
        <w:rPr>
          <w:rFonts w:ascii="Arial" w:eastAsia="仿宋_GB2312" w:hAnsi="Arial" w:cs="Arial"/>
          <w:sz w:val="28"/>
          <w:szCs w:val="28"/>
        </w:rPr>
      </w:pPr>
      <w:r w:rsidRPr="00193CEB">
        <w:rPr>
          <w:rFonts w:ascii="Arial" w:eastAsia="仿宋_GB2312" w:hAnsi="Arial" w:cs="Arial" w:hint="eastAsia"/>
          <w:sz w:val="28"/>
          <w:szCs w:val="28"/>
        </w:rPr>
        <w:lastRenderedPageBreak/>
        <w:t>商业</w:t>
      </w:r>
      <w:r w:rsidRPr="00193CEB">
        <w:rPr>
          <w:rFonts w:ascii="Arial" w:eastAsia="仿宋_GB2312" w:hAnsi="Arial" w:cs="Arial"/>
          <w:sz w:val="28"/>
          <w:szCs w:val="28"/>
        </w:rPr>
        <w:t>用途案例分析</w:t>
      </w:r>
    </w:p>
    <w:p w14:paraId="687965FB" w14:textId="5FB42672" w:rsidR="00F7311A" w:rsidRPr="00640132" w:rsidRDefault="00F81F06" w:rsidP="00F7311A">
      <w:pPr>
        <w:adjustRightInd/>
        <w:spacing w:line="360" w:lineRule="auto"/>
        <w:jc w:val="center"/>
        <w:textAlignment w:val="auto"/>
        <w:rPr>
          <w:rFonts w:ascii="Arial" w:eastAsia="仿宋_GB2312" w:hAnsi="Arial" w:cs="Arial"/>
          <w:sz w:val="28"/>
          <w:szCs w:val="28"/>
        </w:rPr>
      </w:pPr>
      <w:r>
        <w:rPr>
          <w:noProof/>
        </w:rPr>
        <w:drawing>
          <wp:inline distT="0" distB="0" distL="0" distR="0" wp14:anchorId="1D33D921" wp14:editId="060F1332">
            <wp:extent cx="4986669" cy="3721395"/>
            <wp:effectExtent l="0" t="0" r="4445" b="12700"/>
            <wp:docPr id="7" name="图表 7">
              <a:extLst xmlns:a="http://schemas.openxmlformats.org/drawingml/2006/main">
                <a:ext uri="{FF2B5EF4-FFF2-40B4-BE49-F238E27FC236}">
                  <a16:creationId xmlns:a16="http://schemas.microsoft.com/office/drawing/2014/main" id="{FEBD5C2B-F202-48C1-8753-64C5C7A5E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4A2C26" w14:textId="77777777" w:rsidR="00F7311A" w:rsidRDefault="00F7311A" w:rsidP="00F7311A">
      <w:pPr>
        <w:adjustRightInd/>
        <w:spacing w:line="360" w:lineRule="auto"/>
        <w:jc w:val="center"/>
        <w:textAlignment w:val="auto"/>
        <w:rPr>
          <w:rFonts w:ascii="Arial" w:eastAsia="仿宋_GB2312" w:hAnsi="Arial" w:cs="Arial"/>
          <w:sz w:val="28"/>
          <w:szCs w:val="28"/>
        </w:rPr>
      </w:pPr>
      <w:r w:rsidRPr="00640132">
        <w:rPr>
          <w:rFonts w:ascii="Arial" w:eastAsia="仿宋_GB2312" w:hAnsi="Arial" w:cs="Arial" w:hint="eastAsia"/>
          <w:sz w:val="28"/>
          <w:szCs w:val="28"/>
        </w:rPr>
        <w:t>办公</w:t>
      </w:r>
      <w:r w:rsidRPr="00640132">
        <w:rPr>
          <w:rFonts w:ascii="Arial" w:eastAsia="仿宋_GB2312" w:hAnsi="Arial" w:cs="Arial"/>
          <w:sz w:val="28"/>
          <w:szCs w:val="28"/>
        </w:rPr>
        <w:t>用途案例分析</w:t>
      </w:r>
    </w:p>
    <w:p w14:paraId="7C8C58BC" w14:textId="46A3ABA8" w:rsidR="00F7311A" w:rsidRPr="00640132" w:rsidRDefault="00F81F06" w:rsidP="00F7311A">
      <w:pPr>
        <w:adjustRightInd/>
        <w:spacing w:line="360" w:lineRule="auto"/>
        <w:jc w:val="center"/>
        <w:textAlignment w:val="auto"/>
        <w:rPr>
          <w:rFonts w:ascii="Arial" w:eastAsia="仿宋_GB2312" w:hAnsi="Arial" w:cs="Arial"/>
          <w:sz w:val="28"/>
          <w:szCs w:val="28"/>
        </w:rPr>
      </w:pPr>
      <w:r>
        <w:rPr>
          <w:noProof/>
        </w:rPr>
        <w:drawing>
          <wp:inline distT="0" distB="0" distL="0" distR="0" wp14:anchorId="0FFD28A5" wp14:editId="7E0D08E5">
            <wp:extent cx="4972050" cy="3957638"/>
            <wp:effectExtent l="0" t="0" r="0" b="5080"/>
            <wp:docPr id="8" name="图表 8">
              <a:extLst xmlns:a="http://schemas.openxmlformats.org/drawingml/2006/main">
                <a:ext uri="{FF2B5EF4-FFF2-40B4-BE49-F238E27FC236}">
                  <a16:creationId xmlns:a16="http://schemas.microsoft.com/office/drawing/2014/main" id="{E7836004-ED6E-4C44-9ACC-0FB78E0C6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352793" w14:textId="77777777" w:rsidR="00F7311A" w:rsidRDefault="00F7311A" w:rsidP="00F7311A">
      <w:pPr>
        <w:pStyle w:val="11"/>
        <w:jc w:val="both"/>
        <w:rPr>
          <w:rFonts w:ascii="Arial" w:hAnsi="Arial" w:cs="Arial"/>
          <w:szCs w:val="28"/>
        </w:rPr>
      </w:pPr>
      <w:r w:rsidRPr="004B7002">
        <w:rPr>
          <w:rFonts w:ascii="Arial" w:hAnsi="Arial" w:cs="Arial"/>
          <w:szCs w:val="28"/>
        </w:rPr>
        <w:lastRenderedPageBreak/>
        <w:t>3.</w:t>
      </w:r>
      <w:r>
        <w:rPr>
          <w:rFonts w:ascii="Arial" w:hAnsi="Arial" w:cs="Arial" w:hint="eastAsia"/>
        </w:rPr>
        <w:t>本次评估是</w:t>
      </w:r>
      <w:r w:rsidRPr="00F631FB">
        <w:rPr>
          <w:rFonts w:ascii="Arial" w:hAnsi="Arial" w:cs="Arial"/>
        </w:rPr>
        <w:t>为北京市规划和自然资源委员会办理该项目</w:t>
      </w:r>
      <w:r w:rsidRPr="00927BB2">
        <w:rPr>
          <w:rFonts w:ascii="Arial" w:hAnsi="Arial" w:cs="Arial" w:hint="eastAsia"/>
        </w:rPr>
        <w:t>一次性招标</w:t>
      </w:r>
      <w:r>
        <w:rPr>
          <w:rFonts w:ascii="Arial" w:hAnsi="Arial" w:cs="Arial" w:hint="eastAsia"/>
        </w:rPr>
        <w:t>出让手续</w:t>
      </w:r>
      <w:r w:rsidRPr="00F631FB">
        <w:rPr>
          <w:rFonts w:ascii="Arial" w:hAnsi="Arial" w:cs="Arial"/>
        </w:rPr>
        <w:t>提供参考</w:t>
      </w:r>
      <w:r w:rsidRPr="00F631FB">
        <w:rPr>
          <w:rFonts w:ascii="Arial" w:hAnsi="Arial" w:cs="Arial" w:hint="eastAsia"/>
        </w:rPr>
        <w:t>依据</w:t>
      </w:r>
      <w:r w:rsidRPr="00F631FB">
        <w:rPr>
          <w:rFonts w:ascii="Arial" w:hAnsi="Arial" w:cs="Arial"/>
        </w:rPr>
        <w:t>。</w:t>
      </w:r>
      <w:r>
        <w:rPr>
          <w:rFonts w:ascii="Arial" w:hAnsi="Arial" w:cs="Arial" w:hint="eastAsia"/>
        </w:rPr>
        <w:t>估价对象非特</w:t>
      </w:r>
      <w:proofErr w:type="gramStart"/>
      <w:r>
        <w:rPr>
          <w:rFonts w:ascii="Arial" w:hAnsi="Arial" w:cs="Arial" w:hint="eastAsia"/>
        </w:rPr>
        <w:t>定条件下招拍挂</w:t>
      </w:r>
      <w:proofErr w:type="gramEnd"/>
      <w:r>
        <w:rPr>
          <w:rFonts w:ascii="Arial" w:hAnsi="Arial" w:cs="Arial" w:hint="eastAsia"/>
        </w:rPr>
        <w:t>出让方式，</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Pr>
          <w:rFonts w:ascii="Arial" w:hAnsi="Arial" w:cs="Arial" w:hint="eastAsia"/>
          <w:szCs w:val="28"/>
        </w:rPr>
        <w:t>中未对一次性招标出让底价进行特殊规定，</w:t>
      </w:r>
      <w:r>
        <w:rPr>
          <w:rFonts w:ascii="Arial" w:hAnsi="Arial" w:cs="Arial" w:hint="eastAsia"/>
        </w:rPr>
        <w:t>故本次出让底价建议参考</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sidRPr="00AF4CFE">
        <w:rPr>
          <w:rFonts w:ascii="Arial" w:hAnsi="Arial" w:cs="Arial"/>
          <w:szCs w:val="28"/>
        </w:rPr>
        <w:t>对于</w:t>
      </w:r>
      <w:r>
        <w:rPr>
          <w:rFonts w:ascii="Arial" w:hAnsi="Arial" w:cs="Arial" w:hint="eastAsia"/>
          <w:szCs w:val="28"/>
        </w:rPr>
        <w:t>协议</w:t>
      </w:r>
      <w:r w:rsidRPr="00AF4CFE">
        <w:rPr>
          <w:rFonts w:ascii="Arial" w:hAnsi="Arial" w:cs="Arial"/>
          <w:szCs w:val="28"/>
        </w:rPr>
        <w:t>出让项目</w:t>
      </w:r>
      <w:r>
        <w:rPr>
          <w:rFonts w:ascii="Arial" w:hAnsi="Arial" w:cs="Arial" w:hint="eastAsia"/>
          <w:szCs w:val="28"/>
        </w:rPr>
        <w:t>的规定：</w:t>
      </w:r>
      <w:r w:rsidRPr="00AF4CFE">
        <w:rPr>
          <w:rFonts w:ascii="Arial" w:hAnsi="Arial" w:cs="Arial"/>
          <w:szCs w:val="28"/>
        </w:rPr>
        <w:t>“</w:t>
      </w:r>
      <w:r w:rsidRPr="00AF4CFE">
        <w:rPr>
          <w:rFonts w:ascii="Arial" w:hAnsi="Arial" w:cs="Arial"/>
          <w:szCs w:val="28"/>
        </w:rPr>
        <w:t>确定估价结果，并根据当地市场情况、有关法律法规和政策规定，给出底价决策建议</w:t>
      </w:r>
      <w:r w:rsidRPr="00AF4CFE">
        <w:rPr>
          <w:rFonts w:ascii="Arial" w:hAnsi="Arial" w:cs="Arial"/>
          <w:szCs w:val="28"/>
        </w:rPr>
        <w:t>”</w:t>
      </w:r>
      <w:r w:rsidRPr="00AF4CFE">
        <w:rPr>
          <w:rFonts w:ascii="Arial" w:hAnsi="Arial" w:cs="Arial"/>
          <w:szCs w:val="28"/>
        </w:rPr>
        <w:t>，出让底价应不低于宗地所在级别基准地价低限修正后结果。</w:t>
      </w:r>
    </w:p>
    <w:p w14:paraId="253BEEDF" w14:textId="77777777" w:rsidR="00F7311A" w:rsidRPr="00A75B80" w:rsidRDefault="00F7311A" w:rsidP="00F7311A">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p>
    <w:p w14:paraId="0747AAE5" w14:textId="77777777" w:rsidR="00F7311A" w:rsidRDefault="00F7311A" w:rsidP="00F7311A">
      <w:pPr>
        <w:autoSpaceDE w:val="0"/>
        <w:autoSpaceDN w:val="0"/>
        <w:snapToGrid w:val="0"/>
        <w:spacing w:line="360" w:lineRule="auto"/>
        <w:ind w:firstLine="540"/>
        <w:jc w:val="both"/>
        <w:textAlignment w:val="bottom"/>
        <w:rPr>
          <w:rFonts w:ascii="Arial" w:eastAsia="仿宋_GB2312" w:hAnsi="Arial" w:cs="Arial"/>
          <w:sz w:val="28"/>
          <w:szCs w:val="28"/>
        </w:rPr>
      </w:pPr>
      <w:r w:rsidRPr="004B7002">
        <w:rPr>
          <w:rFonts w:ascii="Arial" w:eastAsia="仿宋_GB2312" w:hAnsi="Arial" w:cs="Arial" w:hint="eastAsia"/>
          <w:sz w:val="28"/>
        </w:rPr>
        <w:t>依前述，估价对象住宅用途</w:t>
      </w:r>
      <w:r w:rsidRPr="004B7002">
        <w:rPr>
          <w:rFonts w:ascii="Arial" w:eastAsia="仿宋_GB2312" w:hAnsi="Arial" w:cs="Arial"/>
          <w:sz w:val="28"/>
          <w:szCs w:val="28"/>
        </w:rPr>
        <w:t>经评审的政府土地出让收益与应分摊成本合计</w:t>
      </w:r>
      <w:r w:rsidRPr="004B7002">
        <w:rPr>
          <w:rFonts w:ascii="Arial" w:eastAsia="仿宋_GB2312" w:hAnsi="Arial" w:cs="Arial" w:hint="eastAsia"/>
          <w:sz w:val="28"/>
          <w:szCs w:val="28"/>
        </w:rPr>
        <w:t>、</w:t>
      </w:r>
      <w:r w:rsidRPr="004B7002">
        <w:rPr>
          <w:rFonts w:ascii="Arial" w:eastAsia="仿宋_GB2312" w:hAnsi="Arial" w:cs="Arial"/>
          <w:sz w:val="28"/>
          <w:szCs w:val="28"/>
        </w:rPr>
        <w:t>所在基准地价级别低限价格</w:t>
      </w:r>
      <w:r w:rsidRPr="004B7002">
        <w:rPr>
          <w:rFonts w:ascii="Arial" w:eastAsia="仿宋_GB2312" w:hAnsi="Arial" w:cs="Arial" w:hint="eastAsia"/>
          <w:sz w:val="28"/>
          <w:szCs w:val="28"/>
        </w:rPr>
        <w:t>及其对应的政府土地出让收益如下表所示：</w:t>
      </w:r>
    </w:p>
    <w:tbl>
      <w:tblPr>
        <w:tblStyle w:val="aff5"/>
        <w:tblW w:w="9640" w:type="dxa"/>
        <w:jc w:val="center"/>
        <w:tblLook w:val="04A0" w:firstRow="1" w:lastRow="0" w:firstColumn="1" w:lastColumn="0" w:noHBand="0" w:noVBand="1"/>
      </w:tblPr>
      <w:tblGrid>
        <w:gridCol w:w="662"/>
        <w:gridCol w:w="703"/>
        <w:gridCol w:w="771"/>
        <w:gridCol w:w="767"/>
        <w:gridCol w:w="789"/>
        <w:gridCol w:w="767"/>
        <w:gridCol w:w="810"/>
        <w:gridCol w:w="808"/>
        <w:gridCol w:w="767"/>
        <w:gridCol w:w="662"/>
        <w:gridCol w:w="967"/>
        <w:gridCol w:w="1167"/>
      </w:tblGrid>
      <w:tr w:rsidR="00F7311A" w:rsidRPr="004B7002" w14:paraId="6502FA59" w14:textId="77777777" w:rsidTr="00F7311A">
        <w:trPr>
          <w:jc w:val="center"/>
        </w:trPr>
        <w:tc>
          <w:tcPr>
            <w:tcW w:w="662" w:type="dxa"/>
            <w:vAlign w:val="center"/>
          </w:tcPr>
          <w:p w14:paraId="6373CA69"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用途</w:t>
            </w:r>
          </w:p>
        </w:tc>
        <w:tc>
          <w:tcPr>
            <w:tcW w:w="703" w:type="dxa"/>
            <w:vAlign w:val="center"/>
          </w:tcPr>
          <w:p w14:paraId="6C291953"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土地级别</w:t>
            </w:r>
          </w:p>
        </w:tc>
        <w:tc>
          <w:tcPr>
            <w:tcW w:w="771" w:type="dxa"/>
            <w:vAlign w:val="center"/>
          </w:tcPr>
          <w:p w14:paraId="7FBD76AA"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所在级别低限基准地价</w:t>
            </w:r>
          </w:p>
        </w:tc>
        <w:tc>
          <w:tcPr>
            <w:tcW w:w="767" w:type="dxa"/>
            <w:vAlign w:val="center"/>
          </w:tcPr>
          <w:p w14:paraId="227E5F28"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期日修正系数</w:t>
            </w:r>
          </w:p>
        </w:tc>
        <w:tc>
          <w:tcPr>
            <w:tcW w:w="789" w:type="dxa"/>
            <w:vAlign w:val="center"/>
          </w:tcPr>
          <w:p w14:paraId="65153DB2"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年期修正系数</w:t>
            </w:r>
          </w:p>
        </w:tc>
        <w:tc>
          <w:tcPr>
            <w:tcW w:w="767" w:type="dxa"/>
            <w:vAlign w:val="center"/>
          </w:tcPr>
          <w:p w14:paraId="7AECD065"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hint="eastAsia"/>
                <w:b/>
                <w:color w:val="000000"/>
                <w:sz w:val="18"/>
                <w:szCs w:val="18"/>
              </w:rPr>
              <w:t>容积率修正系数</w:t>
            </w:r>
          </w:p>
        </w:tc>
        <w:tc>
          <w:tcPr>
            <w:tcW w:w="810" w:type="dxa"/>
            <w:vAlign w:val="center"/>
          </w:tcPr>
          <w:p w14:paraId="6A03A0C2"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因素修正系数</w:t>
            </w:r>
          </w:p>
        </w:tc>
        <w:tc>
          <w:tcPr>
            <w:tcW w:w="808" w:type="dxa"/>
            <w:vAlign w:val="center"/>
          </w:tcPr>
          <w:p w14:paraId="283B2C3D" w14:textId="77777777" w:rsidR="00F7311A" w:rsidRPr="004B7002" w:rsidRDefault="00F7311A" w:rsidP="00F7311A">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r>
              <w:rPr>
                <w:rFonts w:ascii="Arial" w:eastAsia="仿宋_GB2312" w:hAnsi="Arial" w:cs="Arial"/>
                <w:b/>
                <w:color w:val="000000"/>
                <w:sz w:val="18"/>
                <w:szCs w:val="18"/>
              </w:rPr>
              <w:t>/</w:t>
            </w:r>
            <w:r>
              <w:rPr>
                <w:rFonts w:ascii="Arial" w:eastAsia="仿宋_GB2312" w:hAnsi="Arial" w:cs="Arial" w:hint="eastAsia"/>
                <w:b/>
                <w:color w:val="000000"/>
                <w:sz w:val="18"/>
                <w:szCs w:val="18"/>
              </w:rPr>
              <w:t>地下空间修正系数</w:t>
            </w:r>
          </w:p>
        </w:tc>
        <w:tc>
          <w:tcPr>
            <w:tcW w:w="767" w:type="dxa"/>
            <w:vAlign w:val="center"/>
          </w:tcPr>
          <w:p w14:paraId="011CDA02"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楼面熟地价</w:t>
            </w:r>
          </w:p>
        </w:tc>
        <w:tc>
          <w:tcPr>
            <w:tcW w:w="662" w:type="dxa"/>
            <w:vAlign w:val="center"/>
          </w:tcPr>
          <w:p w14:paraId="4AE43AE5" w14:textId="77777777" w:rsidR="00F7311A" w:rsidRPr="004B7002" w:rsidRDefault="00F7311A" w:rsidP="00F7311A">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政府土地出让收益</w:t>
            </w:r>
          </w:p>
        </w:tc>
        <w:tc>
          <w:tcPr>
            <w:tcW w:w="967" w:type="dxa"/>
            <w:vAlign w:val="center"/>
          </w:tcPr>
          <w:p w14:paraId="30B43790" w14:textId="77777777" w:rsidR="00F7311A" w:rsidRPr="0063620D" w:rsidRDefault="00F7311A" w:rsidP="00F7311A">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建筑面积</w:t>
            </w:r>
          </w:p>
        </w:tc>
        <w:tc>
          <w:tcPr>
            <w:tcW w:w="1167" w:type="dxa"/>
            <w:vAlign w:val="center"/>
          </w:tcPr>
          <w:p w14:paraId="0CC4627D" w14:textId="77777777" w:rsidR="00F7311A" w:rsidRPr="0063620D" w:rsidRDefault="00F7311A" w:rsidP="00F7311A">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w:t>
            </w:r>
            <w:r>
              <w:rPr>
                <w:rFonts w:ascii="Arial" w:eastAsia="仿宋_GB2312" w:hAnsi="Arial" w:cs="Arial" w:hint="eastAsia"/>
                <w:b/>
                <w:color w:val="000000"/>
                <w:sz w:val="18"/>
                <w:szCs w:val="18"/>
              </w:rPr>
              <w:t>总</w:t>
            </w:r>
            <w:r w:rsidRPr="0063620D">
              <w:rPr>
                <w:rFonts w:ascii="Arial" w:eastAsia="仿宋_GB2312" w:hAnsi="Arial" w:cs="Arial" w:hint="eastAsia"/>
                <w:b/>
                <w:color w:val="000000"/>
                <w:sz w:val="18"/>
                <w:szCs w:val="18"/>
              </w:rPr>
              <w:t>收益</w:t>
            </w:r>
          </w:p>
        </w:tc>
      </w:tr>
      <w:tr w:rsidR="00F7311A" w:rsidRPr="004B7002" w14:paraId="441A4400" w14:textId="77777777" w:rsidTr="00F7311A">
        <w:trPr>
          <w:jc w:val="center"/>
        </w:trPr>
        <w:tc>
          <w:tcPr>
            <w:tcW w:w="662" w:type="dxa"/>
            <w:vAlign w:val="center"/>
          </w:tcPr>
          <w:p w14:paraId="3E4B173A"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住宅</w:t>
            </w:r>
          </w:p>
        </w:tc>
        <w:tc>
          <w:tcPr>
            <w:tcW w:w="703" w:type="dxa"/>
            <w:vAlign w:val="center"/>
          </w:tcPr>
          <w:p w14:paraId="61C6DF50"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2571F8B3"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205EAF70"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6B7D2F4E"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3C8CB873"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0.865</w:t>
            </w:r>
            <w:r>
              <w:rPr>
                <w:rFonts w:ascii="Arial" w:eastAsia="仿宋_GB2312" w:hAnsi="Arial" w:cs="Arial"/>
                <w:color w:val="000000"/>
                <w:sz w:val="18"/>
                <w:szCs w:val="18"/>
              </w:rPr>
              <w:t>2</w:t>
            </w:r>
          </w:p>
        </w:tc>
        <w:tc>
          <w:tcPr>
            <w:tcW w:w="810" w:type="dxa"/>
            <w:vAlign w:val="center"/>
          </w:tcPr>
          <w:p w14:paraId="7D8CEA04"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21FA9E48"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2696E954"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3</w:t>
            </w:r>
            <w:r>
              <w:rPr>
                <w:rFonts w:ascii="Arial" w:eastAsia="仿宋_GB2312" w:hAnsi="Arial" w:cs="Arial"/>
                <w:b/>
                <w:bCs/>
                <w:color w:val="000000"/>
                <w:sz w:val="18"/>
                <w:szCs w:val="18"/>
              </w:rPr>
              <w:t>4471</w:t>
            </w:r>
          </w:p>
        </w:tc>
        <w:tc>
          <w:tcPr>
            <w:tcW w:w="662" w:type="dxa"/>
            <w:vAlign w:val="center"/>
          </w:tcPr>
          <w:p w14:paraId="068205B3"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8</w:t>
            </w:r>
            <w:r>
              <w:rPr>
                <w:rFonts w:ascii="Arial" w:eastAsia="仿宋_GB2312" w:hAnsi="Arial" w:cs="Arial"/>
                <w:b/>
                <w:bCs/>
                <w:color w:val="000000"/>
                <w:sz w:val="18"/>
                <w:szCs w:val="18"/>
              </w:rPr>
              <w:t>618</w:t>
            </w:r>
          </w:p>
        </w:tc>
        <w:tc>
          <w:tcPr>
            <w:tcW w:w="967" w:type="dxa"/>
            <w:vAlign w:val="center"/>
          </w:tcPr>
          <w:p w14:paraId="452150C2"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28075</w:t>
            </w:r>
          </w:p>
        </w:tc>
        <w:tc>
          <w:tcPr>
            <w:tcW w:w="1167" w:type="dxa"/>
            <w:vAlign w:val="center"/>
          </w:tcPr>
          <w:p w14:paraId="2A240D2D"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24195.035</w:t>
            </w:r>
            <w:r>
              <w:rPr>
                <w:rFonts w:ascii="Arial" w:eastAsia="仿宋_GB2312" w:hAnsi="Arial" w:cs="Arial"/>
                <w:b/>
                <w:bCs/>
                <w:color w:val="000000"/>
                <w:sz w:val="18"/>
                <w:szCs w:val="18"/>
              </w:rPr>
              <w:t>0</w:t>
            </w:r>
          </w:p>
        </w:tc>
      </w:tr>
      <w:tr w:rsidR="00F7311A" w:rsidRPr="004B7002" w14:paraId="2B7C979D" w14:textId="77777777" w:rsidTr="00F7311A">
        <w:trPr>
          <w:jc w:val="center"/>
        </w:trPr>
        <w:tc>
          <w:tcPr>
            <w:tcW w:w="662" w:type="dxa"/>
            <w:vAlign w:val="center"/>
          </w:tcPr>
          <w:p w14:paraId="3EAF86DF"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703" w:type="dxa"/>
            <w:vAlign w:val="center"/>
          </w:tcPr>
          <w:p w14:paraId="6ED5EECD"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Ⅲ</w:t>
            </w:r>
            <w:r w:rsidRPr="0063620D">
              <w:rPr>
                <w:rFonts w:ascii="Arial" w:eastAsia="仿宋_GB2312" w:hAnsi="Arial" w:cs="Arial" w:hint="eastAsia"/>
                <w:color w:val="000000"/>
                <w:sz w:val="18"/>
                <w:szCs w:val="18"/>
              </w:rPr>
              <w:t>-06</w:t>
            </w:r>
          </w:p>
        </w:tc>
        <w:tc>
          <w:tcPr>
            <w:tcW w:w="771" w:type="dxa"/>
            <w:vAlign w:val="center"/>
          </w:tcPr>
          <w:p w14:paraId="20372DDA"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767" w:type="dxa"/>
            <w:vAlign w:val="center"/>
          </w:tcPr>
          <w:p w14:paraId="7FE6D5F0"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55AA5EE8"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0407DAE7"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.8175</w:t>
            </w:r>
          </w:p>
        </w:tc>
        <w:tc>
          <w:tcPr>
            <w:tcW w:w="810" w:type="dxa"/>
            <w:vAlign w:val="center"/>
          </w:tcPr>
          <w:p w14:paraId="3C65839E"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.0535</w:t>
            </w:r>
          </w:p>
        </w:tc>
        <w:tc>
          <w:tcPr>
            <w:tcW w:w="808" w:type="dxa"/>
            <w:vAlign w:val="center"/>
          </w:tcPr>
          <w:p w14:paraId="1D772AFA"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7FB885D8"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0960</w:t>
            </w:r>
          </w:p>
        </w:tc>
        <w:tc>
          <w:tcPr>
            <w:tcW w:w="662" w:type="dxa"/>
            <w:vAlign w:val="center"/>
          </w:tcPr>
          <w:p w14:paraId="64F3A52E"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5</w:t>
            </w:r>
            <w:r>
              <w:rPr>
                <w:rFonts w:ascii="Arial" w:eastAsia="仿宋_GB2312" w:hAnsi="Arial" w:cs="Arial"/>
                <w:b/>
                <w:bCs/>
                <w:color w:val="000000"/>
                <w:sz w:val="18"/>
                <w:szCs w:val="18"/>
              </w:rPr>
              <w:t>240</w:t>
            </w:r>
          </w:p>
        </w:tc>
        <w:tc>
          <w:tcPr>
            <w:tcW w:w="967" w:type="dxa"/>
            <w:vAlign w:val="center"/>
          </w:tcPr>
          <w:p w14:paraId="7214BD56"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3318</w:t>
            </w:r>
          </w:p>
        </w:tc>
        <w:tc>
          <w:tcPr>
            <w:tcW w:w="1167" w:type="dxa"/>
            <w:vAlign w:val="center"/>
          </w:tcPr>
          <w:p w14:paraId="20B06E1A"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1738.632</w:t>
            </w:r>
            <w:r>
              <w:rPr>
                <w:rFonts w:ascii="Arial" w:eastAsia="仿宋_GB2312" w:hAnsi="Arial" w:cs="Arial"/>
                <w:b/>
                <w:bCs/>
                <w:color w:val="000000"/>
                <w:sz w:val="18"/>
                <w:szCs w:val="18"/>
              </w:rPr>
              <w:t>0</w:t>
            </w:r>
          </w:p>
        </w:tc>
      </w:tr>
      <w:tr w:rsidR="00F7311A" w:rsidRPr="004B7002" w14:paraId="4626DD7D" w14:textId="77777777" w:rsidTr="00F7311A">
        <w:trPr>
          <w:jc w:val="center"/>
        </w:trPr>
        <w:tc>
          <w:tcPr>
            <w:tcW w:w="662" w:type="dxa"/>
            <w:vAlign w:val="center"/>
          </w:tcPr>
          <w:p w14:paraId="65D13667"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办公</w:t>
            </w:r>
          </w:p>
        </w:tc>
        <w:tc>
          <w:tcPr>
            <w:tcW w:w="703" w:type="dxa"/>
            <w:vAlign w:val="center"/>
          </w:tcPr>
          <w:p w14:paraId="2620FB7D"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5A5CBDBB"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32E7882D"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775FE6A2"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351FCF36"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.9151</w:t>
            </w:r>
          </w:p>
        </w:tc>
        <w:tc>
          <w:tcPr>
            <w:tcW w:w="810" w:type="dxa"/>
            <w:vAlign w:val="center"/>
          </w:tcPr>
          <w:p w14:paraId="205D15EC"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2E1EC744"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6DCF4EF2"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8536</w:t>
            </w:r>
          </w:p>
        </w:tc>
        <w:tc>
          <w:tcPr>
            <w:tcW w:w="662" w:type="dxa"/>
            <w:vAlign w:val="center"/>
          </w:tcPr>
          <w:p w14:paraId="4514928C"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7</w:t>
            </w:r>
            <w:r>
              <w:rPr>
                <w:rFonts w:ascii="Arial" w:eastAsia="仿宋_GB2312" w:hAnsi="Arial" w:cs="Arial"/>
                <w:b/>
                <w:bCs/>
                <w:color w:val="000000"/>
                <w:sz w:val="18"/>
                <w:szCs w:val="18"/>
              </w:rPr>
              <w:t>134</w:t>
            </w:r>
          </w:p>
        </w:tc>
        <w:tc>
          <w:tcPr>
            <w:tcW w:w="967" w:type="dxa"/>
            <w:vAlign w:val="center"/>
          </w:tcPr>
          <w:p w14:paraId="4146EFC8"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118</w:t>
            </w:r>
          </w:p>
        </w:tc>
        <w:tc>
          <w:tcPr>
            <w:tcW w:w="1167" w:type="dxa"/>
            <w:vAlign w:val="center"/>
          </w:tcPr>
          <w:p w14:paraId="5969AD36"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84.1812</w:t>
            </w:r>
          </w:p>
        </w:tc>
      </w:tr>
      <w:tr w:rsidR="00F7311A" w:rsidRPr="004B7002" w14:paraId="46513296" w14:textId="77777777" w:rsidTr="00F7311A">
        <w:trPr>
          <w:jc w:val="center"/>
        </w:trPr>
        <w:tc>
          <w:tcPr>
            <w:tcW w:w="662" w:type="dxa"/>
            <w:vAlign w:val="center"/>
          </w:tcPr>
          <w:p w14:paraId="5C0BDB53"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703" w:type="dxa"/>
            <w:vAlign w:val="center"/>
          </w:tcPr>
          <w:p w14:paraId="4DE9F3F7"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23412B64"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162A5AF2"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71EFB18E"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137B84E8"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04A6768D"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011EB088"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0.3</w:t>
            </w:r>
          </w:p>
        </w:tc>
        <w:tc>
          <w:tcPr>
            <w:tcW w:w="767" w:type="dxa"/>
            <w:vAlign w:val="center"/>
          </w:tcPr>
          <w:p w14:paraId="1166F274"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355</w:t>
            </w:r>
          </w:p>
        </w:tc>
        <w:tc>
          <w:tcPr>
            <w:tcW w:w="662" w:type="dxa"/>
            <w:vAlign w:val="center"/>
          </w:tcPr>
          <w:p w14:paraId="35700397"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339</w:t>
            </w:r>
          </w:p>
        </w:tc>
        <w:tc>
          <w:tcPr>
            <w:tcW w:w="967" w:type="dxa"/>
            <w:vAlign w:val="center"/>
          </w:tcPr>
          <w:p w14:paraId="254686B8"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32</w:t>
            </w:r>
          </w:p>
        </w:tc>
        <w:tc>
          <w:tcPr>
            <w:tcW w:w="1167" w:type="dxa"/>
            <w:vAlign w:val="center"/>
          </w:tcPr>
          <w:p w14:paraId="1DAB0E52"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7.4848</w:t>
            </w:r>
          </w:p>
        </w:tc>
      </w:tr>
      <w:tr w:rsidR="00F7311A" w:rsidRPr="004B7002" w14:paraId="1DF15061" w14:textId="77777777" w:rsidTr="00F7311A">
        <w:trPr>
          <w:jc w:val="center"/>
        </w:trPr>
        <w:tc>
          <w:tcPr>
            <w:tcW w:w="662" w:type="dxa"/>
            <w:vAlign w:val="center"/>
          </w:tcPr>
          <w:p w14:paraId="340E7351"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地下车库</w:t>
            </w:r>
          </w:p>
        </w:tc>
        <w:tc>
          <w:tcPr>
            <w:tcW w:w="703" w:type="dxa"/>
            <w:vAlign w:val="center"/>
          </w:tcPr>
          <w:p w14:paraId="296AC790"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0076B0B0"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64650D74"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13C1F9DB"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139AF5EB"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10" w:type="dxa"/>
            <w:vAlign w:val="center"/>
          </w:tcPr>
          <w:p w14:paraId="3AD8E40E"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2DB1C2F5"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0.25</w:t>
            </w:r>
          </w:p>
        </w:tc>
        <w:tc>
          <w:tcPr>
            <w:tcW w:w="767" w:type="dxa"/>
            <w:vAlign w:val="center"/>
          </w:tcPr>
          <w:p w14:paraId="1790EAA0"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960</w:t>
            </w:r>
          </w:p>
        </w:tc>
        <w:tc>
          <w:tcPr>
            <w:tcW w:w="662" w:type="dxa"/>
            <w:vAlign w:val="center"/>
          </w:tcPr>
          <w:p w14:paraId="2D85C9C1"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490</w:t>
            </w:r>
          </w:p>
        </w:tc>
        <w:tc>
          <w:tcPr>
            <w:tcW w:w="967" w:type="dxa"/>
            <w:vAlign w:val="center"/>
          </w:tcPr>
          <w:p w14:paraId="0099AB7D"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10345.02</w:t>
            </w:r>
          </w:p>
        </w:tc>
        <w:tc>
          <w:tcPr>
            <w:tcW w:w="1167" w:type="dxa"/>
            <w:vAlign w:val="center"/>
          </w:tcPr>
          <w:p w14:paraId="22547AA2"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2575.91</w:t>
            </w:r>
            <w:r>
              <w:rPr>
                <w:rFonts w:ascii="Arial" w:eastAsia="仿宋_GB2312" w:hAnsi="Arial" w:cs="Arial"/>
                <w:b/>
                <w:bCs/>
                <w:color w:val="000000"/>
                <w:sz w:val="18"/>
                <w:szCs w:val="18"/>
              </w:rPr>
              <w:t>00</w:t>
            </w:r>
          </w:p>
        </w:tc>
      </w:tr>
      <w:tr w:rsidR="00F7311A" w:rsidRPr="004B7002" w14:paraId="3F3D1864" w14:textId="77777777" w:rsidTr="00F7311A">
        <w:trPr>
          <w:jc w:val="center"/>
        </w:trPr>
        <w:tc>
          <w:tcPr>
            <w:tcW w:w="662" w:type="dxa"/>
            <w:vAlign w:val="center"/>
          </w:tcPr>
          <w:p w14:paraId="4DA548B4"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合计</w:t>
            </w:r>
          </w:p>
        </w:tc>
        <w:tc>
          <w:tcPr>
            <w:tcW w:w="703" w:type="dxa"/>
            <w:vAlign w:val="center"/>
          </w:tcPr>
          <w:p w14:paraId="58E31112"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1A12C272"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5CBA6043"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89" w:type="dxa"/>
            <w:vAlign w:val="center"/>
          </w:tcPr>
          <w:p w14:paraId="750BC3CD"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5F638B07"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08D9799E"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08" w:type="dxa"/>
            <w:vAlign w:val="center"/>
          </w:tcPr>
          <w:p w14:paraId="1A1B4F5C"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767" w:type="dxa"/>
            <w:vAlign w:val="center"/>
          </w:tcPr>
          <w:p w14:paraId="24C02F4D" w14:textId="77777777" w:rsidR="00F7311A"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662" w:type="dxa"/>
            <w:vAlign w:val="center"/>
          </w:tcPr>
          <w:p w14:paraId="7BE35D42"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967" w:type="dxa"/>
            <w:vAlign w:val="center"/>
          </w:tcPr>
          <w:p w14:paraId="5C7DA755"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41888.02</w:t>
            </w:r>
          </w:p>
        </w:tc>
        <w:tc>
          <w:tcPr>
            <w:tcW w:w="1167" w:type="dxa"/>
            <w:vAlign w:val="center"/>
          </w:tcPr>
          <w:p w14:paraId="5B89598B"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28601.243</w:t>
            </w:r>
            <w:r>
              <w:rPr>
                <w:rFonts w:ascii="Arial" w:eastAsia="仿宋_GB2312" w:hAnsi="Arial" w:cs="Arial"/>
                <w:b/>
                <w:bCs/>
                <w:color w:val="000000"/>
                <w:sz w:val="18"/>
                <w:szCs w:val="18"/>
              </w:rPr>
              <w:t>0</w:t>
            </w:r>
          </w:p>
        </w:tc>
      </w:tr>
    </w:tbl>
    <w:p w14:paraId="25DD8793" w14:textId="77777777" w:rsidR="00F7311A" w:rsidRPr="004B7002" w:rsidRDefault="00F7311A" w:rsidP="00F7311A">
      <w:pPr>
        <w:widowControl/>
        <w:adjustRightInd/>
        <w:spacing w:line="240" w:lineRule="auto"/>
        <w:textAlignment w:val="auto"/>
        <w:rPr>
          <w:rFonts w:ascii="Arial" w:eastAsia="仿宋_GB2312" w:hAnsi="Arial" w:cs="Arial"/>
          <w:b/>
          <w:color w:val="000000"/>
          <w:sz w:val="21"/>
          <w:szCs w:val="21"/>
        </w:rPr>
      </w:pPr>
      <w:r w:rsidRPr="004B7002">
        <w:rPr>
          <w:rFonts w:ascii="Arial" w:eastAsia="仿宋_GB2312" w:hAnsi="Arial" w:cs="Arial"/>
          <w:b/>
          <w:color w:val="000000"/>
          <w:sz w:val="21"/>
          <w:szCs w:val="21"/>
        </w:rPr>
        <w:lastRenderedPageBreak/>
        <w:t>备注：依据</w:t>
      </w:r>
      <w:r w:rsidRPr="00BA7C99">
        <w:rPr>
          <w:rFonts w:ascii="Arial" w:eastAsia="仿宋_GB2312" w:hAnsi="Arial" w:cs="Arial" w:hint="eastAsia"/>
          <w:b/>
          <w:color w:val="000000"/>
          <w:sz w:val="21"/>
          <w:szCs w:val="21"/>
        </w:rPr>
        <w:t>《北京市海淀区人民政府关于商请加快地铁</w:t>
      </w:r>
      <w:r w:rsidRPr="00BA7C99">
        <w:rPr>
          <w:rFonts w:ascii="Arial" w:eastAsia="仿宋_GB2312" w:hAnsi="Arial" w:cs="Arial" w:hint="eastAsia"/>
          <w:b/>
          <w:color w:val="000000"/>
          <w:sz w:val="21"/>
          <w:szCs w:val="21"/>
        </w:rPr>
        <w:t>16</w:t>
      </w:r>
      <w:r w:rsidRPr="00BA7C99">
        <w:rPr>
          <w:rFonts w:ascii="Arial" w:eastAsia="仿宋_GB2312" w:hAnsi="Arial" w:cs="Arial" w:hint="eastAsia"/>
          <w:b/>
          <w:color w:val="000000"/>
          <w:sz w:val="21"/>
          <w:szCs w:val="21"/>
        </w:rPr>
        <w:t>号线苏州街站一体化棚改项目国有建设用地使用权出让手续办理有关事宜的函》</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海政函（</w:t>
      </w:r>
      <w:r w:rsidRPr="00BA7C99">
        <w:rPr>
          <w:rFonts w:ascii="Arial" w:eastAsia="仿宋_GB2312" w:hAnsi="Arial" w:cs="Arial" w:hint="eastAsia"/>
          <w:b/>
          <w:color w:val="000000"/>
          <w:sz w:val="21"/>
          <w:szCs w:val="21"/>
        </w:rPr>
        <w:t>2021</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50</w:t>
      </w:r>
      <w:r w:rsidRPr="00BA7C99">
        <w:rPr>
          <w:rFonts w:ascii="Arial" w:eastAsia="仿宋_GB2312" w:hAnsi="Arial" w:cs="Arial" w:hint="eastAsia"/>
          <w:b/>
          <w:color w:val="000000"/>
          <w:sz w:val="21"/>
          <w:szCs w:val="21"/>
        </w:rPr>
        <w:t>号</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及其附件、《关于海淀区苏州街站一体化棚户区改造项目成本说明》</w:t>
      </w:r>
      <w:r>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估价对象前期土地开发成本约为</w:t>
      </w:r>
      <w:r w:rsidRPr="00BA7C99">
        <w:rPr>
          <w:rFonts w:ascii="Arial" w:eastAsia="仿宋_GB2312" w:hAnsi="Arial" w:cs="Arial" w:hint="eastAsia"/>
          <w:b/>
          <w:color w:val="000000"/>
          <w:sz w:val="21"/>
          <w:szCs w:val="21"/>
        </w:rPr>
        <w:t>158379.13</w:t>
      </w:r>
      <w:r w:rsidRPr="00BA7C99">
        <w:rPr>
          <w:rFonts w:ascii="Arial" w:eastAsia="仿宋_GB2312" w:hAnsi="Arial" w:cs="Arial" w:hint="eastAsia"/>
          <w:b/>
          <w:color w:val="000000"/>
          <w:sz w:val="21"/>
          <w:szCs w:val="21"/>
        </w:rPr>
        <w:t>万元</w:t>
      </w:r>
    </w:p>
    <w:p w14:paraId="6FA3CF5D" w14:textId="3EA6E4AD" w:rsidR="006B33D2" w:rsidRDefault="00F7311A" w:rsidP="00F7311A">
      <w:pPr>
        <w:spacing w:beforeLines="100" w:before="240" w:line="360" w:lineRule="auto"/>
        <w:ind w:firstLineChars="200" w:firstLine="560"/>
        <w:rPr>
          <w:rFonts w:ascii="Arial" w:eastAsia="仿宋_GB2312" w:hAnsi="Arial" w:cs="Arial"/>
          <w:bCs/>
          <w:sz w:val="28"/>
        </w:rPr>
      </w:pPr>
      <w:r>
        <w:rPr>
          <w:rFonts w:ascii="Arial" w:eastAsia="仿宋_GB2312" w:hAnsi="Arial" w:cs="Arial" w:hint="eastAsia"/>
          <w:sz w:val="28"/>
        </w:rPr>
        <w:t>通过上表可知，估价对象政府土地出让收益与土地开发成本合计不低于该宗地所在基准地价级别低限，故建议本项目出让底价按该宗地在新设定规划建设条件下的出让土地使用权正常市场价格计取</w:t>
      </w:r>
      <w:r w:rsidR="006B33D2">
        <w:rPr>
          <w:rFonts w:ascii="Arial" w:eastAsia="仿宋_GB2312" w:hAnsi="Arial" w:cs="Arial" w:hint="eastAsia"/>
          <w:sz w:val="28"/>
        </w:rPr>
        <w:t>。</w:t>
      </w:r>
    </w:p>
    <w:p w14:paraId="14DBC08A" w14:textId="3DAEA2AE" w:rsidR="00A77EBC" w:rsidRPr="006B33D2" w:rsidRDefault="00A77EBC" w:rsidP="00A75B80">
      <w:pPr>
        <w:spacing w:beforeLines="100" w:before="240" w:line="360" w:lineRule="auto"/>
        <w:ind w:firstLineChars="200" w:firstLine="560"/>
        <w:rPr>
          <w:rFonts w:ascii="Arial" w:eastAsia="仿宋_GB2312" w:hAnsi="Arial" w:cs="Arial"/>
          <w:bCs/>
          <w:sz w:val="28"/>
        </w:rPr>
      </w:pPr>
    </w:p>
    <w:p w14:paraId="3E5D0C81" w14:textId="77777777" w:rsidR="00BA7C99" w:rsidRDefault="00BA7C99" w:rsidP="002C3ABF">
      <w:pPr>
        <w:spacing w:line="360" w:lineRule="auto"/>
        <w:outlineLvl w:val="1"/>
        <w:rPr>
          <w:rStyle w:val="ab"/>
          <w:rFonts w:ascii="Arial" w:hAnsi="Arial" w:cs="Arial"/>
        </w:rPr>
      </w:pPr>
      <w:bookmarkStart w:id="50" w:name="_Toc418750886"/>
      <w:bookmarkStart w:id="51" w:name="_Toc425250308"/>
      <w:bookmarkStart w:id="52" w:name="_Toc469066308"/>
      <w:bookmarkStart w:id="53" w:name="_Toc416783524"/>
      <w:bookmarkStart w:id="54" w:name="_Toc524335062"/>
      <w:bookmarkStart w:id="55" w:name="_Toc69393374"/>
      <w:r>
        <w:rPr>
          <w:rStyle w:val="ab"/>
          <w:rFonts w:ascii="Arial" w:hAnsi="Arial" w:cs="Arial"/>
        </w:rPr>
        <w:br w:type="page"/>
      </w:r>
    </w:p>
    <w:p w14:paraId="03C928D4" w14:textId="40CAC7BA" w:rsidR="002C3ABF" w:rsidRPr="00F631FB" w:rsidRDefault="002C3ABF" w:rsidP="002C3ABF">
      <w:pPr>
        <w:spacing w:line="360" w:lineRule="auto"/>
        <w:outlineLvl w:val="1"/>
        <w:rPr>
          <w:rStyle w:val="ab"/>
          <w:rFonts w:ascii="Arial" w:hAnsi="Arial" w:cs="Arial"/>
        </w:rPr>
      </w:pPr>
      <w:r w:rsidRPr="00F631FB">
        <w:rPr>
          <w:rStyle w:val="ab"/>
          <w:rFonts w:ascii="Arial" w:hAnsi="Arial" w:cs="Arial"/>
        </w:rPr>
        <w:lastRenderedPageBreak/>
        <w:t>八</w:t>
      </w:r>
      <w:r w:rsidRPr="00F631FB">
        <w:rPr>
          <w:rFonts w:ascii="Arial" w:eastAsia="仿宋_GB2312" w:hAnsi="Arial" w:cs="Arial"/>
          <w:b/>
          <w:bCs/>
          <w:sz w:val="28"/>
        </w:rPr>
        <w:t>、评估专业人员签字</w:t>
      </w:r>
      <w:bookmarkEnd w:id="50"/>
      <w:bookmarkEnd w:id="51"/>
      <w:bookmarkEnd w:id="52"/>
      <w:bookmarkEnd w:id="53"/>
      <w:bookmarkEnd w:id="54"/>
      <w:bookmarkEnd w:id="55"/>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2C3ABF" w:rsidRPr="00F631FB" w14:paraId="66B81D25" w14:textId="77777777" w:rsidTr="004A2C77">
        <w:trPr>
          <w:trHeight w:val="70"/>
          <w:jc w:val="center"/>
        </w:trPr>
        <w:tc>
          <w:tcPr>
            <w:tcW w:w="9299" w:type="dxa"/>
            <w:gridSpan w:val="3"/>
            <w:shd w:val="clear" w:color="auto" w:fill="auto"/>
            <w:vAlign w:val="center"/>
          </w:tcPr>
          <w:p w14:paraId="572FFADF" w14:textId="77777777" w:rsidR="002C3ABF" w:rsidRPr="00F631FB" w:rsidRDefault="002C3ABF" w:rsidP="004A2C77">
            <w:pPr>
              <w:widowControl/>
              <w:adjustRightInd/>
              <w:spacing w:line="240" w:lineRule="auto"/>
              <w:jc w:val="both"/>
              <w:textAlignment w:val="auto"/>
              <w:rPr>
                <w:rFonts w:ascii="Arial" w:eastAsia="仿宋_GB2312" w:hAnsi="Arial" w:cs="Arial"/>
                <w:b/>
                <w:bCs/>
                <w:sz w:val="28"/>
                <w:szCs w:val="28"/>
              </w:rPr>
            </w:pPr>
            <w:r w:rsidRPr="00F631FB">
              <w:rPr>
                <w:rFonts w:ascii="Arial" w:eastAsia="仿宋_GB2312" w:hAnsi="Arial" w:cs="Arial"/>
                <w:b/>
                <w:bCs/>
                <w:sz w:val="28"/>
                <w:szCs w:val="28"/>
              </w:rPr>
              <w:t>土地估价师</w:t>
            </w:r>
          </w:p>
        </w:tc>
      </w:tr>
      <w:tr w:rsidR="002C3ABF" w:rsidRPr="00F631FB" w14:paraId="72D757AB" w14:textId="77777777" w:rsidTr="004A2C77">
        <w:trPr>
          <w:trHeight w:val="370"/>
          <w:jc w:val="center"/>
        </w:trPr>
        <w:tc>
          <w:tcPr>
            <w:tcW w:w="2603" w:type="dxa"/>
            <w:shd w:val="clear" w:color="auto" w:fill="auto"/>
            <w:vAlign w:val="center"/>
          </w:tcPr>
          <w:p w14:paraId="4042F001"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姓名</w:t>
            </w:r>
          </w:p>
        </w:tc>
        <w:tc>
          <w:tcPr>
            <w:tcW w:w="4031" w:type="dxa"/>
            <w:shd w:val="clear" w:color="auto" w:fill="auto"/>
            <w:vAlign w:val="center"/>
          </w:tcPr>
          <w:p w14:paraId="62FE2EDA"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资格证号</w:t>
            </w:r>
          </w:p>
        </w:tc>
        <w:tc>
          <w:tcPr>
            <w:tcW w:w="2665" w:type="dxa"/>
            <w:shd w:val="clear" w:color="auto" w:fill="auto"/>
            <w:vAlign w:val="center"/>
          </w:tcPr>
          <w:p w14:paraId="4C584EE4"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签名</w:t>
            </w:r>
          </w:p>
        </w:tc>
      </w:tr>
      <w:tr w:rsidR="002C3ABF" w:rsidRPr="00F631FB" w14:paraId="0DEB4E54" w14:textId="77777777" w:rsidTr="004A2C77">
        <w:trPr>
          <w:trHeight w:hRule="exact" w:val="1134"/>
          <w:jc w:val="center"/>
        </w:trPr>
        <w:tc>
          <w:tcPr>
            <w:tcW w:w="2603" w:type="dxa"/>
            <w:shd w:val="clear" w:color="auto" w:fill="auto"/>
            <w:vAlign w:val="center"/>
          </w:tcPr>
          <w:p w14:paraId="4A4B28F7"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陈</w:t>
            </w:r>
            <w:r w:rsidRPr="00F631FB">
              <w:rPr>
                <w:rFonts w:ascii="Arial" w:eastAsia="仿宋_GB2312" w:hAnsi="Arial" w:cs="Arial"/>
                <w:sz w:val="28"/>
                <w:szCs w:val="28"/>
              </w:rPr>
              <w:t xml:space="preserve">  </w:t>
            </w:r>
            <w:r w:rsidRPr="00F631FB">
              <w:rPr>
                <w:rFonts w:ascii="Arial" w:eastAsia="仿宋_GB2312" w:hAnsi="Arial" w:cs="Arial"/>
                <w:sz w:val="28"/>
                <w:szCs w:val="28"/>
              </w:rPr>
              <w:t>颖</w:t>
            </w:r>
          </w:p>
        </w:tc>
        <w:tc>
          <w:tcPr>
            <w:tcW w:w="4031" w:type="dxa"/>
            <w:shd w:val="clear" w:color="auto" w:fill="auto"/>
            <w:vAlign w:val="center"/>
          </w:tcPr>
          <w:p w14:paraId="406F70A9"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2004110096</w:t>
            </w:r>
          </w:p>
        </w:tc>
        <w:tc>
          <w:tcPr>
            <w:tcW w:w="2665" w:type="dxa"/>
            <w:shd w:val="clear" w:color="auto" w:fill="auto"/>
            <w:vAlign w:val="center"/>
          </w:tcPr>
          <w:p w14:paraId="0E41D093"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 xml:space="preserve">　</w:t>
            </w:r>
          </w:p>
        </w:tc>
      </w:tr>
      <w:tr w:rsidR="002C3ABF" w:rsidRPr="00F631FB" w14:paraId="3E13AA5D" w14:textId="77777777" w:rsidTr="004A2C77">
        <w:trPr>
          <w:trHeight w:hRule="exact" w:val="1134"/>
          <w:jc w:val="center"/>
        </w:trPr>
        <w:tc>
          <w:tcPr>
            <w:tcW w:w="2603" w:type="dxa"/>
            <w:shd w:val="clear" w:color="auto" w:fill="auto"/>
            <w:vAlign w:val="center"/>
          </w:tcPr>
          <w:p w14:paraId="1728A577" w14:textId="0BF5A503" w:rsidR="002C3ABF" w:rsidRPr="00F631FB" w:rsidRDefault="000A3D4F" w:rsidP="004A2C77">
            <w:pPr>
              <w:widowControl/>
              <w:adjustRightInd/>
              <w:spacing w:line="240" w:lineRule="auto"/>
              <w:jc w:val="both"/>
              <w:textAlignment w:val="auto"/>
              <w:rPr>
                <w:rFonts w:ascii="Arial" w:eastAsia="仿宋_GB2312" w:hAnsi="Arial" w:cs="Arial"/>
                <w:sz w:val="28"/>
                <w:szCs w:val="28"/>
              </w:rPr>
            </w:pPr>
            <w:proofErr w:type="gramStart"/>
            <w:r>
              <w:rPr>
                <w:rFonts w:ascii="Arial" w:eastAsia="仿宋_GB2312" w:hAnsi="Arial" w:cs="Arial" w:hint="eastAsia"/>
                <w:sz w:val="28"/>
                <w:szCs w:val="28"/>
              </w:rPr>
              <w:t>崔</w:t>
            </w:r>
            <w:proofErr w:type="gramEnd"/>
            <w:r>
              <w:rPr>
                <w:rFonts w:ascii="Arial" w:eastAsia="仿宋_GB2312" w:hAnsi="Arial" w:cs="Arial" w:hint="eastAsia"/>
                <w:sz w:val="28"/>
                <w:szCs w:val="28"/>
              </w:rPr>
              <w:t xml:space="preserve"> </w:t>
            </w:r>
            <w:r>
              <w:rPr>
                <w:rFonts w:ascii="Arial" w:eastAsia="仿宋_GB2312" w:hAnsi="Arial" w:cs="Arial"/>
                <w:sz w:val="28"/>
                <w:szCs w:val="28"/>
              </w:rPr>
              <w:t xml:space="preserve"> </w:t>
            </w:r>
            <w:proofErr w:type="gramStart"/>
            <w:r>
              <w:rPr>
                <w:rFonts w:ascii="Arial" w:eastAsia="仿宋_GB2312" w:hAnsi="Arial" w:cs="Arial" w:hint="eastAsia"/>
                <w:sz w:val="28"/>
                <w:szCs w:val="28"/>
              </w:rPr>
              <w:t>锴</w:t>
            </w:r>
            <w:proofErr w:type="gramEnd"/>
          </w:p>
        </w:tc>
        <w:tc>
          <w:tcPr>
            <w:tcW w:w="4031" w:type="dxa"/>
            <w:shd w:val="clear" w:color="auto" w:fill="auto"/>
            <w:vAlign w:val="center"/>
          </w:tcPr>
          <w:p w14:paraId="0D607B82" w14:textId="0CE19952" w:rsidR="002C3ABF" w:rsidRPr="00F631FB" w:rsidRDefault="000A3D4F" w:rsidP="004A2C77">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2010110070</w:t>
            </w:r>
          </w:p>
        </w:tc>
        <w:tc>
          <w:tcPr>
            <w:tcW w:w="2665" w:type="dxa"/>
            <w:shd w:val="clear" w:color="auto" w:fill="auto"/>
            <w:vAlign w:val="center"/>
          </w:tcPr>
          <w:p w14:paraId="496EE352"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 xml:space="preserve">　</w:t>
            </w:r>
          </w:p>
        </w:tc>
      </w:tr>
      <w:tr w:rsidR="002C3ABF" w:rsidRPr="00F631FB" w14:paraId="0543AF54" w14:textId="77777777" w:rsidTr="004A2C77">
        <w:trPr>
          <w:trHeight w:val="194"/>
          <w:jc w:val="center"/>
        </w:trPr>
        <w:tc>
          <w:tcPr>
            <w:tcW w:w="9299" w:type="dxa"/>
            <w:gridSpan w:val="3"/>
            <w:shd w:val="clear" w:color="auto" w:fill="auto"/>
            <w:vAlign w:val="center"/>
          </w:tcPr>
          <w:p w14:paraId="137B8901" w14:textId="77777777" w:rsidR="002C3ABF" w:rsidRPr="00F631FB" w:rsidRDefault="002C3ABF" w:rsidP="004A2C77">
            <w:pPr>
              <w:widowControl/>
              <w:adjustRightInd/>
              <w:spacing w:line="240" w:lineRule="auto"/>
              <w:jc w:val="both"/>
              <w:textAlignment w:val="auto"/>
              <w:rPr>
                <w:rFonts w:ascii="Arial" w:eastAsia="仿宋_GB2312" w:hAnsi="Arial" w:cs="Arial"/>
                <w:b/>
                <w:bCs/>
                <w:sz w:val="28"/>
                <w:szCs w:val="28"/>
              </w:rPr>
            </w:pPr>
            <w:r w:rsidRPr="00F631FB">
              <w:rPr>
                <w:rFonts w:ascii="Arial" w:eastAsia="仿宋_GB2312" w:hAnsi="Arial" w:cs="Arial"/>
                <w:b/>
                <w:bCs/>
                <w:sz w:val="28"/>
                <w:szCs w:val="28"/>
              </w:rPr>
              <w:t>其他评估专业人员</w:t>
            </w:r>
            <w:r w:rsidRPr="00F631FB">
              <w:rPr>
                <w:rFonts w:ascii="Arial" w:eastAsia="仿宋_GB2312" w:hAnsi="Arial" w:cs="Arial"/>
                <w:b/>
                <w:bCs/>
                <w:sz w:val="28"/>
                <w:szCs w:val="28"/>
              </w:rPr>
              <w:t xml:space="preserve"> </w:t>
            </w:r>
          </w:p>
        </w:tc>
      </w:tr>
      <w:tr w:rsidR="002C3ABF" w:rsidRPr="00F631FB" w14:paraId="420A9268" w14:textId="77777777" w:rsidTr="004A2C77">
        <w:trPr>
          <w:trHeight w:val="119"/>
          <w:jc w:val="center"/>
        </w:trPr>
        <w:tc>
          <w:tcPr>
            <w:tcW w:w="2603" w:type="dxa"/>
            <w:shd w:val="clear" w:color="auto" w:fill="auto"/>
            <w:vAlign w:val="center"/>
          </w:tcPr>
          <w:p w14:paraId="10A9D354"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姓名</w:t>
            </w:r>
          </w:p>
        </w:tc>
        <w:tc>
          <w:tcPr>
            <w:tcW w:w="4031" w:type="dxa"/>
            <w:shd w:val="clear" w:color="auto" w:fill="auto"/>
            <w:vAlign w:val="center"/>
          </w:tcPr>
          <w:p w14:paraId="5E1CFEA0"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相关资格或职称</w:t>
            </w:r>
          </w:p>
        </w:tc>
        <w:tc>
          <w:tcPr>
            <w:tcW w:w="2665" w:type="dxa"/>
            <w:shd w:val="clear" w:color="auto" w:fill="auto"/>
            <w:vAlign w:val="center"/>
          </w:tcPr>
          <w:p w14:paraId="19613A69"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签名</w:t>
            </w:r>
          </w:p>
        </w:tc>
      </w:tr>
      <w:tr w:rsidR="002C3ABF" w:rsidRPr="00F631FB" w14:paraId="7D2B8D28" w14:textId="77777777" w:rsidTr="004A2C77">
        <w:trPr>
          <w:trHeight w:hRule="exact" w:val="1134"/>
          <w:jc w:val="center"/>
        </w:trPr>
        <w:tc>
          <w:tcPr>
            <w:tcW w:w="2603" w:type="dxa"/>
            <w:shd w:val="clear" w:color="auto" w:fill="auto"/>
            <w:vAlign w:val="center"/>
          </w:tcPr>
          <w:p w14:paraId="2A9F6577"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c>
          <w:tcPr>
            <w:tcW w:w="4031" w:type="dxa"/>
            <w:shd w:val="clear" w:color="auto" w:fill="auto"/>
            <w:vAlign w:val="center"/>
          </w:tcPr>
          <w:p w14:paraId="40045D39"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c>
          <w:tcPr>
            <w:tcW w:w="2665" w:type="dxa"/>
            <w:shd w:val="clear" w:color="auto" w:fill="auto"/>
            <w:vAlign w:val="center"/>
          </w:tcPr>
          <w:p w14:paraId="02792921"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r>
    </w:tbl>
    <w:p w14:paraId="0AD34441" w14:textId="77777777" w:rsidR="002C3ABF" w:rsidRPr="00F631FB" w:rsidRDefault="002C3ABF" w:rsidP="002C3ABF">
      <w:pPr>
        <w:spacing w:line="360" w:lineRule="auto"/>
        <w:rPr>
          <w:rFonts w:ascii="Arial" w:eastAsia="仿宋_GB2312" w:hAnsi="Arial" w:cs="Arial"/>
          <w:sz w:val="28"/>
        </w:rPr>
      </w:pPr>
    </w:p>
    <w:p w14:paraId="65EE1A72" w14:textId="77777777" w:rsidR="002C3ABF" w:rsidRPr="00F631FB" w:rsidRDefault="002C3ABF" w:rsidP="002C3ABF">
      <w:pPr>
        <w:spacing w:line="360" w:lineRule="auto"/>
        <w:outlineLvl w:val="1"/>
        <w:rPr>
          <w:rFonts w:ascii="Arial" w:eastAsia="仿宋_GB2312" w:hAnsi="Arial" w:cs="Arial"/>
          <w:b/>
          <w:sz w:val="28"/>
        </w:rPr>
      </w:pPr>
      <w:bookmarkStart w:id="56" w:name="_Toc469066309"/>
      <w:bookmarkStart w:id="57" w:name="_Toc425250311"/>
      <w:bookmarkStart w:id="58" w:name="_Toc418750889"/>
      <w:bookmarkStart w:id="59" w:name="_Toc416783526"/>
      <w:bookmarkStart w:id="60" w:name="_Toc515458364"/>
      <w:bookmarkStart w:id="61" w:name="_Toc524335063"/>
      <w:bookmarkStart w:id="62" w:name="_Toc69393375"/>
      <w:r w:rsidRPr="00F631FB">
        <w:rPr>
          <w:rFonts w:ascii="Arial" w:eastAsia="仿宋_GB2312" w:hAnsi="Arial" w:cs="Arial"/>
          <w:b/>
          <w:sz w:val="28"/>
        </w:rPr>
        <w:t>九、土地估价机构</w:t>
      </w:r>
      <w:bookmarkEnd w:id="56"/>
      <w:bookmarkEnd w:id="57"/>
      <w:bookmarkEnd w:id="58"/>
      <w:bookmarkEnd w:id="59"/>
      <w:bookmarkEnd w:id="60"/>
      <w:bookmarkEnd w:id="61"/>
      <w:bookmarkEnd w:id="62"/>
    </w:p>
    <w:p w14:paraId="7A798763"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p>
    <w:p w14:paraId="234BEA76"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2C3ABF" w:rsidRPr="00F631FB" w14:paraId="51D840F3" w14:textId="77777777" w:rsidTr="004A2C77">
        <w:trPr>
          <w:jc w:val="right"/>
        </w:trPr>
        <w:tc>
          <w:tcPr>
            <w:tcW w:w="4445" w:type="dxa"/>
            <w:shd w:val="clear" w:color="auto" w:fill="auto"/>
          </w:tcPr>
          <w:p w14:paraId="326E7055" w14:textId="77777777" w:rsidR="002C3ABF" w:rsidRPr="00F631FB" w:rsidRDefault="002C3ABF" w:rsidP="004A2C77">
            <w:pPr>
              <w:spacing w:line="360" w:lineRule="auto"/>
              <w:rPr>
                <w:rFonts w:ascii="Arial" w:eastAsia="仿宋_GB2312" w:hAnsi="Arial" w:cs="Arial"/>
                <w:sz w:val="28"/>
                <w:szCs w:val="21"/>
              </w:rPr>
            </w:pPr>
            <w:proofErr w:type="gramStart"/>
            <w:r w:rsidRPr="00F631FB">
              <w:rPr>
                <w:rFonts w:ascii="Arial" w:eastAsia="仿宋_GB2312" w:hAnsi="Arial" w:cs="Arial"/>
                <w:sz w:val="28"/>
                <w:szCs w:val="21"/>
              </w:rPr>
              <w:t>北京康正宏</w:t>
            </w:r>
            <w:proofErr w:type="gramEnd"/>
            <w:r w:rsidRPr="00F631FB">
              <w:rPr>
                <w:rFonts w:ascii="Arial" w:eastAsia="仿宋_GB2312" w:hAnsi="Arial" w:cs="Arial"/>
                <w:sz w:val="28"/>
                <w:szCs w:val="21"/>
              </w:rPr>
              <w:t>基房地产评估有限公司</w:t>
            </w:r>
          </w:p>
        </w:tc>
      </w:tr>
      <w:tr w:rsidR="002C3ABF" w:rsidRPr="00F631FB" w14:paraId="74F411C2" w14:textId="77777777" w:rsidTr="004A2C77">
        <w:trPr>
          <w:trHeight w:val="1431"/>
          <w:jc w:val="right"/>
        </w:trPr>
        <w:tc>
          <w:tcPr>
            <w:tcW w:w="4445" w:type="dxa"/>
            <w:shd w:val="clear" w:color="auto" w:fill="auto"/>
          </w:tcPr>
          <w:p w14:paraId="70407C79" w14:textId="77777777" w:rsidR="002C3ABF" w:rsidRPr="00F631FB" w:rsidRDefault="002C3ABF" w:rsidP="004A2C77">
            <w:pPr>
              <w:spacing w:line="480" w:lineRule="auto"/>
              <w:rPr>
                <w:rFonts w:ascii="Arial" w:eastAsia="仿宋_GB2312" w:hAnsi="Arial" w:cs="Arial"/>
                <w:sz w:val="28"/>
                <w:szCs w:val="21"/>
              </w:rPr>
            </w:pPr>
            <w:r w:rsidRPr="00F631FB">
              <w:rPr>
                <w:rFonts w:ascii="Arial" w:eastAsia="仿宋_GB2312" w:hAnsi="Arial" w:cs="Arial"/>
                <w:sz w:val="28"/>
                <w:szCs w:val="21"/>
              </w:rPr>
              <w:t>法定代表人：</w:t>
            </w:r>
          </w:p>
        </w:tc>
      </w:tr>
      <w:tr w:rsidR="002C3ABF" w:rsidRPr="00F631FB" w14:paraId="6AF94B94" w14:textId="77777777" w:rsidTr="004A2C77">
        <w:trPr>
          <w:cantSplit/>
          <w:jc w:val="right"/>
        </w:trPr>
        <w:tc>
          <w:tcPr>
            <w:tcW w:w="4445" w:type="dxa"/>
            <w:shd w:val="clear" w:color="auto" w:fill="auto"/>
          </w:tcPr>
          <w:p w14:paraId="525A3D95" w14:textId="78D400B0" w:rsidR="002C3ABF" w:rsidRPr="00F631FB" w:rsidRDefault="00D22E0E" w:rsidP="004A2C77">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二一年十二月一日</w:t>
            </w:r>
          </w:p>
        </w:tc>
      </w:tr>
    </w:tbl>
    <w:p w14:paraId="78D54D6C" w14:textId="77777777" w:rsidR="002C3ABF" w:rsidRPr="00F631FB" w:rsidRDefault="002C3ABF" w:rsidP="002C3ABF">
      <w:pPr>
        <w:spacing w:line="360" w:lineRule="auto"/>
        <w:rPr>
          <w:rFonts w:ascii="Arial" w:eastAsia="仿宋_GB2312" w:hAnsi="Arial" w:cs="Arial"/>
          <w:sz w:val="28"/>
        </w:rPr>
        <w:sectPr w:rsidR="002C3ABF" w:rsidRPr="00F631FB" w:rsidSect="004A2C77">
          <w:footerReference w:type="first" r:id="rId22"/>
          <w:pgSz w:w="11907" w:h="16840"/>
          <w:pgMar w:top="1843" w:right="1134" w:bottom="1134" w:left="1134" w:header="1134" w:footer="907" w:gutter="340"/>
          <w:pgNumType w:start="1"/>
          <w:cols w:space="720"/>
          <w:titlePg/>
          <w:docGrid w:linePitch="326"/>
        </w:sectPr>
      </w:pPr>
    </w:p>
    <w:p w14:paraId="121BCF71" w14:textId="77777777" w:rsidR="002C3ABF" w:rsidRPr="00F631FB" w:rsidRDefault="002C3ABF" w:rsidP="002C3ABF">
      <w:pPr>
        <w:pStyle w:val="11"/>
        <w:ind w:firstLine="562"/>
        <w:rPr>
          <w:rFonts w:ascii="Arial" w:hAnsi="Arial" w:cs="Arial"/>
          <w:b/>
        </w:rPr>
      </w:pPr>
      <w:r w:rsidRPr="00F631FB">
        <w:rPr>
          <w:rFonts w:ascii="Arial" w:hAnsi="Arial" w:cs="Arial"/>
          <w:b/>
        </w:rPr>
        <w:lastRenderedPageBreak/>
        <w:t>附</w:t>
      </w:r>
      <w:r w:rsidRPr="00F631FB">
        <w:rPr>
          <w:rFonts w:ascii="Arial" w:hAnsi="Arial" w:cs="Arial"/>
          <w:b/>
        </w:rPr>
        <w:t xml:space="preserve">                                           </w:t>
      </w:r>
      <w:r w:rsidRPr="00F631FB">
        <w:rPr>
          <w:rFonts w:ascii="Arial" w:hAnsi="Arial" w:cs="Arial"/>
          <w:b/>
        </w:rPr>
        <w:t>估价结果一览表</w:t>
      </w:r>
    </w:p>
    <w:p w14:paraId="4FF1EABB" w14:textId="76A32B1C" w:rsidR="002C3ABF" w:rsidRPr="00F631FB" w:rsidRDefault="002C3ABF" w:rsidP="002C3ABF">
      <w:pPr>
        <w:spacing w:line="240" w:lineRule="auto"/>
        <w:rPr>
          <w:rFonts w:ascii="Arial" w:eastAsia="仿宋_GB2312" w:hAnsi="Arial" w:cs="Arial"/>
          <w:bCs/>
          <w:sz w:val="18"/>
        </w:rPr>
      </w:pPr>
      <w:r w:rsidRPr="00F631FB">
        <w:rPr>
          <w:rFonts w:ascii="Arial" w:eastAsia="仿宋_GB2312" w:hAnsi="Arial" w:cs="Arial"/>
          <w:bCs/>
          <w:sz w:val="18"/>
        </w:rPr>
        <w:t>估价机构：</w:t>
      </w:r>
      <w:proofErr w:type="gramStart"/>
      <w:r w:rsidRPr="00F631FB">
        <w:rPr>
          <w:rFonts w:ascii="Arial" w:eastAsia="仿宋_GB2312" w:hAnsi="Arial" w:cs="Arial"/>
          <w:sz w:val="18"/>
        </w:rPr>
        <w:t>北京康正宏</w:t>
      </w:r>
      <w:proofErr w:type="gramEnd"/>
      <w:r w:rsidRPr="00F631FB">
        <w:rPr>
          <w:rFonts w:ascii="Arial" w:eastAsia="仿宋_GB2312" w:hAnsi="Arial" w:cs="Arial"/>
          <w:sz w:val="18"/>
        </w:rPr>
        <w:t>基房地产评估有限公司</w:t>
      </w:r>
      <w:r w:rsidRPr="00F631FB">
        <w:rPr>
          <w:rFonts w:ascii="Arial" w:eastAsia="仿宋_GB2312" w:hAnsi="Arial" w:cs="Arial"/>
          <w:sz w:val="18"/>
        </w:rPr>
        <w:t xml:space="preserve"> </w:t>
      </w:r>
      <w:r w:rsidRPr="00F631FB">
        <w:rPr>
          <w:rFonts w:ascii="Arial" w:eastAsia="仿宋_GB2312" w:hAnsi="Arial" w:cs="Arial"/>
          <w:bCs/>
          <w:sz w:val="18"/>
        </w:rPr>
        <w:t xml:space="preserve">  </w:t>
      </w:r>
      <w:r w:rsidRPr="00F631FB">
        <w:rPr>
          <w:rFonts w:ascii="Arial" w:eastAsia="仿宋_GB2312" w:hAnsi="Arial" w:cs="Arial"/>
          <w:bCs/>
          <w:sz w:val="18"/>
        </w:rPr>
        <w:t>估价报告编号：</w:t>
      </w:r>
      <w:r w:rsidR="008E4F13">
        <w:rPr>
          <w:rFonts w:ascii="Arial" w:eastAsia="仿宋_GB2312" w:hAnsi="Arial" w:cs="Arial"/>
          <w:bCs/>
          <w:sz w:val="18"/>
        </w:rPr>
        <w:t>2021-1-0606-</w:t>
      </w:r>
      <w:r w:rsidR="00831261">
        <w:rPr>
          <w:rFonts w:ascii="Arial" w:eastAsia="仿宋_GB2312" w:hAnsi="Arial" w:cs="Arial"/>
          <w:bCs/>
          <w:sz w:val="18"/>
        </w:rPr>
        <w:t>F02</w:t>
      </w:r>
      <w:r w:rsidR="008E4F13">
        <w:rPr>
          <w:rFonts w:ascii="Arial" w:eastAsia="仿宋_GB2312" w:hAnsi="Arial" w:cs="Arial"/>
          <w:bCs/>
          <w:sz w:val="18"/>
        </w:rPr>
        <w:t>TDCR6</w:t>
      </w:r>
      <w:r w:rsidRPr="00F631FB">
        <w:rPr>
          <w:rFonts w:ascii="Arial" w:eastAsia="仿宋_GB2312" w:hAnsi="Arial" w:cs="Arial"/>
          <w:bCs/>
          <w:sz w:val="18"/>
        </w:rPr>
        <w:t xml:space="preserve">    </w:t>
      </w:r>
      <w:r w:rsidRPr="00F631FB">
        <w:rPr>
          <w:rFonts w:ascii="Arial" w:eastAsia="仿宋_GB2312" w:hAnsi="Arial" w:cs="Arial"/>
          <w:bCs/>
          <w:sz w:val="18"/>
        </w:rPr>
        <w:t>估价期日：</w:t>
      </w:r>
      <w:r w:rsidR="006650F1">
        <w:rPr>
          <w:rFonts w:ascii="Arial" w:eastAsia="仿宋_GB2312" w:hAnsi="Arial" w:cs="Arial"/>
          <w:bCs/>
          <w:sz w:val="18"/>
        </w:rPr>
        <w:t>2021</w:t>
      </w:r>
      <w:r w:rsidR="006650F1">
        <w:rPr>
          <w:rFonts w:ascii="Arial" w:eastAsia="仿宋_GB2312" w:hAnsi="Arial" w:cs="Arial"/>
          <w:bCs/>
          <w:sz w:val="18"/>
        </w:rPr>
        <w:t>年</w:t>
      </w:r>
      <w:r w:rsidR="006650F1">
        <w:rPr>
          <w:rFonts w:ascii="Arial" w:eastAsia="仿宋_GB2312" w:hAnsi="Arial" w:cs="Arial"/>
          <w:bCs/>
          <w:sz w:val="18"/>
        </w:rPr>
        <w:t>10</w:t>
      </w:r>
      <w:r w:rsidR="006650F1">
        <w:rPr>
          <w:rFonts w:ascii="Arial" w:eastAsia="仿宋_GB2312" w:hAnsi="Arial" w:cs="Arial"/>
          <w:bCs/>
          <w:sz w:val="18"/>
        </w:rPr>
        <w:t>月</w:t>
      </w:r>
      <w:r w:rsidR="006650F1">
        <w:rPr>
          <w:rFonts w:ascii="Arial" w:eastAsia="仿宋_GB2312" w:hAnsi="Arial" w:cs="Arial"/>
          <w:bCs/>
          <w:sz w:val="18"/>
        </w:rPr>
        <w:t>15</w:t>
      </w:r>
      <w:r w:rsidR="006650F1">
        <w:rPr>
          <w:rFonts w:ascii="Arial" w:eastAsia="仿宋_GB2312" w:hAnsi="Arial" w:cs="Arial"/>
          <w:bCs/>
          <w:sz w:val="18"/>
        </w:rPr>
        <w:t>日</w:t>
      </w:r>
      <w:r w:rsidRPr="00F631FB">
        <w:rPr>
          <w:rFonts w:ascii="Arial" w:eastAsia="仿宋_GB2312" w:hAnsi="Arial" w:cs="Arial"/>
          <w:bCs/>
          <w:sz w:val="18"/>
        </w:rPr>
        <w:t xml:space="preserve">   </w:t>
      </w:r>
      <w:r w:rsidRPr="00F631FB">
        <w:rPr>
          <w:rFonts w:ascii="Arial" w:eastAsia="仿宋_GB2312" w:hAnsi="Arial" w:cs="Arial"/>
          <w:bCs/>
          <w:sz w:val="18"/>
        </w:rPr>
        <w:t>估价期日的国有建设用地使用权性质：拟出让</w:t>
      </w:r>
    </w:p>
    <w:tbl>
      <w:tblPr>
        <w:tblW w:w="5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25"/>
        <w:gridCol w:w="710"/>
        <w:gridCol w:w="425"/>
        <w:gridCol w:w="710"/>
        <w:gridCol w:w="707"/>
        <w:gridCol w:w="710"/>
        <w:gridCol w:w="425"/>
        <w:gridCol w:w="425"/>
        <w:gridCol w:w="425"/>
        <w:gridCol w:w="710"/>
        <w:gridCol w:w="579"/>
        <w:gridCol w:w="710"/>
        <w:gridCol w:w="992"/>
        <w:gridCol w:w="995"/>
        <w:gridCol w:w="849"/>
        <w:gridCol w:w="1274"/>
        <w:gridCol w:w="849"/>
        <w:gridCol w:w="1277"/>
        <w:gridCol w:w="1268"/>
      </w:tblGrid>
      <w:tr w:rsidR="0077205E" w:rsidRPr="006B33D2" w14:paraId="49328722" w14:textId="77777777" w:rsidTr="0077205E">
        <w:trPr>
          <w:cantSplit/>
          <w:trHeight w:val="780"/>
          <w:jc w:val="center"/>
        </w:trPr>
        <w:tc>
          <w:tcPr>
            <w:tcW w:w="232" w:type="pct"/>
            <w:vMerge w:val="restart"/>
            <w:vAlign w:val="center"/>
          </w:tcPr>
          <w:p w14:paraId="0EC6E91E"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估价期日土地使用者</w:t>
            </w:r>
          </w:p>
        </w:tc>
        <w:tc>
          <w:tcPr>
            <w:tcW w:w="140" w:type="pct"/>
            <w:vMerge w:val="restart"/>
            <w:vAlign w:val="center"/>
          </w:tcPr>
          <w:p w14:paraId="7FE9EDED"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宗地编号</w:t>
            </w:r>
          </w:p>
        </w:tc>
        <w:tc>
          <w:tcPr>
            <w:tcW w:w="234" w:type="pct"/>
            <w:vMerge w:val="restart"/>
            <w:vAlign w:val="center"/>
          </w:tcPr>
          <w:p w14:paraId="4C59889F"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宗地名称</w:t>
            </w:r>
          </w:p>
        </w:tc>
        <w:tc>
          <w:tcPr>
            <w:tcW w:w="140" w:type="pct"/>
            <w:vMerge w:val="restart"/>
            <w:vAlign w:val="center"/>
          </w:tcPr>
          <w:p w14:paraId="21DB086A"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土地使用证编号</w:t>
            </w:r>
          </w:p>
        </w:tc>
        <w:tc>
          <w:tcPr>
            <w:tcW w:w="701" w:type="pct"/>
            <w:gridSpan w:val="3"/>
            <w:tcBorders>
              <w:bottom w:val="single" w:sz="4" w:space="0" w:color="auto"/>
            </w:tcBorders>
            <w:vAlign w:val="center"/>
          </w:tcPr>
          <w:p w14:paraId="6ADE9D60" w14:textId="77777777" w:rsidR="001657C9" w:rsidRPr="006B33D2" w:rsidRDefault="001657C9" w:rsidP="00160C1F">
            <w:pPr>
              <w:spacing w:line="240" w:lineRule="auto"/>
              <w:ind w:rightChars="-45" w:right="-108"/>
              <w:jc w:val="center"/>
              <w:rPr>
                <w:rFonts w:ascii="Arial" w:eastAsia="仿宋_GB2312" w:hAnsi="Arial" w:cs="Arial"/>
                <w:bCs/>
                <w:sz w:val="18"/>
                <w:szCs w:val="18"/>
              </w:rPr>
            </w:pPr>
            <w:r w:rsidRPr="006B33D2">
              <w:rPr>
                <w:rFonts w:ascii="Arial" w:eastAsia="仿宋_GB2312" w:hAnsi="Arial" w:cs="Arial"/>
                <w:bCs/>
                <w:sz w:val="18"/>
                <w:szCs w:val="18"/>
              </w:rPr>
              <w:t>估价期日的用途</w:t>
            </w:r>
          </w:p>
        </w:tc>
        <w:tc>
          <w:tcPr>
            <w:tcW w:w="420" w:type="pct"/>
            <w:gridSpan w:val="3"/>
            <w:vAlign w:val="center"/>
          </w:tcPr>
          <w:p w14:paraId="79486807"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容积率</w:t>
            </w:r>
          </w:p>
        </w:tc>
        <w:tc>
          <w:tcPr>
            <w:tcW w:w="234" w:type="pct"/>
            <w:vMerge w:val="restart"/>
            <w:vAlign w:val="center"/>
          </w:tcPr>
          <w:p w14:paraId="69CBD3FE"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估价期日的实际土地开发程度</w:t>
            </w:r>
          </w:p>
        </w:tc>
        <w:tc>
          <w:tcPr>
            <w:tcW w:w="191" w:type="pct"/>
            <w:vMerge w:val="restart"/>
            <w:vAlign w:val="center"/>
          </w:tcPr>
          <w:p w14:paraId="4B90B66D"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估价设定的土地开发程度</w:t>
            </w:r>
          </w:p>
        </w:tc>
        <w:tc>
          <w:tcPr>
            <w:tcW w:w="234" w:type="pct"/>
            <w:vMerge w:val="restart"/>
            <w:vAlign w:val="center"/>
          </w:tcPr>
          <w:p w14:paraId="09B356CE"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土地使用年限</w:t>
            </w:r>
            <w:r w:rsidRPr="006B33D2">
              <w:rPr>
                <w:rFonts w:ascii="Arial" w:eastAsia="仿宋_GB2312" w:hAnsi="Arial" w:cs="Arial"/>
                <w:bCs/>
                <w:sz w:val="18"/>
                <w:szCs w:val="18"/>
              </w:rPr>
              <w:t>/</w:t>
            </w:r>
            <w:r w:rsidRPr="006B33D2">
              <w:rPr>
                <w:rFonts w:ascii="Arial" w:eastAsia="仿宋_GB2312" w:hAnsi="Arial" w:cs="Arial"/>
                <w:bCs/>
                <w:sz w:val="18"/>
                <w:szCs w:val="18"/>
              </w:rPr>
              <w:t>年</w:t>
            </w:r>
          </w:p>
        </w:tc>
        <w:tc>
          <w:tcPr>
            <w:tcW w:w="327" w:type="pct"/>
            <w:vMerge w:val="restart"/>
            <w:vAlign w:val="center"/>
          </w:tcPr>
          <w:p w14:paraId="4015E332" w14:textId="6263C63B"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出让建设用地</w:t>
            </w:r>
            <w:r w:rsidRPr="006B33D2">
              <w:rPr>
                <w:rFonts w:ascii="Arial" w:eastAsia="仿宋_GB2312" w:hAnsi="Arial" w:cs="Arial"/>
                <w:bCs/>
                <w:sz w:val="18"/>
                <w:szCs w:val="18"/>
              </w:rPr>
              <w:t>面积</w:t>
            </w:r>
            <w:r w:rsidRPr="006B33D2">
              <w:rPr>
                <w:rFonts w:ascii="Arial" w:eastAsia="仿宋_GB2312" w:hAnsi="Arial" w:cs="Arial"/>
                <w:bCs/>
                <w:sz w:val="18"/>
                <w:szCs w:val="18"/>
              </w:rPr>
              <w:t>/</w:t>
            </w:r>
            <w:r w:rsidRPr="006B33D2">
              <w:rPr>
                <w:rFonts w:ascii="Arial" w:hAnsi="Arial" w:cs="Arial"/>
                <w:bCs/>
                <w:sz w:val="18"/>
                <w:szCs w:val="18"/>
              </w:rPr>
              <w:t>㎡</w:t>
            </w:r>
          </w:p>
        </w:tc>
        <w:tc>
          <w:tcPr>
            <w:tcW w:w="328" w:type="pct"/>
            <w:vMerge w:val="restart"/>
            <w:vAlign w:val="center"/>
          </w:tcPr>
          <w:p w14:paraId="22B9BE25" w14:textId="1FE5764A"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出让</w:t>
            </w:r>
            <w:r w:rsidRPr="006B33D2">
              <w:rPr>
                <w:rFonts w:ascii="Arial" w:eastAsia="仿宋_GB2312" w:hAnsi="Arial" w:cs="Arial"/>
                <w:bCs/>
                <w:sz w:val="18"/>
                <w:szCs w:val="18"/>
              </w:rPr>
              <w:t>建筑面积</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p>
        </w:tc>
        <w:tc>
          <w:tcPr>
            <w:tcW w:w="280" w:type="pct"/>
            <w:vMerge w:val="restart"/>
            <w:vAlign w:val="center"/>
          </w:tcPr>
          <w:p w14:paraId="714790FF"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楼面地价</w:t>
            </w:r>
            <w:r w:rsidRPr="006B33D2">
              <w:rPr>
                <w:rFonts w:ascii="Arial" w:eastAsia="仿宋_GB2312" w:hAnsi="Arial" w:cs="Arial"/>
                <w:bCs/>
                <w:sz w:val="18"/>
                <w:szCs w:val="18"/>
              </w:rPr>
              <w:t>/</w:t>
            </w:r>
            <w:r w:rsidRPr="006B33D2">
              <w:rPr>
                <w:rFonts w:ascii="Arial" w:eastAsia="仿宋_GB2312" w:hAnsi="Arial" w:cs="Arial"/>
                <w:bCs/>
                <w:sz w:val="18"/>
                <w:szCs w:val="18"/>
              </w:rPr>
              <w:t>元</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p>
        </w:tc>
        <w:tc>
          <w:tcPr>
            <w:tcW w:w="420" w:type="pct"/>
            <w:vMerge w:val="restart"/>
            <w:vAlign w:val="center"/>
          </w:tcPr>
          <w:p w14:paraId="202DF88A" w14:textId="43B582C2"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熟地总价（万元）</w:t>
            </w:r>
          </w:p>
        </w:tc>
        <w:tc>
          <w:tcPr>
            <w:tcW w:w="280" w:type="pct"/>
            <w:vMerge w:val="restart"/>
            <w:vAlign w:val="center"/>
          </w:tcPr>
          <w:p w14:paraId="2274B9AF" w14:textId="2566250B"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政府土地出让收益单价（元</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r w:rsidRPr="006B33D2">
              <w:rPr>
                <w:rFonts w:ascii="Arial" w:eastAsia="仿宋_GB2312" w:hAnsi="Arial" w:cs="Arial"/>
                <w:bCs/>
                <w:sz w:val="18"/>
                <w:szCs w:val="18"/>
              </w:rPr>
              <w:t>）</w:t>
            </w:r>
          </w:p>
        </w:tc>
        <w:tc>
          <w:tcPr>
            <w:tcW w:w="421" w:type="pct"/>
            <w:vMerge w:val="restart"/>
            <w:vAlign w:val="center"/>
          </w:tcPr>
          <w:p w14:paraId="5E0FC655" w14:textId="5AA7E54B"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政府土地出让收益总价（万元）</w:t>
            </w:r>
          </w:p>
        </w:tc>
        <w:tc>
          <w:tcPr>
            <w:tcW w:w="418" w:type="pct"/>
            <w:vMerge w:val="restart"/>
            <w:vAlign w:val="center"/>
          </w:tcPr>
          <w:p w14:paraId="61926B7D" w14:textId="0E05BB43"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需</w:t>
            </w:r>
            <w:r w:rsidR="00546EFE">
              <w:rPr>
                <w:rFonts w:ascii="Arial" w:eastAsia="仿宋_GB2312" w:hAnsi="Arial" w:cs="Arial" w:hint="eastAsia"/>
                <w:bCs/>
                <w:sz w:val="18"/>
                <w:szCs w:val="18"/>
              </w:rPr>
              <w:t>缴纳</w:t>
            </w:r>
            <w:r w:rsidRPr="006B33D2">
              <w:rPr>
                <w:rFonts w:ascii="Arial" w:eastAsia="仿宋_GB2312" w:hAnsi="Arial" w:cs="Arial" w:hint="eastAsia"/>
                <w:bCs/>
                <w:sz w:val="18"/>
                <w:szCs w:val="18"/>
              </w:rPr>
              <w:t>地价款</w:t>
            </w:r>
            <w:r w:rsidRPr="006B33D2">
              <w:rPr>
                <w:rFonts w:ascii="Arial" w:eastAsia="仿宋_GB2312" w:hAnsi="Arial" w:cs="Arial"/>
                <w:bCs/>
                <w:sz w:val="18"/>
                <w:szCs w:val="18"/>
              </w:rPr>
              <w:t>（万元）</w:t>
            </w:r>
          </w:p>
        </w:tc>
      </w:tr>
      <w:tr w:rsidR="0077205E" w:rsidRPr="006B33D2" w14:paraId="5FAFF9B8" w14:textId="77777777" w:rsidTr="0077205E">
        <w:trPr>
          <w:cantSplit/>
          <w:trHeight w:val="1369"/>
          <w:jc w:val="center"/>
        </w:trPr>
        <w:tc>
          <w:tcPr>
            <w:tcW w:w="232" w:type="pct"/>
            <w:vMerge/>
            <w:tcBorders>
              <w:bottom w:val="single" w:sz="4" w:space="0" w:color="auto"/>
            </w:tcBorders>
            <w:vAlign w:val="center"/>
          </w:tcPr>
          <w:p w14:paraId="3276EC55" w14:textId="77777777" w:rsidR="001657C9" w:rsidRPr="006B33D2" w:rsidRDefault="001657C9" w:rsidP="00160C1F">
            <w:pPr>
              <w:spacing w:line="240" w:lineRule="auto"/>
              <w:jc w:val="center"/>
              <w:rPr>
                <w:rFonts w:ascii="Arial" w:eastAsia="仿宋_GB2312" w:hAnsi="Arial" w:cs="Arial"/>
                <w:bCs/>
                <w:sz w:val="18"/>
                <w:szCs w:val="18"/>
              </w:rPr>
            </w:pPr>
          </w:p>
        </w:tc>
        <w:tc>
          <w:tcPr>
            <w:tcW w:w="140" w:type="pct"/>
            <w:vMerge/>
            <w:tcBorders>
              <w:bottom w:val="single" w:sz="4" w:space="0" w:color="auto"/>
            </w:tcBorders>
            <w:vAlign w:val="center"/>
          </w:tcPr>
          <w:p w14:paraId="17554F93" w14:textId="77777777" w:rsidR="001657C9" w:rsidRPr="006B33D2" w:rsidRDefault="001657C9" w:rsidP="00160C1F">
            <w:pPr>
              <w:spacing w:line="240" w:lineRule="auto"/>
              <w:jc w:val="center"/>
              <w:rPr>
                <w:rFonts w:ascii="Arial" w:eastAsia="仿宋_GB2312" w:hAnsi="Arial" w:cs="Arial"/>
                <w:bCs/>
                <w:sz w:val="18"/>
                <w:szCs w:val="18"/>
              </w:rPr>
            </w:pPr>
          </w:p>
        </w:tc>
        <w:tc>
          <w:tcPr>
            <w:tcW w:w="234" w:type="pct"/>
            <w:vMerge/>
            <w:tcBorders>
              <w:bottom w:val="single" w:sz="4" w:space="0" w:color="auto"/>
            </w:tcBorders>
            <w:vAlign w:val="center"/>
          </w:tcPr>
          <w:p w14:paraId="3EDA73F3" w14:textId="77777777" w:rsidR="001657C9" w:rsidRPr="006B33D2" w:rsidRDefault="001657C9" w:rsidP="00160C1F">
            <w:pPr>
              <w:spacing w:line="240" w:lineRule="auto"/>
              <w:jc w:val="center"/>
              <w:rPr>
                <w:rFonts w:ascii="Arial" w:eastAsia="仿宋_GB2312" w:hAnsi="Arial" w:cs="Arial"/>
                <w:bCs/>
                <w:sz w:val="18"/>
                <w:szCs w:val="18"/>
              </w:rPr>
            </w:pPr>
          </w:p>
        </w:tc>
        <w:tc>
          <w:tcPr>
            <w:tcW w:w="140" w:type="pct"/>
            <w:vMerge/>
            <w:tcBorders>
              <w:bottom w:val="single" w:sz="4" w:space="0" w:color="auto"/>
            </w:tcBorders>
            <w:vAlign w:val="center"/>
          </w:tcPr>
          <w:p w14:paraId="5D9EF7EF" w14:textId="77777777" w:rsidR="001657C9" w:rsidRPr="006B33D2" w:rsidRDefault="001657C9" w:rsidP="00160C1F">
            <w:pPr>
              <w:spacing w:line="240" w:lineRule="auto"/>
              <w:jc w:val="center"/>
              <w:rPr>
                <w:rFonts w:ascii="Arial" w:eastAsia="仿宋_GB2312" w:hAnsi="Arial" w:cs="Arial"/>
                <w:bCs/>
                <w:sz w:val="18"/>
                <w:szCs w:val="18"/>
              </w:rPr>
            </w:pPr>
          </w:p>
        </w:tc>
        <w:tc>
          <w:tcPr>
            <w:tcW w:w="234" w:type="pct"/>
            <w:tcBorders>
              <w:bottom w:val="single" w:sz="4" w:space="0" w:color="auto"/>
            </w:tcBorders>
            <w:vAlign w:val="center"/>
          </w:tcPr>
          <w:p w14:paraId="369A70AE"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证载</w:t>
            </w:r>
          </w:p>
          <w:p w14:paraId="5DE1896B"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（或批准）</w:t>
            </w:r>
          </w:p>
        </w:tc>
        <w:tc>
          <w:tcPr>
            <w:tcW w:w="233" w:type="pct"/>
            <w:tcBorders>
              <w:bottom w:val="single" w:sz="4" w:space="0" w:color="auto"/>
            </w:tcBorders>
            <w:vAlign w:val="center"/>
          </w:tcPr>
          <w:p w14:paraId="3061AF47"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实际</w:t>
            </w:r>
          </w:p>
        </w:tc>
        <w:tc>
          <w:tcPr>
            <w:tcW w:w="234" w:type="pct"/>
            <w:tcBorders>
              <w:bottom w:val="single" w:sz="4" w:space="0" w:color="auto"/>
            </w:tcBorders>
            <w:vAlign w:val="center"/>
          </w:tcPr>
          <w:p w14:paraId="2E8E15BA" w14:textId="77777777" w:rsidR="001657C9" w:rsidRPr="006B33D2" w:rsidRDefault="001657C9" w:rsidP="00160C1F">
            <w:pPr>
              <w:spacing w:line="240" w:lineRule="auto"/>
              <w:ind w:rightChars="-45" w:right="-108"/>
              <w:jc w:val="center"/>
              <w:rPr>
                <w:rFonts w:ascii="Arial" w:eastAsia="仿宋_GB2312" w:hAnsi="Arial" w:cs="Arial"/>
                <w:bCs/>
                <w:sz w:val="18"/>
                <w:szCs w:val="18"/>
              </w:rPr>
            </w:pPr>
            <w:r w:rsidRPr="006B33D2">
              <w:rPr>
                <w:rFonts w:ascii="Arial" w:eastAsia="仿宋_GB2312" w:hAnsi="Arial" w:cs="Arial"/>
                <w:bCs/>
                <w:sz w:val="18"/>
                <w:szCs w:val="18"/>
              </w:rPr>
              <w:t>设定</w:t>
            </w:r>
          </w:p>
        </w:tc>
        <w:tc>
          <w:tcPr>
            <w:tcW w:w="140" w:type="pct"/>
            <w:tcBorders>
              <w:bottom w:val="single" w:sz="4" w:space="0" w:color="auto"/>
            </w:tcBorders>
            <w:vAlign w:val="center"/>
          </w:tcPr>
          <w:p w14:paraId="1BE45FBB"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规划</w:t>
            </w:r>
          </w:p>
        </w:tc>
        <w:tc>
          <w:tcPr>
            <w:tcW w:w="140" w:type="pct"/>
            <w:tcBorders>
              <w:bottom w:val="single" w:sz="4" w:space="0" w:color="auto"/>
            </w:tcBorders>
            <w:vAlign w:val="center"/>
          </w:tcPr>
          <w:p w14:paraId="233956A3"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实际</w:t>
            </w:r>
          </w:p>
        </w:tc>
        <w:tc>
          <w:tcPr>
            <w:tcW w:w="140" w:type="pct"/>
            <w:tcBorders>
              <w:bottom w:val="single" w:sz="4" w:space="0" w:color="auto"/>
            </w:tcBorders>
            <w:vAlign w:val="center"/>
          </w:tcPr>
          <w:p w14:paraId="69BD6C8D"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设定</w:t>
            </w:r>
          </w:p>
        </w:tc>
        <w:tc>
          <w:tcPr>
            <w:tcW w:w="234" w:type="pct"/>
            <w:vMerge/>
            <w:tcBorders>
              <w:bottom w:val="single" w:sz="4" w:space="0" w:color="auto"/>
            </w:tcBorders>
            <w:vAlign w:val="center"/>
          </w:tcPr>
          <w:p w14:paraId="22FA460D" w14:textId="77777777" w:rsidR="001657C9" w:rsidRPr="006B33D2" w:rsidRDefault="001657C9" w:rsidP="00160C1F">
            <w:pPr>
              <w:spacing w:line="240" w:lineRule="auto"/>
              <w:jc w:val="center"/>
              <w:rPr>
                <w:rFonts w:ascii="Arial" w:eastAsia="仿宋_GB2312" w:hAnsi="Arial" w:cs="Arial"/>
                <w:bCs/>
                <w:sz w:val="18"/>
                <w:szCs w:val="18"/>
              </w:rPr>
            </w:pPr>
          </w:p>
        </w:tc>
        <w:tc>
          <w:tcPr>
            <w:tcW w:w="191" w:type="pct"/>
            <w:vMerge/>
            <w:tcBorders>
              <w:bottom w:val="single" w:sz="4" w:space="0" w:color="auto"/>
            </w:tcBorders>
            <w:vAlign w:val="center"/>
          </w:tcPr>
          <w:p w14:paraId="765E189E" w14:textId="77777777" w:rsidR="001657C9" w:rsidRPr="006B33D2" w:rsidRDefault="001657C9" w:rsidP="00160C1F">
            <w:pPr>
              <w:spacing w:line="240" w:lineRule="auto"/>
              <w:jc w:val="center"/>
              <w:rPr>
                <w:rFonts w:ascii="Arial" w:eastAsia="仿宋_GB2312" w:hAnsi="Arial" w:cs="Arial"/>
                <w:bCs/>
                <w:sz w:val="18"/>
                <w:szCs w:val="18"/>
              </w:rPr>
            </w:pPr>
          </w:p>
        </w:tc>
        <w:tc>
          <w:tcPr>
            <w:tcW w:w="234" w:type="pct"/>
            <w:vMerge/>
            <w:tcBorders>
              <w:bottom w:val="single" w:sz="4" w:space="0" w:color="auto"/>
            </w:tcBorders>
            <w:vAlign w:val="center"/>
          </w:tcPr>
          <w:p w14:paraId="12E35292" w14:textId="77777777" w:rsidR="001657C9" w:rsidRPr="006B33D2" w:rsidRDefault="001657C9" w:rsidP="00160C1F">
            <w:pPr>
              <w:spacing w:line="240" w:lineRule="auto"/>
              <w:jc w:val="center"/>
              <w:rPr>
                <w:rFonts w:ascii="Arial" w:eastAsia="仿宋_GB2312" w:hAnsi="Arial" w:cs="Arial"/>
                <w:bCs/>
                <w:sz w:val="18"/>
                <w:szCs w:val="18"/>
              </w:rPr>
            </w:pPr>
          </w:p>
        </w:tc>
        <w:tc>
          <w:tcPr>
            <w:tcW w:w="327" w:type="pct"/>
            <w:vMerge/>
            <w:tcBorders>
              <w:bottom w:val="single" w:sz="4" w:space="0" w:color="auto"/>
            </w:tcBorders>
            <w:vAlign w:val="center"/>
          </w:tcPr>
          <w:p w14:paraId="35E3778B" w14:textId="77777777" w:rsidR="001657C9" w:rsidRPr="006B33D2" w:rsidRDefault="001657C9" w:rsidP="00160C1F">
            <w:pPr>
              <w:spacing w:line="240" w:lineRule="auto"/>
              <w:jc w:val="center"/>
              <w:rPr>
                <w:rFonts w:ascii="Arial" w:eastAsia="仿宋_GB2312" w:hAnsi="Arial" w:cs="Arial"/>
                <w:bCs/>
                <w:sz w:val="18"/>
                <w:szCs w:val="18"/>
              </w:rPr>
            </w:pPr>
          </w:p>
        </w:tc>
        <w:tc>
          <w:tcPr>
            <w:tcW w:w="328" w:type="pct"/>
            <w:vMerge/>
            <w:tcBorders>
              <w:bottom w:val="single" w:sz="4" w:space="0" w:color="auto"/>
            </w:tcBorders>
            <w:vAlign w:val="center"/>
          </w:tcPr>
          <w:p w14:paraId="726DD46D" w14:textId="77777777" w:rsidR="001657C9" w:rsidRPr="006B33D2" w:rsidRDefault="001657C9" w:rsidP="00160C1F">
            <w:pPr>
              <w:spacing w:line="240" w:lineRule="auto"/>
              <w:jc w:val="center"/>
              <w:rPr>
                <w:rFonts w:ascii="Arial" w:eastAsia="仿宋_GB2312" w:hAnsi="Arial" w:cs="Arial"/>
                <w:bCs/>
                <w:sz w:val="18"/>
                <w:szCs w:val="18"/>
              </w:rPr>
            </w:pPr>
          </w:p>
        </w:tc>
        <w:tc>
          <w:tcPr>
            <w:tcW w:w="280" w:type="pct"/>
            <w:vMerge/>
            <w:tcBorders>
              <w:bottom w:val="single" w:sz="4" w:space="0" w:color="auto"/>
            </w:tcBorders>
            <w:vAlign w:val="center"/>
          </w:tcPr>
          <w:p w14:paraId="69D1D7FA" w14:textId="77777777" w:rsidR="001657C9" w:rsidRPr="006B33D2" w:rsidRDefault="001657C9" w:rsidP="00160C1F">
            <w:pPr>
              <w:spacing w:line="240" w:lineRule="auto"/>
              <w:jc w:val="center"/>
              <w:rPr>
                <w:rFonts w:ascii="Arial" w:eastAsia="仿宋_GB2312" w:hAnsi="Arial" w:cs="Arial"/>
                <w:bCs/>
                <w:sz w:val="18"/>
                <w:szCs w:val="18"/>
              </w:rPr>
            </w:pPr>
          </w:p>
        </w:tc>
        <w:tc>
          <w:tcPr>
            <w:tcW w:w="420" w:type="pct"/>
            <w:vMerge/>
            <w:tcBorders>
              <w:bottom w:val="single" w:sz="4" w:space="0" w:color="auto"/>
            </w:tcBorders>
            <w:vAlign w:val="center"/>
          </w:tcPr>
          <w:p w14:paraId="2A0D627D" w14:textId="77777777" w:rsidR="001657C9" w:rsidRPr="006B33D2" w:rsidRDefault="001657C9" w:rsidP="00160C1F">
            <w:pPr>
              <w:spacing w:line="240" w:lineRule="auto"/>
              <w:jc w:val="center"/>
              <w:rPr>
                <w:rFonts w:ascii="Arial" w:eastAsia="仿宋_GB2312" w:hAnsi="Arial" w:cs="Arial"/>
                <w:bCs/>
                <w:sz w:val="18"/>
                <w:szCs w:val="18"/>
              </w:rPr>
            </w:pPr>
          </w:p>
        </w:tc>
        <w:tc>
          <w:tcPr>
            <w:tcW w:w="280" w:type="pct"/>
            <w:vMerge/>
            <w:tcBorders>
              <w:bottom w:val="single" w:sz="4" w:space="0" w:color="auto"/>
            </w:tcBorders>
            <w:vAlign w:val="center"/>
          </w:tcPr>
          <w:p w14:paraId="00C63C75" w14:textId="77777777" w:rsidR="001657C9" w:rsidRPr="006B33D2" w:rsidRDefault="001657C9" w:rsidP="00160C1F">
            <w:pPr>
              <w:spacing w:line="240" w:lineRule="auto"/>
              <w:jc w:val="center"/>
              <w:rPr>
                <w:rFonts w:ascii="Arial" w:eastAsia="仿宋_GB2312" w:hAnsi="Arial" w:cs="Arial"/>
                <w:bCs/>
                <w:sz w:val="18"/>
                <w:szCs w:val="18"/>
              </w:rPr>
            </w:pPr>
          </w:p>
        </w:tc>
        <w:tc>
          <w:tcPr>
            <w:tcW w:w="421" w:type="pct"/>
            <w:vMerge/>
            <w:tcBorders>
              <w:bottom w:val="single" w:sz="4" w:space="0" w:color="auto"/>
            </w:tcBorders>
            <w:vAlign w:val="center"/>
          </w:tcPr>
          <w:p w14:paraId="7931598C" w14:textId="77777777" w:rsidR="001657C9" w:rsidRPr="006B33D2" w:rsidRDefault="001657C9" w:rsidP="00160C1F">
            <w:pPr>
              <w:spacing w:line="240" w:lineRule="auto"/>
              <w:jc w:val="center"/>
              <w:rPr>
                <w:rFonts w:ascii="Arial" w:eastAsia="仿宋_GB2312" w:hAnsi="Arial" w:cs="Arial"/>
                <w:bCs/>
                <w:sz w:val="18"/>
                <w:szCs w:val="18"/>
              </w:rPr>
            </w:pPr>
          </w:p>
        </w:tc>
        <w:tc>
          <w:tcPr>
            <w:tcW w:w="418" w:type="pct"/>
            <w:vMerge/>
            <w:tcBorders>
              <w:bottom w:val="single" w:sz="4" w:space="0" w:color="auto"/>
            </w:tcBorders>
            <w:vAlign w:val="center"/>
          </w:tcPr>
          <w:p w14:paraId="325771A8" w14:textId="1E38841F" w:rsidR="001657C9" w:rsidRPr="006B33D2" w:rsidRDefault="001657C9" w:rsidP="00160C1F">
            <w:pPr>
              <w:spacing w:line="240" w:lineRule="auto"/>
              <w:jc w:val="center"/>
              <w:rPr>
                <w:rFonts w:ascii="Arial" w:eastAsia="仿宋_GB2312" w:hAnsi="Arial" w:cs="Arial"/>
                <w:bCs/>
                <w:sz w:val="18"/>
                <w:szCs w:val="18"/>
              </w:rPr>
            </w:pPr>
          </w:p>
        </w:tc>
      </w:tr>
      <w:tr w:rsidR="0077205E" w:rsidRPr="006B33D2" w14:paraId="116D9E57" w14:textId="77777777" w:rsidTr="0077205E">
        <w:trPr>
          <w:cantSplit/>
          <w:trHeight w:val="566"/>
          <w:jc w:val="center"/>
        </w:trPr>
        <w:tc>
          <w:tcPr>
            <w:tcW w:w="232" w:type="pct"/>
            <w:vMerge w:val="restart"/>
            <w:vAlign w:val="center"/>
          </w:tcPr>
          <w:p w14:paraId="7D0BF0D1" w14:textId="623BFCA7"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北京城投地下空间开发建设有限公司</w:t>
            </w:r>
          </w:p>
        </w:tc>
        <w:tc>
          <w:tcPr>
            <w:tcW w:w="140" w:type="pct"/>
            <w:vMerge w:val="restart"/>
            <w:vAlign w:val="center"/>
          </w:tcPr>
          <w:p w14:paraId="4E226E1F" w14:textId="4E309196" w:rsidR="001657C9" w:rsidRPr="006B33D2" w:rsidRDefault="001657C9" w:rsidP="001B31FD">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Merge w:val="restart"/>
            <w:vAlign w:val="center"/>
          </w:tcPr>
          <w:p w14:paraId="19E78031" w14:textId="544218BC"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北京市海淀区苏州街站一体化棚户区改造一次性招标项目</w:t>
            </w:r>
          </w:p>
        </w:tc>
        <w:tc>
          <w:tcPr>
            <w:tcW w:w="140" w:type="pct"/>
            <w:vMerge w:val="restart"/>
            <w:vAlign w:val="center"/>
          </w:tcPr>
          <w:p w14:paraId="612DA4FA" w14:textId="4C3A903D"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234" w:type="pct"/>
            <w:vMerge w:val="restart"/>
            <w:vAlign w:val="center"/>
          </w:tcPr>
          <w:p w14:paraId="2F1EE81B" w14:textId="601FF194"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R</w:t>
            </w:r>
            <w:r w:rsidRPr="006B33D2">
              <w:rPr>
                <w:rFonts w:ascii="Arial" w:eastAsia="仿宋_GB2312" w:hAnsi="Arial" w:cs="Arial"/>
                <w:bCs/>
                <w:sz w:val="18"/>
                <w:szCs w:val="18"/>
              </w:rPr>
              <w:t>2</w:t>
            </w:r>
            <w:proofErr w:type="gramStart"/>
            <w:r w:rsidRPr="006B33D2">
              <w:rPr>
                <w:rFonts w:ascii="Arial" w:eastAsia="仿宋_GB2312" w:hAnsi="Arial" w:cs="Arial" w:hint="eastAsia"/>
                <w:bCs/>
                <w:sz w:val="18"/>
                <w:szCs w:val="18"/>
              </w:rPr>
              <w:t>二</w:t>
            </w:r>
            <w:proofErr w:type="gramEnd"/>
            <w:r w:rsidRPr="006B33D2">
              <w:rPr>
                <w:rFonts w:ascii="Arial" w:eastAsia="仿宋_GB2312" w:hAnsi="Arial" w:cs="Arial" w:hint="eastAsia"/>
                <w:bCs/>
                <w:sz w:val="18"/>
                <w:szCs w:val="18"/>
              </w:rPr>
              <w:t>类居住用地</w:t>
            </w:r>
          </w:p>
        </w:tc>
        <w:tc>
          <w:tcPr>
            <w:tcW w:w="233" w:type="pct"/>
            <w:vAlign w:val="center"/>
          </w:tcPr>
          <w:p w14:paraId="4FBB331E" w14:textId="202BAFD5"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住宅</w:t>
            </w:r>
          </w:p>
        </w:tc>
        <w:tc>
          <w:tcPr>
            <w:tcW w:w="234" w:type="pct"/>
            <w:vAlign w:val="center"/>
          </w:tcPr>
          <w:p w14:paraId="5BA4E189" w14:textId="1153D362"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住宅</w:t>
            </w:r>
          </w:p>
        </w:tc>
        <w:tc>
          <w:tcPr>
            <w:tcW w:w="140" w:type="pct"/>
            <w:vMerge w:val="restart"/>
            <w:vAlign w:val="center"/>
          </w:tcPr>
          <w:p w14:paraId="7913AEA4" w14:textId="066BE97E"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140" w:type="pct"/>
            <w:vMerge w:val="restart"/>
            <w:vAlign w:val="center"/>
          </w:tcPr>
          <w:p w14:paraId="031FC729" w14:textId="74E94975"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140" w:type="pct"/>
            <w:vMerge w:val="restart"/>
            <w:vAlign w:val="center"/>
          </w:tcPr>
          <w:p w14:paraId="752833DA" w14:textId="34B400AB"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234" w:type="pct"/>
            <w:vMerge w:val="restart"/>
            <w:vAlign w:val="center"/>
          </w:tcPr>
          <w:p w14:paraId="225A28BD" w14:textId="3B46306A"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宗地外</w:t>
            </w:r>
            <w:r w:rsidRPr="006B33D2">
              <w:rPr>
                <w:rFonts w:ascii="Arial" w:eastAsia="仿宋_GB2312" w:hAnsi="Arial" w:cs="Arial"/>
                <w:bCs/>
                <w:sz w:val="18"/>
                <w:szCs w:val="18"/>
              </w:rPr>
              <w:t>“</w:t>
            </w:r>
            <w:r w:rsidRPr="006B33D2">
              <w:rPr>
                <w:rFonts w:ascii="Arial" w:eastAsia="仿宋_GB2312" w:hAnsi="Arial" w:cs="Arial"/>
                <w:bCs/>
                <w:sz w:val="18"/>
                <w:szCs w:val="18"/>
              </w:rPr>
              <w:t>七通</w:t>
            </w:r>
            <w:r w:rsidRPr="006B33D2">
              <w:rPr>
                <w:rFonts w:ascii="Arial" w:eastAsia="仿宋_GB2312" w:hAnsi="Arial" w:cs="Arial"/>
                <w:bCs/>
                <w:sz w:val="18"/>
                <w:szCs w:val="18"/>
              </w:rPr>
              <w:t>”</w:t>
            </w:r>
            <w:r w:rsidRPr="006B33D2">
              <w:rPr>
                <w:rFonts w:ascii="Arial" w:eastAsia="仿宋_GB2312" w:hAnsi="Arial" w:cs="Arial"/>
                <w:bCs/>
                <w:sz w:val="18"/>
                <w:szCs w:val="18"/>
              </w:rPr>
              <w:t>，宗地内建筑物正在进行结构施工</w:t>
            </w:r>
          </w:p>
        </w:tc>
        <w:tc>
          <w:tcPr>
            <w:tcW w:w="191" w:type="pct"/>
            <w:vMerge w:val="restart"/>
            <w:vAlign w:val="center"/>
          </w:tcPr>
          <w:p w14:paraId="77D98C7C" w14:textId="77777777"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宗地外</w:t>
            </w:r>
            <w:r w:rsidRPr="006B33D2">
              <w:rPr>
                <w:rFonts w:ascii="Arial" w:eastAsia="仿宋_GB2312" w:hAnsi="Arial" w:cs="Arial"/>
                <w:bCs/>
                <w:sz w:val="18"/>
                <w:szCs w:val="18"/>
              </w:rPr>
              <w:t>“</w:t>
            </w:r>
            <w:r w:rsidRPr="006B33D2">
              <w:rPr>
                <w:rFonts w:ascii="Arial" w:eastAsia="仿宋_GB2312" w:hAnsi="Arial" w:cs="Arial"/>
                <w:bCs/>
                <w:sz w:val="18"/>
                <w:szCs w:val="18"/>
              </w:rPr>
              <w:t>七通</w:t>
            </w:r>
            <w:r w:rsidRPr="006B33D2">
              <w:rPr>
                <w:rFonts w:ascii="Arial" w:eastAsia="仿宋_GB2312" w:hAnsi="Arial" w:cs="Arial"/>
                <w:bCs/>
                <w:sz w:val="18"/>
                <w:szCs w:val="18"/>
              </w:rPr>
              <w:t>”</w:t>
            </w:r>
            <w:r w:rsidRPr="006B33D2">
              <w:rPr>
                <w:rFonts w:ascii="Arial" w:eastAsia="仿宋_GB2312" w:hAnsi="Arial" w:cs="Arial"/>
                <w:bCs/>
                <w:sz w:val="18"/>
                <w:szCs w:val="18"/>
              </w:rPr>
              <w:t>，宗地内</w:t>
            </w:r>
            <w:r w:rsidRPr="006B33D2">
              <w:rPr>
                <w:rFonts w:ascii="Arial" w:eastAsia="仿宋_GB2312" w:hAnsi="Arial" w:cs="Arial"/>
                <w:bCs/>
                <w:sz w:val="18"/>
                <w:szCs w:val="18"/>
              </w:rPr>
              <w:t>“</w:t>
            </w:r>
            <w:r w:rsidRPr="006B33D2">
              <w:rPr>
                <w:rFonts w:ascii="Arial" w:eastAsia="仿宋_GB2312" w:hAnsi="Arial" w:cs="Arial"/>
                <w:bCs/>
                <w:sz w:val="18"/>
                <w:szCs w:val="18"/>
              </w:rPr>
              <w:t>场地平整</w:t>
            </w:r>
            <w:r w:rsidRPr="006B33D2">
              <w:rPr>
                <w:rFonts w:ascii="Arial" w:eastAsia="仿宋_GB2312" w:hAnsi="Arial" w:cs="Arial"/>
                <w:bCs/>
                <w:sz w:val="18"/>
                <w:szCs w:val="18"/>
              </w:rPr>
              <w:t>”</w:t>
            </w:r>
          </w:p>
        </w:tc>
        <w:tc>
          <w:tcPr>
            <w:tcW w:w="234" w:type="pct"/>
            <w:vAlign w:val="center"/>
          </w:tcPr>
          <w:p w14:paraId="6FEF693B" w14:textId="09F31907"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7</w:t>
            </w:r>
            <w:r w:rsidRPr="006B33D2">
              <w:rPr>
                <w:rFonts w:ascii="Arial" w:eastAsia="仿宋_GB2312" w:hAnsi="Arial" w:cs="Arial"/>
                <w:bCs/>
                <w:sz w:val="18"/>
                <w:szCs w:val="18"/>
              </w:rPr>
              <w:t>0</w:t>
            </w:r>
          </w:p>
        </w:tc>
        <w:tc>
          <w:tcPr>
            <w:tcW w:w="327" w:type="pct"/>
            <w:vMerge w:val="restart"/>
            <w:vAlign w:val="center"/>
          </w:tcPr>
          <w:p w14:paraId="4EA4E3C2" w14:textId="1372AD52"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6180.978</w:t>
            </w:r>
          </w:p>
        </w:tc>
        <w:tc>
          <w:tcPr>
            <w:tcW w:w="328" w:type="pct"/>
            <w:tcBorders>
              <w:left w:val="single" w:sz="4" w:space="0" w:color="auto"/>
            </w:tcBorders>
            <w:vAlign w:val="center"/>
          </w:tcPr>
          <w:p w14:paraId="26C275E6" w14:textId="34B7E0CC"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28075 </w:t>
            </w:r>
          </w:p>
        </w:tc>
        <w:tc>
          <w:tcPr>
            <w:tcW w:w="280" w:type="pct"/>
            <w:tcBorders>
              <w:left w:val="single" w:sz="4" w:space="0" w:color="auto"/>
              <w:right w:val="single" w:sz="4" w:space="0" w:color="auto"/>
            </w:tcBorders>
            <w:vAlign w:val="center"/>
          </w:tcPr>
          <w:p w14:paraId="4A6CE95B" w14:textId="54A97088" w:rsidR="001657C9" w:rsidRPr="006B33D2" w:rsidRDefault="000B7D55"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79598</w:t>
            </w:r>
            <w:r w:rsidR="001657C9"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25EEC570" w14:textId="4D5E00D7" w:rsidR="001657C9" w:rsidRPr="006B33D2" w:rsidRDefault="000B7D55"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223471.3850</w:t>
            </w:r>
          </w:p>
        </w:tc>
        <w:tc>
          <w:tcPr>
            <w:tcW w:w="280" w:type="pct"/>
            <w:tcBorders>
              <w:left w:val="single" w:sz="4" w:space="0" w:color="auto"/>
              <w:right w:val="single" w:sz="4" w:space="0" w:color="auto"/>
            </w:tcBorders>
            <w:vAlign w:val="center"/>
          </w:tcPr>
          <w:p w14:paraId="2E0EA0C5" w14:textId="6E00DA4B" w:rsidR="001657C9" w:rsidRPr="006B33D2" w:rsidRDefault="000B7D55"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19900</w:t>
            </w:r>
          </w:p>
        </w:tc>
        <w:tc>
          <w:tcPr>
            <w:tcW w:w="421" w:type="pct"/>
            <w:tcBorders>
              <w:left w:val="single" w:sz="4" w:space="0" w:color="auto"/>
              <w:right w:val="single" w:sz="4" w:space="0" w:color="auto"/>
            </w:tcBorders>
            <w:vAlign w:val="center"/>
          </w:tcPr>
          <w:p w14:paraId="7E3D11A5" w14:textId="6811A281" w:rsidR="001657C9" w:rsidRPr="006B33D2" w:rsidRDefault="000B7D55"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55869.2500</w:t>
            </w:r>
          </w:p>
        </w:tc>
        <w:tc>
          <w:tcPr>
            <w:tcW w:w="418" w:type="pct"/>
            <w:vMerge w:val="restart"/>
            <w:tcBorders>
              <w:left w:val="single" w:sz="4" w:space="0" w:color="auto"/>
            </w:tcBorders>
            <w:vAlign w:val="center"/>
          </w:tcPr>
          <w:p w14:paraId="4F412678" w14:textId="5173E0D0" w:rsidR="001657C9" w:rsidRPr="006B33D2" w:rsidRDefault="00443EF8" w:rsidP="006B33D2">
            <w:pPr>
              <w:spacing w:line="240" w:lineRule="auto"/>
              <w:jc w:val="center"/>
              <w:rPr>
                <w:rFonts w:ascii="Arial" w:eastAsia="仿宋_GB2312" w:hAnsi="Arial" w:cs="Arial"/>
                <w:bCs/>
                <w:sz w:val="18"/>
                <w:szCs w:val="18"/>
              </w:rPr>
            </w:pPr>
            <w:r>
              <w:rPr>
                <w:rFonts w:ascii="Arial" w:eastAsia="仿宋_GB2312" w:hAnsi="Arial" w:cs="Arial"/>
                <w:bCs/>
                <w:sz w:val="18"/>
                <w:szCs w:val="18"/>
              </w:rPr>
              <w:t>61093.2435</w:t>
            </w:r>
          </w:p>
        </w:tc>
      </w:tr>
      <w:tr w:rsidR="0077205E" w:rsidRPr="006B33D2" w14:paraId="6D7EAB16" w14:textId="77777777" w:rsidTr="0077205E">
        <w:trPr>
          <w:cantSplit/>
          <w:trHeight w:val="546"/>
          <w:jc w:val="center"/>
        </w:trPr>
        <w:tc>
          <w:tcPr>
            <w:tcW w:w="232" w:type="pct"/>
            <w:vMerge/>
            <w:vAlign w:val="center"/>
          </w:tcPr>
          <w:p w14:paraId="472C232D"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034E4826" w14:textId="77777777" w:rsidR="001657C9" w:rsidRPr="006B33D2" w:rsidRDefault="001657C9" w:rsidP="001B31FD">
            <w:pPr>
              <w:spacing w:line="240" w:lineRule="auto"/>
              <w:jc w:val="center"/>
              <w:rPr>
                <w:rFonts w:ascii="Arial" w:hAnsi="Arial" w:cs="Arial"/>
                <w:bCs/>
                <w:sz w:val="18"/>
                <w:szCs w:val="18"/>
              </w:rPr>
            </w:pPr>
          </w:p>
        </w:tc>
        <w:tc>
          <w:tcPr>
            <w:tcW w:w="234" w:type="pct"/>
            <w:vMerge/>
            <w:vAlign w:val="center"/>
          </w:tcPr>
          <w:p w14:paraId="6D328243"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45BC47D7"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Merge/>
            <w:vAlign w:val="center"/>
          </w:tcPr>
          <w:p w14:paraId="631CEB7B" w14:textId="77777777" w:rsidR="001657C9" w:rsidRPr="006B33D2" w:rsidRDefault="001657C9" w:rsidP="001B31FD">
            <w:pPr>
              <w:spacing w:line="240" w:lineRule="auto"/>
              <w:jc w:val="center"/>
              <w:rPr>
                <w:rFonts w:ascii="Arial" w:eastAsia="仿宋_GB2312" w:hAnsi="Arial" w:cs="Arial"/>
                <w:bCs/>
                <w:sz w:val="18"/>
                <w:szCs w:val="18"/>
              </w:rPr>
            </w:pPr>
          </w:p>
        </w:tc>
        <w:tc>
          <w:tcPr>
            <w:tcW w:w="233" w:type="pct"/>
            <w:vAlign w:val="center"/>
          </w:tcPr>
          <w:p w14:paraId="6782A87F" w14:textId="21AF6C7E"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商业</w:t>
            </w:r>
          </w:p>
        </w:tc>
        <w:tc>
          <w:tcPr>
            <w:tcW w:w="234" w:type="pct"/>
            <w:vAlign w:val="center"/>
          </w:tcPr>
          <w:p w14:paraId="1A86EFAC" w14:textId="57E11E15"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商业</w:t>
            </w:r>
          </w:p>
        </w:tc>
        <w:tc>
          <w:tcPr>
            <w:tcW w:w="140" w:type="pct"/>
            <w:vMerge/>
            <w:vAlign w:val="center"/>
          </w:tcPr>
          <w:p w14:paraId="45A563AA"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74ED43DA"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4D50ECE5"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Merge/>
            <w:vAlign w:val="center"/>
          </w:tcPr>
          <w:p w14:paraId="349CD9D8" w14:textId="77777777" w:rsidR="001657C9" w:rsidRPr="006B33D2" w:rsidRDefault="001657C9" w:rsidP="001B31FD">
            <w:pPr>
              <w:spacing w:line="240" w:lineRule="auto"/>
              <w:jc w:val="center"/>
              <w:rPr>
                <w:rFonts w:ascii="Arial" w:eastAsia="仿宋_GB2312" w:hAnsi="Arial" w:cs="Arial"/>
                <w:bCs/>
                <w:sz w:val="18"/>
                <w:szCs w:val="18"/>
              </w:rPr>
            </w:pPr>
          </w:p>
        </w:tc>
        <w:tc>
          <w:tcPr>
            <w:tcW w:w="191" w:type="pct"/>
            <w:vMerge/>
            <w:vAlign w:val="center"/>
          </w:tcPr>
          <w:p w14:paraId="005E0658"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Align w:val="center"/>
          </w:tcPr>
          <w:p w14:paraId="32260D66" w14:textId="6C7514BE"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4</w:t>
            </w:r>
            <w:r w:rsidRPr="006B33D2">
              <w:rPr>
                <w:rFonts w:ascii="Arial" w:eastAsia="仿宋_GB2312" w:hAnsi="Arial" w:cs="Arial"/>
                <w:bCs/>
                <w:sz w:val="18"/>
                <w:szCs w:val="18"/>
              </w:rPr>
              <w:t>0</w:t>
            </w:r>
          </w:p>
        </w:tc>
        <w:tc>
          <w:tcPr>
            <w:tcW w:w="327" w:type="pct"/>
            <w:vMerge/>
            <w:vAlign w:val="center"/>
          </w:tcPr>
          <w:p w14:paraId="78DCDB11" w14:textId="77777777" w:rsidR="001657C9" w:rsidRPr="006B33D2" w:rsidRDefault="001657C9" w:rsidP="001B31FD">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4BCD21AC" w14:textId="0D37D159"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3318 </w:t>
            </w:r>
          </w:p>
        </w:tc>
        <w:tc>
          <w:tcPr>
            <w:tcW w:w="280" w:type="pct"/>
            <w:tcBorders>
              <w:left w:val="single" w:sz="4" w:space="0" w:color="auto"/>
              <w:right w:val="single" w:sz="4" w:space="0" w:color="auto"/>
            </w:tcBorders>
            <w:vAlign w:val="center"/>
          </w:tcPr>
          <w:p w14:paraId="489247B8" w14:textId="4B449549" w:rsidR="001657C9" w:rsidRPr="006B33D2" w:rsidRDefault="000B7D55"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30853</w:t>
            </w:r>
            <w:r w:rsidR="001657C9"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62CF96C3" w14:textId="583F9FD2" w:rsidR="001657C9" w:rsidRPr="006B33D2" w:rsidRDefault="000B7D55"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10237.0254</w:t>
            </w:r>
          </w:p>
        </w:tc>
        <w:tc>
          <w:tcPr>
            <w:tcW w:w="280" w:type="pct"/>
            <w:tcBorders>
              <w:left w:val="single" w:sz="4" w:space="0" w:color="auto"/>
              <w:right w:val="single" w:sz="4" w:space="0" w:color="auto"/>
            </w:tcBorders>
            <w:vAlign w:val="center"/>
          </w:tcPr>
          <w:p w14:paraId="16090F0E" w14:textId="66A16888" w:rsidR="001657C9" w:rsidRPr="006B33D2" w:rsidRDefault="000B7D55"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7713</w:t>
            </w:r>
          </w:p>
        </w:tc>
        <w:tc>
          <w:tcPr>
            <w:tcW w:w="421" w:type="pct"/>
            <w:tcBorders>
              <w:left w:val="single" w:sz="4" w:space="0" w:color="auto"/>
              <w:right w:val="single" w:sz="4" w:space="0" w:color="auto"/>
            </w:tcBorders>
            <w:vAlign w:val="center"/>
          </w:tcPr>
          <w:p w14:paraId="714D25EE" w14:textId="588A65DD" w:rsidR="001657C9" w:rsidRPr="006B33D2" w:rsidRDefault="000B7D55"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2559.1734</w:t>
            </w:r>
          </w:p>
        </w:tc>
        <w:tc>
          <w:tcPr>
            <w:tcW w:w="418" w:type="pct"/>
            <w:vMerge/>
            <w:tcBorders>
              <w:left w:val="single" w:sz="4" w:space="0" w:color="auto"/>
            </w:tcBorders>
            <w:vAlign w:val="center"/>
          </w:tcPr>
          <w:p w14:paraId="2ED6476B" w14:textId="07DAD5EA" w:rsidR="001657C9" w:rsidRPr="006B33D2" w:rsidRDefault="001657C9" w:rsidP="001B31FD">
            <w:pPr>
              <w:spacing w:line="240" w:lineRule="auto"/>
              <w:jc w:val="center"/>
              <w:rPr>
                <w:rFonts w:ascii="Arial" w:eastAsia="仿宋_GB2312" w:hAnsi="Arial" w:cs="Arial"/>
                <w:bCs/>
                <w:sz w:val="18"/>
                <w:szCs w:val="18"/>
              </w:rPr>
            </w:pPr>
          </w:p>
        </w:tc>
      </w:tr>
      <w:tr w:rsidR="0077205E" w:rsidRPr="006B33D2" w14:paraId="6810FF04" w14:textId="77777777" w:rsidTr="0077205E">
        <w:trPr>
          <w:cantSplit/>
          <w:trHeight w:val="568"/>
          <w:jc w:val="center"/>
        </w:trPr>
        <w:tc>
          <w:tcPr>
            <w:tcW w:w="232" w:type="pct"/>
            <w:vMerge/>
            <w:vAlign w:val="center"/>
          </w:tcPr>
          <w:p w14:paraId="2F765551"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69B3D4AC" w14:textId="77777777" w:rsidR="001657C9" w:rsidRPr="006B33D2" w:rsidRDefault="001657C9" w:rsidP="001B31FD">
            <w:pPr>
              <w:spacing w:line="240" w:lineRule="auto"/>
              <w:jc w:val="center"/>
              <w:rPr>
                <w:rFonts w:ascii="Arial" w:hAnsi="Arial" w:cs="Arial"/>
                <w:bCs/>
                <w:sz w:val="18"/>
                <w:szCs w:val="18"/>
              </w:rPr>
            </w:pPr>
          </w:p>
        </w:tc>
        <w:tc>
          <w:tcPr>
            <w:tcW w:w="234" w:type="pct"/>
            <w:vMerge/>
            <w:vAlign w:val="center"/>
          </w:tcPr>
          <w:p w14:paraId="32F2B8EE"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24AD5243"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Merge/>
            <w:vAlign w:val="center"/>
          </w:tcPr>
          <w:p w14:paraId="283998FA" w14:textId="77777777" w:rsidR="001657C9" w:rsidRPr="006B33D2" w:rsidRDefault="001657C9" w:rsidP="001B31FD">
            <w:pPr>
              <w:spacing w:line="240" w:lineRule="auto"/>
              <w:jc w:val="center"/>
              <w:rPr>
                <w:rFonts w:ascii="Arial" w:eastAsia="仿宋_GB2312" w:hAnsi="Arial" w:cs="Arial"/>
                <w:bCs/>
                <w:sz w:val="18"/>
                <w:szCs w:val="18"/>
              </w:rPr>
            </w:pPr>
          </w:p>
        </w:tc>
        <w:tc>
          <w:tcPr>
            <w:tcW w:w="233" w:type="pct"/>
            <w:vAlign w:val="center"/>
          </w:tcPr>
          <w:p w14:paraId="44AE70FB" w14:textId="28740597"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办公</w:t>
            </w:r>
          </w:p>
        </w:tc>
        <w:tc>
          <w:tcPr>
            <w:tcW w:w="234" w:type="pct"/>
            <w:vAlign w:val="center"/>
          </w:tcPr>
          <w:p w14:paraId="733135EE" w14:textId="724BF068"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办公</w:t>
            </w:r>
          </w:p>
        </w:tc>
        <w:tc>
          <w:tcPr>
            <w:tcW w:w="140" w:type="pct"/>
            <w:vMerge/>
            <w:vAlign w:val="center"/>
          </w:tcPr>
          <w:p w14:paraId="41EEE91E"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0571EEE8"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7EE6E6EF"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Merge/>
            <w:vAlign w:val="center"/>
          </w:tcPr>
          <w:p w14:paraId="7B3668EA" w14:textId="77777777" w:rsidR="001657C9" w:rsidRPr="006B33D2" w:rsidRDefault="001657C9" w:rsidP="001B31FD">
            <w:pPr>
              <w:spacing w:line="240" w:lineRule="auto"/>
              <w:jc w:val="center"/>
              <w:rPr>
                <w:rFonts w:ascii="Arial" w:eastAsia="仿宋_GB2312" w:hAnsi="Arial" w:cs="Arial"/>
                <w:bCs/>
                <w:sz w:val="18"/>
                <w:szCs w:val="18"/>
              </w:rPr>
            </w:pPr>
          </w:p>
        </w:tc>
        <w:tc>
          <w:tcPr>
            <w:tcW w:w="191" w:type="pct"/>
            <w:vMerge/>
            <w:vAlign w:val="center"/>
          </w:tcPr>
          <w:p w14:paraId="7163D037"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Align w:val="center"/>
          </w:tcPr>
          <w:p w14:paraId="1D37CDE3" w14:textId="20AB5B69"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00E23358" w14:textId="77777777" w:rsidR="001657C9" w:rsidRPr="006B33D2" w:rsidRDefault="001657C9" w:rsidP="001B31FD">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00D85B17" w14:textId="3166F1A4"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118 </w:t>
            </w:r>
          </w:p>
        </w:tc>
        <w:tc>
          <w:tcPr>
            <w:tcW w:w="280" w:type="pct"/>
            <w:tcBorders>
              <w:left w:val="single" w:sz="4" w:space="0" w:color="auto"/>
              <w:right w:val="single" w:sz="4" w:space="0" w:color="auto"/>
            </w:tcBorders>
            <w:vAlign w:val="center"/>
          </w:tcPr>
          <w:p w14:paraId="1D018A4C" w14:textId="5B0C1385" w:rsidR="001657C9" w:rsidRPr="006B33D2" w:rsidRDefault="000B7D55"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30708</w:t>
            </w:r>
          </w:p>
        </w:tc>
        <w:tc>
          <w:tcPr>
            <w:tcW w:w="420" w:type="pct"/>
            <w:tcBorders>
              <w:left w:val="single" w:sz="4" w:space="0" w:color="auto"/>
              <w:right w:val="single" w:sz="4" w:space="0" w:color="auto"/>
            </w:tcBorders>
            <w:vAlign w:val="center"/>
          </w:tcPr>
          <w:p w14:paraId="7968CE49" w14:textId="220BF6C2" w:rsidR="001657C9" w:rsidRPr="006B33D2" w:rsidRDefault="000B7D55"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362.3544</w:t>
            </w:r>
          </w:p>
        </w:tc>
        <w:tc>
          <w:tcPr>
            <w:tcW w:w="280" w:type="pct"/>
            <w:tcBorders>
              <w:left w:val="single" w:sz="4" w:space="0" w:color="auto"/>
              <w:right w:val="single" w:sz="4" w:space="0" w:color="auto"/>
            </w:tcBorders>
            <w:vAlign w:val="center"/>
          </w:tcPr>
          <w:p w14:paraId="52366640" w14:textId="4A0EC752" w:rsidR="001657C9" w:rsidRPr="006B33D2" w:rsidRDefault="000B7D55"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7677</w:t>
            </w:r>
          </w:p>
        </w:tc>
        <w:tc>
          <w:tcPr>
            <w:tcW w:w="421" w:type="pct"/>
            <w:tcBorders>
              <w:left w:val="single" w:sz="4" w:space="0" w:color="auto"/>
              <w:right w:val="single" w:sz="4" w:space="0" w:color="auto"/>
            </w:tcBorders>
            <w:vAlign w:val="center"/>
          </w:tcPr>
          <w:p w14:paraId="393E0294" w14:textId="3F40611F" w:rsidR="001657C9" w:rsidRPr="006B33D2" w:rsidRDefault="000B7D55"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90.5886</w:t>
            </w:r>
          </w:p>
        </w:tc>
        <w:tc>
          <w:tcPr>
            <w:tcW w:w="418" w:type="pct"/>
            <w:vMerge/>
            <w:tcBorders>
              <w:left w:val="single" w:sz="4" w:space="0" w:color="auto"/>
            </w:tcBorders>
            <w:vAlign w:val="center"/>
          </w:tcPr>
          <w:p w14:paraId="5F234B6A" w14:textId="37B516F2" w:rsidR="001657C9" w:rsidRPr="006B33D2" w:rsidRDefault="001657C9" w:rsidP="001B31FD">
            <w:pPr>
              <w:spacing w:line="240" w:lineRule="auto"/>
              <w:jc w:val="center"/>
              <w:rPr>
                <w:rFonts w:ascii="Arial" w:eastAsia="仿宋_GB2312" w:hAnsi="Arial" w:cs="Arial"/>
                <w:bCs/>
                <w:sz w:val="18"/>
                <w:szCs w:val="18"/>
              </w:rPr>
            </w:pPr>
          </w:p>
        </w:tc>
      </w:tr>
      <w:tr w:rsidR="0077205E" w:rsidRPr="006B33D2" w14:paraId="16422632" w14:textId="77777777" w:rsidTr="0077205E">
        <w:trPr>
          <w:cantSplit/>
          <w:trHeight w:val="846"/>
          <w:jc w:val="center"/>
        </w:trPr>
        <w:tc>
          <w:tcPr>
            <w:tcW w:w="232" w:type="pct"/>
            <w:vMerge/>
            <w:vAlign w:val="center"/>
          </w:tcPr>
          <w:p w14:paraId="6F1430AA"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749BDF64" w14:textId="77777777" w:rsidR="001657C9" w:rsidRPr="006B33D2" w:rsidRDefault="001657C9" w:rsidP="001B31FD">
            <w:pPr>
              <w:spacing w:line="240" w:lineRule="auto"/>
              <w:jc w:val="center"/>
              <w:rPr>
                <w:rFonts w:ascii="Arial" w:hAnsi="Arial" w:cs="Arial"/>
                <w:bCs/>
                <w:sz w:val="18"/>
                <w:szCs w:val="18"/>
              </w:rPr>
            </w:pPr>
          </w:p>
        </w:tc>
        <w:tc>
          <w:tcPr>
            <w:tcW w:w="234" w:type="pct"/>
            <w:vMerge/>
            <w:vAlign w:val="center"/>
          </w:tcPr>
          <w:p w14:paraId="1AD6066D"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1FC14A42"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Merge/>
            <w:vAlign w:val="center"/>
          </w:tcPr>
          <w:p w14:paraId="554A8477" w14:textId="77777777" w:rsidR="001657C9" w:rsidRPr="006B33D2" w:rsidRDefault="001657C9" w:rsidP="001B31FD">
            <w:pPr>
              <w:spacing w:line="240" w:lineRule="auto"/>
              <w:jc w:val="center"/>
              <w:rPr>
                <w:rFonts w:ascii="Arial" w:eastAsia="仿宋_GB2312" w:hAnsi="Arial" w:cs="Arial"/>
                <w:bCs/>
                <w:sz w:val="18"/>
                <w:szCs w:val="18"/>
              </w:rPr>
            </w:pPr>
          </w:p>
        </w:tc>
        <w:tc>
          <w:tcPr>
            <w:tcW w:w="233" w:type="pct"/>
            <w:vAlign w:val="center"/>
          </w:tcPr>
          <w:p w14:paraId="26C8B5CE" w14:textId="36815652"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地下办公</w:t>
            </w:r>
          </w:p>
        </w:tc>
        <w:tc>
          <w:tcPr>
            <w:tcW w:w="234" w:type="pct"/>
            <w:vAlign w:val="center"/>
          </w:tcPr>
          <w:p w14:paraId="7CF35AE0" w14:textId="6652AB62"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地下办公</w:t>
            </w:r>
          </w:p>
        </w:tc>
        <w:tc>
          <w:tcPr>
            <w:tcW w:w="140" w:type="pct"/>
            <w:vMerge/>
            <w:vAlign w:val="center"/>
          </w:tcPr>
          <w:p w14:paraId="1EF248AD"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4FDACDB8"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1812E084"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Merge/>
            <w:vAlign w:val="center"/>
          </w:tcPr>
          <w:p w14:paraId="273BE52C" w14:textId="77777777" w:rsidR="001657C9" w:rsidRPr="006B33D2" w:rsidRDefault="001657C9" w:rsidP="001B31FD">
            <w:pPr>
              <w:spacing w:line="240" w:lineRule="auto"/>
              <w:jc w:val="center"/>
              <w:rPr>
                <w:rFonts w:ascii="Arial" w:eastAsia="仿宋_GB2312" w:hAnsi="Arial" w:cs="Arial"/>
                <w:bCs/>
                <w:sz w:val="18"/>
                <w:szCs w:val="18"/>
              </w:rPr>
            </w:pPr>
          </w:p>
        </w:tc>
        <w:tc>
          <w:tcPr>
            <w:tcW w:w="191" w:type="pct"/>
            <w:vMerge/>
            <w:vAlign w:val="center"/>
          </w:tcPr>
          <w:p w14:paraId="3FD38BD2"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Align w:val="center"/>
          </w:tcPr>
          <w:p w14:paraId="31A7D207" w14:textId="3EB45D02"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0E312F1D" w14:textId="77777777" w:rsidR="001657C9" w:rsidRPr="006B33D2" w:rsidRDefault="001657C9" w:rsidP="001B31FD">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0FE9137A" w14:textId="3CF82DE5"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32 </w:t>
            </w:r>
          </w:p>
        </w:tc>
        <w:tc>
          <w:tcPr>
            <w:tcW w:w="280" w:type="pct"/>
            <w:tcBorders>
              <w:left w:val="single" w:sz="4" w:space="0" w:color="auto"/>
              <w:right w:val="single" w:sz="4" w:space="0" w:color="auto"/>
            </w:tcBorders>
            <w:vAlign w:val="center"/>
          </w:tcPr>
          <w:p w14:paraId="4BA46A11" w14:textId="4B170B33" w:rsidR="001657C9" w:rsidRPr="006B33D2" w:rsidRDefault="000B7D55"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9538</w:t>
            </w:r>
          </w:p>
        </w:tc>
        <w:tc>
          <w:tcPr>
            <w:tcW w:w="420" w:type="pct"/>
            <w:tcBorders>
              <w:left w:val="single" w:sz="4" w:space="0" w:color="auto"/>
              <w:right w:val="single" w:sz="4" w:space="0" w:color="auto"/>
            </w:tcBorders>
            <w:vAlign w:val="center"/>
          </w:tcPr>
          <w:p w14:paraId="6308F956" w14:textId="70FF4F53" w:rsidR="001657C9" w:rsidRPr="006B33D2" w:rsidRDefault="000B7D55"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30.5216</w:t>
            </w:r>
          </w:p>
        </w:tc>
        <w:tc>
          <w:tcPr>
            <w:tcW w:w="280" w:type="pct"/>
            <w:tcBorders>
              <w:left w:val="single" w:sz="4" w:space="0" w:color="auto"/>
              <w:right w:val="single" w:sz="4" w:space="0" w:color="auto"/>
            </w:tcBorders>
            <w:vAlign w:val="center"/>
          </w:tcPr>
          <w:p w14:paraId="19294E33" w14:textId="531952C4" w:rsidR="001657C9" w:rsidRPr="006B33D2" w:rsidRDefault="000B7D55"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2385</w:t>
            </w:r>
          </w:p>
        </w:tc>
        <w:tc>
          <w:tcPr>
            <w:tcW w:w="421" w:type="pct"/>
            <w:tcBorders>
              <w:left w:val="single" w:sz="4" w:space="0" w:color="auto"/>
              <w:right w:val="single" w:sz="4" w:space="0" w:color="auto"/>
            </w:tcBorders>
            <w:vAlign w:val="center"/>
          </w:tcPr>
          <w:p w14:paraId="5FA9D925" w14:textId="5AB0E5B7" w:rsidR="001657C9" w:rsidRPr="006B33D2" w:rsidRDefault="000B7D55"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7.6320</w:t>
            </w:r>
          </w:p>
        </w:tc>
        <w:tc>
          <w:tcPr>
            <w:tcW w:w="418" w:type="pct"/>
            <w:vMerge/>
            <w:tcBorders>
              <w:left w:val="single" w:sz="4" w:space="0" w:color="auto"/>
            </w:tcBorders>
            <w:vAlign w:val="center"/>
          </w:tcPr>
          <w:p w14:paraId="7D85EF81" w14:textId="1AF5B83E" w:rsidR="001657C9" w:rsidRPr="006B33D2" w:rsidRDefault="001657C9" w:rsidP="001B31FD">
            <w:pPr>
              <w:spacing w:line="240" w:lineRule="auto"/>
              <w:jc w:val="center"/>
              <w:rPr>
                <w:rFonts w:ascii="Arial" w:eastAsia="仿宋_GB2312" w:hAnsi="Arial" w:cs="Arial"/>
                <w:bCs/>
                <w:sz w:val="18"/>
                <w:szCs w:val="18"/>
              </w:rPr>
            </w:pPr>
          </w:p>
        </w:tc>
      </w:tr>
      <w:tr w:rsidR="0077205E" w:rsidRPr="006B33D2" w14:paraId="05BDC945" w14:textId="77777777" w:rsidTr="0077205E">
        <w:trPr>
          <w:cantSplit/>
          <w:trHeight w:val="830"/>
          <w:jc w:val="center"/>
        </w:trPr>
        <w:tc>
          <w:tcPr>
            <w:tcW w:w="232" w:type="pct"/>
            <w:vMerge/>
            <w:vAlign w:val="center"/>
          </w:tcPr>
          <w:p w14:paraId="02C0093C"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1C2EF7B3" w14:textId="77777777" w:rsidR="001657C9" w:rsidRPr="006B33D2" w:rsidRDefault="001657C9" w:rsidP="001B31FD">
            <w:pPr>
              <w:spacing w:line="240" w:lineRule="auto"/>
              <w:jc w:val="center"/>
              <w:rPr>
                <w:rFonts w:ascii="Arial" w:hAnsi="Arial" w:cs="Arial"/>
                <w:bCs/>
                <w:sz w:val="18"/>
                <w:szCs w:val="18"/>
              </w:rPr>
            </w:pPr>
          </w:p>
        </w:tc>
        <w:tc>
          <w:tcPr>
            <w:tcW w:w="234" w:type="pct"/>
            <w:vMerge/>
            <w:vAlign w:val="center"/>
          </w:tcPr>
          <w:p w14:paraId="50E14AA5"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6DF98AC2"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Merge/>
            <w:vAlign w:val="center"/>
          </w:tcPr>
          <w:p w14:paraId="194D271F" w14:textId="77777777" w:rsidR="001657C9" w:rsidRPr="006B33D2" w:rsidRDefault="001657C9" w:rsidP="001B31FD">
            <w:pPr>
              <w:spacing w:line="240" w:lineRule="auto"/>
              <w:jc w:val="center"/>
              <w:rPr>
                <w:rFonts w:ascii="Arial" w:eastAsia="仿宋_GB2312" w:hAnsi="Arial" w:cs="Arial"/>
                <w:bCs/>
                <w:sz w:val="18"/>
                <w:szCs w:val="18"/>
              </w:rPr>
            </w:pPr>
          </w:p>
        </w:tc>
        <w:tc>
          <w:tcPr>
            <w:tcW w:w="233" w:type="pct"/>
            <w:vAlign w:val="center"/>
          </w:tcPr>
          <w:p w14:paraId="3FE28071" w14:textId="1F32DE4B"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地下车库</w:t>
            </w:r>
          </w:p>
        </w:tc>
        <w:tc>
          <w:tcPr>
            <w:tcW w:w="234" w:type="pct"/>
            <w:vAlign w:val="center"/>
          </w:tcPr>
          <w:p w14:paraId="6F664105" w14:textId="005C348D"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地下车库</w:t>
            </w:r>
          </w:p>
        </w:tc>
        <w:tc>
          <w:tcPr>
            <w:tcW w:w="140" w:type="pct"/>
            <w:vMerge/>
            <w:vAlign w:val="center"/>
          </w:tcPr>
          <w:p w14:paraId="40D95214"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6C2EAD71"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55C0C2A2"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Merge/>
            <w:vAlign w:val="center"/>
          </w:tcPr>
          <w:p w14:paraId="5EF7A0FC" w14:textId="77777777" w:rsidR="001657C9" w:rsidRPr="006B33D2" w:rsidRDefault="001657C9" w:rsidP="001B31FD">
            <w:pPr>
              <w:spacing w:line="240" w:lineRule="auto"/>
              <w:jc w:val="center"/>
              <w:rPr>
                <w:rFonts w:ascii="Arial" w:eastAsia="仿宋_GB2312" w:hAnsi="Arial" w:cs="Arial"/>
                <w:bCs/>
                <w:sz w:val="18"/>
                <w:szCs w:val="18"/>
              </w:rPr>
            </w:pPr>
          </w:p>
        </w:tc>
        <w:tc>
          <w:tcPr>
            <w:tcW w:w="191" w:type="pct"/>
            <w:vMerge/>
            <w:vAlign w:val="center"/>
          </w:tcPr>
          <w:p w14:paraId="5CE7BF1C"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Align w:val="center"/>
          </w:tcPr>
          <w:p w14:paraId="419B6DAA" w14:textId="26836580"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02CADA18" w14:textId="77777777" w:rsidR="001657C9" w:rsidRPr="006B33D2" w:rsidRDefault="001657C9" w:rsidP="001B31FD">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3B1D7B33" w14:textId="09D6A44C"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10345.02 </w:t>
            </w:r>
          </w:p>
        </w:tc>
        <w:tc>
          <w:tcPr>
            <w:tcW w:w="280" w:type="pct"/>
            <w:tcBorders>
              <w:left w:val="single" w:sz="4" w:space="0" w:color="auto"/>
              <w:right w:val="single" w:sz="4" w:space="0" w:color="auto"/>
            </w:tcBorders>
            <w:vAlign w:val="center"/>
          </w:tcPr>
          <w:p w14:paraId="6C751781" w14:textId="30A43819" w:rsidR="001657C9" w:rsidRPr="006B33D2" w:rsidRDefault="00443EF8"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9922</w:t>
            </w:r>
            <w:r w:rsidR="001657C9"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73D00251" w14:textId="4C8E7A8A" w:rsidR="001657C9" w:rsidRPr="006B33D2" w:rsidRDefault="00443EF8"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10264.3288</w:t>
            </w:r>
          </w:p>
        </w:tc>
        <w:tc>
          <w:tcPr>
            <w:tcW w:w="280" w:type="pct"/>
            <w:tcBorders>
              <w:left w:val="single" w:sz="4" w:space="0" w:color="auto"/>
              <w:right w:val="single" w:sz="4" w:space="0" w:color="auto"/>
            </w:tcBorders>
            <w:vAlign w:val="center"/>
          </w:tcPr>
          <w:p w14:paraId="6A9BD5FA" w14:textId="0B0204B7" w:rsidR="001657C9" w:rsidRPr="006B33D2" w:rsidRDefault="00443EF8"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2481</w:t>
            </w:r>
          </w:p>
        </w:tc>
        <w:tc>
          <w:tcPr>
            <w:tcW w:w="421" w:type="pct"/>
            <w:tcBorders>
              <w:left w:val="single" w:sz="4" w:space="0" w:color="auto"/>
              <w:right w:val="single" w:sz="4" w:space="0" w:color="auto"/>
            </w:tcBorders>
            <w:vAlign w:val="center"/>
          </w:tcPr>
          <w:p w14:paraId="16B8F249" w14:textId="133B4E90" w:rsidR="001657C9" w:rsidRPr="006B33D2" w:rsidRDefault="00443EF8"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2566.5995</w:t>
            </w:r>
          </w:p>
        </w:tc>
        <w:tc>
          <w:tcPr>
            <w:tcW w:w="418" w:type="pct"/>
            <w:vMerge/>
            <w:tcBorders>
              <w:left w:val="single" w:sz="4" w:space="0" w:color="auto"/>
            </w:tcBorders>
            <w:vAlign w:val="center"/>
          </w:tcPr>
          <w:p w14:paraId="6313B2C3" w14:textId="11FC4A3E" w:rsidR="001657C9" w:rsidRPr="006B33D2" w:rsidRDefault="001657C9" w:rsidP="001B31FD">
            <w:pPr>
              <w:spacing w:line="240" w:lineRule="auto"/>
              <w:jc w:val="center"/>
              <w:rPr>
                <w:rFonts w:ascii="Arial" w:eastAsia="仿宋_GB2312" w:hAnsi="Arial" w:cs="Arial"/>
                <w:bCs/>
                <w:sz w:val="18"/>
                <w:szCs w:val="18"/>
              </w:rPr>
            </w:pPr>
          </w:p>
        </w:tc>
      </w:tr>
      <w:tr w:rsidR="0077205E" w:rsidRPr="006B33D2" w14:paraId="58B0F641" w14:textId="77777777" w:rsidTr="0077205E">
        <w:trPr>
          <w:cantSplit/>
          <w:trHeight w:val="830"/>
          <w:jc w:val="center"/>
        </w:trPr>
        <w:tc>
          <w:tcPr>
            <w:tcW w:w="232" w:type="pct"/>
            <w:vAlign w:val="center"/>
          </w:tcPr>
          <w:p w14:paraId="16A6FAAE" w14:textId="33470306" w:rsidR="001657C9" w:rsidRPr="006B33D2" w:rsidRDefault="001657C9" w:rsidP="00E81CA4">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合计</w:t>
            </w:r>
          </w:p>
        </w:tc>
        <w:tc>
          <w:tcPr>
            <w:tcW w:w="140" w:type="pct"/>
            <w:vAlign w:val="center"/>
          </w:tcPr>
          <w:p w14:paraId="1EEB9CCF" w14:textId="633A7261" w:rsidR="001657C9" w:rsidRPr="006B33D2" w:rsidRDefault="001657C9" w:rsidP="00E81CA4">
            <w:pPr>
              <w:spacing w:line="240" w:lineRule="auto"/>
              <w:jc w:val="center"/>
              <w:rPr>
                <w:rFonts w:ascii="Arial" w:hAnsi="Arial" w:cs="Arial"/>
                <w:bCs/>
                <w:sz w:val="18"/>
                <w:szCs w:val="18"/>
              </w:rPr>
            </w:pPr>
            <w:r w:rsidRPr="006B33D2">
              <w:rPr>
                <w:rFonts w:ascii="Arial" w:hAnsi="Arial" w:cs="Arial"/>
                <w:bCs/>
                <w:sz w:val="18"/>
                <w:szCs w:val="18"/>
              </w:rPr>
              <w:t>--</w:t>
            </w:r>
          </w:p>
        </w:tc>
        <w:tc>
          <w:tcPr>
            <w:tcW w:w="234" w:type="pct"/>
            <w:vAlign w:val="center"/>
          </w:tcPr>
          <w:p w14:paraId="4FEB827F" w14:textId="5442DED6"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18FA1F0D" w14:textId="246B8B4A"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4E85F230" w14:textId="4CCB5DAA"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3" w:type="pct"/>
            <w:vAlign w:val="center"/>
          </w:tcPr>
          <w:p w14:paraId="03A90BAF" w14:textId="30D51D0C"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0731EFCD" w14:textId="7AC82A7A"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21C939EE" w14:textId="6C127158"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3FC02A9D" w14:textId="1A9333E2"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4A2FA9FE" w14:textId="1C3A22C5"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219950C3" w14:textId="7D54A5D9"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91" w:type="pct"/>
            <w:vAlign w:val="center"/>
          </w:tcPr>
          <w:p w14:paraId="11BC1A5D" w14:textId="336B5E35"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784C2D3C" w14:textId="3909F225"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327" w:type="pct"/>
            <w:vAlign w:val="center"/>
          </w:tcPr>
          <w:p w14:paraId="1D7053A1" w14:textId="6B323BCA" w:rsidR="001657C9" w:rsidRPr="006B33D2" w:rsidRDefault="001657C9" w:rsidP="00E81CA4">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6180.978</w:t>
            </w:r>
          </w:p>
        </w:tc>
        <w:tc>
          <w:tcPr>
            <w:tcW w:w="328" w:type="pct"/>
            <w:tcBorders>
              <w:left w:val="single" w:sz="4" w:space="0" w:color="auto"/>
            </w:tcBorders>
            <w:vAlign w:val="center"/>
          </w:tcPr>
          <w:p w14:paraId="794512A3" w14:textId="46C21886" w:rsidR="001657C9" w:rsidRPr="006B33D2" w:rsidRDefault="001657C9" w:rsidP="00E81CA4">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41888.02</w:t>
            </w:r>
          </w:p>
        </w:tc>
        <w:tc>
          <w:tcPr>
            <w:tcW w:w="280" w:type="pct"/>
            <w:tcBorders>
              <w:left w:val="single" w:sz="4" w:space="0" w:color="auto"/>
              <w:right w:val="single" w:sz="4" w:space="0" w:color="auto"/>
            </w:tcBorders>
            <w:vAlign w:val="center"/>
          </w:tcPr>
          <w:p w14:paraId="2A79A969" w14:textId="04DAC40F" w:rsidR="001657C9" w:rsidRPr="006B33D2" w:rsidRDefault="001657C9" w:rsidP="00E81CA4">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420" w:type="pct"/>
            <w:tcBorders>
              <w:left w:val="single" w:sz="4" w:space="0" w:color="auto"/>
              <w:right w:val="single" w:sz="4" w:space="0" w:color="auto"/>
            </w:tcBorders>
            <w:vAlign w:val="center"/>
          </w:tcPr>
          <w:p w14:paraId="1864DA3E" w14:textId="78B54867" w:rsidR="001657C9" w:rsidRPr="006B33D2" w:rsidRDefault="00443EF8" w:rsidP="00E81CA4">
            <w:pPr>
              <w:spacing w:line="240" w:lineRule="auto"/>
              <w:jc w:val="center"/>
              <w:rPr>
                <w:rFonts w:ascii="Arial" w:eastAsia="仿宋_GB2312" w:hAnsi="Arial" w:cs="Arial"/>
                <w:bCs/>
                <w:sz w:val="18"/>
                <w:szCs w:val="18"/>
              </w:rPr>
            </w:pPr>
            <w:r>
              <w:rPr>
                <w:rFonts w:ascii="Arial" w:eastAsia="仿宋_GB2312" w:hAnsi="Arial" w:cs="Arial"/>
                <w:bCs/>
                <w:sz w:val="18"/>
                <w:szCs w:val="18"/>
              </w:rPr>
              <w:t>244365.6152</w:t>
            </w:r>
          </w:p>
        </w:tc>
        <w:tc>
          <w:tcPr>
            <w:tcW w:w="280" w:type="pct"/>
            <w:tcBorders>
              <w:left w:val="single" w:sz="4" w:space="0" w:color="auto"/>
              <w:right w:val="single" w:sz="4" w:space="0" w:color="auto"/>
            </w:tcBorders>
            <w:vAlign w:val="center"/>
          </w:tcPr>
          <w:p w14:paraId="70153FBB" w14:textId="33EE5BB2" w:rsidR="001657C9" w:rsidRPr="006B33D2" w:rsidRDefault="001657C9" w:rsidP="00E81CA4">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421" w:type="pct"/>
            <w:tcBorders>
              <w:left w:val="single" w:sz="4" w:space="0" w:color="auto"/>
              <w:right w:val="single" w:sz="4" w:space="0" w:color="auto"/>
            </w:tcBorders>
            <w:vAlign w:val="center"/>
          </w:tcPr>
          <w:p w14:paraId="7A3AE683" w14:textId="22E55595" w:rsidR="001657C9" w:rsidRPr="006B33D2" w:rsidRDefault="00443EF8" w:rsidP="00E81CA4">
            <w:pPr>
              <w:spacing w:line="240" w:lineRule="auto"/>
              <w:jc w:val="center"/>
              <w:rPr>
                <w:rFonts w:ascii="Arial" w:eastAsia="仿宋_GB2312" w:hAnsi="Arial" w:cs="Arial"/>
                <w:bCs/>
                <w:sz w:val="18"/>
                <w:szCs w:val="18"/>
              </w:rPr>
            </w:pPr>
            <w:r>
              <w:rPr>
                <w:rFonts w:ascii="Arial" w:eastAsia="仿宋_GB2312" w:hAnsi="Arial" w:cs="Arial"/>
                <w:bCs/>
                <w:sz w:val="18"/>
                <w:szCs w:val="18"/>
              </w:rPr>
              <w:t>61093.2435</w:t>
            </w:r>
          </w:p>
        </w:tc>
        <w:tc>
          <w:tcPr>
            <w:tcW w:w="418" w:type="pct"/>
            <w:tcBorders>
              <w:left w:val="single" w:sz="4" w:space="0" w:color="auto"/>
            </w:tcBorders>
            <w:vAlign w:val="center"/>
          </w:tcPr>
          <w:p w14:paraId="40AA19EA" w14:textId="4FD43923" w:rsidR="001657C9" w:rsidRPr="006B33D2" w:rsidRDefault="00443EF8" w:rsidP="00E81CA4">
            <w:pPr>
              <w:spacing w:line="240" w:lineRule="auto"/>
              <w:jc w:val="center"/>
              <w:rPr>
                <w:rFonts w:ascii="Arial" w:eastAsia="仿宋_GB2312" w:hAnsi="Arial" w:cs="Arial"/>
                <w:bCs/>
                <w:sz w:val="18"/>
                <w:szCs w:val="18"/>
              </w:rPr>
            </w:pPr>
            <w:r>
              <w:rPr>
                <w:rFonts w:ascii="Arial" w:eastAsia="仿宋_GB2312" w:hAnsi="Arial" w:cs="Arial"/>
                <w:bCs/>
                <w:sz w:val="18"/>
                <w:szCs w:val="18"/>
              </w:rPr>
              <w:t>61093.2435</w:t>
            </w:r>
          </w:p>
        </w:tc>
      </w:tr>
    </w:tbl>
    <w:p w14:paraId="0D2A0122" w14:textId="36706DCA" w:rsidR="002C3ABF" w:rsidRPr="00810700" w:rsidRDefault="002C3ABF" w:rsidP="00810700">
      <w:pPr>
        <w:spacing w:line="360" w:lineRule="auto"/>
        <w:rPr>
          <w:rFonts w:ascii="Arial" w:eastAsia="仿宋_GB2312" w:hAnsi="Arial" w:cs="Arial"/>
          <w:sz w:val="18"/>
          <w:szCs w:val="18"/>
        </w:rPr>
        <w:sectPr w:rsidR="002C3ABF" w:rsidRPr="00810700">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r w:rsidRPr="00F631FB">
        <w:rPr>
          <w:rFonts w:ascii="Arial" w:eastAsia="仿宋_GB2312" w:hAnsi="Arial" w:cs="Arial"/>
          <w:sz w:val="18"/>
          <w:szCs w:val="18"/>
        </w:rPr>
        <w:t>币种：人民币</w:t>
      </w:r>
    </w:p>
    <w:p w14:paraId="7BA87299" w14:textId="77777777" w:rsidR="002C3ABF" w:rsidRPr="00F631FB" w:rsidRDefault="002C3ABF" w:rsidP="002C3ABF">
      <w:pPr>
        <w:spacing w:line="240" w:lineRule="auto"/>
        <w:ind w:left="1"/>
        <w:jc w:val="both"/>
        <w:rPr>
          <w:rFonts w:ascii="Arial" w:eastAsia="仿宋_GB2312" w:hAnsi="Arial" w:cs="Arial"/>
          <w:b/>
        </w:rPr>
      </w:pPr>
      <w:r w:rsidRPr="00F631FB">
        <w:rPr>
          <w:rFonts w:ascii="Arial" w:eastAsia="仿宋_GB2312" w:hAnsi="Arial" w:cs="Arial"/>
          <w:b/>
        </w:rPr>
        <w:lastRenderedPageBreak/>
        <w:t>一、上述估价结果的限定条件</w:t>
      </w:r>
    </w:p>
    <w:p w14:paraId="084143DB" w14:textId="19512C89" w:rsidR="002C3ABF" w:rsidRPr="00F631FB" w:rsidRDefault="002C3ABF" w:rsidP="002C3ABF">
      <w:pPr>
        <w:spacing w:line="240" w:lineRule="auto"/>
        <w:jc w:val="both"/>
        <w:rPr>
          <w:rFonts w:ascii="Arial" w:eastAsia="仿宋_GB2312" w:hAnsi="Arial" w:cs="Arial"/>
          <w:bCs/>
        </w:rPr>
      </w:pPr>
      <w:r w:rsidRPr="00F631FB">
        <w:rPr>
          <w:rFonts w:ascii="Arial" w:eastAsia="仿宋_GB2312" w:hAnsi="Arial" w:cs="Arial"/>
          <w:bCs/>
        </w:rPr>
        <w:t>（一）土地权利限制：至估价期日，估价对象未见抵押权登记。根据估价目的（</w:t>
      </w:r>
      <w:r w:rsidR="00810700">
        <w:rPr>
          <w:rFonts w:ascii="Arial" w:eastAsia="仿宋_GB2312" w:hAnsi="Arial" w:cs="Arial" w:hint="eastAsia"/>
          <w:bCs/>
        </w:rPr>
        <w:t>办理一次性招标出让手续</w:t>
      </w:r>
      <w:r w:rsidRPr="00F631FB">
        <w:rPr>
          <w:rFonts w:ascii="Arial" w:eastAsia="仿宋_GB2312" w:hAnsi="Arial" w:cs="Arial"/>
          <w:bCs/>
        </w:rPr>
        <w:t>），设定</w:t>
      </w:r>
      <w:proofErr w:type="gramStart"/>
      <w:r w:rsidRPr="00F631FB">
        <w:rPr>
          <w:rFonts w:ascii="Arial" w:eastAsia="仿宋_GB2312" w:hAnsi="Arial" w:cs="Arial"/>
          <w:bCs/>
        </w:rPr>
        <w:t>待估宗</w:t>
      </w:r>
      <w:proofErr w:type="gramEnd"/>
      <w:r w:rsidRPr="00F631FB">
        <w:rPr>
          <w:rFonts w:ascii="Arial" w:eastAsia="仿宋_GB2312" w:hAnsi="Arial" w:cs="Arial"/>
          <w:bCs/>
        </w:rPr>
        <w:t>地无抵押权、担保权等他项权利；</w:t>
      </w:r>
    </w:p>
    <w:p w14:paraId="4AD4EE2B" w14:textId="174332DA" w:rsidR="002C3ABF" w:rsidRPr="00F631FB" w:rsidRDefault="002C3ABF" w:rsidP="002C3ABF">
      <w:pPr>
        <w:spacing w:line="240" w:lineRule="auto"/>
        <w:jc w:val="both"/>
        <w:rPr>
          <w:rFonts w:ascii="Arial" w:eastAsia="仿宋_GB2312" w:hAnsi="Arial" w:cs="Arial"/>
          <w:bCs/>
        </w:rPr>
      </w:pPr>
      <w:r w:rsidRPr="00F631FB">
        <w:rPr>
          <w:rFonts w:ascii="Arial" w:eastAsia="仿宋_GB2312" w:hAnsi="Arial" w:cs="Arial"/>
          <w:bCs/>
        </w:rPr>
        <w:t>（二）基础设施条件：估价对象实际土地开发程度为宗地外</w:t>
      </w:r>
      <w:proofErr w:type="gramStart"/>
      <w:r w:rsidR="00E206FB">
        <w:rPr>
          <w:rFonts w:ascii="Arial" w:eastAsia="仿宋_GB2312" w:hAnsi="Arial" w:cs="Arial"/>
          <w:bCs/>
        </w:rPr>
        <w:t>”</w:t>
      </w:r>
      <w:proofErr w:type="gramEnd"/>
      <w:r w:rsidR="00E206FB">
        <w:rPr>
          <w:rFonts w:ascii="Arial" w:eastAsia="仿宋_GB2312" w:hAnsi="Arial" w:cs="Arial"/>
          <w:bCs/>
        </w:rPr>
        <w:t>七通</w:t>
      </w:r>
      <w:proofErr w:type="gramStart"/>
      <w:r w:rsidR="00E206FB">
        <w:rPr>
          <w:rFonts w:ascii="Arial" w:eastAsia="仿宋_GB2312" w:hAnsi="Arial" w:cs="Arial"/>
          <w:bCs/>
        </w:rPr>
        <w:t>”</w:t>
      </w:r>
      <w:proofErr w:type="gramEnd"/>
      <w:r w:rsidR="00E206FB">
        <w:rPr>
          <w:rFonts w:ascii="Arial" w:eastAsia="仿宋_GB2312" w:hAnsi="Arial" w:cs="Arial"/>
          <w:bCs/>
        </w:rPr>
        <w:t>（即通路、通电（管沟和电缆）、通讯、通上水（自来水、中水）、通下水（雨水、污水）、通燃气、通热）</w:t>
      </w:r>
      <w:r w:rsidRPr="00F631FB">
        <w:rPr>
          <w:rFonts w:ascii="Arial" w:eastAsia="仿宋_GB2312" w:hAnsi="Arial" w:cs="Arial"/>
          <w:bCs/>
        </w:rPr>
        <w:t>及</w:t>
      </w:r>
      <w:r w:rsidR="006C1DB6">
        <w:rPr>
          <w:rFonts w:ascii="Arial" w:eastAsia="仿宋_GB2312" w:hAnsi="Arial" w:cs="Arial"/>
          <w:bCs/>
        </w:rPr>
        <w:t>宗地内建筑物正在进行结构施工</w:t>
      </w:r>
      <w:r w:rsidRPr="00F631FB">
        <w:rPr>
          <w:rFonts w:ascii="Arial" w:eastAsia="仿宋_GB2312" w:hAnsi="Arial" w:cs="Arial"/>
          <w:bCs/>
        </w:rPr>
        <w:t>；设定开发程度为宗地外</w:t>
      </w:r>
      <w:r w:rsidRPr="00F631FB">
        <w:rPr>
          <w:rFonts w:ascii="Arial" w:eastAsia="仿宋_GB2312" w:hAnsi="Arial" w:cs="Arial"/>
          <w:bCs/>
        </w:rPr>
        <w:t xml:space="preserve"> </w:t>
      </w:r>
      <w:r w:rsidR="00E206FB">
        <w:rPr>
          <w:rFonts w:ascii="Arial" w:eastAsia="仿宋_GB2312" w:hAnsi="Arial" w:cs="Arial"/>
          <w:bCs/>
        </w:rPr>
        <w:t>“</w:t>
      </w:r>
      <w:r w:rsidR="00E206FB">
        <w:rPr>
          <w:rFonts w:ascii="Arial" w:eastAsia="仿宋_GB2312" w:hAnsi="Arial" w:cs="Arial"/>
          <w:bCs/>
        </w:rPr>
        <w:t>七通</w:t>
      </w:r>
      <w:r w:rsidR="00E206FB">
        <w:rPr>
          <w:rFonts w:ascii="Arial" w:eastAsia="仿宋_GB2312" w:hAnsi="Arial" w:cs="Arial"/>
          <w:bCs/>
        </w:rPr>
        <w:t>”</w:t>
      </w:r>
      <w:r w:rsidR="00E206FB">
        <w:rPr>
          <w:rFonts w:ascii="Arial" w:eastAsia="仿宋_GB2312" w:hAnsi="Arial" w:cs="Arial"/>
          <w:bCs/>
        </w:rPr>
        <w:t>（即通路、通电（管沟和电缆）、通讯、通上水（自来水、中水）、通下水（雨水、污水）、通燃气、通热）</w:t>
      </w:r>
      <w:r w:rsidRPr="00F631FB">
        <w:rPr>
          <w:rFonts w:ascii="Arial" w:eastAsia="仿宋_GB2312" w:hAnsi="Arial" w:cs="Arial"/>
          <w:bCs/>
        </w:rPr>
        <w:t>及宗地红线内</w:t>
      </w:r>
      <w:r w:rsidRPr="00F631FB">
        <w:rPr>
          <w:rFonts w:ascii="Arial" w:eastAsia="仿宋_GB2312" w:hAnsi="Arial" w:cs="Arial"/>
          <w:bCs/>
        </w:rPr>
        <w:t>“</w:t>
      </w:r>
      <w:r w:rsidRPr="00F631FB">
        <w:rPr>
          <w:rFonts w:ascii="Arial" w:eastAsia="仿宋_GB2312" w:hAnsi="Arial" w:cs="Arial"/>
          <w:bCs/>
        </w:rPr>
        <w:t>场地平整</w:t>
      </w:r>
      <w:r w:rsidRPr="00F631FB">
        <w:rPr>
          <w:rFonts w:ascii="Arial" w:eastAsia="仿宋_GB2312" w:hAnsi="Arial" w:cs="Arial"/>
          <w:bCs/>
          <w:kern w:val="2"/>
          <w:sz w:val="21"/>
          <w:szCs w:val="21"/>
        </w:rPr>
        <w:t>”</w:t>
      </w:r>
      <w:r w:rsidRPr="00F631FB">
        <w:rPr>
          <w:rFonts w:ascii="Arial" w:eastAsia="仿宋_GB2312" w:hAnsi="Arial" w:cs="Arial"/>
          <w:bCs/>
          <w:kern w:val="2"/>
          <w:sz w:val="21"/>
          <w:szCs w:val="21"/>
        </w:rPr>
        <w:t>；</w:t>
      </w:r>
    </w:p>
    <w:p w14:paraId="65C1B7A4" w14:textId="782350FF" w:rsidR="002C3ABF" w:rsidRPr="00810700" w:rsidRDefault="002C3ABF" w:rsidP="002C3ABF">
      <w:pPr>
        <w:spacing w:line="240" w:lineRule="auto"/>
        <w:ind w:left="2"/>
        <w:jc w:val="both"/>
        <w:rPr>
          <w:rFonts w:ascii="Arial" w:eastAsia="仿宋_GB2312" w:hAnsi="Arial" w:cs="Arial"/>
          <w:bCs/>
        </w:rPr>
      </w:pPr>
      <w:r w:rsidRPr="00F631FB">
        <w:rPr>
          <w:rFonts w:ascii="Arial" w:eastAsia="仿宋_GB2312" w:hAnsi="Arial" w:cs="Arial"/>
          <w:bCs/>
        </w:rPr>
        <w:t>（三）规划限制</w:t>
      </w:r>
      <w:r w:rsidRPr="00F631FB">
        <w:rPr>
          <w:rFonts w:ascii="Arial" w:eastAsia="仿宋_GB2312" w:hAnsi="Arial" w:cs="Arial"/>
          <w:bCs/>
          <w:szCs w:val="24"/>
        </w:rPr>
        <w:t>条</w:t>
      </w:r>
      <w:r w:rsidRPr="00810700">
        <w:rPr>
          <w:rFonts w:ascii="Arial" w:eastAsia="仿宋_GB2312" w:hAnsi="Arial" w:cs="Arial"/>
          <w:bCs/>
        </w:rPr>
        <w:t>件：根据</w:t>
      </w:r>
      <w:r w:rsidR="00810700" w:rsidRPr="00810700">
        <w:rPr>
          <w:rFonts w:ascii="Arial" w:eastAsia="仿宋_GB2312" w:hAnsi="Arial" w:cs="Arial" w:hint="eastAsia"/>
          <w:bCs/>
        </w:rPr>
        <w:t>《北京市规划和自然资源委员会关于北京市海淀区苏州街站一体化棚户区改造项目用地相关意见及设计方案审查意见的函（城镇建筑工程）》</w:t>
      </w:r>
      <w:r w:rsidR="00810700" w:rsidRPr="00810700">
        <w:rPr>
          <w:rFonts w:ascii="Arial" w:eastAsia="仿宋_GB2312" w:hAnsi="Arial" w:cs="Arial" w:hint="eastAsia"/>
          <w:bCs/>
        </w:rPr>
        <w:t>[</w:t>
      </w:r>
      <w:r w:rsidR="00810700" w:rsidRPr="00810700">
        <w:rPr>
          <w:rFonts w:ascii="Arial" w:eastAsia="仿宋_GB2312" w:hAnsi="Arial" w:cs="Arial"/>
          <w:bCs/>
        </w:rPr>
        <w:t>2019</w:t>
      </w:r>
      <w:proofErr w:type="gramStart"/>
      <w:r w:rsidR="00810700" w:rsidRPr="00810700">
        <w:rPr>
          <w:rFonts w:ascii="Arial" w:eastAsia="仿宋_GB2312" w:hAnsi="Arial" w:cs="Arial" w:hint="eastAsia"/>
          <w:bCs/>
        </w:rPr>
        <w:t>规</w:t>
      </w:r>
      <w:proofErr w:type="gramEnd"/>
      <w:r w:rsidR="00810700" w:rsidRPr="00810700">
        <w:rPr>
          <w:rFonts w:ascii="Arial" w:eastAsia="仿宋_GB2312" w:hAnsi="Arial" w:cs="Arial" w:hint="eastAsia"/>
          <w:bCs/>
        </w:rPr>
        <w:t>自（海）</w:t>
      </w:r>
      <w:proofErr w:type="gramStart"/>
      <w:r w:rsidR="00810700" w:rsidRPr="00810700">
        <w:rPr>
          <w:rFonts w:ascii="Arial" w:eastAsia="仿宋_GB2312" w:hAnsi="Arial" w:cs="Arial" w:hint="eastAsia"/>
          <w:bCs/>
        </w:rPr>
        <w:t>审改试点函</w:t>
      </w:r>
      <w:proofErr w:type="gramEnd"/>
      <w:r w:rsidR="00810700" w:rsidRPr="00810700">
        <w:rPr>
          <w:rFonts w:ascii="Arial" w:eastAsia="仿宋_GB2312" w:hAnsi="Arial" w:cs="Arial" w:hint="eastAsia"/>
          <w:bCs/>
        </w:rPr>
        <w:t>字</w:t>
      </w:r>
      <w:r w:rsidR="00810700" w:rsidRPr="00810700">
        <w:rPr>
          <w:rFonts w:ascii="Arial" w:eastAsia="仿宋_GB2312" w:hAnsi="Arial" w:cs="Arial" w:hint="eastAsia"/>
          <w:bCs/>
        </w:rPr>
        <w:t>0</w:t>
      </w:r>
      <w:r w:rsidR="00810700" w:rsidRPr="00810700">
        <w:rPr>
          <w:rFonts w:ascii="Arial" w:eastAsia="仿宋_GB2312" w:hAnsi="Arial" w:cs="Arial"/>
          <w:bCs/>
        </w:rPr>
        <w:t>001</w:t>
      </w:r>
      <w:r w:rsidR="00810700" w:rsidRPr="00810700">
        <w:rPr>
          <w:rFonts w:ascii="Arial" w:eastAsia="仿宋_GB2312" w:hAnsi="Arial" w:cs="Arial" w:hint="eastAsia"/>
          <w:bCs/>
        </w:rPr>
        <w:t>号</w:t>
      </w:r>
      <w:r w:rsidR="00810700" w:rsidRPr="00810700">
        <w:rPr>
          <w:rFonts w:ascii="Arial" w:eastAsia="仿宋_GB2312" w:hAnsi="Arial" w:cs="Arial"/>
          <w:bCs/>
        </w:rPr>
        <w:t>]</w:t>
      </w:r>
      <w:r w:rsidR="00810700" w:rsidRPr="00810700">
        <w:rPr>
          <w:rFonts w:ascii="Arial" w:eastAsia="仿宋_GB2312" w:hAnsi="Arial" w:cs="Arial" w:hint="eastAsia"/>
          <w:bCs/>
        </w:rPr>
        <w:t>及其附图、《海淀区苏州街一体化棚户区改造项目建筑面积及用途的说明》及其附表、</w:t>
      </w:r>
      <w:r w:rsidRPr="00810700">
        <w:rPr>
          <w:rFonts w:ascii="Arial" w:eastAsia="仿宋_GB2312" w:hAnsi="Arial" w:cs="Arial"/>
          <w:bCs/>
        </w:rPr>
        <w:t>《国有建设用地使用权出让地价评估委托书》等；</w:t>
      </w:r>
      <w:r w:rsidRPr="00810700">
        <w:rPr>
          <w:rFonts w:ascii="Arial" w:eastAsia="仿宋_GB2312" w:hAnsi="Arial" w:cs="Arial"/>
          <w:bCs/>
        </w:rPr>
        <w:t xml:space="preserve"> </w:t>
      </w:r>
    </w:p>
    <w:p w14:paraId="53AF0E7B" w14:textId="77777777" w:rsidR="002C3ABF" w:rsidRPr="00F631FB" w:rsidRDefault="002C3ABF" w:rsidP="002C3ABF">
      <w:pPr>
        <w:spacing w:line="240" w:lineRule="auto"/>
        <w:ind w:left="2"/>
        <w:jc w:val="both"/>
        <w:rPr>
          <w:rFonts w:ascii="Arial" w:eastAsia="仿宋_GB2312" w:hAnsi="Arial" w:cs="Arial"/>
          <w:bCs/>
        </w:rPr>
      </w:pPr>
      <w:r w:rsidRPr="00810700">
        <w:rPr>
          <w:rFonts w:ascii="Arial" w:eastAsia="仿宋_GB2312" w:hAnsi="Arial" w:cs="Arial"/>
          <w:bCs/>
        </w:rPr>
        <w:t>（四）影响土地价格的其他限定条件：无</w:t>
      </w:r>
      <w:r w:rsidRPr="00F631FB">
        <w:rPr>
          <w:rFonts w:ascii="Arial" w:eastAsia="仿宋_GB2312" w:hAnsi="Arial" w:cs="Arial"/>
          <w:bCs/>
        </w:rPr>
        <w:t>。</w:t>
      </w:r>
    </w:p>
    <w:p w14:paraId="7DCB60D8" w14:textId="77777777" w:rsidR="002C3ABF" w:rsidRPr="00F631FB" w:rsidRDefault="002C3ABF" w:rsidP="002C3ABF">
      <w:pPr>
        <w:spacing w:line="240" w:lineRule="auto"/>
        <w:jc w:val="both"/>
        <w:rPr>
          <w:rFonts w:ascii="Arial" w:eastAsia="仿宋_GB2312" w:hAnsi="Arial" w:cs="Arial"/>
          <w:bCs/>
        </w:rPr>
      </w:pPr>
      <w:r w:rsidRPr="00F631FB">
        <w:rPr>
          <w:rFonts w:ascii="Arial" w:eastAsia="仿宋_GB2312" w:hAnsi="Arial" w:cs="Arial"/>
          <w:b/>
        </w:rPr>
        <w:t>二、其他需要说明的事项</w:t>
      </w:r>
      <w:r w:rsidRPr="00F631FB">
        <w:rPr>
          <w:rFonts w:ascii="Arial" w:eastAsia="仿宋_GB2312" w:hAnsi="Arial" w:cs="Arial"/>
          <w:bCs/>
        </w:rPr>
        <w:t>：详见报告中的特殊事项说明及假设和限制条件。</w:t>
      </w:r>
    </w:p>
    <w:p w14:paraId="7E4F2857" w14:textId="77777777" w:rsidR="002C3ABF" w:rsidRPr="00F631FB" w:rsidRDefault="002C3ABF" w:rsidP="002C3ABF">
      <w:pPr>
        <w:spacing w:line="240" w:lineRule="auto"/>
        <w:rPr>
          <w:rFonts w:ascii="Arial" w:eastAsia="仿宋_GB2312" w:hAnsi="Arial" w:cs="Arial"/>
          <w:bCs/>
        </w:rPr>
      </w:pPr>
      <w:r w:rsidRPr="00F631FB">
        <w:rPr>
          <w:rFonts w:ascii="Arial" w:eastAsia="仿宋_GB2312" w:hAnsi="Arial" w:cs="Arial"/>
          <w:bCs/>
        </w:rPr>
        <w:t xml:space="preserve"> </w:t>
      </w:r>
    </w:p>
    <w:p w14:paraId="3DCB84C5" w14:textId="77777777" w:rsidR="002C3ABF" w:rsidRPr="00F631FB" w:rsidRDefault="002C3ABF" w:rsidP="002C3ABF">
      <w:pPr>
        <w:spacing w:line="240" w:lineRule="auto"/>
        <w:rPr>
          <w:rFonts w:ascii="Arial" w:eastAsia="仿宋_GB2312" w:hAnsi="Arial" w:cs="Arial"/>
          <w:bCs/>
        </w:rPr>
      </w:pPr>
    </w:p>
    <w:p w14:paraId="43B15A73" w14:textId="77777777" w:rsidR="002C3ABF" w:rsidRPr="00F631FB" w:rsidRDefault="002C3ABF" w:rsidP="002C3ABF">
      <w:pPr>
        <w:spacing w:line="240" w:lineRule="auto"/>
        <w:ind w:firstLine="7500"/>
        <w:jc w:val="right"/>
        <w:rPr>
          <w:rFonts w:ascii="Arial" w:eastAsia="仿宋_GB2312" w:hAnsi="Arial" w:cs="Arial"/>
          <w:bCs/>
        </w:rPr>
      </w:pPr>
    </w:p>
    <w:p w14:paraId="05E7C24D" w14:textId="77777777" w:rsidR="002C3ABF" w:rsidRPr="00F631FB" w:rsidRDefault="002C3ABF" w:rsidP="002C3ABF">
      <w:pPr>
        <w:spacing w:line="240" w:lineRule="auto"/>
        <w:ind w:firstLine="7500"/>
        <w:jc w:val="right"/>
        <w:rPr>
          <w:rFonts w:ascii="Arial" w:eastAsia="仿宋_GB2312" w:hAnsi="Arial" w:cs="Arial"/>
          <w:bCs/>
        </w:rPr>
      </w:pPr>
    </w:p>
    <w:p w14:paraId="2715B341" w14:textId="77777777" w:rsidR="002C3ABF" w:rsidRPr="00F631FB" w:rsidRDefault="002C3ABF" w:rsidP="002C3ABF">
      <w:pPr>
        <w:spacing w:line="240" w:lineRule="auto"/>
        <w:ind w:firstLine="7500"/>
        <w:jc w:val="right"/>
        <w:rPr>
          <w:rFonts w:ascii="Arial" w:eastAsia="仿宋_GB2312" w:hAnsi="Arial" w:cs="Arial"/>
          <w:bCs/>
        </w:rPr>
      </w:pPr>
    </w:p>
    <w:p w14:paraId="068A8FB2" w14:textId="77777777" w:rsidR="002C3ABF" w:rsidRPr="00F631FB" w:rsidRDefault="002C3ABF" w:rsidP="002C3ABF">
      <w:pPr>
        <w:spacing w:line="240" w:lineRule="auto"/>
        <w:ind w:firstLine="7500"/>
        <w:jc w:val="right"/>
        <w:rPr>
          <w:rFonts w:ascii="Arial" w:eastAsia="仿宋_GB2312" w:hAnsi="Arial" w:cs="Arial"/>
          <w:bCs/>
        </w:rPr>
      </w:pPr>
    </w:p>
    <w:p w14:paraId="0CB7534B" w14:textId="77777777" w:rsidR="002C3ABF" w:rsidRPr="00F631FB" w:rsidRDefault="002C3ABF" w:rsidP="002C3ABF">
      <w:pPr>
        <w:spacing w:line="240" w:lineRule="auto"/>
        <w:ind w:firstLine="7500"/>
        <w:jc w:val="right"/>
        <w:rPr>
          <w:rFonts w:ascii="Arial" w:eastAsia="仿宋_GB2312" w:hAnsi="Arial" w:cs="Arial"/>
          <w:bCs/>
        </w:rPr>
      </w:pPr>
    </w:p>
    <w:p w14:paraId="70031D7D" w14:textId="77777777" w:rsidR="002C3ABF" w:rsidRPr="00F631FB" w:rsidRDefault="002C3ABF" w:rsidP="002C3ABF">
      <w:pPr>
        <w:spacing w:line="240" w:lineRule="auto"/>
        <w:ind w:firstLine="3828"/>
        <w:jc w:val="right"/>
        <w:rPr>
          <w:rFonts w:ascii="Arial" w:eastAsia="仿宋_GB2312" w:hAnsi="Arial" w:cs="Arial"/>
          <w:bCs/>
        </w:rPr>
      </w:pPr>
      <w:r w:rsidRPr="00F631FB">
        <w:rPr>
          <w:rFonts w:ascii="Arial" w:eastAsia="仿宋_GB2312" w:hAnsi="Arial" w:cs="Arial"/>
          <w:bCs/>
        </w:rPr>
        <w:t>估价机构：</w:t>
      </w:r>
      <w:proofErr w:type="gramStart"/>
      <w:r w:rsidRPr="00F631FB">
        <w:rPr>
          <w:rFonts w:ascii="Arial" w:eastAsia="仿宋_GB2312" w:hAnsi="Arial" w:cs="Arial"/>
          <w:bCs/>
        </w:rPr>
        <w:t>北京康正宏</w:t>
      </w:r>
      <w:proofErr w:type="gramEnd"/>
      <w:r w:rsidRPr="00F631FB">
        <w:rPr>
          <w:rFonts w:ascii="Arial" w:eastAsia="仿宋_GB2312" w:hAnsi="Arial" w:cs="Arial"/>
          <w:bCs/>
        </w:rPr>
        <w:t>基房地产评估有限公司</w:t>
      </w:r>
    </w:p>
    <w:p w14:paraId="428F3BEC" w14:textId="1378F7E3" w:rsidR="002C3ABF" w:rsidRPr="00F631FB" w:rsidRDefault="002C3ABF" w:rsidP="002C3ABF">
      <w:pPr>
        <w:spacing w:line="240" w:lineRule="auto"/>
        <w:ind w:firstLineChars="3077" w:firstLine="7385"/>
        <w:jc w:val="right"/>
        <w:rPr>
          <w:rFonts w:ascii="Arial" w:eastAsia="仿宋_GB2312" w:hAnsi="Arial" w:cs="Arial"/>
          <w:sz w:val="28"/>
        </w:rPr>
      </w:pPr>
      <w:r w:rsidRPr="00F631FB">
        <w:rPr>
          <w:rFonts w:ascii="Arial" w:eastAsia="仿宋_GB2312" w:hAnsi="Arial" w:cs="Arial"/>
          <w:bCs/>
        </w:rPr>
        <w:t xml:space="preserve">                </w:t>
      </w:r>
      <w:r w:rsidR="00831261">
        <w:rPr>
          <w:rFonts w:ascii="Arial" w:eastAsia="仿宋_GB2312" w:hAnsi="Arial" w:cs="Arial"/>
          <w:bCs/>
        </w:rPr>
        <w:t>2021</w:t>
      </w:r>
      <w:r w:rsidR="00831261">
        <w:rPr>
          <w:rFonts w:ascii="Arial" w:eastAsia="仿宋_GB2312" w:hAnsi="Arial" w:cs="Arial"/>
          <w:bCs/>
        </w:rPr>
        <w:t>年</w:t>
      </w:r>
      <w:r w:rsidR="00831261">
        <w:rPr>
          <w:rFonts w:ascii="Arial" w:eastAsia="仿宋_GB2312" w:hAnsi="Arial" w:cs="Arial"/>
          <w:bCs/>
        </w:rPr>
        <w:t>12</w:t>
      </w:r>
      <w:r w:rsidR="00831261">
        <w:rPr>
          <w:rFonts w:ascii="Arial" w:eastAsia="仿宋_GB2312" w:hAnsi="Arial" w:cs="Arial"/>
          <w:bCs/>
        </w:rPr>
        <w:t>月</w:t>
      </w:r>
      <w:r w:rsidR="00831261">
        <w:rPr>
          <w:rFonts w:ascii="Arial" w:eastAsia="仿宋_GB2312" w:hAnsi="Arial" w:cs="Arial"/>
          <w:bCs/>
        </w:rPr>
        <w:t>1</w:t>
      </w:r>
      <w:r w:rsidR="00831261">
        <w:rPr>
          <w:rFonts w:ascii="Arial" w:eastAsia="仿宋_GB2312" w:hAnsi="Arial" w:cs="Arial"/>
          <w:bCs/>
        </w:rPr>
        <w:t>日</w:t>
      </w:r>
    </w:p>
    <w:p w14:paraId="0BFA9BCA" w14:textId="77777777" w:rsidR="002C3ABF" w:rsidRPr="00F631FB" w:rsidRDefault="002C3ABF" w:rsidP="002C3ABF">
      <w:pPr>
        <w:spacing w:line="240" w:lineRule="auto"/>
        <w:ind w:firstLineChars="3077" w:firstLine="7385"/>
        <w:jc w:val="right"/>
        <w:rPr>
          <w:rFonts w:ascii="Arial" w:eastAsia="仿宋_GB2312" w:hAnsi="Arial" w:cs="Arial"/>
          <w:bCs/>
        </w:rPr>
      </w:pPr>
    </w:p>
    <w:p w14:paraId="283739B3" w14:textId="77777777" w:rsidR="002C3ABF" w:rsidRPr="00F631FB" w:rsidRDefault="002C3ABF" w:rsidP="002C3ABF">
      <w:pPr>
        <w:spacing w:line="240" w:lineRule="auto"/>
        <w:ind w:firstLineChars="3077" w:firstLine="7385"/>
        <w:jc w:val="right"/>
        <w:rPr>
          <w:rFonts w:ascii="Arial" w:eastAsia="仿宋_GB2312" w:hAnsi="Arial" w:cs="Arial"/>
          <w:bCs/>
        </w:rPr>
      </w:pPr>
    </w:p>
    <w:p w14:paraId="69AD4D09" w14:textId="77777777" w:rsidR="002C3ABF" w:rsidRPr="00F631FB" w:rsidRDefault="002C3ABF" w:rsidP="002C3ABF">
      <w:pPr>
        <w:spacing w:line="240" w:lineRule="auto"/>
        <w:ind w:firstLineChars="3077" w:firstLine="8616"/>
        <w:jc w:val="right"/>
        <w:rPr>
          <w:rFonts w:ascii="Arial" w:eastAsia="仿宋_GB2312" w:hAnsi="Arial" w:cs="Arial"/>
          <w:sz w:val="28"/>
        </w:rPr>
      </w:pPr>
    </w:p>
    <w:p w14:paraId="38713746" w14:textId="77777777" w:rsidR="002C3ABF" w:rsidRPr="00F631FB" w:rsidRDefault="002C3ABF" w:rsidP="002C3ABF">
      <w:pPr>
        <w:spacing w:line="360" w:lineRule="auto"/>
        <w:ind w:firstLineChars="1600" w:firstLine="4480"/>
        <w:rPr>
          <w:rFonts w:ascii="Arial" w:eastAsia="仿宋_GB2312" w:hAnsi="Arial" w:cs="Arial"/>
          <w:sz w:val="28"/>
        </w:rPr>
        <w:sectPr w:rsidR="002C3ABF" w:rsidRPr="00F631FB">
          <w:headerReference w:type="first" r:id="rId26"/>
          <w:pgSz w:w="11907" w:h="16840"/>
          <w:pgMar w:top="1843" w:right="1134" w:bottom="1134" w:left="1134" w:header="1134" w:footer="850" w:gutter="340"/>
          <w:cols w:space="720"/>
          <w:titlePg/>
          <w:docGrid w:linePitch="326"/>
        </w:sectPr>
      </w:pPr>
    </w:p>
    <w:p w14:paraId="6A624C92" w14:textId="77777777" w:rsidR="002C3ABF" w:rsidRPr="00F631FB" w:rsidRDefault="002C3ABF" w:rsidP="002C3ABF">
      <w:pPr>
        <w:spacing w:line="360" w:lineRule="auto"/>
        <w:jc w:val="center"/>
        <w:outlineLvl w:val="0"/>
        <w:rPr>
          <w:rFonts w:ascii="Arial" w:hAnsi="Arial" w:cs="Arial"/>
          <w:b/>
          <w:sz w:val="32"/>
        </w:rPr>
      </w:pPr>
      <w:bookmarkStart w:id="63" w:name="_Toc416783528"/>
      <w:bookmarkStart w:id="64" w:name="_Toc425250313"/>
      <w:bookmarkStart w:id="65" w:name="_Toc515458366"/>
      <w:bookmarkStart w:id="66" w:name="_Toc418750891"/>
      <w:bookmarkStart w:id="67" w:name="_Toc469066311"/>
      <w:bookmarkStart w:id="68" w:name="_Toc524335065"/>
      <w:bookmarkStart w:id="69" w:name="_Toc69393376"/>
      <w:r w:rsidRPr="00F631FB">
        <w:rPr>
          <w:rFonts w:ascii="Arial" w:hAnsi="Arial" w:cs="Arial"/>
          <w:b/>
          <w:sz w:val="32"/>
        </w:rPr>
        <w:lastRenderedPageBreak/>
        <w:t>第二部分</w:t>
      </w:r>
      <w:r w:rsidRPr="00F631FB">
        <w:rPr>
          <w:rFonts w:ascii="Arial" w:eastAsia="仿宋_GB2312" w:hAnsi="Arial" w:cs="Arial"/>
          <w:b/>
          <w:sz w:val="32"/>
        </w:rPr>
        <w:t xml:space="preserve">  </w:t>
      </w:r>
      <w:r w:rsidRPr="00F631FB">
        <w:rPr>
          <w:rFonts w:ascii="Arial" w:hAnsi="Arial" w:cs="Arial"/>
          <w:b/>
          <w:sz w:val="32"/>
        </w:rPr>
        <w:t>估价对象界定</w:t>
      </w:r>
      <w:bookmarkEnd w:id="63"/>
      <w:bookmarkEnd w:id="64"/>
      <w:bookmarkEnd w:id="65"/>
      <w:bookmarkEnd w:id="66"/>
      <w:bookmarkEnd w:id="67"/>
      <w:bookmarkEnd w:id="68"/>
      <w:bookmarkEnd w:id="69"/>
    </w:p>
    <w:p w14:paraId="58207C91" w14:textId="77777777" w:rsidR="002C3ABF" w:rsidRPr="00F631FB" w:rsidRDefault="002C3ABF" w:rsidP="002C3ABF">
      <w:pPr>
        <w:spacing w:line="360" w:lineRule="auto"/>
        <w:rPr>
          <w:rFonts w:ascii="Arial" w:eastAsia="仿宋_GB2312" w:hAnsi="Arial" w:cs="Arial"/>
          <w:sz w:val="28"/>
        </w:rPr>
      </w:pPr>
    </w:p>
    <w:p w14:paraId="7157A65B" w14:textId="77777777" w:rsidR="002C3ABF" w:rsidRPr="00F631FB" w:rsidRDefault="002C3ABF" w:rsidP="002C3ABF">
      <w:pPr>
        <w:spacing w:line="360" w:lineRule="auto"/>
        <w:outlineLvl w:val="1"/>
        <w:rPr>
          <w:rFonts w:ascii="Arial" w:eastAsia="仿宋_GB2312" w:hAnsi="Arial" w:cs="Arial"/>
          <w:b/>
          <w:sz w:val="28"/>
        </w:rPr>
      </w:pPr>
      <w:bookmarkStart w:id="70" w:name="_Toc515458367"/>
      <w:bookmarkStart w:id="71" w:name="_Toc469066312"/>
      <w:bookmarkStart w:id="72" w:name="_Toc515261594"/>
      <w:bookmarkStart w:id="73" w:name="_Toc418750892"/>
      <w:bookmarkStart w:id="74" w:name="_Toc416783529"/>
      <w:bookmarkStart w:id="75" w:name="_Toc425250314"/>
      <w:bookmarkStart w:id="76" w:name="_Toc524335066"/>
      <w:bookmarkStart w:id="77" w:name="_Toc69393377"/>
      <w:bookmarkStart w:id="78" w:name="_Toc469066315"/>
      <w:bookmarkStart w:id="79" w:name="_Toc425250317"/>
      <w:bookmarkStart w:id="80" w:name="_Toc418750895"/>
      <w:bookmarkStart w:id="81" w:name="_Toc416783532"/>
      <w:r w:rsidRPr="00F631FB">
        <w:rPr>
          <w:rFonts w:ascii="Arial" w:eastAsia="仿宋_GB2312" w:hAnsi="Arial" w:cs="Arial"/>
          <w:b/>
          <w:sz w:val="28"/>
        </w:rPr>
        <w:t>一、委托估价方</w:t>
      </w:r>
      <w:bookmarkEnd w:id="70"/>
      <w:bookmarkEnd w:id="71"/>
      <w:bookmarkEnd w:id="72"/>
      <w:bookmarkEnd w:id="73"/>
      <w:bookmarkEnd w:id="74"/>
      <w:bookmarkEnd w:id="75"/>
      <w:bookmarkEnd w:id="76"/>
      <w:bookmarkEnd w:id="77"/>
    </w:p>
    <w:p w14:paraId="4A95EF8A" w14:textId="77777777" w:rsidR="002C3ABF" w:rsidRPr="00F631FB" w:rsidRDefault="002C3ABF" w:rsidP="002C3ABF">
      <w:pPr>
        <w:spacing w:line="360" w:lineRule="auto"/>
        <w:ind w:firstLine="570"/>
        <w:jc w:val="both"/>
        <w:rPr>
          <w:rFonts w:ascii="Arial" w:eastAsia="仿宋_GB2312" w:hAnsi="Arial" w:cs="Arial"/>
          <w:sz w:val="28"/>
        </w:rPr>
      </w:pPr>
      <w:r w:rsidRPr="00F631FB">
        <w:rPr>
          <w:rFonts w:ascii="Arial" w:eastAsia="仿宋_GB2312" w:hAnsi="Arial" w:cs="Arial"/>
          <w:sz w:val="28"/>
        </w:rPr>
        <w:t>本次评估委托估价方为北京市土地利用事务中心，非估价对象的土地使用权人。</w:t>
      </w:r>
    </w:p>
    <w:p w14:paraId="75134BF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单位名称：北京市土地利用事务中心</w:t>
      </w:r>
    </w:p>
    <w:p w14:paraId="0056EE00" w14:textId="77777777" w:rsidR="002C3ABF" w:rsidRPr="00F631FB" w:rsidRDefault="002C3ABF" w:rsidP="002C3ABF">
      <w:pPr>
        <w:snapToGrid w:val="0"/>
        <w:spacing w:line="360" w:lineRule="auto"/>
        <w:ind w:firstLine="556"/>
        <w:rPr>
          <w:rFonts w:ascii="Arial" w:eastAsia="仿宋_GB2312" w:hAnsi="Arial" w:cs="Arial"/>
          <w:sz w:val="28"/>
          <w:szCs w:val="28"/>
        </w:rPr>
      </w:pPr>
      <w:r w:rsidRPr="00F631FB">
        <w:rPr>
          <w:rFonts w:ascii="Arial" w:eastAsia="仿宋_GB2312" w:hAnsi="Arial" w:cs="Arial"/>
          <w:sz w:val="28"/>
          <w:szCs w:val="28"/>
        </w:rPr>
        <w:t>单位地址：北京市通州区承安街</w:t>
      </w:r>
      <w:r w:rsidRPr="00F631FB">
        <w:rPr>
          <w:rFonts w:ascii="Arial" w:eastAsia="仿宋_GB2312" w:hAnsi="Arial" w:cs="Arial"/>
          <w:sz w:val="28"/>
          <w:szCs w:val="28"/>
        </w:rPr>
        <w:t>1</w:t>
      </w:r>
      <w:r w:rsidRPr="00F631FB">
        <w:rPr>
          <w:rFonts w:ascii="Arial" w:eastAsia="仿宋_GB2312" w:hAnsi="Arial" w:cs="Arial"/>
          <w:sz w:val="28"/>
          <w:szCs w:val="28"/>
        </w:rPr>
        <w:t>号</w:t>
      </w:r>
    </w:p>
    <w:p w14:paraId="21F51566" w14:textId="77777777" w:rsidR="002C3ABF" w:rsidRPr="00F631FB" w:rsidRDefault="002C3ABF" w:rsidP="002C3ABF">
      <w:pPr>
        <w:snapToGrid w:val="0"/>
        <w:spacing w:line="360" w:lineRule="auto"/>
        <w:ind w:firstLine="556"/>
        <w:rPr>
          <w:rFonts w:ascii="Arial" w:eastAsia="仿宋_GB2312" w:hAnsi="Arial" w:cs="Arial"/>
          <w:sz w:val="28"/>
          <w:szCs w:val="28"/>
        </w:rPr>
      </w:pPr>
    </w:p>
    <w:p w14:paraId="5242A1A7" w14:textId="26EAD5E8" w:rsidR="002C3ABF" w:rsidRPr="007802E7" w:rsidRDefault="002C3ABF" w:rsidP="002C3ABF">
      <w:pPr>
        <w:snapToGrid w:val="0"/>
        <w:spacing w:line="360" w:lineRule="auto"/>
        <w:ind w:firstLine="556"/>
        <w:rPr>
          <w:rFonts w:ascii="Arial" w:eastAsia="仿宋_GB2312" w:hAnsi="Arial" w:cs="Arial"/>
          <w:sz w:val="28"/>
        </w:rPr>
      </w:pPr>
      <w:r w:rsidRPr="007802E7">
        <w:rPr>
          <w:rFonts w:ascii="Arial" w:eastAsia="仿宋_GB2312" w:hAnsi="Arial" w:cs="Arial"/>
          <w:sz w:val="28"/>
        </w:rPr>
        <w:t>受让方：</w:t>
      </w:r>
      <w:r w:rsidR="008E4F13" w:rsidRPr="007802E7">
        <w:rPr>
          <w:rFonts w:ascii="Arial" w:eastAsia="仿宋_GB2312" w:hAnsi="Arial" w:cs="Arial"/>
          <w:sz w:val="28"/>
        </w:rPr>
        <w:t>北京城投地下空间开发建设有限公司</w:t>
      </w:r>
    </w:p>
    <w:p w14:paraId="6140635A" w14:textId="6DE46F57" w:rsidR="002C3ABF" w:rsidRPr="007802E7" w:rsidRDefault="002C3ABF" w:rsidP="002C3ABF">
      <w:pPr>
        <w:snapToGrid w:val="0"/>
        <w:spacing w:line="360" w:lineRule="auto"/>
        <w:ind w:firstLineChars="200" w:firstLine="560"/>
        <w:rPr>
          <w:rFonts w:ascii="Arial" w:eastAsia="仿宋_GB2312" w:hAnsi="Arial" w:cs="Arial"/>
          <w:sz w:val="28"/>
        </w:rPr>
      </w:pPr>
      <w:r w:rsidRPr="007802E7">
        <w:rPr>
          <w:rFonts w:ascii="Arial" w:eastAsia="仿宋_GB2312" w:hAnsi="Arial" w:cs="Arial"/>
          <w:sz w:val="28"/>
        </w:rPr>
        <w:t>类型：有限责任公司</w:t>
      </w:r>
      <w:r w:rsidRPr="007802E7">
        <w:rPr>
          <w:rFonts w:ascii="Arial" w:eastAsia="仿宋_GB2312" w:hAnsi="Arial" w:cs="Arial" w:hint="eastAsia"/>
          <w:sz w:val="28"/>
        </w:rPr>
        <w:t>（</w:t>
      </w:r>
      <w:r w:rsidR="007802E7" w:rsidRPr="007802E7">
        <w:rPr>
          <w:rFonts w:ascii="Arial" w:eastAsia="仿宋_GB2312" w:hAnsi="Arial" w:cs="Arial" w:hint="eastAsia"/>
          <w:sz w:val="28"/>
        </w:rPr>
        <w:t>法人独资</w:t>
      </w:r>
      <w:r w:rsidRPr="007802E7">
        <w:rPr>
          <w:rFonts w:ascii="Arial" w:eastAsia="仿宋_GB2312" w:hAnsi="Arial" w:cs="Arial" w:hint="eastAsia"/>
          <w:sz w:val="28"/>
        </w:rPr>
        <w:t>）</w:t>
      </w:r>
    </w:p>
    <w:p w14:paraId="7E304BCF" w14:textId="492FEF46" w:rsidR="002C3ABF" w:rsidRPr="007802E7" w:rsidRDefault="002C3ABF" w:rsidP="002C3ABF">
      <w:pPr>
        <w:snapToGrid w:val="0"/>
        <w:spacing w:line="360" w:lineRule="auto"/>
        <w:ind w:firstLineChars="200" w:firstLine="560"/>
        <w:rPr>
          <w:rFonts w:ascii="Arial" w:eastAsia="仿宋_GB2312" w:hAnsi="Arial" w:cs="Arial"/>
          <w:sz w:val="28"/>
        </w:rPr>
      </w:pPr>
      <w:r w:rsidRPr="007802E7">
        <w:rPr>
          <w:rFonts w:ascii="Arial" w:eastAsia="仿宋_GB2312" w:hAnsi="Arial" w:cs="Arial"/>
          <w:sz w:val="28"/>
        </w:rPr>
        <w:t>住所：北京市</w:t>
      </w:r>
      <w:r w:rsidR="007802E7">
        <w:rPr>
          <w:rFonts w:ascii="Arial" w:eastAsia="仿宋_GB2312" w:hAnsi="Arial" w:cs="Arial" w:hint="eastAsia"/>
          <w:sz w:val="28"/>
        </w:rPr>
        <w:t>密云区滨河路</w:t>
      </w:r>
      <w:r w:rsidR="007802E7">
        <w:rPr>
          <w:rFonts w:ascii="Arial" w:eastAsia="仿宋_GB2312" w:hAnsi="Arial" w:cs="Arial" w:hint="eastAsia"/>
          <w:sz w:val="28"/>
        </w:rPr>
        <w:t>1</w:t>
      </w:r>
      <w:r w:rsidR="007802E7">
        <w:rPr>
          <w:rFonts w:ascii="Arial" w:eastAsia="仿宋_GB2312" w:hAnsi="Arial" w:cs="Arial"/>
          <w:sz w:val="28"/>
        </w:rPr>
        <w:t>72</w:t>
      </w:r>
      <w:r w:rsidR="007802E7">
        <w:rPr>
          <w:rFonts w:ascii="Arial" w:eastAsia="仿宋_GB2312" w:hAnsi="Arial" w:cs="Arial" w:hint="eastAsia"/>
          <w:sz w:val="28"/>
        </w:rPr>
        <w:t>号楼</w:t>
      </w:r>
      <w:r w:rsidR="007802E7">
        <w:rPr>
          <w:rFonts w:ascii="Arial" w:eastAsia="仿宋_GB2312" w:hAnsi="Arial" w:cs="Arial" w:hint="eastAsia"/>
          <w:sz w:val="28"/>
        </w:rPr>
        <w:t>5</w:t>
      </w:r>
      <w:r w:rsidR="007802E7">
        <w:rPr>
          <w:rFonts w:ascii="Arial" w:eastAsia="仿宋_GB2312" w:hAnsi="Arial" w:cs="Arial"/>
          <w:sz w:val="28"/>
        </w:rPr>
        <w:t>01</w:t>
      </w:r>
      <w:r w:rsidR="007802E7">
        <w:rPr>
          <w:rFonts w:ascii="Arial" w:eastAsia="仿宋_GB2312" w:hAnsi="Arial" w:cs="Arial" w:hint="eastAsia"/>
          <w:sz w:val="28"/>
        </w:rPr>
        <w:t>室</w:t>
      </w:r>
      <w:r w:rsidR="007802E7">
        <w:rPr>
          <w:rFonts w:ascii="Arial" w:eastAsia="仿宋_GB2312" w:hAnsi="Arial" w:cs="Arial" w:hint="eastAsia"/>
          <w:sz w:val="28"/>
        </w:rPr>
        <w:t>-</w:t>
      </w:r>
      <w:r w:rsidR="007802E7">
        <w:rPr>
          <w:rFonts w:ascii="Arial" w:eastAsia="仿宋_GB2312" w:hAnsi="Arial" w:cs="Arial"/>
          <w:sz w:val="28"/>
        </w:rPr>
        <w:t>84</w:t>
      </w:r>
    </w:p>
    <w:p w14:paraId="1DD9356B" w14:textId="3432CF43" w:rsidR="002C3ABF" w:rsidRPr="007802E7" w:rsidRDefault="002C3ABF" w:rsidP="002C3ABF">
      <w:pPr>
        <w:snapToGrid w:val="0"/>
        <w:spacing w:line="360" w:lineRule="auto"/>
        <w:ind w:firstLineChars="200" w:firstLine="560"/>
        <w:rPr>
          <w:rFonts w:ascii="Arial" w:eastAsia="仿宋_GB2312" w:hAnsi="Arial" w:cs="Arial"/>
          <w:sz w:val="28"/>
        </w:rPr>
      </w:pPr>
      <w:r w:rsidRPr="007802E7">
        <w:rPr>
          <w:rFonts w:ascii="Arial" w:eastAsia="仿宋_GB2312" w:hAnsi="Arial" w:cs="Arial"/>
          <w:sz w:val="28"/>
        </w:rPr>
        <w:t>法定代表人：</w:t>
      </w:r>
      <w:r w:rsidR="007802E7">
        <w:rPr>
          <w:rFonts w:ascii="Arial" w:eastAsia="仿宋_GB2312" w:hAnsi="Arial" w:cs="Arial" w:hint="eastAsia"/>
          <w:sz w:val="28"/>
        </w:rPr>
        <w:t>王耀</w:t>
      </w:r>
    </w:p>
    <w:p w14:paraId="30E30F08" w14:textId="7FC5AFDB" w:rsidR="002C3ABF" w:rsidRPr="007802E7" w:rsidRDefault="002C3ABF" w:rsidP="002C3ABF">
      <w:pPr>
        <w:snapToGrid w:val="0"/>
        <w:spacing w:line="360" w:lineRule="auto"/>
        <w:ind w:firstLineChars="200" w:firstLine="560"/>
        <w:rPr>
          <w:rFonts w:ascii="Arial" w:eastAsia="仿宋_GB2312" w:hAnsi="Arial" w:cs="Arial"/>
          <w:sz w:val="28"/>
        </w:rPr>
      </w:pPr>
      <w:r w:rsidRPr="007802E7">
        <w:rPr>
          <w:rFonts w:ascii="Arial" w:eastAsia="仿宋_GB2312" w:hAnsi="Arial" w:cs="Arial"/>
          <w:sz w:val="28"/>
        </w:rPr>
        <w:t>注册资本：</w:t>
      </w:r>
      <w:r w:rsidR="007802E7">
        <w:rPr>
          <w:rFonts w:ascii="Arial" w:eastAsia="仿宋_GB2312" w:hAnsi="Arial" w:cs="Arial"/>
          <w:sz w:val="28"/>
        </w:rPr>
        <w:t>10000</w:t>
      </w:r>
      <w:r w:rsidRPr="007802E7">
        <w:rPr>
          <w:rFonts w:ascii="Arial" w:eastAsia="仿宋_GB2312" w:hAnsi="Arial" w:cs="Arial"/>
          <w:sz w:val="28"/>
        </w:rPr>
        <w:t>万元</w:t>
      </w:r>
    </w:p>
    <w:p w14:paraId="11C4727C" w14:textId="1EE89A1E" w:rsidR="002C3ABF" w:rsidRPr="007802E7" w:rsidRDefault="002C3ABF" w:rsidP="002C3ABF">
      <w:pPr>
        <w:snapToGrid w:val="0"/>
        <w:spacing w:line="360" w:lineRule="auto"/>
        <w:ind w:firstLineChars="200" w:firstLine="560"/>
        <w:rPr>
          <w:rFonts w:ascii="Arial" w:eastAsia="仿宋_GB2312" w:hAnsi="Arial" w:cs="Arial"/>
          <w:sz w:val="28"/>
        </w:rPr>
      </w:pPr>
      <w:r w:rsidRPr="007802E7">
        <w:rPr>
          <w:rFonts w:ascii="Arial" w:eastAsia="仿宋_GB2312" w:hAnsi="Arial" w:cs="Arial"/>
          <w:sz w:val="28"/>
        </w:rPr>
        <w:t>成立日期：</w:t>
      </w:r>
      <w:r w:rsidR="007802E7">
        <w:rPr>
          <w:rFonts w:ascii="Arial" w:eastAsia="仿宋_GB2312" w:hAnsi="Arial" w:cs="Arial"/>
          <w:sz w:val="28"/>
        </w:rPr>
        <w:t>2012</w:t>
      </w:r>
      <w:r w:rsidRPr="007802E7">
        <w:rPr>
          <w:rFonts w:ascii="Arial" w:eastAsia="仿宋_GB2312" w:hAnsi="Arial" w:cs="Arial"/>
          <w:sz w:val="28"/>
        </w:rPr>
        <w:t>年</w:t>
      </w:r>
      <w:r w:rsidRPr="007802E7">
        <w:rPr>
          <w:rFonts w:ascii="Arial" w:eastAsia="仿宋_GB2312" w:hAnsi="Arial" w:cs="Arial"/>
          <w:sz w:val="28"/>
        </w:rPr>
        <w:t>0</w:t>
      </w:r>
      <w:r w:rsidR="007802E7">
        <w:rPr>
          <w:rFonts w:ascii="Arial" w:eastAsia="仿宋_GB2312" w:hAnsi="Arial" w:cs="Arial"/>
          <w:sz w:val="28"/>
        </w:rPr>
        <w:t>7</w:t>
      </w:r>
      <w:r w:rsidRPr="007802E7">
        <w:rPr>
          <w:rFonts w:ascii="Arial" w:eastAsia="仿宋_GB2312" w:hAnsi="Arial" w:cs="Arial"/>
          <w:sz w:val="28"/>
        </w:rPr>
        <w:t>月</w:t>
      </w:r>
      <w:r w:rsidR="007802E7">
        <w:rPr>
          <w:rFonts w:ascii="Arial" w:eastAsia="仿宋_GB2312" w:hAnsi="Arial" w:cs="Arial"/>
          <w:sz w:val="28"/>
        </w:rPr>
        <w:t>24</w:t>
      </w:r>
      <w:r w:rsidRPr="007802E7">
        <w:rPr>
          <w:rFonts w:ascii="Arial" w:eastAsia="仿宋_GB2312" w:hAnsi="Arial" w:cs="Arial"/>
          <w:sz w:val="28"/>
        </w:rPr>
        <w:t>日</w:t>
      </w:r>
    </w:p>
    <w:p w14:paraId="3868CAF3" w14:textId="209CF898" w:rsidR="002C3ABF" w:rsidRPr="007802E7" w:rsidRDefault="002C3ABF" w:rsidP="002C3ABF">
      <w:pPr>
        <w:snapToGrid w:val="0"/>
        <w:spacing w:line="360" w:lineRule="auto"/>
        <w:ind w:firstLineChars="200" w:firstLine="560"/>
        <w:rPr>
          <w:rFonts w:ascii="Arial" w:eastAsia="仿宋_GB2312" w:hAnsi="Arial" w:cs="Arial"/>
          <w:sz w:val="28"/>
        </w:rPr>
      </w:pPr>
      <w:r w:rsidRPr="007802E7">
        <w:rPr>
          <w:rFonts w:ascii="Arial" w:eastAsia="仿宋_GB2312" w:hAnsi="Arial" w:cs="Arial"/>
          <w:sz w:val="28"/>
        </w:rPr>
        <w:t>营业期限：</w:t>
      </w:r>
      <w:r w:rsidR="007802E7">
        <w:rPr>
          <w:rFonts w:ascii="Arial" w:eastAsia="仿宋_GB2312" w:hAnsi="Arial" w:cs="Arial"/>
          <w:sz w:val="28"/>
        </w:rPr>
        <w:t>2012</w:t>
      </w:r>
      <w:r w:rsidR="007802E7" w:rsidRPr="007802E7">
        <w:rPr>
          <w:rFonts w:ascii="Arial" w:eastAsia="仿宋_GB2312" w:hAnsi="Arial" w:cs="Arial"/>
          <w:sz w:val="28"/>
        </w:rPr>
        <w:t>年</w:t>
      </w:r>
      <w:r w:rsidR="007802E7" w:rsidRPr="007802E7">
        <w:rPr>
          <w:rFonts w:ascii="Arial" w:eastAsia="仿宋_GB2312" w:hAnsi="Arial" w:cs="Arial"/>
          <w:sz w:val="28"/>
        </w:rPr>
        <w:t>0</w:t>
      </w:r>
      <w:r w:rsidR="007802E7">
        <w:rPr>
          <w:rFonts w:ascii="Arial" w:eastAsia="仿宋_GB2312" w:hAnsi="Arial" w:cs="Arial"/>
          <w:sz w:val="28"/>
        </w:rPr>
        <w:t>7</w:t>
      </w:r>
      <w:r w:rsidR="007802E7" w:rsidRPr="007802E7">
        <w:rPr>
          <w:rFonts w:ascii="Arial" w:eastAsia="仿宋_GB2312" w:hAnsi="Arial" w:cs="Arial"/>
          <w:sz w:val="28"/>
        </w:rPr>
        <w:t>月</w:t>
      </w:r>
      <w:r w:rsidR="007802E7">
        <w:rPr>
          <w:rFonts w:ascii="Arial" w:eastAsia="仿宋_GB2312" w:hAnsi="Arial" w:cs="Arial"/>
          <w:sz w:val="28"/>
        </w:rPr>
        <w:t>24</w:t>
      </w:r>
      <w:r w:rsidR="007802E7" w:rsidRPr="007802E7">
        <w:rPr>
          <w:rFonts w:ascii="Arial" w:eastAsia="仿宋_GB2312" w:hAnsi="Arial" w:cs="Arial"/>
          <w:sz w:val="28"/>
        </w:rPr>
        <w:t>日</w:t>
      </w:r>
      <w:r w:rsidRPr="007802E7">
        <w:rPr>
          <w:rFonts w:ascii="Arial" w:eastAsia="仿宋_GB2312" w:hAnsi="Arial" w:cs="Arial"/>
          <w:sz w:val="28"/>
        </w:rPr>
        <w:t>至</w:t>
      </w:r>
      <w:r w:rsidRPr="007802E7">
        <w:rPr>
          <w:rFonts w:ascii="Arial" w:eastAsia="仿宋_GB2312" w:hAnsi="Arial" w:cs="Arial"/>
          <w:sz w:val="28"/>
        </w:rPr>
        <w:t>20</w:t>
      </w:r>
      <w:r w:rsidR="007802E7">
        <w:rPr>
          <w:rFonts w:ascii="Arial" w:eastAsia="仿宋_GB2312" w:hAnsi="Arial" w:cs="Arial"/>
          <w:sz w:val="28"/>
        </w:rPr>
        <w:t>62</w:t>
      </w:r>
      <w:r w:rsidRPr="007802E7">
        <w:rPr>
          <w:rFonts w:ascii="Arial" w:eastAsia="仿宋_GB2312" w:hAnsi="Arial" w:cs="Arial"/>
          <w:sz w:val="28"/>
        </w:rPr>
        <w:t>年</w:t>
      </w:r>
      <w:r w:rsidRPr="007802E7">
        <w:rPr>
          <w:rFonts w:ascii="Arial" w:eastAsia="仿宋_GB2312" w:hAnsi="Arial" w:cs="Arial" w:hint="eastAsia"/>
          <w:sz w:val="28"/>
        </w:rPr>
        <w:t>0</w:t>
      </w:r>
      <w:r w:rsidR="007802E7">
        <w:rPr>
          <w:rFonts w:ascii="Arial" w:eastAsia="仿宋_GB2312" w:hAnsi="Arial" w:cs="Arial"/>
          <w:sz w:val="28"/>
        </w:rPr>
        <w:t>7</w:t>
      </w:r>
      <w:r w:rsidRPr="007802E7">
        <w:rPr>
          <w:rFonts w:ascii="Arial" w:eastAsia="仿宋_GB2312" w:hAnsi="Arial" w:cs="Arial"/>
          <w:sz w:val="28"/>
        </w:rPr>
        <w:t>月</w:t>
      </w:r>
      <w:r w:rsidRPr="007802E7">
        <w:rPr>
          <w:rFonts w:ascii="Arial" w:eastAsia="仿宋_GB2312" w:hAnsi="Arial" w:cs="Arial" w:hint="eastAsia"/>
          <w:sz w:val="28"/>
        </w:rPr>
        <w:t>23</w:t>
      </w:r>
      <w:r w:rsidRPr="007802E7">
        <w:rPr>
          <w:rFonts w:ascii="Arial" w:eastAsia="仿宋_GB2312" w:hAnsi="Arial" w:cs="Arial"/>
          <w:sz w:val="28"/>
        </w:rPr>
        <w:t>日</w:t>
      </w:r>
    </w:p>
    <w:p w14:paraId="273EA631" w14:textId="0076859D" w:rsidR="002C3ABF" w:rsidRPr="007802E7" w:rsidRDefault="002C3ABF" w:rsidP="00D52D77">
      <w:pPr>
        <w:spacing w:line="360" w:lineRule="auto"/>
        <w:ind w:firstLineChars="200" w:firstLine="560"/>
        <w:jc w:val="both"/>
        <w:rPr>
          <w:rFonts w:ascii="Arial" w:eastAsia="仿宋_GB2312" w:hAnsi="Arial" w:cs="Arial"/>
          <w:sz w:val="28"/>
          <w:szCs w:val="28"/>
        </w:rPr>
      </w:pPr>
      <w:r w:rsidRPr="007802E7">
        <w:rPr>
          <w:rFonts w:ascii="Arial" w:eastAsia="仿宋_GB2312" w:hAnsi="Arial" w:cs="Arial"/>
          <w:sz w:val="28"/>
          <w:szCs w:val="28"/>
        </w:rPr>
        <w:t>经营范围：房地产开发</w:t>
      </w:r>
      <w:r w:rsidR="007802E7">
        <w:rPr>
          <w:rFonts w:ascii="Arial" w:eastAsia="仿宋_GB2312" w:hAnsi="Arial" w:cs="Arial" w:hint="eastAsia"/>
          <w:sz w:val="28"/>
          <w:szCs w:val="28"/>
        </w:rPr>
        <w:t>；物业管理；专业承包；销售商品房、日用杂品、服装；机动车公共停车场服务；设计、制作、代理、发布广告；投资咨询、技术咨询</w:t>
      </w:r>
      <w:r w:rsidRPr="007802E7">
        <w:rPr>
          <w:rFonts w:ascii="Arial" w:eastAsia="仿宋_GB2312" w:hAnsi="Arial" w:cs="Arial" w:hint="eastAsia"/>
          <w:sz w:val="28"/>
          <w:szCs w:val="28"/>
        </w:rPr>
        <w:t>。</w:t>
      </w:r>
      <w:r w:rsidRPr="007802E7">
        <w:rPr>
          <w:rFonts w:ascii="Arial" w:eastAsia="仿宋_GB2312" w:hAnsi="Arial" w:cs="Arial"/>
          <w:sz w:val="28"/>
          <w:szCs w:val="28"/>
        </w:rPr>
        <w:t>（</w:t>
      </w:r>
      <w:r w:rsidR="007802E7">
        <w:rPr>
          <w:rFonts w:ascii="Arial" w:eastAsia="仿宋_GB2312" w:hAnsi="Arial" w:cs="Arial" w:hint="eastAsia"/>
          <w:sz w:val="28"/>
          <w:szCs w:val="28"/>
        </w:rPr>
        <w:t>领取本执照后，应到城乡建设委员会取得行政许可；企业依法自</w:t>
      </w:r>
      <w:r w:rsidR="00D52D77">
        <w:rPr>
          <w:rFonts w:ascii="Arial" w:eastAsia="仿宋_GB2312" w:hAnsi="Arial" w:cs="Arial" w:hint="eastAsia"/>
          <w:sz w:val="28"/>
          <w:szCs w:val="28"/>
        </w:rPr>
        <w:t>主</w:t>
      </w:r>
      <w:r w:rsidR="007802E7">
        <w:rPr>
          <w:rFonts w:ascii="Arial" w:eastAsia="仿宋_GB2312" w:hAnsi="Arial" w:cs="Arial" w:hint="eastAsia"/>
          <w:sz w:val="28"/>
          <w:szCs w:val="28"/>
        </w:rPr>
        <w:t>选择经营项目，开展经营活动；依法须经批准的项目，经相关部门批准后</w:t>
      </w:r>
      <w:r w:rsidR="00D52D77">
        <w:rPr>
          <w:rFonts w:ascii="Arial" w:eastAsia="仿宋_GB2312" w:hAnsi="Arial" w:cs="Arial" w:hint="eastAsia"/>
          <w:sz w:val="28"/>
          <w:szCs w:val="28"/>
        </w:rPr>
        <w:t>依批准的内容</w:t>
      </w:r>
      <w:r w:rsidRPr="007802E7">
        <w:rPr>
          <w:rFonts w:ascii="Arial" w:eastAsia="仿宋_GB2312" w:hAnsi="Arial" w:cs="Arial"/>
          <w:sz w:val="28"/>
          <w:szCs w:val="28"/>
        </w:rPr>
        <w:t>开展经营活动；不得从事本市产业政策禁止和限制类项目的经营活动。）</w:t>
      </w:r>
    </w:p>
    <w:p w14:paraId="297A7E71" w14:textId="087D0433" w:rsidR="002C3ABF" w:rsidRPr="00596C77" w:rsidRDefault="002C3ABF" w:rsidP="002C3ABF">
      <w:pPr>
        <w:spacing w:line="360" w:lineRule="auto"/>
        <w:ind w:firstLineChars="200" w:firstLine="560"/>
        <w:rPr>
          <w:rFonts w:ascii="Arial" w:eastAsia="仿宋_GB2312" w:hAnsi="Arial" w:cs="Arial"/>
          <w:sz w:val="28"/>
          <w:szCs w:val="28"/>
        </w:rPr>
      </w:pPr>
      <w:r w:rsidRPr="00596C77">
        <w:rPr>
          <w:rFonts w:ascii="Arial" w:eastAsia="仿宋_GB2312" w:hAnsi="Arial" w:cs="Arial"/>
          <w:sz w:val="28"/>
          <w:szCs w:val="28"/>
        </w:rPr>
        <w:t>联系人：</w:t>
      </w:r>
      <w:r w:rsidR="00596C77" w:rsidRPr="00596C77">
        <w:rPr>
          <w:rFonts w:ascii="Arial" w:eastAsia="仿宋_GB2312" w:hAnsi="Arial" w:cs="Arial" w:hint="eastAsia"/>
          <w:sz w:val="28"/>
          <w:szCs w:val="28"/>
        </w:rPr>
        <w:t>徐志远</w:t>
      </w:r>
    </w:p>
    <w:p w14:paraId="5B518A51" w14:textId="62357F76" w:rsidR="002C3ABF" w:rsidRPr="00F631FB" w:rsidRDefault="002C3ABF" w:rsidP="002C3ABF">
      <w:pPr>
        <w:spacing w:line="360" w:lineRule="auto"/>
        <w:ind w:firstLineChars="200" w:firstLine="560"/>
        <w:jc w:val="both"/>
        <w:rPr>
          <w:rFonts w:ascii="Arial" w:eastAsia="仿宋_GB2312" w:hAnsi="Arial" w:cs="Arial"/>
          <w:sz w:val="28"/>
          <w:szCs w:val="28"/>
        </w:rPr>
      </w:pPr>
      <w:r w:rsidRPr="00596C77">
        <w:rPr>
          <w:rFonts w:ascii="Arial" w:eastAsia="仿宋_GB2312" w:hAnsi="Arial" w:cs="Arial"/>
          <w:sz w:val="28"/>
          <w:szCs w:val="28"/>
        </w:rPr>
        <w:t>联系电话：</w:t>
      </w:r>
      <w:r w:rsidR="00596C77" w:rsidRPr="00596C77">
        <w:rPr>
          <w:rFonts w:ascii="Arial" w:eastAsia="仿宋_GB2312" w:hAnsi="Arial" w:cs="Arial"/>
          <w:sz w:val="28"/>
          <w:szCs w:val="28"/>
        </w:rPr>
        <w:t>13</w:t>
      </w:r>
      <w:r w:rsidR="00596C77">
        <w:rPr>
          <w:rFonts w:ascii="Arial" w:eastAsia="仿宋_GB2312" w:hAnsi="Arial" w:cs="Arial"/>
          <w:sz w:val="28"/>
          <w:szCs w:val="28"/>
        </w:rPr>
        <w:t>601039313</w:t>
      </w:r>
    </w:p>
    <w:p w14:paraId="62343A63" w14:textId="77777777" w:rsidR="002C3ABF" w:rsidRPr="00F631FB" w:rsidRDefault="002C3ABF" w:rsidP="002C3ABF">
      <w:pPr>
        <w:spacing w:line="360" w:lineRule="auto"/>
        <w:jc w:val="both"/>
        <w:rPr>
          <w:rFonts w:ascii="Arial" w:eastAsia="仿宋_GB2312" w:hAnsi="Arial" w:cs="Arial"/>
          <w:b/>
          <w:sz w:val="28"/>
        </w:rPr>
      </w:pPr>
    </w:p>
    <w:p w14:paraId="08B0D690" w14:textId="77777777" w:rsidR="002C3ABF" w:rsidRPr="00F631FB" w:rsidRDefault="002C3ABF" w:rsidP="002C3ABF">
      <w:pPr>
        <w:spacing w:line="360" w:lineRule="auto"/>
        <w:outlineLvl w:val="1"/>
        <w:rPr>
          <w:rFonts w:ascii="Arial" w:eastAsia="仿宋_GB2312" w:hAnsi="Arial" w:cs="Arial"/>
          <w:b/>
          <w:sz w:val="28"/>
        </w:rPr>
      </w:pPr>
      <w:bookmarkStart w:id="82" w:name="_Toc425250315"/>
      <w:bookmarkStart w:id="83" w:name="_Toc418750893"/>
      <w:bookmarkStart w:id="84" w:name="_Toc416783530"/>
      <w:bookmarkStart w:id="85" w:name="_Toc469066313"/>
      <w:bookmarkStart w:id="86" w:name="_Toc515261595"/>
      <w:bookmarkStart w:id="87" w:name="_Toc515458368"/>
      <w:bookmarkStart w:id="88" w:name="_Toc524335067"/>
      <w:bookmarkStart w:id="89" w:name="_Toc69393378"/>
      <w:r w:rsidRPr="00F631FB">
        <w:rPr>
          <w:rFonts w:ascii="Arial" w:eastAsia="仿宋_GB2312" w:hAnsi="Arial" w:cs="Arial"/>
          <w:b/>
          <w:sz w:val="28"/>
        </w:rPr>
        <w:t>二、估价对象</w:t>
      </w:r>
      <w:bookmarkEnd w:id="82"/>
      <w:bookmarkEnd w:id="83"/>
      <w:bookmarkEnd w:id="84"/>
      <w:bookmarkEnd w:id="85"/>
      <w:bookmarkEnd w:id="86"/>
      <w:bookmarkEnd w:id="87"/>
      <w:bookmarkEnd w:id="88"/>
      <w:bookmarkEnd w:id="89"/>
    </w:p>
    <w:p w14:paraId="6F9A1067" w14:textId="17179047" w:rsidR="00596C77" w:rsidRDefault="006C1DB6" w:rsidP="00596C77">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lastRenderedPageBreak/>
        <w:t>估价对象为北京城投地下空间开发建设有限公司使用的北京市海淀区苏州街站一体化棚户区改造一次性招标项目用地。估价对象总规划建筑面积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。详见下表：</w:t>
      </w:r>
    </w:p>
    <w:p w14:paraId="7E06A744" w14:textId="5806D333" w:rsidR="006C1DB6" w:rsidRDefault="006C1DB6" w:rsidP="00596C77">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14:paraId="28DA1C4A" w14:textId="77777777" w:rsidR="006C1DB6" w:rsidRDefault="006C1DB6" w:rsidP="00596C77">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b/>
          <w:bCs/>
          <w:szCs w:val="18"/>
        </w:rPr>
        <w:br w:type="page"/>
      </w:r>
    </w:p>
    <w:p w14:paraId="0474306A" w14:textId="10BC74D0" w:rsidR="00596C77" w:rsidRPr="00666906" w:rsidRDefault="00CD767E" w:rsidP="00596C77">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hint="eastAsia"/>
          <w:b/>
          <w:bCs/>
          <w:szCs w:val="18"/>
        </w:rPr>
        <w:lastRenderedPageBreak/>
        <w:t>土地用途及建筑面积表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06"/>
        <w:gridCol w:w="1308"/>
        <w:gridCol w:w="2943"/>
        <w:gridCol w:w="2636"/>
      </w:tblGrid>
      <w:tr w:rsidR="00CD767E" w:rsidRPr="00F86D61" w14:paraId="184F3873" w14:textId="77777777" w:rsidTr="00CE438D">
        <w:trPr>
          <w:trHeight w:val="632"/>
          <w:tblHeader/>
        </w:trPr>
        <w:tc>
          <w:tcPr>
            <w:tcW w:w="1371" w:type="pct"/>
            <w:gridSpan w:val="2"/>
            <w:shd w:val="clear" w:color="auto" w:fill="auto"/>
            <w:noWrap/>
            <w:vAlign w:val="center"/>
          </w:tcPr>
          <w:p w14:paraId="494881EF"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位置</w:t>
            </w:r>
          </w:p>
        </w:tc>
        <w:tc>
          <w:tcPr>
            <w:tcW w:w="782" w:type="pct"/>
            <w:shd w:val="clear" w:color="auto" w:fill="auto"/>
            <w:noWrap/>
            <w:vAlign w:val="center"/>
          </w:tcPr>
          <w:p w14:paraId="7DAD95E5"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用途</w:t>
            </w:r>
          </w:p>
        </w:tc>
        <w:tc>
          <w:tcPr>
            <w:tcW w:w="1662" w:type="pct"/>
            <w:shd w:val="clear" w:color="auto" w:fill="auto"/>
            <w:noWrap/>
            <w:vAlign w:val="center"/>
          </w:tcPr>
          <w:p w14:paraId="075C7DDD"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分类</w:t>
            </w:r>
          </w:p>
        </w:tc>
        <w:tc>
          <w:tcPr>
            <w:tcW w:w="1185" w:type="pct"/>
            <w:shd w:val="clear" w:color="auto" w:fill="auto"/>
            <w:noWrap/>
            <w:vAlign w:val="center"/>
          </w:tcPr>
          <w:p w14:paraId="02552A95" w14:textId="7E66B6E0" w:rsidR="00CD767E" w:rsidRPr="00F86D61" w:rsidRDefault="006C1DB6"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规划</w:t>
            </w:r>
            <w:r w:rsidR="00CD767E" w:rsidRPr="00F86D61">
              <w:rPr>
                <w:rFonts w:ascii="Arial" w:eastAsia="仿宋_GB2312" w:hAnsi="Arial" w:cs="Arial" w:hint="eastAsia"/>
                <w:sz w:val="22"/>
                <w:szCs w:val="16"/>
              </w:rPr>
              <w:t>建筑面积（平方米）</w:t>
            </w:r>
          </w:p>
        </w:tc>
      </w:tr>
      <w:tr w:rsidR="00CD767E" w:rsidRPr="00F86D61" w14:paraId="12388B4C" w14:textId="77777777" w:rsidTr="00CE438D">
        <w:trPr>
          <w:trHeight w:val="345"/>
        </w:trPr>
        <w:tc>
          <w:tcPr>
            <w:tcW w:w="590" w:type="pct"/>
            <w:vMerge w:val="restart"/>
            <w:shd w:val="clear" w:color="auto" w:fill="auto"/>
            <w:noWrap/>
            <w:vAlign w:val="center"/>
            <w:hideMark/>
          </w:tcPr>
          <w:p w14:paraId="32354E9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地上</w:t>
            </w:r>
            <w:r>
              <w:rPr>
                <w:rFonts w:ascii="Arial" w:eastAsia="仿宋_GB2312" w:hAnsi="Arial" w:cs="Arial" w:hint="eastAsia"/>
                <w:sz w:val="22"/>
                <w:szCs w:val="16"/>
              </w:rPr>
              <w:t>部分</w:t>
            </w:r>
          </w:p>
        </w:tc>
        <w:tc>
          <w:tcPr>
            <w:tcW w:w="781" w:type="pct"/>
            <w:vMerge w:val="restart"/>
            <w:vAlign w:val="center"/>
          </w:tcPr>
          <w:p w14:paraId="4215249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vMerge w:val="restart"/>
            <w:shd w:val="clear" w:color="auto" w:fill="auto"/>
            <w:noWrap/>
            <w:vAlign w:val="center"/>
            <w:hideMark/>
          </w:tcPr>
          <w:p w14:paraId="402A7D7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住宅</w:t>
            </w:r>
          </w:p>
        </w:tc>
        <w:tc>
          <w:tcPr>
            <w:tcW w:w="1662" w:type="pct"/>
            <w:shd w:val="clear" w:color="auto" w:fill="auto"/>
            <w:noWrap/>
            <w:vAlign w:val="center"/>
            <w:hideMark/>
          </w:tcPr>
          <w:p w14:paraId="391D182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回迁安置房</w:t>
            </w:r>
          </w:p>
        </w:tc>
        <w:tc>
          <w:tcPr>
            <w:tcW w:w="1185" w:type="pct"/>
            <w:shd w:val="clear" w:color="auto" w:fill="auto"/>
            <w:noWrap/>
            <w:vAlign w:val="center"/>
            <w:hideMark/>
          </w:tcPr>
          <w:p w14:paraId="2C35422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13920.98</w:t>
            </w:r>
          </w:p>
        </w:tc>
      </w:tr>
      <w:tr w:rsidR="00CD767E" w:rsidRPr="001D4423" w14:paraId="619E2098" w14:textId="77777777" w:rsidTr="00CE438D">
        <w:trPr>
          <w:trHeight w:val="345"/>
        </w:trPr>
        <w:tc>
          <w:tcPr>
            <w:tcW w:w="590" w:type="pct"/>
            <w:vMerge/>
            <w:shd w:val="clear" w:color="auto" w:fill="auto"/>
            <w:vAlign w:val="center"/>
            <w:hideMark/>
          </w:tcPr>
          <w:p w14:paraId="1E44990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8AEB69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1A0C3E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3F8791F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w:t>
            </w:r>
          </w:p>
        </w:tc>
        <w:tc>
          <w:tcPr>
            <w:tcW w:w="1185" w:type="pct"/>
            <w:shd w:val="clear" w:color="auto" w:fill="auto"/>
            <w:noWrap/>
            <w:vAlign w:val="center"/>
            <w:hideMark/>
          </w:tcPr>
          <w:p w14:paraId="4EF6802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13794.02</w:t>
            </w:r>
          </w:p>
        </w:tc>
      </w:tr>
      <w:tr w:rsidR="00CD767E" w:rsidRPr="001D4423" w14:paraId="3D4396D4" w14:textId="77777777" w:rsidTr="00CE438D">
        <w:trPr>
          <w:trHeight w:val="345"/>
        </w:trPr>
        <w:tc>
          <w:tcPr>
            <w:tcW w:w="590" w:type="pct"/>
            <w:vMerge/>
            <w:shd w:val="clear" w:color="auto" w:fill="auto"/>
            <w:vAlign w:val="center"/>
            <w:hideMark/>
          </w:tcPr>
          <w:p w14:paraId="0A55405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390EF6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A3D91B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570D16D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人防室外出入口及其他</w:t>
            </w:r>
          </w:p>
        </w:tc>
        <w:tc>
          <w:tcPr>
            <w:tcW w:w="1185" w:type="pct"/>
            <w:shd w:val="clear" w:color="auto" w:fill="auto"/>
            <w:noWrap/>
            <w:vAlign w:val="center"/>
            <w:hideMark/>
          </w:tcPr>
          <w:p w14:paraId="2C330B4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w:t>
            </w:r>
          </w:p>
        </w:tc>
      </w:tr>
      <w:tr w:rsidR="00CD767E" w:rsidRPr="00F86D61" w14:paraId="16C932A5" w14:textId="77777777" w:rsidTr="00CE438D">
        <w:trPr>
          <w:trHeight w:val="345"/>
        </w:trPr>
        <w:tc>
          <w:tcPr>
            <w:tcW w:w="590" w:type="pct"/>
            <w:vMerge/>
            <w:shd w:val="clear" w:color="auto" w:fill="auto"/>
            <w:vAlign w:val="center"/>
            <w:hideMark/>
          </w:tcPr>
          <w:p w14:paraId="64FE112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1E5636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8235CE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5FAF043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5842D3E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28075</w:t>
            </w:r>
          </w:p>
        </w:tc>
      </w:tr>
      <w:tr w:rsidR="00CD767E" w:rsidRPr="00F86D61" w14:paraId="51996D71" w14:textId="77777777" w:rsidTr="00CE438D">
        <w:trPr>
          <w:trHeight w:val="345"/>
        </w:trPr>
        <w:tc>
          <w:tcPr>
            <w:tcW w:w="590" w:type="pct"/>
            <w:vMerge/>
            <w:shd w:val="clear" w:color="auto" w:fill="auto"/>
            <w:vAlign w:val="center"/>
            <w:hideMark/>
          </w:tcPr>
          <w:p w14:paraId="3FA8ADF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526EE9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019CEFF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商业</w:t>
            </w:r>
          </w:p>
        </w:tc>
        <w:tc>
          <w:tcPr>
            <w:tcW w:w="1662" w:type="pct"/>
            <w:shd w:val="clear" w:color="auto" w:fill="auto"/>
            <w:vAlign w:val="center"/>
            <w:hideMark/>
          </w:tcPr>
          <w:p w14:paraId="7CAF15B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w:t>
            </w:r>
            <w:proofErr w:type="gramStart"/>
            <w:r w:rsidRPr="001D4423">
              <w:rPr>
                <w:rFonts w:ascii="Arial" w:eastAsia="仿宋_GB2312" w:hAnsi="Arial" w:cs="Arial" w:hint="eastAsia"/>
                <w:sz w:val="22"/>
                <w:szCs w:val="16"/>
              </w:rPr>
              <w:t>房配套</w:t>
            </w:r>
            <w:proofErr w:type="gramEnd"/>
            <w:r w:rsidRPr="001D4423">
              <w:rPr>
                <w:rFonts w:ascii="Arial" w:eastAsia="仿宋_GB2312" w:hAnsi="Arial" w:cs="Arial" w:hint="eastAsia"/>
                <w:sz w:val="22"/>
                <w:szCs w:val="16"/>
              </w:rPr>
              <w:t>商业</w:t>
            </w:r>
          </w:p>
        </w:tc>
        <w:tc>
          <w:tcPr>
            <w:tcW w:w="1185" w:type="pct"/>
            <w:shd w:val="clear" w:color="auto" w:fill="auto"/>
            <w:noWrap/>
            <w:vAlign w:val="center"/>
            <w:hideMark/>
          </w:tcPr>
          <w:p w14:paraId="63E1341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260</w:t>
            </w:r>
          </w:p>
        </w:tc>
      </w:tr>
      <w:tr w:rsidR="00CD767E" w:rsidRPr="00F86D61" w14:paraId="52074AF8" w14:textId="77777777" w:rsidTr="00CE438D">
        <w:trPr>
          <w:trHeight w:val="345"/>
        </w:trPr>
        <w:tc>
          <w:tcPr>
            <w:tcW w:w="590" w:type="pct"/>
            <w:vMerge/>
            <w:shd w:val="clear" w:color="auto" w:fill="auto"/>
            <w:vAlign w:val="center"/>
            <w:hideMark/>
          </w:tcPr>
          <w:p w14:paraId="06085C4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9C8A33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129B71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6861C5D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平衡资金商品房配套商业</w:t>
            </w:r>
          </w:p>
        </w:tc>
        <w:tc>
          <w:tcPr>
            <w:tcW w:w="1185" w:type="pct"/>
            <w:shd w:val="clear" w:color="auto" w:fill="auto"/>
            <w:noWrap/>
            <w:vAlign w:val="center"/>
            <w:hideMark/>
          </w:tcPr>
          <w:p w14:paraId="09EFDD3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3045</w:t>
            </w:r>
          </w:p>
        </w:tc>
      </w:tr>
      <w:tr w:rsidR="00CD767E" w:rsidRPr="00F86D61" w14:paraId="7D1D5FD5" w14:textId="77777777" w:rsidTr="00CE438D">
        <w:trPr>
          <w:trHeight w:val="345"/>
        </w:trPr>
        <w:tc>
          <w:tcPr>
            <w:tcW w:w="590" w:type="pct"/>
            <w:vMerge/>
            <w:shd w:val="clear" w:color="auto" w:fill="auto"/>
            <w:vAlign w:val="center"/>
            <w:hideMark/>
          </w:tcPr>
          <w:p w14:paraId="7CD3F5D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A8A381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396397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45289BF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小型商服</w:t>
            </w:r>
          </w:p>
        </w:tc>
        <w:tc>
          <w:tcPr>
            <w:tcW w:w="1185" w:type="pct"/>
            <w:shd w:val="clear" w:color="auto" w:fill="auto"/>
            <w:noWrap/>
            <w:vAlign w:val="center"/>
            <w:hideMark/>
          </w:tcPr>
          <w:p w14:paraId="41F55DD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w:t>
            </w:r>
          </w:p>
        </w:tc>
      </w:tr>
      <w:tr w:rsidR="00CD767E" w:rsidRPr="00F86D61" w14:paraId="47625D91" w14:textId="77777777" w:rsidTr="00CE438D">
        <w:trPr>
          <w:trHeight w:val="345"/>
        </w:trPr>
        <w:tc>
          <w:tcPr>
            <w:tcW w:w="590" w:type="pct"/>
            <w:vMerge/>
            <w:shd w:val="clear" w:color="auto" w:fill="auto"/>
            <w:vAlign w:val="center"/>
            <w:hideMark/>
          </w:tcPr>
          <w:p w14:paraId="6AF27C1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38E849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D81B52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340E7AD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2A8B91B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3318</w:t>
            </w:r>
          </w:p>
        </w:tc>
      </w:tr>
      <w:tr w:rsidR="00CD767E" w:rsidRPr="00F86D61" w14:paraId="3CA0C646" w14:textId="77777777" w:rsidTr="00CE438D">
        <w:trPr>
          <w:trHeight w:val="345"/>
        </w:trPr>
        <w:tc>
          <w:tcPr>
            <w:tcW w:w="590" w:type="pct"/>
            <w:vMerge/>
            <w:shd w:val="clear" w:color="auto" w:fill="auto"/>
            <w:vAlign w:val="center"/>
            <w:hideMark/>
          </w:tcPr>
          <w:p w14:paraId="23AC6B1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894AB3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6A794BB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办公</w:t>
            </w:r>
          </w:p>
        </w:tc>
        <w:tc>
          <w:tcPr>
            <w:tcW w:w="1662" w:type="pct"/>
            <w:shd w:val="clear" w:color="auto" w:fill="auto"/>
            <w:vAlign w:val="center"/>
            <w:hideMark/>
          </w:tcPr>
          <w:p w14:paraId="4A5AE3E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1BE5094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D767E" w:rsidRPr="00F86D61" w14:paraId="647F5BF2" w14:textId="77777777" w:rsidTr="00CE438D">
        <w:trPr>
          <w:trHeight w:val="345"/>
        </w:trPr>
        <w:tc>
          <w:tcPr>
            <w:tcW w:w="590" w:type="pct"/>
            <w:vMerge/>
            <w:shd w:val="clear" w:color="auto" w:fill="auto"/>
            <w:vAlign w:val="center"/>
            <w:hideMark/>
          </w:tcPr>
          <w:p w14:paraId="7EE3461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004D85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4EB6DE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56E4D01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231129D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D767E" w:rsidRPr="00F86D61" w14:paraId="293498ED" w14:textId="77777777" w:rsidTr="00CE438D">
        <w:trPr>
          <w:trHeight w:val="345"/>
        </w:trPr>
        <w:tc>
          <w:tcPr>
            <w:tcW w:w="590" w:type="pct"/>
            <w:vMerge/>
            <w:shd w:val="clear" w:color="auto" w:fill="auto"/>
            <w:vAlign w:val="center"/>
            <w:hideMark/>
          </w:tcPr>
          <w:p w14:paraId="04F7454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D28AF7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3CE16FA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2F8555A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31511</w:t>
            </w:r>
          </w:p>
        </w:tc>
      </w:tr>
      <w:tr w:rsidR="00CD767E" w:rsidRPr="00F86D61" w14:paraId="21AE8A02" w14:textId="77777777" w:rsidTr="00CE438D">
        <w:trPr>
          <w:trHeight w:val="345"/>
        </w:trPr>
        <w:tc>
          <w:tcPr>
            <w:tcW w:w="590" w:type="pct"/>
            <w:vMerge w:val="restart"/>
            <w:shd w:val="clear" w:color="auto" w:fill="auto"/>
            <w:noWrap/>
            <w:vAlign w:val="center"/>
            <w:hideMark/>
          </w:tcPr>
          <w:p w14:paraId="61DB961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w:t>
            </w:r>
            <w:r>
              <w:rPr>
                <w:rFonts w:ascii="Arial" w:eastAsia="仿宋_GB2312" w:hAnsi="Arial" w:cs="Arial" w:hint="eastAsia"/>
                <w:sz w:val="22"/>
                <w:szCs w:val="16"/>
              </w:rPr>
              <w:t>部分</w:t>
            </w:r>
          </w:p>
        </w:tc>
        <w:tc>
          <w:tcPr>
            <w:tcW w:w="781" w:type="pct"/>
            <w:vMerge w:val="restart"/>
            <w:vAlign w:val="center"/>
          </w:tcPr>
          <w:p w14:paraId="4019A99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shd w:val="clear" w:color="auto" w:fill="auto"/>
            <w:vAlign w:val="center"/>
            <w:hideMark/>
          </w:tcPr>
          <w:p w14:paraId="338C4A1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地下办公</w:t>
            </w:r>
          </w:p>
        </w:tc>
        <w:tc>
          <w:tcPr>
            <w:tcW w:w="1662" w:type="pct"/>
            <w:shd w:val="clear" w:color="auto" w:fill="auto"/>
            <w:vAlign w:val="center"/>
            <w:hideMark/>
          </w:tcPr>
          <w:p w14:paraId="280349B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212EF66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32</w:t>
            </w:r>
          </w:p>
        </w:tc>
      </w:tr>
      <w:tr w:rsidR="00CD767E" w:rsidRPr="00F86D61" w14:paraId="519471BF" w14:textId="77777777" w:rsidTr="00CE438D">
        <w:trPr>
          <w:trHeight w:val="345"/>
        </w:trPr>
        <w:tc>
          <w:tcPr>
            <w:tcW w:w="590" w:type="pct"/>
            <w:vMerge/>
            <w:shd w:val="clear" w:color="auto" w:fill="auto"/>
            <w:vAlign w:val="center"/>
            <w:hideMark/>
          </w:tcPr>
          <w:p w14:paraId="3FF12CF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257E3F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20D05BF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地下车库</w:t>
            </w:r>
          </w:p>
        </w:tc>
        <w:tc>
          <w:tcPr>
            <w:tcW w:w="1662" w:type="pct"/>
            <w:shd w:val="clear" w:color="auto" w:fill="auto"/>
            <w:vAlign w:val="center"/>
            <w:hideMark/>
          </w:tcPr>
          <w:p w14:paraId="7464A3D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汽车库</w:t>
            </w:r>
          </w:p>
        </w:tc>
        <w:tc>
          <w:tcPr>
            <w:tcW w:w="1185" w:type="pct"/>
            <w:shd w:val="clear" w:color="auto" w:fill="auto"/>
            <w:noWrap/>
            <w:vAlign w:val="center"/>
            <w:hideMark/>
          </w:tcPr>
          <w:p w14:paraId="53ED4C4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10345.02</w:t>
            </w:r>
          </w:p>
        </w:tc>
      </w:tr>
      <w:tr w:rsidR="00CD767E" w:rsidRPr="00F86D61" w14:paraId="4899EA3F" w14:textId="77777777" w:rsidTr="00CE438D">
        <w:trPr>
          <w:trHeight w:val="345"/>
        </w:trPr>
        <w:tc>
          <w:tcPr>
            <w:tcW w:w="590" w:type="pct"/>
            <w:vMerge/>
            <w:shd w:val="clear" w:color="auto" w:fill="auto"/>
            <w:vAlign w:val="center"/>
            <w:hideMark/>
          </w:tcPr>
          <w:p w14:paraId="46DC957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restart"/>
            <w:vAlign w:val="center"/>
          </w:tcPr>
          <w:p w14:paraId="175DB67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不出让</w:t>
            </w:r>
          </w:p>
        </w:tc>
        <w:tc>
          <w:tcPr>
            <w:tcW w:w="782" w:type="pct"/>
            <w:shd w:val="clear" w:color="auto" w:fill="auto"/>
            <w:vAlign w:val="center"/>
            <w:hideMark/>
          </w:tcPr>
          <w:p w14:paraId="012EBA3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662" w:type="pct"/>
            <w:shd w:val="clear" w:color="auto" w:fill="auto"/>
            <w:vAlign w:val="center"/>
            <w:hideMark/>
          </w:tcPr>
          <w:p w14:paraId="78AAC3E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185" w:type="pct"/>
            <w:shd w:val="clear" w:color="auto" w:fill="auto"/>
            <w:noWrap/>
            <w:vAlign w:val="center"/>
            <w:hideMark/>
          </w:tcPr>
          <w:p w14:paraId="4A2A01F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227</w:t>
            </w:r>
          </w:p>
        </w:tc>
      </w:tr>
      <w:tr w:rsidR="00CD767E" w:rsidRPr="00F86D61" w14:paraId="716EBB13" w14:textId="77777777" w:rsidTr="00CE438D">
        <w:trPr>
          <w:trHeight w:val="345"/>
        </w:trPr>
        <w:tc>
          <w:tcPr>
            <w:tcW w:w="590" w:type="pct"/>
            <w:vMerge/>
            <w:shd w:val="clear" w:color="auto" w:fill="auto"/>
            <w:vAlign w:val="center"/>
            <w:hideMark/>
          </w:tcPr>
          <w:p w14:paraId="53BC4F5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A3CE8B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0DB8971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662" w:type="pct"/>
            <w:shd w:val="clear" w:color="auto" w:fill="auto"/>
            <w:vAlign w:val="center"/>
            <w:hideMark/>
          </w:tcPr>
          <w:p w14:paraId="7D89025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185" w:type="pct"/>
            <w:shd w:val="clear" w:color="auto" w:fill="auto"/>
            <w:noWrap/>
            <w:vAlign w:val="center"/>
            <w:hideMark/>
          </w:tcPr>
          <w:p w14:paraId="0C2B3A7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3600.98</w:t>
            </w:r>
          </w:p>
        </w:tc>
      </w:tr>
      <w:tr w:rsidR="00CD767E" w:rsidRPr="00F86D61" w14:paraId="79A22562" w14:textId="77777777" w:rsidTr="00CE438D">
        <w:trPr>
          <w:trHeight w:val="345"/>
        </w:trPr>
        <w:tc>
          <w:tcPr>
            <w:tcW w:w="590" w:type="pct"/>
            <w:vMerge/>
            <w:shd w:val="clear" w:color="auto" w:fill="auto"/>
            <w:vAlign w:val="center"/>
            <w:hideMark/>
          </w:tcPr>
          <w:p w14:paraId="400BAB8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AC156E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vAlign w:val="center"/>
            <w:hideMark/>
          </w:tcPr>
          <w:p w14:paraId="062FC07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非经营性用途</w:t>
            </w:r>
          </w:p>
        </w:tc>
        <w:tc>
          <w:tcPr>
            <w:tcW w:w="1662" w:type="pct"/>
            <w:shd w:val="clear" w:color="auto" w:fill="auto"/>
            <w:vAlign w:val="center"/>
            <w:hideMark/>
          </w:tcPr>
          <w:p w14:paraId="70F7B2A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室内覆盖系统机房</w:t>
            </w:r>
          </w:p>
        </w:tc>
        <w:tc>
          <w:tcPr>
            <w:tcW w:w="1185" w:type="pct"/>
            <w:shd w:val="clear" w:color="auto" w:fill="auto"/>
            <w:noWrap/>
            <w:vAlign w:val="center"/>
            <w:hideMark/>
          </w:tcPr>
          <w:p w14:paraId="698DA28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D767E" w:rsidRPr="001D4423" w14:paraId="6F342B1F" w14:textId="77777777" w:rsidTr="00CE438D">
        <w:trPr>
          <w:trHeight w:val="345"/>
        </w:trPr>
        <w:tc>
          <w:tcPr>
            <w:tcW w:w="590" w:type="pct"/>
            <w:vMerge/>
            <w:shd w:val="clear" w:color="auto" w:fill="auto"/>
            <w:vAlign w:val="center"/>
            <w:hideMark/>
          </w:tcPr>
          <w:p w14:paraId="5C810DD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DFD116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0907E0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523F601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固定通信设备间</w:t>
            </w:r>
          </w:p>
        </w:tc>
        <w:tc>
          <w:tcPr>
            <w:tcW w:w="1185" w:type="pct"/>
            <w:shd w:val="clear" w:color="auto" w:fill="auto"/>
            <w:noWrap/>
            <w:vAlign w:val="center"/>
            <w:hideMark/>
          </w:tcPr>
          <w:p w14:paraId="6456C0E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D767E" w:rsidRPr="001D4423" w14:paraId="36027243" w14:textId="77777777" w:rsidTr="00CE438D">
        <w:trPr>
          <w:trHeight w:val="345"/>
        </w:trPr>
        <w:tc>
          <w:tcPr>
            <w:tcW w:w="590" w:type="pct"/>
            <w:vMerge/>
            <w:shd w:val="clear" w:color="auto" w:fill="auto"/>
            <w:vAlign w:val="center"/>
            <w:hideMark/>
          </w:tcPr>
          <w:p w14:paraId="3F673B1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6530B3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AE234B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030D348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有线电视光电转换间</w:t>
            </w:r>
          </w:p>
        </w:tc>
        <w:tc>
          <w:tcPr>
            <w:tcW w:w="1185" w:type="pct"/>
            <w:shd w:val="clear" w:color="auto" w:fill="auto"/>
            <w:noWrap/>
            <w:vAlign w:val="center"/>
            <w:hideMark/>
          </w:tcPr>
          <w:p w14:paraId="2CA44BF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w:t>
            </w:r>
          </w:p>
        </w:tc>
      </w:tr>
      <w:tr w:rsidR="00CD767E" w:rsidRPr="001D4423" w14:paraId="28958FB4" w14:textId="77777777" w:rsidTr="00CE438D">
        <w:trPr>
          <w:trHeight w:val="345"/>
        </w:trPr>
        <w:tc>
          <w:tcPr>
            <w:tcW w:w="590" w:type="pct"/>
            <w:vMerge/>
            <w:shd w:val="clear" w:color="auto" w:fill="auto"/>
            <w:vAlign w:val="center"/>
            <w:hideMark/>
          </w:tcPr>
          <w:p w14:paraId="16E63BA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98C0C5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CC1BA0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1F09506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配电室</w:t>
            </w:r>
          </w:p>
        </w:tc>
        <w:tc>
          <w:tcPr>
            <w:tcW w:w="1185" w:type="pct"/>
            <w:shd w:val="clear" w:color="auto" w:fill="auto"/>
            <w:noWrap/>
            <w:vAlign w:val="center"/>
            <w:hideMark/>
          </w:tcPr>
          <w:p w14:paraId="435ED81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180</w:t>
            </w:r>
          </w:p>
        </w:tc>
      </w:tr>
      <w:tr w:rsidR="00CD767E" w:rsidRPr="001D4423" w14:paraId="17E374A3" w14:textId="77777777" w:rsidTr="00CE438D">
        <w:trPr>
          <w:trHeight w:val="345"/>
        </w:trPr>
        <w:tc>
          <w:tcPr>
            <w:tcW w:w="590" w:type="pct"/>
            <w:vMerge/>
            <w:shd w:val="clear" w:color="auto" w:fill="auto"/>
            <w:vAlign w:val="center"/>
            <w:hideMark/>
          </w:tcPr>
          <w:p w14:paraId="0CB6A49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5D4F12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535074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3E6587B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热力站</w:t>
            </w:r>
          </w:p>
        </w:tc>
        <w:tc>
          <w:tcPr>
            <w:tcW w:w="1185" w:type="pct"/>
            <w:shd w:val="clear" w:color="auto" w:fill="auto"/>
            <w:noWrap/>
            <w:vAlign w:val="center"/>
            <w:hideMark/>
          </w:tcPr>
          <w:p w14:paraId="5814253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200</w:t>
            </w:r>
          </w:p>
        </w:tc>
      </w:tr>
      <w:tr w:rsidR="00CD767E" w:rsidRPr="001D4423" w14:paraId="70A52B4B" w14:textId="77777777" w:rsidTr="00CE438D">
        <w:trPr>
          <w:trHeight w:val="345"/>
        </w:trPr>
        <w:tc>
          <w:tcPr>
            <w:tcW w:w="590" w:type="pct"/>
            <w:vMerge/>
            <w:shd w:val="clear" w:color="auto" w:fill="auto"/>
            <w:vAlign w:val="center"/>
            <w:hideMark/>
          </w:tcPr>
          <w:p w14:paraId="0BFE4EA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361C5AC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8D32C4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5857860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设备用房</w:t>
            </w:r>
          </w:p>
        </w:tc>
        <w:tc>
          <w:tcPr>
            <w:tcW w:w="1185" w:type="pct"/>
            <w:shd w:val="clear" w:color="auto" w:fill="auto"/>
            <w:noWrap/>
            <w:vAlign w:val="center"/>
            <w:hideMark/>
          </w:tcPr>
          <w:p w14:paraId="30BD7E5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661</w:t>
            </w:r>
          </w:p>
        </w:tc>
      </w:tr>
      <w:tr w:rsidR="00CD767E" w:rsidRPr="00F86D61" w14:paraId="11A0FC9C" w14:textId="77777777" w:rsidTr="00CE438D">
        <w:trPr>
          <w:trHeight w:val="345"/>
        </w:trPr>
        <w:tc>
          <w:tcPr>
            <w:tcW w:w="590" w:type="pct"/>
            <w:vMerge/>
            <w:shd w:val="clear" w:color="auto" w:fill="auto"/>
            <w:vAlign w:val="center"/>
            <w:hideMark/>
          </w:tcPr>
          <w:p w14:paraId="0B7ACBF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0EF95F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2596A1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3B47DF2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4F47D41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1077</w:t>
            </w:r>
          </w:p>
        </w:tc>
      </w:tr>
      <w:tr w:rsidR="00CD767E" w:rsidRPr="00F86D61" w14:paraId="5CCE4B04" w14:textId="77777777" w:rsidTr="00CE438D">
        <w:trPr>
          <w:trHeight w:val="345"/>
        </w:trPr>
        <w:tc>
          <w:tcPr>
            <w:tcW w:w="590" w:type="pct"/>
            <w:vMerge/>
            <w:shd w:val="clear" w:color="auto" w:fill="auto"/>
            <w:vAlign w:val="center"/>
            <w:hideMark/>
          </w:tcPr>
          <w:p w14:paraId="6807964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Align w:val="center"/>
          </w:tcPr>
          <w:p w14:paraId="061C348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0318BF2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6769B19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15282</w:t>
            </w:r>
          </w:p>
        </w:tc>
      </w:tr>
      <w:tr w:rsidR="00CD767E" w:rsidRPr="00F86D61" w14:paraId="6A9CEEE8" w14:textId="77777777" w:rsidTr="00CE438D">
        <w:trPr>
          <w:trHeight w:val="345"/>
        </w:trPr>
        <w:tc>
          <w:tcPr>
            <w:tcW w:w="590" w:type="pct"/>
            <w:shd w:val="clear" w:color="auto" w:fill="auto"/>
            <w:noWrap/>
            <w:vAlign w:val="center"/>
            <w:hideMark/>
          </w:tcPr>
          <w:p w14:paraId="7120B78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总计</w:t>
            </w:r>
          </w:p>
        </w:tc>
        <w:tc>
          <w:tcPr>
            <w:tcW w:w="781" w:type="pct"/>
            <w:vAlign w:val="center"/>
          </w:tcPr>
          <w:p w14:paraId="0F2DEFD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hideMark/>
          </w:tcPr>
          <w:p w14:paraId="7057DD1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w:t>
            </w:r>
          </w:p>
        </w:tc>
        <w:tc>
          <w:tcPr>
            <w:tcW w:w="1185" w:type="pct"/>
            <w:shd w:val="clear" w:color="auto" w:fill="auto"/>
            <w:noWrap/>
            <w:vAlign w:val="center"/>
            <w:hideMark/>
          </w:tcPr>
          <w:p w14:paraId="75CA3D4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46793</w:t>
            </w:r>
          </w:p>
        </w:tc>
      </w:tr>
      <w:tr w:rsidR="00CD767E" w:rsidRPr="00F86D61" w14:paraId="4EF231C2" w14:textId="77777777" w:rsidTr="00CE438D">
        <w:trPr>
          <w:trHeight w:val="345"/>
        </w:trPr>
        <w:tc>
          <w:tcPr>
            <w:tcW w:w="590" w:type="pct"/>
            <w:shd w:val="clear" w:color="auto" w:fill="auto"/>
            <w:noWrap/>
            <w:vAlign w:val="center"/>
          </w:tcPr>
          <w:p w14:paraId="218623B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3214A009"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5C4C457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总用地面积</w:t>
            </w:r>
          </w:p>
        </w:tc>
        <w:tc>
          <w:tcPr>
            <w:tcW w:w="1185" w:type="pct"/>
            <w:shd w:val="clear" w:color="auto" w:fill="auto"/>
            <w:noWrap/>
            <w:vAlign w:val="center"/>
          </w:tcPr>
          <w:p w14:paraId="7512026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6180.978</w:t>
            </w:r>
          </w:p>
        </w:tc>
      </w:tr>
      <w:tr w:rsidR="00CD767E" w:rsidRPr="00F86D61" w14:paraId="2D548A12" w14:textId="77777777" w:rsidTr="00CE438D">
        <w:trPr>
          <w:trHeight w:val="345"/>
        </w:trPr>
        <w:tc>
          <w:tcPr>
            <w:tcW w:w="590" w:type="pct"/>
            <w:shd w:val="clear" w:color="auto" w:fill="auto"/>
            <w:noWrap/>
            <w:vAlign w:val="center"/>
          </w:tcPr>
          <w:p w14:paraId="3C6BB65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0B3E2F46" w14:textId="77777777" w:rsidR="00CD767E"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6BA84ED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容积率</w:t>
            </w:r>
          </w:p>
        </w:tc>
        <w:tc>
          <w:tcPr>
            <w:tcW w:w="1185" w:type="pct"/>
            <w:shd w:val="clear" w:color="auto" w:fill="auto"/>
            <w:noWrap/>
            <w:vAlign w:val="center"/>
          </w:tcPr>
          <w:p w14:paraId="32E59A13" w14:textId="527C1CB9"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5</w:t>
            </w:r>
            <w:r>
              <w:rPr>
                <w:rFonts w:ascii="Arial" w:eastAsia="仿宋_GB2312" w:hAnsi="Arial" w:cs="Arial"/>
                <w:sz w:val="22"/>
                <w:szCs w:val="16"/>
              </w:rPr>
              <w:t>.1</w:t>
            </w:r>
            <w:r w:rsidR="006C1DB6">
              <w:rPr>
                <w:rFonts w:ascii="Arial" w:eastAsia="仿宋_GB2312" w:hAnsi="Arial" w:cs="Arial"/>
                <w:sz w:val="22"/>
                <w:szCs w:val="16"/>
              </w:rPr>
              <w:t>0</w:t>
            </w:r>
          </w:p>
        </w:tc>
      </w:tr>
    </w:tbl>
    <w:p w14:paraId="3F5ED379" w14:textId="4119C490" w:rsidR="00B41767" w:rsidRPr="00E206FB" w:rsidRDefault="00B41767" w:rsidP="00B41767">
      <w:pPr>
        <w:spacing w:line="360" w:lineRule="auto"/>
        <w:jc w:val="both"/>
        <w:rPr>
          <w:rFonts w:ascii="Arial" w:eastAsia="仿宋_GB2312" w:hAnsi="Arial" w:cs="Arial"/>
          <w:sz w:val="28"/>
        </w:rPr>
      </w:pPr>
    </w:p>
    <w:p w14:paraId="63DAFFEF" w14:textId="77777777" w:rsidR="002C3ABF" w:rsidRPr="00F631FB" w:rsidRDefault="002C3ABF" w:rsidP="002C3ABF">
      <w:pPr>
        <w:spacing w:line="360" w:lineRule="auto"/>
        <w:outlineLvl w:val="1"/>
        <w:rPr>
          <w:rFonts w:ascii="Arial" w:eastAsia="仿宋_GB2312" w:hAnsi="Arial" w:cs="Arial"/>
          <w:b/>
          <w:sz w:val="28"/>
        </w:rPr>
      </w:pPr>
      <w:bookmarkStart w:id="90" w:name="_Toc416783531"/>
      <w:bookmarkStart w:id="91" w:name="_Toc515261596"/>
      <w:bookmarkStart w:id="92" w:name="_Toc469066314"/>
      <w:bookmarkStart w:id="93" w:name="_Toc418750894"/>
      <w:bookmarkStart w:id="94" w:name="_Toc515458369"/>
      <w:bookmarkStart w:id="95" w:name="_Toc425250316"/>
      <w:bookmarkStart w:id="96" w:name="_Toc524335068"/>
      <w:bookmarkStart w:id="97" w:name="_Toc69393379"/>
      <w:r w:rsidRPr="001715EB">
        <w:rPr>
          <w:rFonts w:ascii="Arial" w:eastAsia="仿宋_GB2312" w:hAnsi="Arial" w:cs="Arial"/>
          <w:b/>
          <w:sz w:val="28"/>
        </w:rPr>
        <w:t>三、估价对象概况</w:t>
      </w:r>
      <w:bookmarkEnd w:id="90"/>
      <w:bookmarkEnd w:id="91"/>
      <w:bookmarkEnd w:id="92"/>
      <w:bookmarkEnd w:id="93"/>
      <w:bookmarkEnd w:id="94"/>
      <w:bookmarkEnd w:id="95"/>
      <w:bookmarkEnd w:id="96"/>
      <w:bookmarkEnd w:id="97"/>
    </w:p>
    <w:p w14:paraId="63997094"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（一）土地登记状况</w:t>
      </w:r>
    </w:p>
    <w:p w14:paraId="320C2FC1"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hint="eastAsia"/>
          <w:bCs/>
          <w:sz w:val="28"/>
        </w:rPr>
        <w:t>土地来源：估价对象为</w:t>
      </w:r>
      <w:r>
        <w:rPr>
          <w:rFonts w:ascii="Arial" w:eastAsia="仿宋_GB2312" w:hAnsi="Arial" w:cs="Arial" w:hint="eastAsia"/>
          <w:sz w:val="28"/>
        </w:rPr>
        <w:t>北京市海淀区苏州街站一体化棚户区改造一次性招标项目国有建设用地</w:t>
      </w:r>
      <w:r>
        <w:rPr>
          <w:rFonts w:ascii="Arial" w:eastAsia="仿宋_GB2312" w:hAnsi="Arial" w:cs="Arial" w:hint="eastAsia"/>
          <w:bCs/>
          <w:sz w:val="28"/>
        </w:rPr>
        <w:t>，</w:t>
      </w:r>
      <w:r>
        <w:rPr>
          <w:rFonts w:ascii="Arial" w:eastAsia="仿宋_GB2312" w:hAnsi="Arial" w:cs="Arial" w:hint="eastAsia"/>
          <w:sz w:val="28"/>
        </w:rPr>
        <w:t>北京城投地下空间开发建设有限公司与</w:t>
      </w:r>
      <w:r>
        <w:rPr>
          <w:rFonts w:ascii="Arial" w:eastAsia="仿宋_GB2312" w:hAnsi="Arial" w:cs="Arial"/>
          <w:sz w:val="28"/>
        </w:rPr>
        <w:t>2017</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日通过招标方式取得估价对象</w:t>
      </w:r>
      <w:r>
        <w:rPr>
          <w:rFonts w:ascii="Arial" w:eastAsia="仿宋_GB2312" w:hAnsi="Arial" w:cs="Arial" w:hint="eastAsia"/>
          <w:bCs/>
          <w:sz w:val="28"/>
        </w:rPr>
        <w:t>国有建设用地使用权。</w:t>
      </w:r>
      <w:r>
        <w:rPr>
          <w:rFonts w:ascii="Arial" w:eastAsia="仿宋_GB2312" w:hAnsi="Arial" w:cs="Arial" w:hint="eastAsia"/>
          <w:sz w:val="28"/>
        </w:rPr>
        <w:t>根据《海淀区苏州</w:t>
      </w:r>
      <w:r>
        <w:rPr>
          <w:rFonts w:ascii="Arial" w:eastAsia="仿宋_GB2312" w:hAnsi="Arial" w:cs="Arial" w:hint="eastAsia"/>
          <w:sz w:val="28"/>
        </w:rPr>
        <w:lastRenderedPageBreak/>
        <w:t>街站一体化棚户区改造项目前期工作及拟改造土地使用权一次性招标方案》及其附件复印件、《北京市海淀区苏州街站一体化棚户区改造项目前期工作及拟改造土地使用权出让招标文件》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及其附件复印件、《中标通知书》复印件、《北京市规划和自然资源委员会关于北京市海淀区苏州街站一体化棚户区改造项目用地相关意见及设计方案审查意见的函（城镇建筑工程）》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及其附图复印件，现基本情况如下</w:t>
      </w:r>
      <w:r>
        <w:rPr>
          <w:rFonts w:ascii="Arial" w:eastAsia="仿宋_GB2312" w:hAnsi="Arial" w:cs="Arial"/>
          <w:sz w:val="28"/>
        </w:rPr>
        <w:t>:</w:t>
      </w:r>
    </w:p>
    <w:p w14:paraId="378BCA66" w14:textId="09F16272"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土地使用权</w:t>
      </w:r>
      <w:r w:rsidR="001715EB">
        <w:rPr>
          <w:rFonts w:ascii="Arial" w:eastAsia="仿宋_GB2312" w:hAnsi="Arial" w:cs="Arial" w:hint="eastAsia"/>
          <w:bCs/>
          <w:sz w:val="28"/>
        </w:rPr>
        <w:t>人</w:t>
      </w:r>
      <w:r w:rsidRPr="00F631FB">
        <w:rPr>
          <w:rFonts w:ascii="Arial" w:eastAsia="仿宋_GB2312" w:hAnsi="Arial" w:cs="Arial"/>
          <w:bCs/>
          <w:sz w:val="28"/>
        </w:rPr>
        <w:t>：</w:t>
      </w:r>
      <w:r w:rsidRPr="00F631FB">
        <w:rPr>
          <w:rFonts w:ascii="Arial" w:eastAsia="仿宋_GB2312" w:hAnsi="Arial" w:cs="Arial"/>
          <w:sz w:val="28"/>
        </w:rPr>
        <w:t xml:space="preserve"> </w:t>
      </w:r>
      <w:r w:rsidR="008E4F13">
        <w:rPr>
          <w:rFonts w:ascii="Arial" w:eastAsia="仿宋_GB2312" w:hAnsi="Arial" w:cs="Arial"/>
          <w:sz w:val="28"/>
        </w:rPr>
        <w:t>北京城投地下空间开发建设有限公司</w:t>
      </w:r>
    </w:p>
    <w:p w14:paraId="08E08E6A" w14:textId="25D22565"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bCs/>
          <w:sz w:val="28"/>
        </w:rPr>
        <w:t>坐落：</w:t>
      </w:r>
      <w:r w:rsidR="001715EB">
        <w:rPr>
          <w:rFonts w:ascii="Arial" w:eastAsia="仿宋_GB2312" w:hAnsi="Arial" w:cs="Arial" w:hint="eastAsia"/>
          <w:bCs/>
          <w:sz w:val="28"/>
        </w:rPr>
        <w:t>北京市海淀区海淀南路</w:t>
      </w:r>
      <w:r w:rsidR="001715EB">
        <w:rPr>
          <w:rFonts w:ascii="Arial" w:eastAsia="仿宋_GB2312" w:hAnsi="Arial" w:cs="Arial" w:hint="eastAsia"/>
          <w:bCs/>
          <w:sz w:val="28"/>
        </w:rPr>
        <w:t>1</w:t>
      </w:r>
      <w:r w:rsidR="001715EB">
        <w:rPr>
          <w:rFonts w:ascii="Arial" w:eastAsia="仿宋_GB2312" w:hAnsi="Arial" w:cs="Arial"/>
          <w:bCs/>
          <w:sz w:val="28"/>
        </w:rPr>
        <w:t>2</w:t>
      </w:r>
      <w:r w:rsidR="001715EB">
        <w:rPr>
          <w:rFonts w:ascii="Arial" w:eastAsia="仿宋_GB2312" w:hAnsi="Arial" w:cs="Arial" w:hint="eastAsia"/>
          <w:bCs/>
          <w:sz w:val="28"/>
        </w:rPr>
        <w:t>号院</w:t>
      </w:r>
    </w:p>
    <w:p w14:paraId="29C42671" w14:textId="77777777" w:rsidR="002C3ABF" w:rsidRPr="00F631FB" w:rsidRDefault="002C3ABF" w:rsidP="002C3ABF">
      <w:pPr>
        <w:spacing w:line="360" w:lineRule="auto"/>
        <w:ind w:firstLineChars="200" w:firstLine="560"/>
        <w:jc w:val="both"/>
        <w:rPr>
          <w:rFonts w:ascii="Arial" w:eastAsia="仿宋_GB2312" w:hAnsi="Arial" w:cs="Arial"/>
          <w:spacing w:val="-6"/>
          <w:sz w:val="28"/>
        </w:rPr>
      </w:pPr>
      <w:r w:rsidRPr="00F631FB">
        <w:rPr>
          <w:rFonts w:ascii="Arial" w:eastAsia="仿宋_GB2312" w:hAnsi="Arial" w:cs="Arial"/>
          <w:sz w:val="28"/>
        </w:rPr>
        <w:t>土地宗数：</w:t>
      </w:r>
      <w:r w:rsidRPr="00F631FB">
        <w:rPr>
          <w:rFonts w:ascii="Arial" w:eastAsia="仿宋_GB2312" w:hAnsi="Arial" w:cs="Arial"/>
          <w:sz w:val="28"/>
        </w:rPr>
        <w:t>1</w:t>
      </w:r>
      <w:r w:rsidRPr="00F631FB">
        <w:rPr>
          <w:rFonts w:ascii="Arial" w:eastAsia="仿宋_GB2312" w:hAnsi="Arial" w:cs="Arial"/>
          <w:sz w:val="28"/>
        </w:rPr>
        <w:t>宗</w:t>
      </w:r>
    </w:p>
    <w:p w14:paraId="0603C885" w14:textId="3D544E86" w:rsidR="002C3ABF" w:rsidRPr="00F631FB" w:rsidRDefault="00A42F66"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用地性质</w:t>
      </w:r>
      <w:r w:rsidR="002C3ABF" w:rsidRPr="00F631FB">
        <w:rPr>
          <w:rFonts w:ascii="Arial" w:eastAsia="仿宋_GB2312" w:hAnsi="Arial" w:cs="Arial"/>
          <w:sz w:val="28"/>
        </w:rPr>
        <w:t>：</w:t>
      </w:r>
      <w:r>
        <w:rPr>
          <w:rFonts w:ascii="Arial" w:eastAsia="仿宋_GB2312" w:hAnsi="Arial" w:cs="Arial" w:hint="eastAsia"/>
          <w:sz w:val="28"/>
        </w:rPr>
        <w:t>R</w:t>
      </w:r>
      <w:r>
        <w:rPr>
          <w:rFonts w:ascii="Arial" w:eastAsia="仿宋_GB2312" w:hAnsi="Arial" w:cs="Arial"/>
          <w:sz w:val="28"/>
        </w:rPr>
        <w:t>2</w:t>
      </w:r>
      <w:proofErr w:type="gramStart"/>
      <w:r>
        <w:rPr>
          <w:rFonts w:ascii="Arial" w:eastAsia="仿宋_GB2312" w:hAnsi="Arial" w:cs="Arial" w:hint="eastAsia"/>
          <w:sz w:val="28"/>
        </w:rPr>
        <w:t>二</w:t>
      </w:r>
      <w:proofErr w:type="gramEnd"/>
      <w:r>
        <w:rPr>
          <w:rFonts w:ascii="Arial" w:eastAsia="仿宋_GB2312" w:hAnsi="Arial" w:cs="Arial" w:hint="eastAsia"/>
          <w:sz w:val="28"/>
        </w:rPr>
        <w:t>类居住用地</w:t>
      </w:r>
    </w:p>
    <w:p w14:paraId="5A305A20" w14:textId="62ADA468"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土地面积：</w:t>
      </w:r>
      <w:r w:rsidR="00B0422B">
        <w:rPr>
          <w:rFonts w:ascii="Arial" w:eastAsia="仿宋_GB2312" w:hAnsi="Arial" w:cs="Arial" w:hint="eastAsia"/>
          <w:sz w:val="28"/>
        </w:rPr>
        <w:t>6</w:t>
      </w:r>
      <w:r w:rsidR="00B0422B">
        <w:rPr>
          <w:rFonts w:ascii="Arial" w:eastAsia="仿宋_GB2312" w:hAnsi="Arial" w:cs="Arial"/>
          <w:sz w:val="28"/>
        </w:rPr>
        <w:t>180.978</w:t>
      </w:r>
      <w:r w:rsidRPr="00F631FB">
        <w:rPr>
          <w:rFonts w:ascii="Arial" w:eastAsia="仿宋_GB2312" w:hAnsi="Arial" w:cs="Arial"/>
          <w:sz w:val="28"/>
        </w:rPr>
        <w:t>平方米</w:t>
      </w:r>
    </w:p>
    <w:p w14:paraId="0BFE663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估价对象四至：</w:t>
      </w:r>
    </w:p>
    <w:p w14:paraId="39A4886D" w14:textId="1F44CAEC" w:rsidR="002C3ABF" w:rsidRPr="00F631FB" w:rsidRDefault="002C3ABF" w:rsidP="002C3ABF">
      <w:pPr>
        <w:spacing w:line="360" w:lineRule="auto"/>
        <w:ind w:firstLineChars="200" w:firstLine="560"/>
        <w:jc w:val="both"/>
        <w:rPr>
          <w:rFonts w:ascii="Arial" w:eastAsia="仿宋_GB2312" w:hAnsi="Arial" w:cs="Arial"/>
          <w:sz w:val="28"/>
        </w:rPr>
      </w:pPr>
      <w:proofErr w:type="gramStart"/>
      <w:r w:rsidRPr="00F631FB">
        <w:rPr>
          <w:rFonts w:ascii="Arial" w:eastAsia="仿宋_GB2312" w:hAnsi="Arial" w:cs="Arial"/>
          <w:sz w:val="28"/>
        </w:rPr>
        <w:t>证载四</w:t>
      </w:r>
      <w:proofErr w:type="gramEnd"/>
      <w:r w:rsidRPr="00F631FB">
        <w:rPr>
          <w:rFonts w:ascii="Arial" w:eastAsia="仿宋_GB2312" w:hAnsi="Arial" w:cs="Arial"/>
          <w:sz w:val="28"/>
        </w:rPr>
        <w:t>至：东至</w:t>
      </w:r>
      <w:r w:rsidR="001715EB">
        <w:rPr>
          <w:rFonts w:ascii="Arial" w:eastAsia="仿宋_GB2312" w:hAnsi="Arial" w:cs="Arial" w:hint="eastAsia"/>
          <w:sz w:val="28"/>
        </w:rPr>
        <w:t>海淀区供电局宿舍</w:t>
      </w:r>
      <w:r w:rsidRPr="00F631FB">
        <w:rPr>
          <w:rFonts w:ascii="Arial" w:eastAsia="仿宋_GB2312" w:hAnsi="Arial" w:cs="Arial"/>
          <w:sz w:val="28"/>
        </w:rPr>
        <w:t>，南至</w:t>
      </w:r>
      <w:r w:rsidR="001715EB">
        <w:rPr>
          <w:rFonts w:ascii="Arial" w:eastAsia="仿宋_GB2312" w:hAnsi="Arial" w:cs="Arial" w:hint="eastAsia"/>
          <w:sz w:val="28"/>
        </w:rPr>
        <w:t>市工商总局</w:t>
      </w:r>
      <w:r w:rsidRPr="00F631FB">
        <w:rPr>
          <w:rFonts w:ascii="Arial" w:eastAsia="仿宋_GB2312" w:hAnsi="Arial" w:cs="Arial"/>
          <w:sz w:val="28"/>
        </w:rPr>
        <w:t>，西至</w:t>
      </w:r>
      <w:r w:rsidR="001715EB">
        <w:rPr>
          <w:rFonts w:ascii="Arial" w:eastAsia="仿宋_GB2312" w:hAnsi="Arial" w:cs="Arial" w:hint="eastAsia"/>
          <w:sz w:val="28"/>
        </w:rPr>
        <w:t>苏州街</w:t>
      </w:r>
      <w:r w:rsidRPr="00F631FB">
        <w:rPr>
          <w:rFonts w:ascii="Arial" w:eastAsia="仿宋_GB2312" w:hAnsi="Arial" w:cs="Arial"/>
          <w:sz w:val="28"/>
        </w:rPr>
        <w:t>，北至</w:t>
      </w:r>
      <w:r w:rsidR="001715EB">
        <w:rPr>
          <w:rFonts w:ascii="Arial" w:eastAsia="仿宋_GB2312" w:hAnsi="Arial" w:cs="Arial" w:hint="eastAsia"/>
          <w:sz w:val="28"/>
        </w:rPr>
        <w:t>海淀南路</w:t>
      </w:r>
      <w:r w:rsidRPr="00F631FB">
        <w:rPr>
          <w:rFonts w:ascii="Arial" w:eastAsia="仿宋_GB2312" w:hAnsi="Arial" w:cs="Arial"/>
          <w:sz w:val="28"/>
        </w:rPr>
        <w:t>；</w:t>
      </w:r>
    </w:p>
    <w:p w14:paraId="781290C4" w14:textId="33C3D500"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现状四至：</w:t>
      </w:r>
      <w:r w:rsidR="001715EB" w:rsidRPr="00F631FB">
        <w:rPr>
          <w:rFonts w:ascii="Arial" w:eastAsia="仿宋_GB2312" w:hAnsi="Arial" w:cs="Arial"/>
          <w:sz w:val="28"/>
        </w:rPr>
        <w:t>东至</w:t>
      </w:r>
      <w:r w:rsidR="001715EB">
        <w:rPr>
          <w:rFonts w:ascii="Arial" w:eastAsia="仿宋_GB2312" w:hAnsi="Arial" w:cs="Arial" w:hint="eastAsia"/>
          <w:sz w:val="28"/>
        </w:rPr>
        <w:t>海淀区供电局宿舍</w:t>
      </w:r>
      <w:r w:rsidR="001715EB" w:rsidRPr="00F631FB">
        <w:rPr>
          <w:rFonts w:ascii="Arial" w:eastAsia="仿宋_GB2312" w:hAnsi="Arial" w:cs="Arial"/>
          <w:sz w:val="28"/>
        </w:rPr>
        <w:t>，南至</w:t>
      </w:r>
      <w:r w:rsidR="001715EB">
        <w:rPr>
          <w:rFonts w:ascii="Arial" w:eastAsia="仿宋_GB2312" w:hAnsi="Arial" w:cs="Arial" w:hint="eastAsia"/>
          <w:sz w:val="28"/>
        </w:rPr>
        <w:t>市工商总局</w:t>
      </w:r>
      <w:r w:rsidR="001715EB" w:rsidRPr="00F631FB">
        <w:rPr>
          <w:rFonts w:ascii="Arial" w:eastAsia="仿宋_GB2312" w:hAnsi="Arial" w:cs="Arial"/>
          <w:sz w:val="28"/>
        </w:rPr>
        <w:t>，西至</w:t>
      </w:r>
      <w:r w:rsidR="001715EB">
        <w:rPr>
          <w:rFonts w:ascii="Arial" w:eastAsia="仿宋_GB2312" w:hAnsi="Arial" w:cs="Arial" w:hint="eastAsia"/>
          <w:sz w:val="28"/>
        </w:rPr>
        <w:t>苏州街</w:t>
      </w:r>
      <w:r w:rsidR="001715EB" w:rsidRPr="00F631FB">
        <w:rPr>
          <w:rFonts w:ascii="Arial" w:eastAsia="仿宋_GB2312" w:hAnsi="Arial" w:cs="Arial"/>
          <w:sz w:val="28"/>
        </w:rPr>
        <w:t>，北至</w:t>
      </w:r>
      <w:r w:rsidR="001715EB">
        <w:rPr>
          <w:rFonts w:ascii="Arial" w:eastAsia="仿宋_GB2312" w:hAnsi="Arial" w:cs="Arial" w:hint="eastAsia"/>
          <w:sz w:val="28"/>
        </w:rPr>
        <w:t>海淀南路</w:t>
      </w:r>
      <w:r w:rsidRPr="00F631FB">
        <w:rPr>
          <w:rFonts w:ascii="Arial" w:eastAsia="仿宋_GB2312" w:hAnsi="Arial" w:cs="Arial"/>
          <w:sz w:val="28"/>
        </w:rPr>
        <w:t>。</w:t>
      </w:r>
    </w:p>
    <w:p w14:paraId="7B48A0DE" w14:textId="2EF830FC"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土地级别：根据《北京市人民政府关于更新出让国有建设用地使用权基准地价的通知》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的规定，估价对象属于</w:t>
      </w:r>
      <w:r w:rsidR="001715EB" w:rsidRPr="00F631FB">
        <w:rPr>
          <w:rFonts w:ascii="Arial" w:eastAsia="仿宋_GB2312" w:hAnsi="Arial" w:cs="Arial"/>
          <w:sz w:val="28"/>
          <w:szCs w:val="28"/>
        </w:rPr>
        <w:t>居住类</w:t>
      </w:r>
      <w:r w:rsidR="001715EB">
        <w:rPr>
          <w:rFonts w:ascii="Arial" w:eastAsia="仿宋_GB2312" w:hAnsi="Arial" w:cs="Arial" w:hint="eastAsia"/>
          <w:sz w:val="28"/>
          <w:szCs w:val="28"/>
        </w:rPr>
        <w:t>二</w:t>
      </w:r>
      <w:r w:rsidR="001715EB" w:rsidRPr="00F631FB">
        <w:rPr>
          <w:rFonts w:ascii="Arial" w:eastAsia="仿宋_GB2312" w:hAnsi="Arial" w:cs="Arial"/>
          <w:sz w:val="28"/>
          <w:szCs w:val="28"/>
        </w:rPr>
        <w:t>级</w:t>
      </w:r>
      <w:r w:rsidR="001715EB">
        <w:rPr>
          <w:rFonts w:ascii="微软雅黑" w:eastAsia="微软雅黑" w:hAnsi="微软雅黑" w:cs="Arial" w:hint="eastAsia"/>
          <w:sz w:val="28"/>
          <w:szCs w:val="28"/>
        </w:rPr>
        <w:t>Ⅱ</w:t>
      </w:r>
      <w:r w:rsidR="001715EB" w:rsidRPr="00F631FB">
        <w:rPr>
          <w:rFonts w:ascii="Arial" w:eastAsia="仿宋_GB2312" w:hAnsi="Arial" w:cs="Arial"/>
          <w:sz w:val="28"/>
          <w:szCs w:val="28"/>
        </w:rPr>
        <w:t>-0</w:t>
      </w:r>
      <w:r w:rsidR="001715EB" w:rsidRPr="00F631FB">
        <w:rPr>
          <w:rFonts w:ascii="Arial" w:eastAsia="仿宋_GB2312" w:hAnsi="Arial" w:cs="Arial" w:hint="eastAsia"/>
          <w:sz w:val="28"/>
          <w:szCs w:val="28"/>
        </w:rPr>
        <w:t>3</w:t>
      </w:r>
      <w:r w:rsidR="001715EB" w:rsidRPr="00F631FB">
        <w:rPr>
          <w:rFonts w:ascii="Arial" w:eastAsia="仿宋_GB2312" w:hAnsi="Arial" w:cs="Arial"/>
          <w:sz w:val="28"/>
          <w:szCs w:val="28"/>
        </w:rPr>
        <w:t>区片</w:t>
      </w:r>
      <w:r w:rsidRPr="00F631FB">
        <w:rPr>
          <w:rFonts w:ascii="Arial" w:eastAsia="仿宋_GB2312" w:hAnsi="Arial" w:cs="Arial"/>
          <w:sz w:val="28"/>
          <w:szCs w:val="28"/>
        </w:rPr>
        <w:t>、</w:t>
      </w:r>
      <w:r w:rsidR="005E6AF1">
        <w:rPr>
          <w:rFonts w:ascii="Arial" w:eastAsia="仿宋_GB2312" w:hAnsi="Arial" w:cs="Arial"/>
          <w:sz w:val="28"/>
          <w:szCs w:val="28"/>
        </w:rPr>
        <w:t>商业类三级</w:t>
      </w:r>
      <w:r w:rsidR="001715EB">
        <w:rPr>
          <w:rFonts w:ascii="微软雅黑" w:eastAsia="微软雅黑" w:hAnsi="微软雅黑" w:cs="Arial" w:hint="eastAsia"/>
          <w:sz w:val="28"/>
          <w:szCs w:val="28"/>
        </w:rPr>
        <w:t>Ⅲ</w:t>
      </w:r>
      <w:r w:rsidR="001715EB" w:rsidRPr="00F631FB">
        <w:rPr>
          <w:rFonts w:ascii="Arial" w:eastAsia="仿宋_GB2312" w:hAnsi="Arial" w:cs="Arial"/>
          <w:sz w:val="28"/>
          <w:szCs w:val="28"/>
        </w:rPr>
        <w:t>-0</w:t>
      </w:r>
      <w:r w:rsidR="001715EB">
        <w:rPr>
          <w:rFonts w:ascii="Arial" w:eastAsia="仿宋_GB2312" w:hAnsi="Arial" w:cs="Arial"/>
          <w:sz w:val="28"/>
          <w:szCs w:val="28"/>
        </w:rPr>
        <w:t>6</w:t>
      </w:r>
      <w:r w:rsidR="001715EB" w:rsidRPr="00F631FB">
        <w:rPr>
          <w:rFonts w:ascii="Arial" w:eastAsia="仿宋_GB2312" w:hAnsi="Arial" w:cs="Arial"/>
          <w:sz w:val="28"/>
          <w:szCs w:val="28"/>
        </w:rPr>
        <w:t>区片</w:t>
      </w:r>
      <w:r w:rsidRPr="00F631FB">
        <w:rPr>
          <w:rFonts w:ascii="Arial" w:eastAsia="仿宋_GB2312" w:hAnsi="Arial" w:cs="Arial"/>
          <w:sz w:val="28"/>
          <w:szCs w:val="28"/>
        </w:rPr>
        <w:t>、</w:t>
      </w:r>
      <w:r w:rsidR="001715EB" w:rsidRPr="00F631FB">
        <w:rPr>
          <w:rFonts w:ascii="Arial" w:eastAsia="仿宋_GB2312" w:hAnsi="Arial" w:cs="Arial"/>
          <w:sz w:val="28"/>
          <w:szCs w:val="28"/>
        </w:rPr>
        <w:t>办公类</w:t>
      </w:r>
      <w:r w:rsidR="001715EB">
        <w:rPr>
          <w:rFonts w:ascii="Arial" w:eastAsia="仿宋_GB2312" w:hAnsi="Arial" w:cs="Arial" w:hint="eastAsia"/>
          <w:sz w:val="28"/>
          <w:szCs w:val="28"/>
        </w:rPr>
        <w:t>二</w:t>
      </w:r>
      <w:r w:rsidR="001715EB" w:rsidRPr="00F631FB">
        <w:rPr>
          <w:rFonts w:ascii="Arial" w:eastAsia="仿宋_GB2312" w:hAnsi="Arial" w:cs="Arial"/>
          <w:sz w:val="28"/>
          <w:szCs w:val="28"/>
        </w:rPr>
        <w:t>级</w:t>
      </w:r>
      <w:r w:rsidR="001715EB">
        <w:rPr>
          <w:rFonts w:ascii="微软雅黑" w:eastAsia="微软雅黑" w:hAnsi="微软雅黑" w:cs="Arial" w:hint="eastAsia"/>
          <w:sz w:val="28"/>
          <w:szCs w:val="28"/>
        </w:rPr>
        <w:t>Ⅱ</w:t>
      </w:r>
      <w:r w:rsidR="001715EB" w:rsidRPr="00F631FB">
        <w:rPr>
          <w:rFonts w:ascii="Arial" w:eastAsia="仿宋_GB2312" w:hAnsi="Arial" w:cs="Arial"/>
          <w:sz w:val="28"/>
          <w:szCs w:val="28"/>
        </w:rPr>
        <w:t>-0</w:t>
      </w:r>
      <w:r w:rsidR="001715EB" w:rsidRPr="00F631FB">
        <w:rPr>
          <w:rFonts w:ascii="Arial" w:eastAsia="仿宋_GB2312" w:hAnsi="Arial" w:cs="Arial" w:hint="eastAsia"/>
          <w:sz w:val="28"/>
          <w:szCs w:val="28"/>
        </w:rPr>
        <w:t>3</w:t>
      </w:r>
      <w:r w:rsidR="001715EB" w:rsidRPr="00F631FB">
        <w:rPr>
          <w:rFonts w:ascii="Arial" w:eastAsia="仿宋_GB2312" w:hAnsi="Arial" w:cs="Arial"/>
          <w:sz w:val="28"/>
          <w:szCs w:val="28"/>
        </w:rPr>
        <w:t>区片</w:t>
      </w:r>
      <w:r w:rsidRPr="00F631FB">
        <w:rPr>
          <w:rFonts w:ascii="Arial" w:eastAsia="仿宋_GB2312" w:hAnsi="Arial" w:cs="Arial"/>
          <w:sz w:val="28"/>
          <w:szCs w:val="28"/>
        </w:rPr>
        <w:t>地价区</w:t>
      </w:r>
      <w:r w:rsidRPr="00F631FB">
        <w:rPr>
          <w:rFonts w:ascii="Arial" w:eastAsia="仿宋_GB2312" w:hAnsi="Arial" w:cs="Arial"/>
          <w:sz w:val="28"/>
        </w:rPr>
        <w:t>。</w:t>
      </w:r>
    </w:p>
    <w:p w14:paraId="2C50539E"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（二）土地权利状况</w:t>
      </w:r>
    </w:p>
    <w:p w14:paraId="6C962988" w14:textId="77777777" w:rsidR="001715E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估价对象为国有土地，土地所有权为国家所有，土地使用权人为</w:t>
      </w:r>
      <w:r w:rsidR="008E4F13">
        <w:rPr>
          <w:rFonts w:ascii="Arial" w:eastAsia="仿宋_GB2312" w:hAnsi="Arial" w:cs="Arial"/>
          <w:sz w:val="28"/>
        </w:rPr>
        <w:t>北京城投地下空间开发建设有限公司</w:t>
      </w:r>
      <w:r w:rsidRPr="00F631FB">
        <w:rPr>
          <w:rFonts w:ascii="Arial" w:eastAsia="仿宋_GB2312" w:hAnsi="Arial" w:cs="Arial"/>
          <w:sz w:val="28"/>
        </w:rPr>
        <w:t>。根据</w:t>
      </w:r>
      <w:r w:rsidR="001715EB" w:rsidRPr="00F631FB">
        <w:rPr>
          <w:rFonts w:ascii="Arial" w:eastAsia="仿宋_GB2312" w:hAnsi="Arial" w:cs="Arial"/>
          <w:sz w:val="28"/>
        </w:rPr>
        <w:t>《国有建设用地使用权出让地价评估委托书》</w:t>
      </w:r>
      <w:r w:rsidRPr="00F631FB">
        <w:rPr>
          <w:rFonts w:ascii="Arial" w:eastAsia="仿宋_GB2312" w:hAnsi="Arial" w:cs="Arial"/>
          <w:sz w:val="28"/>
        </w:rPr>
        <w:t>，土地用途为</w:t>
      </w:r>
      <w:r w:rsidR="001715EB" w:rsidRPr="00F631FB">
        <w:rPr>
          <w:rFonts w:ascii="Arial" w:eastAsia="仿宋_GB2312" w:hAnsi="Arial" w:cs="Arial" w:hint="eastAsia"/>
          <w:sz w:val="28"/>
          <w:szCs w:val="28"/>
        </w:rPr>
        <w:t>住宅、商业、</w:t>
      </w:r>
      <w:r w:rsidR="001715EB" w:rsidRPr="00F631FB">
        <w:rPr>
          <w:rFonts w:ascii="Arial" w:eastAsia="仿宋_GB2312" w:hAnsi="Arial" w:cs="Arial"/>
          <w:sz w:val="28"/>
          <w:szCs w:val="28"/>
        </w:rPr>
        <w:t>办公、地下办公</w:t>
      </w:r>
      <w:r w:rsidR="001715EB">
        <w:rPr>
          <w:rFonts w:ascii="Arial" w:eastAsia="仿宋_GB2312" w:hAnsi="Arial" w:cs="Arial" w:hint="eastAsia"/>
          <w:sz w:val="28"/>
          <w:szCs w:val="28"/>
        </w:rPr>
        <w:t>、地下车库</w:t>
      </w:r>
      <w:r w:rsidRPr="00F631FB">
        <w:rPr>
          <w:rFonts w:ascii="Arial" w:eastAsia="仿宋_GB2312" w:hAnsi="Arial" w:cs="Arial"/>
          <w:sz w:val="28"/>
        </w:rPr>
        <w:t>，批准使用年限</w:t>
      </w:r>
      <w:r w:rsidRPr="00F631FB">
        <w:rPr>
          <w:rFonts w:ascii="Arial" w:eastAsia="仿宋_GB2312" w:hAnsi="Arial" w:cs="Arial"/>
          <w:sz w:val="28"/>
        </w:rPr>
        <w:lastRenderedPageBreak/>
        <w:t>为</w:t>
      </w:r>
      <w:r w:rsidRPr="00F631FB">
        <w:rPr>
          <w:rFonts w:ascii="Arial" w:eastAsia="仿宋_GB2312" w:hAnsi="Arial" w:cs="Arial" w:hint="eastAsia"/>
          <w:sz w:val="28"/>
        </w:rPr>
        <w:t>住宅</w:t>
      </w:r>
      <w:r w:rsidRPr="00F631FB">
        <w:rPr>
          <w:rFonts w:ascii="Arial" w:eastAsia="仿宋_GB2312" w:hAnsi="Arial" w:cs="Arial" w:hint="eastAsia"/>
          <w:sz w:val="28"/>
        </w:rPr>
        <w:t>70</w:t>
      </w:r>
      <w:r w:rsidRPr="00F631FB">
        <w:rPr>
          <w:rFonts w:ascii="Arial" w:eastAsia="仿宋_GB2312" w:hAnsi="Arial" w:cs="Arial" w:hint="eastAsia"/>
          <w:sz w:val="28"/>
        </w:rPr>
        <w:t>年、</w:t>
      </w:r>
      <w:r w:rsidRPr="00F631FB">
        <w:rPr>
          <w:rFonts w:ascii="Arial" w:eastAsia="仿宋_GB2312" w:hAnsi="Arial" w:cs="Arial"/>
          <w:sz w:val="28"/>
        </w:rPr>
        <w:t>商业</w:t>
      </w:r>
      <w:r w:rsidRPr="00F631FB">
        <w:rPr>
          <w:rFonts w:ascii="Arial" w:eastAsia="仿宋_GB2312" w:hAnsi="Arial" w:cs="Arial"/>
          <w:sz w:val="28"/>
        </w:rPr>
        <w:t>40</w:t>
      </w:r>
      <w:r w:rsidRPr="00F631FB">
        <w:rPr>
          <w:rFonts w:ascii="Arial" w:eastAsia="仿宋_GB2312" w:hAnsi="Arial" w:cs="Arial"/>
          <w:sz w:val="28"/>
        </w:rPr>
        <w:t>年，</w:t>
      </w:r>
      <w:r w:rsidR="001715EB">
        <w:rPr>
          <w:rFonts w:ascii="Arial" w:eastAsia="仿宋_GB2312" w:hAnsi="Arial" w:cs="Arial" w:hint="eastAsia"/>
          <w:bCs/>
          <w:sz w:val="28"/>
        </w:rPr>
        <w:t>办公</w:t>
      </w:r>
      <w:r w:rsidRPr="00F631FB">
        <w:rPr>
          <w:rFonts w:ascii="Arial" w:eastAsia="仿宋_GB2312" w:hAnsi="Arial" w:cs="Arial"/>
          <w:sz w:val="28"/>
        </w:rPr>
        <w:t>50</w:t>
      </w:r>
      <w:r w:rsidRPr="00F631FB">
        <w:rPr>
          <w:rFonts w:ascii="Arial" w:eastAsia="仿宋_GB2312" w:hAnsi="Arial" w:cs="Arial"/>
          <w:sz w:val="28"/>
        </w:rPr>
        <w:t>年</w:t>
      </w:r>
      <w:r w:rsidR="001715EB">
        <w:rPr>
          <w:rFonts w:ascii="Arial" w:eastAsia="仿宋_GB2312" w:hAnsi="Arial" w:cs="Arial" w:hint="eastAsia"/>
          <w:sz w:val="28"/>
        </w:rPr>
        <w:t>，地下办公</w:t>
      </w:r>
      <w:r w:rsidR="001715EB">
        <w:rPr>
          <w:rFonts w:ascii="Arial" w:eastAsia="仿宋_GB2312" w:hAnsi="Arial" w:cs="Arial" w:hint="eastAsia"/>
          <w:sz w:val="28"/>
        </w:rPr>
        <w:t>5</w:t>
      </w:r>
      <w:r w:rsidR="001715EB">
        <w:rPr>
          <w:rFonts w:ascii="Arial" w:eastAsia="仿宋_GB2312" w:hAnsi="Arial" w:cs="Arial"/>
          <w:sz w:val="28"/>
        </w:rPr>
        <w:t>0</w:t>
      </w:r>
      <w:r w:rsidR="001715EB">
        <w:rPr>
          <w:rFonts w:ascii="Arial" w:eastAsia="仿宋_GB2312" w:hAnsi="Arial" w:cs="Arial" w:hint="eastAsia"/>
          <w:sz w:val="28"/>
        </w:rPr>
        <w:t>年、地下车库</w:t>
      </w:r>
      <w:r w:rsidR="001715EB">
        <w:rPr>
          <w:rFonts w:ascii="Arial" w:eastAsia="仿宋_GB2312" w:hAnsi="Arial" w:cs="Arial" w:hint="eastAsia"/>
          <w:sz w:val="28"/>
        </w:rPr>
        <w:t>5</w:t>
      </w:r>
      <w:r w:rsidR="001715EB">
        <w:rPr>
          <w:rFonts w:ascii="Arial" w:eastAsia="仿宋_GB2312" w:hAnsi="Arial" w:cs="Arial"/>
          <w:sz w:val="28"/>
        </w:rPr>
        <w:t>0</w:t>
      </w:r>
      <w:r w:rsidR="001715EB">
        <w:rPr>
          <w:rFonts w:ascii="Arial" w:eastAsia="仿宋_GB2312" w:hAnsi="Arial" w:cs="Arial" w:hint="eastAsia"/>
          <w:sz w:val="28"/>
        </w:rPr>
        <w:t>年。</w:t>
      </w:r>
      <w:r w:rsidRPr="00F631FB">
        <w:rPr>
          <w:rFonts w:ascii="Arial" w:eastAsia="仿宋_GB2312" w:hAnsi="Arial" w:cs="Arial" w:hint="eastAsia"/>
          <w:sz w:val="28"/>
        </w:rPr>
        <w:t>根据估价目的，</w:t>
      </w:r>
      <w:r w:rsidRPr="00F631FB">
        <w:rPr>
          <w:rFonts w:ascii="Arial" w:eastAsia="仿宋_GB2312" w:hAnsi="Arial" w:cs="Arial"/>
          <w:sz w:val="28"/>
        </w:rPr>
        <w:t>本次评估设定</w:t>
      </w:r>
      <w:r w:rsidRPr="00F631FB">
        <w:rPr>
          <w:rFonts w:ascii="Arial" w:eastAsia="仿宋_GB2312" w:hAnsi="Arial" w:cs="Arial" w:hint="eastAsia"/>
          <w:sz w:val="28"/>
        </w:rPr>
        <w:t>地上住宅</w:t>
      </w:r>
      <w:r w:rsidRPr="00F631FB">
        <w:rPr>
          <w:rFonts w:ascii="Arial" w:eastAsia="仿宋_GB2312" w:hAnsi="Arial" w:cs="Arial" w:hint="eastAsia"/>
          <w:sz w:val="28"/>
          <w:szCs w:val="28"/>
        </w:rPr>
        <w:t>土地剩余使用年限为</w:t>
      </w:r>
      <w:r w:rsidRPr="00F631FB">
        <w:rPr>
          <w:rFonts w:ascii="Arial" w:eastAsia="仿宋_GB2312" w:hAnsi="Arial" w:cs="Arial" w:hint="eastAsia"/>
          <w:sz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szCs w:val="28"/>
        </w:rPr>
        <w:t>土地剩余使用年限为</w:t>
      </w:r>
      <w:r w:rsidRPr="00F631FB">
        <w:rPr>
          <w:rFonts w:ascii="Arial" w:eastAsia="仿宋_GB2312" w:hAnsi="Arial" w:cs="Arial" w:hint="eastAsia"/>
          <w:sz w:val="28"/>
        </w:rPr>
        <w:t>40</w:t>
      </w:r>
      <w:r w:rsidRPr="00F631FB">
        <w:rPr>
          <w:rFonts w:ascii="Arial" w:eastAsia="仿宋_GB2312" w:hAnsi="Arial" w:cs="Arial"/>
          <w:sz w:val="28"/>
        </w:rPr>
        <w:t>年</w:t>
      </w:r>
      <w:r w:rsidRPr="00F631FB">
        <w:rPr>
          <w:rFonts w:ascii="Arial" w:eastAsia="仿宋_GB2312" w:hAnsi="Arial" w:cs="Arial" w:hint="eastAsia"/>
          <w:sz w:val="28"/>
        </w:rPr>
        <w:t>，</w:t>
      </w:r>
      <w:r w:rsidRPr="00F631FB">
        <w:rPr>
          <w:rFonts w:ascii="Arial" w:eastAsia="仿宋_GB2312" w:hAnsi="Arial" w:cs="Arial" w:hint="eastAsia"/>
          <w:sz w:val="28"/>
          <w:szCs w:val="28"/>
        </w:rPr>
        <w:t>地上办公土地剩余使用年限为</w:t>
      </w:r>
      <w:r w:rsidRPr="00F631FB">
        <w:rPr>
          <w:rFonts w:ascii="Arial" w:eastAsia="仿宋_GB2312" w:hAnsi="Arial" w:cs="Arial" w:hint="eastAsia"/>
          <w:sz w:val="28"/>
          <w:szCs w:val="28"/>
        </w:rPr>
        <w:t>50</w:t>
      </w:r>
      <w:r w:rsidRPr="00F631FB">
        <w:rPr>
          <w:rFonts w:ascii="Arial" w:eastAsia="仿宋_GB2312" w:hAnsi="Arial" w:cs="Arial" w:hint="eastAsia"/>
          <w:sz w:val="28"/>
          <w:szCs w:val="28"/>
        </w:rPr>
        <w:t>年、</w:t>
      </w:r>
      <w:r w:rsidRPr="00F631FB">
        <w:rPr>
          <w:rFonts w:ascii="Arial" w:eastAsia="仿宋_GB2312" w:hAnsi="Arial" w:cs="Arial"/>
          <w:sz w:val="28"/>
          <w:szCs w:val="28"/>
        </w:rPr>
        <w:t>地下</w:t>
      </w:r>
      <w:r w:rsidRPr="00F631FB">
        <w:rPr>
          <w:rFonts w:ascii="Arial" w:eastAsia="仿宋_GB2312" w:hAnsi="Arial" w:cs="Arial" w:hint="eastAsia"/>
          <w:sz w:val="28"/>
          <w:szCs w:val="28"/>
        </w:rPr>
        <w:t>办公土地剩余使用年限为</w:t>
      </w:r>
      <w:r w:rsidR="001715EB">
        <w:rPr>
          <w:rFonts w:ascii="Arial" w:eastAsia="仿宋_GB2312" w:hAnsi="Arial" w:cs="Arial"/>
          <w:sz w:val="28"/>
          <w:szCs w:val="28"/>
        </w:rPr>
        <w:t>50</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w:t>
      </w:r>
      <w:r w:rsidR="001715EB">
        <w:rPr>
          <w:rFonts w:ascii="Arial" w:eastAsia="仿宋_GB2312" w:hAnsi="Arial" w:cs="Arial" w:hint="eastAsia"/>
          <w:sz w:val="28"/>
          <w:szCs w:val="28"/>
        </w:rPr>
        <w:t>车库</w:t>
      </w:r>
      <w:r w:rsidRPr="00F631FB">
        <w:rPr>
          <w:rFonts w:ascii="Arial" w:eastAsia="仿宋_GB2312" w:hAnsi="Arial" w:cs="Arial" w:hint="eastAsia"/>
          <w:sz w:val="28"/>
          <w:szCs w:val="28"/>
        </w:rPr>
        <w:t>土地剩余使用年限为</w:t>
      </w:r>
      <w:r w:rsidR="001715EB">
        <w:rPr>
          <w:rFonts w:ascii="Arial" w:eastAsia="仿宋_GB2312" w:hAnsi="Arial" w:cs="Arial"/>
          <w:sz w:val="28"/>
          <w:szCs w:val="28"/>
        </w:rPr>
        <w:t>50</w:t>
      </w:r>
      <w:r w:rsidRPr="00F631FB">
        <w:rPr>
          <w:rFonts w:ascii="Arial" w:eastAsia="仿宋_GB2312" w:hAnsi="Arial" w:cs="Arial" w:hint="eastAsia"/>
          <w:sz w:val="28"/>
          <w:szCs w:val="28"/>
        </w:rPr>
        <w:t>年</w:t>
      </w:r>
      <w:r w:rsidRPr="00F631FB">
        <w:rPr>
          <w:rFonts w:ascii="Arial" w:eastAsia="仿宋_GB2312" w:hAnsi="Arial" w:cs="Arial"/>
          <w:sz w:val="28"/>
        </w:rPr>
        <w:t>。</w:t>
      </w:r>
    </w:p>
    <w:p w14:paraId="051AC3E0" w14:textId="77777777" w:rsidR="006C1DB6" w:rsidRDefault="006C1DB6"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及其附图、《海淀区苏州街一体化棚户区改造项目建筑面积及用途的说明》及其附表记载，估价对象总用地面积</w:t>
      </w:r>
      <w:r>
        <w:rPr>
          <w:rFonts w:ascii="Arial" w:eastAsia="仿宋_GB2312" w:hAnsi="Arial" w:cs="Arial"/>
          <w:sz w:val="28"/>
        </w:rPr>
        <w:t>6180.978</w:t>
      </w:r>
      <w:r>
        <w:rPr>
          <w:rFonts w:ascii="Arial" w:eastAsia="仿宋_GB2312" w:hAnsi="Arial" w:cs="Arial" w:hint="eastAsia"/>
          <w:sz w:val="28"/>
        </w:rPr>
        <w:t>平方米，均为建设用地。总规划建筑面积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w:t>
      </w:r>
    </w:p>
    <w:p w14:paraId="51EDDF1D" w14:textId="3936C470"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评估专业人员根据委托估价方所提供的资料，未发现有抵押、租赁的登记信息，本次评估设定估价对象不存在抵押、租赁等他项权利。</w:t>
      </w:r>
    </w:p>
    <w:p w14:paraId="2D952C02"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（三）土地利用状况</w:t>
      </w:r>
    </w:p>
    <w:p w14:paraId="31339363"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土地规划设计条件</w:t>
      </w:r>
    </w:p>
    <w:p w14:paraId="22A9F7EF"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2019</w:t>
      </w:r>
      <w:r>
        <w:rPr>
          <w:rFonts w:ascii="Arial" w:eastAsia="仿宋_GB2312" w:hAnsi="Arial" w:cs="Arial" w:hint="eastAsia"/>
          <w:sz w:val="28"/>
          <w:szCs w:val="28"/>
        </w:rPr>
        <w:t>年</w:t>
      </w:r>
      <w:r>
        <w:rPr>
          <w:rFonts w:ascii="Arial" w:eastAsia="仿宋_GB2312" w:hAnsi="Arial" w:cs="Arial"/>
          <w:sz w:val="28"/>
          <w:szCs w:val="28"/>
        </w:rPr>
        <w:t>3</w:t>
      </w:r>
      <w:r>
        <w:rPr>
          <w:rFonts w:ascii="Arial" w:eastAsia="仿宋_GB2312" w:hAnsi="Arial" w:cs="Arial" w:hint="eastAsia"/>
          <w:sz w:val="28"/>
          <w:szCs w:val="28"/>
        </w:rPr>
        <w:t>月</w:t>
      </w:r>
      <w:r>
        <w:rPr>
          <w:rFonts w:ascii="Arial" w:eastAsia="仿宋_GB2312" w:hAnsi="Arial" w:cs="Arial"/>
          <w:sz w:val="28"/>
          <w:szCs w:val="28"/>
        </w:rPr>
        <w:t>29</w:t>
      </w:r>
      <w:r>
        <w:rPr>
          <w:rFonts w:ascii="Arial" w:eastAsia="仿宋_GB2312" w:hAnsi="Arial" w:cs="Arial" w:hint="eastAsia"/>
          <w:sz w:val="28"/>
          <w:szCs w:val="28"/>
        </w:rPr>
        <w:t>日，北京城投地下空间开发建设有限公司取得北京市规划和国土资源管理委员会颁发的</w:t>
      </w:r>
      <w:r>
        <w:rPr>
          <w:rFonts w:ascii="Arial" w:eastAsia="仿宋_GB2312" w:hAnsi="Arial" w:cs="Arial" w:hint="eastAsia"/>
          <w:sz w:val="28"/>
        </w:rPr>
        <w:t>《北京市规划和自然资源委员会关于北京市海淀区苏州街站一体化棚户区改造项目用地相关意见及设计方案审查意见的</w:t>
      </w:r>
      <w:r>
        <w:rPr>
          <w:rFonts w:ascii="Arial" w:eastAsia="仿宋_GB2312" w:hAnsi="Arial" w:cs="Arial" w:hint="eastAsia"/>
          <w:sz w:val="28"/>
        </w:rPr>
        <w:lastRenderedPageBreak/>
        <w:t>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w:t>
      </w:r>
      <w:r>
        <w:rPr>
          <w:rFonts w:ascii="Arial" w:eastAsia="仿宋_GB2312" w:hAnsi="Arial" w:cs="Arial" w:hint="eastAsia"/>
          <w:sz w:val="28"/>
          <w:szCs w:val="28"/>
        </w:rPr>
        <w:t>：</w:t>
      </w:r>
    </w:p>
    <w:p w14:paraId="6D9963CA"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该项目位于：海淀南路</w:t>
      </w:r>
      <w:r>
        <w:rPr>
          <w:rFonts w:ascii="Arial" w:eastAsia="仿宋_GB2312" w:hAnsi="Arial" w:cs="Arial"/>
          <w:sz w:val="28"/>
          <w:szCs w:val="28"/>
        </w:rPr>
        <w:t>12</w:t>
      </w:r>
      <w:r>
        <w:rPr>
          <w:rFonts w:ascii="Arial" w:eastAsia="仿宋_GB2312" w:hAnsi="Arial" w:cs="Arial" w:hint="eastAsia"/>
          <w:sz w:val="28"/>
          <w:szCs w:val="28"/>
        </w:rPr>
        <w:t>号院</w:t>
      </w:r>
    </w:p>
    <w:p w14:paraId="30961FAA"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建设用地性质：</w:t>
      </w:r>
      <w:r>
        <w:rPr>
          <w:rFonts w:ascii="Arial" w:eastAsia="仿宋_GB2312" w:hAnsi="Arial" w:cs="Arial"/>
          <w:sz w:val="28"/>
          <w:szCs w:val="28"/>
        </w:rPr>
        <w:t>R2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p>
    <w:p w14:paraId="0A498A2A"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建筑使用性质：安置用房及配套设施</w:t>
      </w:r>
    </w:p>
    <w:p w14:paraId="424612B9"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sz w:val="28"/>
          <w:szCs w:val="28"/>
        </w:rPr>
        <w:t>6180.978</w:t>
      </w:r>
      <w:r>
        <w:rPr>
          <w:rFonts w:ascii="Arial" w:eastAsia="仿宋_GB2312" w:hAnsi="Arial" w:cs="Arial" w:hint="eastAsia"/>
          <w:sz w:val="28"/>
          <w:szCs w:val="28"/>
        </w:rPr>
        <w:t>平方米</w:t>
      </w:r>
    </w:p>
    <w:p w14:paraId="15491628"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总建筑面积：</w:t>
      </w:r>
      <w:r>
        <w:rPr>
          <w:rFonts w:ascii="Arial" w:eastAsia="仿宋_GB2312" w:hAnsi="Arial" w:cs="Arial"/>
          <w:sz w:val="28"/>
          <w:szCs w:val="28"/>
        </w:rPr>
        <w:t>46793</w:t>
      </w:r>
      <w:r>
        <w:rPr>
          <w:rFonts w:ascii="Arial" w:eastAsia="仿宋_GB2312" w:hAnsi="Arial" w:cs="Arial" w:hint="eastAsia"/>
          <w:sz w:val="28"/>
          <w:szCs w:val="28"/>
        </w:rPr>
        <w:t>平方米</w:t>
      </w:r>
    </w:p>
    <w:p w14:paraId="2FE3B2EE"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hint="eastAsia"/>
          <w:sz w:val="28"/>
          <w:szCs w:val="28"/>
        </w:rPr>
        <w:t>地上建筑面积：</w:t>
      </w:r>
      <w:r>
        <w:rPr>
          <w:rFonts w:ascii="Arial" w:eastAsia="仿宋_GB2312" w:hAnsi="Arial" w:cs="Arial"/>
          <w:sz w:val="28"/>
          <w:szCs w:val="28"/>
        </w:rPr>
        <w:t>31511</w:t>
      </w:r>
      <w:r>
        <w:rPr>
          <w:rFonts w:ascii="Arial" w:eastAsia="仿宋_GB2312" w:hAnsi="Arial" w:cs="Arial" w:hint="eastAsia"/>
          <w:sz w:val="28"/>
          <w:szCs w:val="28"/>
        </w:rPr>
        <w:t>平方米</w:t>
      </w:r>
    </w:p>
    <w:p w14:paraId="4D54295B"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hint="eastAsia"/>
          <w:sz w:val="28"/>
          <w:szCs w:val="28"/>
        </w:rPr>
        <w:t>地下建筑面积：</w:t>
      </w:r>
      <w:r>
        <w:rPr>
          <w:rFonts w:ascii="Arial" w:eastAsia="仿宋_GB2312" w:hAnsi="Arial" w:cs="Arial"/>
          <w:sz w:val="28"/>
          <w:szCs w:val="28"/>
        </w:rPr>
        <w:t>15282</w:t>
      </w:r>
      <w:r>
        <w:rPr>
          <w:rFonts w:ascii="Arial" w:eastAsia="仿宋_GB2312" w:hAnsi="Arial" w:cs="Arial" w:hint="eastAsia"/>
          <w:sz w:val="28"/>
          <w:szCs w:val="28"/>
        </w:rPr>
        <w:t>平方米</w:t>
      </w:r>
    </w:p>
    <w:p w14:paraId="30C35A2E"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sz w:val="28"/>
          <w:szCs w:val="28"/>
        </w:rPr>
        <w:t>5.10</w:t>
      </w:r>
    </w:p>
    <w:p w14:paraId="5167738C"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根据《国有建设用地使用权出让地价评估委托书》，本次土地利用情况如下：</w:t>
      </w:r>
    </w:p>
    <w:p w14:paraId="08C89DBA"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该项目位于：北京市海淀区苏州街站一体化棚户区改造一次性招标项目</w:t>
      </w:r>
    </w:p>
    <w:p w14:paraId="13579036"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规划土地用途：住宅、商业、办公、地下办公、地下车库</w:t>
      </w:r>
    </w:p>
    <w:p w14:paraId="21441E78"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sz w:val="28"/>
          <w:szCs w:val="28"/>
        </w:rPr>
        <w:t>6180.978</w:t>
      </w:r>
      <w:r>
        <w:rPr>
          <w:rFonts w:ascii="Arial" w:eastAsia="仿宋_GB2312" w:hAnsi="Arial" w:cs="Arial" w:hint="eastAsia"/>
          <w:sz w:val="28"/>
          <w:szCs w:val="28"/>
        </w:rPr>
        <w:t>平方米</w:t>
      </w:r>
    </w:p>
    <w:p w14:paraId="4D519392"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总建筑面积：</w:t>
      </w:r>
      <w:r>
        <w:rPr>
          <w:rFonts w:ascii="Arial" w:eastAsia="仿宋_GB2312" w:hAnsi="Arial" w:cs="Arial"/>
          <w:sz w:val="28"/>
          <w:szCs w:val="28"/>
        </w:rPr>
        <w:t>46793</w:t>
      </w:r>
      <w:r>
        <w:rPr>
          <w:rFonts w:ascii="Arial" w:eastAsia="仿宋_GB2312" w:hAnsi="Arial" w:cs="Arial" w:hint="eastAsia"/>
          <w:sz w:val="28"/>
          <w:szCs w:val="28"/>
        </w:rPr>
        <w:t>平方米</w:t>
      </w:r>
    </w:p>
    <w:p w14:paraId="4D9727CC"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hint="eastAsia"/>
          <w:sz w:val="28"/>
          <w:szCs w:val="28"/>
        </w:rPr>
        <w:t>地上建筑面积：</w:t>
      </w:r>
      <w:r>
        <w:rPr>
          <w:rFonts w:ascii="Arial" w:eastAsia="仿宋_GB2312" w:hAnsi="Arial" w:cs="Arial"/>
          <w:sz w:val="28"/>
          <w:szCs w:val="28"/>
        </w:rPr>
        <w:t>31511</w:t>
      </w:r>
      <w:r>
        <w:rPr>
          <w:rFonts w:ascii="Arial" w:eastAsia="仿宋_GB2312" w:hAnsi="Arial" w:cs="Arial" w:hint="eastAsia"/>
          <w:sz w:val="28"/>
          <w:szCs w:val="28"/>
        </w:rPr>
        <w:t>平方米</w:t>
      </w:r>
    </w:p>
    <w:p w14:paraId="3ADE9C32"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hint="eastAsia"/>
          <w:sz w:val="28"/>
          <w:szCs w:val="28"/>
        </w:rPr>
        <w:t>地下建筑面积：</w:t>
      </w:r>
      <w:r>
        <w:rPr>
          <w:rFonts w:ascii="Arial" w:eastAsia="仿宋_GB2312" w:hAnsi="Arial" w:cs="Arial"/>
          <w:sz w:val="28"/>
          <w:szCs w:val="28"/>
        </w:rPr>
        <w:t>15282</w:t>
      </w:r>
      <w:r>
        <w:rPr>
          <w:rFonts w:ascii="Arial" w:eastAsia="仿宋_GB2312" w:hAnsi="Arial" w:cs="Arial" w:hint="eastAsia"/>
          <w:sz w:val="28"/>
          <w:szCs w:val="28"/>
        </w:rPr>
        <w:t>平方米</w:t>
      </w:r>
    </w:p>
    <w:p w14:paraId="091AF0E6"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sz w:val="28"/>
          <w:szCs w:val="28"/>
        </w:rPr>
        <w:t>5.10</w:t>
      </w:r>
    </w:p>
    <w:p w14:paraId="69986D03" w14:textId="77777777" w:rsidR="006C1DB6" w:rsidRDefault="006C1DB6" w:rsidP="006C1DB6">
      <w:pPr>
        <w:spacing w:line="36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hint="eastAsia"/>
          <w:spacing w:val="-12"/>
          <w:sz w:val="28"/>
        </w:rPr>
        <w:t>土地利用现状</w:t>
      </w:r>
    </w:p>
    <w:p w14:paraId="2C8F200C" w14:textId="7E991E3B" w:rsidR="002C3ABF" w:rsidRPr="00F631FB" w:rsidRDefault="00831261" w:rsidP="006C1DB6">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29</w:t>
      </w:r>
      <w:r>
        <w:rPr>
          <w:rFonts w:ascii="Arial" w:eastAsia="仿宋_GB2312" w:hAnsi="Arial" w:cs="Arial"/>
          <w:sz w:val="28"/>
          <w:szCs w:val="28"/>
        </w:rPr>
        <w:t>日</w:t>
      </w:r>
      <w:r w:rsidR="006C1DB6">
        <w:rPr>
          <w:rFonts w:ascii="Arial" w:eastAsia="仿宋_GB2312" w:hAnsi="Arial" w:cs="Arial" w:hint="eastAsia"/>
          <w:sz w:val="28"/>
          <w:szCs w:val="28"/>
        </w:rPr>
        <w:t>评估专业人员对该项目现场查勘，北京市海淀区苏州街站一体化棚户区改造一次性招标项目正在进行结构施工。根据联系人介绍，宗地红线外基础设施已达到</w:t>
      </w:r>
      <w:proofErr w:type="gramStart"/>
      <w:r w:rsidR="006C1DB6">
        <w:rPr>
          <w:rFonts w:ascii="Arial" w:eastAsia="仿宋_GB2312" w:hAnsi="Arial" w:cs="Arial"/>
          <w:sz w:val="28"/>
          <w:szCs w:val="28"/>
        </w:rPr>
        <w:t>”</w:t>
      </w:r>
      <w:proofErr w:type="gramEnd"/>
      <w:r w:rsidR="006C1DB6">
        <w:rPr>
          <w:rFonts w:ascii="Arial" w:eastAsia="仿宋_GB2312" w:hAnsi="Arial" w:cs="Arial" w:hint="eastAsia"/>
          <w:sz w:val="28"/>
          <w:szCs w:val="28"/>
        </w:rPr>
        <w:t>七通</w:t>
      </w:r>
      <w:proofErr w:type="gramStart"/>
      <w:r w:rsidR="006C1DB6">
        <w:rPr>
          <w:rFonts w:ascii="Arial" w:eastAsia="仿宋_GB2312" w:hAnsi="Arial" w:cs="Arial"/>
          <w:sz w:val="28"/>
          <w:szCs w:val="28"/>
        </w:rPr>
        <w:t>”</w:t>
      </w:r>
      <w:proofErr w:type="gramEnd"/>
      <w:r w:rsidR="006C1DB6">
        <w:rPr>
          <w:rFonts w:ascii="Arial" w:eastAsia="仿宋_GB2312" w:hAnsi="Arial" w:cs="Arial" w:hint="eastAsia"/>
          <w:sz w:val="28"/>
          <w:szCs w:val="28"/>
        </w:rPr>
        <w:t>（即通路、通电（管沟和电缆）、通讯、通上水（自来水、中水）、通下水（雨水、污水）、通燃气、通热）。</w:t>
      </w:r>
    </w:p>
    <w:bookmarkEnd w:id="14"/>
    <w:p w14:paraId="09CD3711"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p>
    <w:p w14:paraId="1F4EC1DF" w14:textId="77777777" w:rsidR="005C2351" w:rsidRDefault="005C2351" w:rsidP="002C3ABF">
      <w:pPr>
        <w:spacing w:line="360" w:lineRule="auto"/>
        <w:jc w:val="both"/>
        <w:outlineLvl w:val="1"/>
        <w:rPr>
          <w:rFonts w:ascii="Arial" w:eastAsia="仿宋_GB2312" w:hAnsi="Arial" w:cs="Arial"/>
          <w:b/>
          <w:bCs/>
          <w:sz w:val="28"/>
        </w:rPr>
      </w:pPr>
      <w:bookmarkStart w:id="98" w:name="_Toc515261597"/>
      <w:bookmarkStart w:id="99" w:name="_Toc515458370"/>
      <w:bookmarkStart w:id="100" w:name="_Toc524335069"/>
      <w:bookmarkStart w:id="101" w:name="_Toc69393380"/>
      <w:bookmarkEnd w:id="78"/>
      <w:bookmarkEnd w:id="79"/>
      <w:bookmarkEnd w:id="80"/>
      <w:bookmarkEnd w:id="81"/>
      <w:r>
        <w:rPr>
          <w:rFonts w:ascii="Arial" w:eastAsia="仿宋_GB2312" w:hAnsi="Arial" w:cs="Arial"/>
          <w:b/>
          <w:bCs/>
          <w:sz w:val="28"/>
        </w:rPr>
        <w:br w:type="page"/>
      </w:r>
    </w:p>
    <w:p w14:paraId="20C63E53" w14:textId="2DC951AA" w:rsidR="002C3ABF" w:rsidRPr="00F631FB" w:rsidRDefault="002C3ABF" w:rsidP="002C3ABF">
      <w:pPr>
        <w:spacing w:line="360" w:lineRule="auto"/>
        <w:jc w:val="both"/>
        <w:outlineLvl w:val="1"/>
        <w:rPr>
          <w:rFonts w:ascii="Arial" w:eastAsia="仿宋_GB2312" w:hAnsi="Arial" w:cs="Arial"/>
          <w:b/>
          <w:bCs/>
          <w:sz w:val="28"/>
        </w:rPr>
      </w:pPr>
      <w:r w:rsidRPr="00F631FB">
        <w:rPr>
          <w:rFonts w:ascii="Arial" w:eastAsia="仿宋_GB2312" w:hAnsi="Arial" w:cs="Arial"/>
          <w:b/>
          <w:bCs/>
          <w:sz w:val="28"/>
        </w:rPr>
        <w:lastRenderedPageBreak/>
        <w:t>四、影响地价的因素说明</w:t>
      </w:r>
      <w:bookmarkEnd w:id="98"/>
      <w:bookmarkEnd w:id="99"/>
      <w:bookmarkEnd w:id="100"/>
      <w:bookmarkEnd w:id="101"/>
    </w:p>
    <w:p w14:paraId="2E23A624" w14:textId="77777777" w:rsidR="003F1721" w:rsidRPr="008258E2" w:rsidRDefault="003F1721" w:rsidP="003F1721">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28A979E3" w14:textId="77777777" w:rsidR="003F1721" w:rsidRPr="008258E2" w:rsidRDefault="003F1721" w:rsidP="003F1721">
      <w:pPr>
        <w:spacing w:line="360" w:lineRule="auto"/>
        <w:ind w:right="205" w:firstLineChars="200" w:firstLine="560"/>
        <w:jc w:val="both"/>
        <w:outlineLvl w:val="0"/>
        <w:rPr>
          <w:rFonts w:ascii="Arial" w:eastAsia="仿宋_GB2312" w:hAnsi="Arial"/>
          <w:bCs/>
          <w:i/>
          <w:sz w:val="28"/>
          <w:szCs w:val="28"/>
        </w:rPr>
      </w:pPr>
      <w:r w:rsidRPr="00671BFF">
        <w:rPr>
          <w:rFonts w:ascii="Arial" w:eastAsia="仿宋_GB2312" w:hAnsi="Arial" w:hint="eastAsia"/>
          <w:bCs/>
          <w:sz w:val="28"/>
          <w:szCs w:val="28"/>
        </w:rPr>
        <w:t>1</w:t>
      </w:r>
      <w:r w:rsidRPr="008258E2">
        <w:rPr>
          <w:rFonts w:ascii="Arial" w:eastAsia="仿宋_GB2312" w:hAnsi="Arial" w:hint="eastAsia"/>
          <w:bCs/>
          <w:sz w:val="28"/>
          <w:szCs w:val="28"/>
        </w:rPr>
        <w:t>.</w:t>
      </w:r>
      <w:r w:rsidRPr="008258E2">
        <w:rPr>
          <w:rFonts w:ascii="Arial" w:eastAsia="仿宋_GB2312" w:hAnsi="Arial" w:hint="eastAsia"/>
          <w:bCs/>
          <w:sz w:val="28"/>
          <w:szCs w:val="28"/>
        </w:rPr>
        <w:t>城市资源状况</w:t>
      </w:r>
    </w:p>
    <w:p w14:paraId="08B5C5E5" w14:textId="77777777" w:rsidR="003F1721" w:rsidRPr="008258E2" w:rsidRDefault="003F1721" w:rsidP="003F1721">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14:paraId="4075A028" w14:textId="77777777" w:rsidR="003F1721" w:rsidRPr="001D2A49" w:rsidRDefault="003F1721" w:rsidP="003F1721">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7B8E00AF" w14:textId="77777777" w:rsidR="003F1721" w:rsidRPr="00390823" w:rsidRDefault="003F1721" w:rsidP="003F1721">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11BD37D5" w14:textId="3F9B58C2" w:rsidR="003F1721" w:rsidRPr="001B37A1" w:rsidRDefault="003F1721" w:rsidP="003F1721">
      <w:pPr>
        <w:widowControl/>
        <w:adjustRightInd/>
        <w:spacing w:line="375" w:lineRule="atLeast"/>
        <w:jc w:val="center"/>
        <w:textAlignment w:val="auto"/>
        <w:rPr>
          <w:rFonts w:ascii="宋体" w:hAnsi="宋体" w:cs="宋体"/>
          <w:sz w:val="21"/>
          <w:szCs w:val="21"/>
        </w:rPr>
      </w:pPr>
      <w:r w:rsidRPr="00467B97">
        <w:rPr>
          <w:noProof/>
        </w:rPr>
        <w:drawing>
          <wp:inline distT="0" distB="0" distL="0" distR="0" wp14:anchorId="6BF19666" wp14:editId="4F0B2EAE">
            <wp:extent cx="4821382" cy="2161309"/>
            <wp:effectExtent l="0" t="0" r="17780" b="10795"/>
            <wp:docPr id="2"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6FAB2B" w14:textId="77777777" w:rsidR="003F1721" w:rsidRPr="00042364" w:rsidRDefault="003F1721" w:rsidP="003F1721">
      <w:pPr>
        <w:spacing w:line="360" w:lineRule="auto"/>
        <w:ind w:right="205" w:firstLineChars="200" w:firstLine="560"/>
        <w:jc w:val="both"/>
        <w:rPr>
          <w:rFonts w:ascii="Arial" w:eastAsia="仿宋_GB2312" w:hAnsi="Arial" w:cs="Arial"/>
          <w:bCs/>
          <w:color w:val="000000"/>
          <w:sz w:val="28"/>
          <w:szCs w:val="28"/>
        </w:rPr>
      </w:pPr>
      <w:r w:rsidRPr="00042364">
        <w:rPr>
          <w:rFonts w:ascii="Arial" w:eastAsia="仿宋_GB2312" w:hAnsi="Arial" w:cs="Arial"/>
          <w:bCs/>
          <w:color w:val="000000"/>
          <w:sz w:val="28"/>
          <w:szCs w:val="28"/>
        </w:rPr>
        <w:t>2.</w:t>
      </w:r>
      <w:r w:rsidRPr="00042364">
        <w:rPr>
          <w:rFonts w:ascii="Arial" w:eastAsia="仿宋_GB2312" w:hAnsi="Arial" w:cs="Arial"/>
          <w:bCs/>
          <w:color w:val="000000"/>
          <w:sz w:val="28"/>
          <w:szCs w:val="28"/>
        </w:rPr>
        <w:t>房地产市场状况</w:t>
      </w:r>
    </w:p>
    <w:p w14:paraId="340637E2"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bCs/>
          <w:color w:val="000000"/>
          <w:sz w:val="28"/>
          <w:szCs w:val="28"/>
        </w:rPr>
        <w:t>（</w:t>
      </w:r>
      <w:r w:rsidRPr="00042364">
        <w:rPr>
          <w:rFonts w:ascii="Arial" w:eastAsia="仿宋_GB2312" w:hAnsi="Arial" w:cs="Arial"/>
          <w:bCs/>
          <w:color w:val="000000"/>
          <w:sz w:val="28"/>
          <w:szCs w:val="28"/>
        </w:rPr>
        <w:t>1</w:t>
      </w:r>
      <w:r w:rsidRPr="00042364">
        <w:rPr>
          <w:rFonts w:ascii="Arial" w:eastAsia="仿宋_GB2312" w:hAnsi="Arial" w:cs="Arial"/>
          <w:bCs/>
          <w:color w:val="000000"/>
          <w:sz w:val="28"/>
          <w:szCs w:val="28"/>
        </w:rPr>
        <w:t>）土地市场</w:t>
      </w:r>
    </w:p>
    <w:p w14:paraId="6D9AB9D5" w14:textId="77777777" w:rsidR="003F1721" w:rsidRPr="00042364" w:rsidRDefault="003F1721" w:rsidP="003F1721">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）土地供求情况</w:t>
      </w:r>
    </w:p>
    <w:p w14:paraId="63D818D3" w14:textId="77777777" w:rsidR="003F1721" w:rsidRPr="00042364" w:rsidRDefault="003F1721" w:rsidP="003F1721">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lastRenderedPageBreak/>
        <w:t>2021</w:t>
      </w:r>
      <w:r w:rsidRPr="00042364">
        <w:rPr>
          <w:rFonts w:ascii="Arial" w:eastAsia="仿宋_GB2312" w:hAnsi="Arial" w:hint="eastAsia"/>
          <w:bCs/>
          <w:color w:val="000000"/>
          <w:sz w:val="28"/>
          <w:szCs w:val="28"/>
        </w:rPr>
        <w:t>年前三季度北京商品住宅用地（含共有产权房）共推出</w:t>
      </w:r>
      <w:r w:rsidRPr="00042364">
        <w:rPr>
          <w:rFonts w:ascii="Arial" w:eastAsia="仿宋_GB2312" w:hAnsi="Arial" w:hint="eastAsia"/>
          <w:bCs/>
          <w:color w:val="000000"/>
          <w:sz w:val="28"/>
          <w:szCs w:val="28"/>
        </w:rPr>
        <w:t>80</w:t>
      </w:r>
      <w:r w:rsidRPr="00042364">
        <w:rPr>
          <w:rFonts w:ascii="Arial" w:eastAsia="仿宋_GB2312" w:hAnsi="Arial" w:hint="eastAsia"/>
          <w:bCs/>
          <w:color w:val="000000"/>
          <w:sz w:val="28"/>
          <w:szCs w:val="28"/>
        </w:rPr>
        <w:t>宗，累计供应</w:t>
      </w:r>
      <w:proofErr w:type="gramStart"/>
      <w:r w:rsidRPr="00042364">
        <w:rPr>
          <w:rFonts w:ascii="Arial" w:eastAsia="仿宋_GB2312" w:hAnsi="Arial" w:hint="eastAsia"/>
          <w:bCs/>
          <w:color w:val="000000"/>
          <w:sz w:val="28"/>
          <w:szCs w:val="28"/>
        </w:rPr>
        <w:t>规划建面</w:t>
      </w:r>
      <w:proofErr w:type="gramEnd"/>
      <w:r w:rsidRPr="00042364">
        <w:rPr>
          <w:rFonts w:ascii="Arial" w:eastAsia="仿宋_GB2312" w:hAnsi="Arial" w:hint="eastAsia"/>
          <w:bCs/>
          <w:color w:val="000000"/>
          <w:sz w:val="28"/>
          <w:szCs w:val="28"/>
        </w:rPr>
        <w:t>934.22</w:t>
      </w:r>
      <w:r w:rsidRPr="00042364">
        <w:rPr>
          <w:rFonts w:ascii="Arial" w:eastAsia="仿宋_GB2312" w:hAnsi="Arial" w:hint="eastAsia"/>
          <w:bCs/>
          <w:color w:val="000000"/>
          <w:sz w:val="28"/>
          <w:szCs w:val="28"/>
        </w:rPr>
        <w:t>万平方米，同比增长</w:t>
      </w:r>
      <w:r w:rsidRPr="00042364">
        <w:rPr>
          <w:rFonts w:ascii="Arial" w:eastAsia="仿宋_GB2312" w:hAnsi="Arial" w:hint="eastAsia"/>
          <w:bCs/>
          <w:color w:val="000000"/>
          <w:sz w:val="28"/>
          <w:szCs w:val="28"/>
        </w:rPr>
        <w:t>73%</w:t>
      </w:r>
      <w:r w:rsidRPr="00042364">
        <w:rPr>
          <w:rFonts w:ascii="Arial" w:eastAsia="仿宋_GB2312" w:hAnsi="Arial" w:hint="eastAsia"/>
          <w:bCs/>
          <w:color w:val="000000"/>
          <w:sz w:val="28"/>
          <w:szCs w:val="28"/>
        </w:rPr>
        <w:t>，供应总量已达近五年次高位的水平；受二批集中供地入市节点影响，前三季度北京宅地成交规模不及去年同期，累计成交</w:t>
      </w:r>
      <w:r w:rsidRPr="00042364">
        <w:rPr>
          <w:rFonts w:ascii="Arial" w:eastAsia="仿宋_GB2312" w:hAnsi="Arial" w:hint="eastAsia"/>
          <w:bCs/>
          <w:color w:val="000000"/>
          <w:sz w:val="28"/>
          <w:szCs w:val="28"/>
        </w:rPr>
        <w:t>37</w:t>
      </w:r>
      <w:r w:rsidRPr="00042364">
        <w:rPr>
          <w:rFonts w:ascii="Arial" w:eastAsia="仿宋_GB2312" w:hAnsi="Arial" w:hint="eastAsia"/>
          <w:bCs/>
          <w:color w:val="000000"/>
          <w:sz w:val="28"/>
          <w:szCs w:val="28"/>
        </w:rPr>
        <w:t>宗商品住宅用地（含共有产权房），成交</w:t>
      </w:r>
      <w:proofErr w:type="gramStart"/>
      <w:r w:rsidRPr="00042364">
        <w:rPr>
          <w:rFonts w:ascii="Arial" w:eastAsia="仿宋_GB2312" w:hAnsi="Arial" w:hint="eastAsia"/>
          <w:bCs/>
          <w:color w:val="000000"/>
          <w:sz w:val="28"/>
          <w:szCs w:val="28"/>
        </w:rPr>
        <w:t>规划建面</w:t>
      </w:r>
      <w:proofErr w:type="gramEnd"/>
      <w:r w:rsidRPr="00042364">
        <w:rPr>
          <w:rFonts w:ascii="Arial" w:eastAsia="仿宋_GB2312" w:hAnsi="Arial" w:hint="eastAsia"/>
          <w:bCs/>
          <w:color w:val="000000"/>
          <w:sz w:val="28"/>
          <w:szCs w:val="28"/>
        </w:rPr>
        <w:t>436.88</w:t>
      </w:r>
      <w:r w:rsidRPr="00042364">
        <w:rPr>
          <w:rFonts w:ascii="Arial" w:eastAsia="仿宋_GB2312" w:hAnsi="Arial" w:hint="eastAsia"/>
          <w:bCs/>
          <w:color w:val="000000"/>
          <w:sz w:val="28"/>
          <w:szCs w:val="28"/>
        </w:rPr>
        <w:t>万平方米，同比减少</w:t>
      </w:r>
      <w:r w:rsidRPr="00042364">
        <w:rPr>
          <w:rFonts w:ascii="Arial" w:eastAsia="仿宋_GB2312" w:hAnsi="Arial" w:hint="eastAsia"/>
          <w:bCs/>
          <w:color w:val="000000"/>
          <w:sz w:val="28"/>
          <w:szCs w:val="28"/>
        </w:rPr>
        <w:t>16%</w:t>
      </w:r>
      <w:r w:rsidRPr="00042364">
        <w:rPr>
          <w:rFonts w:ascii="Arial" w:eastAsia="仿宋_GB2312" w:hAnsi="Arial" w:hint="eastAsia"/>
          <w:bCs/>
          <w:color w:val="000000"/>
          <w:sz w:val="28"/>
          <w:szCs w:val="28"/>
        </w:rPr>
        <w:t>，但成交总量已达</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年成交规模的</w:t>
      </w:r>
      <w:r w:rsidRPr="00042364">
        <w:rPr>
          <w:rFonts w:ascii="Arial" w:eastAsia="仿宋_GB2312" w:hAnsi="Arial" w:hint="eastAsia"/>
          <w:bCs/>
          <w:color w:val="000000"/>
          <w:sz w:val="28"/>
          <w:szCs w:val="28"/>
        </w:rPr>
        <w:t>72%</w:t>
      </w:r>
      <w:r w:rsidRPr="00042364">
        <w:rPr>
          <w:rFonts w:ascii="Arial" w:eastAsia="仿宋_GB2312" w:hAnsi="Arial" w:hint="eastAsia"/>
          <w:bCs/>
          <w:color w:val="000000"/>
          <w:sz w:val="28"/>
          <w:szCs w:val="28"/>
        </w:rPr>
        <w:t>。</w:t>
      </w:r>
    </w:p>
    <w:p w14:paraId="743D4338" w14:textId="4F4E4C51" w:rsidR="003F1721" w:rsidRPr="00042364" w:rsidRDefault="003F1721" w:rsidP="003F1721">
      <w:pPr>
        <w:widowControl/>
        <w:overflowPunct w:val="0"/>
        <w:adjustRightInd/>
        <w:spacing w:line="480" w:lineRule="auto"/>
        <w:jc w:val="center"/>
        <w:textAlignment w:val="auto"/>
        <w:rPr>
          <w:rFonts w:ascii="Arial" w:hAnsi="Arial"/>
          <w:color w:val="984806"/>
          <w:sz w:val="21"/>
          <w:szCs w:val="21"/>
          <w:highlight w:val="lightGray"/>
        </w:rPr>
      </w:pPr>
      <w:r w:rsidRPr="00E00F1E">
        <w:rPr>
          <w:noProof/>
        </w:rPr>
        <w:drawing>
          <wp:inline distT="0" distB="0" distL="0" distR="0" wp14:anchorId="20FF7FE1" wp14:editId="0D2493FF">
            <wp:extent cx="5902325" cy="1496060"/>
            <wp:effectExtent l="0" t="0" r="3175" b="889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2325" cy="1496060"/>
                    </a:xfrm>
                    <a:prstGeom prst="rect">
                      <a:avLst/>
                    </a:prstGeom>
                    <a:noFill/>
                    <a:ln>
                      <a:noFill/>
                    </a:ln>
                  </pic:spPr>
                </pic:pic>
              </a:graphicData>
            </a:graphic>
          </wp:inline>
        </w:drawing>
      </w:r>
    </w:p>
    <w:p w14:paraId="6D48C31D" w14:textId="77777777" w:rsidR="003F1721" w:rsidRPr="00042364" w:rsidRDefault="003F1721" w:rsidP="003F1721">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）土地成交价格</w:t>
      </w:r>
    </w:p>
    <w:p w14:paraId="1B720E79" w14:textId="77777777" w:rsidR="003F1721" w:rsidRPr="00042364" w:rsidRDefault="003F1721" w:rsidP="003F1721">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近两年，北京住宅用地成交楼面均价明显上涨，主要原因是</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年为提</w:t>
      </w:r>
      <w:proofErr w:type="gramStart"/>
      <w:r w:rsidRPr="00042364">
        <w:rPr>
          <w:rFonts w:ascii="Arial" w:eastAsia="仿宋_GB2312" w:hAnsi="Arial" w:hint="eastAsia"/>
          <w:bCs/>
          <w:color w:val="000000"/>
          <w:sz w:val="28"/>
          <w:szCs w:val="28"/>
        </w:rPr>
        <w:t>振市场</w:t>
      </w:r>
      <w:proofErr w:type="gramEnd"/>
      <w:r w:rsidRPr="00042364">
        <w:rPr>
          <w:rFonts w:ascii="Arial" w:eastAsia="仿宋_GB2312" w:hAnsi="Arial" w:hint="eastAsia"/>
          <w:bCs/>
          <w:color w:val="000000"/>
          <w:sz w:val="28"/>
          <w:szCs w:val="28"/>
        </w:rPr>
        <w:t>情绪，北京推出了多宗</w:t>
      </w:r>
      <w:proofErr w:type="gramStart"/>
      <w:r w:rsidRPr="00042364">
        <w:rPr>
          <w:rFonts w:ascii="Arial" w:eastAsia="仿宋_GB2312" w:hAnsi="Arial" w:hint="eastAsia"/>
          <w:bCs/>
          <w:color w:val="000000"/>
          <w:sz w:val="28"/>
          <w:szCs w:val="28"/>
        </w:rPr>
        <w:t>不</w:t>
      </w:r>
      <w:proofErr w:type="gramEnd"/>
      <w:r w:rsidRPr="00042364">
        <w:rPr>
          <w:rFonts w:ascii="Arial" w:eastAsia="仿宋_GB2312" w:hAnsi="Arial" w:hint="eastAsia"/>
          <w:bCs/>
          <w:color w:val="000000"/>
          <w:sz w:val="28"/>
          <w:szCs w:val="28"/>
        </w:rPr>
        <w:t>限价、优质地块，带动整体成交楼面均价上涨，同时今年首批集中供地大多为主城区，区位优势明显，楼面</w:t>
      </w:r>
      <w:proofErr w:type="gramStart"/>
      <w:r w:rsidRPr="00042364">
        <w:rPr>
          <w:rFonts w:ascii="Arial" w:eastAsia="仿宋_GB2312" w:hAnsi="Arial" w:hint="eastAsia"/>
          <w:bCs/>
          <w:color w:val="000000"/>
          <w:sz w:val="28"/>
          <w:szCs w:val="28"/>
        </w:rPr>
        <w:t>均价居</w:t>
      </w:r>
      <w:proofErr w:type="gramEnd"/>
      <w:r w:rsidRPr="00042364">
        <w:rPr>
          <w:rFonts w:ascii="Arial" w:eastAsia="仿宋_GB2312" w:hAnsi="Arial" w:hint="eastAsia"/>
          <w:bCs/>
          <w:color w:val="000000"/>
          <w:sz w:val="28"/>
          <w:szCs w:val="28"/>
        </w:rPr>
        <w:t>高位，前三季度北京住宅用地整体成交楼面均价</w:t>
      </w:r>
      <w:r w:rsidRPr="00042364">
        <w:rPr>
          <w:rFonts w:ascii="Arial" w:eastAsia="仿宋_GB2312" w:hAnsi="Arial" w:hint="eastAsia"/>
          <w:bCs/>
          <w:color w:val="000000"/>
          <w:sz w:val="28"/>
          <w:szCs w:val="28"/>
        </w:rPr>
        <w:t>30324</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平方米，同比微增</w:t>
      </w:r>
      <w:r w:rsidRPr="00042364">
        <w:rPr>
          <w:rFonts w:ascii="Arial" w:eastAsia="仿宋_GB2312" w:hAnsi="Arial" w:hint="eastAsia"/>
          <w:bCs/>
          <w:color w:val="000000"/>
          <w:sz w:val="28"/>
          <w:szCs w:val="28"/>
        </w:rPr>
        <w:t>0.1%</w:t>
      </w:r>
      <w:r w:rsidRPr="00042364">
        <w:rPr>
          <w:rFonts w:ascii="Arial" w:eastAsia="仿宋_GB2312" w:hAnsi="Arial" w:hint="eastAsia"/>
          <w:bCs/>
          <w:color w:val="000000"/>
          <w:sz w:val="28"/>
          <w:szCs w:val="28"/>
        </w:rPr>
        <w:t>。成交溢价率方面，前三季度住宅用地成交溢价率约</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，同比减少</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个百分点，主要是因为北京严格落实“房地联动、一地</w:t>
      </w:r>
      <w:proofErr w:type="gramStart"/>
      <w:r w:rsidRPr="00042364">
        <w:rPr>
          <w:rFonts w:ascii="Arial" w:eastAsia="仿宋_GB2312" w:hAnsi="Arial" w:hint="eastAsia"/>
          <w:bCs/>
          <w:color w:val="000000"/>
          <w:sz w:val="28"/>
          <w:szCs w:val="28"/>
        </w:rPr>
        <w:t>一</w:t>
      </w:r>
      <w:proofErr w:type="gramEnd"/>
      <w:r w:rsidRPr="00042364">
        <w:rPr>
          <w:rFonts w:ascii="Arial" w:eastAsia="仿宋_GB2312" w:hAnsi="Arial" w:hint="eastAsia"/>
          <w:bCs/>
          <w:color w:val="000000"/>
          <w:sz w:val="28"/>
          <w:szCs w:val="28"/>
        </w:rPr>
        <w:t>策”机制，并通过两集中</w:t>
      </w:r>
      <w:proofErr w:type="gramStart"/>
      <w:r w:rsidRPr="00042364">
        <w:rPr>
          <w:rFonts w:ascii="Arial" w:eastAsia="仿宋_GB2312" w:hAnsi="Arial" w:hint="eastAsia"/>
          <w:bCs/>
          <w:color w:val="000000"/>
          <w:sz w:val="28"/>
          <w:szCs w:val="28"/>
        </w:rPr>
        <w:t>多元土拍规则</w:t>
      </w:r>
      <w:proofErr w:type="gramEnd"/>
      <w:r w:rsidRPr="00042364">
        <w:rPr>
          <w:rFonts w:ascii="Arial" w:eastAsia="仿宋_GB2312" w:hAnsi="Arial" w:hint="eastAsia"/>
          <w:bCs/>
          <w:color w:val="000000"/>
          <w:sz w:val="28"/>
          <w:szCs w:val="28"/>
        </w:rPr>
        <w:t>对地价进行严控，使得整体溢价率保持低位。</w:t>
      </w:r>
      <w:r w:rsidRPr="00042364">
        <w:rPr>
          <w:rFonts w:ascii="Arial" w:eastAsia="仿宋_GB2312" w:hAnsi="Arial" w:hint="eastAsia"/>
          <w:bCs/>
          <w:color w:val="000000"/>
          <w:sz w:val="28"/>
          <w:szCs w:val="28"/>
        </w:rPr>
        <w:t xml:space="preserve"> </w:t>
      </w:r>
    </w:p>
    <w:p w14:paraId="01A1F0D5" w14:textId="77777777" w:rsidR="003F1721" w:rsidRPr="00042364" w:rsidRDefault="003F1721" w:rsidP="003F1721">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）区域成交情况</w:t>
      </w:r>
    </w:p>
    <w:p w14:paraId="3CA0C9AF" w14:textId="77777777" w:rsidR="003F1721" w:rsidRPr="00042364" w:rsidRDefault="003F1721" w:rsidP="003F1721">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年前三季度近郊六区仍为北京住宅用地成交主力区域，累计成交规模</w:t>
      </w:r>
      <w:r w:rsidRPr="00042364">
        <w:rPr>
          <w:rFonts w:ascii="Arial" w:eastAsia="仿宋_GB2312" w:hAnsi="Arial" w:hint="eastAsia"/>
          <w:bCs/>
          <w:color w:val="000000"/>
          <w:sz w:val="28"/>
          <w:szCs w:val="28"/>
        </w:rPr>
        <w:t>236.01</w:t>
      </w:r>
      <w:r w:rsidRPr="00042364">
        <w:rPr>
          <w:rFonts w:ascii="Arial" w:eastAsia="仿宋_GB2312" w:hAnsi="Arial" w:hint="eastAsia"/>
          <w:bCs/>
          <w:color w:val="000000"/>
          <w:sz w:val="28"/>
          <w:szCs w:val="28"/>
        </w:rPr>
        <w:t>万平方米，占比</w:t>
      </w:r>
      <w:r w:rsidRPr="00042364">
        <w:rPr>
          <w:rFonts w:ascii="Arial" w:eastAsia="仿宋_GB2312" w:hAnsi="Arial" w:hint="eastAsia"/>
          <w:bCs/>
          <w:color w:val="000000"/>
          <w:sz w:val="28"/>
          <w:szCs w:val="28"/>
        </w:rPr>
        <w:t>54%</w:t>
      </w:r>
      <w:r w:rsidRPr="00042364">
        <w:rPr>
          <w:rFonts w:ascii="Arial" w:eastAsia="仿宋_GB2312" w:hAnsi="Arial" w:hint="eastAsia"/>
          <w:bCs/>
          <w:color w:val="000000"/>
          <w:sz w:val="28"/>
          <w:szCs w:val="28"/>
        </w:rPr>
        <w:t>，其中大兴、顺义、通州为成交主力区域，累计成交规模均超</w:t>
      </w:r>
      <w:r w:rsidRPr="00042364">
        <w:rPr>
          <w:rFonts w:ascii="Arial" w:eastAsia="仿宋_GB2312" w:hAnsi="Arial" w:hint="eastAsia"/>
          <w:bCs/>
          <w:color w:val="000000"/>
          <w:sz w:val="28"/>
          <w:szCs w:val="28"/>
        </w:rPr>
        <w:t>50</w:t>
      </w:r>
      <w:r w:rsidRPr="00042364">
        <w:rPr>
          <w:rFonts w:ascii="Arial" w:eastAsia="仿宋_GB2312" w:hAnsi="Arial" w:hint="eastAsia"/>
          <w:bCs/>
          <w:color w:val="000000"/>
          <w:sz w:val="28"/>
          <w:szCs w:val="28"/>
        </w:rPr>
        <w:t>万平方米；中心城区成交规模</w:t>
      </w:r>
      <w:r w:rsidRPr="00042364">
        <w:rPr>
          <w:rFonts w:ascii="Arial" w:eastAsia="仿宋_GB2312" w:hAnsi="Arial" w:hint="eastAsia"/>
          <w:bCs/>
          <w:color w:val="000000"/>
          <w:sz w:val="28"/>
          <w:szCs w:val="28"/>
        </w:rPr>
        <w:t>157.16</w:t>
      </w:r>
      <w:r w:rsidRPr="00042364">
        <w:rPr>
          <w:rFonts w:ascii="Arial" w:eastAsia="仿宋_GB2312" w:hAnsi="Arial" w:hint="eastAsia"/>
          <w:bCs/>
          <w:color w:val="000000"/>
          <w:sz w:val="28"/>
          <w:szCs w:val="28"/>
        </w:rPr>
        <w:t>万平方米，朝阳为成交主力区，累计成交规模</w:t>
      </w:r>
      <w:r w:rsidRPr="00042364">
        <w:rPr>
          <w:rFonts w:ascii="Arial" w:eastAsia="仿宋_GB2312" w:hAnsi="Arial" w:hint="eastAsia"/>
          <w:bCs/>
          <w:color w:val="000000"/>
          <w:sz w:val="28"/>
          <w:szCs w:val="28"/>
        </w:rPr>
        <w:t>94.97</w:t>
      </w:r>
      <w:r w:rsidRPr="00042364">
        <w:rPr>
          <w:rFonts w:ascii="Arial" w:eastAsia="仿宋_GB2312" w:hAnsi="Arial" w:hint="eastAsia"/>
          <w:bCs/>
          <w:color w:val="000000"/>
          <w:sz w:val="28"/>
          <w:szCs w:val="28"/>
        </w:rPr>
        <w:t>万平方米；远郊四</w:t>
      </w:r>
      <w:proofErr w:type="gramStart"/>
      <w:r w:rsidRPr="00042364">
        <w:rPr>
          <w:rFonts w:ascii="Arial" w:eastAsia="仿宋_GB2312" w:hAnsi="Arial" w:hint="eastAsia"/>
          <w:bCs/>
          <w:color w:val="000000"/>
          <w:sz w:val="28"/>
          <w:szCs w:val="28"/>
        </w:rPr>
        <w:t>区成交</w:t>
      </w:r>
      <w:proofErr w:type="gramEnd"/>
      <w:r w:rsidRPr="00042364">
        <w:rPr>
          <w:rFonts w:ascii="Arial" w:eastAsia="仿宋_GB2312" w:hAnsi="Arial" w:hint="eastAsia"/>
          <w:bCs/>
          <w:color w:val="000000"/>
          <w:sz w:val="28"/>
          <w:szCs w:val="28"/>
        </w:rPr>
        <w:t>规模</w:t>
      </w:r>
      <w:r w:rsidRPr="00042364">
        <w:rPr>
          <w:rFonts w:ascii="Arial" w:eastAsia="仿宋_GB2312" w:hAnsi="Arial" w:hint="eastAsia"/>
          <w:bCs/>
          <w:color w:val="000000"/>
          <w:sz w:val="28"/>
          <w:szCs w:val="28"/>
        </w:rPr>
        <w:t>43.72</w:t>
      </w:r>
      <w:r w:rsidRPr="00042364">
        <w:rPr>
          <w:rFonts w:ascii="Arial" w:eastAsia="仿宋_GB2312" w:hAnsi="Arial" w:hint="eastAsia"/>
          <w:bCs/>
          <w:color w:val="000000"/>
          <w:sz w:val="28"/>
          <w:szCs w:val="28"/>
        </w:rPr>
        <w:t>万平方米，其中怀柔成交规模</w:t>
      </w:r>
      <w:r w:rsidRPr="00042364">
        <w:rPr>
          <w:rFonts w:ascii="Arial" w:eastAsia="仿宋_GB2312" w:hAnsi="Arial" w:hint="eastAsia"/>
          <w:bCs/>
          <w:color w:val="000000"/>
          <w:sz w:val="28"/>
          <w:szCs w:val="28"/>
        </w:rPr>
        <w:t>21.17</w:t>
      </w:r>
      <w:r w:rsidRPr="00042364">
        <w:rPr>
          <w:rFonts w:ascii="Arial" w:eastAsia="仿宋_GB2312" w:hAnsi="Arial" w:hint="eastAsia"/>
          <w:bCs/>
          <w:color w:val="000000"/>
          <w:sz w:val="28"/>
          <w:szCs w:val="28"/>
        </w:rPr>
        <w:t>万平方米，为远郊成交最多区域。另外，</w:t>
      </w:r>
      <w:proofErr w:type="gramStart"/>
      <w:r w:rsidRPr="00042364">
        <w:rPr>
          <w:rFonts w:ascii="Arial" w:eastAsia="仿宋_GB2312" w:hAnsi="Arial" w:hint="eastAsia"/>
          <w:bCs/>
          <w:color w:val="000000"/>
          <w:sz w:val="28"/>
          <w:szCs w:val="28"/>
        </w:rPr>
        <w:t>受集中</w:t>
      </w:r>
      <w:proofErr w:type="gramEnd"/>
      <w:r w:rsidRPr="00042364">
        <w:rPr>
          <w:rFonts w:ascii="Arial" w:eastAsia="仿宋_GB2312" w:hAnsi="Arial" w:hint="eastAsia"/>
          <w:bCs/>
          <w:color w:val="000000"/>
          <w:sz w:val="28"/>
          <w:szCs w:val="28"/>
        </w:rPr>
        <w:t>供地节点影响，</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季度北京仅</w:t>
      </w:r>
      <w:proofErr w:type="gramStart"/>
      <w:r w:rsidRPr="00042364">
        <w:rPr>
          <w:rFonts w:ascii="Arial" w:eastAsia="仿宋_GB2312" w:hAnsi="Arial" w:hint="eastAsia"/>
          <w:bCs/>
          <w:color w:val="000000"/>
          <w:sz w:val="28"/>
          <w:szCs w:val="28"/>
        </w:rPr>
        <w:t>平谷区成交</w:t>
      </w:r>
      <w:proofErr w:type="gramEnd"/>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宗住宅用地。</w:t>
      </w:r>
    </w:p>
    <w:p w14:paraId="7F662227" w14:textId="30E7C563" w:rsidR="003F1721" w:rsidRPr="00042364" w:rsidRDefault="003F1721" w:rsidP="003F1721">
      <w:pPr>
        <w:spacing w:line="360" w:lineRule="auto"/>
        <w:jc w:val="center"/>
        <w:rPr>
          <w:rFonts w:ascii="Arial" w:eastAsia="仿宋_GB2312" w:hAnsi="Arial"/>
          <w:bCs/>
          <w:color w:val="984806"/>
          <w:sz w:val="28"/>
          <w:szCs w:val="28"/>
          <w:highlight w:val="lightGray"/>
        </w:rPr>
      </w:pPr>
      <w:r w:rsidRPr="00E00F1E">
        <w:rPr>
          <w:noProof/>
        </w:rPr>
        <w:lastRenderedPageBreak/>
        <w:drawing>
          <wp:inline distT="0" distB="0" distL="0" distR="0" wp14:anchorId="04D9AF4C" wp14:editId="0EA6D28B">
            <wp:extent cx="5904865" cy="1908810"/>
            <wp:effectExtent l="0" t="0" r="63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4865" cy="1908810"/>
                    </a:xfrm>
                    <a:prstGeom prst="rect">
                      <a:avLst/>
                    </a:prstGeom>
                    <a:noFill/>
                    <a:ln>
                      <a:noFill/>
                    </a:ln>
                  </pic:spPr>
                </pic:pic>
              </a:graphicData>
            </a:graphic>
          </wp:inline>
        </w:drawing>
      </w:r>
    </w:p>
    <w:p w14:paraId="0C3926D6" w14:textId="77777777" w:rsidR="003F1721" w:rsidRPr="00042364" w:rsidRDefault="003F1721" w:rsidP="003F1721">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成交楼面均价方面，中心城区楼面均价相对较高，海淀、石景山、朝阳成交楼面均价在</w:t>
      </w: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万元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平方米以上，且高于北京整体楼面均价，其中海淀树村成交的</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宗宅地楼面价超过</w:t>
      </w:r>
      <w:r w:rsidRPr="00042364">
        <w:rPr>
          <w:rFonts w:ascii="Arial" w:eastAsia="仿宋_GB2312" w:hAnsi="Arial" w:hint="eastAsia"/>
          <w:bCs/>
          <w:color w:val="000000"/>
          <w:sz w:val="28"/>
          <w:szCs w:val="28"/>
        </w:rPr>
        <w:t>6</w:t>
      </w:r>
      <w:r w:rsidRPr="00042364">
        <w:rPr>
          <w:rFonts w:ascii="Arial" w:eastAsia="仿宋_GB2312" w:hAnsi="Arial" w:hint="eastAsia"/>
          <w:bCs/>
          <w:color w:val="000000"/>
          <w:sz w:val="28"/>
          <w:szCs w:val="28"/>
        </w:rPr>
        <w:t>万</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平方米。石景山衙门口</w:t>
      </w:r>
      <w:proofErr w:type="gramStart"/>
      <w:r w:rsidRPr="00042364">
        <w:rPr>
          <w:rFonts w:ascii="Arial" w:eastAsia="仿宋_GB2312" w:hAnsi="Arial" w:hint="eastAsia"/>
          <w:bCs/>
          <w:color w:val="000000"/>
          <w:sz w:val="28"/>
          <w:szCs w:val="28"/>
        </w:rPr>
        <w:t>及北辛安</w:t>
      </w:r>
      <w:proofErr w:type="gramEnd"/>
      <w:r w:rsidRPr="00042364">
        <w:rPr>
          <w:rFonts w:ascii="Arial" w:eastAsia="仿宋_GB2312" w:hAnsi="Arial" w:hint="eastAsia"/>
          <w:bCs/>
          <w:color w:val="000000"/>
          <w:sz w:val="28"/>
          <w:szCs w:val="28"/>
        </w:rPr>
        <w:t>地块，朝阳东坝、金盏、</w:t>
      </w:r>
      <w:proofErr w:type="gramStart"/>
      <w:r w:rsidRPr="00042364">
        <w:rPr>
          <w:rFonts w:ascii="Arial" w:eastAsia="仿宋_GB2312" w:hAnsi="Arial" w:hint="eastAsia"/>
          <w:bCs/>
          <w:color w:val="000000"/>
          <w:sz w:val="28"/>
          <w:szCs w:val="28"/>
        </w:rPr>
        <w:t>崔</w:t>
      </w:r>
      <w:proofErr w:type="gramEnd"/>
      <w:r w:rsidRPr="00042364">
        <w:rPr>
          <w:rFonts w:ascii="Arial" w:eastAsia="仿宋_GB2312" w:hAnsi="Arial" w:hint="eastAsia"/>
          <w:bCs/>
          <w:color w:val="000000"/>
          <w:sz w:val="28"/>
          <w:szCs w:val="28"/>
        </w:rPr>
        <w:t>各庄宅地，成交楼面均价突破</w:t>
      </w: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万元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平方米。从楼面均价变化来看，中心城区的海淀、石景山成交楼面价同比涨幅较大，涨幅均超过</w:t>
      </w:r>
      <w:r w:rsidRPr="00042364">
        <w:rPr>
          <w:rFonts w:ascii="Arial" w:eastAsia="仿宋_GB2312" w:hAnsi="Arial" w:hint="eastAsia"/>
          <w:bCs/>
          <w:color w:val="000000"/>
          <w:sz w:val="28"/>
          <w:szCs w:val="28"/>
        </w:rPr>
        <w:t>40%</w:t>
      </w:r>
      <w:r w:rsidRPr="00042364">
        <w:rPr>
          <w:rFonts w:ascii="Arial" w:eastAsia="仿宋_GB2312" w:hAnsi="Arial" w:hint="eastAsia"/>
          <w:bCs/>
          <w:color w:val="000000"/>
          <w:sz w:val="28"/>
          <w:szCs w:val="28"/>
        </w:rPr>
        <w:t>，丰台成交楼面价同比领跌，跌幅达</w:t>
      </w:r>
      <w:r w:rsidRPr="00042364">
        <w:rPr>
          <w:rFonts w:ascii="Arial" w:eastAsia="仿宋_GB2312" w:hAnsi="Arial" w:hint="eastAsia"/>
          <w:bCs/>
          <w:color w:val="000000"/>
          <w:sz w:val="28"/>
          <w:szCs w:val="28"/>
        </w:rPr>
        <w:t>39%</w:t>
      </w:r>
      <w:r w:rsidRPr="00042364">
        <w:rPr>
          <w:rFonts w:ascii="Arial" w:eastAsia="仿宋_GB2312" w:hAnsi="Arial" w:hint="eastAsia"/>
          <w:bCs/>
          <w:color w:val="000000"/>
          <w:sz w:val="28"/>
          <w:szCs w:val="28"/>
        </w:rPr>
        <w:t>。</w:t>
      </w:r>
    </w:p>
    <w:p w14:paraId="07938C2E" w14:textId="77777777" w:rsidR="003F1721" w:rsidRPr="00042364" w:rsidRDefault="003F1721" w:rsidP="003F1721">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溢价率方面，受首批集中供地多重竞拍规则限制，北京住宅用地成交整体溢价率保持低位运行。近郊中顺义平均溢价率达</w:t>
      </w:r>
      <w:r w:rsidRPr="00042364">
        <w:rPr>
          <w:rFonts w:ascii="Arial" w:eastAsia="仿宋_GB2312" w:hAnsi="Arial" w:hint="eastAsia"/>
          <w:bCs/>
          <w:color w:val="000000"/>
          <w:sz w:val="28"/>
          <w:szCs w:val="28"/>
        </w:rPr>
        <w:t>19%</w:t>
      </w:r>
      <w:r w:rsidRPr="00042364">
        <w:rPr>
          <w:rFonts w:ascii="Arial" w:eastAsia="仿宋_GB2312" w:hAnsi="Arial" w:hint="eastAsia"/>
          <w:bCs/>
          <w:color w:val="000000"/>
          <w:sz w:val="28"/>
          <w:szCs w:val="28"/>
        </w:rPr>
        <w:t>，为北京今年以来住宅用地市场竞争最激烈区域，其次为远郊区密云，平均溢价率达</w:t>
      </w:r>
      <w:r w:rsidRPr="00042364">
        <w:rPr>
          <w:rFonts w:ascii="Arial" w:eastAsia="仿宋_GB2312" w:hAnsi="Arial" w:hint="eastAsia"/>
          <w:bCs/>
          <w:color w:val="000000"/>
          <w:sz w:val="28"/>
          <w:szCs w:val="28"/>
        </w:rPr>
        <w:t>15%</w:t>
      </w:r>
      <w:r w:rsidRPr="00042364">
        <w:rPr>
          <w:rFonts w:ascii="Arial" w:eastAsia="仿宋_GB2312" w:hAnsi="Arial" w:hint="eastAsia"/>
          <w:bCs/>
          <w:color w:val="000000"/>
          <w:sz w:val="28"/>
          <w:szCs w:val="28"/>
        </w:rPr>
        <w:t>，但顺义和密云成交总数较少，分别成交</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宗和</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宗地块。</w:t>
      </w:r>
    </w:p>
    <w:p w14:paraId="4275692C" w14:textId="640F5DB0" w:rsidR="003F1721" w:rsidRPr="00042364" w:rsidRDefault="003F1721" w:rsidP="003F1721">
      <w:pPr>
        <w:spacing w:line="360" w:lineRule="auto"/>
        <w:jc w:val="center"/>
        <w:rPr>
          <w:rFonts w:ascii="Arial" w:eastAsia="仿宋_GB2312" w:hAnsi="Arial"/>
          <w:bCs/>
          <w:color w:val="984806"/>
          <w:sz w:val="28"/>
          <w:szCs w:val="28"/>
        </w:rPr>
      </w:pPr>
      <w:r w:rsidRPr="00E00F1E">
        <w:rPr>
          <w:noProof/>
        </w:rPr>
        <w:drawing>
          <wp:inline distT="0" distB="0" distL="0" distR="0" wp14:anchorId="2E26BC8E" wp14:editId="24838198">
            <wp:extent cx="5902325" cy="1852295"/>
            <wp:effectExtent l="0" t="0" r="317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2325" cy="1852295"/>
                    </a:xfrm>
                    <a:prstGeom prst="rect">
                      <a:avLst/>
                    </a:prstGeom>
                    <a:noFill/>
                    <a:ln>
                      <a:noFill/>
                    </a:ln>
                  </pic:spPr>
                </pic:pic>
              </a:graphicData>
            </a:graphic>
          </wp:inline>
        </w:drawing>
      </w:r>
    </w:p>
    <w:p w14:paraId="2D509A1F" w14:textId="77777777" w:rsidR="003F1721" w:rsidRPr="00042364" w:rsidRDefault="003F1721" w:rsidP="003F1721">
      <w:pPr>
        <w:spacing w:line="360" w:lineRule="auto"/>
        <w:ind w:firstLineChars="200" w:firstLine="560"/>
        <w:rPr>
          <w:rFonts w:ascii="Arial" w:eastAsia="仿宋_GB2312" w:hAnsi="Arial"/>
          <w:bCs/>
          <w:color w:val="000000"/>
          <w:sz w:val="28"/>
          <w:szCs w:val="28"/>
        </w:rPr>
      </w:pP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）集中供地</w:t>
      </w:r>
    </w:p>
    <w:p w14:paraId="083568A3"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截至目前，</w:t>
      </w: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年北京一</w:t>
      </w:r>
      <w:r>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二批次已累计供应</w:t>
      </w:r>
      <w:r w:rsidRPr="00042364">
        <w:rPr>
          <w:rFonts w:ascii="Arial" w:eastAsia="仿宋_GB2312" w:hAnsi="Arial" w:cs="Arial" w:hint="eastAsia"/>
          <w:bCs/>
          <w:color w:val="000000"/>
          <w:sz w:val="28"/>
          <w:szCs w:val="28"/>
        </w:rPr>
        <w:t>73</w:t>
      </w:r>
      <w:r w:rsidRPr="00042364">
        <w:rPr>
          <w:rFonts w:ascii="Arial" w:eastAsia="仿宋_GB2312" w:hAnsi="Arial" w:cs="Arial" w:hint="eastAsia"/>
          <w:bCs/>
          <w:color w:val="000000"/>
          <w:sz w:val="28"/>
          <w:szCs w:val="28"/>
        </w:rPr>
        <w:t>宗宅地，累计推出</w:t>
      </w:r>
      <w:proofErr w:type="gramStart"/>
      <w:r w:rsidRPr="00042364">
        <w:rPr>
          <w:rFonts w:ascii="Arial" w:eastAsia="仿宋_GB2312" w:hAnsi="Arial" w:cs="Arial" w:hint="eastAsia"/>
          <w:bCs/>
          <w:color w:val="000000"/>
          <w:sz w:val="28"/>
          <w:szCs w:val="28"/>
        </w:rPr>
        <w:t>规划建面</w:t>
      </w:r>
      <w:proofErr w:type="gramEnd"/>
      <w:r w:rsidRPr="00042364">
        <w:rPr>
          <w:rFonts w:ascii="Arial" w:eastAsia="仿宋_GB2312" w:hAnsi="Arial" w:cs="Arial" w:hint="eastAsia"/>
          <w:bCs/>
          <w:color w:val="000000"/>
          <w:sz w:val="28"/>
          <w:szCs w:val="28"/>
        </w:rPr>
        <w:t>840.94</w:t>
      </w:r>
      <w:r w:rsidRPr="00042364">
        <w:rPr>
          <w:rFonts w:ascii="Arial" w:eastAsia="仿宋_GB2312" w:hAnsi="Arial" w:cs="Arial" w:hint="eastAsia"/>
          <w:bCs/>
          <w:color w:val="000000"/>
          <w:sz w:val="28"/>
          <w:szCs w:val="28"/>
        </w:rPr>
        <w:t>万平方米，已超</w:t>
      </w:r>
      <w:r w:rsidRPr="00042364">
        <w:rPr>
          <w:rFonts w:ascii="Arial" w:eastAsia="仿宋_GB2312" w:hAnsi="Arial" w:cs="Arial" w:hint="eastAsia"/>
          <w:bCs/>
          <w:color w:val="000000"/>
          <w:sz w:val="28"/>
          <w:szCs w:val="28"/>
        </w:rPr>
        <w:t>2020</w:t>
      </w:r>
      <w:r w:rsidRPr="00042364">
        <w:rPr>
          <w:rFonts w:ascii="Arial" w:eastAsia="仿宋_GB2312" w:hAnsi="Arial" w:cs="Arial" w:hint="eastAsia"/>
          <w:bCs/>
          <w:color w:val="000000"/>
          <w:sz w:val="28"/>
          <w:szCs w:val="28"/>
        </w:rPr>
        <w:t>年全年供应量（</w:t>
      </w:r>
      <w:r w:rsidRPr="00042364">
        <w:rPr>
          <w:rFonts w:ascii="Arial" w:eastAsia="仿宋_GB2312" w:hAnsi="Arial" w:cs="Arial" w:hint="eastAsia"/>
          <w:bCs/>
          <w:color w:val="000000"/>
          <w:sz w:val="28"/>
          <w:szCs w:val="28"/>
        </w:rPr>
        <w:t>648.23</w:t>
      </w:r>
      <w:r w:rsidRPr="00042364">
        <w:rPr>
          <w:rFonts w:ascii="Arial" w:eastAsia="仿宋_GB2312" w:hAnsi="Arial" w:cs="Arial" w:hint="eastAsia"/>
          <w:bCs/>
          <w:color w:val="000000"/>
          <w:sz w:val="28"/>
          <w:szCs w:val="28"/>
        </w:rPr>
        <w:t>万平方米）的</w:t>
      </w:r>
      <w:r w:rsidRPr="00042364">
        <w:rPr>
          <w:rFonts w:ascii="Arial" w:eastAsia="仿宋_GB2312" w:hAnsi="Arial" w:cs="Arial" w:hint="eastAsia"/>
          <w:bCs/>
          <w:color w:val="000000"/>
          <w:sz w:val="28"/>
          <w:szCs w:val="28"/>
        </w:rPr>
        <w:lastRenderedPageBreak/>
        <w:t>30%</w:t>
      </w:r>
      <w:r w:rsidRPr="00042364">
        <w:rPr>
          <w:rFonts w:ascii="Arial" w:eastAsia="仿宋_GB2312" w:hAnsi="Arial" w:cs="Arial" w:hint="eastAsia"/>
          <w:bCs/>
          <w:color w:val="000000"/>
          <w:sz w:val="28"/>
          <w:szCs w:val="28"/>
        </w:rPr>
        <w:t>，合计推出总用地面积约</w:t>
      </w:r>
      <w:r w:rsidRPr="00042364">
        <w:rPr>
          <w:rFonts w:ascii="Arial" w:eastAsia="仿宋_GB2312" w:hAnsi="Arial" w:cs="Arial" w:hint="eastAsia"/>
          <w:bCs/>
          <w:color w:val="000000"/>
          <w:sz w:val="28"/>
          <w:szCs w:val="28"/>
        </w:rPr>
        <w:t>414</w:t>
      </w:r>
      <w:r w:rsidRPr="00042364">
        <w:rPr>
          <w:rFonts w:ascii="Arial" w:eastAsia="仿宋_GB2312" w:hAnsi="Arial" w:cs="Arial" w:hint="eastAsia"/>
          <w:bCs/>
          <w:color w:val="000000"/>
          <w:sz w:val="28"/>
          <w:szCs w:val="28"/>
        </w:rPr>
        <w:t>公顷，已完成</w:t>
      </w: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年北京全年土地供应计划（</w:t>
      </w:r>
      <w:r w:rsidRPr="00042364">
        <w:rPr>
          <w:rFonts w:ascii="Arial" w:eastAsia="仿宋_GB2312" w:hAnsi="Arial" w:cs="Arial" w:hint="eastAsia"/>
          <w:bCs/>
          <w:color w:val="000000"/>
          <w:sz w:val="28"/>
          <w:szCs w:val="28"/>
        </w:rPr>
        <w:t>1060</w:t>
      </w:r>
      <w:r w:rsidRPr="00042364">
        <w:rPr>
          <w:rFonts w:ascii="Arial" w:eastAsia="仿宋_GB2312" w:hAnsi="Arial" w:cs="Arial" w:hint="eastAsia"/>
          <w:bCs/>
          <w:color w:val="000000"/>
          <w:sz w:val="28"/>
          <w:szCs w:val="28"/>
        </w:rPr>
        <w:t>公顷）的</w:t>
      </w:r>
      <w:r w:rsidRPr="00042364">
        <w:rPr>
          <w:rFonts w:ascii="Arial" w:eastAsia="仿宋_GB2312" w:hAnsi="Arial" w:cs="Arial" w:hint="eastAsia"/>
          <w:bCs/>
          <w:color w:val="000000"/>
          <w:sz w:val="28"/>
          <w:szCs w:val="28"/>
        </w:rPr>
        <w:t>39%</w:t>
      </w:r>
      <w:r w:rsidRPr="00042364">
        <w:rPr>
          <w:rFonts w:ascii="Arial" w:eastAsia="仿宋_GB2312" w:hAnsi="Arial" w:cs="Arial" w:hint="eastAsia"/>
          <w:bCs/>
          <w:color w:val="000000"/>
          <w:sz w:val="28"/>
          <w:szCs w:val="28"/>
        </w:rPr>
        <w:t>。</w:t>
      </w:r>
    </w:p>
    <w:p w14:paraId="03FBF2BC"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从供应宗数来看，二批次供应数量由首批供应的</w:t>
      </w:r>
      <w:r w:rsidRPr="00042364">
        <w:rPr>
          <w:rFonts w:ascii="Arial" w:eastAsia="仿宋_GB2312" w:hAnsi="Arial" w:cs="Arial" w:hint="eastAsia"/>
          <w:bCs/>
          <w:color w:val="000000"/>
          <w:sz w:val="28"/>
          <w:szCs w:val="28"/>
        </w:rPr>
        <w:t>30</w:t>
      </w:r>
      <w:r w:rsidRPr="00042364">
        <w:rPr>
          <w:rFonts w:ascii="Arial" w:eastAsia="仿宋_GB2312" w:hAnsi="Arial" w:cs="Arial" w:hint="eastAsia"/>
          <w:bCs/>
          <w:color w:val="000000"/>
          <w:sz w:val="28"/>
          <w:szCs w:val="28"/>
        </w:rPr>
        <w:t>宗上升到此次</w:t>
      </w:r>
      <w:r w:rsidRPr="00042364">
        <w:rPr>
          <w:rFonts w:ascii="Arial" w:eastAsia="仿宋_GB2312" w:hAnsi="Arial" w:cs="Arial" w:hint="eastAsia"/>
          <w:bCs/>
          <w:color w:val="000000"/>
          <w:sz w:val="28"/>
          <w:szCs w:val="28"/>
        </w:rPr>
        <w:t>43</w:t>
      </w:r>
      <w:r w:rsidRPr="00042364">
        <w:rPr>
          <w:rFonts w:ascii="Arial" w:eastAsia="仿宋_GB2312" w:hAnsi="Arial" w:cs="Arial" w:hint="eastAsia"/>
          <w:bCs/>
          <w:color w:val="000000"/>
          <w:sz w:val="28"/>
          <w:szCs w:val="28"/>
        </w:rPr>
        <w:t>宗，环比增长</w:t>
      </w:r>
      <w:r w:rsidRPr="00042364">
        <w:rPr>
          <w:rFonts w:ascii="Arial" w:eastAsia="仿宋_GB2312" w:hAnsi="Arial" w:cs="Arial" w:hint="eastAsia"/>
          <w:bCs/>
          <w:color w:val="000000"/>
          <w:sz w:val="28"/>
          <w:szCs w:val="28"/>
        </w:rPr>
        <w:t>43%</w:t>
      </w:r>
      <w:r w:rsidRPr="00042364">
        <w:rPr>
          <w:rFonts w:ascii="Arial" w:eastAsia="仿宋_GB2312" w:hAnsi="Arial" w:cs="Arial" w:hint="eastAsia"/>
          <w:bCs/>
          <w:color w:val="000000"/>
          <w:sz w:val="28"/>
          <w:szCs w:val="28"/>
        </w:rPr>
        <w:t>；从供应规模来看，二批次供应总量由首批供应的约</w:t>
      </w:r>
      <w:r w:rsidRPr="00042364">
        <w:rPr>
          <w:rFonts w:ascii="Arial" w:eastAsia="仿宋_GB2312" w:hAnsi="Arial" w:cs="Arial" w:hint="eastAsia"/>
          <w:bCs/>
          <w:color w:val="000000"/>
          <w:sz w:val="28"/>
          <w:szCs w:val="28"/>
        </w:rPr>
        <w:t>345</w:t>
      </w:r>
      <w:r w:rsidRPr="00042364">
        <w:rPr>
          <w:rFonts w:ascii="Arial" w:eastAsia="仿宋_GB2312" w:hAnsi="Arial" w:cs="Arial" w:hint="eastAsia"/>
          <w:bCs/>
          <w:color w:val="000000"/>
          <w:sz w:val="28"/>
          <w:szCs w:val="28"/>
        </w:rPr>
        <w:t>万平方米到此次约</w:t>
      </w:r>
      <w:r w:rsidRPr="00042364">
        <w:rPr>
          <w:rFonts w:ascii="Arial" w:eastAsia="仿宋_GB2312" w:hAnsi="Arial" w:cs="Arial" w:hint="eastAsia"/>
          <w:bCs/>
          <w:color w:val="000000"/>
          <w:sz w:val="28"/>
          <w:szCs w:val="28"/>
        </w:rPr>
        <w:t>496</w:t>
      </w:r>
      <w:r w:rsidRPr="00042364">
        <w:rPr>
          <w:rFonts w:ascii="Arial" w:eastAsia="仿宋_GB2312" w:hAnsi="Arial" w:cs="Arial" w:hint="eastAsia"/>
          <w:bCs/>
          <w:color w:val="000000"/>
          <w:sz w:val="28"/>
          <w:szCs w:val="28"/>
        </w:rPr>
        <w:t>万平方米，环比增长约</w:t>
      </w:r>
      <w:r w:rsidRPr="00042364">
        <w:rPr>
          <w:rFonts w:ascii="Arial" w:eastAsia="仿宋_GB2312" w:hAnsi="Arial" w:cs="Arial" w:hint="eastAsia"/>
          <w:bCs/>
          <w:color w:val="000000"/>
          <w:sz w:val="28"/>
          <w:szCs w:val="28"/>
        </w:rPr>
        <w:t>44%</w:t>
      </w:r>
      <w:r w:rsidRPr="00042364">
        <w:rPr>
          <w:rFonts w:ascii="Arial" w:eastAsia="仿宋_GB2312" w:hAnsi="Arial" w:cs="Arial" w:hint="eastAsia"/>
          <w:bCs/>
          <w:color w:val="000000"/>
          <w:sz w:val="28"/>
          <w:szCs w:val="28"/>
        </w:rPr>
        <w:t>，整体供应节奏较首批</w:t>
      </w:r>
      <w:proofErr w:type="gramStart"/>
      <w:r w:rsidRPr="00042364">
        <w:rPr>
          <w:rFonts w:ascii="Arial" w:eastAsia="仿宋_GB2312" w:hAnsi="Arial" w:cs="Arial" w:hint="eastAsia"/>
          <w:bCs/>
          <w:color w:val="000000"/>
          <w:sz w:val="28"/>
          <w:szCs w:val="28"/>
        </w:rPr>
        <w:t>次明显</w:t>
      </w:r>
      <w:proofErr w:type="gramEnd"/>
      <w:r w:rsidRPr="00042364">
        <w:rPr>
          <w:rFonts w:ascii="Arial" w:eastAsia="仿宋_GB2312" w:hAnsi="Arial" w:cs="Arial" w:hint="eastAsia"/>
          <w:bCs/>
          <w:color w:val="000000"/>
          <w:sz w:val="28"/>
          <w:szCs w:val="28"/>
        </w:rPr>
        <w:t>加快。与首批供地相比，中心城区供地比例下降</w:t>
      </w:r>
      <w:r w:rsidRPr="00042364">
        <w:rPr>
          <w:rFonts w:ascii="Arial" w:eastAsia="仿宋_GB2312" w:hAnsi="Arial" w:cs="Arial" w:hint="eastAsia"/>
          <w:bCs/>
          <w:color w:val="000000"/>
          <w:sz w:val="28"/>
          <w:szCs w:val="28"/>
        </w:rPr>
        <w:t>7</w:t>
      </w:r>
      <w:r w:rsidRPr="00042364">
        <w:rPr>
          <w:rFonts w:ascii="Arial" w:eastAsia="仿宋_GB2312" w:hAnsi="Arial" w:cs="Arial" w:hint="eastAsia"/>
          <w:bCs/>
          <w:color w:val="000000"/>
          <w:sz w:val="28"/>
          <w:szCs w:val="28"/>
        </w:rPr>
        <w:t>个百分点至</w:t>
      </w:r>
      <w:r w:rsidRPr="00042364">
        <w:rPr>
          <w:rFonts w:ascii="Arial" w:eastAsia="仿宋_GB2312" w:hAnsi="Arial" w:cs="Arial" w:hint="eastAsia"/>
          <w:bCs/>
          <w:color w:val="000000"/>
          <w:sz w:val="28"/>
          <w:szCs w:val="28"/>
        </w:rPr>
        <w:t>37%</w:t>
      </w:r>
      <w:r w:rsidRPr="00042364">
        <w:rPr>
          <w:rFonts w:ascii="Arial" w:eastAsia="仿宋_GB2312" w:hAnsi="Arial" w:cs="Arial" w:hint="eastAsia"/>
          <w:bCs/>
          <w:color w:val="000000"/>
          <w:sz w:val="28"/>
          <w:szCs w:val="28"/>
        </w:rPr>
        <w:t>；多点及副中心地区供地比例仍为</w:t>
      </w:r>
      <w:r w:rsidRPr="00042364">
        <w:rPr>
          <w:rFonts w:ascii="Arial" w:eastAsia="仿宋_GB2312" w:hAnsi="Arial" w:cs="Arial" w:hint="eastAsia"/>
          <w:bCs/>
          <w:color w:val="000000"/>
          <w:sz w:val="28"/>
          <w:szCs w:val="28"/>
        </w:rPr>
        <w:t>44%</w:t>
      </w:r>
      <w:r w:rsidRPr="00042364">
        <w:rPr>
          <w:rFonts w:ascii="Arial" w:eastAsia="仿宋_GB2312" w:hAnsi="Arial" w:cs="Arial" w:hint="eastAsia"/>
          <w:bCs/>
          <w:color w:val="000000"/>
          <w:sz w:val="28"/>
          <w:szCs w:val="28"/>
        </w:rPr>
        <w:t>，成为此次集中供地主力区域；远郊生态涵养区供地增多，供应比例较首批土地供应增加</w:t>
      </w:r>
      <w:r w:rsidRPr="00042364">
        <w:rPr>
          <w:rFonts w:ascii="Arial" w:eastAsia="仿宋_GB2312" w:hAnsi="Arial" w:cs="Arial" w:hint="eastAsia"/>
          <w:bCs/>
          <w:color w:val="000000"/>
          <w:sz w:val="28"/>
          <w:szCs w:val="28"/>
        </w:rPr>
        <w:t>7</w:t>
      </w:r>
      <w:r w:rsidRPr="00042364">
        <w:rPr>
          <w:rFonts w:ascii="Arial" w:eastAsia="仿宋_GB2312" w:hAnsi="Arial" w:cs="Arial" w:hint="eastAsia"/>
          <w:bCs/>
          <w:color w:val="000000"/>
          <w:sz w:val="28"/>
          <w:szCs w:val="28"/>
        </w:rPr>
        <w:t>个百分点至</w:t>
      </w:r>
      <w:r w:rsidRPr="00042364">
        <w:rPr>
          <w:rFonts w:ascii="Arial" w:eastAsia="仿宋_GB2312" w:hAnsi="Arial" w:cs="Arial" w:hint="eastAsia"/>
          <w:bCs/>
          <w:color w:val="000000"/>
          <w:sz w:val="28"/>
          <w:szCs w:val="28"/>
        </w:rPr>
        <w:t>19%</w:t>
      </w:r>
      <w:r w:rsidRPr="00042364">
        <w:rPr>
          <w:rFonts w:ascii="Arial" w:eastAsia="仿宋_GB2312" w:hAnsi="Arial" w:cs="Arial" w:hint="eastAsia"/>
          <w:bCs/>
          <w:color w:val="000000"/>
          <w:sz w:val="28"/>
          <w:szCs w:val="28"/>
        </w:rPr>
        <w:t>。</w:t>
      </w:r>
    </w:p>
    <w:p w14:paraId="739BCEA4"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二批集中供地延续首批竞拍规则，并进行相应的升级，新增了地价上限后“防马甲”摇号限制产权转让，并以</w:t>
      </w:r>
      <w:proofErr w:type="gramStart"/>
      <w:r w:rsidRPr="00042364">
        <w:rPr>
          <w:rFonts w:ascii="Arial" w:eastAsia="仿宋_GB2312" w:hAnsi="Arial" w:cs="Arial" w:hint="eastAsia"/>
          <w:bCs/>
          <w:color w:val="000000"/>
          <w:sz w:val="28"/>
          <w:szCs w:val="28"/>
        </w:rPr>
        <w:t>大兴区</w:t>
      </w:r>
      <w:proofErr w:type="gramEnd"/>
      <w:r w:rsidRPr="00042364">
        <w:rPr>
          <w:rFonts w:ascii="Arial" w:eastAsia="仿宋_GB2312" w:hAnsi="Arial" w:cs="Arial" w:hint="eastAsia"/>
          <w:bCs/>
          <w:color w:val="000000"/>
          <w:sz w:val="28"/>
          <w:szCs w:val="28"/>
        </w:rPr>
        <w:t>黄村镇地块探索创新试点地价</w:t>
      </w:r>
      <w:proofErr w:type="gramStart"/>
      <w:r w:rsidRPr="00042364">
        <w:rPr>
          <w:rFonts w:ascii="Arial" w:eastAsia="仿宋_GB2312" w:hAnsi="Arial" w:cs="Arial" w:hint="eastAsia"/>
          <w:bCs/>
          <w:color w:val="000000"/>
          <w:sz w:val="28"/>
          <w:szCs w:val="28"/>
        </w:rPr>
        <w:t>上限后竞现房</w:t>
      </w:r>
      <w:proofErr w:type="gramEnd"/>
      <w:r w:rsidRPr="00042364">
        <w:rPr>
          <w:rFonts w:ascii="Arial" w:eastAsia="仿宋_GB2312" w:hAnsi="Arial" w:cs="Arial" w:hint="eastAsia"/>
          <w:bCs/>
          <w:color w:val="000000"/>
          <w:sz w:val="28"/>
          <w:szCs w:val="28"/>
        </w:rPr>
        <w:t>销售高标准建设方案机制，进一步完善了土地出让竞拍规则。二批次土地供应继续实施商品住宅销售价格承诺制，并严控整体宅地成交溢价率，二批次地块的整体溢价率控制在</w:t>
      </w:r>
      <w:r w:rsidRPr="00042364">
        <w:rPr>
          <w:rFonts w:ascii="Arial" w:eastAsia="仿宋_GB2312" w:hAnsi="Arial" w:cs="Arial" w:hint="eastAsia"/>
          <w:bCs/>
          <w:color w:val="000000"/>
          <w:sz w:val="28"/>
          <w:szCs w:val="28"/>
        </w:rPr>
        <w:t>10%</w:t>
      </w:r>
      <w:r w:rsidRPr="00042364">
        <w:rPr>
          <w:rFonts w:ascii="Arial" w:eastAsia="仿宋_GB2312" w:hAnsi="Arial" w:cs="Arial" w:hint="eastAsia"/>
          <w:bCs/>
          <w:color w:val="000000"/>
          <w:sz w:val="28"/>
          <w:szCs w:val="28"/>
        </w:rPr>
        <w:t>以内，单宗溢价率不高于</w:t>
      </w:r>
      <w:r w:rsidRPr="00042364">
        <w:rPr>
          <w:rFonts w:ascii="Arial" w:eastAsia="仿宋_GB2312" w:hAnsi="Arial" w:cs="Arial" w:hint="eastAsia"/>
          <w:bCs/>
          <w:color w:val="000000"/>
          <w:sz w:val="28"/>
          <w:szCs w:val="28"/>
        </w:rPr>
        <w:t>15%</w:t>
      </w:r>
      <w:r w:rsidRPr="00042364">
        <w:rPr>
          <w:rFonts w:ascii="Arial" w:eastAsia="仿宋_GB2312" w:hAnsi="Arial" w:cs="Arial" w:hint="eastAsia"/>
          <w:bCs/>
          <w:color w:val="000000"/>
          <w:sz w:val="28"/>
          <w:szCs w:val="28"/>
        </w:rPr>
        <w:t>。同时，土地竞拍参拍前需提交关于购地资金合法、合</w:t>
      </w:r>
      <w:proofErr w:type="gramStart"/>
      <w:r w:rsidRPr="00042364">
        <w:rPr>
          <w:rFonts w:ascii="Arial" w:eastAsia="仿宋_GB2312" w:hAnsi="Arial" w:cs="Arial" w:hint="eastAsia"/>
          <w:bCs/>
          <w:color w:val="000000"/>
          <w:sz w:val="28"/>
          <w:szCs w:val="28"/>
        </w:rPr>
        <w:t>规</w:t>
      </w:r>
      <w:proofErr w:type="gramEnd"/>
      <w:r w:rsidRPr="00042364">
        <w:rPr>
          <w:rFonts w:ascii="Arial" w:eastAsia="仿宋_GB2312" w:hAnsi="Arial" w:cs="Arial" w:hint="eastAsia"/>
          <w:bCs/>
          <w:color w:val="000000"/>
          <w:sz w:val="28"/>
          <w:szCs w:val="28"/>
        </w:rPr>
        <w:t>的承诺书；土地成交后，土地竞得人需说明购地资金来源、提供相应的证明文件。</w:t>
      </w:r>
    </w:p>
    <w:p w14:paraId="3B535A32"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bCs/>
          <w:color w:val="000000"/>
          <w:sz w:val="28"/>
          <w:szCs w:val="28"/>
        </w:rPr>
        <w:t>（</w:t>
      </w:r>
      <w:r w:rsidRPr="00042364">
        <w:rPr>
          <w:rFonts w:ascii="Arial" w:eastAsia="仿宋_GB2312" w:hAnsi="Arial" w:cs="Arial"/>
          <w:bCs/>
          <w:color w:val="000000"/>
          <w:sz w:val="28"/>
          <w:szCs w:val="28"/>
        </w:rPr>
        <w:t>2</w:t>
      </w:r>
      <w:r w:rsidRPr="00042364">
        <w:rPr>
          <w:rFonts w:ascii="Arial" w:eastAsia="仿宋_GB2312" w:hAnsi="Arial" w:cs="Arial"/>
          <w:bCs/>
          <w:color w:val="000000"/>
          <w:sz w:val="28"/>
          <w:szCs w:val="28"/>
        </w:rPr>
        <w:t>）商品房住宅市场</w:t>
      </w:r>
    </w:p>
    <w:p w14:paraId="07B80A4E"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）商品住宅供给状况</w:t>
      </w:r>
    </w:p>
    <w:p w14:paraId="3A701985"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季度北京商品住宅供应规模同比</w:t>
      </w:r>
      <w:proofErr w:type="gramStart"/>
      <w:r w:rsidRPr="00042364">
        <w:rPr>
          <w:rFonts w:ascii="Arial" w:eastAsia="仿宋_GB2312" w:hAnsi="Arial" w:hint="eastAsia"/>
          <w:bCs/>
          <w:color w:val="000000"/>
          <w:sz w:val="28"/>
          <w:szCs w:val="28"/>
        </w:rPr>
        <w:t>增幅超</w:t>
      </w:r>
      <w:proofErr w:type="gramEnd"/>
      <w:r w:rsidRPr="00042364">
        <w:rPr>
          <w:rFonts w:ascii="Arial" w:eastAsia="仿宋_GB2312" w:hAnsi="Arial" w:hint="eastAsia"/>
          <w:bCs/>
          <w:color w:val="000000"/>
          <w:sz w:val="28"/>
          <w:szCs w:val="28"/>
        </w:rPr>
        <w:t>一成，为年内单季度供应规模最高季度。</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季度初期，北京新房供应保持供应节奏明显放缓，</w:t>
      </w:r>
      <w:r w:rsidRPr="00042364">
        <w:rPr>
          <w:rFonts w:ascii="Arial" w:eastAsia="仿宋_GB2312" w:hAnsi="Arial" w:hint="eastAsia"/>
          <w:bCs/>
          <w:color w:val="000000"/>
          <w:sz w:val="28"/>
          <w:szCs w:val="28"/>
        </w:rPr>
        <w:t>7</w:t>
      </w:r>
      <w:r w:rsidRPr="00042364">
        <w:rPr>
          <w:rFonts w:ascii="Arial" w:eastAsia="仿宋_GB2312" w:hAnsi="Arial" w:hint="eastAsia"/>
          <w:bCs/>
          <w:color w:val="000000"/>
          <w:sz w:val="28"/>
          <w:szCs w:val="28"/>
        </w:rPr>
        <w:t>月新增供应规模不足</w:t>
      </w:r>
      <w:r w:rsidRPr="00042364">
        <w:rPr>
          <w:rFonts w:ascii="Arial" w:eastAsia="仿宋_GB2312" w:hAnsi="Arial" w:hint="eastAsia"/>
          <w:bCs/>
          <w:color w:val="000000"/>
          <w:sz w:val="28"/>
          <w:szCs w:val="28"/>
        </w:rPr>
        <w:t>60</w:t>
      </w:r>
      <w:r w:rsidRPr="00042364">
        <w:rPr>
          <w:rFonts w:ascii="Arial" w:eastAsia="仿宋_GB2312" w:hAnsi="Arial" w:hint="eastAsia"/>
          <w:bCs/>
          <w:color w:val="000000"/>
          <w:sz w:val="28"/>
          <w:szCs w:val="28"/>
        </w:rPr>
        <w:t>万平方米，</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月供应节奏明显加快，新取证</w:t>
      </w:r>
      <w:r w:rsidRPr="00042364">
        <w:rPr>
          <w:rFonts w:ascii="Arial" w:eastAsia="仿宋_GB2312" w:hAnsi="Arial" w:hint="eastAsia"/>
          <w:bCs/>
          <w:color w:val="000000"/>
          <w:sz w:val="28"/>
          <w:szCs w:val="28"/>
        </w:rPr>
        <w:t>30</w:t>
      </w:r>
      <w:r w:rsidRPr="00042364">
        <w:rPr>
          <w:rFonts w:ascii="Arial" w:eastAsia="仿宋_GB2312" w:hAnsi="Arial" w:hint="eastAsia"/>
          <w:bCs/>
          <w:color w:val="000000"/>
          <w:sz w:val="28"/>
          <w:szCs w:val="28"/>
        </w:rPr>
        <w:t>个项目，累计供应</w:t>
      </w:r>
      <w:r w:rsidRPr="00042364">
        <w:rPr>
          <w:rFonts w:ascii="Arial" w:eastAsia="仿宋_GB2312" w:hAnsi="Arial" w:hint="eastAsia"/>
          <w:bCs/>
          <w:color w:val="000000"/>
          <w:sz w:val="28"/>
          <w:szCs w:val="28"/>
        </w:rPr>
        <w:t>154.27</w:t>
      </w:r>
      <w:r w:rsidRPr="00042364">
        <w:rPr>
          <w:rFonts w:ascii="Arial" w:eastAsia="仿宋_GB2312" w:hAnsi="Arial" w:hint="eastAsia"/>
          <w:bCs/>
          <w:color w:val="000000"/>
          <w:sz w:val="28"/>
          <w:szCs w:val="28"/>
        </w:rPr>
        <w:t>万平方米，创年内单月供应规模新高。整体来看，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季度累计供应</w:t>
      </w:r>
      <w:r w:rsidRPr="00042364">
        <w:rPr>
          <w:rFonts w:ascii="Arial" w:eastAsia="仿宋_GB2312" w:hAnsi="Arial" w:hint="eastAsia"/>
          <w:bCs/>
          <w:color w:val="000000"/>
          <w:sz w:val="28"/>
          <w:szCs w:val="28"/>
        </w:rPr>
        <w:t>280.54</w:t>
      </w:r>
      <w:r w:rsidRPr="00042364">
        <w:rPr>
          <w:rFonts w:ascii="Arial" w:eastAsia="仿宋_GB2312" w:hAnsi="Arial" w:hint="eastAsia"/>
          <w:bCs/>
          <w:color w:val="000000"/>
          <w:sz w:val="28"/>
          <w:szCs w:val="28"/>
        </w:rPr>
        <w:t>万平，为年内单季度供应规模最高值，同比增长</w:t>
      </w:r>
      <w:r w:rsidRPr="00042364">
        <w:rPr>
          <w:rFonts w:ascii="Arial" w:eastAsia="仿宋_GB2312" w:hAnsi="Arial" w:hint="eastAsia"/>
          <w:bCs/>
          <w:color w:val="000000"/>
          <w:sz w:val="28"/>
          <w:szCs w:val="28"/>
        </w:rPr>
        <w:t>15%</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季度商品住宅市场</w:t>
      </w:r>
      <w:proofErr w:type="gramStart"/>
      <w:r w:rsidRPr="00042364">
        <w:rPr>
          <w:rFonts w:ascii="Arial" w:eastAsia="仿宋_GB2312" w:hAnsi="Arial" w:hint="eastAsia"/>
          <w:bCs/>
          <w:color w:val="000000"/>
          <w:sz w:val="28"/>
          <w:szCs w:val="28"/>
        </w:rPr>
        <w:t>销供比</w:t>
      </w:r>
      <w:proofErr w:type="gramEnd"/>
      <w:r w:rsidRPr="00042364">
        <w:rPr>
          <w:rFonts w:ascii="Arial" w:eastAsia="仿宋_GB2312" w:hAnsi="Arial" w:hint="eastAsia"/>
          <w:bCs/>
          <w:color w:val="000000"/>
          <w:sz w:val="28"/>
          <w:szCs w:val="28"/>
        </w:rPr>
        <w:t>为</w:t>
      </w:r>
      <w:r w:rsidRPr="00042364">
        <w:rPr>
          <w:rFonts w:ascii="Arial" w:eastAsia="仿宋_GB2312" w:hAnsi="Arial" w:hint="eastAsia"/>
          <w:bCs/>
          <w:color w:val="000000"/>
          <w:sz w:val="28"/>
          <w:szCs w:val="28"/>
        </w:rPr>
        <w:t>0.92</w:t>
      </w:r>
      <w:r w:rsidRPr="00042364">
        <w:rPr>
          <w:rFonts w:ascii="Arial" w:eastAsia="仿宋_GB2312" w:hAnsi="Arial" w:hint="eastAsia"/>
          <w:bCs/>
          <w:color w:val="000000"/>
          <w:sz w:val="28"/>
          <w:szCs w:val="28"/>
        </w:rPr>
        <w:t>，同比上升</w:t>
      </w:r>
      <w:r w:rsidRPr="00042364">
        <w:rPr>
          <w:rFonts w:ascii="Arial" w:eastAsia="仿宋_GB2312" w:hAnsi="Arial" w:hint="eastAsia"/>
          <w:bCs/>
          <w:color w:val="000000"/>
          <w:sz w:val="28"/>
          <w:szCs w:val="28"/>
        </w:rPr>
        <w:t>0.04</w:t>
      </w:r>
      <w:r w:rsidRPr="00042364">
        <w:rPr>
          <w:rFonts w:ascii="Arial" w:eastAsia="仿宋_GB2312" w:hAnsi="Arial" w:hint="eastAsia"/>
          <w:bCs/>
          <w:color w:val="000000"/>
          <w:sz w:val="28"/>
          <w:szCs w:val="28"/>
        </w:rPr>
        <w:t>个点，整体处于供求弱平衡状态。</w:t>
      </w:r>
    </w:p>
    <w:p w14:paraId="798FCC38" w14:textId="1D549782" w:rsidR="003F1721" w:rsidRPr="00042364" w:rsidRDefault="003F1721" w:rsidP="003F1721">
      <w:pPr>
        <w:overflowPunct w:val="0"/>
        <w:spacing w:line="360" w:lineRule="auto"/>
        <w:jc w:val="both"/>
        <w:textAlignment w:val="auto"/>
        <w:rPr>
          <w:noProof/>
          <w:color w:val="984806"/>
        </w:rPr>
      </w:pPr>
      <w:r w:rsidRPr="00E00F1E">
        <w:rPr>
          <w:noProof/>
        </w:rPr>
        <w:lastRenderedPageBreak/>
        <w:drawing>
          <wp:inline distT="0" distB="0" distL="0" distR="0" wp14:anchorId="1F1C6FCA" wp14:editId="1C1644A8">
            <wp:extent cx="5902325" cy="1840865"/>
            <wp:effectExtent l="0" t="0" r="3175"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1C9A766F"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截至</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月底，北京商品住宅（不含保障房）库存量为</w:t>
      </w:r>
      <w:r w:rsidRPr="00042364">
        <w:rPr>
          <w:rFonts w:ascii="Arial" w:eastAsia="仿宋_GB2312" w:hAnsi="Arial" w:hint="eastAsia"/>
          <w:bCs/>
          <w:color w:val="000000"/>
          <w:sz w:val="28"/>
          <w:szCs w:val="28"/>
        </w:rPr>
        <w:t>1141.45</w:t>
      </w:r>
      <w:r w:rsidRPr="00042364">
        <w:rPr>
          <w:rFonts w:ascii="Arial" w:eastAsia="仿宋_GB2312" w:hAnsi="Arial" w:hint="eastAsia"/>
          <w:bCs/>
          <w:color w:val="000000"/>
          <w:sz w:val="28"/>
          <w:szCs w:val="28"/>
        </w:rPr>
        <w:t>万平方米，较去年同期微降</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，降幅较</w:t>
      </w:r>
      <w:r>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季度扩大</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个百分点；</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季度商品住宅库存规模相对平稳，库存出清周期维持在</w:t>
      </w:r>
      <w:r w:rsidRPr="00042364">
        <w:rPr>
          <w:rFonts w:ascii="Arial" w:eastAsia="仿宋_GB2312" w:hAnsi="Arial" w:hint="eastAsia"/>
          <w:bCs/>
          <w:color w:val="000000"/>
          <w:sz w:val="28"/>
          <w:szCs w:val="28"/>
        </w:rPr>
        <w:t>12.7</w:t>
      </w:r>
      <w:r w:rsidRPr="00042364">
        <w:rPr>
          <w:rFonts w:ascii="Arial" w:eastAsia="仿宋_GB2312" w:hAnsi="Arial" w:hint="eastAsia"/>
          <w:bCs/>
          <w:color w:val="000000"/>
          <w:sz w:val="28"/>
          <w:szCs w:val="28"/>
        </w:rPr>
        <w:t>个月（</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月底出清周期），结构性库存风险仍存在。</w:t>
      </w:r>
    </w:p>
    <w:p w14:paraId="6CBE3DFD" w14:textId="025D9818" w:rsidR="003F1721" w:rsidRPr="00042364" w:rsidRDefault="003F1721" w:rsidP="003F1721">
      <w:pPr>
        <w:overflowPunct w:val="0"/>
        <w:spacing w:line="360" w:lineRule="auto"/>
        <w:jc w:val="center"/>
        <w:textAlignment w:val="auto"/>
        <w:rPr>
          <w:rFonts w:ascii="Arial" w:eastAsia="仿宋_GB2312" w:hAnsi="Arial"/>
          <w:bCs/>
          <w:color w:val="984806"/>
          <w:sz w:val="28"/>
          <w:szCs w:val="28"/>
          <w:highlight w:val="lightGray"/>
        </w:rPr>
      </w:pPr>
      <w:r w:rsidRPr="00E00F1E">
        <w:rPr>
          <w:noProof/>
        </w:rPr>
        <w:drawing>
          <wp:inline distT="0" distB="0" distL="0" distR="0" wp14:anchorId="20F94C33" wp14:editId="5510D8E4">
            <wp:extent cx="5902325" cy="1816735"/>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2325" cy="1816735"/>
                    </a:xfrm>
                    <a:prstGeom prst="rect">
                      <a:avLst/>
                    </a:prstGeom>
                    <a:noFill/>
                    <a:ln>
                      <a:noFill/>
                    </a:ln>
                  </pic:spPr>
                </pic:pic>
              </a:graphicData>
            </a:graphic>
          </wp:inline>
        </w:drawing>
      </w:r>
    </w:p>
    <w:p w14:paraId="595CFF8E"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）商品住宅成交情况</w:t>
      </w:r>
    </w:p>
    <w:p w14:paraId="5FC4D31C"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A.</w:t>
      </w:r>
      <w:r w:rsidRPr="00042364">
        <w:rPr>
          <w:rFonts w:ascii="Arial" w:eastAsia="仿宋_GB2312" w:hAnsi="Arial" w:hint="eastAsia"/>
          <w:bCs/>
          <w:color w:val="000000"/>
          <w:sz w:val="28"/>
          <w:szCs w:val="28"/>
        </w:rPr>
        <w:t>成交量</w:t>
      </w:r>
    </w:p>
    <w:p w14:paraId="1CE3C1ED"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季度北京市</w:t>
      </w:r>
      <w:proofErr w:type="gramStart"/>
      <w:r w:rsidRPr="00042364">
        <w:rPr>
          <w:rFonts w:ascii="Arial" w:eastAsia="仿宋_GB2312" w:hAnsi="Arial" w:hint="eastAsia"/>
          <w:bCs/>
          <w:color w:val="000000"/>
          <w:sz w:val="28"/>
          <w:szCs w:val="28"/>
        </w:rPr>
        <w:t>山品住宅</w:t>
      </w:r>
      <w:proofErr w:type="gramEnd"/>
      <w:r w:rsidRPr="00042364">
        <w:rPr>
          <w:rFonts w:ascii="Arial" w:eastAsia="仿宋_GB2312" w:hAnsi="Arial" w:hint="eastAsia"/>
          <w:bCs/>
          <w:color w:val="000000"/>
          <w:sz w:val="28"/>
          <w:szCs w:val="28"/>
        </w:rPr>
        <w:t>成交规模保持高位运行，同比增速进一步收窄。</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经济化调控政策进一步推进，在严禁炒作学区房、严格规范市场销售行为、限定离婚购房资格、房贷放款时间延长等多举措共同推动影响下，新房市场情绪逐步回归理性，月度商品住宅成交规模逐步回调，</w:t>
      </w:r>
      <w:r w:rsidRPr="00042364">
        <w:rPr>
          <w:rFonts w:ascii="Arial" w:eastAsia="仿宋_GB2312" w:hAnsi="Arial" w:hint="eastAsia"/>
          <w:bCs/>
          <w:color w:val="000000"/>
          <w:sz w:val="28"/>
          <w:szCs w:val="28"/>
        </w:rPr>
        <w:t>7</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月单月成交</w:t>
      </w:r>
      <w:proofErr w:type="gramStart"/>
      <w:r w:rsidRPr="00042364">
        <w:rPr>
          <w:rFonts w:ascii="Arial" w:eastAsia="仿宋_GB2312" w:hAnsi="Arial" w:hint="eastAsia"/>
          <w:bCs/>
          <w:color w:val="000000"/>
          <w:sz w:val="28"/>
          <w:szCs w:val="28"/>
        </w:rPr>
        <w:t>规模环</w:t>
      </w:r>
      <w:proofErr w:type="gramEnd"/>
      <w:r w:rsidRPr="00042364">
        <w:rPr>
          <w:rFonts w:ascii="Arial" w:eastAsia="仿宋_GB2312" w:hAnsi="Arial" w:hint="eastAsia"/>
          <w:bCs/>
          <w:color w:val="000000"/>
          <w:sz w:val="28"/>
          <w:szCs w:val="28"/>
        </w:rPr>
        <w:t>比两连降，</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季度累计成交</w:t>
      </w:r>
      <w:r w:rsidRPr="00042364">
        <w:rPr>
          <w:rFonts w:ascii="Arial" w:eastAsia="仿宋_GB2312" w:hAnsi="Arial" w:hint="eastAsia"/>
          <w:bCs/>
          <w:color w:val="000000"/>
          <w:sz w:val="28"/>
          <w:szCs w:val="28"/>
        </w:rPr>
        <w:t>266.07</w:t>
      </w:r>
      <w:r w:rsidRPr="00042364">
        <w:rPr>
          <w:rFonts w:ascii="Arial" w:eastAsia="仿宋_GB2312" w:hAnsi="Arial" w:hint="eastAsia"/>
          <w:bCs/>
          <w:color w:val="000000"/>
          <w:sz w:val="28"/>
          <w:szCs w:val="28"/>
        </w:rPr>
        <w:t>万平，同比增长</w:t>
      </w:r>
      <w:r w:rsidRPr="00042364">
        <w:rPr>
          <w:rFonts w:ascii="Arial" w:eastAsia="仿宋_GB2312" w:hAnsi="Arial" w:hint="eastAsia"/>
          <w:bCs/>
          <w:color w:val="000000"/>
          <w:sz w:val="28"/>
          <w:szCs w:val="28"/>
        </w:rPr>
        <w:t>20%</w:t>
      </w:r>
      <w:r w:rsidRPr="00042364">
        <w:rPr>
          <w:rFonts w:ascii="Arial" w:eastAsia="仿宋_GB2312" w:hAnsi="Arial" w:hint="eastAsia"/>
          <w:bCs/>
          <w:color w:val="000000"/>
          <w:sz w:val="28"/>
          <w:szCs w:val="28"/>
        </w:rPr>
        <w:t>，较上季度收窄</w:t>
      </w:r>
      <w:r w:rsidRPr="00042364">
        <w:rPr>
          <w:rFonts w:ascii="Arial" w:eastAsia="仿宋_GB2312" w:hAnsi="Arial" w:hint="eastAsia"/>
          <w:bCs/>
          <w:color w:val="000000"/>
          <w:sz w:val="28"/>
          <w:szCs w:val="28"/>
        </w:rPr>
        <w:t>69</w:t>
      </w:r>
      <w:r w:rsidRPr="00042364">
        <w:rPr>
          <w:rFonts w:ascii="Arial" w:eastAsia="仿宋_GB2312" w:hAnsi="Arial" w:hint="eastAsia"/>
          <w:bCs/>
          <w:color w:val="000000"/>
          <w:sz w:val="28"/>
          <w:szCs w:val="28"/>
        </w:rPr>
        <w:t>个百分点。</w:t>
      </w:r>
    </w:p>
    <w:p w14:paraId="68935206" w14:textId="17FA0642" w:rsidR="003F1721" w:rsidRPr="00042364" w:rsidRDefault="003F1721" w:rsidP="003F1721">
      <w:pPr>
        <w:widowControl/>
        <w:overflowPunct w:val="0"/>
        <w:adjustRightInd/>
        <w:spacing w:line="480" w:lineRule="auto"/>
        <w:jc w:val="center"/>
        <w:textAlignment w:val="auto"/>
        <w:rPr>
          <w:rFonts w:ascii="Arial" w:hAnsi="Arial"/>
          <w:bCs/>
          <w:color w:val="984806"/>
          <w:sz w:val="21"/>
          <w:szCs w:val="28"/>
          <w:highlight w:val="lightGray"/>
        </w:rPr>
      </w:pPr>
      <w:r w:rsidRPr="00E00F1E">
        <w:rPr>
          <w:noProof/>
        </w:rPr>
        <w:lastRenderedPageBreak/>
        <w:drawing>
          <wp:inline distT="0" distB="0" distL="0" distR="0" wp14:anchorId="16ECF804" wp14:editId="0DFC0289">
            <wp:extent cx="5902325" cy="1924050"/>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2325" cy="1924050"/>
                    </a:xfrm>
                    <a:prstGeom prst="rect">
                      <a:avLst/>
                    </a:prstGeom>
                    <a:noFill/>
                    <a:ln>
                      <a:noFill/>
                    </a:ln>
                  </pic:spPr>
                </pic:pic>
              </a:graphicData>
            </a:graphic>
          </wp:inline>
        </w:drawing>
      </w:r>
    </w:p>
    <w:p w14:paraId="76BEA178" w14:textId="77777777" w:rsidR="003F1721" w:rsidRPr="00042364" w:rsidRDefault="003F1721" w:rsidP="003F1721">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B.</w:t>
      </w:r>
      <w:r w:rsidRPr="00042364">
        <w:rPr>
          <w:rFonts w:hint="eastAsia"/>
          <w:color w:val="000000"/>
        </w:rPr>
        <w:t xml:space="preserve"> </w:t>
      </w:r>
      <w:r w:rsidRPr="00042364">
        <w:rPr>
          <w:rFonts w:ascii="Arial" w:eastAsia="仿宋_GB2312" w:hAnsi="Arial" w:hint="eastAsia"/>
          <w:bCs/>
          <w:color w:val="000000"/>
          <w:sz w:val="28"/>
          <w:szCs w:val="28"/>
        </w:rPr>
        <w:t>成交价格</w:t>
      </w:r>
    </w:p>
    <w:p w14:paraId="0A456B03"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a.</w:t>
      </w:r>
      <w:r w:rsidRPr="00042364">
        <w:rPr>
          <w:rFonts w:ascii="Arial" w:eastAsia="仿宋_GB2312" w:hAnsi="Arial" w:hint="eastAsia"/>
          <w:bCs/>
          <w:color w:val="000000"/>
          <w:sz w:val="28"/>
          <w:szCs w:val="28"/>
        </w:rPr>
        <w:t>成交价格</w:t>
      </w:r>
    </w:p>
    <w:p w14:paraId="242713A7"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季度商品住宅价格涨幅明显收窄，处近三年同期低位。伴随</w:t>
      </w:r>
      <w:proofErr w:type="gramStart"/>
      <w:r w:rsidRPr="00042364">
        <w:rPr>
          <w:rFonts w:ascii="Arial" w:eastAsia="仿宋_GB2312" w:hAnsi="Arial" w:hint="eastAsia"/>
          <w:bCs/>
          <w:color w:val="000000"/>
          <w:sz w:val="28"/>
          <w:szCs w:val="28"/>
        </w:rPr>
        <w:t>不</w:t>
      </w:r>
      <w:proofErr w:type="gramEnd"/>
      <w:r w:rsidRPr="00042364">
        <w:rPr>
          <w:rFonts w:ascii="Arial" w:eastAsia="仿宋_GB2312" w:hAnsi="Arial" w:hint="eastAsia"/>
          <w:bCs/>
          <w:color w:val="000000"/>
          <w:sz w:val="28"/>
          <w:szCs w:val="28"/>
        </w:rPr>
        <w:t>限价地块项目逐步入市、改善型项目成交不断增加，新建商品住宅价格结构性小幅上涨。整体来看，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季度北京新建商品住宅价格为</w:t>
      </w:r>
      <w:r w:rsidRPr="00042364">
        <w:rPr>
          <w:rFonts w:ascii="Arial" w:eastAsia="仿宋_GB2312" w:hAnsi="Arial" w:hint="eastAsia"/>
          <w:bCs/>
          <w:color w:val="000000"/>
          <w:sz w:val="28"/>
          <w:szCs w:val="28"/>
        </w:rPr>
        <w:t>44168</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平方米，累计上涨</w:t>
      </w:r>
      <w:r w:rsidRPr="00042364">
        <w:rPr>
          <w:rFonts w:ascii="Arial" w:eastAsia="仿宋_GB2312" w:hAnsi="Arial" w:hint="eastAsia"/>
          <w:bCs/>
          <w:color w:val="000000"/>
          <w:sz w:val="28"/>
          <w:szCs w:val="28"/>
        </w:rPr>
        <w:t>0.52%</w:t>
      </w:r>
      <w:r w:rsidRPr="00042364">
        <w:rPr>
          <w:rFonts w:ascii="Arial" w:eastAsia="仿宋_GB2312" w:hAnsi="Arial" w:hint="eastAsia"/>
          <w:bCs/>
          <w:color w:val="000000"/>
          <w:sz w:val="28"/>
          <w:szCs w:val="28"/>
        </w:rPr>
        <w:t>，但在政策严控、房地联动、设置上限指导价格等多因素综合影响下，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季度价格涨幅明显收窄，较</w:t>
      </w:r>
      <w:r>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季度收窄</w:t>
      </w:r>
      <w:r w:rsidRPr="00042364">
        <w:rPr>
          <w:rFonts w:ascii="Arial" w:eastAsia="仿宋_GB2312" w:hAnsi="Arial" w:hint="eastAsia"/>
          <w:bCs/>
          <w:color w:val="000000"/>
          <w:sz w:val="28"/>
          <w:szCs w:val="28"/>
        </w:rPr>
        <w:t>0.21</w:t>
      </w:r>
      <w:r w:rsidRPr="00042364">
        <w:rPr>
          <w:rFonts w:ascii="Arial" w:eastAsia="仿宋_GB2312" w:hAnsi="Arial" w:hint="eastAsia"/>
          <w:bCs/>
          <w:color w:val="000000"/>
          <w:sz w:val="28"/>
          <w:szCs w:val="28"/>
        </w:rPr>
        <w:t>个百分点，累计涨幅处近三年同期低位。</w:t>
      </w:r>
    </w:p>
    <w:p w14:paraId="0A29C50A" w14:textId="1C4F7C1B" w:rsidR="003F1721" w:rsidRPr="00042364" w:rsidRDefault="003F1721" w:rsidP="003F1721">
      <w:pPr>
        <w:overflowPunct w:val="0"/>
        <w:spacing w:line="480" w:lineRule="auto"/>
        <w:jc w:val="center"/>
        <w:textAlignment w:val="auto"/>
        <w:rPr>
          <w:rFonts w:ascii="Arial" w:hAnsi="Arial"/>
          <w:color w:val="984806"/>
          <w:sz w:val="21"/>
          <w:szCs w:val="28"/>
          <w:highlight w:val="lightGray"/>
        </w:rPr>
      </w:pPr>
      <w:r w:rsidRPr="00E00F1E">
        <w:rPr>
          <w:noProof/>
        </w:rPr>
        <w:drawing>
          <wp:inline distT="0" distB="0" distL="0" distR="0" wp14:anchorId="1BF3651E" wp14:editId="48C72E7E">
            <wp:extent cx="5902325" cy="1722120"/>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2325" cy="1722120"/>
                    </a:xfrm>
                    <a:prstGeom prst="rect">
                      <a:avLst/>
                    </a:prstGeom>
                    <a:noFill/>
                    <a:ln>
                      <a:noFill/>
                    </a:ln>
                  </pic:spPr>
                </pic:pic>
              </a:graphicData>
            </a:graphic>
          </wp:inline>
        </w:drawing>
      </w:r>
    </w:p>
    <w:p w14:paraId="7F78BC2A"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b.</w:t>
      </w:r>
      <w:r w:rsidRPr="00042364">
        <w:rPr>
          <w:rFonts w:ascii="Arial" w:eastAsia="仿宋_GB2312" w:hAnsi="Arial" w:hint="eastAsia"/>
          <w:bCs/>
          <w:color w:val="000000"/>
          <w:sz w:val="28"/>
          <w:szCs w:val="28"/>
        </w:rPr>
        <w:t>成交结构</w:t>
      </w:r>
    </w:p>
    <w:p w14:paraId="55D7858D"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季度商品住宅成交面积段主要集中在</w:t>
      </w:r>
      <w:r w:rsidRPr="00042364">
        <w:rPr>
          <w:rFonts w:ascii="Arial" w:eastAsia="仿宋_GB2312" w:hAnsi="Arial" w:hint="eastAsia"/>
          <w:bCs/>
          <w:color w:val="000000"/>
          <w:sz w:val="28"/>
          <w:szCs w:val="28"/>
        </w:rPr>
        <w:t>80-90</w:t>
      </w:r>
      <w:r w:rsidRPr="00042364">
        <w:rPr>
          <w:rFonts w:ascii="Arial" w:eastAsia="仿宋_GB2312" w:hAnsi="Arial" w:hint="eastAsia"/>
          <w:bCs/>
          <w:color w:val="000000"/>
          <w:sz w:val="28"/>
          <w:szCs w:val="28"/>
        </w:rPr>
        <w:t>平方米，成交套数占比</w:t>
      </w:r>
      <w:r w:rsidRPr="00042364">
        <w:rPr>
          <w:rFonts w:ascii="Arial" w:eastAsia="仿宋_GB2312" w:hAnsi="Arial" w:hint="eastAsia"/>
          <w:bCs/>
          <w:color w:val="000000"/>
          <w:sz w:val="28"/>
          <w:szCs w:val="28"/>
        </w:rPr>
        <w:t>30%</w:t>
      </w:r>
      <w:r w:rsidRPr="00042364">
        <w:rPr>
          <w:rFonts w:ascii="Arial" w:eastAsia="仿宋_GB2312" w:hAnsi="Arial" w:hint="eastAsia"/>
          <w:bCs/>
          <w:color w:val="000000"/>
          <w:sz w:val="28"/>
          <w:szCs w:val="28"/>
        </w:rPr>
        <w:t>，市场成交整体仍以</w:t>
      </w:r>
      <w:r w:rsidRPr="00042364">
        <w:rPr>
          <w:rFonts w:ascii="Arial" w:eastAsia="仿宋_GB2312" w:hAnsi="Arial" w:hint="eastAsia"/>
          <w:bCs/>
          <w:color w:val="000000"/>
          <w:sz w:val="28"/>
          <w:szCs w:val="28"/>
        </w:rPr>
        <w:t>90</w:t>
      </w:r>
      <w:r w:rsidRPr="00042364">
        <w:rPr>
          <w:rFonts w:ascii="Arial" w:eastAsia="仿宋_GB2312" w:hAnsi="Arial" w:hint="eastAsia"/>
          <w:bCs/>
          <w:color w:val="000000"/>
          <w:sz w:val="28"/>
          <w:szCs w:val="28"/>
        </w:rPr>
        <w:t>平方米</w:t>
      </w:r>
      <w:proofErr w:type="gramStart"/>
      <w:r w:rsidRPr="00042364">
        <w:rPr>
          <w:rFonts w:ascii="Arial" w:eastAsia="仿宋_GB2312" w:hAnsi="Arial" w:hint="eastAsia"/>
          <w:bCs/>
          <w:color w:val="000000"/>
          <w:sz w:val="28"/>
          <w:szCs w:val="28"/>
        </w:rPr>
        <w:t>以下刚需产品</w:t>
      </w:r>
      <w:proofErr w:type="gramEnd"/>
      <w:r w:rsidRPr="00042364">
        <w:rPr>
          <w:rFonts w:ascii="Arial" w:eastAsia="仿宋_GB2312" w:hAnsi="Arial" w:hint="eastAsia"/>
          <w:bCs/>
          <w:color w:val="000000"/>
          <w:sz w:val="28"/>
          <w:szCs w:val="28"/>
        </w:rPr>
        <w:t>为主；成交总价段主要集中在</w:t>
      </w:r>
      <w:r w:rsidRPr="00042364">
        <w:rPr>
          <w:rFonts w:ascii="Arial" w:eastAsia="仿宋_GB2312" w:hAnsi="Arial" w:hint="eastAsia"/>
          <w:bCs/>
          <w:color w:val="000000"/>
          <w:sz w:val="28"/>
          <w:szCs w:val="28"/>
        </w:rPr>
        <w:t>300-500</w:t>
      </w:r>
      <w:r w:rsidRPr="00042364">
        <w:rPr>
          <w:rFonts w:ascii="Arial" w:eastAsia="仿宋_GB2312" w:hAnsi="Arial" w:hint="eastAsia"/>
          <w:bCs/>
          <w:color w:val="000000"/>
          <w:sz w:val="28"/>
          <w:szCs w:val="28"/>
        </w:rPr>
        <w:t>万总价段，成交套数占比</w:t>
      </w:r>
      <w:r w:rsidRPr="00042364">
        <w:rPr>
          <w:rFonts w:ascii="Arial" w:eastAsia="仿宋_GB2312" w:hAnsi="Arial" w:hint="eastAsia"/>
          <w:bCs/>
          <w:color w:val="000000"/>
          <w:sz w:val="28"/>
          <w:szCs w:val="28"/>
        </w:rPr>
        <w:t>34%</w:t>
      </w:r>
      <w:r w:rsidRPr="00042364">
        <w:rPr>
          <w:rFonts w:ascii="Arial" w:eastAsia="仿宋_GB2312" w:hAnsi="Arial" w:hint="eastAsia"/>
          <w:bCs/>
          <w:color w:val="000000"/>
          <w:sz w:val="28"/>
          <w:szCs w:val="28"/>
        </w:rPr>
        <w:t>，整体仍以总价</w:t>
      </w:r>
      <w:r w:rsidRPr="00042364">
        <w:rPr>
          <w:rFonts w:ascii="Arial" w:eastAsia="仿宋_GB2312" w:hAnsi="Arial" w:hint="eastAsia"/>
          <w:bCs/>
          <w:color w:val="000000"/>
          <w:sz w:val="28"/>
          <w:szCs w:val="28"/>
        </w:rPr>
        <w:t>500</w:t>
      </w:r>
      <w:r w:rsidRPr="00042364">
        <w:rPr>
          <w:rFonts w:ascii="Arial" w:eastAsia="仿宋_GB2312" w:hAnsi="Arial" w:hint="eastAsia"/>
          <w:bCs/>
          <w:color w:val="000000"/>
          <w:sz w:val="28"/>
          <w:szCs w:val="28"/>
        </w:rPr>
        <w:t>万以下产品为主。改善型需求逐步释放，叠加</w:t>
      </w:r>
      <w:proofErr w:type="gramStart"/>
      <w:r w:rsidRPr="00042364">
        <w:rPr>
          <w:rFonts w:ascii="Arial" w:eastAsia="仿宋_GB2312" w:hAnsi="Arial" w:hint="eastAsia"/>
          <w:bCs/>
          <w:color w:val="000000"/>
          <w:sz w:val="28"/>
          <w:szCs w:val="28"/>
        </w:rPr>
        <w:t>不</w:t>
      </w:r>
      <w:proofErr w:type="gramEnd"/>
      <w:r w:rsidRPr="00042364">
        <w:rPr>
          <w:rFonts w:ascii="Arial" w:eastAsia="仿宋_GB2312" w:hAnsi="Arial" w:hint="eastAsia"/>
          <w:bCs/>
          <w:color w:val="000000"/>
          <w:sz w:val="28"/>
          <w:szCs w:val="28"/>
        </w:rPr>
        <w:t>限价地块项目入市、改善型产品供</w:t>
      </w:r>
      <w:r w:rsidRPr="00042364">
        <w:rPr>
          <w:rFonts w:ascii="Arial" w:eastAsia="仿宋_GB2312" w:hAnsi="Arial" w:hint="eastAsia"/>
          <w:bCs/>
          <w:color w:val="000000"/>
          <w:sz w:val="28"/>
          <w:szCs w:val="28"/>
        </w:rPr>
        <w:lastRenderedPageBreak/>
        <w:t>应改善影响，新房成交逐步向中</w:t>
      </w:r>
      <w:proofErr w:type="gramStart"/>
      <w:r w:rsidRPr="00042364">
        <w:rPr>
          <w:rFonts w:ascii="Arial" w:eastAsia="仿宋_GB2312" w:hAnsi="Arial" w:hint="eastAsia"/>
          <w:bCs/>
          <w:color w:val="000000"/>
          <w:sz w:val="28"/>
          <w:szCs w:val="28"/>
        </w:rPr>
        <w:t>高面积段</w:t>
      </w:r>
      <w:proofErr w:type="gramEnd"/>
      <w:r w:rsidRPr="00042364">
        <w:rPr>
          <w:rFonts w:ascii="Arial" w:eastAsia="仿宋_GB2312" w:hAnsi="Arial" w:hint="eastAsia"/>
          <w:bCs/>
          <w:color w:val="000000"/>
          <w:sz w:val="28"/>
          <w:szCs w:val="28"/>
        </w:rPr>
        <w:t>转移，中</w:t>
      </w:r>
      <w:proofErr w:type="gramStart"/>
      <w:r w:rsidRPr="00042364">
        <w:rPr>
          <w:rFonts w:ascii="Arial" w:eastAsia="仿宋_GB2312" w:hAnsi="Arial" w:hint="eastAsia"/>
          <w:bCs/>
          <w:color w:val="000000"/>
          <w:sz w:val="28"/>
          <w:szCs w:val="28"/>
        </w:rPr>
        <w:t>高面积段产品</w:t>
      </w:r>
      <w:proofErr w:type="gramEnd"/>
      <w:r w:rsidRPr="00042364">
        <w:rPr>
          <w:rFonts w:ascii="Arial" w:eastAsia="仿宋_GB2312" w:hAnsi="Arial" w:hint="eastAsia"/>
          <w:bCs/>
          <w:color w:val="000000"/>
          <w:sz w:val="28"/>
          <w:szCs w:val="28"/>
        </w:rPr>
        <w:t>成交占比提升</w:t>
      </w:r>
      <w:r w:rsidRPr="00042364">
        <w:rPr>
          <w:rFonts w:ascii="Arial" w:eastAsia="仿宋_GB2312" w:hAnsi="Arial" w:hint="eastAsia"/>
          <w:bCs/>
          <w:color w:val="000000"/>
          <w:sz w:val="28"/>
          <w:szCs w:val="28"/>
        </w:rPr>
        <w:t>5.7</w:t>
      </w:r>
      <w:r w:rsidRPr="00042364">
        <w:rPr>
          <w:rFonts w:ascii="Arial" w:eastAsia="仿宋_GB2312" w:hAnsi="Arial" w:hint="eastAsia"/>
          <w:bCs/>
          <w:color w:val="000000"/>
          <w:sz w:val="28"/>
          <w:szCs w:val="28"/>
        </w:rPr>
        <w:t>个百分点；成交总价段向高价位产品上移，成交套数占比提升</w:t>
      </w:r>
      <w:r w:rsidRPr="00042364">
        <w:rPr>
          <w:rFonts w:ascii="Arial" w:eastAsia="仿宋_GB2312" w:hAnsi="Arial" w:hint="eastAsia"/>
          <w:bCs/>
          <w:color w:val="000000"/>
          <w:sz w:val="28"/>
          <w:szCs w:val="28"/>
        </w:rPr>
        <w:t>2.9</w:t>
      </w:r>
      <w:r w:rsidRPr="00042364">
        <w:rPr>
          <w:rFonts w:ascii="Arial" w:eastAsia="仿宋_GB2312" w:hAnsi="Arial" w:hint="eastAsia"/>
          <w:bCs/>
          <w:color w:val="000000"/>
          <w:sz w:val="28"/>
          <w:szCs w:val="28"/>
        </w:rPr>
        <w:t>个百分点。</w:t>
      </w:r>
    </w:p>
    <w:p w14:paraId="482B5A73" w14:textId="4051ABE4" w:rsidR="003F1721" w:rsidRPr="00042364" w:rsidRDefault="003F1721" w:rsidP="003F1721">
      <w:pPr>
        <w:tabs>
          <w:tab w:val="left" w:pos="426"/>
        </w:tabs>
        <w:overflowPunct w:val="0"/>
        <w:spacing w:line="360" w:lineRule="auto"/>
        <w:jc w:val="center"/>
        <w:textAlignment w:val="auto"/>
        <w:rPr>
          <w:rFonts w:ascii="Arial" w:eastAsia="仿宋_GB2312" w:hAnsi="Arial"/>
          <w:bCs/>
          <w:color w:val="984806"/>
          <w:sz w:val="28"/>
          <w:szCs w:val="28"/>
          <w:highlight w:val="lightGray"/>
        </w:rPr>
      </w:pPr>
      <w:r w:rsidRPr="00E00F1E">
        <w:rPr>
          <w:noProof/>
        </w:rPr>
        <w:drawing>
          <wp:inline distT="0" distB="0" distL="0" distR="0" wp14:anchorId="637AFFCF" wp14:editId="2EF3214F">
            <wp:extent cx="5904865" cy="18497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1849755"/>
                    </a:xfrm>
                    <a:prstGeom prst="rect">
                      <a:avLst/>
                    </a:prstGeom>
                    <a:noFill/>
                    <a:ln>
                      <a:noFill/>
                    </a:ln>
                  </pic:spPr>
                </pic:pic>
              </a:graphicData>
            </a:graphic>
          </wp:inline>
        </w:drawing>
      </w:r>
    </w:p>
    <w:p w14:paraId="4239BAA7"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C.</w:t>
      </w:r>
      <w:r w:rsidRPr="00042364">
        <w:rPr>
          <w:rFonts w:ascii="Arial" w:eastAsia="仿宋_GB2312" w:hAnsi="Arial" w:cs="Arial" w:hint="eastAsia"/>
          <w:bCs/>
          <w:color w:val="000000"/>
          <w:sz w:val="28"/>
          <w:szCs w:val="28"/>
        </w:rPr>
        <w:t>区域成交</w:t>
      </w:r>
    </w:p>
    <w:p w14:paraId="3BBA8072"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从成交规模来看，近郊六区已成为北京商品住宅（不含保障房）成交主力区域。</w:t>
      </w: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3</w:t>
      </w:r>
      <w:r w:rsidRPr="00042364">
        <w:rPr>
          <w:rFonts w:ascii="Arial" w:eastAsia="仿宋_GB2312" w:hAnsi="Arial" w:cs="Arial" w:hint="eastAsia"/>
          <w:bCs/>
          <w:color w:val="000000"/>
          <w:sz w:val="28"/>
          <w:szCs w:val="28"/>
        </w:rPr>
        <w:t>季度近郊六区累计成交</w:t>
      </w:r>
      <w:r w:rsidRPr="00042364">
        <w:rPr>
          <w:rFonts w:ascii="Arial" w:eastAsia="仿宋_GB2312" w:hAnsi="Arial" w:cs="Arial" w:hint="eastAsia"/>
          <w:bCs/>
          <w:color w:val="000000"/>
          <w:sz w:val="28"/>
          <w:szCs w:val="28"/>
        </w:rPr>
        <w:t>161.61</w:t>
      </w:r>
      <w:r w:rsidRPr="00042364">
        <w:rPr>
          <w:rFonts w:ascii="Arial" w:eastAsia="仿宋_GB2312" w:hAnsi="Arial" w:cs="Arial" w:hint="eastAsia"/>
          <w:bCs/>
          <w:color w:val="000000"/>
          <w:sz w:val="28"/>
          <w:szCs w:val="28"/>
        </w:rPr>
        <w:t>万平方米，占比达</w:t>
      </w:r>
      <w:r w:rsidRPr="00042364">
        <w:rPr>
          <w:rFonts w:ascii="Arial" w:eastAsia="仿宋_GB2312" w:hAnsi="Arial" w:cs="Arial" w:hint="eastAsia"/>
          <w:bCs/>
          <w:color w:val="000000"/>
          <w:sz w:val="28"/>
          <w:szCs w:val="28"/>
        </w:rPr>
        <w:t>58.7%</w:t>
      </w:r>
      <w:r w:rsidRPr="00042364">
        <w:rPr>
          <w:rFonts w:ascii="Arial" w:eastAsia="仿宋_GB2312" w:hAnsi="Arial" w:cs="Arial" w:hint="eastAsia"/>
          <w:bCs/>
          <w:color w:val="000000"/>
          <w:sz w:val="28"/>
          <w:szCs w:val="28"/>
        </w:rPr>
        <w:t>；其中，顺义、大兴等区域累计成交均超过</w:t>
      </w:r>
      <w:r w:rsidRPr="00042364">
        <w:rPr>
          <w:rFonts w:ascii="Arial" w:eastAsia="仿宋_GB2312" w:hAnsi="Arial" w:cs="Arial" w:hint="eastAsia"/>
          <w:bCs/>
          <w:color w:val="000000"/>
          <w:sz w:val="28"/>
          <w:szCs w:val="28"/>
        </w:rPr>
        <w:t>40</w:t>
      </w:r>
      <w:r w:rsidRPr="00042364">
        <w:rPr>
          <w:rFonts w:ascii="Arial" w:eastAsia="仿宋_GB2312" w:hAnsi="Arial" w:cs="Arial" w:hint="eastAsia"/>
          <w:bCs/>
          <w:color w:val="000000"/>
          <w:sz w:val="28"/>
          <w:szCs w:val="28"/>
        </w:rPr>
        <w:t>万平方米，分列北京各区销售规模第一、第二位。</w:t>
      </w:r>
    </w:p>
    <w:p w14:paraId="7CDE5ED7"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季度</w:t>
      </w:r>
      <w:r w:rsidRPr="00042364">
        <w:rPr>
          <w:rFonts w:ascii="Arial" w:eastAsia="仿宋_GB2312" w:hAnsi="Arial" w:cs="Arial" w:hint="eastAsia"/>
          <w:bCs/>
          <w:color w:val="000000"/>
          <w:sz w:val="28"/>
          <w:szCs w:val="28"/>
        </w:rPr>
        <w:t>中心城区商品住宅（不含保障房）成交均价最高，其中东、西城成交均价最高，均超</w:t>
      </w:r>
      <w:r w:rsidRPr="00042364">
        <w:rPr>
          <w:rFonts w:ascii="Arial" w:eastAsia="仿宋_GB2312" w:hAnsi="Arial" w:cs="Arial" w:hint="eastAsia"/>
          <w:bCs/>
          <w:color w:val="000000"/>
          <w:sz w:val="28"/>
          <w:szCs w:val="28"/>
        </w:rPr>
        <w:t>100000</w:t>
      </w:r>
      <w:r w:rsidRPr="00042364">
        <w:rPr>
          <w:rFonts w:ascii="Arial" w:eastAsia="仿宋_GB2312" w:hAnsi="Arial" w:cs="Arial" w:hint="eastAsia"/>
          <w:bCs/>
          <w:color w:val="000000"/>
          <w:sz w:val="28"/>
          <w:szCs w:val="28"/>
        </w:rPr>
        <w:t>元</w:t>
      </w: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平方米，远郊</w:t>
      </w:r>
      <w:proofErr w:type="gramStart"/>
      <w:r w:rsidRPr="00042364">
        <w:rPr>
          <w:rFonts w:ascii="Arial" w:eastAsia="仿宋_GB2312" w:hAnsi="Arial" w:cs="Arial" w:hint="eastAsia"/>
          <w:bCs/>
          <w:color w:val="000000"/>
          <w:sz w:val="28"/>
          <w:szCs w:val="28"/>
        </w:rPr>
        <w:t>区整体</w:t>
      </w:r>
      <w:proofErr w:type="gramEnd"/>
      <w:r w:rsidRPr="00042364">
        <w:rPr>
          <w:rFonts w:ascii="Arial" w:eastAsia="仿宋_GB2312" w:hAnsi="Arial" w:cs="Arial" w:hint="eastAsia"/>
          <w:bCs/>
          <w:color w:val="000000"/>
          <w:sz w:val="28"/>
          <w:szCs w:val="28"/>
        </w:rPr>
        <w:t>成交均价最低，其中密云成交均价最低，</w:t>
      </w:r>
      <w:r>
        <w:rPr>
          <w:rFonts w:ascii="Arial" w:eastAsia="仿宋_GB2312" w:hAnsi="Arial" w:cs="Arial" w:hint="eastAsia"/>
          <w:bCs/>
          <w:color w:val="000000"/>
          <w:sz w:val="28"/>
          <w:szCs w:val="28"/>
        </w:rPr>
        <w:t>3</w:t>
      </w:r>
      <w:r w:rsidRPr="00042364">
        <w:rPr>
          <w:rFonts w:ascii="Arial" w:eastAsia="仿宋_GB2312" w:hAnsi="Arial" w:cs="Arial" w:hint="eastAsia"/>
          <w:bCs/>
          <w:color w:val="000000"/>
          <w:sz w:val="28"/>
          <w:szCs w:val="28"/>
        </w:rPr>
        <w:t>季度成交均价不足</w:t>
      </w:r>
      <w:r w:rsidRPr="00042364">
        <w:rPr>
          <w:rFonts w:ascii="Arial" w:eastAsia="仿宋_GB2312" w:hAnsi="Arial" w:cs="Arial" w:hint="eastAsia"/>
          <w:bCs/>
          <w:color w:val="000000"/>
          <w:sz w:val="28"/>
          <w:szCs w:val="28"/>
        </w:rPr>
        <w:t>15000</w:t>
      </w:r>
      <w:r w:rsidRPr="00042364">
        <w:rPr>
          <w:rFonts w:ascii="Arial" w:eastAsia="仿宋_GB2312" w:hAnsi="Arial" w:cs="Arial" w:hint="eastAsia"/>
          <w:bCs/>
          <w:color w:val="000000"/>
          <w:sz w:val="28"/>
          <w:szCs w:val="28"/>
        </w:rPr>
        <w:t>元</w:t>
      </w: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平方米。</w:t>
      </w: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3</w:t>
      </w:r>
      <w:r w:rsidRPr="00042364">
        <w:rPr>
          <w:rFonts w:ascii="Arial" w:eastAsia="仿宋_GB2312" w:hAnsi="Arial" w:cs="Arial" w:hint="eastAsia"/>
          <w:bCs/>
          <w:color w:val="000000"/>
          <w:sz w:val="28"/>
          <w:szCs w:val="28"/>
        </w:rPr>
        <w:t>季度中心城区商品住宅成交均价同比涨幅最大，其中东、西城成交价格同比涨幅均超过</w:t>
      </w:r>
      <w:r w:rsidRPr="00042364">
        <w:rPr>
          <w:rFonts w:ascii="Arial" w:eastAsia="仿宋_GB2312" w:hAnsi="Arial" w:cs="Arial" w:hint="eastAsia"/>
          <w:bCs/>
          <w:color w:val="000000"/>
          <w:sz w:val="28"/>
          <w:szCs w:val="28"/>
        </w:rPr>
        <w:t>70%</w:t>
      </w:r>
      <w:r w:rsidRPr="00042364">
        <w:rPr>
          <w:rFonts w:ascii="Arial" w:eastAsia="仿宋_GB2312" w:hAnsi="Arial" w:cs="Arial" w:hint="eastAsia"/>
          <w:bCs/>
          <w:color w:val="000000"/>
          <w:sz w:val="28"/>
          <w:szCs w:val="28"/>
        </w:rPr>
        <w:t>，涨幅居全市前二；近郊</w:t>
      </w:r>
      <w:proofErr w:type="gramStart"/>
      <w:r w:rsidRPr="00042364">
        <w:rPr>
          <w:rFonts w:ascii="Arial" w:eastAsia="仿宋_GB2312" w:hAnsi="Arial" w:cs="Arial" w:hint="eastAsia"/>
          <w:bCs/>
          <w:color w:val="000000"/>
          <w:sz w:val="28"/>
          <w:szCs w:val="28"/>
        </w:rPr>
        <w:t>区成交</w:t>
      </w:r>
      <w:proofErr w:type="gramEnd"/>
      <w:r w:rsidRPr="00042364">
        <w:rPr>
          <w:rFonts w:ascii="Arial" w:eastAsia="仿宋_GB2312" w:hAnsi="Arial" w:cs="Arial" w:hint="eastAsia"/>
          <w:bCs/>
          <w:color w:val="000000"/>
          <w:sz w:val="28"/>
          <w:szCs w:val="28"/>
        </w:rPr>
        <w:t>均价同比增长</w:t>
      </w:r>
      <w:r w:rsidRPr="00042364">
        <w:rPr>
          <w:rFonts w:ascii="Arial" w:eastAsia="仿宋_GB2312" w:hAnsi="Arial" w:cs="Arial" w:hint="eastAsia"/>
          <w:bCs/>
          <w:color w:val="000000"/>
          <w:sz w:val="28"/>
          <w:szCs w:val="28"/>
        </w:rPr>
        <w:t>5%</w:t>
      </w:r>
      <w:r w:rsidRPr="00042364">
        <w:rPr>
          <w:rFonts w:ascii="Arial" w:eastAsia="仿宋_GB2312" w:hAnsi="Arial" w:cs="Arial" w:hint="eastAsia"/>
          <w:bCs/>
          <w:color w:val="000000"/>
          <w:sz w:val="28"/>
          <w:szCs w:val="28"/>
        </w:rPr>
        <w:t>，其中，大兴、顺义成交均价同比降幅较大，均在</w:t>
      </w:r>
      <w:r w:rsidRPr="00042364">
        <w:rPr>
          <w:rFonts w:ascii="Arial" w:eastAsia="仿宋_GB2312" w:hAnsi="Arial" w:cs="Arial" w:hint="eastAsia"/>
          <w:bCs/>
          <w:color w:val="000000"/>
          <w:sz w:val="28"/>
          <w:szCs w:val="28"/>
        </w:rPr>
        <w:t>15%</w:t>
      </w:r>
      <w:r w:rsidRPr="00042364">
        <w:rPr>
          <w:rFonts w:ascii="Arial" w:eastAsia="仿宋_GB2312" w:hAnsi="Arial" w:cs="Arial" w:hint="eastAsia"/>
          <w:bCs/>
          <w:color w:val="000000"/>
          <w:sz w:val="28"/>
          <w:szCs w:val="28"/>
        </w:rPr>
        <w:t>及以上。</w:t>
      </w:r>
    </w:p>
    <w:p w14:paraId="79E95E9B" w14:textId="7B22BBCF" w:rsidR="003F1721" w:rsidRPr="00042364" w:rsidRDefault="003F1721" w:rsidP="003F1721">
      <w:pPr>
        <w:widowControl/>
        <w:adjustRightInd/>
        <w:spacing w:line="360" w:lineRule="auto"/>
        <w:jc w:val="both"/>
        <w:textAlignment w:val="auto"/>
        <w:rPr>
          <w:rFonts w:ascii="Arial" w:eastAsia="仿宋_GB2312" w:hAnsi="Arial" w:cs="Arial"/>
          <w:bCs/>
          <w:color w:val="984806"/>
          <w:sz w:val="28"/>
          <w:szCs w:val="28"/>
        </w:rPr>
      </w:pPr>
      <w:r w:rsidRPr="00E00F1E">
        <w:rPr>
          <w:noProof/>
        </w:rPr>
        <w:lastRenderedPageBreak/>
        <w:drawing>
          <wp:inline distT="0" distB="0" distL="0" distR="0" wp14:anchorId="00B48A79" wp14:editId="1533B13A">
            <wp:extent cx="5902325" cy="2007235"/>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2325" cy="2007235"/>
                    </a:xfrm>
                    <a:prstGeom prst="rect">
                      <a:avLst/>
                    </a:prstGeom>
                    <a:noFill/>
                    <a:ln>
                      <a:noFill/>
                    </a:ln>
                  </pic:spPr>
                </pic:pic>
              </a:graphicData>
            </a:graphic>
          </wp:inline>
        </w:drawing>
      </w:r>
    </w:p>
    <w:p w14:paraId="08DF4DEF"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3</w:t>
      </w:r>
      <w:r w:rsidRPr="00042364">
        <w:rPr>
          <w:rFonts w:ascii="Arial" w:eastAsia="仿宋_GB2312" w:hAnsi="Arial" w:cs="Arial" w:hint="eastAsia"/>
          <w:bCs/>
          <w:color w:val="000000"/>
          <w:sz w:val="28"/>
          <w:szCs w:val="28"/>
        </w:rPr>
        <w:t>）存量房住宅市场</w:t>
      </w:r>
    </w:p>
    <w:p w14:paraId="79BD7368"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）市场运行状况</w:t>
      </w:r>
    </w:p>
    <w:p w14:paraId="740155B6" w14:textId="77777777" w:rsidR="003F1721" w:rsidRPr="00042364" w:rsidRDefault="003F1721" w:rsidP="003F1721">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季度北京严格落实</w:t>
      </w:r>
      <w:proofErr w:type="gramStart"/>
      <w:r w:rsidRPr="00042364">
        <w:rPr>
          <w:rFonts w:ascii="Arial" w:eastAsia="仿宋_GB2312" w:hAnsi="Arial" w:hint="eastAsia"/>
          <w:bCs/>
          <w:color w:val="000000"/>
          <w:sz w:val="28"/>
          <w:szCs w:val="28"/>
        </w:rPr>
        <w:t>学区房</w:t>
      </w:r>
      <w:proofErr w:type="gramEnd"/>
      <w:r w:rsidRPr="00042364">
        <w:rPr>
          <w:rFonts w:ascii="Arial" w:eastAsia="仿宋_GB2312" w:hAnsi="Arial" w:hint="eastAsia"/>
          <w:bCs/>
          <w:color w:val="000000"/>
          <w:sz w:val="28"/>
          <w:szCs w:val="28"/>
        </w:rPr>
        <w:t>政策，并严禁</w:t>
      </w:r>
      <w:proofErr w:type="gramStart"/>
      <w:r w:rsidRPr="00042364">
        <w:rPr>
          <w:rFonts w:ascii="Arial" w:eastAsia="仿宋_GB2312" w:hAnsi="Arial" w:hint="eastAsia"/>
          <w:bCs/>
          <w:color w:val="000000"/>
          <w:sz w:val="28"/>
          <w:szCs w:val="28"/>
        </w:rPr>
        <w:t>学区房</w:t>
      </w:r>
      <w:proofErr w:type="gramEnd"/>
      <w:r w:rsidRPr="00042364">
        <w:rPr>
          <w:rFonts w:ascii="Arial" w:eastAsia="仿宋_GB2312" w:hAnsi="Arial" w:hint="eastAsia"/>
          <w:bCs/>
          <w:color w:val="000000"/>
          <w:sz w:val="28"/>
          <w:szCs w:val="28"/>
        </w:rPr>
        <w:t>炒作，加上二手房贷款审批相对新房更为严苛、放款周期延长、二套首付</w:t>
      </w:r>
      <w:r w:rsidRPr="00042364">
        <w:rPr>
          <w:rFonts w:ascii="Arial" w:eastAsia="仿宋_GB2312" w:hAnsi="Arial" w:hint="eastAsia"/>
          <w:bCs/>
          <w:color w:val="000000"/>
          <w:sz w:val="28"/>
          <w:szCs w:val="28"/>
        </w:rPr>
        <w:t>60%</w:t>
      </w:r>
      <w:r w:rsidRPr="00042364">
        <w:rPr>
          <w:rFonts w:ascii="Arial" w:eastAsia="仿宋_GB2312" w:hAnsi="Arial" w:hint="eastAsia"/>
          <w:bCs/>
          <w:color w:val="000000"/>
          <w:sz w:val="28"/>
          <w:szCs w:val="28"/>
        </w:rPr>
        <w:t>或</w:t>
      </w:r>
      <w:r w:rsidRPr="00042364">
        <w:rPr>
          <w:rFonts w:ascii="Arial" w:eastAsia="仿宋_GB2312" w:hAnsi="Arial" w:hint="eastAsia"/>
          <w:bCs/>
          <w:color w:val="000000"/>
          <w:sz w:val="28"/>
          <w:szCs w:val="28"/>
        </w:rPr>
        <w:t>80%</w:t>
      </w:r>
      <w:r w:rsidRPr="00042364">
        <w:rPr>
          <w:rFonts w:ascii="Arial" w:eastAsia="仿宋_GB2312" w:hAnsi="Arial" w:hint="eastAsia"/>
          <w:bCs/>
          <w:color w:val="000000"/>
          <w:sz w:val="28"/>
          <w:szCs w:val="28"/>
        </w:rPr>
        <w:t>等因素影响，二手房市场观望情绪增加，整体市场成交规模明显回调。整体来看，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季度二手房累计成交</w:t>
      </w:r>
      <w:r w:rsidRPr="00042364">
        <w:rPr>
          <w:rFonts w:ascii="Arial" w:eastAsia="仿宋_GB2312" w:hAnsi="Arial" w:hint="eastAsia"/>
          <w:bCs/>
          <w:color w:val="000000"/>
          <w:sz w:val="28"/>
          <w:szCs w:val="28"/>
        </w:rPr>
        <w:t>4.59</w:t>
      </w:r>
      <w:r w:rsidRPr="00042364">
        <w:rPr>
          <w:rFonts w:ascii="Arial" w:eastAsia="仿宋_GB2312" w:hAnsi="Arial" w:hint="eastAsia"/>
          <w:bCs/>
          <w:color w:val="000000"/>
          <w:sz w:val="28"/>
          <w:szCs w:val="28"/>
        </w:rPr>
        <w:t>万套，环比下降</w:t>
      </w:r>
      <w:r w:rsidRPr="00042364">
        <w:rPr>
          <w:rFonts w:ascii="Arial" w:eastAsia="仿宋_GB2312" w:hAnsi="Arial" w:hint="eastAsia"/>
          <w:bCs/>
          <w:color w:val="000000"/>
          <w:sz w:val="28"/>
          <w:szCs w:val="28"/>
        </w:rPr>
        <w:t>19%</w:t>
      </w:r>
      <w:r w:rsidRPr="00042364">
        <w:rPr>
          <w:rFonts w:ascii="Arial" w:eastAsia="仿宋_GB2312" w:hAnsi="Arial" w:hint="eastAsia"/>
          <w:bCs/>
          <w:color w:val="000000"/>
          <w:sz w:val="28"/>
          <w:szCs w:val="28"/>
        </w:rPr>
        <w:t>，同比下降</w:t>
      </w:r>
      <w:r w:rsidRPr="00042364">
        <w:rPr>
          <w:rFonts w:ascii="Arial" w:eastAsia="仿宋_GB2312" w:hAnsi="Arial" w:hint="eastAsia"/>
          <w:bCs/>
          <w:color w:val="000000"/>
          <w:sz w:val="28"/>
          <w:szCs w:val="28"/>
        </w:rPr>
        <w:t>7%</w:t>
      </w:r>
      <w:r w:rsidRPr="00042364">
        <w:rPr>
          <w:rFonts w:ascii="Arial" w:eastAsia="仿宋_GB2312" w:hAnsi="Arial" w:hint="eastAsia"/>
          <w:bCs/>
          <w:color w:val="000000"/>
          <w:sz w:val="28"/>
          <w:szCs w:val="28"/>
        </w:rPr>
        <w:t>。</w:t>
      </w:r>
    </w:p>
    <w:p w14:paraId="72422DE9" w14:textId="77777777" w:rsidR="003F1721" w:rsidRPr="00042364" w:rsidRDefault="003F1721" w:rsidP="003F1721">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季度北京二手房成交均价约为</w:t>
      </w:r>
      <w:r w:rsidRPr="00042364">
        <w:rPr>
          <w:rFonts w:ascii="Arial" w:eastAsia="仿宋_GB2312" w:hAnsi="Arial" w:hint="eastAsia"/>
          <w:bCs/>
          <w:color w:val="000000"/>
          <w:sz w:val="28"/>
          <w:szCs w:val="28"/>
        </w:rPr>
        <w:t>73009</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平方米，同比增长</w:t>
      </w:r>
      <w:r w:rsidRPr="00042364">
        <w:rPr>
          <w:rFonts w:ascii="Arial" w:eastAsia="仿宋_GB2312" w:hAnsi="Arial" w:hint="eastAsia"/>
          <w:bCs/>
          <w:color w:val="000000"/>
          <w:sz w:val="28"/>
          <w:szCs w:val="28"/>
        </w:rPr>
        <w:t>2.81%</w:t>
      </w:r>
      <w:r w:rsidRPr="00042364">
        <w:rPr>
          <w:rFonts w:ascii="Arial" w:eastAsia="仿宋_GB2312" w:hAnsi="Arial" w:hint="eastAsia"/>
          <w:bCs/>
          <w:color w:val="000000"/>
          <w:sz w:val="28"/>
          <w:szCs w:val="28"/>
        </w:rPr>
        <w:t>，较</w:t>
      </w:r>
      <w:r>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季度涨幅收窄</w:t>
      </w:r>
      <w:r w:rsidRPr="00042364">
        <w:rPr>
          <w:rFonts w:ascii="Arial" w:eastAsia="仿宋_GB2312" w:hAnsi="Arial" w:hint="eastAsia"/>
          <w:bCs/>
          <w:color w:val="000000"/>
          <w:sz w:val="28"/>
          <w:szCs w:val="28"/>
        </w:rPr>
        <w:t>0.62</w:t>
      </w:r>
      <w:r w:rsidRPr="00042364">
        <w:rPr>
          <w:rFonts w:ascii="Arial" w:eastAsia="仿宋_GB2312" w:hAnsi="Arial" w:hint="eastAsia"/>
          <w:bCs/>
          <w:color w:val="000000"/>
          <w:sz w:val="28"/>
          <w:szCs w:val="28"/>
        </w:rPr>
        <w:t>个百分点。单月来看，在信贷收紧、监管趋严、新房增加等综合影响下，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季度单月二手房价格环比涨幅持续收窄，</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月环比涨幅</w:t>
      </w:r>
      <w:r w:rsidRPr="00042364">
        <w:rPr>
          <w:rFonts w:ascii="Arial" w:eastAsia="仿宋_GB2312" w:hAnsi="Arial" w:hint="eastAsia"/>
          <w:bCs/>
          <w:color w:val="000000"/>
          <w:sz w:val="28"/>
          <w:szCs w:val="28"/>
        </w:rPr>
        <w:t>0.79%</w:t>
      </w:r>
      <w:r w:rsidRPr="00042364">
        <w:rPr>
          <w:rFonts w:ascii="Arial" w:eastAsia="仿宋_GB2312" w:hAnsi="Arial" w:hint="eastAsia"/>
          <w:bCs/>
          <w:color w:val="000000"/>
          <w:sz w:val="28"/>
          <w:szCs w:val="28"/>
        </w:rPr>
        <w:t>，较上月收窄</w:t>
      </w:r>
      <w:r w:rsidRPr="00042364">
        <w:rPr>
          <w:rFonts w:ascii="Arial" w:eastAsia="仿宋_GB2312" w:hAnsi="Arial" w:hint="eastAsia"/>
          <w:bCs/>
          <w:color w:val="000000"/>
          <w:sz w:val="28"/>
          <w:szCs w:val="28"/>
        </w:rPr>
        <w:t>0.2</w:t>
      </w:r>
      <w:r w:rsidRPr="00042364">
        <w:rPr>
          <w:rFonts w:ascii="Arial" w:eastAsia="仿宋_GB2312" w:hAnsi="Arial" w:hint="eastAsia"/>
          <w:bCs/>
          <w:color w:val="000000"/>
          <w:sz w:val="28"/>
          <w:szCs w:val="28"/>
        </w:rPr>
        <w:t>个百分点。</w:t>
      </w:r>
    </w:p>
    <w:p w14:paraId="6FE83B27" w14:textId="7B36CC0A" w:rsidR="003F1721" w:rsidRPr="00042364" w:rsidRDefault="003F1721" w:rsidP="003F1721">
      <w:pPr>
        <w:tabs>
          <w:tab w:val="left" w:pos="426"/>
        </w:tabs>
        <w:overflowPunct w:val="0"/>
        <w:spacing w:line="360" w:lineRule="auto"/>
        <w:jc w:val="both"/>
        <w:textAlignment w:val="auto"/>
        <w:rPr>
          <w:rFonts w:ascii="Arial" w:eastAsia="仿宋_GB2312" w:hAnsi="Arial"/>
          <w:bCs/>
          <w:color w:val="984806"/>
          <w:sz w:val="28"/>
          <w:szCs w:val="28"/>
          <w:highlight w:val="lightGray"/>
        </w:rPr>
      </w:pPr>
      <w:r w:rsidRPr="00E00F1E">
        <w:rPr>
          <w:noProof/>
        </w:rPr>
        <w:drawing>
          <wp:inline distT="0" distB="0" distL="0" distR="0" wp14:anchorId="2930ECB8" wp14:editId="60A0284C">
            <wp:extent cx="5904865" cy="1565275"/>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4865" cy="1565275"/>
                    </a:xfrm>
                    <a:prstGeom prst="rect">
                      <a:avLst/>
                    </a:prstGeom>
                    <a:noFill/>
                    <a:ln>
                      <a:noFill/>
                    </a:ln>
                  </pic:spPr>
                </pic:pic>
              </a:graphicData>
            </a:graphic>
          </wp:inline>
        </w:drawing>
      </w:r>
    </w:p>
    <w:p w14:paraId="3B323C95"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）各区县统计</w:t>
      </w:r>
    </w:p>
    <w:p w14:paraId="114AEBE2" w14:textId="77777777" w:rsidR="003F1721" w:rsidRPr="00042364" w:rsidRDefault="003F1721" w:rsidP="003F1721">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分区域来看，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季度西城成交价格最高，达</w:t>
      </w:r>
      <w:r w:rsidRPr="00042364">
        <w:rPr>
          <w:rFonts w:ascii="Arial" w:eastAsia="仿宋_GB2312" w:hAnsi="Arial" w:hint="eastAsia"/>
          <w:bCs/>
          <w:color w:val="000000"/>
          <w:sz w:val="28"/>
          <w:szCs w:val="28"/>
        </w:rPr>
        <w:t>116668</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平方米，其次为东城区，为</w:t>
      </w:r>
      <w:r w:rsidRPr="00042364">
        <w:rPr>
          <w:rFonts w:ascii="Arial" w:eastAsia="仿宋_GB2312" w:hAnsi="Arial" w:hint="eastAsia"/>
          <w:bCs/>
          <w:color w:val="000000"/>
          <w:sz w:val="28"/>
          <w:szCs w:val="28"/>
        </w:rPr>
        <w:t>100346</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平方米；朝阳二手房成交规模较大，成交面积超过</w:t>
      </w:r>
      <w:r w:rsidRPr="00042364">
        <w:rPr>
          <w:rFonts w:ascii="Arial" w:eastAsia="仿宋_GB2312" w:hAnsi="Arial" w:hint="eastAsia"/>
          <w:bCs/>
          <w:color w:val="000000"/>
          <w:sz w:val="28"/>
          <w:szCs w:val="28"/>
        </w:rPr>
        <w:t>110</w:t>
      </w:r>
      <w:r w:rsidRPr="00042364">
        <w:rPr>
          <w:rFonts w:ascii="Arial" w:eastAsia="仿宋_GB2312" w:hAnsi="Arial" w:hint="eastAsia"/>
          <w:bCs/>
          <w:color w:val="000000"/>
          <w:sz w:val="28"/>
          <w:szCs w:val="28"/>
        </w:rPr>
        <w:t>万平方米，居各区第一位；</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季度除丰台、东城、大兴外，其余各区县二手房</w:t>
      </w:r>
      <w:r w:rsidRPr="00042364">
        <w:rPr>
          <w:rFonts w:ascii="Arial" w:eastAsia="仿宋_GB2312" w:hAnsi="Arial" w:hint="eastAsia"/>
          <w:bCs/>
          <w:color w:val="000000"/>
          <w:sz w:val="28"/>
          <w:szCs w:val="28"/>
        </w:rPr>
        <w:lastRenderedPageBreak/>
        <w:t>成交规模同比均呈下降态势，密云成交规模同比领跌，</w:t>
      </w:r>
      <w:proofErr w:type="gramStart"/>
      <w:r w:rsidRPr="00042364">
        <w:rPr>
          <w:rFonts w:ascii="Arial" w:eastAsia="仿宋_GB2312" w:hAnsi="Arial" w:hint="eastAsia"/>
          <w:bCs/>
          <w:color w:val="000000"/>
          <w:sz w:val="28"/>
          <w:szCs w:val="28"/>
        </w:rPr>
        <w:t>跌幅超</w:t>
      </w:r>
      <w:proofErr w:type="gramEnd"/>
      <w:r w:rsidRPr="00042364">
        <w:rPr>
          <w:rFonts w:ascii="Arial" w:eastAsia="仿宋_GB2312" w:hAnsi="Arial" w:hint="eastAsia"/>
          <w:bCs/>
          <w:color w:val="000000"/>
          <w:sz w:val="28"/>
          <w:szCs w:val="28"/>
        </w:rPr>
        <w:t>50%</w:t>
      </w:r>
      <w:r w:rsidRPr="00042364">
        <w:rPr>
          <w:rFonts w:ascii="Arial" w:eastAsia="仿宋_GB2312" w:hAnsi="Arial" w:hint="eastAsia"/>
          <w:bCs/>
          <w:color w:val="000000"/>
          <w:sz w:val="28"/>
          <w:szCs w:val="28"/>
        </w:rPr>
        <w:t>。</w:t>
      </w:r>
    </w:p>
    <w:p w14:paraId="02480915" w14:textId="29335414" w:rsidR="003F1721" w:rsidRPr="00042364" w:rsidRDefault="003F1721" w:rsidP="003F1721">
      <w:pPr>
        <w:tabs>
          <w:tab w:val="left" w:pos="426"/>
        </w:tabs>
        <w:overflowPunct w:val="0"/>
        <w:spacing w:line="360" w:lineRule="auto"/>
        <w:jc w:val="center"/>
        <w:textAlignment w:val="auto"/>
        <w:rPr>
          <w:noProof/>
          <w:color w:val="984806"/>
        </w:rPr>
      </w:pPr>
      <w:r w:rsidRPr="00E00F1E">
        <w:rPr>
          <w:noProof/>
        </w:rPr>
        <w:drawing>
          <wp:inline distT="0" distB="0" distL="0" distR="0" wp14:anchorId="54F6217D" wp14:editId="3CABE314">
            <wp:extent cx="5902325" cy="226822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2325" cy="2268220"/>
                    </a:xfrm>
                    <a:prstGeom prst="rect">
                      <a:avLst/>
                    </a:prstGeom>
                    <a:noFill/>
                    <a:ln>
                      <a:noFill/>
                    </a:ln>
                  </pic:spPr>
                </pic:pic>
              </a:graphicData>
            </a:graphic>
          </wp:inline>
        </w:drawing>
      </w:r>
    </w:p>
    <w:p w14:paraId="20912526"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4</w:t>
      </w:r>
      <w:r w:rsidRPr="00042364">
        <w:rPr>
          <w:rFonts w:ascii="Arial" w:eastAsia="仿宋_GB2312" w:hAnsi="Arial" w:cs="Arial" w:hint="eastAsia"/>
          <w:bCs/>
          <w:color w:val="000000"/>
          <w:sz w:val="28"/>
          <w:szCs w:val="28"/>
        </w:rPr>
        <w:t>）产业政策</w:t>
      </w:r>
    </w:p>
    <w:p w14:paraId="7B4AF753" w14:textId="77777777" w:rsidR="003F1721" w:rsidRPr="00042364" w:rsidRDefault="003F1721" w:rsidP="003F1721">
      <w:pPr>
        <w:overflowPunct w:val="0"/>
        <w:spacing w:line="360" w:lineRule="auto"/>
        <w:ind w:firstLineChars="250" w:firstLine="703"/>
        <w:jc w:val="both"/>
        <w:textAlignment w:val="auto"/>
        <w:rPr>
          <w:rFonts w:ascii="Arial" w:eastAsia="仿宋_GB2312" w:hAnsi="Arial"/>
          <w:b/>
          <w:bCs/>
          <w:color w:val="000000"/>
          <w:sz w:val="28"/>
          <w:szCs w:val="28"/>
        </w:rPr>
      </w:pPr>
      <w:r w:rsidRPr="00042364">
        <w:rPr>
          <w:rFonts w:ascii="Arial" w:eastAsia="仿宋_GB2312" w:hAnsi="Arial" w:hint="eastAsia"/>
          <w:b/>
          <w:bCs/>
          <w:color w:val="000000"/>
          <w:sz w:val="28"/>
          <w:szCs w:val="28"/>
        </w:rPr>
        <w:t>全国政策：</w:t>
      </w:r>
    </w:p>
    <w:p w14:paraId="05FF17CD"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年政府工作报告中，关于房地产调控内容整体延续了往年提法，除了“房住不炒”外，“稳地价、稳房价、稳预期”目标亦写入政府工作报告，</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年“房住不炒”总基调不变，短期调控政策仍将保持连续性和稳定性，整个政策环境的松紧程度仍将体现在因城施策方面。</w:t>
      </w:r>
    </w:p>
    <w:p w14:paraId="2640D5A3"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月底，按照自然资源</w:t>
      </w:r>
      <w:proofErr w:type="gramStart"/>
      <w:r w:rsidRPr="00042364">
        <w:rPr>
          <w:rFonts w:ascii="Arial" w:eastAsia="仿宋_GB2312" w:hAnsi="Arial" w:hint="eastAsia"/>
          <w:bCs/>
          <w:color w:val="000000"/>
          <w:sz w:val="28"/>
          <w:szCs w:val="28"/>
        </w:rPr>
        <w:t>部住宅</w:t>
      </w:r>
      <w:proofErr w:type="gramEnd"/>
      <w:r w:rsidRPr="00042364">
        <w:rPr>
          <w:rFonts w:ascii="Arial" w:eastAsia="仿宋_GB2312" w:hAnsi="Arial" w:hint="eastAsia"/>
          <w:bCs/>
          <w:color w:val="000000"/>
          <w:sz w:val="28"/>
          <w:szCs w:val="28"/>
        </w:rPr>
        <w:t>用地分类调控文件要求，</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个重点城市实现“两集中”，</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年发布住宅用地公告不能超过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次。</w:t>
      </w:r>
    </w:p>
    <w:p w14:paraId="2050909B"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日，全国人大通过《中华人民共和国国民经济和社会发展第十四个五年规划和</w:t>
      </w:r>
      <w:r w:rsidRPr="00042364">
        <w:rPr>
          <w:rFonts w:ascii="Arial" w:eastAsia="仿宋_GB2312" w:hAnsi="Arial" w:hint="eastAsia"/>
          <w:bCs/>
          <w:color w:val="000000"/>
          <w:sz w:val="28"/>
          <w:szCs w:val="28"/>
        </w:rPr>
        <w:t>2035</w:t>
      </w:r>
      <w:r w:rsidRPr="00042364">
        <w:rPr>
          <w:rFonts w:ascii="Arial" w:eastAsia="仿宋_GB2312" w:hAnsi="Arial" w:hint="eastAsia"/>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042364">
        <w:rPr>
          <w:rFonts w:ascii="Arial" w:eastAsia="仿宋_GB2312" w:hAnsi="Arial" w:hint="eastAsia"/>
          <w:bCs/>
          <w:color w:val="000000"/>
          <w:sz w:val="28"/>
          <w:szCs w:val="28"/>
        </w:rPr>
        <w:t>2016</w:t>
      </w:r>
      <w:r w:rsidRPr="00042364">
        <w:rPr>
          <w:rFonts w:ascii="Arial" w:eastAsia="仿宋_GB2312" w:hAnsi="Arial" w:hint="eastAsia"/>
          <w:bCs/>
          <w:color w:val="000000"/>
          <w:sz w:val="28"/>
          <w:szCs w:val="28"/>
        </w:rPr>
        <w:t>年中央经济工作会议首次提出，今年将这一表述列入《“十四五”规划纲要》，充分表明房地产远离投资属性是大势所趋，投机炒房行为将被严</w:t>
      </w:r>
      <w:r w:rsidRPr="00042364">
        <w:rPr>
          <w:rFonts w:ascii="Arial" w:eastAsia="仿宋_GB2312" w:hAnsi="Arial" w:hint="eastAsia"/>
          <w:bCs/>
          <w:color w:val="000000"/>
          <w:sz w:val="28"/>
          <w:szCs w:val="28"/>
        </w:rPr>
        <w:lastRenderedPageBreak/>
        <w:t>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4DC83B3C"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26</w:t>
      </w:r>
      <w:r w:rsidRPr="00042364">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042364">
        <w:rPr>
          <w:rFonts w:ascii="Arial" w:eastAsia="仿宋_GB2312" w:hAnsi="Arial" w:hint="eastAsia"/>
          <w:bCs/>
          <w:color w:val="000000"/>
          <w:sz w:val="28"/>
          <w:szCs w:val="28"/>
        </w:rPr>
        <w:t>房抵经营贷</w:t>
      </w:r>
      <w:proofErr w:type="gramEnd"/>
      <w:r w:rsidRPr="00042364">
        <w:rPr>
          <w:rFonts w:ascii="Arial" w:eastAsia="仿宋_GB2312" w:hAnsi="Arial" w:hint="eastAsia"/>
          <w:bCs/>
          <w:color w:val="000000"/>
          <w:sz w:val="28"/>
          <w:szCs w:val="28"/>
        </w:rPr>
        <w:t>等金融产品的咨询和服务，不得诱导购房人违规使用经营用途资金。</w:t>
      </w:r>
    </w:p>
    <w:p w14:paraId="15955E17"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6</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日中国银保监会召开新闻发布会，在回答记者提问环节</w:t>
      </w:r>
      <w:r w:rsidRPr="00042364">
        <w:rPr>
          <w:rFonts w:ascii="Arial" w:eastAsia="仿宋_GB2312" w:hAnsi="Arial" w:hint="eastAsia"/>
          <w:bCs/>
          <w:color w:val="000000"/>
          <w:sz w:val="28"/>
          <w:szCs w:val="28"/>
        </w:rPr>
        <w:lastRenderedPageBreak/>
        <w:t>中强调，在银行业金融机构房地产贷款集中</w:t>
      </w:r>
      <w:proofErr w:type="gramStart"/>
      <w:r w:rsidRPr="00042364">
        <w:rPr>
          <w:rFonts w:ascii="Arial" w:eastAsia="仿宋_GB2312" w:hAnsi="Arial" w:hint="eastAsia"/>
          <w:bCs/>
          <w:color w:val="000000"/>
          <w:sz w:val="28"/>
          <w:szCs w:val="28"/>
        </w:rPr>
        <w:t>度管理</w:t>
      </w:r>
      <w:proofErr w:type="gramEnd"/>
      <w:r w:rsidRPr="00042364">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042364">
        <w:rPr>
          <w:rFonts w:ascii="Arial" w:eastAsia="仿宋_GB2312" w:hAnsi="Arial" w:hint="eastAsia"/>
          <w:bCs/>
          <w:color w:val="000000"/>
          <w:sz w:val="28"/>
          <w:szCs w:val="28"/>
        </w:rPr>
        <w:t>占比较</w:t>
      </w:r>
      <w:proofErr w:type="gramEnd"/>
      <w:r w:rsidRPr="00042364">
        <w:rPr>
          <w:rFonts w:ascii="Arial" w:eastAsia="仿宋_GB2312" w:hAnsi="Arial" w:hint="eastAsia"/>
          <w:bCs/>
          <w:color w:val="000000"/>
          <w:sz w:val="28"/>
          <w:szCs w:val="28"/>
        </w:rPr>
        <w:t>高的银行实施名单制管理，督促这些银行落实房地产金融调控要求，合理控制房地产贷款增速。</w:t>
      </w:r>
    </w:p>
    <w:p w14:paraId="1E476469"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24</w:t>
      </w:r>
      <w:r w:rsidRPr="00042364">
        <w:rPr>
          <w:rFonts w:ascii="Arial" w:eastAsia="仿宋_GB2312" w:hAnsi="Arial" w:hint="eastAsia"/>
          <w:bCs/>
          <w:color w:val="000000"/>
          <w:sz w:val="28"/>
          <w:szCs w:val="28"/>
        </w:rPr>
        <w:t>日，中国人民银行货币政策委员会召开</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年第三季度例会。会议指出，维护房地产市场的健康发展，维护住房消费者的合法权益。</w:t>
      </w:r>
    </w:p>
    <w:p w14:paraId="33E3D1A2" w14:textId="77777777" w:rsidR="003F1721" w:rsidRPr="00042364" w:rsidRDefault="003F1721" w:rsidP="003F1721">
      <w:pPr>
        <w:overflowPunct w:val="0"/>
        <w:spacing w:line="360" w:lineRule="auto"/>
        <w:ind w:firstLineChars="250" w:firstLine="703"/>
        <w:jc w:val="both"/>
        <w:textAlignment w:val="auto"/>
        <w:rPr>
          <w:rFonts w:ascii="Arial" w:eastAsia="仿宋_GB2312" w:hAnsi="Arial"/>
          <w:b/>
          <w:bCs/>
          <w:color w:val="000000"/>
          <w:sz w:val="28"/>
          <w:szCs w:val="28"/>
        </w:rPr>
      </w:pPr>
      <w:r w:rsidRPr="00042364">
        <w:rPr>
          <w:rFonts w:ascii="Arial" w:eastAsia="仿宋_GB2312" w:hAnsi="Arial" w:hint="eastAsia"/>
          <w:b/>
          <w:bCs/>
          <w:color w:val="000000"/>
          <w:sz w:val="28"/>
          <w:szCs w:val="28"/>
        </w:rPr>
        <w:t>地方政策：</w:t>
      </w:r>
    </w:p>
    <w:p w14:paraId="45EE0440"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5</w:t>
      </w:r>
      <w:r w:rsidRPr="00042364">
        <w:rPr>
          <w:rFonts w:ascii="Arial" w:eastAsia="仿宋_GB2312" w:hAnsi="Arial" w:hint="eastAsia"/>
          <w:bCs/>
          <w:color w:val="000000"/>
          <w:sz w:val="28"/>
          <w:szCs w:val="28"/>
        </w:rPr>
        <w:t>日，北京市住建委等部门联合印发了《关于进一步加强全市集体土地租赁住房规划建设管理的意见》。</w:t>
      </w:r>
    </w:p>
    <w:p w14:paraId="5725E144"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042364">
        <w:rPr>
          <w:rFonts w:ascii="Arial" w:eastAsia="仿宋_GB2312" w:hAnsi="Arial" w:hint="eastAsia"/>
          <w:bCs/>
          <w:color w:val="000000"/>
          <w:sz w:val="28"/>
          <w:szCs w:val="28"/>
        </w:rPr>
        <w:t>稿发布</w:t>
      </w:r>
      <w:proofErr w:type="gramEnd"/>
      <w:r w:rsidRPr="00042364">
        <w:rPr>
          <w:rFonts w:ascii="Arial" w:eastAsia="仿宋_GB2312" w:hAnsi="Arial" w:hint="eastAsia"/>
          <w:bCs/>
          <w:color w:val="000000"/>
          <w:sz w:val="28"/>
          <w:szCs w:val="28"/>
        </w:rPr>
        <w:t>后，将有助于政治集中式租赁住房的市场乱象，规范行业的建设标准，更好地满足不同租赁群体的租住需求。</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20</w:t>
      </w:r>
      <w:r w:rsidRPr="00042364">
        <w:rPr>
          <w:rFonts w:ascii="Arial" w:eastAsia="仿宋_GB2312" w:hAnsi="Arial" w:hint="eastAsia"/>
          <w:bCs/>
          <w:color w:val="000000"/>
          <w:sz w:val="28"/>
          <w:szCs w:val="28"/>
        </w:rPr>
        <w:t>日，北京市住房和城乡建设委员会就《导则》</w:t>
      </w:r>
      <w:proofErr w:type="gramStart"/>
      <w:r w:rsidRPr="00042364">
        <w:rPr>
          <w:rFonts w:ascii="Arial" w:eastAsia="仿宋_GB2312" w:hAnsi="Arial" w:hint="eastAsia"/>
          <w:bCs/>
          <w:color w:val="000000"/>
          <w:sz w:val="28"/>
          <w:szCs w:val="28"/>
        </w:rPr>
        <w:t>意见稿向社会</w:t>
      </w:r>
      <w:proofErr w:type="gramEnd"/>
      <w:r w:rsidRPr="00042364">
        <w:rPr>
          <w:rFonts w:ascii="Arial" w:eastAsia="仿宋_GB2312" w:hAnsi="Arial" w:hint="eastAsia"/>
          <w:bCs/>
          <w:color w:val="000000"/>
          <w:sz w:val="28"/>
          <w:szCs w:val="28"/>
        </w:rPr>
        <w:t>公开征集的意见进行反馈，采纳了部分意见建议并对《导则》进行了相应的调整。</w:t>
      </w:r>
    </w:p>
    <w:p w14:paraId="633FDB9F"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日，北京发布《关于规范本市住房租赁企业经营活动的通知》，住房租赁企业向承租人预收的租金数额原则上不得超过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个月租金，收、付租金的周期应当匹配；住房租赁企业向承租人收取的押金应当通过北京房地产中介行业协会建立的专用账户托管，收取的押金数额不得超过</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个</w:t>
      </w:r>
      <w:r w:rsidRPr="00042364">
        <w:rPr>
          <w:rFonts w:ascii="Arial" w:eastAsia="仿宋_GB2312" w:hAnsi="Arial" w:hint="eastAsia"/>
          <w:bCs/>
          <w:color w:val="000000"/>
          <w:sz w:val="28"/>
          <w:szCs w:val="28"/>
        </w:rPr>
        <w:lastRenderedPageBreak/>
        <w:t>月租金；银行业金融机构、小额贷款公司等机构不得将承租人申请的“租金贷”资金拨付给住房租赁企业。这三条内容</w:t>
      </w:r>
      <w:proofErr w:type="gramStart"/>
      <w:r w:rsidRPr="00042364">
        <w:rPr>
          <w:rFonts w:ascii="Arial" w:eastAsia="仿宋_GB2312" w:hAnsi="Arial" w:hint="eastAsia"/>
          <w:bCs/>
          <w:color w:val="000000"/>
          <w:sz w:val="28"/>
          <w:szCs w:val="28"/>
        </w:rPr>
        <w:t>管控了三种</w:t>
      </w:r>
      <w:proofErr w:type="gramEnd"/>
      <w:r w:rsidRPr="00042364">
        <w:rPr>
          <w:rFonts w:ascii="Arial" w:eastAsia="仿宋_GB2312" w:hAnsi="Arial" w:hint="eastAsia"/>
          <w:bCs/>
          <w:color w:val="000000"/>
          <w:sz w:val="28"/>
          <w:szCs w:val="28"/>
        </w:rPr>
        <w:t>资金，包括租金、押金和首付贷资金。</w:t>
      </w:r>
    </w:p>
    <w:p w14:paraId="23D94E83"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10</w:t>
      </w:r>
      <w:r w:rsidRPr="00042364">
        <w:rPr>
          <w:rFonts w:ascii="Arial" w:eastAsia="仿宋_GB2312" w:hAnsi="Arial" w:hint="eastAsia"/>
          <w:bCs/>
          <w:color w:val="000000"/>
          <w:sz w:val="28"/>
          <w:szCs w:val="28"/>
        </w:rPr>
        <w:t>日，北京银保监局、人行营业管理部发布《关于加强个人经营性贷款管理</w:t>
      </w:r>
      <w:r w:rsidRPr="00042364">
        <w:rPr>
          <w:rFonts w:ascii="Arial" w:eastAsia="仿宋_GB2312" w:hAnsi="Arial" w:hint="eastAsia"/>
          <w:bCs/>
          <w:color w:val="000000"/>
          <w:sz w:val="28"/>
          <w:szCs w:val="28"/>
        </w:rPr>
        <w:t xml:space="preserve"> </w:t>
      </w:r>
      <w:r w:rsidRPr="00042364">
        <w:rPr>
          <w:rFonts w:ascii="Arial" w:eastAsia="仿宋_GB2312" w:hAnsi="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042364">
        <w:rPr>
          <w:rFonts w:ascii="Arial" w:eastAsia="仿宋_GB2312" w:hAnsi="Arial" w:hint="eastAsia"/>
          <w:bCs/>
          <w:color w:val="000000"/>
          <w:sz w:val="28"/>
          <w:szCs w:val="28"/>
        </w:rPr>
        <w:t>审慎向</w:t>
      </w:r>
      <w:proofErr w:type="gramEnd"/>
      <w:r w:rsidRPr="00042364">
        <w:rPr>
          <w:rFonts w:ascii="Arial" w:eastAsia="仿宋_GB2312" w:hAnsi="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62A5B2B5"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日，北京市住建委发布《北京市共有产权住房规划设计宜居建设导则（</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年修订版）》（征求意见稿），对共有产权房的项目选址和套型面积等</w:t>
      </w:r>
      <w:r w:rsidRPr="00042364">
        <w:rPr>
          <w:rFonts w:ascii="Arial" w:eastAsia="仿宋_GB2312" w:hAnsi="Arial" w:hint="eastAsia"/>
          <w:bCs/>
          <w:color w:val="000000"/>
          <w:sz w:val="28"/>
          <w:szCs w:val="28"/>
        </w:rPr>
        <w:t>11</w:t>
      </w:r>
      <w:r w:rsidRPr="00042364">
        <w:rPr>
          <w:rFonts w:ascii="Arial" w:eastAsia="仿宋_GB2312" w:hAnsi="Arial" w:hint="eastAsia"/>
          <w:bCs/>
          <w:color w:val="000000"/>
          <w:sz w:val="28"/>
          <w:szCs w:val="28"/>
        </w:rPr>
        <w:t>个方面</w:t>
      </w:r>
      <w:proofErr w:type="gramStart"/>
      <w:r w:rsidRPr="00042364">
        <w:rPr>
          <w:rFonts w:ascii="Arial" w:eastAsia="仿宋_GB2312" w:hAnsi="Arial" w:hint="eastAsia"/>
          <w:bCs/>
          <w:color w:val="000000"/>
          <w:sz w:val="28"/>
          <w:szCs w:val="28"/>
        </w:rPr>
        <w:t>作出</w:t>
      </w:r>
      <w:proofErr w:type="gramEnd"/>
      <w:r w:rsidRPr="00042364">
        <w:rPr>
          <w:rFonts w:ascii="Arial" w:eastAsia="仿宋_GB2312" w:hAnsi="Arial" w:hint="eastAsia"/>
          <w:bCs/>
          <w:color w:val="000000"/>
          <w:sz w:val="28"/>
          <w:szCs w:val="28"/>
        </w:rPr>
        <w:t>新的修订。与原文件相比，修订版不仅放宽了中心城区共有产权房的套型面积上限，且</w:t>
      </w:r>
      <w:proofErr w:type="gramStart"/>
      <w:r w:rsidRPr="00042364">
        <w:rPr>
          <w:rFonts w:ascii="Arial" w:eastAsia="仿宋_GB2312" w:hAnsi="Arial" w:hint="eastAsia"/>
          <w:bCs/>
          <w:color w:val="000000"/>
          <w:sz w:val="28"/>
          <w:szCs w:val="28"/>
        </w:rPr>
        <w:t>对于城六区</w:t>
      </w:r>
      <w:proofErr w:type="gramEnd"/>
      <w:r w:rsidRPr="00042364">
        <w:rPr>
          <w:rFonts w:ascii="Arial" w:eastAsia="仿宋_GB2312" w:hAnsi="Arial" w:hint="eastAsia"/>
          <w:bCs/>
          <w:color w:val="000000"/>
          <w:sz w:val="28"/>
          <w:szCs w:val="28"/>
        </w:rPr>
        <w:t>以外的其他区，允许开发建设单位按市场调查合理确定共有产权房项目中大套型的比例。此次层数</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套型建筑面积双重控制设计标准的修订，有利于</w:t>
      </w:r>
      <w:proofErr w:type="gramStart"/>
      <w:r w:rsidRPr="00042364">
        <w:rPr>
          <w:rFonts w:ascii="Arial" w:eastAsia="仿宋_GB2312" w:hAnsi="Arial" w:hint="eastAsia"/>
          <w:bCs/>
          <w:color w:val="000000"/>
          <w:sz w:val="28"/>
          <w:szCs w:val="28"/>
        </w:rPr>
        <w:t>不</w:t>
      </w:r>
      <w:proofErr w:type="gramEnd"/>
      <w:r w:rsidRPr="00042364">
        <w:rPr>
          <w:rFonts w:ascii="Arial" w:eastAsia="仿宋_GB2312" w:hAnsi="Arial" w:hint="eastAsia"/>
          <w:bCs/>
          <w:color w:val="000000"/>
          <w:sz w:val="28"/>
          <w:szCs w:val="28"/>
        </w:rPr>
        <w:t>同楼栋户型品质的改善和提升，将进一步提高共有产权房的舒适度、宜居性，同时也有利于满足不同家庭结构、不同生活阶段的多样化需求，将进一步扩大职业者群体范围。</w:t>
      </w:r>
    </w:p>
    <w:p w14:paraId="09C5AFA9"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日，</w:t>
      </w:r>
      <w:proofErr w:type="gramStart"/>
      <w:r w:rsidRPr="00042364">
        <w:rPr>
          <w:rFonts w:ascii="Arial" w:eastAsia="仿宋_GB2312" w:hAnsi="Arial" w:hint="eastAsia"/>
          <w:bCs/>
          <w:color w:val="000000"/>
          <w:sz w:val="28"/>
          <w:szCs w:val="28"/>
        </w:rPr>
        <w:t>北京发改委</w:t>
      </w:r>
      <w:proofErr w:type="gramEnd"/>
      <w:r w:rsidRPr="00042364">
        <w:rPr>
          <w:rFonts w:ascii="Arial" w:eastAsia="仿宋_GB2312" w:hAnsi="Arial" w:hint="eastAsia"/>
          <w:bCs/>
          <w:color w:val="000000"/>
          <w:sz w:val="28"/>
          <w:szCs w:val="28"/>
        </w:rPr>
        <w:t>及</w:t>
      </w:r>
      <w:proofErr w:type="gramStart"/>
      <w:r w:rsidRPr="00042364">
        <w:rPr>
          <w:rFonts w:ascii="Arial" w:eastAsia="仿宋_GB2312" w:hAnsi="Arial" w:hint="eastAsia"/>
          <w:bCs/>
          <w:color w:val="000000"/>
          <w:sz w:val="28"/>
          <w:szCs w:val="28"/>
        </w:rPr>
        <w:t>规自委</w:t>
      </w:r>
      <w:proofErr w:type="gramEnd"/>
      <w:r w:rsidRPr="00042364">
        <w:rPr>
          <w:rFonts w:ascii="Arial" w:eastAsia="仿宋_GB2312" w:hAnsi="Arial" w:hint="eastAsia"/>
          <w:bCs/>
          <w:color w:val="000000"/>
          <w:sz w:val="28"/>
          <w:szCs w:val="28"/>
        </w:rPr>
        <w:t>联合发布《北京市</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年度建设用地供地计划》。</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年度安排建设用地供应总量与</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年持平，住宅用地计划供应量较</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年供应计划增加</w:t>
      </w:r>
      <w:r w:rsidRPr="00042364">
        <w:rPr>
          <w:rFonts w:ascii="Arial" w:eastAsia="仿宋_GB2312" w:hAnsi="Arial" w:hint="eastAsia"/>
          <w:bCs/>
          <w:color w:val="000000"/>
          <w:sz w:val="28"/>
          <w:szCs w:val="28"/>
        </w:rPr>
        <w:t>60</w:t>
      </w:r>
      <w:r w:rsidRPr="00042364">
        <w:rPr>
          <w:rFonts w:ascii="Arial" w:eastAsia="仿宋_GB2312" w:hAnsi="Arial" w:hint="eastAsia"/>
          <w:bCs/>
          <w:color w:val="000000"/>
          <w:sz w:val="28"/>
          <w:szCs w:val="28"/>
        </w:rPr>
        <w:t>公顷，并且土地供应更像租赁住宅倾斜，占比由</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年的</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提高到</w:t>
      </w:r>
      <w:r w:rsidRPr="00042364">
        <w:rPr>
          <w:rFonts w:ascii="Arial" w:eastAsia="仿宋_GB2312" w:hAnsi="Arial" w:hint="eastAsia"/>
          <w:bCs/>
          <w:color w:val="000000"/>
          <w:sz w:val="28"/>
          <w:szCs w:val="28"/>
        </w:rPr>
        <w:t>30%</w:t>
      </w:r>
      <w:r w:rsidRPr="00042364">
        <w:rPr>
          <w:rFonts w:ascii="Arial" w:eastAsia="仿宋_GB2312" w:hAnsi="Arial" w:hint="eastAsia"/>
          <w:bCs/>
          <w:color w:val="000000"/>
          <w:sz w:val="28"/>
          <w:szCs w:val="28"/>
        </w:rPr>
        <w:t>。未来北京将继续大力发展租</w:t>
      </w:r>
      <w:r w:rsidRPr="00042364">
        <w:rPr>
          <w:rFonts w:ascii="Arial" w:eastAsia="仿宋_GB2312" w:hAnsi="Arial" w:hint="eastAsia"/>
          <w:bCs/>
          <w:color w:val="000000"/>
          <w:sz w:val="28"/>
          <w:szCs w:val="28"/>
        </w:rPr>
        <w:lastRenderedPageBreak/>
        <w:t>赁住房，积极解决来京人员的租住问题。</w:t>
      </w:r>
    </w:p>
    <w:p w14:paraId="7FF09B11"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23</w:t>
      </w:r>
      <w:r w:rsidRPr="00042364">
        <w:rPr>
          <w:rFonts w:ascii="Arial" w:eastAsia="仿宋_GB2312" w:hAnsi="Arial" w:hint="eastAsia"/>
          <w:bCs/>
          <w:color w:val="000000"/>
          <w:sz w:val="28"/>
          <w:szCs w:val="28"/>
        </w:rPr>
        <w:t>日，北京银保监局发布消息称，涉嫌违规流入北京房地产市场的个人经营性贷款金额约</w:t>
      </w:r>
      <w:r w:rsidRPr="00042364">
        <w:rPr>
          <w:rFonts w:ascii="Arial" w:eastAsia="仿宋_GB2312" w:hAnsi="Arial" w:hint="eastAsia"/>
          <w:bCs/>
          <w:color w:val="000000"/>
          <w:sz w:val="28"/>
          <w:szCs w:val="28"/>
        </w:rPr>
        <w:t>3.4</w:t>
      </w:r>
      <w:r w:rsidRPr="00042364">
        <w:rPr>
          <w:rFonts w:ascii="Arial" w:eastAsia="仿宋_GB2312" w:hAnsi="Arial" w:hint="eastAsia"/>
          <w:bCs/>
          <w:color w:val="000000"/>
          <w:sz w:val="28"/>
          <w:szCs w:val="28"/>
        </w:rPr>
        <w:t>亿元，约占经营贷自查业务总量的</w:t>
      </w:r>
      <w:r w:rsidRPr="00042364">
        <w:rPr>
          <w:rFonts w:ascii="Arial" w:eastAsia="仿宋_GB2312" w:hAnsi="Arial" w:hint="eastAsia"/>
          <w:bCs/>
          <w:color w:val="000000"/>
          <w:sz w:val="28"/>
          <w:szCs w:val="28"/>
        </w:rPr>
        <w:t>0.35%</w:t>
      </w:r>
      <w:r w:rsidRPr="00042364">
        <w:rPr>
          <w:rFonts w:ascii="Arial" w:eastAsia="仿宋_GB2312" w:hAnsi="Arial" w:hint="eastAsia"/>
          <w:bCs/>
          <w:color w:val="000000"/>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家银行的行政处罚立案程序和调查取证工作。</w:t>
      </w:r>
    </w:p>
    <w:p w14:paraId="4C79CF9D"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042364">
        <w:rPr>
          <w:rFonts w:ascii="Arial" w:eastAsia="仿宋_GB2312" w:hAnsi="Arial" w:hint="eastAsia"/>
          <w:bCs/>
          <w:color w:val="000000"/>
          <w:sz w:val="28"/>
          <w:szCs w:val="28"/>
        </w:rPr>
        <w:t>规</w:t>
      </w:r>
      <w:proofErr w:type="gramEnd"/>
      <w:r w:rsidRPr="00042364">
        <w:rPr>
          <w:rFonts w:ascii="Arial" w:eastAsia="仿宋_GB2312" w:hAnsi="Arial" w:hint="eastAsia"/>
          <w:bCs/>
          <w:color w:val="000000"/>
          <w:sz w:val="28"/>
          <w:szCs w:val="28"/>
        </w:rPr>
        <w:t>经营，共同营造良好市场环境；切实解决群众关切的问题，推动解决重点民生诉求，研究形成巩固成果、防止问题反弹的日常管理长效工作机制，确保房地产市场平稳健康发展。</w:t>
      </w:r>
    </w:p>
    <w:p w14:paraId="781E9E5C"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5</w:t>
      </w:r>
      <w:r w:rsidRPr="00042364">
        <w:rPr>
          <w:rFonts w:ascii="Arial" w:eastAsia="仿宋_GB2312" w:hAnsi="Arial" w:hint="eastAsia"/>
          <w:bCs/>
          <w:color w:val="000000"/>
          <w:sz w:val="28"/>
          <w:szCs w:val="28"/>
        </w:rPr>
        <w:t>日，北京市住建委发布《关于进一步完善商品住房限购政策的公告》，明确自</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5</w:t>
      </w:r>
      <w:r w:rsidRPr="00042364">
        <w:rPr>
          <w:rFonts w:ascii="Arial" w:eastAsia="仿宋_GB2312" w:hAnsi="Arial" w:hint="eastAsia"/>
          <w:bCs/>
          <w:color w:val="000000"/>
          <w:sz w:val="28"/>
          <w:szCs w:val="28"/>
        </w:rPr>
        <w:t>日起，夫妻离异的，</w:t>
      </w:r>
      <w:proofErr w:type="gramStart"/>
      <w:r w:rsidRPr="00042364">
        <w:rPr>
          <w:rFonts w:ascii="Arial" w:eastAsia="仿宋_GB2312" w:hAnsi="Arial" w:hint="eastAsia"/>
          <w:bCs/>
          <w:color w:val="000000"/>
          <w:sz w:val="28"/>
          <w:szCs w:val="28"/>
        </w:rPr>
        <w:t>原家庭</w:t>
      </w:r>
      <w:proofErr w:type="gramEnd"/>
      <w:r w:rsidRPr="00042364">
        <w:rPr>
          <w:rFonts w:ascii="Arial" w:eastAsia="仿宋_GB2312" w:hAnsi="Arial" w:hint="eastAsia"/>
          <w:bCs/>
          <w:color w:val="000000"/>
          <w:sz w:val="28"/>
          <w:szCs w:val="28"/>
        </w:rPr>
        <w:t>在离异前拥有住房套数不符合本市商品住房限购政策规定的，自离异之日起</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年内，任何一方均不得在本市购买商品住房。</w:t>
      </w:r>
    </w:p>
    <w:p w14:paraId="49AE37F1" w14:textId="77777777" w:rsidR="003F1721" w:rsidRPr="00042364" w:rsidRDefault="003F1721" w:rsidP="003F1721">
      <w:pPr>
        <w:spacing w:line="360" w:lineRule="auto"/>
        <w:ind w:firstLineChars="200" w:firstLine="560"/>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16</w:t>
      </w:r>
      <w:r w:rsidRPr="00042364">
        <w:rPr>
          <w:rFonts w:ascii="Arial" w:eastAsia="仿宋_GB2312" w:hAnsi="Arial" w:hint="eastAsia"/>
          <w:bCs/>
          <w:color w:val="000000"/>
          <w:sz w:val="28"/>
          <w:szCs w:val="28"/>
        </w:rPr>
        <w:t>日，北京住建委印发《关于进一步规范新建商品住房销售行为的通知》。《通知》设置了规范设置交付样板间、规范新建商品住房销售推广、落实交付前房屋质量查验制度、压实开发企业主体责任、其他等</w:t>
      </w:r>
      <w:r w:rsidRPr="00042364">
        <w:rPr>
          <w:rFonts w:ascii="Arial" w:eastAsia="仿宋_GB2312" w:hAnsi="Arial" w:hint="eastAsia"/>
          <w:bCs/>
          <w:color w:val="000000"/>
          <w:sz w:val="28"/>
          <w:szCs w:val="28"/>
        </w:rPr>
        <w:lastRenderedPageBreak/>
        <w:t>五部分内容，进一步规范商品住房销售行为。</w:t>
      </w:r>
    </w:p>
    <w:p w14:paraId="3BA4F098"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5</w:t>
      </w:r>
      <w:r w:rsidRPr="00042364">
        <w:rPr>
          <w:rFonts w:ascii="Arial" w:eastAsia="仿宋_GB2312" w:hAnsi="Arial" w:cs="Arial" w:hint="eastAsia"/>
          <w:bCs/>
          <w:color w:val="000000"/>
          <w:sz w:val="28"/>
          <w:szCs w:val="28"/>
        </w:rPr>
        <w:t>）未来市场预期</w:t>
      </w:r>
    </w:p>
    <w:p w14:paraId="41AEBB1B" w14:textId="77777777" w:rsidR="003F1721" w:rsidRPr="00042364" w:rsidRDefault="003F1721" w:rsidP="003F1721">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月底，央行等多部门三天内两次</w:t>
      </w:r>
      <w:proofErr w:type="gramStart"/>
      <w:r w:rsidRPr="00042364">
        <w:rPr>
          <w:rFonts w:ascii="Arial" w:eastAsia="仿宋_GB2312" w:hAnsi="Arial" w:hint="eastAsia"/>
          <w:bCs/>
          <w:color w:val="000000"/>
          <w:sz w:val="28"/>
          <w:szCs w:val="28"/>
        </w:rPr>
        <w:t>释放维稳信号</w:t>
      </w:r>
      <w:proofErr w:type="gramEnd"/>
      <w:r w:rsidRPr="00042364">
        <w:rPr>
          <w:rFonts w:ascii="Arial" w:eastAsia="仿宋_GB2312" w:hAnsi="Arial" w:hint="eastAsia"/>
          <w:bCs/>
          <w:color w:val="000000"/>
          <w:sz w:val="28"/>
          <w:szCs w:val="28"/>
        </w:rPr>
        <w:t>，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14:paraId="674CC403" w14:textId="77777777" w:rsidR="003F1721" w:rsidRPr="004A328E" w:rsidRDefault="003F1721" w:rsidP="003F1721">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14:paraId="070892B1" w14:textId="77777777" w:rsidR="003F1721" w:rsidRPr="004A328E" w:rsidRDefault="003F1721" w:rsidP="003F1721">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6EF03D7B" w14:textId="77777777" w:rsidR="003F1721" w:rsidRDefault="003F1721" w:rsidP="003F1721">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w:t>
      </w:r>
      <w:r w:rsidRPr="003C1D3A">
        <w:rPr>
          <w:rFonts w:ascii="Arial" w:eastAsia="仿宋_GB2312" w:hAnsi="Arial" w:hint="eastAsia"/>
          <w:bCs/>
          <w:sz w:val="28"/>
          <w:szCs w:val="28"/>
        </w:rPr>
        <w:lastRenderedPageBreak/>
        <w:t>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三期建设，进一步拓展居住、产业和商业配套空间。</w:t>
      </w:r>
    </w:p>
    <w:p w14:paraId="117385D5" w14:textId="77777777" w:rsidR="003F1721" w:rsidRDefault="003F1721" w:rsidP="003F1721">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17E1F075" w14:textId="77777777" w:rsidR="003F1721" w:rsidRDefault="003F1721" w:rsidP="003F1721">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51D27532" w14:textId="77777777" w:rsidR="003F1721" w:rsidRDefault="003F1721" w:rsidP="003F1721">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11E6DDF4" w14:textId="77777777" w:rsidR="003F1721" w:rsidRPr="00B62C1A" w:rsidRDefault="003F1721" w:rsidP="003F1721">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60DD847F" w14:textId="77777777" w:rsidR="003F1721" w:rsidRPr="00ED59DA" w:rsidRDefault="003F1721" w:rsidP="003F1721">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w:t>
      </w:r>
      <w:r w:rsidRPr="00B62C1A">
        <w:rPr>
          <w:rFonts w:ascii="Arial" w:eastAsia="仿宋_GB2312" w:hAnsi="Arial"/>
          <w:bCs/>
          <w:sz w:val="28"/>
          <w:szCs w:val="28"/>
        </w:rPr>
        <w:t xml:space="preserve"> </w:t>
      </w:r>
      <w:r w:rsidRPr="00B62C1A">
        <w:rPr>
          <w:rFonts w:ascii="Arial" w:eastAsia="仿宋_GB2312" w:hAnsi="Arial"/>
          <w:bCs/>
          <w:sz w:val="28"/>
          <w:szCs w:val="28"/>
        </w:rPr>
        <w:t>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w:t>
      </w:r>
      <w:r w:rsidRPr="00B62C1A">
        <w:rPr>
          <w:rFonts w:ascii="Arial" w:eastAsia="仿宋_GB2312" w:hAnsi="Arial"/>
          <w:bCs/>
          <w:sz w:val="28"/>
          <w:szCs w:val="28"/>
        </w:rPr>
        <w:lastRenderedPageBreak/>
        <w:t>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2D30F872" w14:textId="77777777" w:rsidR="003F1721" w:rsidRDefault="003F1721" w:rsidP="003F1721">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14:paraId="4AB7EE00"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cs="Arial" w:hint="eastAsia"/>
          <w:bCs/>
          <w:sz w:val="28"/>
          <w:szCs w:val="28"/>
        </w:rPr>
        <w:t>根据</w:t>
      </w:r>
      <w:r>
        <w:rPr>
          <w:rFonts w:ascii="Arial" w:eastAsia="仿宋_GB2312" w:hAnsi="Arial" w:cs="Arial" w:hint="eastAsia"/>
          <w:bCs/>
          <w:sz w:val="28"/>
          <w:szCs w:val="28"/>
        </w:rPr>
        <w:t>北京市统计局</w:t>
      </w:r>
      <w:r w:rsidRPr="00A30AB7">
        <w:rPr>
          <w:rFonts w:ascii="Arial" w:eastAsia="仿宋_GB2312" w:hAnsi="Arial" w:cs="Arial" w:hint="eastAsia"/>
          <w:bCs/>
          <w:sz w:val="28"/>
          <w:szCs w:val="28"/>
        </w:rPr>
        <w:t>地区生产总值统一核算结果，</w:t>
      </w:r>
      <w:r w:rsidRPr="00A30AB7">
        <w:rPr>
          <w:rFonts w:ascii="Arial" w:eastAsia="仿宋_GB2312" w:hAnsi="Arial" w:cs="Arial" w:hint="eastAsia"/>
          <w:bCs/>
          <w:sz w:val="28"/>
          <w:szCs w:val="28"/>
        </w:rPr>
        <w:t>1-3</w:t>
      </w:r>
      <w:r w:rsidRPr="00A30AB7">
        <w:rPr>
          <w:rFonts w:ascii="Arial" w:eastAsia="仿宋_GB2312" w:hAnsi="Arial" w:cs="Arial" w:hint="eastAsia"/>
          <w:bCs/>
          <w:sz w:val="28"/>
          <w:szCs w:val="28"/>
        </w:rPr>
        <w:t>季度</w:t>
      </w:r>
      <w:r>
        <w:rPr>
          <w:rFonts w:ascii="Arial" w:eastAsia="仿宋_GB2312" w:hAnsi="Arial" w:cs="Arial" w:hint="eastAsia"/>
          <w:bCs/>
          <w:sz w:val="28"/>
          <w:szCs w:val="28"/>
        </w:rPr>
        <w:t>北京</w:t>
      </w:r>
      <w:r w:rsidRPr="00A30AB7">
        <w:rPr>
          <w:rFonts w:ascii="Arial" w:eastAsia="仿宋_GB2312" w:hAnsi="Arial" w:cs="Arial" w:hint="eastAsia"/>
          <w:bCs/>
          <w:sz w:val="28"/>
          <w:szCs w:val="28"/>
        </w:rPr>
        <w:t>市实现地区生产总值</w:t>
      </w:r>
      <w:r w:rsidRPr="00A30AB7">
        <w:rPr>
          <w:rFonts w:ascii="Arial" w:eastAsia="仿宋_GB2312" w:hAnsi="Arial" w:cs="Arial" w:hint="eastAsia"/>
          <w:bCs/>
          <w:sz w:val="28"/>
          <w:szCs w:val="28"/>
        </w:rPr>
        <w:t>29753.0</w:t>
      </w:r>
      <w:r w:rsidRPr="00A30AB7">
        <w:rPr>
          <w:rFonts w:ascii="Arial" w:eastAsia="仿宋_GB2312" w:hAnsi="Arial" w:cs="Arial" w:hint="eastAsia"/>
          <w:bCs/>
          <w:sz w:val="28"/>
          <w:szCs w:val="28"/>
        </w:rPr>
        <w:t>亿元，按可比价格计算，同比增长</w:t>
      </w:r>
      <w:r w:rsidRPr="00A30AB7">
        <w:rPr>
          <w:rFonts w:ascii="Arial" w:eastAsia="仿宋_GB2312" w:hAnsi="Arial" w:cs="Arial" w:hint="eastAsia"/>
          <w:bCs/>
          <w:sz w:val="28"/>
          <w:szCs w:val="28"/>
        </w:rPr>
        <w:t>10.7%</w:t>
      </w:r>
      <w:r w:rsidRPr="00A30AB7">
        <w:rPr>
          <w:rFonts w:ascii="Arial" w:eastAsia="仿宋_GB2312" w:hAnsi="Arial" w:cs="Arial" w:hint="eastAsia"/>
          <w:bCs/>
          <w:sz w:val="28"/>
          <w:szCs w:val="28"/>
        </w:rPr>
        <w:t>，比上半年回落</w:t>
      </w:r>
      <w:r w:rsidRPr="00A30AB7">
        <w:rPr>
          <w:rFonts w:ascii="Arial" w:eastAsia="仿宋_GB2312" w:hAnsi="Arial" w:cs="Arial" w:hint="eastAsia"/>
          <w:bCs/>
          <w:sz w:val="28"/>
          <w:szCs w:val="28"/>
        </w:rPr>
        <w:t>2.7</w:t>
      </w:r>
      <w:r w:rsidRPr="00A30AB7">
        <w:rPr>
          <w:rFonts w:ascii="Arial" w:eastAsia="仿宋_GB2312" w:hAnsi="Arial" w:cs="Arial" w:hint="eastAsia"/>
          <w:bCs/>
          <w:sz w:val="28"/>
          <w:szCs w:val="28"/>
        </w:rPr>
        <w:t>个百分点，与</w:t>
      </w:r>
      <w:r w:rsidRPr="00A30AB7">
        <w:rPr>
          <w:rFonts w:ascii="Arial" w:eastAsia="仿宋_GB2312" w:hAnsi="Arial" w:cs="Arial" w:hint="eastAsia"/>
          <w:bCs/>
          <w:sz w:val="28"/>
          <w:szCs w:val="28"/>
        </w:rPr>
        <w:t>2019</w:t>
      </w:r>
      <w:r w:rsidRPr="00A30AB7">
        <w:rPr>
          <w:rFonts w:ascii="Arial" w:eastAsia="仿宋_GB2312" w:hAnsi="Arial" w:cs="Arial" w:hint="eastAsia"/>
          <w:bCs/>
          <w:sz w:val="28"/>
          <w:szCs w:val="28"/>
        </w:rPr>
        <w:t>年同期相比，两年平均增长</w:t>
      </w:r>
      <w:r w:rsidRPr="00A30AB7">
        <w:rPr>
          <w:rFonts w:ascii="Arial" w:eastAsia="仿宋_GB2312" w:hAnsi="Arial" w:cs="Arial" w:hint="eastAsia"/>
          <w:bCs/>
          <w:sz w:val="28"/>
          <w:szCs w:val="28"/>
        </w:rPr>
        <w:t>5.3%</w:t>
      </w:r>
      <w:r w:rsidRPr="00A30AB7">
        <w:rPr>
          <w:rFonts w:ascii="Arial" w:eastAsia="仿宋_GB2312" w:hAnsi="Arial" w:cs="Arial" w:hint="eastAsia"/>
          <w:bCs/>
          <w:sz w:val="28"/>
          <w:szCs w:val="28"/>
        </w:rPr>
        <w:t>，高于上半年</w:t>
      </w:r>
      <w:r w:rsidRPr="00A30AB7">
        <w:rPr>
          <w:rFonts w:ascii="Arial" w:eastAsia="仿宋_GB2312" w:hAnsi="Arial" w:cs="Arial" w:hint="eastAsia"/>
          <w:bCs/>
          <w:sz w:val="28"/>
          <w:szCs w:val="28"/>
        </w:rPr>
        <w:t>0.5</w:t>
      </w:r>
      <w:r w:rsidRPr="00A30AB7">
        <w:rPr>
          <w:rFonts w:ascii="Arial" w:eastAsia="仿宋_GB2312" w:hAnsi="Arial" w:cs="Arial" w:hint="eastAsia"/>
          <w:bCs/>
          <w:sz w:val="28"/>
          <w:szCs w:val="28"/>
        </w:rPr>
        <w:t>个百分点。分产业看，第一产业实现增加值</w:t>
      </w:r>
      <w:r w:rsidRPr="00A30AB7">
        <w:rPr>
          <w:rFonts w:ascii="Arial" w:eastAsia="仿宋_GB2312" w:hAnsi="Arial" w:cs="Arial" w:hint="eastAsia"/>
          <w:bCs/>
          <w:sz w:val="28"/>
          <w:szCs w:val="28"/>
        </w:rPr>
        <w:t>71.3</w:t>
      </w:r>
      <w:r w:rsidRPr="00A30AB7">
        <w:rPr>
          <w:rFonts w:ascii="Arial" w:eastAsia="仿宋_GB2312" w:hAnsi="Arial" w:cs="Arial" w:hint="eastAsia"/>
          <w:bCs/>
          <w:sz w:val="28"/>
          <w:szCs w:val="28"/>
        </w:rPr>
        <w:t>亿元，同比增长</w:t>
      </w:r>
      <w:r w:rsidRPr="00A30AB7">
        <w:rPr>
          <w:rFonts w:ascii="Arial" w:eastAsia="仿宋_GB2312" w:hAnsi="Arial" w:cs="Arial" w:hint="eastAsia"/>
          <w:bCs/>
          <w:sz w:val="28"/>
          <w:szCs w:val="28"/>
        </w:rPr>
        <w:t>0.2%</w:t>
      </w:r>
      <w:r w:rsidRPr="00A30AB7">
        <w:rPr>
          <w:rFonts w:ascii="Arial" w:eastAsia="仿宋_GB2312" w:hAnsi="Arial" w:cs="Arial" w:hint="eastAsia"/>
          <w:bCs/>
          <w:sz w:val="28"/>
          <w:szCs w:val="28"/>
        </w:rPr>
        <w:t>，两年平均下降</w:t>
      </w:r>
      <w:r w:rsidRPr="00A30AB7">
        <w:rPr>
          <w:rFonts w:ascii="Arial" w:eastAsia="仿宋_GB2312" w:hAnsi="Arial" w:cs="Arial" w:hint="eastAsia"/>
          <w:bCs/>
          <w:sz w:val="28"/>
          <w:szCs w:val="28"/>
        </w:rPr>
        <w:t>5.6%</w:t>
      </w:r>
      <w:r w:rsidRPr="00A30AB7">
        <w:rPr>
          <w:rFonts w:ascii="Arial" w:eastAsia="仿宋_GB2312" w:hAnsi="Arial" w:cs="Arial" w:hint="eastAsia"/>
          <w:bCs/>
          <w:sz w:val="28"/>
          <w:szCs w:val="28"/>
        </w:rPr>
        <w:t>；第二产业实现增加值</w:t>
      </w:r>
      <w:r w:rsidRPr="00A30AB7">
        <w:rPr>
          <w:rFonts w:ascii="Arial" w:eastAsia="仿宋_GB2312" w:hAnsi="Arial" w:cs="Arial" w:hint="eastAsia"/>
          <w:bCs/>
          <w:sz w:val="28"/>
          <w:szCs w:val="28"/>
        </w:rPr>
        <w:t>5206.6</w:t>
      </w:r>
      <w:r w:rsidRPr="00A30AB7">
        <w:rPr>
          <w:rFonts w:ascii="Arial" w:eastAsia="仿宋_GB2312" w:hAnsi="Arial" w:cs="Arial" w:hint="eastAsia"/>
          <w:bCs/>
          <w:sz w:val="28"/>
          <w:szCs w:val="28"/>
        </w:rPr>
        <w:t>亿元，同比增长</w:t>
      </w:r>
      <w:r w:rsidRPr="00A30AB7">
        <w:rPr>
          <w:rFonts w:ascii="Arial" w:eastAsia="仿宋_GB2312" w:hAnsi="Arial" w:cs="Arial" w:hint="eastAsia"/>
          <w:bCs/>
          <w:sz w:val="28"/>
          <w:szCs w:val="28"/>
        </w:rPr>
        <w:t>29.4%</w:t>
      </w:r>
      <w:r w:rsidRPr="00A30AB7">
        <w:rPr>
          <w:rFonts w:ascii="Arial" w:eastAsia="仿宋_GB2312" w:hAnsi="Arial" w:cs="Arial" w:hint="eastAsia"/>
          <w:bCs/>
          <w:sz w:val="28"/>
          <w:szCs w:val="28"/>
        </w:rPr>
        <w:t>，两年平均增长</w:t>
      </w:r>
      <w:r w:rsidRPr="00A30AB7">
        <w:rPr>
          <w:rFonts w:ascii="Arial" w:eastAsia="仿宋_GB2312" w:hAnsi="Arial" w:cs="Arial" w:hint="eastAsia"/>
          <w:bCs/>
          <w:sz w:val="28"/>
          <w:szCs w:val="28"/>
        </w:rPr>
        <w:t>13.8%</w:t>
      </w:r>
      <w:r w:rsidRPr="00A30AB7">
        <w:rPr>
          <w:rFonts w:ascii="Arial" w:eastAsia="仿宋_GB2312" w:hAnsi="Arial" w:cs="Arial" w:hint="eastAsia"/>
          <w:bCs/>
          <w:sz w:val="28"/>
          <w:szCs w:val="28"/>
        </w:rPr>
        <w:t>；第三产业实现增加值</w:t>
      </w:r>
      <w:r w:rsidRPr="00A30AB7">
        <w:rPr>
          <w:rFonts w:ascii="Arial" w:eastAsia="仿宋_GB2312" w:hAnsi="Arial" w:cs="Arial" w:hint="eastAsia"/>
          <w:bCs/>
          <w:sz w:val="28"/>
          <w:szCs w:val="28"/>
        </w:rPr>
        <w:t>24475.1</w:t>
      </w:r>
      <w:r w:rsidRPr="00A30AB7">
        <w:rPr>
          <w:rFonts w:ascii="Arial" w:eastAsia="仿宋_GB2312" w:hAnsi="Arial" w:cs="Arial" w:hint="eastAsia"/>
          <w:bCs/>
          <w:sz w:val="28"/>
          <w:szCs w:val="28"/>
        </w:rPr>
        <w:t>亿元，同比增长</w:t>
      </w:r>
      <w:r w:rsidRPr="00A30AB7">
        <w:rPr>
          <w:rFonts w:ascii="Arial" w:eastAsia="仿宋_GB2312" w:hAnsi="Arial" w:cs="Arial" w:hint="eastAsia"/>
          <w:bCs/>
          <w:sz w:val="28"/>
          <w:szCs w:val="28"/>
        </w:rPr>
        <w:t>7.4%</w:t>
      </w:r>
      <w:r w:rsidRPr="00A30AB7">
        <w:rPr>
          <w:rFonts w:ascii="Arial" w:eastAsia="仿宋_GB2312" w:hAnsi="Arial" w:cs="Arial" w:hint="eastAsia"/>
          <w:bCs/>
          <w:sz w:val="28"/>
          <w:szCs w:val="28"/>
        </w:rPr>
        <w:t>，两年平均增长</w:t>
      </w:r>
      <w:r w:rsidRPr="00A30AB7">
        <w:rPr>
          <w:rFonts w:ascii="Arial" w:eastAsia="仿宋_GB2312" w:hAnsi="Arial" w:cs="Arial" w:hint="eastAsia"/>
          <w:bCs/>
          <w:sz w:val="28"/>
          <w:szCs w:val="28"/>
        </w:rPr>
        <w:t>3.7%</w:t>
      </w:r>
      <w:r w:rsidRPr="00A30AB7">
        <w:rPr>
          <w:rFonts w:ascii="Arial" w:eastAsia="仿宋_GB2312" w:hAnsi="Arial" w:cs="Arial" w:hint="eastAsia"/>
          <w:bCs/>
          <w:sz w:val="28"/>
          <w:szCs w:val="28"/>
        </w:rPr>
        <w:t>。</w:t>
      </w:r>
    </w:p>
    <w:p w14:paraId="0D3265DF"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0AB7">
        <w:rPr>
          <w:rFonts w:ascii="Arial" w:eastAsia="仿宋_GB2312" w:hAnsi="Arial" w:cs="Arial" w:hint="eastAsia"/>
          <w:bCs/>
          <w:sz w:val="28"/>
          <w:szCs w:val="28"/>
        </w:rPr>
        <w:t>农业生产稳步发展，休闲农业和乡村旅游持续向好</w:t>
      </w:r>
    </w:p>
    <w:p w14:paraId="617AD6C1"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市实现农林牧渔业总产值</w:t>
      </w:r>
      <w:r w:rsidRPr="00A30AB7">
        <w:rPr>
          <w:rFonts w:ascii="Arial" w:eastAsia="仿宋_GB2312" w:hAnsi="Arial" w:hint="eastAsia"/>
          <w:bCs/>
          <w:sz w:val="28"/>
          <w:szCs w:val="28"/>
        </w:rPr>
        <w:t>171.3</w:t>
      </w:r>
      <w:r w:rsidRPr="00A30AB7">
        <w:rPr>
          <w:rFonts w:ascii="Arial" w:eastAsia="仿宋_GB2312" w:hAnsi="Arial" w:hint="eastAsia"/>
          <w:bCs/>
          <w:sz w:val="28"/>
          <w:szCs w:val="28"/>
        </w:rPr>
        <w:t>亿元，按可比价格计算，同比下降</w:t>
      </w:r>
      <w:r w:rsidRPr="00A30AB7">
        <w:rPr>
          <w:rFonts w:ascii="Arial" w:eastAsia="仿宋_GB2312" w:hAnsi="Arial" w:hint="eastAsia"/>
          <w:bCs/>
          <w:sz w:val="28"/>
          <w:szCs w:val="28"/>
        </w:rPr>
        <w:t>0.6%</w:t>
      </w:r>
      <w:r w:rsidRPr="00A30AB7">
        <w:rPr>
          <w:rFonts w:ascii="Arial" w:eastAsia="仿宋_GB2312" w:hAnsi="Arial" w:hint="eastAsia"/>
          <w:bCs/>
          <w:sz w:val="28"/>
          <w:szCs w:val="28"/>
        </w:rPr>
        <w:t>；其中，农业和牧业产值较快增长。实现农业（种植业）产值</w:t>
      </w:r>
      <w:r w:rsidRPr="00A30AB7">
        <w:rPr>
          <w:rFonts w:ascii="Arial" w:eastAsia="仿宋_GB2312" w:hAnsi="Arial" w:hint="eastAsia"/>
          <w:bCs/>
          <w:sz w:val="28"/>
          <w:szCs w:val="28"/>
        </w:rPr>
        <w:t>82.0</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13.8%</w:t>
      </w:r>
      <w:r w:rsidRPr="00A30AB7">
        <w:rPr>
          <w:rFonts w:ascii="Arial" w:eastAsia="仿宋_GB2312" w:hAnsi="Arial" w:hint="eastAsia"/>
          <w:bCs/>
          <w:sz w:val="28"/>
          <w:szCs w:val="28"/>
        </w:rPr>
        <w:t>，蔬菜及食用菌产量</w:t>
      </w:r>
      <w:r w:rsidRPr="00A30AB7">
        <w:rPr>
          <w:rFonts w:ascii="Arial" w:eastAsia="仿宋_GB2312" w:hAnsi="Arial" w:hint="eastAsia"/>
          <w:bCs/>
          <w:sz w:val="28"/>
          <w:szCs w:val="28"/>
        </w:rPr>
        <w:t>104.2</w:t>
      </w:r>
      <w:r w:rsidRPr="00A30AB7">
        <w:rPr>
          <w:rFonts w:ascii="Arial" w:eastAsia="仿宋_GB2312" w:hAnsi="Arial" w:hint="eastAsia"/>
          <w:bCs/>
          <w:sz w:val="28"/>
          <w:szCs w:val="28"/>
        </w:rPr>
        <w:t>万吨，增长</w:t>
      </w:r>
      <w:r w:rsidRPr="00A30AB7">
        <w:rPr>
          <w:rFonts w:ascii="Arial" w:eastAsia="仿宋_GB2312" w:hAnsi="Arial" w:hint="eastAsia"/>
          <w:bCs/>
          <w:sz w:val="28"/>
          <w:szCs w:val="28"/>
        </w:rPr>
        <w:t>27.3%</w:t>
      </w:r>
      <w:r w:rsidRPr="00A30AB7">
        <w:rPr>
          <w:rFonts w:ascii="Arial" w:eastAsia="仿宋_GB2312" w:hAnsi="Arial" w:hint="eastAsia"/>
          <w:bCs/>
          <w:sz w:val="28"/>
          <w:szCs w:val="28"/>
        </w:rPr>
        <w:t>；实现牧业产值</w:t>
      </w:r>
      <w:r w:rsidRPr="00A30AB7">
        <w:rPr>
          <w:rFonts w:ascii="Arial" w:eastAsia="仿宋_GB2312" w:hAnsi="Arial" w:hint="eastAsia"/>
          <w:bCs/>
          <w:sz w:val="28"/>
          <w:szCs w:val="28"/>
        </w:rPr>
        <w:t>34.6</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13.4%</w:t>
      </w:r>
      <w:r w:rsidRPr="00A30AB7">
        <w:rPr>
          <w:rFonts w:ascii="Arial" w:eastAsia="仿宋_GB2312" w:hAnsi="Arial" w:hint="eastAsia"/>
          <w:bCs/>
          <w:sz w:val="28"/>
          <w:szCs w:val="28"/>
        </w:rPr>
        <w:t>，生猪出栏</w:t>
      </w:r>
      <w:r w:rsidRPr="00A30AB7">
        <w:rPr>
          <w:rFonts w:ascii="Arial" w:eastAsia="仿宋_GB2312" w:hAnsi="Arial" w:hint="eastAsia"/>
          <w:bCs/>
          <w:sz w:val="28"/>
          <w:szCs w:val="28"/>
        </w:rPr>
        <w:t>22.0</w:t>
      </w:r>
      <w:r w:rsidRPr="00A30AB7">
        <w:rPr>
          <w:rFonts w:ascii="Arial" w:eastAsia="仿宋_GB2312" w:hAnsi="Arial" w:hint="eastAsia"/>
          <w:bCs/>
          <w:sz w:val="28"/>
          <w:szCs w:val="28"/>
        </w:rPr>
        <w:t>万头、存栏</w:t>
      </w:r>
      <w:r w:rsidRPr="00A30AB7">
        <w:rPr>
          <w:rFonts w:ascii="Arial" w:eastAsia="仿宋_GB2312" w:hAnsi="Arial" w:hint="eastAsia"/>
          <w:bCs/>
          <w:sz w:val="28"/>
          <w:szCs w:val="28"/>
        </w:rPr>
        <w:t>34.2</w:t>
      </w:r>
      <w:r w:rsidRPr="00A30AB7">
        <w:rPr>
          <w:rFonts w:ascii="Arial" w:eastAsia="仿宋_GB2312" w:hAnsi="Arial" w:hint="eastAsia"/>
          <w:bCs/>
          <w:sz w:val="28"/>
          <w:szCs w:val="28"/>
        </w:rPr>
        <w:t>万头，分别增长</w:t>
      </w:r>
      <w:r w:rsidRPr="00A30AB7">
        <w:rPr>
          <w:rFonts w:ascii="Arial" w:eastAsia="仿宋_GB2312" w:hAnsi="Arial" w:hint="eastAsia"/>
          <w:bCs/>
          <w:sz w:val="28"/>
          <w:szCs w:val="28"/>
        </w:rPr>
        <w:t>87.3%</w:t>
      </w:r>
      <w:r w:rsidRPr="00A30AB7">
        <w:rPr>
          <w:rFonts w:ascii="Arial" w:eastAsia="仿宋_GB2312" w:hAnsi="Arial" w:hint="eastAsia"/>
          <w:bCs/>
          <w:sz w:val="28"/>
          <w:szCs w:val="28"/>
        </w:rPr>
        <w:t>和</w:t>
      </w:r>
      <w:r w:rsidRPr="00A30AB7">
        <w:rPr>
          <w:rFonts w:ascii="Arial" w:eastAsia="仿宋_GB2312" w:hAnsi="Arial" w:hint="eastAsia"/>
          <w:bCs/>
          <w:sz w:val="28"/>
          <w:szCs w:val="28"/>
        </w:rPr>
        <w:t>1.1</w:t>
      </w:r>
      <w:r w:rsidRPr="00A30AB7">
        <w:rPr>
          <w:rFonts w:ascii="Arial" w:eastAsia="仿宋_GB2312" w:hAnsi="Arial" w:hint="eastAsia"/>
          <w:bCs/>
          <w:sz w:val="28"/>
          <w:szCs w:val="28"/>
        </w:rPr>
        <w:t>倍。休闲农业和乡村旅游接待人次为</w:t>
      </w:r>
      <w:r w:rsidRPr="00A30AB7">
        <w:rPr>
          <w:rFonts w:ascii="Arial" w:eastAsia="仿宋_GB2312" w:hAnsi="Arial" w:hint="eastAsia"/>
          <w:bCs/>
          <w:sz w:val="28"/>
          <w:szCs w:val="28"/>
        </w:rPr>
        <w:t>1790.4</w:t>
      </w:r>
      <w:r w:rsidRPr="00A30AB7">
        <w:rPr>
          <w:rFonts w:ascii="Arial" w:eastAsia="仿宋_GB2312" w:hAnsi="Arial" w:hint="eastAsia"/>
          <w:bCs/>
          <w:sz w:val="28"/>
          <w:szCs w:val="28"/>
        </w:rPr>
        <w:t>万人次，恢复到</w:t>
      </w:r>
      <w:r w:rsidRPr="00A30AB7">
        <w:rPr>
          <w:rFonts w:ascii="Arial" w:eastAsia="仿宋_GB2312" w:hAnsi="Arial" w:hint="eastAsia"/>
          <w:bCs/>
          <w:sz w:val="28"/>
          <w:szCs w:val="28"/>
        </w:rPr>
        <w:t>2019</w:t>
      </w:r>
      <w:r w:rsidRPr="00A30AB7">
        <w:rPr>
          <w:rFonts w:ascii="Arial" w:eastAsia="仿宋_GB2312" w:hAnsi="Arial" w:hint="eastAsia"/>
          <w:bCs/>
          <w:sz w:val="28"/>
          <w:szCs w:val="28"/>
        </w:rPr>
        <w:t>年同期的</w:t>
      </w:r>
      <w:r w:rsidRPr="00A30AB7">
        <w:rPr>
          <w:rFonts w:ascii="Arial" w:eastAsia="仿宋_GB2312" w:hAnsi="Arial" w:hint="eastAsia"/>
          <w:bCs/>
          <w:sz w:val="28"/>
          <w:szCs w:val="28"/>
        </w:rPr>
        <w:t>68.8%</w:t>
      </w:r>
      <w:r w:rsidRPr="00A30AB7">
        <w:rPr>
          <w:rFonts w:ascii="Arial" w:eastAsia="仿宋_GB2312" w:hAnsi="Arial" w:hint="eastAsia"/>
          <w:bCs/>
          <w:sz w:val="28"/>
          <w:szCs w:val="28"/>
        </w:rPr>
        <w:t>，高于上半年</w:t>
      </w:r>
      <w:r w:rsidRPr="00A30AB7">
        <w:rPr>
          <w:rFonts w:ascii="Arial" w:eastAsia="仿宋_GB2312" w:hAnsi="Arial" w:hint="eastAsia"/>
          <w:bCs/>
          <w:sz w:val="28"/>
          <w:szCs w:val="28"/>
        </w:rPr>
        <w:t>2.7</w:t>
      </w:r>
      <w:r w:rsidRPr="00A30AB7">
        <w:rPr>
          <w:rFonts w:ascii="Arial" w:eastAsia="仿宋_GB2312" w:hAnsi="Arial" w:hint="eastAsia"/>
          <w:bCs/>
          <w:sz w:val="28"/>
          <w:szCs w:val="28"/>
        </w:rPr>
        <w:t>个百分点，实现收入</w:t>
      </w:r>
      <w:r w:rsidRPr="00A30AB7">
        <w:rPr>
          <w:rFonts w:ascii="Arial" w:eastAsia="仿宋_GB2312" w:hAnsi="Arial" w:hint="eastAsia"/>
          <w:bCs/>
          <w:sz w:val="28"/>
          <w:szCs w:val="28"/>
        </w:rPr>
        <w:t>24.0</w:t>
      </w:r>
      <w:r w:rsidRPr="00A30AB7">
        <w:rPr>
          <w:rFonts w:ascii="Arial" w:eastAsia="仿宋_GB2312" w:hAnsi="Arial" w:hint="eastAsia"/>
          <w:bCs/>
          <w:sz w:val="28"/>
          <w:szCs w:val="28"/>
        </w:rPr>
        <w:t>亿元，恢复到</w:t>
      </w:r>
      <w:r w:rsidRPr="00A30AB7">
        <w:rPr>
          <w:rFonts w:ascii="Arial" w:eastAsia="仿宋_GB2312" w:hAnsi="Arial" w:hint="eastAsia"/>
          <w:bCs/>
          <w:sz w:val="28"/>
          <w:szCs w:val="28"/>
        </w:rPr>
        <w:t>2019</w:t>
      </w:r>
      <w:r w:rsidRPr="00A30AB7">
        <w:rPr>
          <w:rFonts w:ascii="Arial" w:eastAsia="仿宋_GB2312" w:hAnsi="Arial" w:hint="eastAsia"/>
          <w:bCs/>
          <w:sz w:val="28"/>
          <w:szCs w:val="28"/>
        </w:rPr>
        <w:t>年同期的近</w:t>
      </w:r>
      <w:r w:rsidRPr="00A30AB7">
        <w:rPr>
          <w:rFonts w:ascii="Arial" w:eastAsia="仿宋_GB2312" w:hAnsi="Arial" w:hint="eastAsia"/>
          <w:bCs/>
          <w:sz w:val="28"/>
          <w:szCs w:val="28"/>
        </w:rPr>
        <w:t>9</w:t>
      </w:r>
      <w:r w:rsidRPr="00A30AB7">
        <w:rPr>
          <w:rFonts w:ascii="Arial" w:eastAsia="仿宋_GB2312" w:hAnsi="Arial" w:hint="eastAsia"/>
          <w:bCs/>
          <w:sz w:val="28"/>
          <w:szCs w:val="28"/>
        </w:rPr>
        <w:t>成。</w:t>
      </w:r>
    </w:p>
    <w:p w14:paraId="408D938A"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A30AB7">
        <w:rPr>
          <w:rFonts w:ascii="Arial" w:eastAsia="仿宋_GB2312" w:hAnsi="Arial" w:hint="eastAsia"/>
          <w:bCs/>
          <w:sz w:val="28"/>
          <w:szCs w:val="28"/>
        </w:rPr>
        <w:t>工业生产增势良好，高端产业发挥引领作用</w:t>
      </w:r>
    </w:p>
    <w:p w14:paraId="1261DE6A"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市规模以上工业增加值按可比价格计算，同比增长</w:t>
      </w:r>
      <w:r w:rsidRPr="00A30AB7">
        <w:rPr>
          <w:rFonts w:ascii="Arial" w:eastAsia="仿宋_GB2312" w:hAnsi="Arial" w:hint="eastAsia"/>
          <w:bCs/>
          <w:sz w:val="28"/>
          <w:szCs w:val="28"/>
        </w:rPr>
        <w:t>38.7%</w:t>
      </w:r>
      <w:r w:rsidRPr="00A30AB7">
        <w:rPr>
          <w:rFonts w:ascii="Arial" w:eastAsia="仿宋_GB2312" w:hAnsi="Arial" w:hint="eastAsia"/>
          <w:bCs/>
          <w:sz w:val="28"/>
          <w:szCs w:val="28"/>
        </w:rPr>
        <w:t>，</w:t>
      </w:r>
      <w:r w:rsidRPr="00A30AB7">
        <w:rPr>
          <w:rFonts w:ascii="Arial" w:eastAsia="仿宋_GB2312" w:hAnsi="Arial" w:hint="eastAsia"/>
          <w:bCs/>
          <w:sz w:val="28"/>
          <w:szCs w:val="28"/>
        </w:rPr>
        <w:lastRenderedPageBreak/>
        <w:t>两年平均增长</w:t>
      </w:r>
      <w:r w:rsidRPr="00A30AB7">
        <w:rPr>
          <w:rFonts w:ascii="Arial" w:eastAsia="仿宋_GB2312" w:hAnsi="Arial" w:hint="eastAsia"/>
          <w:bCs/>
          <w:sz w:val="28"/>
          <w:szCs w:val="28"/>
        </w:rPr>
        <w:t>17.7%</w:t>
      </w:r>
      <w:r w:rsidRPr="00A30AB7">
        <w:rPr>
          <w:rFonts w:ascii="Arial" w:eastAsia="仿宋_GB2312" w:hAnsi="Arial" w:hint="eastAsia"/>
          <w:bCs/>
          <w:sz w:val="28"/>
          <w:szCs w:val="28"/>
        </w:rPr>
        <w:t>。重点行业中，医药制造业同比增长</w:t>
      </w:r>
      <w:r w:rsidRPr="00A30AB7">
        <w:rPr>
          <w:rFonts w:ascii="Arial" w:eastAsia="仿宋_GB2312" w:hAnsi="Arial" w:hint="eastAsia"/>
          <w:bCs/>
          <w:sz w:val="28"/>
          <w:szCs w:val="28"/>
        </w:rPr>
        <w:t>3.3</w:t>
      </w:r>
      <w:r w:rsidRPr="00A30AB7">
        <w:rPr>
          <w:rFonts w:ascii="Arial" w:eastAsia="仿宋_GB2312" w:hAnsi="Arial" w:hint="eastAsia"/>
          <w:bCs/>
          <w:sz w:val="28"/>
          <w:szCs w:val="28"/>
        </w:rPr>
        <w:t>倍，两年平均增长</w:t>
      </w:r>
      <w:r w:rsidRPr="00A30AB7">
        <w:rPr>
          <w:rFonts w:ascii="Arial" w:eastAsia="仿宋_GB2312" w:hAnsi="Arial" w:hint="eastAsia"/>
          <w:bCs/>
          <w:sz w:val="28"/>
          <w:szCs w:val="28"/>
        </w:rPr>
        <w:t>1</w:t>
      </w:r>
      <w:r w:rsidRPr="00A30AB7">
        <w:rPr>
          <w:rFonts w:ascii="Arial" w:eastAsia="仿宋_GB2312" w:hAnsi="Arial" w:hint="eastAsia"/>
          <w:bCs/>
          <w:sz w:val="28"/>
          <w:szCs w:val="28"/>
        </w:rPr>
        <w:t>倍；计算机、通信和其他电子设备制造业同比增长</w:t>
      </w:r>
      <w:r w:rsidRPr="00A30AB7">
        <w:rPr>
          <w:rFonts w:ascii="Arial" w:eastAsia="仿宋_GB2312" w:hAnsi="Arial" w:hint="eastAsia"/>
          <w:bCs/>
          <w:sz w:val="28"/>
          <w:szCs w:val="28"/>
        </w:rPr>
        <w:t>21.1%</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18.9%</w:t>
      </w:r>
      <w:r w:rsidRPr="00A30AB7">
        <w:rPr>
          <w:rFonts w:ascii="Arial" w:eastAsia="仿宋_GB2312" w:hAnsi="Arial" w:hint="eastAsia"/>
          <w:bCs/>
          <w:sz w:val="28"/>
          <w:szCs w:val="28"/>
        </w:rPr>
        <w:t>；电力、热力生产和供应业同比增长</w:t>
      </w:r>
      <w:r w:rsidRPr="00A30AB7">
        <w:rPr>
          <w:rFonts w:ascii="Arial" w:eastAsia="仿宋_GB2312" w:hAnsi="Arial" w:hint="eastAsia"/>
          <w:bCs/>
          <w:sz w:val="28"/>
          <w:szCs w:val="28"/>
        </w:rPr>
        <w:t>5.6%</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5.5%</w:t>
      </w:r>
      <w:r w:rsidRPr="00A30AB7">
        <w:rPr>
          <w:rFonts w:ascii="Arial" w:eastAsia="仿宋_GB2312" w:hAnsi="Arial" w:hint="eastAsia"/>
          <w:bCs/>
          <w:sz w:val="28"/>
          <w:szCs w:val="28"/>
        </w:rPr>
        <w:t>；汽车制造业同比下降</w:t>
      </w:r>
      <w:r w:rsidRPr="00A30AB7">
        <w:rPr>
          <w:rFonts w:ascii="Arial" w:eastAsia="仿宋_GB2312" w:hAnsi="Arial" w:hint="eastAsia"/>
          <w:bCs/>
          <w:sz w:val="28"/>
          <w:szCs w:val="28"/>
        </w:rPr>
        <w:t>6.7%</w:t>
      </w:r>
      <w:r w:rsidRPr="00A30AB7">
        <w:rPr>
          <w:rFonts w:ascii="Arial" w:eastAsia="仿宋_GB2312" w:hAnsi="Arial" w:hint="eastAsia"/>
          <w:bCs/>
          <w:sz w:val="28"/>
          <w:szCs w:val="28"/>
        </w:rPr>
        <w:t>，两年平均下降</w:t>
      </w:r>
      <w:r w:rsidRPr="00A30AB7">
        <w:rPr>
          <w:rFonts w:ascii="Arial" w:eastAsia="仿宋_GB2312" w:hAnsi="Arial" w:hint="eastAsia"/>
          <w:bCs/>
          <w:sz w:val="28"/>
          <w:szCs w:val="28"/>
        </w:rPr>
        <w:t>2.2%</w:t>
      </w:r>
      <w:r w:rsidRPr="00A30AB7">
        <w:rPr>
          <w:rFonts w:ascii="Arial" w:eastAsia="仿宋_GB2312" w:hAnsi="Arial" w:hint="eastAsia"/>
          <w:bCs/>
          <w:sz w:val="28"/>
          <w:szCs w:val="28"/>
        </w:rPr>
        <w:t>。高端产业引领工业发展，高技术制造业、战略性新兴产业增加值同比分别增长</w:t>
      </w:r>
      <w:r w:rsidRPr="00A30AB7">
        <w:rPr>
          <w:rFonts w:ascii="Arial" w:eastAsia="仿宋_GB2312" w:hAnsi="Arial" w:hint="eastAsia"/>
          <w:bCs/>
          <w:sz w:val="28"/>
          <w:szCs w:val="28"/>
        </w:rPr>
        <w:t>1.4</w:t>
      </w:r>
      <w:r w:rsidRPr="00A30AB7">
        <w:rPr>
          <w:rFonts w:ascii="Arial" w:eastAsia="仿宋_GB2312" w:hAnsi="Arial" w:hint="eastAsia"/>
          <w:bCs/>
          <w:sz w:val="28"/>
          <w:szCs w:val="28"/>
        </w:rPr>
        <w:t>倍和</w:t>
      </w:r>
      <w:r w:rsidRPr="00A30AB7">
        <w:rPr>
          <w:rFonts w:ascii="Arial" w:eastAsia="仿宋_GB2312" w:hAnsi="Arial" w:hint="eastAsia"/>
          <w:bCs/>
          <w:sz w:val="28"/>
          <w:szCs w:val="28"/>
        </w:rPr>
        <w:t>1.1</w:t>
      </w:r>
      <w:r w:rsidRPr="00A30AB7">
        <w:rPr>
          <w:rFonts w:ascii="Arial" w:eastAsia="仿宋_GB2312" w:hAnsi="Arial" w:hint="eastAsia"/>
          <w:bCs/>
          <w:sz w:val="28"/>
          <w:szCs w:val="28"/>
        </w:rPr>
        <w:t>倍，两年平均增速达到</w:t>
      </w:r>
      <w:r w:rsidRPr="00A30AB7">
        <w:rPr>
          <w:rFonts w:ascii="Arial" w:eastAsia="仿宋_GB2312" w:hAnsi="Arial" w:hint="eastAsia"/>
          <w:bCs/>
          <w:sz w:val="28"/>
          <w:szCs w:val="28"/>
        </w:rPr>
        <w:t>59.1%</w:t>
      </w:r>
      <w:r w:rsidRPr="00A30AB7">
        <w:rPr>
          <w:rFonts w:ascii="Arial" w:eastAsia="仿宋_GB2312" w:hAnsi="Arial" w:hint="eastAsia"/>
          <w:bCs/>
          <w:sz w:val="28"/>
          <w:szCs w:val="28"/>
        </w:rPr>
        <w:t>和</w:t>
      </w:r>
      <w:r w:rsidRPr="00A30AB7">
        <w:rPr>
          <w:rFonts w:ascii="Arial" w:eastAsia="仿宋_GB2312" w:hAnsi="Arial" w:hint="eastAsia"/>
          <w:bCs/>
          <w:sz w:val="28"/>
          <w:szCs w:val="28"/>
        </w:rPr>
        <w:t>48.8%</w:t>
      </w:r>
      <w:r w:rsidRPr="00A30AB7">
        <w:rPr>
          <w:rFonts w:ascii="Arial" w:eastAsia="仿宋_GB2312" w:hAnsi="Arial" w:hint="eastAsia"/>
          <w:bCs/>
          <w:sz w:val="28"/>
          <w:szCs w:val="28"/>
        </w:rPr>
        <w:t>。</w:t>
      </w:r>
    </w:p>
    <w:p w14:paraId="4F9E54B6"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A30AB7">
        <w:rPr>
          <w:rFonts w:ascii="Arial" w:eastAsia="仿宋_GB2312" w:hAnsi="Arial" w:hint="eastAsia"/>
          <w:bCs/>
          <w:sz w:val="28"/>
          <w:szCs w:val="28"/>
        </w:rPr>
        <w:t>服务业总体稳定，生产性服务业贡献较大</w:t>
      </w:r>
    </w:p>
    <w:p w14:paraId="0824998B"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市第三产业增加值按可比价格计算，同比增长</w:t>
      </w:r>
      <w:r w:rsidRPr="00A30AB7">
        <w:rPr>
          <w:rFonts w:ascii="Arial" w:eastAsia="仿宋_GB2312" w:hAnsi="Arial" w:hint="eastAsia"/>
          <w:bCs/>
          <w:sz w:val="28"/>
          <w:szCs w:val="28"/>
        </w:rPr>
        <w:t>7.4%</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3.7%</w:t>
      </w:r>
      <w:r w:rsidRPr="00A30AB7">
        <w:rPr>
          <w:rFonts w:ascii="Arial" w:eastAsia="仿宋_GB2312" w:hAnsi="Arial" w:hint="eastAsia"/>
          <w:bCs/>
          <w:sz w:val="28"/>
          <w:szCs w:val="28"/>
        </w:rPr>
        <w:t>。其中，信息传输、软件和信息技术服务业实现增加值</w:t>
      </w:r>
      <w:r w:rsidRPr="00A30AB7">
        <w:rPr>
          <w:rFonts w:ascii="Arial" w:eastAsia="仿宋_GB2312" w:hAnsi="Arial" w:hint="eastAsia"/>
          <w:bCs/>
          <w:sz w:val="28"/>
          <w:szCs w:val="28"/>
        </w:rPr>
        <w:t>5090.9</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12.4%</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12.6%</w:t>
      </w:r>
      <w:r w:rsidRPr="00A30AB7">
        <w:rPr>
          <w:rFonts w:ascii="Arial" w:eastAsia="仿宋_GB2312" w:hAnsi="Arial" w:hint="eastAsia"/>
          <w:bCs/>
          <w:sz w:val="28"/>
          <w:szCs w:val="28"/>
        </w:rPr>
        <w:t>；金融业、科学研究和技术服务业、批发和零售业分别实现增加值</w:t>
      </w:r>
      <w:r w:rsidRPr="00A30AB7">
        <w:rPr>
          <w:rFonts w:ascii="Arial" w:eastAsia="仿宋_GB2312" w:hAnsi="Arial" w:hint="eastAsia"/>
          <w:bCs/>
          <w:sz w:val="28"/>
          <w:szCs w:val="28"/>
        </w:rPr>
        <w:t>5685.9</w:t>
      </w:r>
      <w:r w:rsidRPr="00A30AB7">
        <w:rPr>
          <w:rFonts w:ascii="Arial" w:eastAsia="仿宋_GB2312" w:hAnsi="Arial" w:hint="eastAsia"/>
          <w:bCs/>
          <w:sz w:val="28"/>
          <w:szCs w:val="28"/>
        </w:rPr>
        <w:t>亿元、</w:t>
      </w:r>
      <w:r w:rsidRPr="00A30AB7">
        <w:rPr>
          <w:rFonts w:ascii="Arial" w:eastAsia="仿宋_GB2312" w:hAnsi="Arial" w:hint="eastAsia"/>
          <w:bCs/>
          <w:sz w:val="28"/>
          <w:szCs w:val="28"/>
        </w:rPr>
        <w:t>2410.3</w:t>
      </w:r>
      <w:r w:rsidRPr="00A30AB7">
        <w:rPr>
          <w:rFonts w:ascii="Arial" w:eastAsia="仿宋_GB2312" w:hAnsi="Arial" w:hint="eastAsia"/>
          <w:bCs/>
          <w:sz w:val="28"/>
          <w:szCs w:val="28"/>
        </w:rPr>
        <w:t>亿元和</w:t>
      </w:r>
      <w:r w:rsidRPr="00A30AB7">
        <w:rPr>
          <w:rFonts w:ascii="Arial" w:eastAsia="仿宋_GB2312" w:hAnsi="Arial" w:hint="eastAsia"/>
          <w:bCs/>
          <w:sz w:val="28"/>
          <w:szCs w:val="28"/>
        </w:rPr>
        <w:t>2141.9</w:t>
      </w:r>
      <w:r w:rsidRPr="00A30AB7">
        <w:rPr>
          <w:rFonts w:ascii="Arial" w:eastAsia="仿宋_GB2312" w:hAnsi="Arial" w:hint="eastAsia"/>
          <w:bCs/>
          <w:sz w:val="28"/>
          <w:szCs w:val="28"/>
        </w:rPr>
        <w:t>亿元，同比分别增长</w:t>
      </w:r>
      <w:r w:rsidRPr="00A30AB7">
        <w:rPr>
          <w:rFonts w:ascii="Arial" w:eastAsia="仿宋_GB2312" w:hAnsi="Arial" w:hint="eastAsia"/>
          <w:bCs/>
          <w:sz w:val="28"/>
          <w:szCs w:val="28"/>
        </w:rPr>
        <w:t>5.0%</w:t>
      </w:r>
      <w:r w:rsidRPr="00A30AB7">
        <w:rPr>
          <w:rFonts w:ascii="Arial" w:eastAsia="仿宋_GB2312" w:hAnsi="Arial" w:hint="eastAsia"/>
          <w:bCs/>
          <w:sz w:val="28"/>
          <w:szCs w:val="28"/>
        </w:rPr>
        <w:t>、</w:t>
      </w:r>
      <w:r w:rsidRPr="00A30AB7">
        <w:rPr>
          <w:rFonts w:ascii="Arial" w:eastAsia="仿宋_GB2312" w:hAnsi="Arial" w:hint="eastAsia"/>
          <w:bCs/>
          <w:sz w:val="28"/>
          <w:szCs w:val="28"/>
        </w:rPr>
        <w:t>2.9%</w:t>
      </w:r>
      <w:r w:rsidRPr="00A30AB7">
        <w:rPr>
          <w:rFonts w:ascii="Arial" w:eastAsia="仿宋_GB2312" w:hAnsi="Arial" w:hint="eastAsia"/>
          <w:bCs/>
          <w:sz w:val="28"/>
          <w:szCs w:val="28"/>
        </w:rPr>
        <w:t>和</w:t>
      </w:r>
      <w:r w:rsidRPr="00A30AB7">
        <w:rPr>
          <w:rFonts w:ascii="Arial" w:eastAsia="仿宋_GB2312" w:hAnsi="Arial" w:hint="eastAsia"/>
          <w:bCs/>
          <w:sz w:val="28"/>
          <w:szCs w:val="28"/>
        </w:rPr>
        <w:t>11.4%</w:t>
      </w:r>
      <w:r w:rsidRPr="00A30AB7">
        <w:rPr>
          <w:rFonts w:ascii="Arial" w:eastAsia="仿宋_GB2312" w:hAnsi="Arial" w:hint="eastAsia"/>
          <w:bCs/>
          <w:sz w:val="28"/>
          <w:szCs w:val="28"/>
        </w:rPr>
        <w:t>，两年平均分别增长</w:t>
      </w:r>
      <w:r w:rsidRPr="00A30AB7">
        <w:rPr>
          <w:rFonts w:ascii="Arial" w:eastAsia="仿宋_GB2312" w:hAnsi="Arial" w:hint="eastAsia"/>
          <w:bCs/>
          <w:sz w:val="28"/>
          <w:szCs w:val="28"/>
        </w:rPr>
        <w:t>6.0%</w:t>
      </w:r>
      <w:r w:rsidRPr="00A30AB7">
        <w:rPr>
          <w:rFonts w:ascii="Arial" w:eastAsia="仿宋_GB2312" w:hAnsi="Arial" w:hint="eastAsia"/>
          <w:bCs/>
          <w:sz w:val="28"/>
          <w:szCs w:val="28"/>
        </w:rPr>
        <w:t>、</w:t>
      </w:r>
      <w:r w:rsidRPr="00A30AB7">
        <w:rPr>
          <w:rFonts w:ascii="Arial" w:eastAsia="仿宋_GB2312" w:hAnsi="Arial" w:hint="eastAsia"/>
          <w:bCs/>
          <w:sz w:val="28"/>
          <w:szCs w:val="28"/>
        </w:rPr>
        <w:t>1.5%</w:t>
      </w:r>
      <w:r w:rsidRPr="00A30AB7">
        <w:rPr>
          <w:rFonts w:ascii="Arial" w:eastAsia="仿宋_GB2312" w:hAnsi="Arial" w:hint="eastAsia"/>
          <w:bCs/>
          <w:sz w:val="28"/>
          <w:szCs w:val="28"/>
        </w:rPr>
        <w:t>和</w:t>
      </w:r>
      <w:r w:rsidRPr="00A30AB7">
        <w:rPr>
          <w:rFonts w:ascii="Arial" w:eastAsia="仿宋_GB2312" w:hAnsi="Arial" w:hint="eastAsia"/>
          <w:bCs/>
          <w:sz w:val="28"/>
          <w:szCs w:val="28"/>
        </w:rPr>
        <w:t>0.9%</w:t>
      </w:r>
      <w:r w:rsidRPr="00A30AB7">
        <w:rPr>
          <w:rFonts w:ascii="Arial" w:eastAsia="仿宋_GB2312" w:hAnsi="Arial" w:hint="eastAsia"/>
          <w:bCs/>
          <w:sz w:val="28"/>
          <w:szCs w:val="28"/>
        </w:rPr>
        <w:t>，两年平均增速比上半年分别提高</w:t>
      </w:r>
      <w:r w:rsidRPr="00A30AB7">
        <w:rPr>
          <w:rFonts w:ascii="Arial" w:eastAsia="仿宋_GB2312" w:hAnsi="Arial" w:hint="eastAsia"/>
          <w:bCs/>
          <w:sz w:val="28"/>
          <w:szCs w:val="28"/>
        </w:rPr>
        <w:t>0.7</w:t>
      </w:r>
      <w:r w:rsidRPr="00A30AB7">
        <w:rPr>
          <w:rFonts w:ascii="Arial" w:eastAsia="仿宋_GB2312" w:hAnsi="Arial" w:hint="eastAsia"/>
          <w:bCs/>
          <w:sz w:val="28"/>
          <w:szCs w:val="28"/>
        </w:rPr>
        <w:t>个、</w:t>
      </w:r>
      <w:r w:rsidRPr="00A30AB7">
        <w:rPr>
          <w:rFonts w:ascii="Arial" w:eastAsia="仿宋_GB2312" w:hAnsi="Arial" w:hint="eastAsia"/>
          <w:bCs/>
          <w:sz w:val="28"/>
          <w:szCs w:val="28"/>
        </w:rPr>
        <w:t>1.0</w:t>
      </w:r>
      <w:r w:rsidRPr="00A30AB7">
        <w:rPr>
          <w:rFonts w:ascii="Arial" w:eastAsia="仿宋_GB2312" w:hAnsi="Arial" w:hint="eastAsia"/>
          <w:bCs/>
          <w:sz w:val="28"/>
          <w:szCs w:val="28"/>
        </w:rPr>
        <w:t>个和</w:t>
      </w:r>
      <w:r w:rsidRPr="00A30AB7">
        <w:rPr>
          <w:rFonts w:ascii="Arial" w:eastAsia="仿宋_GB2312" w:hAnsi="Arial" w:hint="eastAsia"/>
          <w:bCs/>
          <w:sz w:val="28"/>
          <w:szCs w:val="28"/>
        </w:rPr>
        <w:t>0.6</w:t>
      </w:r>
      <w:r w:rsidRPr="00A30AB7">
        <w:rPr>
          <w:rFonts w:ascii="Arial" w:eastAsia="仿宋_GB2312" w:hAnsi="Arial" w:hint="eastAsia"/>
          <w:bCs/>
          <w:sz w:val="28"/>
          <w:szCs w:val="28"/>
        </w:rPr>
        <w:t>个百分点。四个行业对第三产业增长贡献率超过</w:t>
      </w:r>
      <w:r w:rsidRPr="00A30AB7">
        <w:rPr>
          <w:rFonts w:ascii="Arial" w:eastAsia="仿宋_GB2312" w:hAnsi="Arial" w:hint="eastAsia"/>
          <w:bCs/>
          <w:sz w:val="28"/>
          <w:szCs w:val="28"/>
        </w:rPr>
        <w:t>6</w:t>
      </w:r>
      <w:r w:rsidRPr="00A30AB7">
        <w:rPr>
          <w:rFonts w:ascii="Arial" w:eastAsia="仿宋_GB2312" w:hAnsi="Arial" w:hint="eastAsia"/>
          <w:bCs/>
          <w:sz w:val="28"/>
          <w:szCs w:val="28"/>
        </w:rPr>
        <w:t>成。</w:t>
      </w:r>
    </w:p>
    <w:p w14:paraId="7F2331A6"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A30AB7">
        <w:rPr>
          <w:rFonts w:ascii="Arial" w:eastAsia="仿宋_GB2312" w:hAnsi="Arial" w:hint="eastAsia"/>
          <w:bCs/>
          <w:sz w:val="28"/>
          <w:szCs w:val="28"/>
        </w:rPr>
        <w:t>固定资产投资规模继续扩大，制造业和社会领域投资快速增长</w:t>
      </w:r>
    </w:p>
    <w:p w14:paraId="0434AA70" w14:textId="77777777" w:rsidR="003F1721" w:rsidRPr="00A30AB7" w:rsidRDefault="003F1721" w:rsidP="003F1721">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市固定资产投资（不含农户）同比增长</w:t>
      </w:r>
      <w:r w:rsidRPr="00A30AB7">
        <w:rPr>
          <w:rFonts w:ascii="Arial" w:eastAsia="仿宋_GB2312" w:hAnsi="Arial" w:hint="eastAsia"/>
          <w:bCs/>
          <w:sz w:val="28"/>
          <w:szCs w:val="28"/>
        </w:rPr>
        <w:t>7.9%</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4.8%</w:t>
      </w:r>
      <w:r w:rsidRPr="00A30AB7">
        <w:rPr>
          <w:rFonts w:ascii="Arial" w:eastAsia="仿宋_GB2312" w:hAnsi="Arial" w:hint="eastAsia"/>
          <w:bCs/>
          <w:sz w:val="28"/>
          <w:szCs w:val="28"/>
        </w:rPr>
        <w:t>。分产业看，第一产业投资同比下降</w:t>
      </w:r>
      <w:r w:rsidRPr="00A30AB7">
        <w:rPr>
          <w:rFonts w:ascii="Arial" w:eastAsia="仿宋_GB2312" w:hAnsi="Arial" w:hint="eastAsia"/>
          <w:bCs/>
          <w:sz w:val="28"/>
          <w:szCs w:val="28"/>
        </w:rPr>
        <w:t>64.0%</w:t>
      </w:r>
      <w:r w:rsidRPr="00A30AB7">
        <w:rPr>
          <w:rFonts w:ascii="Arial" w:eastAsia="仿宋_GB2312" w:hAnsi="Arial" w:hint="eastAsia"/>
          <w:bCs/>
          <w:sz w:val="28"/>
          <w:szCs w:val="28"/>
        </w:rPr>
        <w:t>，两年平均下降</w:t>
      </w:r>
      <w:r w:rsidRPr="00A30AB7">
        <w:rPr>
          <w:rFonts w:ascii="Arial" w:eastAsia="仿宋_GB2312" w:hAnsi="Arial" w:hint="eastAsia"/>
          <w:bCs/>
          <w:sz w:val="28"/>
          <w:szCs w:val="28"/>
        </w:rPr>
        <w:t>45.4%</w:t>
      </w:r>
      <w:r w:rsidRPr="00A30AB7">
        <w:rPr>
          <w:rFonts w:ascii="Arial" w:eastAsia="仿宋_GB2312" w:hAnsi="Arial" w:hint="eastAsia"/>
          <w:bCs/>
          <w:sz w:val="28"/>
          <w:szCs w:val="28"/>
        </w:rPr>
        <w:t>；第二产业投资同比增长</w:t>
      </w:r>
      <w:r w:rsidRPr="00A30AB7">
        <w:rPr>
          <w:rFonts w:ascii="Arial" w:eastAsia="仿宋_GB2312" w:hAnsi="Arial" w:hint="eastAsia"/>
          <w:bCs/>
          <w:sz w:val="28"/>
          <w:szCs w:val="28"/>
        </w:rPr>
        <w:t>35.8%</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40.8%</w:t>
      </w:r>
      <w:r w:rsidRPr="00A30AB7">
        <w:rPr>
          <w:rFonts w:ascii="Arial" w:eastAsia="仿宋_GB2312" w:hAnsi="Arial" w:hint="eastAsia"/>
          <w:bCs/>
          <w:sz w:val="28"/>
          <w:szCs w:val="28"/>
        </w:rPr>
        <w:t>；第三产业投资同比增长</w:t>
      </w:r>
      <w:r w:rsidRPr="00A30AB7">
        <w:rPr>
          <w:rFonts w:ascii="Arial" w:eastAsia="仿宋_GB2312" w:hAnsi="Arial" w:hint="eastAsia"/>
          <w:bCs/>
          <w:sz w:val="28"/>
          <w:szCs w:val="28"/>
        </w:rPr>
        <w:t>6.8%</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3.3%</w:t>
      </w:r>
      <w:r w:rsidRPr="00A30AB7">
        <w:rPr>
          <w:rFonts w:ascii="Arial" w:eastAsia="仿宋_GB2312" w:hAnsi="Arial" w:hint="eastAsia"/>
          <w:bCs/>
          <w:sz w:val="28"/>
          <w:szCs w:val="28"/>
        </w:rPr>
        <w:t>。分行业看，制造业投资同比增长</w:t>
      </w:r>
      <w:r w:rsidRPr="00A30AB7">
        <w:rPr>
          <w:rFonts w:ascii="Arial" w:eastAsia="仿宋_GB2312" w:hAnsi="Arial" w:hint="eastAsia"/>
          <w:bCs/>
          <w:sz w:val="28"/>
          <w:szCs w:val="28"/>
        </w:rPr>
        <w:t>64.5%</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81.3%</w:t>
      </w:r>
      <w:r w:rsidRPr="00A30AB7">
        <w:rPr>
          <w:rFonts w:ascii="Arial" w:eastAsia="仿宋_GB2312" w:hAnsi="Arial" w:hint="eastAsia"/>
          <w:bCs/>
          <w:sz w:val="28"/>
          <w:szCs w:val="28"/>
        </w:rPr>
        <w:t>，其中高技术制造业投资同比增长</w:t>
      </w:r>
      <w:r w:rsidRPr="00A30AB7">
        <w:rPr>
          <w:rFonts w:ascii="Arial" w:eastAsia="仿宋_GB2312" w:hAnsi="Arial" w:hint="eastAsia"/>
          <w:bCs/>
          <w:sz w:val="28"/>
          <w:szCs w:val="28"/>
        </w:rPr>
        <w:t>85.7%</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1.1</w:t>
      </w:r>
      <w:r w:rsidRPr="00A30AB7">
        <w:rPr>
          <w:rFonts w:ascii="Arial" w:eastAsia="仿宋_GB2312" w:hAnsi="Arial" w:hint="eastAsia"/>
          <w:bCs/>
          <w:sz w:val="28"/>
          <w:szCs w:val="28"/>
        </w:rPr>
        <w:t>倍；金融业投资同比增长</w:t>
      </w:r>
      <w:r w:rsidRPr="00A30AB7">
        <w:rPr>
          <w:rFonts w:ascii="Arial" w:eastAsia="仿宋_GB2312" w:hAnsi="Arial" w:hint="eastAsia"/>
          <w:bCs/>
          <w:sz w:val="28"/>
          <w:szCs w:val="28"/>
        </w:rPr>
        <w:t>1.2</w:t>
      </w:r>
      <w:r w:rsidRPr="00A30AB7">
        <w:rPr>
          <w:rFonts w:ascii="Arial" w:eastAsia="仿宋_GB2312" w:hAnsi="Arial" w:hint="eastAsia"/>
          <w:bCs/>
          <w:sz w:val="28"/>
          <w:szCs w:val="28"/>
        </w:rPr>
        <w:t>倍，两年平均增长</w:t>
      </w:r>
      <w:r w:rsidRPr="00A30AB7">
        <w:rPr>
          <w:rFonts w:ascii="Arial" w:eastAsia="仿宋_GB2312" w:hAnsi="Arial" w:hint="eastAsia"/>
          <w:bCs/>
          <w:sz w:val="28"/>
          <w:szCs w:val="28"/>
        </w:rPr>
        <w:t>39.3%</w:t>
      </w:r>
      <w:r w:rsidRPr="00A30AB7">
        <w:rPr>
          <w:rFonts w:ascii="Arial" w:eastAsia="仿宋_GB2312" w:hAnsi="Arial" w:hint="eastAsia"/>
          <w:bCs/>
          <w:sz w:val="28"/>
          <w:szCs w:val="28"/>
        </w:rPr>
        <w:t>；社会领域中，卫生和社会工作投资同比增长</w:t>
      </w:r>
      <w:r w:rsidRPr="00A30AB7">
        <w:rPr>
          <w:rFonts w:ascii="Arial" w:eastAsia="仿宋_GB2312" w:hAnsi="Arial" w:hint="eastAsia"/>
          <w:bCs/>
          <w:sz w:val="28"/>
          <w:szCs w:val="28"/>
        </w:rPr>
        <w:t>11.5%</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19.6%</w:t>
      </w:r>
      <w:r w:rsidRPr="00A30AB7">
        <w:rPr>
          <w:rFonts w:ascii="Arial" w:eastAsia="仿宋_GB2312" w:hAnsi="Arial" w:hint="eastAsia"/>
          <w:bCs/>
          <w:sz w:val="28"/>
          <w:szCs w:val="28"/>
        </w:rPr>
        <w:t>。分领域看，基础设施投资同比下降</w:t>
      </w:r>
      <w:r w:rsidRPr="00A30AB7">
        <w:rPr>
          <w:rFonts w:ascii="Arial" w:eastAsia="仿宋_GB2312" w:hAnsi="Arial" w:hint="eastAsia"/>
          <w:bCs/>
          <w:sz w:val="28"/>
          <w:szCs w:val="28"/>
        </w:rPr>
        <w:t>6.2%</w:t>
      </w:r>
      <w:r w:rsidRPr="00A30AB7">
        <w:rPr>
          <w:rFonts w:ascii="Arial" w:eastAsia="仿宋_GB2312" w:hAnsi="Arial" w:hint="eastAsia"/>
          <w:bCs/>
          <w:sz w:val="28"/>
          <w:szCs w:val="28"/>
        </w:rPr>
        <w:t>，降幅连续</w:t>
      </w:r>
      <w:r w:rsidRPr="00A30AB7">
        <w:rPr>
          <w:rFonts w:ascii="Arial" w:eastAsia="仿宋_GB2312" w:hAnsi="Arial" w:hint="eastAsia"/>
          <w:bCs/>
          <w:sz w:val="28"/>
          <w:szCs w:val="28"/>
        </w:rPr>
        <w:t>3</w:t>
      </w:r>
      <w:r w:rsidRPr="00A30AB7">
        <w:rPr>
          <w:rFonts w:ascii="Arial" w:eastAsia="仿宋_GB2312" w:hAnsi="Arial" w:hint="eastAsia"/>
          <w:bCs/>
          <w:sz w:val="28"/>
          <w:szCs w:val="28"/>
        </w:rPr>
        <w:t>个月收窄，两年平均下降</w:t>
      </w:r>
      <w:r w:rsidRPr="00A30AB7">
        <w:rPr>
          <w:rFonts w:ascii="Arial" w:eastAsia="仿宋_GB2312" w:hAnsi="Arial" w:hint="eastAsia"/>
          <w:bCs/>
          <w:sz w:val="28"/>
          <w:szCs w:val="28"/>
        </w:rPr>
        <w:t>13.1%</w:t>
      </w:r>
      <w:r w:rsidRPr="00A30AB7">
        <w:rPr>
          <w:rFonts w:ascii="Arial" w:eastAsia="仿宋_GB2312" w:hAnsi="Arial" w:hint="eastAsia"/>
          <w:bCs/>
          <w:sz w:val="28"/>
          <w:szCs w:val="28"/>
        </w:rPr>
        <w:t>，比上半年收窄</w:t>
      </w:r>
      <w:r w:rsidRPr="00A30AB7">
        <w:rPr>
          <w:rFonts w:ascii="Arial" w:eastAsia="仿宋_GB2312" w:hAnsi="Arial" w:hint="eastAsia"/>
          <w:bCs/>
          <w:sz w:val="28"/>
          <w:szCs w:val="28"/>
        </w:rPr>
        <w:t>3.2</w:t>
      </w:r>
      <w:r w:rsidRPr="00A30AB7">
        <w:rPr>
          <w:rFonts w:ascii="Arial" w:eastAsia="仿宋_GB2312" w:hAnsi="Arial" w:hint="eastAsia"/>
          <w:bCs/>
          <w:sz w:val="28"/>
          <w:szCs w:val="28"/>
        </w:rPr>
        <w:t>个百分点；房地产开发投资同比增长</w:t>
      </w:r>
      <w:r w:rsidRPr="00A30AB7">
        <w:rPr>
          <w:rFonts w:ascii="Arial" w:eastAsia="仿宋_GB2312" w:hAnsi="Arial" w:hint="eastAsia"/>
          <w:bCs/>
          <w:sz w:val="28"/>
          <w:szCs w:val="28"/>
        </w:rPr>
        <w:t>10.8%</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lastRenderedPageBreak/>
        <w:t>8.6%</w:t>
      </w:r>
      <w:r w:rsidRPr="00A30AB7">
        <w:rPr>
          <w:rFonts w:ascii="Arial" w:eastAsia="仿宋_GB2312" w:hAnsi="Arial" w:hint="eastAsia"/>
          <w:bCs/>
          <w:sz w:val="28"/>
          <w:szCs w:val="28"/>
        </w:rPr>
        <w:t>。</w:t>
      </w:r>
    </w:p>
    <w:p w14:paraId="737B4B59"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截至</w:t>
      </w:r>
      <w:r w:rsidRPr="00A30AB7">
        <w:rPr>
          <w:rFonts w:ascii="Arial" w:eastAsia="仿宋_GB2312" w:hAnsi="Arial" w:hint="eastAsia"/>
          <w:bCs/>
          <w:sz w:val="28"/>
          <w:szCs w:val="28"/>
        </w:rPr>
        <w:t>9</w:t>
      </w:r>
      <w:r w:rsidRPr="00A30AB7">
        <w:rPr>
          <w:rFonts w:ascii="Arial" w:eastAsia="仿宋_GB2312" w:hAnsi="Arial" w:hint="eastAsia"/>
          <w:bCs/>
          <w:sz w:val="28"/>
          <w:szCs w:val="28"/>
        </w:rPr>
        <w:t>月末，</w:t>
      </w:r>
      <w:r>
        <w:rPr>
          <w:rFonts w:ascii="Arial" w:eastAsia="仿宋_GB2312" w:hAnsi="Arial" w:hint="eastAsia"/>
          <w:bCs/>
          <w:sz w:val="28"/>
          <w:szCs w:val="28"/>
        </w:rPr>
        <w:t>北京</w:t>
      </w:r>
      <w:r w:rsidRPr="00A30AB7">
        <w:rPr>
          <w:rFonts w:ascii="Arial" w:eastAsia="仿宋_GB2312" w:hAnsi="Arial" w:hint="eastAsia"/>
          <w:bCs/>
          <w:sz w:val="28"/>
          <w:szCs w:val="28"/>
        </w:rPr>
        <w:t>市商品房施工面积</w:t>
      </w:r>
      <w:r w:rsidRPr="00A30AB7">
        <w:rPr>
          <w:rFonts w:ascii="Arial" w:eastAsia="仿宋_GB2312" w:hAnsi="Arial" w:hint="eastAsia"/>
          <w:bCs/>
          <w:sz w:val="28"/>
          <w:szCs w:val="28"/>
        </w:rPr>
        <w:t>13509.5</w:t>
      </w:r>
      <w:r w:rsidRPr="00A30AB7">
        <w:rPr>
          <w:rFonts w:ascii="Arial" w:eastAsia="仿宋_GB2312" w:hAnsi="Arial" w:hint="eastAsia"/>
          <w:bCs/>
          <w:sz w:val="28"/>
          <w:szCs w:val="28"/>
        </w:rPr>
        <w:t>万平方米，同比增长</w:t>
      </w:r>
      <w:r w:rsidRPr="00A30AB7">
        <w:rPr>
          <w:rFonts w:ascii="Arial" w:eastAsia="仿宋_GB2312" w:hAnsi="Arial" w:hint="eastAsia"/>
          <w:bCs/>
          <w:sz w:val="28"/>
          <w:szCs w:val="28"/>
        </w:rPr>
        <w:t>3.4%</w:t>
      </w:r>
      <w:r w:rsidRPr="00A30AB7">
        <w:rPr>
          <w:rFonts w:ascii="Arial" w:eastAsia="仿宋_GB2312" w:hAnsi="Arial" w:hint="eastAsia"/>
          <w:bCs/>
          <w:sz w:val="28"/>
          <w:szCs w:val="28"/>
        </w:rPr>
        <w:t>，其中住宅施工面积</w:t>
      </w:r>
      <w:r w:rsidRPr="00A30AB7">
        <w:rPr>
          <w:rFonts w:ascii="Arial" w:eastAsia="仿宋_GB2312" w:hAnsi="Arial" w:hint="eastAsia"/>
          <w:bCs/>
          <w:sz w:val="28"/>
          <w:szCs w:val="28"/>
        </w:rPr>
        <w:t>6591.6</w:t>
      </w:r>
      <w:r w:rsidRPr="00A30AB7">
        <w:rPr>
          <w:rFonts w:ascii="Arial" w:eastAsia="仿宋_GB2312" w:hAnsi="Arial" w:hint="eastAsia"/>
          <w:bCs/>
          <w:sz w:val="28"/>
          <w:szCs w:val="28"/>
        </w:rPr>
        <w:t>万平方米，增长</w:t>
      </w:r>
      <w:r w:rsidRPr="00A30AB7">
        <w:rPr>
          <w:rFonts w:ascii="Arial" w:eastAsia="仿宋_GB2312" w:hAnsi="Arial" w:hint="eastAsia"/>
          <w:bCs/>
          <w:sz w:val="28"/>
          <w:szCs w:val="28"/>
        </w:rPr>
        <w:t>6.0%</w:t>
      </w:r>
      <w:r w:rsidRPr="00A30AB7">
        <w:rPr>
          <w:rFonts w:ascii="Arial" w:eastAsia="仿宋_GB2312" w:hAnsi="Arial" w:hint="eastAsia"/>
          <w:bCs/>
          <w:sz w:val="28"/>
          <w:szCs w:val="28"/>
        </w:rPr>
        <w:t>。</w:t>
      </w:r>
      <w:r w:rsidRPr="00A30AB7">
        <w:rPr>
          <w:rFonts w:ascii="Arial" w:eastAsia="仿宋_GB2312" w:hAnsi="Arial" w:hint="eastAsia"/>
          <w:bCs/>
          <w:sz w:val="28"/>
          <w:szCs w:val="28"/>
        </w:rPr>
        <w:t>1-3</w:t>
      </w:r>
      <w:r w:rsidRPr="00A30AB7">
        <w:rPr>
          <w:rFonts w:ascii="Arial" w:eastAsia="仿宋_GB2312" w:hAnsi="Arial" w:hint="eastAsia"/>
          <w:bCs/>
          <w:sz w:val="28"/>
          <w:szCs w:val="28"/>
        </w:rPr>
        <w:t>季度，全市商品房销售面积</w:t>
      </w:r>
      <w:r w:rsidRPr="00A30AB7">
        <w:rPr>
          <w:rFonts w:ascii="Arial" w:eastAsia="仿宋_GB2312" w:hAnsi="Arial" w:hint="eastAsia"/>
          <w:bCs/>
          <w:sz w:val="28"/>
          <w:szCs w:val="28"/>
        </w:rPr>
        <w:t>777.4</w:t>
      </w:r>
      <w:r w:rsidRPr="00A30AB7">
        <w:rPr>
          <w:rFonts w:ascii="Arial" w:eastAsia="仿宋_GB2312" w:hAnsi="Arial" w:hint="eastAsia"/>
          <w:bCs/>
          <w:sz w:val="28"/>
          <w:szCs w:val="28"/>
        </w:rPr>
        <w:t>万平方米，同比增长</w:t>
      </w:r>
      <w:r w:rsidRPr="00A30AB7">
        <w:rPr>
          <w:rFonts w:ascii="Arial" w:eastAsia="仿宋_GB2312" w:hAnsi="Arial" w:hint="eastAsia"/>
          <w:bCs/>
          <w:sz w:val="28"/>
          <w:szCs w:val="28"/>
        </w:rPr>
        <w:t>28.2%</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15.3%</w:t>
      </w:r>
      <w:r w:rsidRPr="00A30AB7">
        <w:rPr>
          <w:rFonts w:ascii="Arial" w:eastAsia="仿宋_GB2312" w:hAnsi="Arial" w:hint="eastAsia"/>
          <w:bCs/>
          <w:sz w:val="28"/>
          <w:szCs w:val="28"/>
        </w:rPr>
        <w:t>，其中住宅销售面积</w:t>
      </w:r>
      <w:r w:rsidRPr="00A30AB7">
        <w:rPr>
          <w:rFonts w:ascii="Arial" w:eastAsia="仿宋_GB2312" w:hAnsi="Arial" w:hint="eastAsia"/>
          <w:bCs/>
          <w:sz w:val="28"/>
          <w:szCs w:val="28"/>
        </w:rPr>
        <w:t>638.9</w:t>
      </w:r>
      <w:r w:rsidRPr="00A30AB7">
        <w:rPr>
          <w:rFonts w:ascii="Arial" w:eastAsia="仿宋_GB2312" w:hAnsi="Arial" w:hint="eastAsia"/>
          <w:bCs/>
          <w:sz w:val="28"/>
          <w:szCs w:val="28"/>
        </w:rPr>
        <w:t>万平方米，同比增长</w:t>
      </w:r>
      <w:r w:rsidRPr="00A30AB7">
        <w:rPr>
          <w:rFonts w:ascii="Arial" w:eastAsia="仿宋_GB2312" w:hAnsi="Arial" w:hint="eastAsia"/>
          <w:bCs/>
          <w:sz w:val="28"/>
          <w:szCs w:val="28"/>
        </w:rPr>
        <w:t>34.7%</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13.6%</w:t>
      </w:r>
      <w:r w:rsidRPr="00A30AB7">
        <w:rPr>
          <w:rFonts w:ascii="Arial" w:eastAsia="仿宋_GB2312" w:hAnsi="Arial" w:hint="eastAsia"/>
          <w:bCs/>
          <w:sz w:val="28"/>
          <w:szCs w:val="28"/>
        </w:rPr>
        <w:t>。</w:t>
      </w:r>
    </w:p>
    <w:p w14:paraId="5C068C2B"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A30AB7">
        <w:rPr>
          <w:rFonts w:ascii="Arial" w:eastAsia="仿宋_GB2312" w:hAnsi="Arial" w:hint="eastAsia"/>
          <w:bCs/>
          <w:sz w:val="28"/>
          <w:szCs w:val="28"/>
        </w:rPr>
        <w:t>市场消费逐步恢复，网上消费保持活跃</w:t>
      </w:r>
    </w:p>
    <w:p w14:paraId="023C2AC3"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市市场总消费额同比增长</w:t>
      </w:r>
      <w:r w:rsidRPr="00A30AB7">
        <w:rPr>
          <w:rFonts w:ascii="Arial" w:eastAsia="仿宋_GB2312" w:hAnsi="Arial" w:hint="eastAsia"/>
          <w:bCs/>
          <w:sz w:val="28"/>
          <w:szCs w:val="28"/>
        </w:rPr>
        <w:t>16.8%</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2.4%</w:t>
      </w:r>
      <w:r w:rsidRPr="00A30AB7">
        <w:rPr>
          <w:rFonts w:ascii="Arial" w:eastAsia="仿宋_GB2312" w:hAnsi="Arial" w:hint="eastAsia"/>
          <w:bCs/>
          <w:sz w:val="28"/>
          <w:szCs w:val="28"/>
        </w:rPr>
        <w:t>。其中，服务性消费额同比增长</w:t>
      </w:r>
      <w:r w:rsidRPr="00A30AB7">
        <w:rPr>
          <w:rFonts w:ascii="Arial" w:eastAsia="仿宋_GB2312" w:hAnsi="Arial" w:hint="eastAsia"/>
          <w:bCs/>
          <w:sz w:val="28"/>
          <w:szCs w:val="28"/>
        </w:rPr>
        <w:t>19.2%</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4.9%</w:t>
      </w:r>
      <w:r w:rsidRPr="00A30AB7">
        <w:rPr>
          <w:rFonts w:ascii="Arial" w:eastAsia="仿宋_GB2312" w:hAnsi="Arial" w:hint="eastAsia"/>
          <w:bCs/>
          <w:sz w:val="28"/>
          <w:szCs w:val="28"/>
        </w:rPr>
        <w:t>；实现社会消费品零售总额</w:t>
      </w:r>
      <w:r w:rsidRPr="00A30AB7">
        <w:rPr>
          <w:rFonts w:ascii="Arial" w:eastAsia="仿宋_GB2312" w:hAnsi="Arial" w:hint="eastAsia"/>
          <w:bCs/>
          <w:sz w:val="28"/>
          <w:szCs w:val="28"/>
        </w:rPr>
        <w:t>10701.6</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14.0%</w:t>
      </w:r>
      <w:r w:rsidRPr="00A30AB7">
        <w:rPr>
          <w:rFonts w:ascii="Arial" w:eastAsia="仿宋_GB2312" w:hAnsi="Arial" w:hint="eastAsia"/>
          <w:bCs/>
          <w:sz w:val="28"/>
          <w:szCs w:val="28"/>
        </w:rPr>
        <w:t>，两年平均下降</w:t>
      </w:r>
      <w:r w:rsidRPr="00A30AB7">
        <w:rPr>
          <w:rFonts w:ascii="Arial" w:eastAsia="仿宋_GB2312" w:hAnsi="Arial" w:hint="eastAsia"/>
          <w:bCs/>
          <w:sz w:val="28"/>
          <w:szCs w:val="28"/>
        </w:rPr>
        <w:t>0.5%</w:t>
      </w:r>
      <w:r w:rsidRPr="00A30AB7">
        <w:rPr>
          <w:rFonts w:ascii="Arial" w:eastAsia="仿宋_GB2312" w:hAnsi="Arial" w:hint="eastAsia"/>
          <w:bCs/>
          <w:sz w:val="28"/>
          <w:szCs w:val="28"/>
        </w:rPr>
        <w:t>。分商品类别看，限额以上批发和零售业中，与基本生活消费相关的饮料类、服装鞋帽针纺织类商品零售额同比分别增长</w:t>
      </w:r>
      <w:r w:rsidRPr="00A30AB7">
        <w:rPr>
          <w:rFonts w:ascii="Arial" w:eastAsia="仿宋_GB2312" w:hAnsi="Arial" w:hint="eastAsia"/>
          <w:bCs/>
          <w:sz w:val="28"/>
          <w:szCs w:val="28"/>
        </w:rPr>
        <w:t>43.9%</w:t>
      </w:r>
      <w:r w:rsidRPr="00A30AB7">
        <w:rPr>
          <w:rFonts w:ascii="Arial" w:eastAsia="仿宋_GB2312" w:hAnsi="Arial" w:hint="eastAsia"/>
          <w:bCs/>
          <w:sz w:val="28"/>
          <w:szCs w:val="28"/>
        </w:rPr>
        <w:t>和</w:t>
      </w:r>
      <w:r w:rsidRPr="00A30AB7">
        <w:rPr>
          <w:rFonts w:ascii="Arial" w:eastAsia="仿宋_GB2312" w:hAnsi="Arial" w:hint="eastAsia"/>
          <w:bCs/>
          <w:sz w:val="28"/>
          <w:szCs w:val="28"/>
        </w:rPr>
        <w:t>32.3%</w:t>
      </w:r>
      <w:r w:rsidRPr="00A30AB7">
        <w:rPr>
          <w:rFonts w:ascii="Arial" w:eastAsia="仿宋_GB2312" w:hAnsi="Arial" w:hint="eastAsia"/>
          <w:bCs/>
          <w:sz w:val="28"/>
          <w:szCs w:val="28"/>
        </w:rPr>
        <w:t>；与升级类消费相关的文化办公用品类、通讯器材类商品零售额同比分别增长</w:t>
      </w:r>
      <w:r w:rsidRPr="00A30AB7">
        <w:rPr>
          <w:rFonts w:ascii="Arial" w:eastAsia="仿宋_GB2312" w:hAnsi="Arial" w:hint="eastAsia"/>
          <w:bCs/>
          <w:sz w:val="28"/>
          <w:szCs w:val="28"/>
        </w:rPr>
        <w:t>27.9%</w:t>
      </w:r>
      <w:r w:rsidRPr="00A30AB7">
        <w:rPr>
          <w:rFonts w:ascii="Arial" w:eastAsia="仿宋_GB2312" w:hAnsi="Arial" w:hint="eastAsia"/>
          <w:bCs/>
          <w:sz w:val="28"/>
          <w:szCs w:val="28"/>
        </w:rPr>
        <w:t>和</w:t>
      </w:r>
      <w:r w:rsidRPr="00A30AB7">
        <w:rPr>
          <w:rFonts w:ascii="Arial" w:eastAsia="仿宋_GB2312" w:hAnsi="Arial" w:hint="eastAsia"/>
          <w:bCs/>
          <w:sz w:val="28"/>
          <w:szCs w:val="28"/>
        </w:rPr>
        <w:t>21.3%</w:t>
      </w:r>
      <w:r w:rsidRPr="00A30AB7">
        <w:rPr>
          <w:rFonts w:ascii="Arial" w:eastAsia="仿宋_GB2312" w:hAnsi="Arial" w:hint="eastAsia"/>
          <w:bCs/>
          <w:sz w:val="28"/>
          <w:szCs w:val="28"/>
        </w:rPr>
        <w:t>。</w:t>
      </w:r>
      <w:r w:rsidRPr="00A30AB7">
        <w:rPr>
          <w:rFonts w:ascii="Arial" w:eastAsia="仿宋_GB2312" w:hAnsi="Arial" w:hint="eastAsia"/>
          <w:bCs/>
          <w:sz w:val="28"/>
          <w:szCs w:val="28"/>
        </w:rPr>
        <w:t>1-3</w:t>
      </w:r>
      <w:r w:rsidRPr="00A30AB7">
        <w:rPr>
          <w:rFonts w:ascii="Arial" w:eastAsia="仿宋_GB2312" w:hAnsi="Arial" w:hint="eastAsia"/>
          <w:bCs/>
          <w:sz w:val="28"/>
          <w:szCs w:val="28"/>
        </w:rPr>
        <w:t>季度，限额以上批发和零售业、住宿和餐饮业实现网上零售额</w:t>
      </w:r>
      <w:r w:rsidRPr="00A30AB7">
        <w:rPr>
          <w:rFonts w:ascii="Arial" w:eastAsia="仿宋_GB2312" w:hAnsi="Arial" w:hint="eastAsia"/>
          <w:bCs/>
          <w:sz w:val="28"/>
          <w:szCs w:val="28"/>
        </w:rPr>
        <w:t>3614.2</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20.7%</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23.0%</w:t>
      </w:r>
      <w:r w:rsidRPr="00A30AB7">
        <w:rPr>
          <w:rFonts w:ascii="Arial" w:eastAsia="仿宋_GB2312" w:hAnsi="Arial" w:hint="eastAsia"/>
          <w:bCs/>
          <w:sz w:val="28"/>
          <w:szCs w:val="28"/>
        </w:rPr>
        <w:t>。</w:t>
      </w:r>
    </w:p>
    <w:p w14:paraId="594125D9"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A30AB7">
        <w:rPr>
          <w:rFonts w:ascii="Arial" w:eastAsia="仿宋_GB2312" w:hAnsi="Arial" w:hint="eastAsia"/>
          <w:bCs/>
          <w:sz w:val="28"/>
          <w:szCs w:val="28"/>
        </w:rPr>
        <w:t>消费价格涨势温和，生产价格保持上涨</w:t>
      </w:r>
    </w:p>
    <w:p w14:paraId="3355D9B7" w14:textId="77777777" w:rsidR="003F1721" w:rsidRPr="00A30AB7" w:rsidRDefault="003F1721" w:rsidP="003F1721">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市居民消费价格同比上涨</w:t>
      </w:r>
      <w:r w:rsidRPr="00A30AB7">
        <w:rPr>
          <w:rFonts w:ascii="Arial" w:eastAsia="仿宋_GB2312" w:hAnsi="Arial" w:hint="eastAsia"/>
          <w:bCs/>
          <w:sz w:val="28"/>
          <w:szCs w:val="28"/>
        </w:rPr>
        <w:t>0.8%</w:t>
      </w:r>
      <w:r w:rsidRPr="00A30AB7">
        <w:rPr>
          <w:rFonts w:ascii="Arial" w:eastAsia="仿宋_GB2312" w:hAnsi="Arial" w:hint="eastAsia"/>
          <w:bCs/>
          <w:sz w:val="28"/>
          <w:szCs w:val="28"/>
        </w:rPr>
        <w:t>。其中，消费品价格上涨</w:t>
      </w:r>
      <w:r w:rsidRPr="00A30AB7">
        <w:rPr>
          <w:rFonts w:ascii="Arial" w:eastAsia="仿宋_GB2312" w:hAnsi="Arial" w:hint="eastAsia"/>
          <w:bCs/>
          <w:sz w:val="28"/>
          <w:szCs w:val="28"/>
        </w:rPr>
        <w:t>0.5%</w:t>
      </w:r>
      <w:r w:rsidRPr="00A30AB7">
        <w:rPr>
          <w:rFonts w:ascii="Arial" w:eastAsia="仿宋_GB2312" w:hAnsi="Arial" w:hint="eastAsia"/>
          <w:bCs/>
          <w:sz w:val="28"/>
          <w:szCs w:val="28"/>
        </w:rPr>
        <w:t>，服务价格上涨</w:t>
      </w:r>
      <w:r w:rsidRPr="00A30AB7">
        <w:rPr>
          <w:rFonts w:ascii="Arial" w:eastAsia="仿宋_GB2312" w:hAnsi="Arial" w:hint="eastAsia"/>
          <w:bCs/>
          <w:sz w:val="28"/>
          <w:szCs w:val="28"/>
        </w:rPr>
        <w:t>1.1%</w:t>
      </w:r>
      <w:r w:rsidRPr="00A30AB7">
        <w:rPr>
          <w:rFonts w:ascii="Arial" w:eastAsia="仿宋_GB2312" w:hAnsi="Arial" w:hint="eastAsia"/>
          <w:bCs/>
          <w:sz w:val="28"/>
          <w:szCs w:val="28"/>
        </w:rPr>
        <w:t>。八大类商品和服务项目价格“四升四降”：交通通信类价格上涨</w:t>
      </w:r>
      <w:r w:rsidRPr="00A30AB7">
        <w:rPr>
          <w:rFonts w:ascii="Arial" w:eastAsia="仿宋_GB2312" w:hAnsi="Arial" w:hint="eastAsia"/>
          <w:bCs/>
          <w:sz w:val="28"/>
          <w:szCs w:val="28"/>
        </w:rPr>
        <w:t>4.4%</w:t>
      </w:r>
      <w:r w:rsidRPr="00A30AB7">
        <w:rPr>
          <w:rFonts w:ascii="Arial" w:eastAsia="仿宋_GB2312" w:hAnsi="Arial" w:hint="eastAsia"/>
          <w:bCs/>
          <w:sz w:val="28"/>
          <w:szCs w:val="28"/>
        </w:rPr>
        <w:t>，居住类价格上涨</w:t>
      </w:r>
      <w:r w:rsidRPr="00A30AB7">
        <w:rPr>
          <w:rFonts w:ascii="Arial" w:eastAsia="仿宋_GB2312" w:hAnsi="Arial" w:hint="eastAsia"/>
          <w:bCs/>
          <w:sz w:val="28"/>
          <w:szCs w:val="28"/>
        </w:rPr>
        <w:t>1.0%</w:t>
      </w:r>
      <w:r w:rsidRPr="00A30AB7">
        <w:rPr>
          <w:rFonts w:ascii="Arial" w:eastAsia="仿宋_GB2312" w:hAnsi="Arial" w:hint="eastAsia"/>
          <w:bCs/>
          <w:sz w:val="28"/>
          <w:szCs w:val="28"/>
        </w:rPr>
        <w:t>，教育文化娱乐类价格上涨</w:t>
      </w:r>
      <w:r w:rsidRPr="00A30AB7">
        <w:rPr>
          <w:rFonts w:ascii="Arial" w:eastAsia="仿宋_GB2312" w:hAnsi="Arial" w:hint="eastAsia"/>
          <w:bCs/>
          <w:sz w:val="28"/>
          <w:szCs w:val="28"/>
        </w:rPr>
        <w:t>0.5%</w:t>
      </w:r>
      <w:r w:rsidRPr="00A30AB7">
        <w:rPr>
          <w:rFonts w:ascii="Arial" w:eastAsia="仿宋_GB2312" w:hAnsi="Arial" w:hint="eastAsia"/>
          <w:bCs/>
          <w:sz w:val="28"/>
          <w:szCs w:val="28"/>
        </w:rPr>
        <w:t>，其他用品和服务类价格上涨</w:t>
      </w:r>
      <w:r w:rsidRPr="00A30AB7">
        <w:rPr>
          <w:rFonts w:ascii="Arial" w:eastAsia="仿宋_GB2312" w:hAnsi="Arial" w:hint="eastAsia"/>
          <w:bCs/>
          <w:sz w:val="28"/>
          <w:szCs w:val="28"/>
        </w:rPr>
        <w:t>0.1%</w:t>
      </w:r>
      <w:r w:rsidRPr="00A30AB7">
        <w:rPr>
          <w:rFonts w:ascii="Arial" w:eastAsia="仿宋_GB2312" w:hAnsi="Arial" w:hint="eastAsia"/>
          <w:bCs/>
          <w:sz w:val="28"/>
          <w:szCs w:val="28"/>
        </w:rPr>
        <w:t>；医疗保健类价格下降</w:t>
      </w:r>
      <w:r w:rsidRPr="00A30AB7">
        <w:rPr>
          <w:rFonts w:ascii="Arial" w:eastAsia="仿宋_GB2312" w:hAnsi="Arial" w:hint="eastAsia"/>
          <w:bCs/>
          <w:sz w:val="28"/>
          <w:szCs w:val="28"/>
        </w:rPr>
        <w:t>0.5%,</w:t>
      </w:r>
      <w:r w:rsidRPr="00A30AB7">
        <w:rPr>
          <w:rFonts w:ascii="Arial" w:eastAsia="仿宋_GB2312" w:hAnsi="Arial" w:hint="eastAsia"/>
          <w:bCs/>
          <w:sz w:val="28"/>
          <w:szCs w:val="28"/>
        </w:rPr>
        <w:t>衣着类价格下降</w:t>
      </w:r>
      <w:r w:rsidRPr="00A30AB7">
        <w:rPr>
          <w:rFonts w:ascii="Arial" w:eastAsia="仿宋_GB2312" w:hAnsi="Arial" w:hint="eastAsia"/>
          <w:bCs/>
          <w:sz w:val="28"/>
          <w:szCs w:val="28"/>
        </w:rPr>
        <w:t>0.3%</w:t>
      </w:r>
      <w:r w:rsidRPr="00A30AB7">
        <w:rPr>
          <w:rFonts w:ascii="Arial" w:eastAsia="仿宋_GB2312" w:hAnsi="Arial" w:hint="eastAsia"/>
          <w:bCs/>
          <w:sz w:val="28"/>
          <w:szCs w:val="28"/>
        </w:rPr>
        <w:t>，生活用品及服务类价格下降</w:t>
      </w:r>
      <w:r w:rsidRPr="00A30AB7">
        <w:rPr>
          <w:rFonts w:ascii="Arial" w:eastAsia="仿宋_GB2312" w:hAnsi="Arial" w:hint="eastAsia"/>
          <w:bCs/>
          <w:sz w:val="28"/>
          <w:szCs w:val="28"/>
        </w:rPr>
        <w:t>0.3%</w:t>
      </w:r>
      <w:r w:rsidRPr="00A30AB7">
        <w:rPr>
          <w:rFonts w:ascii="Arial" w:eastAsia="仿宋_GB2312" w:hAnsi="Arial" w:hint="eastAsia"/>
          <w:bCs/>
          <w:sz w:val="28"/>
          <w:szCs w:val="28"/>
        </w:rPr>
        <w:t>，食品烟酒类价格下降</w:t>
      </w:r>
      <w:r w:rsidRPr="00A30AB7">
        <w:rPr>
          <w:rFonts w:ascii="Arial" w:eastAsia="仿宋_GB2312" w:hAnsi="Arial" w:hint="eastAsia"/>
          <w:bCs/>
          <w:sz w:val="28"/>
          <w:szCs w:val="28"/>
        </w:rPr>
        <w:t>0.2%</w:t>
      </w:r>
      <w:r w:rsidRPr="00A30AB7">
        <w:rPr>
          <w:rFonts w:ascii="Arial" w:eastAsia="仿宋_GB2312" w:hAnsi="Arial" w:hint="eastAsia"/>
          <w:bCs/>
          <w:sz w:val="28"/>
          <w:szCs w:val="28"/>
        </w:rPr>
        <w:t>。</w:t>
      </w:r>
      <w:r w:rsidRPr="00A30AB7">
        <w:rPr>
          <w:rFonts w:ascii="Arial" w:eastAsia="仿宋_GB2312" w:hAnsi="Arial" w:hint="eastAsia"/>
          <w:bCs/>
          <w:sz w:val="28"/>
          <w:szCs w:val="28"/>
        </w:rPr>
        <w:t>9</w:t>
      </w:r>
      <w:r w:rsidRPr="00A30AB7">
        <w:rPr>
          <w:rFonts w:ascii="Arial" w:eastAsia="仿宋_GB2312" w:hAnsi="Arial" w:hint="eastAsia"/>
          <w:bCs/>
          <w:sz w:val="28"/>
          <w:szCs w:val="28"/>
        </w:rPr>
        <w:t>月份，居民消费价格同比上涨</w:t>
      </w:r>
      <w:r w:rsidRPr="00A30AB7">
        <w:rPr>
          <w:rFonts w:ascii="Arial" w:eastAsia="仿宋_GB2312" w:hAnsi="Arial" w:hint="eastAsia"/>
          <w:bCs/>
          <w:sz w:val="28"/>
          <w:szCs w:val="28"/>
        </w:rPr>
        <w:t>1.2%</w:t>
      </w:r>
      <w:r w:rsidRPr="00A30AB7">
        <w:rPr>
          <w:rFonts w:ascii="Arial" w:eastAsia="仿宋_GB2312" w:hAnsi="Arial" w:hint="eastAsia"/>
          <w:bCs/>
          <w:sz w:val="28"/>
          <w:szCs w:val="28"/>
        </w:rPr>
        <w:t>，涨幅比上月回落</w:t>
      </w:r>
      <w:r w:rsidRPr="00A30AB7">
        <w:rPr>
          <w:rFonts w:ascii="Arial" w:eastAsia="仿宋_GB2312" w:hAnsi="Arial" w:hint="eastAsia"/>
          <w:bCs/>
          <w:sz w:val="28"/>
          <w:szCs w:val="28"/>
        </w:rPr>
        <w:t>0.2</w:t>
      </w:r>
      <w:r w:rsidRPr="00A30AB7">
        <w:rPr>
          <w:rFonts w:ascii="Arial" w:eastAsia="仿宋_GB2312" w:hAnsi="Arial" w:hint="eastAsia"/>
          <w:bCs/>
          <w:sz w:val="28"/>
          <w:szCs w:val="28"/>
        </w:rPr>
        <w:t>个百分点；环比下降</w:t>
      </w:r>
      <w:r w:rsidRPr="00A30AB7">
        <w:rPr>
          <w:rFonts w:ascii="Arial" w:eastAsia="仿宋_GB2312" w:hAnsi="Arial" w:hint="eastAsia"/>
          <w:bCs/>
          <w:sz w:val="28"/>
          <w:szCs w:val="28"/>
        </w:rPr>
        <w:t>0.1%</w:t>
      </w:r>
      <w:r w:rsidRPr="00A30AB7">
        <w:rPr>
          <w:rFonts w:ascii="Arial" w:eastAsia="仿宋_GB2312" w:hAnsi="Arial" w:hint="eastAsia"/>
          <w:bCs/>
          <w:sz w:val="28"/>
          <w:szCs w:val="28"/>
        </w:rPr>
        <w:t>。</w:t>
      </w:r>
    </w:p>
    <w:p w14:paraId="7F8E10D3" w14:textId="77777777" w:rsidR="003F1721" w:rsidRDefault="003F1721" w:rsidP="003F1721">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市工业生产者出厂价格同比上涨</w:t>
      </w:r>
      <w:r w:rsidRPr="00A30AB7">
        <w:rPr>
          <w:rFonts w:ascii="Arial" w:eastAsia="仿宋_GB2312" w:hAnsi="Arial" w:hint="eastAsia"/>
          <w:bCs/>
          <w:sz w:val="28"/>
          <w:szCs w:val="28"/>
        </w:rPr>
        <w:t>0.9%</w:t>
      </w:r>
      <w:r w:rsidRPr="00A30AB7">
        <w:rPr>
          <w:rFonts w:ascii="Arial" w:eastAsia="仿宋_GB2312" w:hAnsi="Arial" w:hint="eastAsia"/>
          <w:bCs/>
          <w:sz w:val="28"/>
          <w:szCs w:val="28"/>
        </w:rPr>
        <w:t>，购进价格同比上涨</w:t>
      </w:r>
      <w:r w:rsidRPr="00A30AB7">
        <w:rPr>
          <w:rFonts w:ascii="Arial" w:eastAsia="仿宋_GB2312" w:hAnsi="Arial" w:hint="eastAsia"/>
          <w:bCs/>
          <w:sz w:val="28"/>
          <w:szCs w:val="28"/>
        </w:rPr>
        <w:t>2.6%</w:t>
      </w:r>
      <w:r w:rsidRPr="00A30AB7">
        <w:rPr>
          <w:rFonts w:ascii="Arial" w:eastAsia="仿宋_GB2312" w:hAnsi="Arial" w:hint="eastAsia"/>
          <w:bCs/>
          <w:sz w:val="28"/>
          <w:szCs w:val="28"/>
        </w:rPr>
        <w:t>。</w:t>
      </w:r>
      <w:r w:rsidRPr="00A30AB7">
        <w:rPr>
          <w:rFonts w:ascii="Arial" w:eastAsia="仿宋_GB2312" w:hAnsi="Arial" w:hint="eastAsia"/>
          <w:bCs/>
          <w:sz w:val="28"/>
          <w:szCs w:val="28"/>
        </w:rPr>
        <w:t>9</w:t>
      </w:r>
      <w:r w:rsidRPr="00A30AB7">
        <w:rPr>
          <w:rFonts w:ascii="Arial" w:eastAsia="仿宋_GB2312" w:hAnsi="Arial" w:hint="eastAsia"/>
          <w:bCs/>
          <w:sz w:val="28"/>
          <w:szCs w:val="28"/>
        </w:rPr>
        <w:t>月份，工业生产者出厂价格同比上涨</w:t>
      </w:r>
      <w:r w:rsidRPr="00A30AB7">
        <w:rPr>
          <w:rFonts w:ascii="Arial" w:eastAsia="仿宋_GB2312" w:hAnsi="Arial" w:hint="eastAsia"/>
          <w:bCs/>
          <w:sz w:val="28"/>
          <w:szCs w:val="28"/>
        </w:rPr>
        <w:t>1.6%</w:t>
      </w:r>
      <w:r w:rsidRPr="00A30AB7">
        <w:rPr>
          <w:rFonts w:ascii="Arial" w:eastAsia="仿宋_GB2312" w:hAnsi="Arial" w:hint="eastAsia"/>
          <w:bCs/>
          <w:sz w:val="28"/>
          <w:szCs w:val="28"/>
        </w:rPr>
        <w:t>，环比下降</w:t>
      </w:r>
      <w:r w:rsidRPr="00A30AB7">
        <w:rPr>
          <w:rFonts w:ascii="Arial" w:eastAsia="仿宋_GB2312" w:hAnsi="Arial" w:hint="eastAsia"/>
          <w:bCs/>
          <w:sz w:val="28"/>
          <w:szCs w:val="28"/>
        </w:rPr>
        <w:t>0.1%</w:t>
      </w:r>
      <w:r w:rsidRPr="00A30AB7">
        <w:rPr>
          <w:rFonts w:ascii="Arial" w:eastAsia="仿宋_GB2312" w:hAnsi="Arial" w:hint="eastAsia"/>
          <w:bCs/>
          <w:sz w:val="28"/>
          <w:szCs w:val="28"/>
        </w:rPr>
        <w:t>；购</w:t>
      </w:r>
      <w:r w:rsidRPr="00A30AB7">
        <w:rPr>
          <w:rFonts w:ascii="Arial" w:eastAsia="仿宋_GB2312" w:hAnsi="Arial" w:hint="eastAsia"/>
          <w:bCs/>
          <w:sz w:val="28"/>
          <w:szCs w:val="28"/>
        </w:rPr>
        <w:lastRenderedPageBreak/>
        <w:t>进价格同比上涨</w:t>
      </w:r>
      <w:r w:rsidRPr="00A30AB7">
        <w:rPr>
          <w:rFonts w:ascii="Arial" w:eastAsia="仿宋_GB2312" w:hAnsi="Arial" w:hint="eastAsia"/>
          <w:bCs/>
          <w:sz w:val="28"/>
          <w:szCs w:val="28"/>
        </w:rPr>
        <w:t>6.0%</w:t>
      </w:r>
      <w:r w:rsidRPr="00A30AB7">
        <w:rPr>
          <w:rFonts w:ascii="Arial" w:eastAsia="仿宋_GB2312" w:hAnsi="Arial" w:hint="eastAsia"/>
          <w:bCs/>
          <w:sz w:val="28"/>
          <w:szCs w:val="28"/>
        </w:rPr>
        <w:t>，环比上涨</w:t>
      </w:r>
      <w:r w:rsidRPr="00A30AB7">
        <w:rPr>
          <w:rFonts w:ascii="Arial" w:eastAsia="仿宋_GB2312" w:hAnsi="Arial" w:hint="eastAsia"/>
          <w:bCs/>
          <w:sz w:val="28"/>
          <w:szCs w:val="28"/>
        </w:rPr>
        <w:t>0.9%</w:t>
      </w:r>
      <w:r w:rsidRPr="00A30AB7">
        <w:rPr>
          <w:rFonts w:ascii="Arial" w:eastAsia="仿宋_GB2312" w:hAnsi="Arial" w:hint="eastAsia"/>
          <w:bCs/>
          <w:sz w:val="28"/>
          <w:szCs w:val="28"/>
        </w:rPr>
        <w:t>。</w:t>
      </w:r>
    </w:p>
    <w:p w14:paraId="08287C92" w14:textId="77777777" w:rsidR="003F1721" w:rsidRDefault="003F1721" w:rsidP="003F1721">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14:paraId="143FA1B7" w14:textId="77777777" w:rsidR="003F1721" w:rsidRPr="00A30AB7" w:rsidRDefault="003F1721" w:rsidP="003F1721">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市居民人均可支配收入</w:t>
      </w:r>
      <w:r w:rsidRPr="00A30AB7">
        <w:rPr>
          <w:rFonts w:ascii="Arial" w:eastAsia="仿宋_GB2312" w:hAnsi="Arial" w:hint="eastAsia"/>
          <w:bCs/>
          <w:sz w:val="28"/>
          <w:szCs w:val="28"/>
        </w:rPr>
        <w:t>56498</w:t>
      </w:r>
      <w:r w:rsidRPr="00A30AB7">
        <w:rPr>
          <w:rFonts w:ascii="Arial" w:eastAsia="仿宋_GB2312" w:hAnsi="Arial" w:hint="eastAsia"/>
          <w:bCs/>
          <w:sz w:val="28"/>
          <w:szCs w:val="28"/>
        </w:rPr>
        <w:t>元，同比名义增长</w:t>
      </w:r>
      <w:r w:rsidRPr="00A30AB7">
        <w:rPr>
          <w:rFonts w:ascii="Arial" w:eastAsia="仿宋_GB2312" w:hAnsi="Arial" w:hint="eastAsia"/>
          <w:bCs/>
          <w:sz w:val="28"/>
          <w:szCs w:val="28"/>
        </w:rPr>
        <w:t>9.1%</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5.7%</w:t>
      </w:r>
      <w:r w:rsidRPr="00A30AB7">
        <w:rPr>
          <w:rFonts w:ascii="Arial" w:eastAsia="仿宋_GB2312" w:hAnsi="Arial" w:hint="eastAsia"/>
          <w:bCs/>
          <w:sz w:val="28"/>
          <w:szCs w:val="28"/>
        </w:rPr>
        <w:t>；扣除价格因素后，同比实际增长</w:t>
      </w:r>
      <w:r w:rsidRPr="00A30AB7">
        <w:rPr>
          <w:rFonts w:ascii="Arial" w:eastAsia="仿宋_GB2312" w:hAnsi="Arial" w:hint="eastAsia"/>
          <w:bCs/>
          <w:sz w:val="28"/>
          <w:szCs w:val="28"/>
        </w:rPr>
        <w:t>8.2%</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4.2%</w:t>
      </w:r>
      <w:r w:rsidRPr="00A30AB7">
        <w:rPr>
          <w:rFonts w:ascii="Arial" w:eastAsia="仿宋_GB2312" w:hAnsi="Arial" w:hint="eastAsia"/>
          <w:bCs/>
          <w:sz w:val="28"/>
          <w:szCs w:val="28"/>
        </w:rPr>
        <w:t>。从收入来源看，工资性收入同比名义增长</w:t>
      </w:r>
      <w:r w:rsidRPr="00A30AB7">
        <w:rPr>
          <w:rFonts w:ascii="Arial" w:eastAsia="仿宋_GB2312" w:hAnsi="Arial" w:hint="eastAsia"/>
          <w:bCs/>
          <w:sz w:val="28"/>
          <w:szCs w:val="28"/>
        </w:rPr>
        <w:t>10.8%</w:t>
      </w:r>
      <w:r w:rsidRPr="00A30AB7">
        <w:rPr>
          <w:rFonts w:ascii="Arial" w:eastAsia="仿宋_GB2312" w:hAnsi="Arial" w:hint="eastAsia"/>
          <w:bCs/>
          <w:sz w:val="28"/>
          <w:szCs w:val="28"/>
        </w:rPr>
        <w:t>，经营净收入同比名义增长</w:t>
      </w:r>
      <w:r w:rsidRPr="00A30AB7">
        <w:rPr>
          <w:rFonts w:ascii="Arial" w:eastAsia="仿宋_GB2312" w:hAnsi="Arial" w:hint="eastAsia"/>
          <w:bCs/>
          <w:sz w:val="28"/>
          <w:szCs w:val="28"/>
        </w:rPr>
        <w:t>16.8%</w:t>
      </w:r>
      <w:r w:rsidRPr="00A30AB7">
        <w:rPr>
          <w:rFonts w:ascii="Arial" w:eastAsia="仿宋_GB2312" w:hAnsi="Arial" w:hint="eastAsia"/>
          <w:bCs/>
          <w:sz w:val="28"/>
          <w:szCs w:val="28"/>
        </w:rPr>
        <w:t>，财产净收入同比名义增长</w:t>
      </w:r>
      <w:r w:rsidRPr="00A30AB7">
        <w:rPr>
          <w:rFonts w:ascii="Arial" w:eastAsia="仿宋_GB2312" w:hAnsi="Arial" w:hint="eastAsia"/>
          <w:bCs/>
          <w:sz w:val="28"/>
          <w:szCs w:val="28"/>
        </w:rPr>
        <w:t>8.7%</w:t>
      </w:r>
      <w:r w:rsidRPr="00A30AB7">
        <w:rPr>
          <w:rFonts w:ascii="Arial" w:eastAsia="仿宋_GB2312" w:hAnsi="Arial" w:hint="eastAsia"/>
          <w:bCs/>
          <w:sz w:val="28"/>
          <w:szCs w:val="28"/>
        </w:rPr>
        <w:t>，转移净收入同比名义增长</w:t>
      </w:r>
      <w:r w:rsidRPr="00A30AB7">
        <w:rPr>
          <w:rFonts w:ascii="Arial" w:eastAsia="仿宋_GB2312" w:hAnsi="Arial" w:hint="eastAsia"/>
          <w:bCs/>
          <w:sz w:val="28"/>
          <w:szCs w:val="28"/>
        </w:rPr>
        <w:t>4.4%</w:t>
      </w:r>
      <w:r w:rsidRPr="00A30AB7">
        <w:rPr>
          <w:rFonts w:ascii="Arial" w:eastAsia="仿宋_GB2312" w:hAnsi="Arial" w:hint="eastAsia"/>
          <w:bCs/>
          <w:sz w:val="28"/>
          <w:szCs w:val="28"/>
        </w:rPr>
        <w:t>。</w:t>
      </w:r>
    </w:p>
    <w:p w14:paraId="6C24FF9E" w14:textId="09D29F7D" w:rsidR="002C3ABF" w:rsidRPr="003F1721" w:rsidRDefault="003F1721" w:rsidP="003F1721">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总的来看，</w:t>
      </w: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市经济保持稳步恢复态势，社会民生保障有力，发展质量继续提升。但国际环境依然复杂严峻，不稳定不确定因素增多，国内经济恢复仍不稳固、不均衡。下阶段，</w:t>
      </w:r>
      <w:r>
        <w:rPr>
          <w:rFonts w:ascii="Arial" w:eastAsia="仿宋_GB2312" w:hAnsi="Arial" w:hint="eastAsia"/>
          <w:bCs/>
          <w:sz w:val="28"/>
          <w:szCs w:val="28"/>
        </w:rPr>
        <w:t>北京市将</w:t>
      </w:r>
      <w:r w:rsidRPr="00A30AB7">
        <w:rPr>
          <w:rFonts w:ascii="Arial" w:eastAsia="仿宋_GB2312" w:hAnsi="Arial" w:hint="eastAsia"/>
          <w:bCs/>
          <w:sz w:val="28"/>
          <w:szCs w:val="28"/>
        </w:rPr>
        <w:t>在抓好常态化疫情防控的同时，保持经济运行在合理区间，促进经济健康可持续发展，确保完成全年经济社会发展主要目标任务。</w:t>
      </w:r>
    </w:p>
    <w:p w14:paraId="626F4942"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（二）区域因素</w:t>
      </w:r>
    </w:p>
    <w:p w14:paraId="625A425D" w14:textId="77777777" w:rsidR="002C3ABF" w:rsidRPr="00F631FB" w:rsidRDefault="002C3ABF" w:rsidP="002C3ABF">
      <w:pPr>
        <w:spacing w:line="360" w:lineRule="auto"/>
        <w:ind w:firstLineChars="200" w:firstLine="560"/>
        <w:jc w:val="both"/>
        <w:rPr>
          <w:rFonts w:ascii="Arial" w:eastAsia="仿宋_GB2312" w:hAnsi="Arial" w:cs="Arial"/>
          <w:sz w:val="28"/>
        </w:rPr>
      </w:pPr>
      <w:bookmarkStart w:id="102" w:name="_Hlk79697274"/>
      <w:r w:rsidRPr="00F631FB">
        <w:rPr>
          <w:rFonts w:ascii="Arial" w:eastAsia="仿宋_GB2312" w:hAnsi="Arial" w:cs="Arial"/>
          <w:sz w:val="28"/>
        </w:rPr>
        <w:t>1.</w:t>
      </w:r>
      <w:r w:rsidRPr="00F631FB">
        <w:rPr>
          <w:rFonts w:ascii="Arial" w:eastAsia="仿宋_GB2312" w:hAnsi="Arial" w:cs="Arial"/>
          <w:sz w:val="28"/>
        </w:rPr>
        <w:t>区域概况</w:t>
      </w:r>
    </w:p>
    <w:p w14:paraId="3BB0DE60" w14:textId="77777777" w:rsidR="002C3ABF" w:rsidRPr="00F631FB" w:rsidRDefault="002C3ABF" w:rsidP="002C3ABF">
      <w:pPr>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海淀区，位于北京城区西部和西北部，东与</w:t>
      </w:r>
      <w:hyperlink r:id="rId39" w:tgtFrame="_blank" w:history="1">
        <w:r w:rsidRPr="00F631FB">
          <w:rPr>
            <w:rFonts w:ascii="Arial" w:eastAsia="仿宋_GB2312" w:hAnsi="Arial" w:cs="Arial"/>
            <w:bCs/>
            <w:sz w:val="28"/>
            <w:szCs w:val="28"/>
          </w:rPr>
          <w:t>西城区</w:t>
        </w:r>
      </w:hyperlink>
      <w:r w:rsidRPr="00F631FB">
        <w:rPr>
          <w:rFonts w:ascii="Arial" w:eastAsia="仿宋_GB2312" w:hAnsi="Arial" w:cs="Arial"/>
          <w:bCs/>
          <w:sz w:val="28"/>
          <w:szCs w:val="28"/>
        </w:rPr>
        <w:t>、</w:t>
      </w:r>
      <w:hyperlink r:id="rId40" w:tgtFrame="_blank" w:history="1">
        <w:r w:rsidRPr="00F631FB">
          <w:rPr>
            <w:rFonts w:ascii="Arial" w:eastAsia="仿宋_GB2312" w:hAnsi="Arial" w:cs="Arial"/>
            <w:bCs/>
            <w:sz w:val="28"/>
            <w:szCs w:val="28"/>
          </w:rPr>
          <w:t>朝阳区</w:t>
        </w:r>
      </w:hyperlink>
      <w:r w:rsidRPr="00F631FB">
        <w:rPr>
          <w:rFonts w:ascii="Arial" w:eastAsia="仿宋_GB2312" w:hAnsi="Arial" w:cs="Arial"/>
          <w:bCs/>
          <w:sz w:val="28"/>
          <w:szCs w:val="28"/>
        </w:rPr>
        <w:t>相邻，南与</w:t>
      </w:r>
      <w:hyperlink r:id="rId41" w:tgtFrame="_blank" w:history="1">
        <w:r w:rsidRPr="00F631FB">
          <w:rPr>
            <w:rFonts w:ascii="Arial" w:eastAsia="仿宋_GB2312" w:hAnsi="Arial" w:cs="Arial"/>
            <w:bCs/>
            <w:sz w:val="28"/>
            <w:szCs w:val="28"/>
          </w:rPr>
          <w:t>丰台区</w:t>
        </w:r>
      </w:hyperlink>
      <w:r w:rsidRPr="00F631FB">
        <w:rPr>
          <w:rFonts w:ascii="Arial" w:eastAsia="仿宋_GB2312" w:hAnsi="Arial" w:cs="Arial"/>
          <w:bCs/>
          <w:sz w:val="28"/>
          <w:szCs w:val="28"/>
        </w:rPr>
        <w:t>毗连，西与</w:t>
      </w:r>
      <w:hyperlink r:id="rId42" w:tgtFrame="_blank" w:history="1">
        <w:r w:rsidRPr="00F631FB">
          <w:rPr>
            <w:rFonts w:ascii="Arial" w:eastAsia="仿宋_GB2312" w:hAnsi="Arial" w:cs="Arial"/>
            <w:bCs/>
            <w:sz w:val="28"/>
            <w:szCs w:val="28"/>
          </w:rPr>
          <w:t>石景山区</w:t>
        </w:r>
      </w:hyperlink>
      <w:r w:rsidRPr="00F631FB">
        <w:rPr>
          <w:rFonts w:ascii="Arial" w:eastAsia="仿宋_GB2312" w:hAnsi="Arial" w:cs="Arial"/>
          <w:bCs/>
          <w:sz w:val="28"/>
          <w:szCs w:val="28"/>
        </w:rPr>
        <w:t>、</w:t>
      </w:r>
      <w:hyperlink r:id="rId43" w:tgtFrame="_blank" w:history="1">
        <w:r w:rsidRPr="00F631FB">
          <w:rPr>
            <w:rFonts w:ascii="Arial" w:eastAsia="仿宋_GB2312" w:hAnsi="Arial" w:cs="Arial"/>
            <w:bCs/>
            <w:sz w:val="28"/>
            <w:szCs w:val="28"/>
          </w:rPr>
          <w:t>门头沟区</w:t>
        </w:r>
      </w:hyperlink>
      <w:r w:rsidRPr="00F631FB">
        <w:rPr>
          <w:rFonts w:ascii="Arial" w:eastAsia="仿宋_GB2312" w:hAnsi="Arial" w:cs="Arial"/>
          <w:bCs/>
          <w:sz w:val="28"/>
          <w:szCs w:val="28"/>
        </w:rPr>
        <w:t>交界，北与</w:t>
      </w:r>
      <w:hyperlink r:id="rId44" w:tgtFrame="_blank" w:history="1">
        <w:proofErr w:type="gramStart"/>
        <w:r w:rsidRPr="00F631FB">
          <w:rPr>
            <w:rFonts w:ascii="Arial" w:eastAsia="仿宋_GB2312" w:hAnsi="Arial" w:cs="Arial"/>
            <w:bCs/>
            <w:sz w:val="28"/>
            <w:szCs w:val="28"/>
          </w:rPr>
          <w:t>昌平区</w:t>
        </w:r>
        <w:proofErr w:type="gramEnd"/>
      </w:hyperlink>
      <w:r w:rsidRPr="00F631FB">
        <w:rPr>
          <w:rFonts w:ascii="Arial" w:eastAsia="仿宋_GB2312" w:hAnsi="Arial" w:cs="Arial"/>
          <w:bCs/>
          <w:sz w:val="28"/>
          <w:szCs w:val="28"/>
        </w:rPr>
        <w:t>接壤。幅员面积</w:t>
      </w:r>
      <w:r w:rsidRPr="00F631FB">
        <w:rPr>
          <w:rFonts w:ascii="Arial" w:eastAsia="仿宋_GB2312" w:hAnsi="Arial" w:cs="Arial"/>
          <w:bCs/>
          <w:sz w:val="28"/>
          <w:szCs w:val="28"/>
        </w:rPr>
        <w:t>430.8</w:t>
      </w:r>
      <w:r w:rsidRPr="00F631FB">
        <w:rPr>
          <w:rFonts w:ascii="Arial" w:eastAsia="仿宋_GB2312" w:hAnsi="Arial" w:cs="Arial"/>
          <w:bCs/>
          <w:sz w:val="28"/>
          <w:szCs w:val="28"/>
        </w:rPr>
        <w:t>平方千米，边界线长约</w:t>
      </w:r>
      <w:r w:rsidRPr="00F631FB">
        <w:rPr>
          <w:rFonts w:ascii="Arial" w:eastAsia="仿宋_GB2312" w:hAnsi="Arial" w:cs="Arial"/>
          <w:bCs/>
          <w:sz w:val="28"/>
          <w:szCs w:val="28"/>
        </w:rPr>
        <w:t>146.2</w:t>
      </w:r>
      <w:r w:rsidRPr="00F631FB">
        <w:rPr>
          <w:rFonts w:ascii="Arial" w:eastAsia="仿宋_GB2312" w:hAnsi="Arial" w:cs="Arial"/>
          <w:bCs/>
          <w:sz w:val="28"/>
          <w:szCs w:val="28"/>
        </w:rPr>
        <w:t>千米，南北长约</w:t>
      </w:r>
      <w:r w:rsidRPr="00F631FB">
        <w:rPr>
          <w:rFonts w:ascii="Arial" w:eastAsia="仿宋_GB2312" w:hAnsi="Arial" w:cs="Arial"/>
          <w:bCs/>
          <w:sz w:val="28"/>
          <w:szCs w:val="28"/>
        </w:rPr>
        <w:t>30</w:t>
      </w:r>
      <w:r w:rsidRPr="00F631FB">
        <w:rPr>
          <w:rFonts w:ascii="Arial" w:eastAsia="仿宋_GB2312" w:hAnsi="Arial" w:cs="Arial"/>
          <w:bCs/>
          <w:sz w:val="28"/>
          <w:szCs w:val="28"/>
        </w:rPr>
        <w:t>千米，东西最宽处</w:t>
      </w:r>
      <w:r w:rsidRPr="00F631FB">
        <w:rPr>
          <w:rFonts w:ascii="Arial" w:eastAsia="仿宋_GB2312" w:hAnsi="Arial" w:cs="Arial"/>
          <w:bCs/>
          <w:sz w:val="28"/>
          <w:szCs w:val="28"/>
        </w:rPr>
        <w:t>29</w:t>
      </w:r>
      <w:r w:rsidRPr="00F631FB">
        <w:rPr>
          <w:rFonts w:ascii="Arial" w:eastAsia="仿宋_GB2312" w:hAnsi="Arial" w:cs="Arial"/>
          <w:bCs/>
          <w:sz w:val="28"/>
          <w:szCs w:val="28"/>
        </w:rPr>
        <w:t>千米，约占</w:t>
      </w:r>
      <w:r w:rsidR="00790873">
        <w:fldChar w:fldCharType="begin"/>
      </w:r>
      <w:r w:rsidR="00790873">
        <w:instrText xml:space="preserve"> HYPERLINK "https://baike.baidu.com/item/%E5%8C%97%E4%BA%AC%E5%B8%82/126069" \t "_blank" </w:instrText>
      </w:r>
      <w:r w:rsidR="00790873">
        <w:fldChar w:fldCharType="separate"/>
      </w:r>
      <w:r w:rsidRPr="00F631FB">
        <w:rPr>
          <w:rFonts w:ascii="Arial" w:eastAsia="仿宋_GB2312" w:hAnsi="Arial" w:cs="Arial"/>
          <w:bCs/>
          <w:sz w:val="28"/>
          <w:szCs w:val="28"/>
        </w:rPr>
        <w:t>北京市</w:t>
      </w:r>
      <w:r w:rsidR="00790873">
        <w:rPr>
          <w:rFonts w:ascii="Arial" w:eastAsia="仿宋_GB2312" w:hAnsi="Arial" w:cs="Arial"/>
          <w:bCs/>
          <w:sz w:val="28"/>
          <w:szCs w:val="28"/>
        </w:rPr>
        <w:fldChar w:fldCharType="end"/>
      </w:r>
      <w:r w:rsidRPr="00F631FB">
        <w:rPr>
          <w:rFonts w:ascii="Arial" w:eastAsia="仿宋_GB2312" w:hAnsi="Arial" w:cs="Arial"/>
          <w:bCs/>
          <w:sz w:val="28"/>
          <w:szCs w:val="28"/>
        </w:rPr>
        <w:t>总面积的</w:t>
      </w:r>
      <w:r w:rsidRPr="00F631FB">
        <w:rPr>
          <w:rFonts w:ascii="Arial" w:eastAsia="仿宋_GB2312" w:hAnsi="Arial" w:cs="Arial"/>
          <w:bCs/>
          <w:sz w:val="28"/>
          <w:szCs w:val="28"/>
        </w:rPr>
        <w:t>2.6%</w:t>
      </w:r>
      <w:r w:rsidRPr="00F631FB">
        <w:rPr>
          <w:rFonts w:ascii="Arial" w:eastAsia="仿宋_GB2312" w:hAnsi="Arial" w:cs="Arial"/>
          <w:bCs/>
          <w:sz w:val="28"/>
          <w:szCs w:val="28"/>
        </w:rPr>
        <w:t>。</w:t>
      </w:r>
      <w:proofErr w:type="gramStart"/>
      <w:r w:rsidRPr="00F631FB">
        <w:rPr>
          <w:rFonts w:ascii="Arial" w:eastAsia="仿宋_GB2312" w:hAnsi="Arial" w:cs="Arial"/>
          <w:bCs/>
          <w:sz w:val="28"/>
          <w:szCs w:val="28"/>
        </w:rPr>
        <w:t>区境介于</w:t>
      </w:r>
      <w:proofErr w:type="gramEnd"/>
      <w:r w:rsidRPr="00F631FB">
        <w:rPr>
          <w:rFonts w:ascii="Arial" w:eastAsia="仿宋_GB2312" w:hAnsi="Arial" w:cs="Arial"/>
          <w:bCs/>
          <w:sz w:val="28"/>
          <w:szCs w:val="28"/>
        </w:rPr>
        <w:t>北纬</w:t>
      </w:r>
      <w:r w:rsidRPr="00F631FB">
        <w:rPr>
          <w:rFonts w:ascii="Arial" w:eastAsia="仿宋_GB2312" w:hAnsi="Arial" w:cs="Arial"/>
          <w:bCs/>
          <w:sz w:val="28"/>
          <w:szCs w:val="28"/>
        </w:rPr>
        <w:t>39°53′—40°09′</w:t>
      </w:r>
      <w:r w:rsidRPr="00F631FB">
        <w:rPr>
          <w:rFonts w:ascii="Arial" w:eastAsia="仿宋_GB2312" w:hAnsi="Arial" w:cs="Arial"/>
          <w:bCs/>
          <w:sz w:val="28"/>
          <w:szCs w:val="28"/>
        </w:rPr>
        <w:t>，东经</w:t>
      </w:r>
      <w:r w:rsidRPr="00F631FB">
        <w:rPr>
          <w:rFonts w:ascii="Arial" w:eastAsia="仿宋_GB2312" w:hAnsi="Arial" w:cs="Arial"/>
          <w:bCs/>
          <w:sz w:val="28"/>
          <w:szCs w:val="28"/>
        </w:rPr>
        <w:t>116°03′—116°23′</w:t>
      </w:r>
      <w:r w:rsidRPr="00F631FB">
        <w:rPr>
          <w:rFonts w:ascii="Arial" w:eastAsia="仿宋_GB2312" w:hAnsi="Arial" w:cs="Arial"/>
          <w:bCs/>
          <w:sz w:val="28"/>
          <w:szCs w:val="28"/>
        </w:rPr>
        <w:t>之间。</w:t>
      </w:r>
    </w:p>
    <w:p w14:paraId="0B4FD4A2" w14:textId="77777777" w:rsidR="002C3ABF" w:rsidRPr="00F631FB" w:rsidRDefault="002C3ABF" w:rsidP="002C3ABF">
      <w:pPr>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近年来海淀区经济总量始终保持快速、稳定的增长势头。</w:t>
      </w:r>
      <w:r w:rsidRPr="00F631FB">
        <w:rPr>
          <w:rFonts w:ascii="Arial" w:eastAsia="仿宋_GB2312" w:hAnsi="Arial" w:cs="Arial"/>
          <w:bCs/>
          <w:sz w:val="28"/>
          <w:szCs w:val="28"/>
        </w:rPr>
        <w:t>2020</w:t>
      </w:r>
      <w:r w:rsidRPr="00F631FB">
        <w:rPr>
          <w:rFonts w:ascii="Arial" w:eastAsia="仿宋_GB2312" w:hAnsi="Arial" w:cs="Arial"/>
          <w:bCs/>
          <w:sz w:val="28"/>
          <w:szCs w:val="28"/>
        </w:rPr>
        <w:t>年</w:t>
      </w:r>
      <w:r w:rsidRPr="00F631FB">
        <w:rPr>
          <w:rFonts w:ascii="Arial" w:eastAsia="仿宋_GB2312" w:hAnsi="Arial" w:cs="Arial"/>
          <w:bCs/>
          <w:sz w:val="28"/>
          <w:szCs w:val="28"/>
        </w:rPr>
        <w:t>1-4</w:t>
      </w:r>
      <w:r w:rsidRPr="00F631FB">
        <w:rPr>
          <w:rFonts w:ascii="Arial" w:eastAsia="仿宋_GB2312" w:hAnsi="Arial" w:cs="Arial"/>
          <w:bCs/>
          <w:sz w:val="28"/>
          <w:szCs w:val="28"/>
        </w:rPr>
        <w:t>季度海淀实现地区生产总值</w:t>
      </w:r>
      <w:r w:rsidRPr="00F631FB">
        <w:rPr>
          <w:rFonts w:ascii="Arial" w:eastAsia="仿宋_GB2312" w:hAnsi="Arial" w:cs="Arial"/>
          <w:bCs/>
          <w:sz w:val="28"/>
          <w:szCs w:val="28"/>
        </w:rPr>
        <w:t>8504.6</w:t>
      </w:r>
      <w:r w:rsidRPr="00F631FB">
        <w:rPr>
          <w:rFonts w:ascii="Arial" w:eastAsia="仿宋_GB2312" w:hAnsi="Arial" w:cs="Arial"/>
          <w:bCs/>
          <w:sz w:val="28"/>
          <w:szCs w:val="28"/>
        </w:rPr>
        <w:t>亿元，同比增长</w:t>
      </w:r>
      <w:r w:rsidRPr="00F631FB">
        <w:rPr>
          <w:rFonts w:ascii="Arial" w:eastAsia="仿宋_GB2312" w:hAnsi="Arial" w:cs="Arial"/>
          <w:bCs/>
          <w:sz w:val="28"/>
          <w:szCs w:val="28"/>
        </w:rPr>
        <w:t>5.9%</w:t>
      </w:r>
      <w:r w:rsidRPr="00F631FB">
        <w:rPr>
          <w:rFonts w:ascii="Arial" w:eastAsia="仿宋_GB2312" w:hAnsi="Arial" w:cs="Arial"/>
          <w:bCs/>
          <w:sz w:val="28"/>
          <w:szCs w:val="28"/>
        </w:rPr>
        <w:t>，经济总量和增长贡献均位于全市首位。其中，第一产业实现增加值</w:t>
      </w:r>
      <w:r w:rsidRPr="00F631FB">
        <w:rPr>
          <w:rFonts w:ascii="Arial" w:eastAsia="仿宋_GB2312" w:hAnsi="Arial" w:cs="Arial"/>
          <w:bCs/>
          <w:sz w:val="28"/>
          <w:szCs w:val="28"/>
        </w:rPr>
        <w:t>1.6</w:t>
      </w:r>
      <w:r w:rsidRPr="00F631FB">
        <w:rPr>
          <w:rFonts w:ascii="Arial" w:eastAsia="仿宋_GB2312" w:hAnsi="Arial" w:cs="Arial"/>
          <w:bCs/>
          <w:sz w:val="28"/>
          <w:szCs w:val="28"/>
        </w:rPr>
        <w:t>亿元，增长</w:t>
      </w:r>
      <w:r w:rsidRPr="00F631FB">
        <w:rPr>
          <w:rFonts w:ascii="Arial" w:eastAsia="仿宋_GB2312" w:hAnsi="Arial" w:cs="Arial"/>
          <w:bCs/>
          <w:sz w:val="28"/>
          <w:szCs w:val="28"/>
        </w:rPr>
        <w:t>3.0%</w:t>
      </w:r>
      <w:r w:rsidRPr="00F631FB">
        <w:rPr>
          <w:rFonts w:ascii="Arial" w:eastAsia="仿宋_GB2312" w:hAnsi="Arial" w:cs="Arial"/>
          <w:bCs/>
          <w:sz w:val="28"/>
          <w:szCs w:val="28"/>
        </w:rPr>
        <w:t>；第二产业实现增加值</w:t>
      </w:r>
      <w:r w:rsidRPr="00F631FB">
        <w:rPr>
          <w:rFonts w:ascii="Arial" w:eastAsia="仿宋_GB2312" w:hAnsi="Arial" w:cs="Arial"/>
          <w:bCs/>
          <w:sz w:val="28"/>
          <w:szCs w:val="28"/>
        </w:rPr>
        <w:t>680.0</w:t>
      </w:r>
      <w:r w:rsidRPr="00F631FB">
        <w:rPr>
          <w:rFonts w:ascii="Arial" w:eastAsia="仿宋_GB2312" w:hAnsi="Arial" w:cs="Arial"/>
          <w:bCs/>
          <w:sz w:val="28"/>
          <w:szCs w:val="28"/>
        </w:rPr>
        <w:t>亿元，下降</w:t>
      </w:r>
      <w:r w:rsidRPr="00F631FB">
        <w:rPr>
          <w:rFonts w:ascii="Arial" w:eastAsia="仿宋_GB2312" w:hAnsi="Arial" w:cs="Arial"/>
          <w:bCs/>
          <w:sz w:val="28"/>
          <w:szCs w:val="28"/>
        </w:rPr>
        <w:t>1.8%</w:t>
      </w:r>
      <w:r w:rsidRPr="00F631FB">
        <w:rPr>
          <w:rFonts w:ascii="Arial" w:eastAsia="仿宋_GB2312" w:hAnsi="Arial" w:cs="Arial"/>
          <w:bCs/>
          <w:sz w:val="28"/>
          <w:szCs w:val="28"/>
        </w:rPr>
        <w:t>；第三产业实现增加值</w:t>
      </w:r>
      <w:r w:rsidRPr="00F631FB">
        <w:rPr>
          <w:rFonts w:ascii="Arial" w:eastAsia="仿宋_GB2312" w:hAnsi="Arial" w:cs="Arial"/>
          <w:bCs/>
          <w:sz w:val="28"/>
          <w:szCs w:val="28"/>
        </w:rPr>
        <w:t>7823.0</w:t>
      </w:r>
      <w:r w:rsidRPr="00F631FB">
        <w:rPr>
          <w:rFonts w:ascii="Arial" w:eastAsia="仿宋_GB2312" w:hAnsi="Arial" w:cs="Arial"/>
          <w:bCs/>
          <w:sz w:val="28"/>
          <w:szCs w:val="28"/>
        </w:rPr>
        <w:t>亿元，同比增长</w:t>
      </w:r>
      <w:r w:rsidRPr="00F631FB">
        <w:rPr>
          <w:rFonts w:ascii="Arial" w:eastAsia="仿宋_GB2312" w:hAnsi="Arial" w:cs="Arial"/>
          <w:bCs/>
          <w:sz w:val="28"/>
          <w:szCs w:val="28"/>
        </w:rPr>
        <w:t>6.7%</w:t>
      </w:r>
      <w:r w:rsidRPr="00F631FB">
        <w:rPr>
          <w:rFonts w:ascii="Arial" w:eastAsia="仿宋_GB2312" w:hAnsi="Arial" w:cs="Arial"/>
          <w:bCs/>
          <w:sz w:val="28"/>
          <w:szCs w:val="28"/>
        </w:rPr>
        <w:t>。全年四个季度累计增速分别为</w:t>
      </w:r>
      <w:r w:rsidRPr="00F631FB">
        <w:rPr>
          <w:rFonts w:ascii="Arial" w:eastAsia="仿宋_GB2312" w:hAnsi="Arial" w:cs="Arial"/>
          <w:bCs/>
          <w:sz w:val="28"/>
          <w:szCs w:val="28"/>
        </w:rPr>
        <w:t>-4.8%</w:t>
      </w:r>
      <w:r w:rsidRPr="00F631FB">
        <w:rPr>
          <w:rFonts w:ascii="Arial" w:eastAsia="仿宋_GB2312" w:hAnsi="Arial" w:cs="Arial"/>
          <w:bCs/>
          <w:sz w:val="28"/>
          <w:szCs w:val="28"/>
        </w:rPr>
        <w:t>、</w:t>
      </w:r>
      <w:r w:rsidRPr="00F631FB">
        <w:rPr>
          <w:rFonts w:ascii="Arial" w:eastAsia="仿宋_GB2312" w:hAnsi="Arial" w:cs="Arial"/>
          <w:bCs/>
          <w:sz w:val="28"/>
          <w:szCs w:val="28"/>
        </w:rPr>
        <w:t>2.6%</w:t>
      </w:r>
      <w:r w:rsidRPr="00F631FB">
        <w:rPr>
          <w:rFonts w:ascii="Arial" w:eastAsia="仿宋_GB2312" w:hAnsi="Arial" w:cs="Arial"/>
          <w:bCs/>
          <w:sz w:val="28"/>
          <w:szCs w:val="28"/>
        </w:rPr>
        <w:t>、</w:t>
      </w:r>
      <w:r w:rsidRPr="00F631FB">
        <w:rPr>
          <w:rFonts w:ascii="Arial" w:eastAsia="仿宋_GB2312" w:hAnsi="Arial" w:cs="Arial"/>
          <w:bCs/>
          <w:sz w:val="28"/>
          <w:szCs w:val="28"/>
        </w:rPr>
        <w:t>4.6%</w:t>
      </w:r>
      <w:r w:rsidRPr="00F631FB">
        <w:rPr>
          <w:rFonts w:ascii="Arial" w:eastAsia="仿宋_GB2312" w:hAnsi="Arial" w:cs="Arial"/>
          <w:bCs/>
          <w:sz w:val="28"/>
          <w:szCs w:val="28"/>
        </w:rPr>
        <w:t>和</w:t>
      </w:r>
      <w:r w:rsidRPr="00F631FB">
        <w:rPr>
          <w:rFonts w:ascii="Arial" w:eastAsia="仿宋_GB2312" w:hAnsi="Arial" w:cs="Arial"/>
          <w:bCs/>
          <w:sz w:val="28"/>
          <w:szCs w:val="28"/>
        </w:rPr>
        <w:t>5.9%</w:t>
      </w:r>
      <w:r w:rsidRPr="00F631FB">
        <w:rPr>
          <w:rFonts w:ascii="Arial" w:eastAsia="仿宋_GB2312" w:hAnsi="Arial" w:cs="Arial"/>
          <w:bCs/>
          <w:sz w:val="28"/>
          <w:szCs w:val="28"/>
        </w:rPr>
        <w:t>。</w:t>
      </w:r>
      <w:r w:rsidRPr="00F631FB">
        <w:rPr>
          <w:rFonts w:ascii="Arial" w:eastAsia="仿宋_GB2312" w:hAnsi="Arial" w:cs="Arial"/>
          <w:bCs/>
          <w:sz w:val="28"/>
          <w:szCs w:val="28"/>
        </w:rPr>
        <w:lastRenderedPageBreak/>
        <w:t>其中，信息、科研、教育等服务业增长较快，增加值同比增长</w:t>
      </w:r>
      <w:r w:rsidRPr="00F631FB">
        <w:rPr>
          <w:rFonts w:ascii="Arial" w:eastAsia="仿宋_GB2312" w:hAnsi="Arial" w:cs="Arial"/>
          <w:bCs/>
          <w:sz w:val="28"/>
          <w:szCs w:val="28"/>
        </w:rPr>
        <w:t>8.2%</w:t>
      </w:r>
      <w:r w:rsidRPr="00F631FB">
        <w:rPr>
          <w:rFonts w:ascii="Arial" w:eastAsia="仿宋_GB2312" w:hAnsi="Arial" w:cs="Arial"/>
          <w:bCs/>
          <w:sz w:val="28"/>
          <w:szCs w:val="28"/>
        </w:rPr>
        <w:t>。海淀区居民人均可支配收入</w:t>
      </w:r>
      <w:r w:rsidRPr="00F631FB">
        <w:rPr>
          <w:rFonts w:ascii="Arial" w:eastAsia="仿宋_GB2312" w:hAnsi="Arial" w:cs="Arial"/>
          <w:bCs/>
          <w:sz w:val="28"/>
          <w:szCs w:val="28"/>
        </w:rPr>
        <w:t>84733</w:t>
      </w:r>
      <w:r w:rsidRPr="00F631FB">
        <w:rPr>
          <w:rFonts w:ascii="Arial" w:eastAsia="仿宋_GB2312" w:hAnsi="Arial" w:cs="Arial"/>
          <w:bCs/>
          <w:sz w:val="28"/>
          <w:szCs w:val="28"/>
        </w:rPr>
        <w:t>元，同比增长</w:t>
      </w:r>
      <w:r w:rsidRPr="00F631FB">
        <w:rPr>
          <w:rFonts w:ascii="Arial" w:eastAsia="仿宋_GB2312" w:hAnsi="Arial" w:cs="Arial"/>
          <w:bCs/>
          <w:sz w:val="28"/>
          <w:szCs w:val="28"/>
        </w:rPr>
        <w:t>8.4%</w:t>
      </w:r>
      <w:r w:rsidRPr="00F631FB">
        <w:rPr>
          <w:rFonts w:ascii="Arial" w:eastAsia="仿宋_GB2312" w:hAnsi="Arial" w:cs="Arial"/>
          <w:bCs/>
          <w:sz w:val="28"/>
          <w:szCs w:val="28"/>
        </w:rPr>
        <w:t>；海淀区居民人均消费性支出</w:t>
      </w:r>
      <w:r w:rsidRPr="00F631FB">
        <w:rPr>
          <w:rFonts w:ascii="Arial" w:eastAsia="仿宋_GB2312" w:hAnsi="Arial" w:cs="Arial"/>
          <w:bCs/>
          <w:sz w:val="28"/>
          <w:szCs w:val="28"/>
        </w:rPr>
        <w:t>56630</w:t>
      </w:r>
      <w:r w:rsidRPr="00F631FB">
        <w:rPr>
          <w:rFonts w:ascii="Arial" w:eastAsia="仿宋_GB2312" w:hAnsi="Arial" w:cs="Arial"/>
          <w:bCs/>
          <w:sz w:val="28"/>
          <w:szCs w:val="28"/>
        </w:rPr>
        <w:t>元，同比增长</w:t>
      </w:r>
      <w:r w:rsidRPr="00F631FB">
        <w:rPr>
          <w:rFonts w:ascii="Arial" w:eastAsia="仿宋_GB2312" w:hAnsi="Arial" w:cs="Arial"/>
          <w:bCs/>
          <w:sz w:val="28"/>
          <w:szCs w:val="28"/>
        </w:rPr>
        <w:t>7.0%</w:t>
      </w:r>
      <w:r w:rsidRPr="00F631FB">
        <w:rPr>
          <w:rFonts w:ascii="Arial" w:eastAsia="仿宋_GB2312" w:hAnsi="Arial" w:cs="Arial"/>
          <w:bCs/>
          <w:sz w:val="28"/>
          <w:szCs w:val="28"/>
        </w:rPr>
        <w:t>。</w:t>
      </w:r>
    </w:p>
    <w:p w14:paraId="109CF078" w14:textId="1CE9D07A" w:rsidR="002C3ABF" w:rsidRPr="0019689C" w:rsidRDefault="002C3ABF" w:rsidP="0019689C">
      <w:pPr>
        <w:spacing w:line="360" w:lineRule="auto"/>
        <w:ind w:firstLineChars="200" w:firstLine="560"/>
        <w:jc w:val="both"/>
        <w:rPr>
          <w:rFonts w:ascii="Arial" w:eastAsia="仿宋_GB2312" w:hAnsi="Arial" w:cs="Arial"/>
          <w:bCs/>
          <w:sz w:val="28"/>
          <w:szCs w:val="28"/>
        </w:rPr>
      </w:pPr>
      <w:r w:rsidRPr="0019689C">
        <w:rPr>
          <w:rFonts w:ascii="Arial" w:eastAsia="仿宋_GB2312" w:hAnsi="Arial" w:cs="Arial"/>
          <w:bCs/>
          <w:sz w:val="28"/>
          <w:szCs w:val="28"/>
        </w:rPr>
        <w:t>估价对象位于海淀区</w:t>
      </w:r>
      <w:r w:rsidR="003F1721" w:rsidRPr="0019689C">
        <w:rPr>
          <w:rFonts w:ascii="Arial" w:eastAsia="仿宋_GB2312" w:hAnsi="Arial" w:cs="Arial" w:hint="eastAsia"/>
          <w:bCs/>
          <w:sz w:val="28"/>
          <w:szCs w:val="28"/>
        </w:rPr>
        <w:t>苏州街</w:t>
      </w:r>
      <w:r w:rsidRPr="0019689C">
        <w:rPr>
          <w:rFonts w:ascii="Arial" w:eastAsia="仿宋_GB2312" w:hAnsi="Arial" w:cs="Arial"/>
          <w:bCs/>
          <w:sz w:val="28"/>
          <w:szCs w:val="28"/>
        </w:rPr>
        <w:t>。估价对象所在区域有</w:t>
      </w:r>
      <w:r w:rsidRPr="0019689C">
        <w:rPr>
          <w:rFonts w:ascii="Arial" w:eastAsia="仿宋_GB2312" w:hAnsi="Arial" w:cs="Arial" w:hint="eastAsia"/>
          <w:bCs/>
          <w:sz w:val="28"/>
          <w:szCs w:val="28"/>
        </w:rPr>
        <w:t>购物场所（</w:t>
      </w:r>
      <w:r w:rsidR="00843CF8" w:rsidRPr="0019689C">
        <w:rPr>
          <w:rFonts w:ascii="Arial" w:eastAsia="仿宋_GB2312" w:hAnsi="Arial" w:cs="Arial" w:hint="eastAsia"/>
          <w:bCs/>
          <w:sz w:val="28"/>
          <w:szCs w:val="28"/>
        </w:rPr>
        <w:t>新中关购物中心、</w:t>
      </w:r>
      <w:proofErr w:type="gramStart"/>
      <w:r w:rsidR="00843CF8" w:rsidRPr="0019689C">
        <w:rPr>
          <w:rFonts w:ascii="Arial" w:eastAsia="仿宋_GB2312" w:hAnsi="Arial" w:cs="Arial" w:hint="eastAsia"/>
          <w:bCs/>
          <w:sz w:val="28"/>
          <w:szCs w:val="28"/>
        </w:rPr>
        <w:t>领展购物</w:t>
      </w:r>
      <w:proofErr w:type="gramEnd"/>
      <w:r w:rsidR="00843CF8" w:rsidRPr="0019689C">
        <w:rPr>
          <w:rFonts w:ascii="Arial" w:eastAsia="仿宋_GB2312" w:hAnsi="Arial" w:cs="Arial" w:hint="eastAsia"/>
          <w:bCs/>
          <w:sz w:val="28"/>
          <w:szCs w:val="28"/>
        </w:rPr>
        <w:t>广场（中关村店）、</w:t>
      </w:r>
      <w:r w:rsidR="00843CF8" w:rsidRPr="0019689C">
        <w:rPr>
          <w:rFonts w:ascii="Arial" w:eastAsia="仿宋_GB2312" w:hAnsi="Arial" w:cs="Arial" w:hint="eastAsia"/>
          <w:bCs/>
          <w:sz w:val="28"/>
          <w:szCs w:val="28"/>
        </w:rPr>
        <w:t>BHG</w:t>
      </w:r>
      <w:r w:rsidR="00843CF8" w:rsidRPr="0019689C">
        <w:rPr>
          <w:rFonts w:ascii="Arial" w:eastAsia="仿宋_GB2312" w:hAnsi="Arial" w:cs="Arial"/>
          <w:bCs/>
          <w:sz w:val="28"/>
          <w:szCs w:val="28"/>
        </w:rPr>
        <w:t xml:space="preserve"> MALL</w:t>
      </w:r>
      <w:r w:rsidR="00843CF8" w:rsidRPr="0019689C">
        <w:rPr>
          <w:rFonts w:ascii="Arial" w:eastAsia="仿宋_GB2312" w:hAnsi="Arial" w:cs="Arial" w:hint="eastAsia"/>
          <w:bCs/>
          <w:sz w:val="28"/>
          <w:szCs w:val="28"/>
        </w:rPr>
        <w:t>北京华联万柳购物中心</w:t>
      </w:r>
      <w:r w:rsidR="0019689C" w:rsidRPr="0019689C">
        <w:rPr>
          <w:rFonts w:ascii="Arial" w:eastAsia="仿宋_GB2312" w:hAnsi="Arial" w:cs="Arial" w:hint="eastAsia"/>
          <w:bCs/>
          <w:sz w:val="28"/>
          <w:szCs w:val="28"/>
        </w:rPr>
        <w:t>等</w:t>
      </w:r>
      <w:r w:rsidRPr="0019689C">
        <w:rPr>
          <w:rFonts w:ascii="Arial" w:eastAsia="仿宋_GB2312" w:hAnsi="Arial" w:cs="Arial" w:hint="eastAsia"/>
          <w:bCs/>
          <w:sz w:val="28"/>
          <w:szCs w:val="28"/>
        </w:rPr>
        <w:t>）</w:t>
      </w:r>
      <w:r w:rsidR="00843CF8" w:rsidRPr="0019689C">
        <w:rPr>
          <w:rFonts w:ascii="Arial" w:eastAsia="仿宋_GB2312" w:hAnsi="Arial" w:cs="Arial" w:hint="eastAsia"/>
          <w:bCs/>
          <w:sz w:val="28"/>
          <w:szCs w:val="28"/>
        </w:rPr>
        <w:t>；</w:t>
      </w:r>
      <w:r w:rsidRPr="0019689C">
        <w:rPr>
          <w:rFonts w:ascii="Arial" w:eastAsia="仿宋_GB2312" w:hAnsi="Arial" w:cs="Arial" w:hint="eastAsia"/>
          <w:bCs/>
          <w:sz w:val="28"/>
          <w:szCs w:val="28"/>
        </w:rPr>
        <w:t>学校（</w:t>
      </w:r>
      <w:r w:rsidR="00843CF8" w:rsidRPr="0019689C">
        <w:rPr>
          <w:rFonts w:ascii="Arial" w:eastAsia="仿宋_GB2312" w:hAnsi="Arial" w:cs="Arial" w:hint="eastAsia"/>
          <w:bCs/>
          <w:sz w:val="28"/>
          <w:szCs w:val="28"/>
        </w:rPr>
        <w:t>北京市八一学校、北京市信息管理学校（中关村校区）、中国人民大学附属中学、北京市第十九中学、万泉小学</w:t>
      </w:r>
      <w:r w:rsidR="0019689C" w:rsidRPr="0019689C">
        <w:rPr>
          <w:rFonts w:ascii="Arial" w:eastAsia="仿宋_GB2312" w:hAnsi="Arial" w:cs="Arial" w:hint="eastAsia"/>
          <w:bCs/>
          <w:sz w:val="28"/>
          <w:szCs w:val="28"/>
        </w:rPr>
        <w:t>等</w:t>
      </w:r>
      <w:r w:rsidRPr="0019689C">
        <w:rPr>
          <w:rFonts w:ascii="Arial" w:eastAsia="仿宋_GB2312" w:hAnsi="Arial" w:cs="Arial" w:hint="eastAsia"/>
          <w:bCs/>
          <w:sz w:val="28"/>
          <w:szCs w:val="28"/>
        </w:rPr>
        <w:t>）</w:t>
      </w:r>
      <w:r w:rsidR="0019689C" w:rsidRPr="0019689C">
        <w:rPr>
          <w:rFonts w:ascii="Arial" w:eastAsia="仿宋_GB2312" w:hAnsi="Arial" w:cs="Arial" w:hint="eastAsia"/>
          <w:bCs/>
          <w:sz w:val="28"/>
          <w:szCs w:val="28"/>
        </w:rPr>
        <w:t>；</w:t>
      </w:r>
      <w:r w:rsidRPr="0019689C">
        <w:rPr>
          <w:rFonts w:ascii="Arial" w:eastAsia="仿宋_GB2312" w:hAnsi="Arial" w:cs="Arial" w:hint="eastAsia"/>
          <w:bCs/>
          <w:sz w:val="28"/>
          <w:szCs w:val="28"/>
        </w:rPr>
        <w:t>医院（</w:t>
      </w:r>
      <w:r w:rsidR="0019689C" w:rsidRPr="0019689C">
        <w:rPr>
          <w:rFonts w:ascii="Arial" w:eastAsia="仿宋_GB2312" w:hAnsi="Arial" w:cs="Arial" w:hint="eastAsia"/>
          <w:bCs/>
          <w:sz w:val="28"/>
          <w:szCs w:val="28"/>
        </w:rPr>
        <w:t>圣安医院、北京市还海淀医院、中国人民大学医院、北京安仁堂中医门诊部等</w:t>
      </w:r>
      <w:r w:rsidRPr="0019689C">
        <w:rPr>
          <w:rFonts w:ascii="Arial" w:eastAsia="仿宋_GB2312" w:hAnsi="Arial" w:cs="Arial" w:hint="eastAsia"/>
          <w:bCs/>
          <w:sz w:val="28"/>
          <w:szCs w:val="28"/>
        </w:rPr>
        <w:t>）</w:t>
      </w:r>
      <w:r w:rsidR="0019689C" w:rsidRPr="0019689C">
        <w:rPr>
          <w:rFonts w:ascii="Arial" w:eastAsia="仿宋_GB2312" w:hAnsi="Arial" w:cs="Arial" w:hint="eastAsia"/>
          <w:bCs/>
          <w:sz w:val="28"/>
          <w:szCs w:val="28"/>
        </w:rPr>
        <w:t>；</w:t>
      </w:r>
      <w:r w:rsidRPr="0019689C">
        <w:rPr>
          <w:rFonts w:ascii="Arial" w:eastAsia="仿宋_GB2312" w:hAnsi="Arial" w:cs="Arial" w:hint="eastAsia"/>
          <w:bCs/>
          <w:sz w:val="28"/>
          <w:szCs w:val="28"/>
        </w:rPr>
        <w:t>银行（</w:t>
      </w:r>
      <w:r w:rsidR="0019689C" w:rsidRPr="0019689C">
        <w:rPr>
          <w:rFonts w:ascii="Arial" w:eastAsia="仿宋_GB2312" w:hAnsi="Arial" w:cs="Arial" w:hint="eastAsia"/>
          <w:bCs/>
          <w:sz w:val="28"/>
          <w:szCs w:val="28"/>
        </w:rPr>
        <w:t>北京银行（航天支行）、兴业银行（海淀支行）、中国民生银行（北京苏州街支行）、中国农业银行（海淀大街支行）等</w:t>
      </w:r>
      <w:r w:rsidRPr="0019689C">
        <w:rPr>
          <w:rFonts w:ascii="Arial" w:eastAsia="仿宋_GB2312" w:hAnsi="Arial" w:cs="Arial" w:hint="eastAsia"/>
          <w:bCs/>
          <w:sz w:val="28"/>
          <w:szCs w:val="28"/>
        </w:rPr>
        <w:t>）</w:t>
      </w:r>
      <w:r w:rsidRPr="0019689C">
        <w:rPr>
          <w:rFonts w:ascii="Arial" w:eastAsia="仿宋_GB2312" w:hAnsi="Arial" w:cs="Arial"/>
          <w:bCs/>
          <w:sz w:val="28"/>
          <w:szCs w:val="28"/>
        </w:rPr>
        <w:t>，</w:t>
      </w:r>
      <w:r w:rsidRPr="0019689C">
        <w:rPr>
          <w:rFonts w:ascii="Arial" w:eastAsia="仿宋_GB2312" w:hAnsi="Arial" w:cs="Arial"/>
          <w:sz w:val="28"/>
          <w:szCs w:val="28"/>
        </w:rPr>
        <w:t>综合分析，公共配套设施齐备程度较好。</w:t>
      </w:r>
    </w:p>
    <w:p w14:paraId="6FC1E61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交通条件</w:t>
      </w:r>
    </w:p>
    <w:p w14:paraId="7CA5BB0D"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截至</w:t>
      </w:r>
      <w:r w:rsidRPr="00F631FB">
        <w:rPr>
          <w:rFonts w:ascii="Arial" w:eastAsia="仿宋_GB2312" w:hAnsi="Arial" w:cs="Arial"/>
          <w:sz w:val="28"/>
          <w:szCs w:val="28"/>
        </w:rPr>
        <w:t>2020</w:t>
      </w:r>
      <w:r w:rsidRPr="00F631FB">
        <w:rPr>
          <w:rFonts w:ascii="Arial" w:eastAsia="仿宋_GB2312" w:hAnsi="Arial" w:cs="Arial"/>
          <w:sz w:val="28"/>
          <w:szCs w:val="28"/>
        </w:rPr>
        <w:t>年末，海淀区共有各级市政道路</w:t>
      </w:r>
      <w:r w:rsidRPr="00F631FB">
        <w:rPr>
          <w:rFonts w:ascii="Arial" w:eastAsia="仿宋_GB2312" w:hAnsi="Arial" w:cs="Arial"/>
          <w:sz w:val="28"/>
          <w:szCs w:val="28"/>
        </w:rPr>
        <w:t>3148</w:t>
      </w:r>
      <w:r w:rsidRPr="00F631FB">
        <w:rPr>
          <w:rFonts w:ascii="Arial" w:eastAsia="仿宋_GB2312" w:hAnsi="Arial" w:cs="Arial"/>
          <w:sz w:val="28"/>
          <w:szCs w:val="28"/>
        </w:rPr>
        <w:t>条，道路总长</w:t>
      </w:r>
      <w:r w:rsidRPr="00F631FB">
        <w:rPr>
          <w:rFonts w:ascii="Arial" w:eastAsia="仿宋_GB2312" w:hAnsi="Arial" w:cs="Arial"/>
          <w:sz w:val="28"/>
          <w:szCs w:val="28"/>
        </w:rPr>
        <w:t>1510.3</w:t>
      </w:r>
      <w:r w:rsidRPr="00F631FB">
        <w:rPr>
          <w:rFonts w:ascii="Arial" w:eastAsia="仿宋_GB2312" w:hAnsi="Arial" w:cs="Arial"/>
          <w:sz w:val="28"/>
          <w:szCs w:val="28"/>
        </w:rPr>
        <w:t>千米，其中快速路</w:t>
      </w:r>
      <w:r w:rsidRPr="00F631FB">
        <w:rPr>
          <w:rFonts w:ascii="Arial" w:eastAsia="仿宋_GB2312" w:hAnsi="Arial" w:cs="Arial"/>
          <w:sz w:val="28"/>
          <w:szCs w:val="28"/>
        </w:rPr>
        <w:t>97.4</w:t>
      </w:r>
      <w:r w:rsidRPr="00F631FB">
        <w:rPr>
          <w:rFonts w:ascii="Arial" w:eastAsia="仿宋_GB2312" w:hAnsi="Arial" w:cs="Arial"/>
          <w:sz w:val="28"/>
          <w:szCs w:val="28"/>
        </w:rPr>
        <w:t>千米，占</w:t>
      </w:r>
      <w:r w:rsidRPr="00F631FB">
        <w:rPr>
          <w:rFonts w:ascii="Arial" w:eastAsia="仿宋_GB2312" w:hAnsi="Arial" w:cs="Arial"/>
          <w:sz w:val="28"/>
          <w:szCs w:val="28"/>
        </w:rPr>
        <w:t>6%</w:t>
      </w:r>
      <w:r w:rsidRPr="00F631FB">
        <w:rPr>
          <w:rFonts w:ascii="Arial" w:eastAsia="仿宋_GB2312" w:hAnsi="Arial" w:cs="Arial"/>
          <w:sz w:val="28"/>
          <w:szCs w:val="28"/>
        </w:rPr>
        <w:t>；主干路</w:t>
      </w:r>
      <w:r w:rsidRPr="00F631FB">
        <w:rPr>
          <w:rFonts w:ascii="Arial" w:eastAsia="仿宋_GB2312" w:hAnsi="Arial" w:cs="Arial"/>
          <w:sz w:val="28"/>
          <w:szCs w:val="28"/>
        </w:rPr>
        <w:t>157.2</w:t>
      </w:r>
      <w:r w:rsidRPr="00F631FB">
        <w:rPr>
          <w:rFonts w:ascii="Arial" w:eastAsia="仿宋_GB2312" w:hAnsi="Arial" w:cs="Arial"/>
          <w:sz w:val="28"/>
          <w:szCs w:val="28"/>
        </w:rPr>
        <w:t>千米，占</w:t>
      </w:r>
      <w:r w:rsidRPr="00F631FB">
        <w:rPr>
          <w:rFonts w:ascii="Arial" w:eastAsia="仿宋_GB2312" w:hAnsi="Arial" w:cs="Arial"/>
          <w:sz w:val="28"/>
          <w:szCs w:val="28"/>
        </w:rPr>
        <w:t>10%</w:t>
      </w:r>
      <w:r w:rsidRPr="00F631FB">
        <w:rPr>
          <w:rFonts w:ascii="Arial" w:eastAsia="仿宋_GB2312" w:hAnsi="Arial" w:cs="Arial"/>
          <w:sz w:val="28"/>
          <w:szCs w:val="28"/>
        </w:rPr>
        <w:t>；次干路</w:t>
      </w:r>
      <w:r w:rsidRPr="00F631FB">
        <w:rPr>
          <w:rFonts w:ascii="Arial" w:eastAsia="仿宋_GB2312" w:hAnsi="Arial" w:cs="Arial"/>
          <w:sz w:val="28"/>
          <w:szCs w:val="28"/>
        </w:rPr>
        <w:t>575.1</w:t>
      </w:r>
      <w:r w:rsidRPr="00F631FB">
        <w:rPr>
          <w:rFonts w:ascii="Arial" w:eastAsia="仿宋_GB2312" w:hAnsi="Arial" w:cs="Arial"/>
          <w:sz w:val="28"/>
          <w:szCs w:val="28"/>
        </w:rPr>
        <w:t>千米，占</w:t>
      </w:r>
      <w:r w:rsidRPr="00F631FB">
        <w:rPr>
          <w:rFonts w:ascii="Arial" w:eastAsia="仿宋_GB2312" w:hAnsi="Arial" w:cs="Arial"/>
          <w:sz w:val="28"/>
          <w:szCs w:val="28"/>
        </w:rPr>
        <w:t>38%</w:t>
      </w:r>
      <w:r w:rsidRPr="00F631FB">
        <w:rPr>
          <w:rFonts w:ascii="Arial" w:eastAsia="仿宋_GB2312" w:hAnsi="Arial" w:cs="Arial"/>
          <w:sz w:val="28"/>
          <w:szCs w:val="28"/>
        </w:rPr>
        <w:t>；支路</w:t>
      </w:r>
      <w:r w:rsidRPr="00F631FB">
        <w:rPr>
          <w:rFonts w:ascii="Arial" w:eastAsia="仿宋_GB2312" w:hAnsi="Arial" w:cs="Arial"/>
          <w:sz w:val="28"/>
          <w:szCs w:val="28"/>
        </w:rPr>
        <w:t>680.5</w:t>
      </w:r>
      <w:r w:rsidRPr="00F631FB">
        <w:rPr>
          <w:rFonts w:ascii="Arial" w:eastAsia="仿宋_GB2312" w:hAnsi="Arial" w:cs="Arial"/>
          <w:sz w:val="28"/>
          <w:szCs w:val="28"/>
        </w:rPr>
        <w:t>千米，占</w:t>
      </w:r>
      <w:r w:rsidRPr="00F631FB">
        <w:rPr>
          <w:rFonts w:ascii="Arial" w:eastAsia="仿宋_GB2312" w:hAnsi="Arial" w:cs="Arial"/>
          <w:sz w:val="28"/>
          <w:szCs w:val="28"/>
        </w:rPr>
        <w:t>46%</w:t>
      </w:r>
      <w:r w:rsidRPr="00F631FB">
        <w:rPr>
          <w:rFonts w:ascii="Arial" w:eastAsia="仿宋_GB2312" w:hAnsi="Arial" w:cs="Arial"/>
          <w:sz w:val="28"/>
          <w:szCs w:val="28"/>
        </w:rPr>
        <w:t>。北京三、四、五、六环路和地铁</w:t>
      </w:r>
      <w:r w:rsidRPr="00F631FB">
        <w:rPr>
          <w:rFonts w:ascii="Arial" w:eastAsia="仿宋_GB2312" w:hAnsi="Arial" w:cs="Arial"/>
          <w:sz w:val="28"/>
          <w:szCs w:val="28"/>
        </w:rPr>
        <w:t>1</w:t>
      </w:r>
      <w:r w:rsidRPr="00F631FB">
        <w:rPr>
          <w:rFonts w:ascii="Arial" w:eastAsia="仿宋_GB2312" w:hAnsi="Arial" w:cs="Arial"/>
          <w:sz w:val="28"/>
          <w:szCs w:val="28"/>
        </w:rPr>
        <w:t>号线、</w:t>
      </w:r>
      <w:r w:rsidRPr="00F631FB">
        <w:rPr>
          <w:rFonts w:ascii="Arial" w:eastAsia="仿宋_GB2312" w:hAnsi="Arial" w:cs="Arial"/>
          <w:sz w:val="28"/>
          <w:szCs w:val="28"/>
        </w:rPr>
        <w:t>4</w:t>
      </w:r>
      <w:r w:rsidRPr="00F631FB">
        <w:rPr>
          <w:rFonts w:ascii="Arial" w:eastAsia="仿宋_GB2312" w:hAnsi="Arial" w:cs="Arial"/>
          <w:sz w:val="28"/>
          <w:szCs w:val="28"/>
        </w:rPr>
        <w:t>号线、</w:t>
      </w:r>
      <w:r w:rsidRPr="00F631FB">
        <w:rPr>
          <w:rFonts w:ascii="Arial" w:eastAsia="仿宋_GB2312" w:hAnsi="Arial" w:cs="Arial"/>
          <w:sz w:val="28"/>
          <w:szCs w:val="28"/>
        </w:rPr>
        <w:t>6</w:t>
      </w:r>
      <w:r w:rsidRPr="00F631FB">
        <w:rPr>
          <w:rFonts w:ascii="Arial" w:eastAsia="仿宋_GB2312" w:hAnsi="Arial" w:cs="Arial"/>
          <w:sz w:val="28"/>
          <w:szCs w:val="28"/>
        </w:rPr>
        <w:t>号线、</w:t>
      </w:r>
      <w:r w:rsidRPr="00F631FB">
        <w:rPr>
          <w:rFonts w:ascii="Arial" w:eastAsia="仿宋_GB2312" w:hAnsi="Arial" w:cs="Arial"/>
          <w:sz w:val="28"/>
          <w:szCs w:val="28"/>
        </w:rPr>
        <w:t>8</w:t>
      </w:r>
      <w:r w:rsidRPr="00F631FB">
        <w:rPr>
          <w:rFonts w:ascii="Arial" w:eastAsia="仿宋_GB2312" w:hAnsi="Arial" w:cs="Arial"/>
          <w:sz w:val="28"/>
          <w:szCs w:val="28"/>
        </w:rPr>
        <w:t>号线、</w:t>
      </w:r>
      <w:r w:rsidRPr="00F631FB">
        <w:rPr>
          <w:rFonts w:ascii="Arial" w:eastAsia="仿宋_GB2312" w:hAnsi="Arial" w:cs="Arial"/>
          <w:sz w:val="28"/>
          <w:szCs w:val="28"/>
        </w:rPr>
        <w:t>9</w:t>
      </w:r>
      <w:r w:rsidRPr="00F631FB">
        <w:rPr>
          <w:rFonts w:ascii="Arial" w:eastAsia="仿宋_GB2312" w:hAnsi="Arial" w:cs="Arial"/>
          <w:sz w:val="28"/>
          <w:szCs w:val="28"/>
        </w:rPr>
        <w:t>号线、</w:t>
      </w:r>
      <w:r w:rsidRPr="00F631FB">
        <w:rPr>
          <w:rFonts w:ascii="Arial" w:eastAsia="仿宋_GB2312" w:hAnsi="Arial" w:cs="Arial"/>
          <w:sz w:val="28"/>
          <w:szCs w:val="28"/>
        </w:rPr>
        <w:t>10</w:t>
      </w:r>
      <w:r w:rsidRPr="00F631FB">
        <w:rPr>
          <w:rFonts w:ascii="Arial" w:eastAsia="仿宋_GB2312" w:hAnsi="Arial" w:cs="Arial"/>
          <w:sz w:val="28"/>
          <w:szCs w:val="28"/>
        </w:rPr>
        <w:t>号线、</w:t>
      </w:r>
      <w:r w:rsidRPr="00F631FB">
        <w:rPr>
          <w:rFonts w:ascii="Arial" w:eastAsia="仿宋_GB2312" w:hAnsi="Arial" w:cs="Arial"/>
          <w:sz w:val="28"/>
          <w:szCs w:val="28"/>
        </w:rPr>
        <w:t>13</w:t>
      </w:r>
      <w:r w:rsidRPr="00F631FB">
        <w:rPr>
          <w:rFonts w:ascii="Arial" w:eastAsia="仿宋_GB2312" w:hAnsi="Arial" w:cs="Arial"/>
          <w:sz w:val="28"/>
          <w:szCs w:val="28"/>
        </w:rPr>
        <w:t>号线、</w:t>
      </w:r>
      <w:r w:rsidRPr="00F631FB">
        <w:rPr>
          <w:rFonts w:ascii="Arial" w:eastAsia="仿宋_GB2312" w:hAnsi="Arial" w:cs="Arial"/>
          <w:sz w:val="28"/>
          <w:szCs w:val="28"/>
        </w:rPr>
        <w:t>15</w:t>
      </w:r>
      <w:r w:rsidRPr="00F631FB">
        <w:rPr>
          <w:rFonts w:ascii="Arial" w:eastAsia="仿宋_GB2312" w:hAnsi="Arial" w:cs="Arial"/>
          <w:sz w:val="28"/>
          <w:szCs w:val="28"/>
        </w:rPr>
        <w:t>号线、</w:t>
      </w:r>
      <w:r w:rsidRPr="00F631FB">
        <w:rPr>
          <w:rFonts w:ascii="Arial" w:eastAsia="仿宋_GB2312" w:hAnsi="Arial" w:cs="Arial"/>
          <w:sz w:val="28"/>
          <w:szCs w:val="28"/>
        </w:rPr>
        <w:t>16</w:t>
      </w:r>
      <w:r w:rsidRPr="00F631FB">
        <w:rPr>
          <w:rFonts w:ascii="Arial" w:eastAsia="仿宋_GB2312" w:hAnsi="Arial" w:cs="Arial"/>
          <w:sz w:val="28"/>
          <w:szCs w:val="28"/>
        </w:rPr>
        <w:t>号线和</w:t>
      </w:r>
      <w:proofErr w:type="gramStart"/>
      <w:r w:rsidRPr="00F631FB">
        <w:rPr>
          <w:rFonts w:ascii="Arial" w:eastAsia="仿宋_GB2312" w:hAnsi="Arial" w:cs="Arial"/>
          <w:sz w:val="28"/>
          <w:szCs w:val="28"/>
        </w:rPr>
        <w:t>昌平线</w:t>
      </w:r>
      <w:proofErr w:type="gramEnd"/>
      <w:r w:rsidRPr="00F631FB">
        <w:rPr>
          <w:rFonts w:ascii="Arial" w:eastAsia="仿宋_GB2312" w:hAnsi="Arial" w:cs="Arial"/>
          <w:sz w:val="28"/>
          <w:szCs w:val="28"/>
        </w:rPr>
        <w:t>贯穿海淀区境内。</w:t>
      </w:r>
    </w:p>
    <w:p w14:paraId="7D05DDBA" w14:textId="4738A298"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估价对象紧邻城市</w:t>
      </w:r>
      <w:r w:rsidR="0019689C">
        <w:rPr>
          <w:rFonts w:ascii="Arial" w:eastAsia="仿宋_GB2312" w:hAnsi="Arial" w:cs="Arial" w:hint="eastAsia"/>
          <w:sz w:val="28"/>
          <w:szCs w:val="28"/>
        </w:rPr>
        <w:t>主</w:t>
      </w:r>
      <w:r w:rsidRPr="00F631FB">
        <w:rPr>
          <w:rFonts w:ascii="Arial" w:eastAsia="仿宋_GB2312" w:hAnsi="Arial" w:cs="Arial" w:hint="eastAsia"/>
          <w:sz w:val="28"/>
          <w:szCs w:val="28"/>
        </w:rPr>
        <w:t>干道</w:t>
      </w:r>
      <w:r w:rsidRPr="00F631FB">
        <w:rPr>
          <w:rFonts w:ascii="Arial" w:eastAsia="仿宋_GB2312" w:hAnsi="Arial" w:cs="Arial"/>
          <w:sz w:val="28"/>
          <w:szCs w:val="28"/>
        </w:rPr>
        <w:t>—</w:t>
      </w:r>
      <w:r w:rsidR="0019689C">
        <w:rPr>
          <w:rFonts w:ascii="Arial" w:eastAsia="仿宋_GB2312" w:hAnsi="Arial" w:cs="Arial" w:hint="eastAsia"/>
          <w:sz w:val="28"/>
          <w:szCs w:val="28"/>
        </w:rPr>
        <w:t>海淀南路、苏州街</w:t>
      </w:r>
      <w:r w:rsidRPr="00F631FB">
        <w:rPr>
          <w:rFonts w:ascii="Arial" w:eastAsia="仿宋_GB2312" w:hAnsi="Arial" w:cs="Arial" w:hint="eastAsia"/>
          <w:sz w:val="28"/>
          <w:szCs w:val="28"/>
        </w:rPr>
        <w:t>，</w:t>
      </w:r>
      <w:r w:rsidR="0019689C">
        <w:rPr>
          <w:rFonts w:ascii="Arial" w:eastAsia="仿宋_GB2312" w:hAnsi="Arial" w:cs="Arial" w:hint="eastAsia"/>
          <w:sz w:val="28"/>
          <w:szCs w:val="28"/>
        </w:rPr>
        <w:t>南</w:t>
      </w:r>
      <w:r w:rsidRPr="00F631FB">
        <w:rPr>
          <w:rFonts w:ascii="Arial" w:eastAsia="仿宋_GB2312" w:hAnsi="Arial" w:cs="Arial" w:hint="eastAsia"/>
          <w:sz w:val="28"/>
          <w:szCs w:val="28"/>
        </w:rPr>
        <w:t>距</w:t>
      </w:r>
      <w:r w:rsidR="0019689C">
        <w:rPr>
          <w:rFonts w:ascii="Arial" w:eastAsia="仿宋_GB2312" w:hAnsi="Arial" w:cs="Arial" w:hint="eastAsia"/>
          <w:sz w:val="28"/>
          <w:szCs w:val="28"/>
        </w:rPr>
        <w:t>北三环西路约</w:t>
      </w:r>
      <w:r w:rsidR="0019689C">
        <w:rPr>
          <w:rFonts w:ascii="Arial" w:eastAsia="仿宋_GB2312" w:hAnsi="Arial" w:cs="Arial" w:hint="eastAsia"/>
          <w:sz w:val="28"/>
          <w:szCs w:val="28"/>
        </w:rPr>
        <w:t>1</w:t>
      </w:r>
      <w:r w:rsidR="0019689C">
        <w:rPr>
          <w:rFonts w:ascii="Arial" w:eastAsia="仿宋_GB2312" w:hAnsi="Arial" w:cs="Arial"/>
          <w:sz w:val="28"/>
          <w:szCs w:val="28"/>
        </w:rPr>
        <w:t>500</w:t>
      </w:r>
      <w:r w:rsidR="0019689C">
        <w:rPr>
          <w:rFonts w:ascii="Arial" w:eastAsia="仿宋_GB2312" w:hAnsi="Arial" w:cs="Arial" w:hint="eastAsia"/>
          <w:sz w:val="28"/>
          <w:szCs w:val="28"/>
        </w:rPr>
        <w:t>米</w:t>
      </w:r>
      <w:r w:rsidRPr="00F631FB">
        <w:rPr>
          <w:rFonts w:ascii="Arial" w:eastAsia="仿宋_GB2312" w:hAnsi="Arial" w:cs="Arial"/>
          <w:sz w:val="28"/>
          <w:szCs w:val="28"/>
        </w:rPr>
        <w:t>，</w:t>
      </w:r>
      <w:r w:rsidRPr="00F631FB">
        <w:rPr>
          <w:rFonts w:ascii="Arial" w:eastAsia="仿宋_GB2312" w:hAnsi="Arial" w:cs="Arial" w:hint="eastAsia"/>
          <w:sz w:val="28"/>
          <w:szCs w:val="28"/>
        </w:rPr>
        <w:t>距北京首都国际机场约</w:t>
      </w:r>
      <w:r w:rsidR="0019689C">
        <w:rPr>
          <w:rFonts w:ascii="Arial" w:eastAsia="仿宋_GB2312" w:hAnsi="Arial" w:cs="Arial"/>
          <w:sz w:val="28"/>
          <w:szCs w:val="28"/>
        </w:rPr>
        <w:t>29</w:t>
      </w:r>
      <w:r w:rsidRPr="00F631FB">
        <w:rPr>
          <w:rFonts w:ascii="Arial" w:eastAsia="仿宋_GB2312" w:hAnsi="Arial" w:cs="Arial" w:hint="eastAsia"/>
          <w:sz w:val="28"/>
          <w:szCs w:val="28"/>
        </w:rPr>
        <w:t>公里，距北京</w:t>
      </w:r>
      <w:r w:rsidR="0019689C">
        <w:rPr>
          <w:rFonts w:ascii="Arial" w:eastAsia="仿宋_GB2312" w:hAnsi="Arial" w:cs="Arial" w:hint="eastAsia"/>
          <w:sz w:val="28"/>
          <w:szCs w:val="28"/>
        </w:rPr>
        <w:t>站</w:t>
      </w:r>
      <w:r w:rsidRPr="00F631FB">
        <w:rPr>
          <w:rFonts w:ascii="Arial" w:eastAsia="仿宋_GB2312" w:hAnsi="Arial" w:cs="Arial" w:hint="eastAsia"/>
          <w:sz w:val="28"/>
          <w:szCs w:val="28"/>
        </w:rPr>
        <w:t>约</w:t>
      </w:r>
      <w:r w:rsidRPr="00F631FB">
        <w:rPr>
          <w:rFonts w:ascii="Arial" w:eastAsia="仿宋_GB2312" w:hAnsi="Arial" w:cs="Arial" w:hint="eastAsia"/>
          <w:sz w:val="28"/>
          <w:szCs w:val="28"/>
        </w:rPr>
        <w:t>1</w:t>
      </w:r>
      <w:r w:rsidR="0019689C">
        <w:rPr>
          <w:rFonts w:ascii="Arial" w:eastAsia="仿宋_GB2312" w:hAnsi="Arial" w:cs="Arial"/>
          <w:sz w:val="28"/>
          <w:szCs w:val="28"/>
        </w:rPr>
        <w:t>3</w:t>
      </w:r>
      <w:r w:rsidRPr="00F631FB">
        <w:rPr>
          <w:rFonts w:ascii="Arial" w:eastAsia="仿宋_GB2312" w:hAnsi="Arial" w:cs="Arial" w:hint="eastAsia"/>
          <w:sz w:val="28"/>
          <w:szCs w:val="28"/>
        </w:rPr>
        <w:t>公里</w:t>
      </w:r>
      <w:r w:rsidRPr="00F631FB">
        <w:rPr>
          <w:rFonts w:ascii="Arial" w:eastAsia="仿宋_GB2312" w:hAnsi="Arial" w:cs="Arial"/>
          <w:sz w:val="28"/>
          <w:szCs w:val="28"/>
        </w:rPr>
        <w:t>，</w:t>
      </w:r>
      <w:r w:rsidR="0019689C">
        <w:rPr>
          <w:rFonts w:ascii="Arial" w:eastAsia="仿宋_GB2312" w:hAnsi="Arial" w:cs="Arial" w:hint="eastAsia"/>
          <w:sz w:val="28"/>
          <w:szCs w:val="28"/>
        </w:rPr>
        <w:t>紧邻地铁</w:t>
      </w:r>
      <w:r w:rsidR="0019689C">
        <w:rPr>
          <w:rFonts w:ascii="Arial" w:eastAsia="仿宋_GB2312" w:hAnsi="Arial" w:cs="Arial" w:hint="eastAsia"/>
          <w:sz w:val="28"/>
          <w:szCs w:val="28"/>
        </w:rPr>
        <w:t>1</w:t>
      </w:r>
      <w:r w:rsidR="0019689C">
        <w:rPr>
          <w:rFonts w:ascii="Arial" w:eastAsia="仿宋_GB2312" w:hAnsi="Arial" w:cs="Arial"/>
          <w:sz w:val="28"/>
          <w:szCs w:val="28"/>
        </w:rPr>
        <w:t>0</w:t>
      </w:r>
      <w:r w:rsidR="0019689C">
        <w:rPr>
          <w:rFonts w:ascii="Arial" w:eastAsia="仿宋_GB2312" w:hAnsi="Arial" w:cs="Arial" w:hint="eastAsia"/>
          <w:sz w:val="28"/>
          <w:szCs w:val="28"/>
        </w:rPr>
        <w:t>、</w:t>
      </w:r>
      <w:r w:rsidR="0019689C">
        <w:rPr>
          <w:rFonts w:ascii="Arial" w:eastAsia="仿宋_GB2312" w:hAnsi="Arial" w:cs="Arial" w:hint="eastAsia"/>
          <w:sz w:val="28"/>
          <w:szCs w:val="28"/>
        </w:rPr>
        <w:t>1</w:t>
      </w:r>
      <w:r w:rsidR="0019689C">
        <w:rPr>
          <w:rFonts w:ascii="Arial" w:eastAsia="仿宋_GB2312" w:hAnsi="Arial" w:cs="Arial"/>
          <w:sz w:val="28"/>
          <w:szCs w:val="28"/>
        </w:rPr>
        <w:t>6</w:t>
      </w:r>
      <w:r w:rsidR="0019689C">
        <w:rPr>
          <w:rFonts w:ascii="Arial" w:eastAsia="仿宋_GB2312" w:hAnsi="Arial" w:cs="Arial" w:hint="eastAsia"/>
          <w:sz w:val="28"/>
          <w:szCs w:val="28"/>
        </w:rPr>
        <w:t>号线（苏州街站）</w:t>
      </w:r>
      <w:r w:rsidRPr="00F631FB">
        <w:rPr>
          <w:rFonts w:ascii="Arial" w:eastAsia="仿宋_GB2312" w:hAnsi="Arial" w:cs="Arial" w:hint="eastAsia"/>
          <w:sz w:val="28"/>
          <w:szCs w:val="28"/>
        </w:rPr>
        <w:t>，周边有</w:t>
      </w:r>
      <w:r w:rsidR="0019689C">
        <w:rPr>
          <w:rFonts w:ascii="Arial" w:eastAsia="仿宋_GB2312" w:hAnsi="Arial" w:cs="Arial"/>
          <w:sz w:val="28"/>
          <w:szCs w:val="28"/>
        </w:rPr>
        <w:t>304</w:t>
      </w:r>
      <w:r w:rsidRPr="00F631FB">
        <w:rPr>
          <w:rFonts w:ascii="Arial" w:eastAsia="仿宋_GB2312" w:hAnsi="Arial" w:cs="Arial" w:hint="eastAsia"/>
          <w:sz w:val="28"/>
          <w:szCs w:val="28"/>
        </w:rPr>
        <w:t>路、</w:t>
      </w:r>
      <w:r w:rsidR="0019689C">
        <w:rPr>
          <w:rFonts w:ascii="Arial" w:eastAsia="仿宋_GB2312" w:hAnsi="Arial" w:cs="Arial"/>
          <w:sz w:val="28"/>
          <w:szCs w:val="28"/>
        </w:rPr>
        <w:t>307</w:t>
      </w:r>
      <w:r w:rsidRPr="00F631FB">
        <w:rPr>
          <w:rFonts w:ascii="Arial" w:eastAsia="仿宋_GB2312" w:hAnsi="Arial" w:cs="Arial" w:hint="eastAsia"/>
          <w:sz w:val="28"/>
          <w:szCs w:val="28"/>
        </w:rPr>
        <w:t>路、</w:t>
      </w:r>
      <w:r w:rsidR="0019689C">
        <w:rPr>
          <w:rFonts w:ascii="Arial" w:eastAsia="仿宋_GB2312" w:hAnsi="Arial" w:cs="Arial"/>
          <w:sz w:val="28"/>
          <w:szCs w:val="28"/>
        </w:rPr>
        <w:t>386</w:t>
      </w:r>
      <w:r w:rsidRPr="00F631FB">
        <w:rPr>
          <w:rFonts w:ascii="Arial" w:eastAsia="仿宋_GB2312" w:hAnsi="Arial" w:cs="Arial" w:hint="eastAsia"/>
          <w:sz w:val="28"/>
          <w:szCs w:val="28"/>
        </w:rPr>
        <w:t>路、</w:t>
      </w:r>
      <w:r w:rsidR="0019689C">
        <w:rPr>
          <w:rFonts w:ascii="Arial" w:eastAsia="仿宋_GB2312" w:hAnsi="Arial" w:cs="Arial" w:hint="eastAsia"/>
          <w:sz w:val="28"/>
          <w:szCs w:val="28"/>
        </w:rPr>
        <w:t>6</w:t>
      </w:r>
      <w:r w:rsidR="0019689C">
        <w:rPr>
          <w:rFonts w:ascii="Arial" w:eastAsia="仿宋_GB2312" w:hAnsi="Arial" w:cs="Arial"/>
          <w:sz w:val="28"/>
          <w:szCs w:val="28"/>
        </w:rPr>
        <w:t>30</w:t>
      </w:r>
      <w:r w:rsidRPr="00F631FB">
        <w:rPr>
          <w:rFonts w:ascii="Arial" w:eastAsia="仿宋_GB2312" w:hAnsi="Arial" w:cs="Arial" w:hint="eastAsia"/>
          <w:sz w:val="28"/>
          <w:szCs w:val="28"/>
        </w:rPr>
        <w:t>路、</w:t>
      </w:r>
      <w:r w:rsidR="0019689C">
        <w:rPr>
          <w:rFonts w:ascii="Arial" w:eastAsia="仿宋_GB2312" w:hAnsi="Arial" w:cs="Arial" w:hint="eastAsia"/>
          <w:sz w:val="28"/>
          <w:szCs w:val="28"/>
        </w:rPr>
        <w:t>6</w:t>
      </w:r>
      <w:r w:rsidR="0019689C">
        <w:rPr>
          <w:rFonts w:ascii="Arial" w:eastAsia="仿宋_GB2312" w:hAnsi="Arial" w:cs="Arial"/>
          <w:sz w:val="28"/>
          <w:szCs w:val="28"/>
        </w:rPr>
        <w:t>34</w:t>
      </w:r>
      <w:r w:rsidRPr="00F631FB">
        <w:rPr>
          <w:rFonts w:ascii="Arial" w:eastAsia="仿宋_GB2312" w:hAnsi="Arial" w:cs="Arial" w:hint="eastAsia"/>
          <w:sz w:val="28"/>
          <w:szCs w:val="28"/>
        </w:rPr>
        <w:t>路、</w:t>
      </w:r>
      <w:r w:rsidR="0019689C">
        <w:rPr>
          <w:rFonts w:ascii="Arial" w:eastAsia="仿宋_GB2312" w:hAnsi="Arial" w:cs="Arial"/>
          <w:sz w:val="28"/>
          <w:szCs w:val="28"/>
        </w:rPr>
        <w:t>671</w:t>
      </w:r>
      <w:r w:rsidRPr="00F631FB">
        <w:rPr>
          <w:rFonts w:ascii="Arial" w:eastAsia="仿宋_GB2312" w:hAnsi="Arial" w:cs="Arial" w:hint="eastAsia"/>
          <w:sz w:val="28"/>
          <w:szCs w:val="28"/>
        </w:rPr>
        <w:t>路</w:t>
      </w:r>
      <w:r w:rsidR="0019689C">
        <w:rPr>
          <w:rFonts w:ascii="Arial" w:eastAsia="仿宋_GB2312" w:hAnsi="Arial" w:cs="Arial" w:hint="eastAsia"/>
          <w:sz w:val="28"/>
          <w:szCs w:val="28"/>
        </w:rPr>
        <w:t>等</w:t>
      </w:r>
      <w:r w:rsidRPr="00F631FB">
        <w:rPr>
          <w:rFonts w:ascii="Arial" w:eastAsia="仿宋_GB2312" w:hAnsi="Arial" w:cs="Arial"/>
          <w:sz w:val="28"/>
          <w:szCs w:val="28"/>
        </w:rPr>
        <w:t>多条公交线路通过，综合评价交通便捷度</w:t>
      </w:r>
      <w:r w:rsidRPr="00F631FB">
        <w:rPr>
          <w:rFonts w:ascii="Arial" w:eastAsia="仿宋_GB2312" w:hAnsi="Arial" w:cs="Arial" w:hint="eastAsia"/>
          <w:sz w:val="28"/>
          <w:szCs w:val="28"/>
        </w:rPr>
        <w:t>较</w:t>
      </w:r>
      <w:r w:rsidRPr="00F631FB">
        <w:rPr>
          <w:rFonts w:ascii="Arial" w:eastAsia="仿宋_GB2312" w:hAnsi="Arial" w:cs="Arial"/>
          <w:sz w:val="28"/>
          <w:szCs w:val="28"/>
        </w:rPr>
        <w:t>好。</w:t>
      </w:r>
    </w:p>
    <w:p w14:paraId="65181A1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环境条件</w:t>
      </w:r>
    </w:p>
    <w:p w14:paraId="68AD9F06"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海淀山区分布</w:t>
      </w:r>
      <w:proofErr w:type="gramStart"/>
      <w:r w:rsidRPr="00F631FB">
        <w:rPr>
          <w:rFonts w:ascii="Arial" w:eastAsia="仿宋_GB2312" w:hAnsi="Arial" w:cs="Arial"/>
          <w:sz w:val="28"/>
          <w:szCs w:val="28"/>
        </w:rPr>
        <w:t>于区境西部</w:t>
      </w:r>
      <w:proofErr w:type="gramEnd"/>
      <w:r w:rsidRPr="00F631FB">
        <w:rPr>
          <w:rFonts w:ascii="Arial" w:eastAsia="仿宋_GB2312" w:hAnsi="Arial" w:cs="Arial"/>
          <w:sz w:val="28"/>
          <w:szCs w:val="28"/>
        </w:rPr>
        <w:t>，山体主要属中生代燕山构造旋</w:t>
      </w:r>
      <w:proofErr w:type="gramStart"/>
      <w:r w:rsidRPr="00F631FB">
        <w:rPr>
          <w:rFonts w:ascii="Arial" w:eastAsia="仿宋_GB2312" w:hAnsi="Arial" w:cs="Arial"/>
          <w:sz w:val="28"/>
          <w:szCs w:val="28"/>
        </w:rPr>
        <w:t>迥</w:t>
      </w:r>
      <w:proofErr w:type="gramEnd"/>
      <w:r w:rsidRPr="00F631FB">
        <w:rPr>
          <w:rFonts w:ascii="Arial" w:eastAsia="仿宋_GB2312" w:hAnsi="Arial" w:cs="Arial"/>
          <w:sz w:val="28"/>
          <w:szCs w:val="28"/>
        </w:rPr>
        <w:t>，晚期造山运动形成，至今约</w:t>
      </w:r>
      <w:r w:rsidRPr="00F631FB">
        <w:rPr>
          <w:rFonts w:ascii="Arial" w:eastAsia="仿宋_GB2312" w:hAnsi="Arial" w:cs="Arial"/>
          <w:sz w:val="28"/>
          <w:szCs w:val="28"/>
        </w:rPr>
        <w:t>6000</w:t>
      </w:r>
      <w:r w:rsidRPr="00F631FB">
        <w:rPr>
          <w:rFonts w:ascii="Arial" w:eastAsia="仿宋_GB2312" w:hAnsi="Arial" w:cs="Arial"/>
          <w:sz w:val="28"/>
          <w:szCs w:val="28"/>
        </w:rPr>
        <w:t>万年。山体剥蚀，风化强烈，山谷多呈</w:t>
      </w:r>
      <w:r w:rsidRPr="00F631FB">
        <w:rPr>
          <w:rFonts w:ascii="Arial" w:eastAsia="仿宋_GB2312" w:hAnsi="Arial" w:cs="Arial"/>
          <w:sz w:val="28"/>
          <w:szCs w:val="28"/>
        </w:rPr>
        <w:t>“U”</w:t>
      </w:r>
      <w:r w:rsidRPr="00F631FB">
        <w:rPr>
          <w:rFonts w:ascii="Arial" w:eastAsia="仿宋_GB2312" w:hAnsi="Arial" w:cs="Arial"/>
          <w:sz w:val="28"/>
          <w:szCs w:val="28"/>
        </w:rPr>
        <w:t>形。按山</w:t>
      </w:r>
      <w:r w:rsidRPr="00F631FB">
        <w:rPr>
          <w:rFonts w:ascii="Arial" w:eastAsia="仿宋_GB2312" w:hAnsi="Arial" w:cs="Arial"/>
          <w:sz w:val="28"/>
          <w:szCs w:val="28"/>
        </w:rPr>
        <w:lastRenderedPageBreak/>
        <w:t>体走向和山脊海拔高程差异以</w:t>
      </w:r>
      <w:r w:rsidR="00790873">
        <w:fldChar w:fldCharType="begin"/>
      </w:r>
      <w:r w:rsidR="00790873">
        <w:instrText xml:space="preserve"> HYPERLINK "https://baike.baidu.com/item/%E8%8B%8F%E5%AE%B6%E5%9D%A8%E9%95%87" \t "_blank" </w:instrText>
      </w:r>
      <w:r w:rsidR="00790873">
        <w:fldChar w:fldCharType="separate"/>
      </w:r>
      <w:r w:rsidRPr="00F631FB">
        <w:rPr>
          <w:rFonts w:ascii="Arial" w:eastAsia="仿宋_GB2312" w:hAnsi="Arial" w:cs="Arial"/>
          <w:sz w:val="28"/>
          <w:szCs w:val="28"/>
        </w:rPr>
        <w:t>苏家坨镇</w:t>
      </w:r>
      <w:r w:rsidR="00790873">
        <w:rPr>
          <w:rFonts w:ascii="Arial" w:eastAsia="仿宋_GB2312" w:hAnsi="Arial" w:cs="Arial"/>
          <w:sz w:val="28"/>
          <w:szCs w:val="28"/>
        </w:rPr>
        <w:fldChar w:fldCharType="end"/>
      </w:r>
      <w:r w:rsidRPr="00F631FB">
        <w:rPr>
          <w:rFonts w:ascii="Arial" w:eastAsia="仿宋_GB2312" w:hAnsi="Arial" w:cs="Arial"/>
          <w:sz w:val="28"/>
          <w:szCs w:val="28"/>
        </w:rPr>
        <w:t>寨口沟，北</w:t>
      </w:r>
      <w:proofErr w:type="gramStart"/>
      <w:r w:rsidRPr="00F631FB">
        <w:rPr>
          <w:rFonts w:ascii="Arial" w:eastAsia="仿宋_GB2312" w:hAnsi="Arial" w:cs="Arial"/>
          <w:sz w:val="28"/>
          <w:szCs w:val="28"/>
        </w:rPr>
        <w:t>北</w:t>
      </w:r>
      <w:proofErr w:type="gramEnd"/>
      <w:r w:rsidRPr="00F631FB">
        <w:rPr>
          <w:rFonts w:ascii="Arial" w:eastAsia="仿宋_GB2312" w:hAnsi="Arial" w:cs="Arial"/>
          <w:sz w:val="28"/>
          <w:szCs w:val="28"/>
        </w:rPr>
        <w:t>东向断层为界，可分为两个部分：从原</w:t>
      </w:r>
      <w:proofErr w:type="gramStart"/>
      <w:r w:rsidRPr="00F631FB">
        <w:rPr>
          <w:rFonts w:ascii="Arial" w:eastAsia="仿宋_GB2312" w:hAnsi="Arial" w:cs="Arial"/>
          <w:sz w:val="28"/>
          <w:szCs w:val="28"/>
        </w:rPr>
        <w:t>聂</w:t>
      </w:r>
      <w:proofErr w:type="gramEnd"/>
      <w:r w:rsidRPr="00F631FB">
        <w:rPr>
          <w:rFonts w:ascii="Arial" w:eastAsia="仿宋_GB2312" w:hAnsi="Arial" w:cs="Arial"/>
          <w:sz w:val="28"/>
          <w:szCs w:val="28"/>
        </w:rPr>
        <w:t>各庄乡北部区界到原北安</w:t>
      </w:r>
      <w:proofErr w:type="gramStart"/>
      <w:r w:rsidRPr="00F631FB">
        <w:rPr>
          <w:rFonts w:ascii="Arial" w:eastAsia="仿宋_GB2312" w:hAnsi="Arial" w:cs="Arial"/>
          <w:sz w:val="28"/>
          <w:szCs w:val="28"/>
        </w:rPr>
        <w:t>河乡寨口沟</w:t>
      </w:r>
      <w:proofErr w:type="gramEnd"/>
      <w:r w:rsidRPr="00F631FB">
        <w:rPr>
          <w:rFonts w:ascii="Arial" w:eastAsia="仿宋_GB2312" w:hAnsi="Arial" w:cs="Arial"/>
          <w:sz w:val="28"/>
          <w:szCs w:val="28"/>
        </w:rPr>
        <w:t>称大西山，原北安</w:t>
      </w:r>
      <w:proofErr w:type="gramStart"/>
      <w:r w:rsidRPr="00F631FB">
        <w:rPr>
          <w:rFonts w:ascii="Arial" w:eastAsia="仿宋_GB2312" w:hAnsi="Arial" w:cs="Arial"/>
          <w:sz w:val="28"/>
          <w:szCs w:val="28"/>
        </w:rPr>
        <w:t>河乡寨口沟</w:t>
      </w:r>
      <w:proofErr w:type="gramEnd"/>
      <w:r w:rsidRPr="00F631FB">
        <w:rPr>
          <w:rFonts w:ascii="Arial" w:eastAsia="仿宋_GB2312" w:hAnsi="Arial" w:cs="Arial"/>
          <w:sz w:val="28"/>
          <w:szCs w:val="28"/>
        </w:rPr>
        <w:t>以东山区部分称小西山。</w:t>
      </w:r>
    </w:p>
    <w:p w14:paraId="67BA8BA2"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海淀区平原属</w:t>
      </w:r>
      <w:hyperlink r:id="rId45" w:tgtFrame="_blank" w:history="1">
        <w:r w:rsidRPr="00F631FB">
          <w:rPr>
            <w:rFonts w:ascii="Arial" w:eastAsia="仿宋_GB2312" w:hAnsi="Arial" w:cs="Arial"/>
            <w:sz w:val="28"/>
            <w:szCs w:val="28"/>
          </w:rPr>
          <w:t>华北平原</w:t>
        </w:r>
      </w:hyperlink>
      <w:r w:rsidRPr="00F631FB">
        <w:rPr>
          <w:rFonts w:ascii="Arial" w:eastAsia="仿宋_GB2312" w:hAnsi="Arial" w:cs="Arial"/>
          <w:sz w:val="28"/>
          <w:szCs w:val="28"/>
        </w:rPr>
        <w:t>北部边缘，分两部分：</w:t>
      </w:r>
      <w:hyperlink r:id="rId46" w:tgtFrame="_blank" w:history="1">
        <w:r w:rsidRPr="00F631FB">
          <w:rPr>
            <w:rFonts w:ascii="Arial" w:eastAsia="仿宋_GB2312" w:hAnsi="Arial" w:cs="Arial"/>
            <w:sz w:val="28"/>
            <w:szCs w:val="28"/>
          </w:rPr>
          <w:t>百望山</w:t>
        </w:r>
      </w:hyperlink>
      <w:r w:rsidRPr="00F631FB">
        <w:rPr>
          <w:rFonts w:ascii="Arial" w:eastAsia="仿宋_GB2312" w:hAnsi="Arial" w:cs="Arial"/>
          <w:sz w:val="28"/>
          <w:szCs w:val="28"/>
        </w:rPr>
        <w:t>以南称山前平原区，百望山以北称山后平原区。山前、山后从气候、降雨、到水资源赋存情况都有明显差异。</w:t>
      </w:r>
    </w:p>
    <w:p w14:paraId="7A8BB99D"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海淀区水域面积在北京</w:t>
      </w:r>
      <w:proofErr w:type="gramStart"/>
      <w:r w:rsidRPr="00F631FB">
        <w:rPr>
          <w:rFonts w:ascii="Arial" w:eastAsia="仿宋_GB2312" w:hAnsi="Arial" w:cs="Arial"/>
          <w:sz w:val="28"/>
          <w:szCs w:val="28"/>
        </w:rPr>
        <w:t>近郊区居第一位</w:t>
      </w:r>
      <w:proofErr w:type="gramEnd"/>
      <w:r w:rsidRPr="00F631FB">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5D5CAE39" w14:textId="7BB57459"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估价对象所在</w:t>
      </w:r>
      <w:r w:rsidR="00120A1A">
        <w:rPr>
          <w:rFonts w:ascii="Arial" w:eastAsia="仿宋_GB2312" w:hAnsi="Arial" w:cs="Arial" w:hint="eastAsia"/>
          <w:sz w:val="28"/>
          <w:szCs w:val="28"/>
        </w:rPr>
        <w:t>苏州街</w:t>
      </w:r>
      <w:r w:rsidRPr="00F631FB">
        <w:rPr>
          <w:rFonts w:ascii="Arial" w:eastAsia="仿宋_GB2312" w:hAnsi="Arial" w:cs="Arial"/>
          <w:sz w:val="28"/>
          <w:szCs w:val="28"/>
        </w:rPr>
        <w:t>周边绿化条件较好，周边</w:t>
      </w:r>
      <w:r w:rsidRPr="00F631FB">
        <w:rPr>
          <w:rFonts w:ascii="Arial" w:eastAsia="仿宋_GB2312" w:hAnsi="Arial" w:cs="Arial"/>
          <w:sz w:val="28"/>
          <w:szCs w:val="28"/>
        </w:rPr>
        <w:t>2</w:t>
      </w:r>
      <w:r w:rsidRPr="00F631FB">
        <w:rPr>
          <w:rFonts w:ascii="Arial" w:eastAsia="仿宋_GB2312" w:hAnsi="Arial" w:cs="Arial"/>
          <w:sz w:val="28"/>
          <w:szCs w:val="28"/>
        </w:rPr>
        <w:t>公里内</w:t>
      </w:r>
      <w:r w:rsidR="0019689C">
        <w:rPr>
          <w:rFonts w:ascii="Arial" w:eastAsia="仿宋_GB2312" w:hAnsi="Arial" w:cs="Arial" w:hint="eastAsia"/>
          <w:sz w:val="28"/>
          <w:szCs w:val="28"/>
        </w:rPr>
        <w:t>有海淀公园、知春公园、</w:t>
      </w:r>
      <w:proofErr w:type="gramStart"/>
      <w:r w:rsidR="0019689C">
        <w:rPr>
          <w:rFonts w:ascii="Arial" w:eastAsia="仿宋_GB2312" w:hAnsi="Arial" w:cs="Arial" w:hint="eastAsia"/>
          <w:sz w:val="28"/>
          <w:szCs w:val="28"/>
        </w:rPr>
        <w:t>巴沟山水园</w:t>
      </w:r>
      <w:proofErr w:type="gramEnd"/>
      <w:r w:rsidRPr="00F631FB">
        <w:rPr>
          <w:rFonts w:ascii="Arial" w:eastAsia="仿宋_GB2312" w:hAnsi="Arial" w:cs="Arial" w:hint="eastAsia"/>
          <w:sz w:val="28"/>
          <w:szCs w:val="28"/>
        </w:rPr>
        <w:t>等</w:t>
      </w:r>
      <w:r w:rsidRPr="00F631FB">
        <w:rPr>
          <w:rFonts w:ascii="Arial" w:eastAsia="仿宋_GB2312" w:hAnsi="Arial" w:cs="Arial"/>
          <w:sz w:val="28"/>
          <w:szCs w:val="28"/>
        </w:rPr>
        <w:t>；</w:t>
      </w:r>
      <w:r w:rsidR="0019689C">
        <w:rPr>
          <w:rFonts w:ascii="Arial" w:eastAsia="仿宋_GB2312" w:hAnsi="Arial" w:cs="Arial" w:hint="eastAsia"/>
          <w:sz w:val="28"/>
          <w:szCs w:val="28"/>
        </w:rPr>
        <w:t>中国人民大学、北京大学</w:t>
      </w:r>
      <w:r w:rsidRPr="00F631FB">
        <w:rPr>
          <w:rFonts w:ascii="Arial" w:eastAsia="仿宋_GB2312" w:hAnsi="Arial" w:cs="Arial"/>
          <w:sz w:val="28"/>
          <w:szCs w:val="28"/>
        </w:rPr>
        <w:t>等人文设施，综合考虑自然环境与人文环境</w:t>
      </w:r>
      <w:r w:rsidRPr="00F631FB">
        <w:rPr>
          <w:rFonts w:ascii="Arial" w:eastAsia="仿宋_GB2312" w:hAnsi="Arial" w:cs="Arial" w:hint="eastAsia"/>
          <w:sz w:val="28"/>
          <w:szCs w:val="28"/>
        </w:rPr>
        <w:t>较</w:t>
      </w:r>
      <w:r w:rsidRPr="00F631FB">
        <w:rPr>
          <w:rFonts w:ascii="Arial" w:eastAsia="仿宋_GB2312" w:hAnsi="Arial" w:cs="Arial"/>
          <w:sz w:val="28"/>
          <w:szCs w:val="28"/>
        </w:rPr>
        <w:t>好。</w:t>
      </w:r>
    </w:p>
    <w:p w14:paraId="4794BA0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基础</w:t>
      </w:r>
      <w:proofErr w:type="gramStart"/>
      <w:r w:rsidRPr="00F631FB">
        <w:rPr>
          <w:rFonts w:ascii="Arial" w:eastAsia="仿宋_GB2312" w:hAnsi="Arial" w:cs="Arial"/>
          <w:sz w:val="28"/>
        </w:rPr>
        <w:t>设施设施</w:t>
      </w:r>
      <w:proofErr w:type="gramEnd"/>
      <w:r w:rsidRPr="00F631FB">
        <w:rPr>
          <w:rFonts w:ascii="Arial" w:eastAsia="仿宋_GB2312" w:hAnsi="Arial" w:cs="Arial"/>
          <w:sz w:val="28"/>
        </w:rPr>
        <w:t>条件</w:t>
      </w:r>
    </w:p>
    <w:p w14:paraId="2FB1083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F631FB">
        <w:rPr>
          <w:rFonts w:ascii="Arial" w:eastAsia="仿宋_GB2312" w:hAnsi="Arial" w:cs="Arial"/>
          <w:sz w:val="28"/>
        </w:rPr>
        <w:t>学区化</w:t>
      </w:r>
      <w:proofErr w:type="gramEnd"/>
      <w:r w:rsidRPr="00F631FB">
        <w:rPr>
          <w:rFonts w:ascii="Arial" w:eastAsia="仿宋_GB2312" w:hAnsi="Arial" w:cs="Arial"/>
          <w:sz w:val="28"/>
        </w:rPr>
        <w:t>管理模式。优质的社会公共服务、完善的城市基础设施、高效的城市管理以及良好的政府服务，为区域全面协调发展奠定了坚实基础。</w:t>
      </w:r>
    </w:p>
    <w:p w14:paraId="3594FAE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海淀区目前已拥有完善的基础设施配套保障，区内大部分区域基础设施配套目前可达到</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（即通路、通上水、通下水、通电、通讯、通燃气、通热力）条件。</w:t>
      </w:r>
    </w:p>
    <w:p w14:paraId="2F69357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sz w:val="28"/>
        </w:rPr>
        <w:t>.</w:t>
      </w:r>
      <w:r w:rsidRPr="00F631FB">
        <w:rPr>
          <w:rFonts w:ascii="Arial" w:eastAsia="仿宋_GB2312" w:hAnsi="Arial" w:cs="Arial" w:hint="eastAsia"/>
          <w:sz w:val="28"/>
        </w:rPr>
        <w:t>居住社区成熟度</w:t>
      </w:r>
    </w:p>
    <w:p w14:paraId="723625F8" w14:textId="53D11888"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w:t>
      </w:r>
      <w:r w:rsidR="0019689C">
        <w:rPr>
          <w:rFonts w:ascii="Arial" w:eastAsia="仿宋_GB2312" w:hAnsi="Arial" w:cs="Arial" w:hint="eastAsia"/>
          <w:sz w:val="28"/>
          <w:szCs w:val="28"/>
          <w:lang w:val="en-US" w:eastAsia="zh-CN"/>
        </w:rPr>
        <w:t>苏州街</w:t>
      </w:r>
      <w:r w:rsidRPr="00F631FB">
        <w:rPr>
          <w:rFonts w:ascii="Arial" w:eastAsia="仿宋_GB2312" w:hAnsi="Arial" w:cs="Arial"/>
          <w:sz w:val="28"/>
          <w:szCs w:val="28"/>
          <w:lang w:val="en-US" w:eastAsia="zh-CN"/>
        </w:rPr>
        <w:t>，估价对象周边有</w:t>
      </w:r>
      <w:r w:rsidR="00120A1A">
        <w:rPr>
          <w:rFonts w:ascii="Arial" w:eastAsia="仿宋_GB2312" w:hAnsi="Arial" w:cs="Arial" w:hint="eastAsia"/>
          <w:sz w:val="28"/>
          <w:szCs w:val="28"/>
          <w:lang w:val="en-US" w:eastAsia="zh-CN"/>
        </w:rPr>
        <w:t>海淀南路</w:t>
      </w:r>
      <w:r w:rsidR="00120A1A">
        <w:rPr>
          <w:rFonts w:ascii="Arial" w:eastAsia="仿宋_GB2312" w:hAnsi="Arial" w:cs="Arial" w:hint="eastAsia"/>
          <w:sz w:val="28"/>
          <w:szCs w:val="28"/>
          <w:lang w:val="en-US" w:eastAsia="zh-CN"/>
        </w:rPr>
        <w:t>2</w:t>
      </w:r>
      <w:r w:rsidR="00120A1A">
        <w:rPr>
          <w:rFonts w:ascii="Arial" w:eastAsia="仿宋_GB2312" w:hAnsi="Arial" w:cs="Arial"/>
          <w:sz w:val="28"/>
          <w:szCs w:val="28"/>
          <w:lang w:val="en-US" w:eastAsia="zh-CN"/>
        </w:rPr>
        <w:t>4</w:t>
      </w:r>
      <w:r w:rsidR="00120A1A">
        <w:rPr>
          <w:rFonts w:ascii="Arial" w:eastAsia="仿宋_GB2312" w:hAnsi="Arial" w:cs="Arial" w:hint="eastAsia"/>
          <w:sz w:val="28"/>
          <w:szCs w:val="28"/>
          <w:lang w:val="en-US" w:eastAsia="zh-CN"/>
        </w:rPr>
        <w:t>号院、飞达社</w:t>
      </w:r>
      <w:r w:rsidR="00120A1A">
        <w:rPr>
          <w:rFonts w:ascii="Arial" w:eastAsia="仿宋_GB2312" w:hAnsi="Arial" w:cs="Arial" w:hint="eastAsia"/>
          <w:sz w:val="28"/>
          <w:szCs w:val="28"/>
          <w:lang w:val="en-US" w:eastAsia="zh-CN"/>
        </w:rPr>
        <w:lastRenderedPageBreak/>
        <w:t>区、海淀区苏州街</w:t>
      </w:r>
      <w:r w:rsidR="00120A1A">
        <w:rPr>
          <w:rFonts w:ascii="Arial" w:eastAsia="仿宋_GB2312" w:hAnsi="Arial" w:cs="Arial" w:hint="eastAsia"/>
          <w:sz w:val="28"/>
          <w:szCs w:val="28"/>
          <w:lang w:val="en-US" w:eastAsia="zh-CN"/>
        </w:rPr>
        <w:t>7</w:t>
      </w:r>
      <w:r w:rsidR="00120A1A">
        <w:rPr>
          <w:rFonts w:ascii="Arial" w:eastAsia="仿宋_GB2312" w:hAnsi="Arial" w:cs="Arial"/>
          <w:sz w:val="28"/>
          <w:szCs w:val="28"/>
          <w:lang w:val="en-US" w:eastAsia="zh-CN"/>
        </w:rPr>
        <w:t>7</w:t>
      </w:r>
      <w:r w:rsidR="00120A1A">
        <w:rPr>
          <w:rFonts w:ascii="Arial" w:eastAsia="仿宋_GB2312" w:hAnsi="Arial" w:cs="Arial" w:hint="eastAsia"/>
          <w:sz w:val="28"/>
          <w:szCs w:val="28"/>
          <w:lang w:val="en-US" w:eastAsia="zh-CN"/>
        </w:rPr>
        <w:t>号院、倒座庙</w:t>
      </w:r>
      <w:r w:rsidR="00120A1A">
        <w:rPr>
          <w:rFonts w:ascii="Arial" w:eastAsia="仿宋_GB2312" w:hAnsi="Arial" w:cs="Arial" w:hint="eastAsia"/>
          <w:sz w:val="28"/>
          <w:szCs w:val="28"/>
          <w:lang w:val="en-US" w:eastAsia="zh-CN"/>
        </w:rPr>
        <w:t>1</w:t>
      </w:r>
      <w:r w:rsidR="00120A1A">
        <w:rPr>
          <w:rFonts w:ascii="Arial" w:eastAsia="仿宋_GB2312" w:hAnsi="Arial" w:cs="Arial" w:hint="eastAsia"/>
          <w:sz w:val="28"/>
          <w:szCs w:val="28"/>
          <w:lang w:val="en-US" w:eastAsia="zh-CN"/>
        </w:rPr>
        <w:t>号院、海淀南路</w:t>
      </w:r>
      <w:r w:rsidR="00120A1A">
        <w:rPr>
          <w:rFonts w:ascii="Arial" w:eastAsia="仿宋_GB2312" w:hAnsi="Arial" w:cs="Arial" w:hint="eastAsia"/>
          <w:sz w:val="28"/>
          <w:szCs w:val="28"/>
          <w:lang w:val="en-US" w:eastAsia="zh-CN"/>
        </w:rPr>
        <w:t>3</w:t>
      </w:r>
      <w:r w:rsidR="00120A1A">
        <w:rPr>
          <w:rFonts w:ascii="Arial" w:eastAsia="仿宋_GB2312" w:hAnsi="Arial" w:cs="Arial"/>
          <w:sz w:val="28"/>
          <w:szCs w:val="28"/>
          <w:lang w:val="en-US" w:eastAsia="zh-CN"/>
        </w:rPr>
        <w:t>1</w:t>
      </w:r>
      <w:r w:rsidR="00120A1A">
        <w:rPr>
          <w:rFonts w:ascii="Arial" w:eastAsia="仿宋_GB2312" w:hAnsi="Arial" w:cs="Arial" w:hint="eastAsia"/>
          <w:sz w:val="28"/>
          <w:szCs w:val="28"/>
          <w:lang w:val="en-US" w:eastAsia="zh-CN"/>
        </w:rPr>
        <w:t>号院</w:t>
      </w:r>
      <w:r w:rsidRPr="00F631FB">
        <w:rPr>
          <w:rFonts w:ascii="Arial" w:eastAsia="仿宋_GB2312" w:hAnsi="Arial" w:cs="Arial"/>
          <w:sz w:val="28"/>
          <w:szCs w:val="28"/>
          <w:lang w:val="en-US" w:eastAsia="zh-CN"/>
        </w:rPr>
        <w:t>等</w:t>
      </w:r>
      <w:r w:rsidRPr="00F631FB">
        <w:rPr>
          <w:rFonts w:ascii="Arial" w:eastAsia="仿宋_GB2312" w:hAnsi="Arial" w:cs="Arial" w:hint="eastAsia"/>
          <w:sz w:val="28"/>
          <w:szCs w:val="28"/>
          <w:lang w:val="en-US" w:eastAsia="zh-CN"/>
        </w:rPr>
        <w:t>居住小区，入住率较好</w:t>
      </w:r>
      <w:r w:rsidRPr="00F631FB">
        <w:rPr>
          <w:rFonts w:ascii="Arial" w:eastAsia="仿宋_GB2312" w:hAnsi="Arial" w:cs="Arial"/>
          <w:sz w:val="28"/>
          <w:szCs w:val="28"/>
          <w:lang w:val="en-US" w:eastAsia="zh-CN"/>
        </w:rPr>
        <w:t>，</w:t>
      </w:r>
      <w:r w:rsidRPr="00F631FB">
        <w:rPr>
          <w:rFonts w:ascii="Arial" w:eastAsia="仿宋_GB2312" w:hAnsi="Arial" w:cs="Arial" w:hint="eastAsia"/>
          <w:sz w:val="28"/>
          <w:lang w:eastAsia="zh-CN"/>
        </w:rPr>
        <w:t>居住社区成熟度</w:t>
      </w:r>
      <w:r w:rsidRPr="00F631FB">
        <w:rPr>
          <w:rFonts w:ascii="Arial" w:eastAsia="仿宋_GB2312" w:hAnsi="Arial" w:cs="Arial"/>
          <w:sz w:val="28"/>
          <w:szCs w:val="28"/>
          <w:lang w:val="en-US" w:eastAsia="zh-CN"/>
        </w:rPr>
        <w:t>较好。</w:t>
      </w:r>
    </w:p>
    <w:p w14:paraId="225B9D52"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F631FB">
        <w:rPr>
          <w:rFonts w:ascii="Arial" w:eastAsia="仿宋_GB2312" w:hAnsi="Arial" w:cs="Arial"/>
          <w:sz w:val="28"/>
          <w:lang w:eastAsia="zh-CN"/>
        </w:rPr>
        <w:t>6</w:t>
      </w:r>
      <w:r w:rsidRPr="00F631FB">
        <w:rPr>
          <w:rFonts w:ascii="Arial" w:eastAsia="仿宋_GB2312" w:hAnsi="Arial" w:cs="Arial"/>
          <w:sz w:val="28"/>
          <w:lang w:eastAsia="zh-CN"/>
        </w:rPr>
        <w:t>．商业繁华度</w:t>
      </w:r>
    </w:p>
    <w:p w14:paraId="2FAF20F1" w14:textId="39F81FE4"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w:t>
      </w:r>
      <w:r w:rsidR="00120A1A">
        <w:rPr>
          <w:rFonts w:ascii="Arial" w:eastAsia="仿宋_GB2312" w:hAnsi="Arial" w:cs="Arial" w:hint="eastAsia"/>
          <w:sz w:val="28"/>
          <w:szCs w:val="28"/>
          <w:lang w:val="en-US" w:eastAsia="zh-CN"/>
        </w:rPr>
        <w:t>苏州街</w:t>
      </w:r>
      <w:r w:rsidRPr="00F631FB">
        <w:rPr>
          <w:rFonts w:ascii="Arial" w:eastAsia="仿宋_GB2312" w:hAnsi="Arial" w:cs="Arial"/>
          <w:sz w:val="28"/>
          <w:szCs w:val="28"/>
          <w:lang w:val="en-US" w:eastAsia="zh-CN"/>
        </w:rPr>
        <w:t>，周边有</w:t>
      </w:r>
      <w:r w:rsidR="00120A1A" w:rsidRPr="0019689C">
        <w:rPr>
          <w:rFonts w:ascii="Arial" w:eastAsia="仿宋_GB2312" w:hAnsi="Arial" w:cs="Arial" w:hint="eastAsia"/>
          <w:bCs/>
          <w:sz w:val="28"/>
          <w:szCs w:val="28"/>
          <w:lang w:eastAsia="zh-CN"/>
        </w:rPr>
        <w:t>新中关购物中心、</w:t>
      </w:r>
      <w:proofErr w:type="gramStart"/>
      <w:r w:rsidR="00120A1A" w:rsidRPr="0019689C">
        <w:rPr>
          <w:rFonts w:ascii="Arial" w:eastAsia="仿宋_GB2312" w:hAnsi="Arial" w:cs="Arial" w:hint="eastAsia"/>
          <w:bCs/>
          <w:sz w:val="28"/>
          <w:szCs w:val="28"/>
          <w:lang w:eastAsia="zh-CN"/>
        </w:rPr>
        <w:t>领展购物</w:t>
      </w:r>
      <w:proofErr w:type="gramEnd"/>
      <w:r w:rsidR="00120A1A" w:rsidRPr="0019689C">
        <w:rPr>
          <w:rFonts w:ascii="Arial" w:eastAsia="仿宋_GB2312" w:hAnsi="Arial" w:cs="Arial" w:hint="eastAsia"/>
          <w:bCs/>
          <w:sz w:val="28"/>
          <w:szCs w:val="28"/>
          <w:lang w:eastAsia="zh-CN"/>
        </w:rPr>
        <w:t>广场（中关村店）、</w:t>
      </w:r>
      <w:r w:rsidR="00120A1A" w:rsidRPr="0019689C">
        <w:rPr>
          <w:rFonts w:ascii="Arial" w:eastAsia="仿宋_GB2312" w:hAnsi="Arial" w:cs="Arial" w:hint="eastAsia"/>
          <w:bCs/>
          <w:sz w:val="28"/>
          <w:szCs w:val="28"/>
          <w:lang w:eastAsia="zh-CN"/>
        </w:rPr>
        <w:t>BHG</w:t>
      </w:r>
      <w:r w:rsidR="00120A1A" w:rsidRPr="0019689C">
        <w:rPr>
          <w:rFonts w:ascii="Arial" w:eastAsia="仿宋_GB2312" w:hAnsi="Arial" w:cs="Arial"/>
          <w:bCs/>
          <w:sz w:val="28"/>
          <w:szCs w:val="28"/>
          <w:lang w:eastAsia="zh-CN"/>
        </w:rPr>
        <w:t xml:space="preserve"> MALL</w:t>
      </w:r>
      <w:r w:rsidR="00120A1A" w:rsidRPr="0019689C">
        <w:rPr>
          <w:rFonts w:ascii="Arial" w:eastAsia="仿宋_GB2312" w:hAnsi="Arial" w:cs="Arial" w:hint="eastAsia"/>
          <w:bCs/>
          <w:sz w:val="28"/>
          <w:szCs w:val="28"/>
          <w:lang w:eastAsia="zh-CN"/>
        </w:rPr>
        <w:t>北京华联万柳购物中心</w:t>
      </w:r>
      <w:r w:rsidRPr="00F631FB">
        <w:rPr>
          <w:rFonts w:ascii="Arial" w:eastAsia="仿宋_GB2312" w:hAnsi="Arial" w:cs="Arial" w:hint="eastAsia"/>
          <w:bCs/>
          <w:sz w:val="28"/>
          <w:szCs w:val="28"/>
          <w:lang w:eastAsia="zh-CN"/>
        </w:rPr>
        <w:t>等商业机构</w:t>
      </w:r>
      <w:r w:rsidRPr="00F631FB">
        <w:rPr>
          <w:rFonts w:ascii="Arial" w:eastAsia="仿宋_GB2312" w:hAnsi="Arial" w:cs="Arial"/>
          <w:sz w:val="28"/>
          <w:szCs w:val="28"/>
          <w:lang w:val="en-US" w:eastAsia="zh-CN"/>
        </w:rPr>
        <w:t>，在建的商业项目较少，</w:t>
      </w:r>
      <w:r w:rsidRPr="00F631FB">
        <w:rPr>
          <w:rFonts w:ascii="Arial" w:eastAsia="仿宋_GB2312" w:hAnsi="Arial" w:cs="Arial"/>
          <w:sz w:val="28"/>
          <w:lang w:eastAsia="zh-CN"/>
        </w:rPr>
        <w:t>商业繁华度</w:t>
      </w:r>
      <w:r w:rsidRPr="00F631FB">
        <w:rPr>
          <w:rFonts w:ascii="Arial" w:eastAsia="仿宋_GB2312" w:hAnsi="Arial" w:cs="Arial" w:hint="eastAsia"/>
          <w:sz w:val="28"/>
          <w:szCs w:val="28"/>
          <w:lang w:val="en-US" w:eastAsia="zh-CN"/>
        </w:rPr>
        <w:t>较好</w:t>
      </w:r>
      <w:r w:rsidRPr="00F631FB">
        <w:rPr>
          <w:rFonts w:ascii="Arial" w:eastAsia="仿宋_GB2312" w:hAnsi="Arial" w:cs="Arial"/>
          <w:sz w:val="28"/>
          <w:szCs w:val="28"/>
          <w:lang w:val="en-US" w:eastAsia="zh-CN"/>
        </w:rPr>
        <w:t>。</w:t>
      </w:r>
    </w:p>
    <w:p w14:paraId="6C8F825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sz w:val="28"/>
        </w:rPr>
        <w:t>.</w:t>
      </w:r>
      <w:r w:rsidRPr="00F631FB">
        <w:rPr>
          <w:rFonts w:ascii="Arial" w:eastAsia="仿宋_GB2312" w:hAnsi="Arial" w:cs="Arial"/>
          <w:sz w:val="28"/>
        </w:rPr>
        <w:t>办公聚集程度</w:t>
      </w:r>
    </w:p>
    <w:p w14:paraId="5887ED57" w14:textId="163999C5"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w:t>
      </w:r>
      <w:r w:rsidR="00120A1A">
        <w:rPr>
          <w:rFonts w:ascii="Arial" w:eastAsia="仿宋_GB2312" w:hAnsi="Arial" w:cs="Arial" w:hint="eastAsia"/>
          <w:sz w:val="28"/>
          <w:szCs w:val="28"/>
          <w:lang w:val="en-US" w:eastAsia="zh-CN"/>
        </w:rPr>
        <w:t>苏州街</w:t>
      </w:r>
      <w:r w:rsidRPr="00F631FB">
        <w:rPr>
          <w:rFonts w:ascii="Arial" w:eastAsia="仿宋_GB2312" w:hAnsi="Arial" w:cs="Arial"/>
          <w:sz w:val="28"/>
          <w:szCs w:val="28"/>
          <w:lang w:val="en-US" w:eastAsia="zh-CN"/>
        </w:rPr>
        <w:t>，估价对象周边有</w:t>
      </w:r>
      <w:r w:rsidR="00120A1A">
        <w:rPr>
          <w:rFonts w:ascii="Arial" w:eastAsia="仿宋_GB2312" w:hAnsi="Arial" w:cs="Arial" w:hint="eastAsia"/>
          <w:sz w:val="28"/>
          <w:szCs w:val="28"/>
          <w:lang w:val="en-US" w:eastAsia="zh-CN"/>
        </w:rPr>
        <w:t>亿方大厦、</w:t>
      </w:r>
      <w:proofErr w:type="gramStart"/>
      <w:r w:rsidR="00120A1A">
        <w:rPr>
          <w:rFonts w:ascii="Arial" w:eastAsia="仿宋_GB2312" w:hAnsi="Arial" w:cs="Arial" w:hint="eastAsia"/>
          <w:sz w:val="28"/>
          <w:szCs w:val="28"/>
          <w:lang w:val="en-US" w:eastAsia="zh-CN"/>
        </w:rPr>
        <w:t>中电投大厦</w:t>
      </w:r>
      <w:proofErr w:type="gramEnd"/>
      <w:r w:rsidR="00120A1A">
        <w:rPr>
          <w:rFonts w:ascii="Arial" w:eastAsia="仿宋_GB2312" w:hAnsi="Arial" w:cs="Arial" w:hint="eastAsia"/>
          <w:sz w:val="28"/>
          <w:szCs w:val="28"/>
          <w:lang w:val="en-US" w:eastAsia="zh-CN"/>
        </w:rPr>
        <w:t>、国家电投大厦、</w:t>
      </w:r>
      <w:proofErr w:type="gramStart"/>
      <w:r w:rsidR="00120A1A">
        <w:rPr>
          <w:rFonts w:ascii="Arial" w:eastAsia="仿宋_GB2312" w:hAnsi="Arial" w:cs="Arial" w:hint="eastAsia"/>
          <w:sz w:val="28"/>
          <w:szCs w:val="28"/>
          <w:lang w:val="en-US" w:eastAsia="zh-CN"/>
        </w:rPr>
        <w:t>鼎钧大厦</w:t>
      </w:r>
      <w:proofErr w:type="gramEnd"/>
      <w:r w:rsidR="00120A1A">
        <w:rPr>
          <w:rFonts w:ascii="Arial" w:eastAsia="仿宋_GB2312" w:hAnsi="Arial" w:cs="Arial" w:hint="eastAsia"/>
          <w:sz w:val="28"/>
          <w:szCs w:val="28"/>
          <w:lang w:val="en-US" w:eastAsia="zh-CN"/>
        </w:rPr>
        <w:t>、</w:t>
      </w:r>
      <w:proofErr w:type="gramStart"/>
      <w:r w:rsidR="00120A1A">
        <w:rPr>
          <w:rFonts w:ascii="Arial" w:eastAsia="仿宋_GB2312" w:hAnsi="Arial" w:cs="Arial" w:hint="eastAsia"/>
          <w:sz w:val="28"/>
          <w:szCs w:val="28"/>
          <w:lang w:val="en-US" w:eastAsia="zh-CN"/>
        </w:rPr>
        <w:t>盈智大厦</w:t>
      </w:r>
      <w:proofErr w:type="gramEnd"/>
      <w:r w:rsidRPr="00F631FB">
        <w:rPr>
          <w:rFonts w:ascii="Arial" w:eastAsia="仿宋_GB2312" w:hAnsi="Arial" w:cs="Arial"/>
          <w:sz w:val="28"/>
          <w:szCs w:val="28"/>
          <w:lang w:val="en-US" w:eastAsia="zh-CN"/>
        </w:rPr>
        <w:t>等</w:t>
      </w:r>
      <w:r w:rsidR="00120A1A">
        <w:rPr>
          <w:rFonts w:ascii="Arial" w:eastAsia="仿宋_GB2312" w:hAnsi="Arial" w:cs="Arial" w:hint="eastAsia"/>
          <w:sz w:val="28"/>
          <w:szCs w:val="28"/>
          <w:lang w:val="en-US" w:eastAsia="zh-CN"/>
        </w:rPr>
        <w:t>写字楼</w:t>
      </w:r>
      <w:r w:rsidRPr="00F631FB">
        <w:rPr>
          <w:rFonts w:ascii="Arial" w:eastAsia="仿宋_GB2312" w:hAnsi="Arial" w:cs="Arial" w:hint="eastAsia"/>
          <w:sz w:val="28"/>
          <w:szCs w:val="28"/>
          <w:lang w:val="en-US" w:eastAsia="zh-CN"/>
        </w:rPr>
        <w:t>项目</w:t>
      </w:r>
      <w:r w:rsidRPr="00F631FB">
        <w:rPr>
          <w:rFonts w:ascii="Arial" w:eastAsia="仿宋_GB2312" w:hAnsi="Arial" w:cs="Arial"/>
          <w:sz w:val="28"/>
          <w:szCs w:val="28"/>
          <w:lang w:val="en-US" w:eastAsia="zh-CN"/>
        </w:rPr>
        <w:t>，办公集聚程度</w:t>
      </w:r>
      <w:r w:rsidR="00120A1A">
        <w:rPr>
          <w:rFonts w:ascii="Arial" w:eastAsia="仿宋_GB2312" w:hAnsi="Arial" w:cs="Arial" w:hint="eastAsia"/>
          <w:sz w:val="28"/>
          <w:szCs w:val="28"/>
          <w:lang w:val="en-US" w:eastAsia="zh-CN"/>
        </w:rPr>
        <w:t>较好</w:t>
      </w:r>
      <w:r w:rsidRPr="00F631FB">
        <w:rPr>
          <w:rFonts w:ascii="Arial" w:eastAsia="仿宋_GB2312" w:hAnsi="Arial" w:cs="Arial"/>
          <w:sz w:val="28"/>
          <w:szCs w:val="28"/>
          <w:lang w:val="en-US" w:eastAsia="zh-CN"/>
        </w:rPr>
        <w:t>。</w:t>
      </w:r>
    </w:p>
    <w:p w14:paraId="71A9032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8.</w:t>
      </w:r>
      <w:r w:rsidRPr="00F631FB">
        <w:rPr>
          <w:rFonts w:ascii="Arial" w:eastAsia="仿宋_GB2312" w:hAnsi="Arial" w:cs="Arial"/>
          <w:sz w:val="28"/>
        </w:rPr>
        <w:t>规划限制</w:t>
      </w:r>
    </w:p>
    <w:p w14:paraId="7BEC2771" w14:textId="588D2F41"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估价对象所处区域位于</w:t>
      </w:r>
      <w:r w:rsidRPr="00F631FB">
        <w:rPr>
          <w:rFonts w:ascii="Arial" w:eastAsia="仿宋_GB2312" w:hAnsi="Arial" w:cs="Arial" w:hint="eastAsia"/>
          <w:sz w:val="28"/>
          <w:szCs w:val="28"/>
        </w:rPr>
        <w:t>海淀区</w:t>
      </w:r>
      <w:r w:rsidR="00120A1A">
        <w:rPr>
          <w:rFonts w:ascii="Arial" w:eastAsia="仿宋_GB2312" w:hAnsi="Arial" w:cs="Arial" w:hint="eastAsia"/>
          <w:sz w:val="28"/>
          <w:szCs w:val="28"/>
        </w:rPr>
        <w:t>苏州街</w:t>
      </w:r>
      <w:r w:rsidRPr="00F631FB">
        <w:rPr>
          <w:rFonts w:ascii="Arial" w:eastAsia="仿宋_GB2312" w:hAnsi="Arial" w:cs="Arial"/>
          <w:sz w:val="28"/>
        </w:rPr>
        <w:t>。根据海淀区</w:t>
      </w:r>
      <w:r w:rsidRPr="00F631FB">
        <w:rPr>
          <w:rFonts w:ascii="Arial" w:eastAsia="仿宋_GB2312" w:hAnsi="Arial" w:cs="Arial"/>
          <w:sz w:val="28"/>
        </w:rPr>
        <w:t>“</w:t>
      </w:r>
      <w:r w:rsidRPr="00F631FB">
        <w:rPr>
          <w:rFonts w:ascii="Arial" w:eastAsia="仿宋_GB2312" w:hAnsi="Arial" w:cs="Arial"/>
          <w:sz w:val="28"/>
        </w:rPr>
        <w:t>十四五</w:t>
      </w:r>
      <w:r w:rsidRPr="00F631FB">
        <w:rPr>
          <w:rFonts w:ascii="Arial" w:eastAsia="仿宋_GB2312" w:hAnsi="Arial" w:cs="Arial"/>
          <w:sz w:val="28"/>
        </w:rPr>
        <w:t>”</w:t>
      </w:r>
      <w:r w:rsidRPr="00F631FB">
        <w:rPr>
          <w:rFonts w:ascii="Arial" w:eastAsia="仿宋_GB2312" w:hAnsi="Arial" w:cs="Arial"/>
          <w:sz w:val="28"/>
        </w:rPr>
        <w:t>规划的要求，无特别规划限制，对估价对象土地发展利用无不利影响。</w:t>
      </w:r>
    </w:p>
    <w:p w14:paraId="2DB2268B" w14:textId="2D38A89E"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综上所述，估价对象所处区域地理位置条件好、</w:t>
      </w:r>
      <w:r w:rsidRPr="00F631FB">
        <w:rPr>
          <w:rFonts w:ascii="Arial" w:eastAsia="仿宋_GB2312" w:hAnsi="Arial" w:cs="Arial" w:hint="eastAsia"/>
          <w:sz w:val="28"/>
        </w:rPr>
        <w:t>居住社区成熟度较好，</w:t>
      </w:r>
      <w:r w:rsidRPr="00F631FB">
        <w:rPr>
          <w:rFonts w:ascii="Arial" w:eastAsia="仿宋_GB2312" w:hAnsi="Arial" w:cs="Arial"/>
          <w:sz w:val="28"/>
        </w:rPr>
        <w:t>商业繁华度</w:t>
      </w:r>
      <w:r w:rsidRPr="00F631FB">
        <w:rPr>
          <w:rFonts w:ascii="Arial" w:eastAsia="仿宋_GB2312" w:hAnsi="Arial" w:cs="Arial" w:hint="eastAsia"/>
          <w:sz w:val="28"/>
        </w:rPr>
        <w:t>较好</w:t>
      </w:r>
      <w:r w:rsidRPr="00F631FB">
        <w:rPr>
          <w:rFonts w:ascii="Arial" w:eastAsia="仿宋_GB2312" w:hAnsi="Arial" w:cs="Arial"/>
          <w:sz w:val="28"/>
        </w:rPr>
        <w:t>，</w:t>
      </w:r>
      <w:r w:rsidRPr="00F631FB">
        <w:rPr>
          <w:rFonts w:ascii="Arial" w:eastAsia="仿宋_GB2312" w:hAnsi="Arial" w:cs="Arial"/>
          <w:sz w:val="28"/>
          <w:szCs w:val="28"/>
        </w:rPr>
        <w:t>办公集聚程度</w:t>
      </w:r>
      <w:r w:rsidR="00120A1A" w:rsidRPr="00F631FB">
        <w:rPr>
          <w:rFonts w:ascii="Arial" w:eastAsia="仿宋_GB2312" w:hAnsi="Arial" w:cs="Arial" w:hint="eastAsia"/>
          <w:sz w:val="28"/>
        </w:rPr>
        <w:t>较好</w:t>
      </w:r>
      <w:r w:rsidRPr="00F631FB">
        <w:rPr>
          <w:rFonts w:ascii="Arial" w:eastAsia="仿宋_GB2312" w:hAnsi="Arial" w:cs="Arial"/>
          <w:sz w:val="28"/>
        </w:rPr>
        <w:t>，交通便捷度</w:t>
      </w:r>
      <w:r w:rsidRPr="00F631FB">
        <w:rPr>
          <w:rFonts w:ascii="Arial" w:eastAsia="仿宋_GB2312" w:hAnsi="Arial" w:cs="Arial" w:hint="eastAsia"/>
          <w:sz w:val="28"/>
        </w:rPr>
        <w:t>较</w:t>
      </w:r>
      <w:r w:rsidRPr="00F631FB">
        <w:rPr>
          <w:rFonts w:ascii="Arial" w:eastAsia="仿宋_GB2312" w:hAnsi="Arial" w:cs="Arial"/>
          <w:sz w:val="28"/>
        </w:rPr>
        <w:t>好，公共配套设施较好，基础设施水平为七通，</w:t>
      </w:r>
      <w:r w:rsidRPr="00F631FB">
        <w:rPr>
          <w:rFonts w:ascii="Arial" w:eastAsia="仿宋_GB2312" w:hAnsi="Arial" w:cs="Arial" w:hint="eastAsia"/>
          <w:sz w:val="28"/>
        </w:rPr>
        <w:t>自然和人文</w:t>
      </w:r>
      <w:r w:rsidRPr="00F631FB">
        <w:rPr>
          <w:rFonts w:ascii="Arial" w:eastAsia="仿宋_GB2312" w:hAnsi="Arial" w:cs="Arial"/>
          <w:sz w:val="28"/>
        </w:rPr>
        <w:t>环境条件</w:t>
      </w:r>
      <w:r w:rsidRPr="00F631FB">
        <w:rPr>
          <w:rFonts w:ascii="Arial" w:eastAsia="仿宋_GB2312" w:hAnsi="Arial" w:cs="Arial" w:hint="eastAsia"/>
          <w:sz w:val="28"/>
        </w:rPr>
        <w:t>较</w:t>
      </w:r>
      <w:r w:rsidRPr="00F631FB">
        <w:rPr>
          <w:rFonts w:ascii="Arial" w:eastAsia="仿宋_GB2312" w:hAnsi="Arial" w:cs="Arial"/>
          <w:sz w:val="28"/>
        </w:rPr>
        <w:t>好。综合区域发展空间进行综合评价，总体评价影响估价对象的区域因素</w:t>
      </w:r>
      <w:r w:rsidR="00120A1A" w:rsidRPr="00F631FB">
        <w:rPr>
          <w:rFonts w:ascii="Arial" w:eastAsia="仿宋_GB2312" w:hAnsi="Arial" w:cs="Arial" w:hint="eastAsia"/>
          <w:sz w:val="28"/>
        </w:rPr>
        <w:t>较好</w:t>
      </w:r>
      <w:r w:rsidRPr="00F631FB">
        <w:rPr>
          <w:rFonts w:ascii="Arial" w:eastAsia="仿宋_GB2312" w:hAnsi="Arial" w:cs="Arial"/>
          <w:sz w:val="28"/>
        </w:rPr>
        <w:t>。</w:t>
      </w:r>
    </w:p>
    <w:p w14:paraId="267D6C27"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（三）个别因素</w:t>
      </w:r>
    </w:p>
    <w:p w14:paraId="1128E773"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估价对象位置：估价对象位于北京市海淀区海淀南路</w:t>
      </w:r>
      <w:r>
        <w:rPr>
          <w:rFonts w:ascii="Arial" w:eastAsia="仿宋_GB2312" w:hAnsi="Arial" w:cs="Arial"/>
          <w:sz w:val="28"/>
        </w:rPr>
        <w:t>12</w:t>
      </w:r>
      <w:r>
        <w:rPr>
          <w:rFonts w:ascii="Arial" w:eastAsia="仿宋_GB2312" w:hAnsi="Arial" w:cs="Arial" w:hint="eastAsia"/>
          <w:sz w:val="28"/>
        </w:rPr>
        <w:t>号院，为北京城投地下空间开发建设有限公司开发建设的居住项目。根据《北京市人民政府关于更新出让国有建设用地使用权基准地价的通知》</w:t>
      </w:r>
      <w:r>
        <w:rPr>
          <w:rFonts w:ascii="Arial" w:eastAsia="仿宋_GB2312" w:hAnsi="Arial" w:cs="Arial"/>
          <w:sz w:val="28"/>
        </w:rPr>
        <w:t>[</w:t>
      </w:r>
      <w:r>
        <w:rPr>
          <w:rFonts w:ascii="Arial" w:eastAsia="仿宋_GB2312" w:hAnsi="Arial" w:cs="Arial" w:hint="eastAsia"/>
          <w:sz w:val="28"/>
        </w:rPr>
        <w:t>京政发</w:t>
      </w:r>
      <w:r>
        <w:rPr>
          <w:rFonts w:ascii="Arial" w:eastAsia="仿宋_GB2312" w:hAnsi="Arial" w:cs="Arial"/>
          <w:sz w:val="28"/>
        </w:rPr>
        <w:t>[2014]26</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的规定，估价对象属于</w:t>
      </w:r>
      <w:r>
        <w:rPr>
          <w:rFonts w:ascii="Arial" w:eastAsia="仿宋_GB2312" w:hAnsi="Arial" w:cs="Arial" w:hint="eastAsia"/>
          <w:sz w:val="28"/>
          <w:szCs w:val="28"/>
        </w:rPr>
        <w:t>居住类二级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区片、商业类三级</w:t>
      </w:r>
      <w:r>
        <w:rPr>
          <w:rFonts w:ascii="微软雅黑" w:eastAsia="微软雅黑" w:hAnsi="微软雅黑" w:cs="Arial" w:hint="eastAsia"/>
          <w:sz w:val="28"/>
          <w:szCs w:val="28"/>
        </w:rPr>
        <w:t>Ⅲ</w:t>
      </w:r>
      <w:r>
        <w:rPr>
          <w:rFonts w:ascii="Arial" w:eastAsia="仿宋_GB2312" w:hAnsi="Arial" w:cs="Arial"/>
          <w:sz w:val="28"/>
          <w:szCs w:val="28"/>
        </w:rPr>
        <w:t>-06</w:t>
      </w:r>
      <w:r>
        <w:rPr>
          <w:rFonts w:ascii="Arial" w:eastAsia="仿宋_GB2312" w:hAnsi="Arial" w:cs="Arial" w:hint="eastAsia"/>
          <w:sz w:val="28"/>
          <w:szCs w:val="28"/>
        </w:rPr>
        <w:t>区片、办公类二级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区片地价区</w:t>
      </w:r>
      <w:r>
        <w:rPr>
          <w:rFonts w:ascii="Arial" w:eastAsia="仿宋_GB2312" w:hAnsi="Arial" w:cs="Arial" w:hint="eastAsia"/>
          <w:sz w:val="28"/>
        </w:rPr>
        <w:t>。</w:t>
      </w:r>
    </w:p>
    <w:p w14:paraId="6943E6EA"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宗地规划用途、面积</w:t>
      </w:r>
    </w:p>
    <w:p w14:paraId="6CFE8B6D"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估价对象所属项目规划土地用途为</w:t>
      </w:r>
      <w:r>
        <w:rPr>
          <w:rFonts w:ascii="Arial" w:eastAsia="仿宋_GB2312" w:hAnsi="Arial" w:cs="Arial" w:hint="eastAsia"/>
          <w:sz w:val="28"/>
          <w:szCs w:val="28"/>
        </w:rPr>
        <w:t>住宅、商业、办公、地下办公、地下车</w:t>
      </w:r>
      <w:r>
        <w:rPr>
          <w:rFonts w:ascii="Arial" w:eastAsia="仿宋_GB2312" w:hAnsi="Arial" w:cs="Arial" w:hint="eastAsia"/>
          <w:sz w:val="28"/>
          <w:szCs w:val="28"/>
        </w:rPr>
        <w:lastRenderedPageBreak/>
        <w:t>库</w:t>
      </w:r>
      <w:r>
        <w:rPr>
          <w:rFonts w:ascii="Arial" w:eastAsia="仿宋_GB2312" w:hAnsi="Arial" w:cs="Arial" w:hint="eastAsia"/>
          <w:sz w:val="28"/>
        </w:rPr>
        <w:t>，为</w:t>
      </w:r>
      <w:proofErr w:type="gramStart"/>
      <w:r>
        <w:rPr>
          <w:rFonts w:ascii="Arial" w:eastAsia="仿宋_GB2312" w:hAnsi="Arial" w:cs="Arial" w:hint="eastAsia"/>
          <w:sz w:val="28"/>
        </w:rPr>
        <w:t>最佳最</w:t>
      </w:r>
      <w:proofErr w:type="gramEnd"/>
      <w:r>
        <w:rPr>
          <w:rFonts w:ascii="Arial" w:eastAsia="仿宋_GB2312" w:hAnsi="Arial" w:cs="Arial" w:hint="eastAsia"/>
          <w:sz w:val="28"/>
        </w:rPr>
        <w:t>有效用途。</w:t>
      </w:r>
    </w:p>
    <w:p w14:paraId="7C37CE6D"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及其附图、《海淀区苏州街一体化棚户区改造项目建筑面积及用途的说明》及其附表记载，估价对象总用地面积</w:t>
      </w:r>
      <w:r>
        <w:rPr>
          <w:rFonts w:ascii="Arial" w:eastAsia="仿宋_GB2312" w:hAnsi="Arial" w:cs="Arial"/>
          <w:sz w:val="28"/>
        </w:rPr>
        <w:t>6180.978</w:t>
      </w:r>
      <w:r>
        <w:rPr>
          <w:rFonts w:ascii="Arial" w:eastAsia="仿宋_GB2312" w:hAnsi="Arial" w:cs="Arial" w:hint="eastAsia"/>
          <w:sz w:val="28"/>
        </w:rPr>
        <w:t>平方米，均为建设用地。</w:t>
      </w:r>
    </w:p>
    <w:p w14:paraId="03F7394B"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宗地容积率及可利用情况</w:t>
      </w:r>
    </w:p>
    <w:p w14:paraId="2A45EB48" w14:textId="14424AB0" w:rsidR="002C3ABF"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估价对象所属项目总规划建筑面积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。详见下表：</w:t>
      </w:r>
    </w:p>
    <w:p w14:paraId="4E37F051" w14:textId="5C463A93" w:rsidR="006C1DB6" w:rsidRPr="00F631FB"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bookmarkEnd w:id="102"/>
    <w:p w14:paraId="08C6D20B" w14:textId="77777777" w:rsidR="006C1DB6" w:rsidRDefault="006C1DB6" w:rsidP="00C85585">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b/>
          <w:bCs/>
          <w:szCs w:val="18"/>
        </w:rPr>
        <w:br w:type="page"/>
      </w:r>
    </w:p>
    <w:p w14:paraId="0EB8D43B" w14:textId="365F8039" w:rsidR="00C85585" w:rsidRPr="00666906" w:rsidRDefault="00CD767E" w:rsidP="00C85585">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hint="eastAsia"/>
          <w:b/>
          <w:bCs/>
          <w:szCs w:val="18"/>
        </w:rPr>
        <w:lastRenderedPageBreak/>
        <w:t>土地用途及建筑面积表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06"/>
        <w:gridCol w:w="1308"/>
        <w:gridCol w:w="2943"/>
        <w:gridCol w:w="2636"/>
      </w:tblGrid>
      <w:tr w:rsidR="00CD767E" w:rsidRPr="00F86D61" w14:paraId="06A2F64A" w14:textId="77777777" w:rsidTr="00CE438D">
        <w:trPr>
          <w:trHeight w:val="632"/>
          <w:tblHeader/>
        </w:trPr>
        <w:tc>
          <w:tcPr>
            <w:tcW w:w="1371" w:type="pct"/>
            <w:gridSpan w:val="2"/>
            <w:shd w:val="clear" w:color="auto" w:fill="auto"/>
            <w:noWrap/>
            <w:vAlign w:val="center"/>
          </w:tcPr>
          <w:p w14:paraId="1F418CBD"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位置</w:t>
            </w:r>
          </w:p>
        </w:tc>
        <w:tc>
          <w:tcPr>
            <w:tcW w:w="782" w:type="pct"/>
            <w:shd w:val="clear" w:color="auto" w:fill="auto"/>
            <w:noWrap/>
            <w:vAlign w:val="center"/>
          </w:tcPr>
          <w:p w14:paraId="30C0EAFB"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用途</w:t>
            </w:r>
          </w:p>
        </w:tc>
        <w:tc>
          <w:tcPr>
            <w:tcW w:w="1662" w:type="pct"/>
            <w:shd w:val="clear" w:color="auto" w:fill="auto"/>
            <w:noWrap/>
            <w:vAlign w:val="center"/>
          </w:tcPr>
          <w:p w14:paraId="74035B20"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分类</w:t>
            </w:r>
          </w:p>
        </w:tc>
        <w:tc>
          <w:tcPr>
            <w:tcW w:w="1185" w:type="pct"/>
            <w:shd w:val="clear" w:color="auto" w:fill="auto"/>
            <w:noWrap/>
            <w:vAlign w:val="center"/>
          </w:tcPr>
          <w:p w14:paraId="3FCBC074" w14:textId="4E74A079" w:rsidR="00CD767E" w:rsidRPr="00F86D61" w:rsidRDefault="006C1DB6"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规划</w:t>
            </w:r>
            <w:r w:rsidR="00CD767E" w:rsidRPr="00F86D61">
              <w:rPr>
                <w:rFonts w:ascii="Arial" w:eastAsia="仿宋_GB2312" w:hAnsi="Arial" w:cs="Arial" w:hint="eastAsia"/>
                <w:sz w:val="22"/>
                <w:szCs w:val="16"/>
              </w:rPr>
              <w:t>建筑面积（平方米）</w:t>
            </w:r>
          </w:p>
        </w:tc>
      </w:tr>
      <w:tr w:rsidR="00CD767E" w:rsidRPr="00F86D61" w14:paraId="21B78805" w14:textId="77777777" w:rsidTr="00CE438D">
        <w:trPr>
          <w:trHeight w:val="345"/>
        </w:trPr>
        <w:tc>
          <w:tcPr>
            <w:tcW w:w="590" w:type="pct"/>
            <w:vMerge w:val="restart"/>
            <w:shd w:val="clear" w:color="auto" w:fill="auto"/>
            <w:noWrap/>
            <w:vAlign w:val="center"/>
            <w:hideMark/>
          </w:tcPr>
          <w:p w14:paraId="34CF27A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地上</w:t>
            </w:r>
            <w:r>
              <w:rPr>
                <w:rFonts w:ascii="Arial" w:eastAsia="仿宋_GB2312" w:hAnsi="Arial" w:cs="Arial" w:hint="eastAsia"/>
                <w:sz w:val="22"/>
                <w:szCs w:val="16"/>
              </w:rPr>
              <w:t>部分</w:t>
            </w:r>
          </w:p>
        </w:tc>
        <w:tc>
          <w:tcPr>
            <w:tcW w:w="781" w:type="pct"/>
            <w:vMerge w:val="restart"/>
            <w:vAlign w:val="center"/>
          </w:tcPr>
          <w:p w14:paraId="0A32444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vMerge w:val="restart"/>
            <w:shd w:val="clear" w:color="auto" w:fill="auto"/>
            <w:noWrap/>
            <w:vAlign w:val="center"/>
            <w:hideMark/>
          </w:tcPr>
          <w:p w14:paraId="4571701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住宅</w:t>
            </w:r>
          </w:p>
        </w:tc>
        <w:tc>
          <w:tcPr>
            <w:tcW w:w="1662" w:type="pct"/>
            <w:shd w:val="clear" w:color="auto" w:fill="auto"/>
            <w:noWrap/>
            <w:vAlign w:val="center"/>
            <w:hideMark/>
          </w:tcPr>
          <w:p w14:paraId="2BE6139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回迁安置房</w:t>
            </w:r>
          </w:p>
        </w:tc>
        <w:tc>
          <w:tcPr>
            <w:tcW w:w="1185" w:type="pct"/>
            <w:shd w:val="clear" w:color="auto" w:fill="auto"/>
            <w:noWrap/>
            <w:vAlign w:val="center"/>
            <w:hideMark/>
          </w:tcPr>
          <w:p w14:paraId="3489B37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13920.98</w:t>
            </w:r>
          </w:p>
        </w:tc>
      </w:tr>
      <w:tr w:rsidR="00CD767E" w:rsidRPr="001D4423" w14:paraId="0312A0CC" w14:textId="77777777" w:rsidTr="00CE438D">
        <w:trPr>
          <w:trHeight w:val="345"/>
        </w:trPr>
        <w:tc>
          <w:tcPr>
            <w:tcW w:w="590" w:type="pct"/>
            <w:vMerge/>
            <w:shd w:val="clear" w:color="auto" w:fill="auto"/>
            <w:vAlign w:val="center"/>
            <w:hideMark/>
          </w:tcPr>
          <w:p w14:paraId="18E9F7D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2D5CCA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F18B21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3175795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w:t>
            </w:r>
          </w:p>
        </w:tc>
        <w:tc>
          <w:tcPr>
            <w:tcW w:w="1185" w:type="pct"/>
            <w:shd w:val="clear" w:color="auto" w:fill="auto"/>
            <w:noWrap/>
            <w:vAlign w:val="center"/>
            <w:hideMark/>
          </w:tcPr>
          <w:p w14:paraId="02BC0B8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13794.02</w:t>
            </w:r>
          </w:p>
        </w:tc>
      </w:tr>
      <w:tr w:rsidR="00CD767E" w:rsidRPr="001D4423" w14:paraId="6779B726" w14:textId="77777777" w:rsidTr="00CE438D">
        <w:trPr>
          <w:trHeight w:val="345"/>
        </w:trPr>
        <w:tc>
          <w:tcPr>
            <w:tcW w:w="590" w:type="pct"/>
            <w:vMerge/>
            <w:shd w:val="clear" w:color="auto" w:fill="auto"/>
            <w:vAlign w:val="center"/>
            <w:hideMark/>
          </w:tcPr>
          <w:p w14:paraId="7CAF5D6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E9FC24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1EC420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5FAD0D1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人防室外出入口及其他</w:t>
            </w:r>
          </w:p>
        </w:tc>
        <w:tc>
          <w:tcPr>
            <w:tcW w:w="1185" w:type="pct"/>
            <w:shd w:val="clear" w:color="auto" w:fill="auto"/>
            <w:noWrap/>
            <w:vAlign w:val="center"/>
            <w:hideMark/>
          </w:tcPr>
          <w:p w14:paraId="0CDBCDF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w:t>
            </w:r>
          </w:p>
        </w:tc>
      </w:tr>
      <w:tr w:rsidR="00CD767E" w:rsidRPr="00F86D61" w14:paraId="6A58A399" w14:textId="77777777" w:rsidTr="00CE438D">
        <w:trPr>
          <w:trHeight w:val="345"/>
        </w:trPr>
        <w:tc>
          <w:tcPr>
            <w:tcW w:w="590" w:type="pct"/>
            <w:vMerge/>
            <w:shd w:val="clear" w:color="auto" w:fill="auto"/>
            <w:vAlign w:val="center"/>
            <w:hideMark/>
          </w:tcPr>
          <w:p w14:paraId="43742A0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A7C7C9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4C3D1D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1755248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3867349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28075</w:t>
            </w:r>
          </w:p>
        </w:tc>
      </w:tr>
      <w:tr w:rsidR="00CD767E" w:rsidRPr="00F86D61" w14:paraId="309765B1" w14:textId="77777777" w:rsidTr="00CE438D">
        <w:trPr>
          <w:trHeight w:val="345"/>
        </w:trPr>
        <w:tc>
          <w:tcPr>
            <w:tcW w:w="590" w:type="pct"/>
            <w:vMerge/>
            <w:shd w:val="clear" w:color="auto" w:fill="auto"/>
            <w:vAlign w:val="center"/>
            <w:hideMark/>
          </w:tcPr>
          <w:p w14:paraId="6589074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4E877A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7542DAC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商业</w:t>
            </w:r>
          </w:p>
        </w:tc>
        <w:tc>
          <w:tcPr>
            <w:tcW w:w="1662" w:type="pct"/>
            <w:shd w:val="clear" w:color="auto" w:fill="auto"/>
            <w:vAlign w:val="center"/>
            <w:hideMark/>
          </w:tcPr>
          <w:p w14:paraId="20CF8BA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w:t>
            </w:r>
            <w:proofErr w:type="gramStart"/>
            <w:r w:rsidRPr="001D4423">
              <w:rPr>
                <w:rFonts w:ascii="Arial" w:eastAsia="仿宋_GB2312" w:hAnsi="Arial" w:cs="Arial" w:hint="eastAsia"/>
                <w:sz w:val="22"/>
                <w:szCs w:val="16"/>
              </w:rPr>
              <w:t>房配套</w:t>
            </w:r>
            <w:proofErr w:type="gramEnd"/>
            <w:r w:rsidRPr="001D4423">
              <w:rPr>
                <w:rFonts w:ascii="Arial" w:eastAsia="仿宋_GB2312" w:hAnsi="Arial" w:cs="Arial" w:hint="eastAsia"/>
                <w:sz w:val="22"/>
                <w:szCs w:val="16"/>
              </w:rPr>
              <w:t>商业</w:t>
            </w:r>
          </w:p>
        </w:tc>
        <w:tc>
          <w:tcPr>
            <w:tcW w:w="1185" w:type="pct"/>
            <w:shd w:val="clear" w:color="auto" w:fill="auto"/>
            <w:noWrap/>
            <w:vAlign w:val="center"/>
            <w:hideMark/>
          </w:tcPr>
          <w:p w14:paraId="552CBE8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260</w:t>
            </w:r>
          </w:p>
        </w:tc>
      </w:tr>
      <w:tr w:rsidR="00CD767E" w:rsidRPr="00F86D61" w14:paraId="1A9B3252" w14:textId="77777777" w:rsidTr="00CE438D">
        <w:trPr>
          <w:trHeight w:val="345"/>
        </w:trPr>
        <w:tc>
          <w:tcPr>
            <w:tcW w:w="590" w:type="pct"/>
            <w:vMerge/>
            <w:shd w:val="clear" w:color="auto" w:fill="auto"/>
            <w:vAlign w:val="center"/>
            <w:hideMark/>
          </w:tcPr>
          <w:p w14:paraId="3B2506C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682B59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F7D813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7CD3755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平衡资金商品房配套商业</w:t>
            </w:r>
          </w:p>
        </w:tc>
        <w:tc>
          <w:tcPr>
            <w:tcW w:w="1185" w:type="pct"/>
            <w:shd w:val="clear" w:color="auto" w:fill="auto"/>
            <w:noWrap/>
            <w:vAlign w:val="center"/>
            <w:hideMark/>
          </w:tcPr>
          <w:p w14:paraId="5748B02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3045</w:t>
            </w:r>
          </w:p>
        </w:tc>
      </w:tr>
      <w:tr w:rsidR="00CD767E" w:rsidRPr="00F86D61" w14:paraId="0642F7B6" w14:textId="77777777" w:rsidTr="00CE438D">
        <w:trPr>
          <w:trHeight w:val="345"/>
        </w:trPr>
        <w:tc>
          <w:tcPr>
            <w:tcW w:w="590" w:type="pct"/>
            <w:vMerge/>
            <w:shd w:val="clear" w:color="auto" w:fill="auto"/>
            <w:vAlign w:val="center"/>
            <w:hideMark/>
          </w:tcPr>
          <w:p w14:paraId="4EE63F5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217E3D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98D5C2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5F15B12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小型商服</w:t>
            </w:r>
          </w:p>
        </w:tc>
        <w:tc>
          <w:tcPr>
            <w:tcW w:w="1185" w:type="pct"/>
            <w:shd w:val="clear" w:color="auto" w:fill="auto"/>
            <w:noWrap/>
            <w:vAlign w:val="center"/>
            <w:hideMark/>
          </w:tcPr>
          <w:p w14:paraId="5E3A866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w:t>
            </w:r>
          </w:p>
        </w:tc>
      </w:tr>
      <w:tr w:rsidR="00CD767E" w:rsidRPr="00F86D61" w14:paraId="21094E9F" w14:textId="77777777" w:rsidTr="00CE438D">
        <w:trPr>
          <w:trHeight w:val="345"/>
        </w:trPr>
        <w:tc>
          <w:tcPr>
            <w:tcW w:w="590" w:type="pct"/>
            <w:vMerge/>
            <w:shd w:val="clear" w:color="auto" w:fill="auto"/>
            <w:vAlign w:val="center"/>
            <w:hideMark/>
          </w:tcPr>
          <w:p w14:paraId="5225AFD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AD8E50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DD7811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0F80C5C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5A30E68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3318</w:t>
            </w:r>
          </w:p>
        </w:tc>
      </w:tr>
      <w:tr w:rsidR="00CD767E" w:rsidRPr="00F86D61" w14:paraId="1A814289" w14:textId="77777777" w:rsidTr="00CE438D">
        <w:trPr>
          <w:trHeight w:val="345"/>
        </w:trPr>
        <w:tc>
          <w:tcPr>
            <w:tcW w:w="590" w:type="pct"/>
            <w:vMerge/>
            <w:shd w:val="clear" w:color="auto" w:fill="auto"/>
            <w:vAlign w:val="center"/>
            <w:hideMark/>
          </w:tcPr>
          <w:p w14:paraId="7D19E15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4E757B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1A1D0AD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办公</w:t>
            </w:r>
          </w:p>
        </w:tc>
        <w:tc>
          <w:tcPr>
            <w:tcW w:w="1662" w:type="pct"/>
            <w:shd w:val="clear" w:color="auto" w:fill="auto"/>
            <w:vAlign w:val="center"/>
            <w:hideMark/>
          </w:tcPr>
          <w:p w14:paraId="673550D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036A27B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D767E" w:rsidRPr="00F86D61" w14:paraId="1BB548D6" w14:textId="77777777" w:rsidTr="00CE438D">
        <w:trPr>
          <w:trHeight w:val="345"/>
        </w:trPr>
        <w:tc>
          <w:tcPr>
            <w:tcW w:w="590" w:type="pct"/>
            <w:vMerge/>
            <w:shd w:val="clear" w:color="auto" w:fill="auto"/>
            <w:vAlign w:val="center"/>
            <w:hideMark/>
          </w:tcPr>
          <w:p w14:paraId="6BE2531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499901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2397ED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22C32E8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34DCF52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D767E" w:rsidRPr="00F86D61" w14:paraId="635EAF4C" w14:textId="77777777" w:rsidTr="00CE438D">
        <w:trPr>
          <w:trHeight w:val="345"/>
        </w:trPr>
        <w:tc>
          <w:tcPr>
            <w:tcW w:w="590" w:type="pct"/>
            <w:vMerge/>
            <w:shd w:val="clear" w:color="auto" w:fill="auto"/>
            <w:vAlign w:val="center"/>
            <w:hideMark/>
          </w:tcPr>
          <w:p w14:paraId="14B7FCA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164745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35D15B5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3BA9278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31511</w:t>
            </w:r>
          </w:p>
        </w:tc>
      </w:tr>
      <w:tr w:rsidR="00CD767E" w:rsidRPr="00F86D61" w14:paraId="29E10AFF" w14:textId="77777777" w:rsidTr="00CE438D">
        <w:trPr>
          <w:trHeight w:val="345"/>
        </w:trPr>
        <w:tc>
          <w:tcPr>
            <w:tcW w:w="590" w:type="pct"/>
            <w:vMerge w:val="restart"/>
            <w:shd w:val="clear" w:color="auto" w:fill="auto"/>
            <w:noWrap/>
            <w:vAlign w:val="center"/>
            <w:hideMark/>
          </w:tcPr>
          <w:p w14:paraId="4277F27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w:t>
            </w:r>
            <w:r>
              <w:rPr>
                <w:rFonts w:ascii="Arial" w:eastAsia="仿宋_GB2312" w:hAnsi="Arial" w:cs="Arial" w:hint="eastAsia"/>
                <w:sz w:val="22"/>
                <w:szCs w:val="16"/>
              </w:rPr>
              <w:t>部分</w:t>
            </w:r>
          </w:p>
        </w:tc>
        <w:tc>
          <w:tcPr>
            <w:tcW w:w="781" w:type="pct"/>
            <w:vMerge w:val="restart"/>
            <w:vAlign w:val="center"/>
          </w:tcPr>
          <w:p w14:paraId="0E9DA2B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shd w:val="clear" w:color="auto" w:fill="auto"/>
            <w:vAlign w:val="center"/>
            <w:hideMark/>
          </w:tcPr>
          <w:p w14:paraId="5078E88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地下办公</w:t>
            </w:r>
          </w:p>
        </w:tc>
        <w:tc>
          <w:tcPr>
            <w:tcW w:w="1662" w:type="pct"/>
            <w:shd w:val="clear" w:color="auto" w:fill="auto"/>
            <w:vAlign w:val="center"/>
            <w:hideMark/>
          </w:tcPr>
          <w:p w14:paraId="497D61E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6A21B31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32</w:t>
            </w:r>
          </w:p>
        </w:tc>
      </w:tr>
      <w:tr w:rsidR="00CD767E" w:rsidRPr="00F86D61" w14:paraId="75230302" w14:textId="77777777" w:rsidTr="00CE438D">
        <w:trPr>
          <w:trHeight w:val="345"/>
        </w:trPr>
        <w:tc>
          <w:tcPr>
            <w:tcW w:w="590" w:type="pct"/>
            <w:vMerge/>
            <w:shd w:val="clear" w:color="auto" w:fill="auto"/>
            <w:vAlign w:val="center"/>
            <w:hideMark/>
          </w:tcPr>
          <w:p w14:paraId="396F999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9646EE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6D006CF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地下车库</w:t>
            </w:r>
          </w:p>
        </w:tc>
        <w:tc>
          <w:tcPr>
            <w:tcW w:w="1662" w:type="pct"/>
            <w:shd w:val="clear" w:color="auto" w:fill="auto"/>
            <w:vAlign w:val="center"/>
            <w:hideMark/>
          </w:tcPr>
          <w:p w14:paraId="446104A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汽车库</w:t>
            </w:r>
          </w:p>
        </w:tc>
        <w:tc>
          <w:tcPr>
            <w:tcW w:w="1185" w:type="pct"/>
            <w:shd w:val="clear" w:color="auto" w:fill="auto"/>
            <w:noWrap/>
            <w:vAlign w:val="center"/>
            <w:hideMark/>
          </w:tcPr>
          <w:p w14:paraId="58FCCBC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10345.02</w:t>
            </w:r>
          </w:p>
        </w:tc>
      </w:tr>
      <w:tr w:rsidR="00CD767E" w:rsidRPr="00F86D61" w14:paraId="67D36F04" w14:textId="77777777" w:rsidTr="00CE438D">
        <w:trPr>
          <w:trHeight w:val="345"/>
        </w:trPr>
        <w:tc>
          <w:tcPr>
            <w:tcW w:w="590" w:type="pct"/>
            <w:vMerge/>
            <w:shd w:val="clear" w:color="auto" w:fill="auto"/>
            <w:vAlign w:val="center"/>
            <w:hideMark/>
          </w:tcPr>
          <w:p w14:paraId="5B3762E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restart"/>
            <w:vAlign w:val="center"/>
          </w:tcPr>
          <w:p w14:paraId="76D9350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不出让</w:t>
            </w:r>
          </w:p>
        </w:tc>
        <w:tc>
          <w:tcPr>
            <w:tcW w:w="782" w:type="pct"/>
            <w:shd w:val="clear" w:color="auto" w:fill="auto"/>
            <w:vAlign w:val="center"/>
            <w:hideMark/>
          </w:tcPr>
          <w:p w14:paraId="05D3CE2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662" w:type="pct"/>
            <w:shd w:val="clear" w:color="auto" w:fill="auto"/>
            <w:vAlign w:val="center"/>
            <w:hideMark/>
          </w:tcPr>
          <w:p w14:paraId="2998264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185" w:type="pct"/>
            <w:shd w:val="clear" w:color="auto" w:fill="auto"/>
            <w:noWrap/>
            <w:vAlign w:val="center"/>
            <w:hideMark/>
          </w:tcPr>
          <w:p w14:paraId="4D022F0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227</w:t>
            </w:r>
          </w:p>
        </w:tc>
      </w:tr>
      <w:tr w:rsidR="00CD767E" w:rsidRPr="00F86D61" w14:paraId="37397550" w14:textId="77777777" w:rsidTr="00CE438D">
        <w:trPr>
          <w:trHeight w:val="345"/>
        </w:trPr>
        <w:tc>
          <w:tcPr>
            <w:tcW w:w="590" w:type="pct"/>
            <w:vMerge/>
            <w:shd w:val="clear" w:color="auto" w:fill="auto"/>
            <w:vAlign w:val="center"/>
            <w:hideMark/>
          </w:tcPr>
          <w:p w14:paraId="3556EB3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28B1D2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0DEA88D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662" w:type="pct"/>
            <w:shd w:val="clear" w:color="auto" w:fill="auto"/>
            <w:vAlign w:val="center"/>
            <w:hideMark/>
          </w:tcPr>
          <w:p w14:paraId="7991270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185" w:type="pct"/>
            <w:shd w:val="clear" w:color="auto" w:fill="auto"/>
            <w:noWrap/>
            <w:vAlign w:val="center"/>
            <w:hideMark/>
          </w:tcPr>
          <w:p w14:paraId="50931FD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3600.98</w:t>
            </w:r>
          </w:p>
        </w:tc>
      </w:tr>
      <w:tr w:rsidR="00CD767E" w:rsidRPr="00F86D61" w14:paraId="522F369A" w14:textId="77777777" w:rsidTr="00CE438D">
        <w:trPr>
          <w:trHeight w:val="345"/>
        </w:trPr>
        <w:tc>
          <w:tcPr>
            <w:tcW w:w="590" w:type="pct"/>
            <w:vMerge/>
            <w:shd w:val="clear" w:color="auto" w:fill="auto"/>
            <w:vAlign w:val="center"/>
            <w:hideMark/>
          </w:tcPr>
          <w:p w14:paraId="325661B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36EF99A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vAlign w:val="center"/>
            <w:hideMark/>
          </w:tcPr>
          <w:p w14:paraId="20E64BE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非经营性用途</w:t>
            </w:r>
          </w:p>
        </w:tc>
        <w:tc>
          <w:tcPr>
            <w:tcW w:w="1662" w:type="pct"/>
            <w:shd w:val="clear" w:color="auto" w:fill="auto"/>
            <w:vAlign w:val="center"/>
            <w:hideMark/>
          </w:tcPr>
          <w:p w14:paraId="3DFB75A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室内覆盖系统机房</w:t>
            </w:r>
          </w:p>
        </w:tc>
        <w:tc>
          <w:tcPr>
            <w:tcW w:w="1185" w:type="pct"/>
            <w:shd w:val="clear" w:color="auto" w:fill="auto"/>
            <w:noWrap/>
            <w:vAlign w:val="center"/>
            <w:hideMark/>
          </w:tcPr>
          <w:p w14:paraId="72DE38A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D767E" w:rsidRPr="001D4423" w14:paraId="2DA94619" w14:textId="77777777" w:rsidTr="00CE438D">
        <w:trPr>
          <w:trHeight w:val="345"/>
        </w:trPr>
        <w:tc>
          <w:tcPr>
            <w:tcW w:w="590" w:type="pct"/>
            <w:vMerge/>
            <w:shd w:val="clear" w:color="auto" w:fill="auto"/>
            <w:vAlign w:val="center"/>
            <w:hideMark/>
          </w:tcPr>
          <w:p w14:paraId="784EA21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BAE092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EA1F61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066B5B0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固定通信设备间</w:t>
            </w:r>
          </w:p>
        </w:tc>
        <w:tc>
          <w:tcPr>
            <w:tcW w:w="1185" w:type="pct"/>
            <w:shd w:val="clear" w:color="auto" w:fill="auto"/>
            <w:noWrap/>
            <w:vAlign w:val="center"/>
            <w:hideMark/>
          </w:tcPr>
          <w:p w14:paraId="5F8FE0A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D767E" w:rsidRPr="001D4423" w14:paraId="25122466" w14:textId="77777777" w:rsidTr="00CE438D">
        <w:trPr>
          <w:trHeight w:val="345"/>
        </w:trPr>
        <w:tc>
          <w:tcPr>
            <w:tcW w:w="590" w:type="pct"/>
            <w:vMerge/>
            <w:shd w:val="clear" w:color="auto" w:fill="auto"/>
            <w:vAlign w:val="center"/>
            <w:hideMark/>
          </w:tcPr>
          <w:p w14:paraId="51F2FD1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1E4CE5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1CD087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61CBB3C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有线电视光电转换间</w:t>
            </w:r>
          </w:p>
        </w:tc>
        <w:tc>
          <w:tcPr>
            <w:tcW w:w="1185" w:type="pct"/>
            <w:shd w:val="clear" w:color="auto" w:fill="auto"/>
            <w:noWrap/>
            <w:vAlign w:val="center"/>
            <w:hideMark/>
          </w:tcPr>
          <w:p w14:paraId="5EBD73D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w:t>
            </w:r>
          </w:p>
        </w:tc>
      </w:tr>
      <w:tr w:rsidR="00CD767E" w:rsidRPr="001D4423" w14:paraId="6D761D74" w14:textId="77777777" w:rsidTr="00CE438D">
        <w:trPr>
          <w:trHeight w:val="345"/>
        </w:trPr>
        <w:tc>
          <w:tcPr>
            <w:tcW w:w="590" w:type="pct"/>
            <w:vMerge/>
            <w:shd w:val="clear" w:color="auto" w:fill="auto"/>
            <w:vAlign w:val="center"/>
            <w:hideMark/>
          </w:tcPr>
          <w:p w14:paraId="440B2B5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B8B14C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1A9048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6C1EF6E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配电室</w:t>
            </w:r>
          </w:p>
        </w:tc>
        <w:tc>
          <w:tcPr>
            <w:tcW w:w="1185" w:type="pct"/>
            <w:shd w:val="clear" w:color="auto" w:fill="auto"/>
            <w:noWrap/>
            <w:vAlign w:val="center"/>
            <w:hideMark/>
          </w:tcPr>
          <w:p w14:paraId="7AF393B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180</w:t>
            </w:r>
          </w:p>
        </w:tc>
      </w:tr>
      <w:tr w:rsidR="00CD767E" w:rsidRPr="001D4423" w14:paraId="603C86F8" w14:textId="77777777" w:rsidTr="00CE438D">
        <w:trPr>
          <w:trHeight w:val="345"/>
        </w:trPr>
        <w:tc>
          <w:tcPr>
            <w:tcW w:w="590" w:type="pct"/>
            <w:vMerge/>
            <w:shd w:val="clear" w:color="auto" w:fill="auto"/>
            <w:vAlign w:val="center"/>
            <w:hideMark/>
          </w:tcPr>
          <w:p w14:paraId="6754ECD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00EDE2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56C72A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7C77424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热力站</w:t>
            </w:r>
          </w:p>
        </w:tc>
        <w:tc>
          <w:tcPr>
            <w:tcW w:w="1185" w:type="pct"/>
            <w:shd w:val="clear" w:color="auto" w:fill="auto"/>
            <w:noWrap/>
            <w:vAlign w:val="center"/>
            <w:hideMark/>
          </w:tcPr>
          <w:p w14:paraId="0635FD2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200</w:t>
            </w:r>
          </w:p>
        </w:tc>
      </w:tr>
      <w:tr w:rsidR="00CD767E" w:rsidRPr="001D4423" w14:paraId="0935926D" w14:textId="77777777" w:rsidTr="00CE438D">
        <w:trPr>
          <w:trHeight w:val="345"/>
        </w:trPr>
        <w:tc>
          <w:tcPr>
            <w:tcW w:w="590" w:type="pct"/>
            <w:vMerge/>
            <w:shd w:val="clear" w:color="auto" w:fill="auto"/>
            <w:vAlign w:val="center"/>
            <w:hideMark/>
          </w:tcPr>
          <w:p w14:paraId="0D12C9D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4D5E63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CEEA7A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AA25DF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设备用房</w:t>
            </w:r>
          </w:p>
        </w:tc>
        <w:tc>
          <w:tcPr>
            <w:tcW w:w="1185" w:type="pct"/>
            <w:shd w:val="clear" w:color="auto" w:fill="auto"/>
            <w:noWrap/>
            <w:vAlign w:val="center"/>
            <w:hideMark/>
          </w:tcPr>
          <w:p w14:paraId="31FB1A8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661</w:t>
            </w:r>
          </w:p>
        </w:tc>
      </w:tr>
      <w:tr w:rsidR="00CD767E" w:rsidRPr="00F86D61" w14:paraId="22173FE3" w14:textId="77777777" w:rsidTr="00CE438D">
        <w:trPr>
          <w:trHeight w:val="345"/>
        </w:trPr>
        <w:tc>
          <w:tcPr>
            <w:tcW w:w="590" w:type="pct"/>
            <w:vMerge/>
            <w:shd w:val="clear" w:color="auto" w:fill="auto"/>
            <w:vAlign w:val="center"/>
            <w:hideMark/>
          </w:tcPr>
          <w:p w14:paraId="673F09D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86A017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5C7AD3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84DEA2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501DCB9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1077</w:t>
            </w:r>
          </w:p>
        </w:tc>
      </w:tr>
      <w:tr w:rsidR="00CD767E" w:rsidRPr="00F86D61" w14:paraId="2B9F269D" w14:textId="77777777" w:rsidTr="00CE438D">
        <w:trPr>
          <w:trHeight w:val="345"/>
        </w:trPr>
        <w:tc>
          <w:tcPr>
            <w:tcW w:w="590" w:type="pct"/>
            <w:vMerge/>
            <w:shd w:val="clear" w:color="auto" w:fill="auto"/>
            <w:vAlign w:val="center"/>
            <w:hideMark/>
          </w:tcPr>
          <w:p w14:paraId="70FAA28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Align w:val="center"/>
          </w:tcPr>
          <w:p w14:paraId="5A39342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5F92E82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21E00EA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15282</w:t>
            </w:r>
          </w:p>
        </w:tc>
      </w:tr>
      <w:tr w:rsidR="00CD767E" w:rsidRPr="00F86D61" w14:paraId="1B632D1C" w14:textId="77777777" w:rsidTr="00CE438D">
        <w:trPr>
          <w:trHeight w:val="345"/>
        </w:trPr>
        <w:tc>
          <w:tcPr>
            <w:tcW w:w="590" w:type="pct"/>
            <w:shd w:val="clear" w:color="auto" w:fill="auto"/>
            <w:noWrap/>
            <w:vAlign w:val="center"/>
            <w:hideMark/>
          </w:tcPr>
          <w:p w14:paraId="139917E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总计</w:t>
            </w:r>
          </w:p>
        </w:tc>
        <w:tc>
          <w:tcPr>
            <w:tcW w:w="781" w:type="pct"/>
            <w:vAlign w:val="center"/>
          </w:tcPr>
          <w:p w14:paraId="7335A0B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hideMark/>
          </w:tcPr>
          <w:p w14:paraId="6B64BE5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w:t>
            </w:r>
          </w:p>
        </w:tc>
        <w:tc>
          <w:tcPr>
            <w:tcW w:w="1185" w:type="pct"/>
            <w:shd w:val="clear" w:color="auto" w:fill="auto"/>
            <w:noWrap/>
            <w:vAlign w:val="center"/>
            <w:hideMark/>
          </w:tcPr>
          <w:p w14:paraId="12E5F7E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46793</w:t>
            </w:r>
          </w:p>
        </w:tc>
      </w:tr>
      <w:tr w:rsidR="00CD767E" w:rsidRPr="00F86D61" w14:paraId="7D58C550" w14:textId="77777777" w:rsidTr="00CE438D">
        <w:trPr>
          <w:trHeight w:val="345"/>
        </w:trPr>
        <w:tc>
          <w:tcPr>
            <w:tcW w:w="590" w:type="pct"/>
            <w:shd w:val="clear" w:color="auto" w:fill="auto"/>
            <w:noWrap/>
            <w:vAlign w:val="center"/>
          </w:tcPr>
          <w:p w14:paraId="46C651C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413B3700"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17B9C55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总用地面积</w:t>
            </w:r>
          </w:p>
        </w:tc>
        <w:tc>
          <w:tcPr>
            <w:tcW w:w="1185" w:type="pct"/>
            <w:shd w:val="clear" w:color="auto" w:fill="auto"/>
            <w:noWrap/>
            <w:vAlign w:val="center"/>
          </w:tcPr>
          <w:p w14:paraId="4CD4088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6180.978</w:t>
            </w:r>
          </w:p>
        </w:tc>
      </w:tr>
      <w:tr w:rsidR="00CD767E" w:rsidRPr="00F86D61" w14:paraId="50FC792A" w14:textId="77777777" w:rsidTr="00CE438D">
        <w:trPr>
          <w:trHeight w:val="345"/>
        </w:trPr>
        <w:tc>
          <w:tcPr>
            <w:tcW w:w="590" w:type="pct"/>
            <w:shd w:val="clear" w:color="auto" w:fill="auto"/>
            <w:noWrap/>
            <w:vAlign w:val="center"/>
          </w:tcPr>
          <w:p w14:paraId="519681D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15FF6DEC" w14:textId="77777777" w:rsidR="00CD767E"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0328AA4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容积率</w:t>
            </w:r>
          </w:p>
        </w:tc>
        <w:tc>
          <w:tcPr>
            <w:tcW w:w="1185" w:type="pct"/>
            <w:shd w:val="clear" w:color="auto" w:fill="auto"/>
            <w:noWrap/>
            <w:vAlign w:val="center"/>
          </w:tcPr>
          <w:p w14:paraId="4A198B29" w14:textId="6B3D2FCD"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5</w:t>
            </w:r>
            <w:r>
              <w:rPr>
                <w:rFonts w:ascii="Arial" w:eastAsia="仿宋_GB2312" w:hAnsi="Arial" w:cs="Arial"/>
                <w:sz w:val="22"/>
                <w:szCs w:val="16"/>
              </w:rPr>
              <w:t>.1</w:t>
            </w:r>
            <w:r w:rsidR="006C1DB6">
              <w:rPr>
                <w:rFonts w:ascii="Arial" w:eastAsia="仿宋_GB2312" w:hAnsi="Arial" w:cs="Arial"/>
                <w:sz w:val="22"/>
                <w:szCs w:val="16"/>
              </w:rPr>
              <w:t>0</w:t>
            </w:r>
          </w:p>
        </w:tc>
      </w:tr>
    </w:tbl>
    <w:p w14:paraId="7682A222" w14:textId="41C13FB3" w:rsidR="002C3ABF" w:rsidRPr="00F631FB" w:rsidRDefault="002C3ABF" w:rsidP="002C3ABF">
      <w:pPr>
        <w:spacing w:line="360" w:lineRule="auto"/>
        <w:ind w:firstLineChars="200" w:firstLine="560"/>
        <w:jc w:val="both"/>
        <w:rPr>
          <w:rFonts w:ascii="Arial" w:eastAsia="仿宋_GB2312" w:hAnsi="Arial" w:cs="Arial"/>
          <w:spacing w:val="-12"/>
          <w:sz w:val="28"/>
        </w:rPr>
      </w:pPr>
      <w:r w:rsidRPr="00F631FB">
        <w:rPr>
          <w:rFonts w:ascii="Arial" w:eastAsia="仿宋_GB2312" w:hAnsi="Arial" w:cs="Arial"/>
          <w:sz w:val="28"/>
        </w:rPr>
        <w:t>估价对象属于</w:t>
      </w:r>
      <w:r w:rsidR="00C85585" w:rsidRPr="00F631FB">
        <w:rPr>
          <w:rFonts w:ascii="Arial" w:eastAsia="仿宋_GB2312" w:hAnsi="Arial" w:cs="Arial"/>
          <w:sz w:val="28"/>
          <w:szCs w:val="28"/>
        </w:rPr>
        <w:t>居住类</w:t>
      </w:r>
      <w:r w:rsidR="00C85585">
        <w:rPr>
          <w:rFonts w:ascii="Arial" w:eastAsia="仿宋_GB2312" w:hAnsi="Arial" w:cs="Arial" w:hint="eastAsia"/>
          <w:sz w:val="28"/>
          <w:szCs w:val="28"/>
        </w:rPr>
        <w:t>二</w:t>
      </w:r>
      <w:r w:rsidR="00C85585" w:rsidRPr="00F631FB">
        <w:rPr>
          <w:rFonts w:ascii="Arial" w:eastAsia="仿宋_GB2312" w:hAnsi="Arial" w:cs="Arial"/>
          <w:sz w:val="28"/>
          <w:szCs w:val="28"/>
        </w:rPr>
        <w:t>级</w:t>
      </w:r>
      <w:r w:rsidR="00C85585">
        <w:rPr>
          <w:rFonts w:ascii="微软雅黑" w:eastAsia="微软雅黑" w:hAnsi="微软雅黑" w:cs="Arial" w:hint="eastAsia"/>
          <w:sz w:val="28"/>
          <w:szCs w:val="28"/>
        </w:rPr>
        <w:t>Ⅱ</w:t>
      </w:r>
      <w:r w:rsidR="00C85585" w:rsidRPr="00F631FB">
        <w:rPr>
          <w:rFonts w:ascii="Arial" w:eastAsia="仿宋_GB2312" w:hAnsi="Arial" w:cs="Arial"/>
          <w:sz w:val="28"/>
          <w:szCs w:val="28"/>
        </w:rPr>
        <w:t>-0</w:t>
      </w:r>
      <w:r w:rsidR="00C85585" w:rsidRPr="00F631FB">
        <w:rPr>
          <w:rFonts w:ascii="Arial" w:eastAsia="仿宋_GB2312" w:hAnsi="Arial" w:cs="Arial" w:hint="eastAsia"/>
          <w:sz w:val="28"/>
          <w:szCs w:val="28"/>
        </w:rPr>
        <w:t>3</w:t>
      </w:r>
      <w:r w:rsidR="00C85585" w:rsidRPr="00F631FB">
        <w:rPr>
          <w:rFonts w:ascii="Arial" w:eastAsia="仿宋_GB2312" w:hAnsi="Arial" w:cs="Arial"/>
          <w:sz w:val="28"/>
          <w:szCs w:val="28"/>
        </w:rPr>
        <w:t>区片、</w:t>
      </w:r>
      <w:r w:rsidR="005E6AF1">
        <w:rPr>
          <w:rFonts w:ascii="Arial" w:eastAsia="仿宋_GB2312" w:hAnsi="Arial" w:cs="Arial"/>
          <w:sz w:val="28"/>
          <w:szCs w:val="28"/>
        </w:rPr>
        <w:t>商业类三级</w:t>
      </w:r>
      <w:r w:rsidR="00C85585">
        <w:rPr>
          <w:rFonts w:ascii="微软雅黑" w:eastAsia="微软雅黑" w:hAnsi="微软雅黑" w:cs="Arial" w:hint="eastAsia"/>
          <w:sz w:val="28"/>
          <w:szCs w:val="28"/>
        </w:rPr>
        <w:t>Ⅲ</w:t>
      </w:r>
      <w:r w:rsidR="00C85585" w:rsidRPr="00F631FB">
        <w:rPr>
          <w:rFonts w:ascii="Arial" w:eastAsia="仿宋_GB2312" w:hAnsi="Arial" w:cs="Arial"/>
          <w:sz w:val="28"/>
          <w:szCs w:val="28"/>
        </w:rPr>
        <w:t>-0</w:t>
      </w:r>
      <w:r w:rsidR="00C85585">
        <w:rPr>
          <w:rFonts w:ascii="Arial" w:eastAsia="仿宋_GB2312" w:hAnsi="Arial" w:cs="Arial"/>
          <w:sz w:val="28"/>
          <w:szCs w:val="28"/>
        </w:rPr>
        <w:t>6</w:t>
      </w:r>
      <w:r w:rsidR="00C85585" w:rsidRPr="00F631FB">
        <w:rPr>
          <w:rFonts w:ascii="Arial" w:eastAsia="仿宋_GB2312" w:hAnsi="Arial" w:cs="Arial"/>
          <w:sz w:val="28"/>
          <w:szCs w:val="28"/>
        </w:rPr>
        <w:t>区片、办公类</w:t>
      </w:r>
      <w:r w:rsidR="00C85585">
        <w:rPr>
          <w:rFonts w:ascii="Arial" w:eastAsia="仿宋_GB2312" w:hAnsi="Arial" w:cs="Arial" w:hint="eastAsia"/>
          <w:sz w:val="28"/>
          <w:szCs w:val="28"/>
        </w:rPr>
        <w:t>二</w:t>
      </w:r>
      <w:r w:rsidR="00C85585" w:rsidRPr="00F631FB">
        <w:rPr>
          <w:rFonts w:ascii="Arial" w:eastAsia="仿宋_GB2312" w:hAnsi="Arial" w:cs="Arial"/>
          <w:sz w:val="28"/>
          <w:szCs w:val="28"/>
        </w:rPr>
        <w:t>级</w:t>
      </w:r>
      <w:r w:rsidR="00C85585">
        <w:rPr>
          <w:rFonts w:ascii="微软雅黑" w:eastAsia="微软雅黑" w:hAnsi="微软雅黑" w:cs="Arial" w:hint="eastAsia"/>
          <w:sz w:val="28"/>
          <w:szCs w:val="28"/>
        </w:rPr>
        <w:t>Ⅱ</w:t>
      </w:r>
      <w:r w:rsidR="00C85585" w:rsidRPr="00F631FB">
        <w:rPr>
          <w:rFonts w:ascii="Arial" w:eastAsia="仿宋_GB2312" w:hAnsi="Arial" w:cs="Arial"/>
          <w:sz w:val="28"/>
          <w:szCs w:val="28"/>
        </w:rPr>
        <w:t>-0</w:t>
      </w:r>
      <w:r w:rsidR="00C85585" w:rsidRPr="00F631FB">
        <w:rPr>
          <w:rFonts w:ascii="Arial" w:eastAsia="仿宋_GB2312" w:hAnsi="Arial" w:cs="Arial" w:hint="eastAsia"/>
          <w:sz w:val="28"/>
          <w:szCs w:val="28"/>
        </w:rPr>
        <w:t>3</w:t>
      </w:r>
      <w:r w:rsidR="00C85585" w:rsidRPr="00F631FB">
        <w:rPr>
          <w:rFonts w:ascii="Arial" w:eastAsia="仿宋_GB2312" w:hAnsi="Arial" w:cs="Arial"/>
          <w:sz w:val="28"/>
          <w:szCs w:val="28"/>
        </w:rPr>
        <w:t>区片</w:t>
      </w:r>
      <w:r w:rsidRPr="00F631FB">
        <w:rPr>
          <w:rFonts w:ascii="Arial" w:eastAsia="仿宋_GB2312" w:hAnsi="Arial" w:cs="Arial"/>
          <w:sz w:val="28"/>
          <w:szCs w:val="28"/>
        </w:rPr>
        <w:t>地价区内</w:t>
      </w:r>
      <w:r w:rsidRPr="00F631FB">
        <w:rPr>
          <w:rFonts w:ascii="Arial" w:eastAsia="仿宋_GB2312" w:hAnsi="Arial" w:cs="Arial"/>
          <w:sz w:val="28"/>
        </w:rPr>
        <w:t>，</w:t>
      </w:r>
      <w:r w:rsidRPr="00F631FB">
        <w:rPr>
          <w:rFonts w:ascii="Arial" w:eastAsia="仿宋_GB2312" w:hAnsi="Arial" w:cs="Arial" w:hint="eastAsia"/>
          <w:sz w:val="28"/>
        </w:rPr>
        <w:t>居住</w:t>
      </w:r>
      <w:r w:rsidR="009A76DB">
        <w:rPr>
          <w:rFonts w:ascii="Arial" w:eastAsia="仿宋_GB2312" w:hAnsi="Arial" w:cs="Arial"/>
          <w:sz w:val="28"/>
        </w:rPr>
        <w:t>用途、</w:t>
      </w:r>
      <w:r w:rsidR="009A76DB" w:rsidRPr="00F631FB">
        <w:rPr>
          <w:rFonts w:ascii="Arial" w:eastAsia="仿宋_GB2312" w:hAnsi="Arial" w:cs="Arial"/>
          <w:sz w:val="28"/>
        </w:rPr>
        <w:t>商业用途级</w:t>
      </w:r>
      <w:r w:rsidR="000C63D6" w:rsidRPr="00F631FB">
        <w:rPr>
          <w:rFonts w:ascii="Arial" w:eastAsia="仿宋_GB2312" w:hAnsi="Arial" w:cs="Arial"/>
          <w:sz w:val="28"/>
        </w:rPr>
        <w:t>别平均容积率均为</w:t>
      </w:r>
      <w:r w:rsidR="000C63D6" w:rsidRPr="00F631FB">
        <w:rPr>
          <w:rFonts w:ascii="Arial" w:eastAsia="仿宋_GB2312" w:hAnsi="Arial" w:cs="Arial"/>
          <w:sz w:val="28"/>
        </w:rPr>
        <w:t>2.5</w:t>
      </w:r>
      <w:r w:rsidR="000C63D6">
        <w:rPr>
          <w:rFonts w:ascii="Arial" w:eastAsia="仿宋_GB2312" w:hAnsi="Arial" w:cs="Arial" w:hint="eastAsia"/>
          <w:sz w:val="28"/>
        </w:rPr>
        <w:t>，</w:t>
      </w:r>
      <w:r w:rsidRPr="00F631FB">
        <w:rPr>
          <w:rFonts w:ascii="Arial" w:eastAsia="仿宋_GB2312" w:hAnsi="Arial" w:cs="Arial"/>
          <w:sz w:val="28"/>
        </w:rPr>
        <w:t>办公用途级别平均容积率均为</w:t>
      </w:r>
      <w:r w:rsidR="000C63D6">
        <w:rPr>
          <w:rFonts w:ascii="Arial" w:eastAsia="仿宋_GB2312" w:hAnsi="Arial" w:cs="Arial"/>
          <w:sz w:val="28"/>
        </w:rPr>
        <w:t>3.5</w:t>
      </w:r>
      <w:r w:rsidRPr="00F631FB">
        <w:rPr>
          <w:rFonts w:ascii="Arial" w:eastAsia="仿宋_GB2312" w:hAnsi="Arial" w:cs="Arial"/>
          <w:sz w:val="28"/>
        </w:rPr>
        <w:t>。估价对象宗地形状较规则、地形平坦、地质良好。综合评价估价对象土地利用程度较好。</w:t>
      </w:r>
    </w:p>
    <w:p w14:paraId="0C92F4B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宗地基础设施</w:t>
      </w:r>
      <w:r w:rsidRPr="00F631FB">
        <w:rPr>
          <w:rFonts w:ascii="Arial" w:eastAsia="仿宋_GB2312" w:hAnsi="Arial" w:cs="Arial"/>
          <w:sz w:val="28"/>
        </w:rPr>
        <w:t xml:space="preserve"> </w:t>
      </w:r>
    </w:p>
    <w:p w14:paraId="32EDFF53" w14:textId="5E4E7DC5" w:rsidR="000C63D6" w:rsidRPr="00E206FB" w:rsidRDefault="000C63D6" w:rsidP="000C63D6">
      <w:pPr>
        <w:spacing w:line="360" w:lineRule="auto"/>
        <w:ind w:firstLineChars="200" w:firstLine="560"/>
        <w:jc w:val="both"/>
        <w:rPr>
          <w:rFonts w:ascii="Arial" w:eastAsia="仿宋_GB2312" w:hAnsi="Arial" w:cs="Arial"/>
          <w:sz w:val="28"/>
        </w:rPr>
      </w:pPr>
      <w:bookmarkStart w:id="103" w:name="_Toc416783534"/>
      <w:bookmarkStart w:id="104" w:name="_Toc515458374"/>
      <w:bookmarkStart w:id="105" w:name="_Toc469066317"/>
      <w:bookmarkStart w:id="106" w:name="_Toc425250319"/>
      <w:bookmarkStart w:id="107" w:name="_Toc418750897"/>
      <w:bookmarkStart w:id="108" w:name="_Toc524335079"/>
      <w:r>
        <w:rPr>
          <w:rFonts w:ascii="Arial" w:eastAsia="仿宋_GB2312" w:hAnsi="Arial" w:cs="Arial" w:hint="eastAsia"/>
          <w:sz w:val="28"/>
        </w:rPr>
        <w:lastRenderedPageBreak/>
        <w:t>根据</w:t>
      </w:r>
      <w:r w:rsidRPr="00F631FB">
        <w:rPr>
          <w:rFonts w:ascii="Arial" w:eastAsia="仿宋_GB2312" w:hAnsi="Arial" w:cs="Arial" w:hint="eastAsia"/>
          <w:sz w:val="28"/>
        </w:rPr>
        <w:t>《</w:t>
      </w:r>
      <w:r>
        <w:rPr>
          <w:rFonts w:ascii="Arial" w:eastAsia="仿宋_GB2312" w:hAnsi="Arial" w:cs="Arial" w:hint="eastAsia"/>
          <w:sz w:val="28"/>
        </w:rPr>
        <w:t>海淀区苏州街站一体化棚户区改造项目前期工作及拟改造土地使用权一次性招标方案</w:t>
      </w:r>
      <w:r w:rsidRPr="00F631FB">
        <w:rPr>
          <w:rFonts w:ascii="Arial" w:eastAsia="仿宋_GB2312" w:hAnsi="Arial" w:cs="Arial" w:hint="eastAsia"/>
          <w:sz w:val="28"/>
        </w:rPr>
        <w:t>》</w:t>
      </w:r>
      <w:r>
        <w:rPr>
          <w:rFonts w:ascii="Arial" w:eastAsia="仿宋_GB2312" w:hAnsi="Arial" w:cs="Arial" w:hint="eastAsia"/>
          <w:sz w:val="28"/>
        </w:rPr>
        <w:t>及其附件，要求市政基础设施条件最终达到“七通”（</w:t>
      </w:r>
      <w:r w:rsidRPr="00F631FB">
        <w:rPr>
          <w:rFonts w:ascii="Arial" w:eastAsia="仿宋_GB2312" w:hAnsi="Arial" w:cs="Arial"/>
          <w:sz w:val="28"/>
          <w:szCs w:val="28"/>
        </w:rPr>
        <w:t>即通路、通电</w:t>
      </w:r>
      <w:r>
        <w:rPr>
          <w:rFonts w:ascii="Arial" w:eastAsia="仿宋_GB2312" w:hAnsi="Arial" w:cs="Arial" w:hint="eastAsia"/>
          <w:sz w:val="28"/>
          <w:szCs w:val="28"/>
        </w:rPr>
        <w:t>（管沟和电缆）</w:t>
      </w:r>
      <w:r w:rsidRPr="00F631FB">
        <w:rPr>
          <w:rFonts w:ascii="Arial" w:eastAsia="仿宋_GB2312" w:hAnsi="Arial" w:cs="Arial"/>
          <w:sz w:val="28"/>
          <w:szCs w:val="28"/>
        </w:rPr>
        <w:t>、通讯、通上水</w:t>
      </w:r>
      <w:r>
        <w:rPr>
          <w:rFonts w:ascii="Arial" w:eastAsia="仿宋_GB2312" w:hAnsi="Arial" w:cs="Arial" w:hint="eastAsia"/>
          <w:sz w:val="28"/>
          <w:szCs w:val="28"/>
        </w:rPr>
        <w:t>（自来水、中水）</w:t>
      </w:r>
      <w:r w:rsidRPr="00F631FB">
        <w:rPr>
          <w:rFonts w:ascii="Arial" w:eastAsia="仿宋_GB2312" w:hAnsi="Arial" w:cs="Arial"/>
          <w:sz w:val="28"/>
          <w:szCs w:val="28"/>
        </w:rPr>
        <w:t>、通下水</w:t>
      </w:r>
      <w:r>
        <w:rPr>
          <w:rFonts w:ascii="Arial" w:eastAsia="仿宋_GB2312" w:hAnsi="Arial" w:cs="Arial" w:hint="eastAsia"/>
          <w:sz w:val="28"/>
          <w:szCs w:val="28"/>
        </w:rPr>
        <w:t>（雨水、污水）</w:t>
      </w:r>
      <w:r w:rsidRPr="00F631FB">
        <w:rPr>
          <w:rFonts w:ascii="Arial" w:eastAsia="仿宋_GB2312" w:hAnsi="Arial" w:cs="Arial"/>
          <w:sz w:val="28"/>
          <w:szCs w:val="28"/>
        </w:rPr>
        <w:t>、通燃气、通热</w:t>
      </w:r>
      <w:r>
        <w:rPr>
          <w:rFonts w:ascii="Arial" w:eastAsia="仿宋_GB2312" w:hAnsi="Arial" w:cs="Arial" w:hint="eastAsia"/>
          <w:sz w:val="28"/>
        </w:rPr>
        <w:t>），截至价值时点，</w:t>
      </w:r>
      <w:r w:rsidR="0020403B">
        <w:rPr>
          <w:rFonts w:ascii="Arial" w:eastAsia="仿宋_GB2312" w:hAnsi="Arial" w:cs="Arial"/>
          <w:sz w:val="28"/>
          <w:szCs w:val="28"/>
        </w:rPr>
        <w:t>宗地内建筑物正在进行结构施工</w:t>
      </w:r>
      <w:r w:rsidRPr="00F631FB">
        <w:rPr>
          <w:rFonts w:ascii="Arial" w:eastAsia="仿宋_GB2312" w:hAnsi="Arial" w:cs="Arial"/>
          <w:sz w:val="28"/>
          <w:szCs w:val="28"/>
        </w:rPr>
        <w:t>。</w:t>
      </w:r>
      <w:r>
        <w:rPr>
          <w:rFonts w:ascii="Arial" w:eastAsia="仿宋_GB2312" w:hAnsi="Arial" w:cs="Arial" w:hint="eastAsia"/>
          <w:sz w:val="28"/>
        </w:rPr>
        <w:t>本次评估是</w:t>
      </w:r>
      <w:r w:rsidRPr="00F631FB">
        <w:rPr>
          <w:rFonts w:ascii="Arial" w:eastAsia="仿宋_GB2312" w:hAnsi="Arial" w:cs="Arial"/>
          <w:sz w:val="28"/>
        </w:rPr>
        <w:t>为北京市规划和自然资源委员会办理该项目</w:t>
      </w:r>
      <w:r w:rsidRPr="00927BB2">
        <w:rPr>
          <w:rFonts w:ascii="Arial" w:eastAsia="仿宋_GB2312" w:hAnsi="Arial" w:cs="Arial" w:hint="eastAsia"/>
          <w:sz w:val="28"/>
        </w:rPr>
        <w:t>一次性招标</w:t>
      </w:r>
      <w:r>
        <w:rPr>
          <w:rFonts w:ascii="Arial" w:eastAsia="仿宋_GB2312" w:hAnsi="Arial" w:cs="Arial" w:hint="eastAsia"/>
          <w:sz w:val="28"/>
        </w:rPr>
        <w:t>出让手续</w:t>
      </w:r>
      <w:r w:rsidRPr="00F631FB">
        <w:rPr>
          <w:rFonts w:ascii="Arial" w:eastAsia="仿宋_GB2312" w:hAnsi="Arial" w:cs="Arial"/>
          <w:sz w:val="28"/>
        </w:rPr>
        <w:t>提供参考</w:t>
      </w:r>
      <w:r w:rsidRPr="00F631FB">
        <w:rPr>
          <w:rFonts w:ascii="Arial" w:eastAsia="仿宋_GB2312" w:hAnsi="Arial" w:cs="Arial" w:hint="eastAsia"/>
          <w:sz w:val="28"/>
        </w:rPr>
        <w:t>依据</w:t>
      </w:r>
      <w:r>
        <w:rPr>
          <w:rFonts w:ascii="Arial" w:eastAsia="仿宋_GB2312" w:hAnsi="Arial" w:cs="Arial" w:hint="eastAsia"/>
          <w:sz w:val="28"/>
        </w:rPr>
        <w:t>，结合</w:t>
      </w:r>
      <w:r w:rsidRPr="00F631FB">
        <w:rPr>
          <w:rFonts w:ascii="Arial" w:eastAsia="仿宋_GB2312" w:hAnsi="Arial" w:cs="Arial"/>
          <w:sz w:val="28"/>
          <w:szCs w:val="28"/>
        </w:rPr>
        <w:t>估价目的，本次评估设定估价对象开发程度为宗地外</w:t>
      </w:r>
      <w:r>
        <w:rPr>
          <w:rFonts w:ascii="Arial" w:eastAsia="仿宋_GB2312" w:hAnsi="Arial" w:cs="Arial"/>
          <w:sz w:val="28"/>
          <w:szCs w:val="28"/>
        </w:rPr>
        <w:t>“</w:t>
      </w:r>
      <w:r>
        <w:rPr>
          <w:rFonts w:ascii="Arial" w:eastAsia="仿宋_GB2312" w:hAnsi="Arial" w:cs="Arial"/>
          <w:sz w:val="28"/>
          <w:szCs w:val="28"/>
        </w:rPr>
        <w:t>七通</w:t>
      </w:r>
      <w:r>
        <w:rPr>
          <w:rFonts w:ascii="Arial" w:eastAsia="仿宋_GB2312" w:hAnsi="Arial" w:cs="Arial"/>
          <w:sz w:val="28"/>
          <w:szCs w:val="28"/>
        </w:rPr>
        <w:t>”</w:t>
      </w:r>
      <w:r>
        <w:rPr>
          <w:rFonts w:ascii="Arial" w:eastAsia="仿宋_GB2312" w:hAnsi="Arial" w:cs="Arial"/>
          <w:sz w:val="28"/>
          <w:szCs w:val="28"/>
        </w:rPr>
        <w:t>（即通路、通电（管沟和电缆）、通讯、通上水（自来水、中水）、通下水（雨水、污水）、通燃气、通热）</w:t>
      </w:r>
      <w:r w:rsidRPr="00F631FB">
        <w:rPr>
          <w:rFonts w:ascii="Arial" w:eastAsia="仿宋_GB2312" w:hAnsi="Arial" w:cs="Arial"/>
          <w:sz w:val="28"/>
          <w:szCs w:val="28"/>
        </w:rPr>
        <w:t>，宗地内</w:t>
      </w:r>
      <w:r w:rsidRPr="00F631FB">
        <w:rPr>
          <w:rFonts w:ascii="Arial" w:eastAsia="仿宋_GB2312" w:hAnsi="Arial" w:cs="Arial"/>
          <w:sz w:val="28"/>
          <w:szCs w:val="28"/>
        </w:rPr>
        <w:t>“</w:t>
      </w:r>
      <w:r w:rsidRPr="00F631FB">
        <w:rPr>
          <w:rFonts w:ascii="Arial" w:eastAsia="仿宋_GB2312" w:hAnsi="Arial" w:cs="Arial"/>
          <w:sz w:val="28"/>
          <w:szCs w:val="28"/>
        </w:rPr>
        <w:t>场地平整</w:t>
      </w:r>
      <w:r w:rsidRPr="00F631FB">
        <w:rPr>
          <w:rFonts w:ascii="Arial" w:eastAsia="仿宋_GB2312" w:hAnsi="Arial" w:cs="Arial"/>
          <w:sz w:val="28"/>
          <w:szCs w:val="28"/>
        </w:rPr>
        <w:t>”</w:t>
      </w:r>
      <w:r w:rsidRPr="00F631FB">
        <w:rPr>
          <w:rFonts w:ascii="Arial" w:eastAsia="仿宋_GB2312" w:hAnsi="Arial" w:cs="Arial"/>
          <w:sz w:val="28"/>
          <w:szCs w:val="28"/>
        </w:rPr>
        <w:t>。</w:t>
      </w:r>
      <w:r w:rsidRPr="000C63D6">
        <w:rPr>
          <w:rFonts w:ascii="Arial" w:eastAsia="仿宋_GB2312" w:hAnsi="Arial" w:cs="Arial"/>
          <w:sz w:val="28"/>
        </w:rPr>
        <w:t xml:space="preserve"> </w:t>
      </w:r>
      <w:r w:rsidRPr="00F631FB">
        <w:rPr>
          <w:rFonts w:ascii="Arial" w:eastAsia="仿宋_GB2312" w:hAnsi="Arial" w:cs="Arial"/>
          <w:sz w:val="28"/>
        </w:rPr>
        <w:t>综合评价估价对象宗地基础设施</w:t>
      </w:r>
      <w:r>
        <w:rPr>
          <w:rFonts w:ascii="Arial" w:eastAsia="仿宋_GB2312" w:hAnsi="Arial" w:cs="Arial" w:hint="eastAsia"/>
          <w:sz w:val="28"/>
        </w:rPr>
        <w:t>水平</w:t>
      </w:r>
      <w:r>
        <w:rPr>
          <w:rFonts w:ascii="Arial" w:eastAsia="仿宋_GB2312" w:hAnsi="Arial" w:cs="Arial"/>
          <w:sz w:val="28"/>
        </w:rPr>
        <w:t>好</w:t>
      </w:r>
      <w:r w:rsidRPr="00F631FB">
        <w:rPr>
          <w:rFonts w:ascii="Arial" w:eastAsia="仿宋_GB2312" w:hAnsi="Arial" w:cs="Arial"/>
          <w:sz w:val="28"/>
        </w:rPr>
        <w:t>。</w:t>
      </w:r>
    </w:p>
    <w:p w14:paraId="6E33D331" w14:textId="53DF2728"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br w:type="page"/>
      </w:r>
    </w:p>
    <w:p w14:paraId="5539FE67" w14:textId="77777777" w:rsidR="002C3ABF" w:rsidRPr="00F631FB" w:rsidRDefault="002C3ABF" w:rsidP="002C3ABF">
      <w:pPr>
        <w:spacing w:line="360" w:lineRule="auto"/>
        <w:jc w:val="center"/>
        <w:outlineLvl w:val="0"/>
        <w:rPr>
          <w:rFonts w:ascii="Arial" w:hAnsi="Arial" w:cs="Arial"/>
          <w:b/>
          <w:sz w:val="32"/>
        </w:rPr>
      </w:pPr>
      <w:bookmarkStart w:id="109" w:name="_Toc69393381"/>
      <w:r w:rsidRPr="00F631FB">
        <w:rPr>
          <w:rFonts w:ascii="Arial" w:hAnsi="Arial" w:cs="Arial"/>
          <w:b/>
          <w:sz w:val="32"/>
        </w:rPr>
        <w:lastRenderedPageBreak/>
        <w:t>第三部分</w:t>
      </w:r>
      <w:r w:rsidRPr="00F631FB">
        <w:rPr>
          <w:rFonts w:ascii="Arial" w:eastAsia="仿宋_GB2312" w:hAnsi="Arial" w:cs="Arial"/>
          <w:b/>
          <w:sz w:val="32"/>
        </w:rPr>
        <w:t xml:space="preserve">  </w:t>
      </w:r>
      <w:r w:rsidRPr="00F631FB">
        <w:rPr>
          <w:rFonts w:ascii="Arial" w:hAnsi="Arial" w:cs="Arial"/>
          <w:b/>
          <w:sz w:val="32"/>
        </w:rPr>
        <w:t>土地估价结果及其使用</w:t>
      </w:r>
      <w:bookmarkEnd w:id="103"/>
      <w:bookmarkEnd w:id="104"/>
      <w:bookmarkEnd w:id="105"/>
      <w:bookmarkEnd w:id="106"/>
      <w:bookmarkEnd w:id="107"/>
      <w:bookmarkEnd w:id="108"/>
      <w:bookmarkEnd w:id="109"/>
    </w:p>
    <w:p w14:paraId="2CE19C25" w14:textId="77777777" w:rsidR="002C3ABF" w:rsidRPr="00F631FB" w:rsidRDefault="002C3ABF" w:rsidP="002C3ABF">
      <w:pPr>
        <w:spacing w:line="360" w:lineRule="auto"/>
        <w:jc w:val="both"/>
        <w:rPr>
          <w:rFonts w:ascii="Arial" w:eastAsia="仿宋_GB2312" w:hAnsi="Arial" w:cs="Arial"/>
          <w:b/>
          <w:sz w:val="28"/>
        </w:rPr>
      </w:pPr>
    </w:p>
    <w:p w14:paraId="66301267" w14:textId="77777777" w:rsidR="002C3ABF" w:rsidRPr="00F631FB" w:rsidRDefault="002C3ABF" w:rsidP="002C3ABF">
      <w:pPr>
        <w:spacing w:line="360" w:lineRule="auto"/>
        <w:outlineLvl w:val="1"/>
        <w:rPr>
          <w:rFonts w:ascii="Arial" w:eastAsia="仿宋_GB2312" w:hAnsi="Arial" w:cs="Arial"/>
          <w:b/>
          <w:sz w:val="28"/>
        </w:rPr>
      </w:pPr>
      <w:bookmarkStart w:id="110" w:name="_Toc418750898"/>
      <w:bookmarkStart w:id="111" w:name="_Toc425250320"/>
      <w:bookmarkStart w:id="112" w:name="_Toc469066318"/>
      <w:bookmarkStart w:id="113" w:name="_Toc515261602"/>
      <w:bookmarkStart w:id="114" w:name="_Toc416783535"/>
      <w:bookmarkStart w:id="115" w:name="_Toc515458375"/>
      <w:bookmarkStart w:id="116" w:name="_Toc524335080"/>
      <w:bookmarkStart w:id="117" w:name="_Toc69393382"/>
      <w:r w:rsidRPr="00F631FB">
        <w:rPr>
          <w:rFonts w:ascii="Arial" w:eastAsia="仿宋_GB2312" w:hAnsi="Arial" w:cs="Arial"/>
          <w:b/>
          <w:sz w:val="28"/>
        </w:rPr>
        <w:t>一、估价依据</w:t>
      </w:r>
      <w:bookmarkEnd w:id="110"/>
      <w:bookmarkEnd w:id="111"/>
      <w:bookmarkEnd w:id="112"/>
      <w:bookmarkEnd w:id="113"/>
      <w:bookmarkEnd w:id="114"/>
      <w:bookmarkEnd w:id="115"/>
      <w:bookmarkEnd w:id="116"/>
      <w:bookmarkEnd w:id="117"/>
    </w:p>
    <w:p w14:paraId="3B7CBC52" w14:textId="77777777" w:rsidR="006C1DB6" w:rsidRDefault="006C1DB6" w:rsidP="006C1DB6">
      <w:pPr>
        <w:spacing w:line="360" w:lineRule="auto"/>
        <w:jc w:val="both"/>
        <w:rPr>
          <w:rFonts w:ascii="Arial" w:eastAsia="仿宋_GB2312" w:hAnsi="Arial" w:cs="Arial"/>
          <w:sz w:val="28"/>
        </w:rPr>
      </w:pPr>
      <w:r>
        <w:rPr>
          <w:rFonts w:ascii="Arial" w:eastAsia="仿宋_GB2312" w:hAnsi="Arial" w:cs="Arial" w:hint="eastAsia"/>
          <w:sz w:val="28"/>
        </w:rPr>
        <w:t>（一）有关的法律、法规、行政规章及估价对象所在省市的有关法律法规和政策</w:t>
      </w:r>
    </w:p>
    <w:p w14:paraId="3B517AF1"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《中华人民共和国民法典》（</w:t>
      </w:r>
      <w:r>
        <w:rPr>
          <w:rFonts w:ascii="Arial" w:eastAsia="仿宋_GB2312" w:hAnsi="Arial" w:cs="Arial"/>
          <w:sz w:val="28"/>
        </w:rPr>
        <w:t>2020</w:t>
      </w:r>
      <w:r>
        <w:rPr>
          <w:rFonts w:ascii="Arial" w:eastAsia="仿宋_GB2312" w:hAnsi="Arial" w:cs="Arial" w:hint="eastAsia"/>
          <w:sz w:val="28"/>
        </w:rPr>
        <w:t>年</w:t>
      </w:r>
      <w:r>
        <w:rPr>
          <w:rFonts w:ascii="Arial" w:eastAsia="仿宋_GB2312" w:hAnsi="Arial" w:cs="Arial"/>
          <w:sz w:val="28"/>
        </w:rPr>
        <w:t>5</w:t>
      </w:r>
      <w:r>
        <w:rPr>
          <w:rFonts w:ascii="Arial" w:eastAsia="仿宋_GB2312" w:hAnsi="Arial" w:cs="Arial" w:hint="eastAsia"/>
          <w:sz w:val="28"/>
        </w:rPr>
        <w:t>月</w:t>
      </w:r>
      <w:r>
        <w:rPr>
          <w:rFonts w:ascii="Arial" w:eastAsia="仿宋_GB2312" w:hAnsi="Arial" w:cs="Arial"/>
          <w:sz w:val="28"/>
        </w:rPr>
        <w:t>28</w:t>
      </w:r>
      <w:r>
        <w:rPr>
          <w:rFonts w:ascii="Arial" w:eastAsia="仿宋_GB2312" w:hAnsi="Arial" w:cs="Arial" w:hint="eastAsia"/>
          <w:sz w:val="28"/>
        </w:rPr>
        <w:t>日第十三届全国人大三次会议表决通过，自</w:t>
      </w:r>
      <w:r>
        <w:rPr>
          <w:rFonts w:ascii="Arial" w:eastAsia="仿宋_GB2312" w:hAnsi="Arial" w:cs="Arial"/>
          <w:sz w:val="28"/>
        </w:rPr>
        <w:t>2021</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p>
    <w:p w14:paraId="3FE651A2"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《中华人民共和国土地管理法》（</w:t>
      </w:r>
      <w:r>
        <w:rPr>
          <w:rFonts w:ascii="Arial" w:eastAsia="仿宋_GB2312" w:hAnsi="Arial" w:cs="Arial"/>
          <w:sz w:val="28"/>
        </w:rPr>
        <w:t>1986</w:t>
      </w:r>
      <w:r>
        <w:rPr>
          <w:rFonts w:ascii="Arial" w:eastAsia="仿宋_GB2312" w:hAnsi="Arial" w:cs="Arial" w:hint="eastAsia"/>
          <w:sz w:val="28"/>
        </w:rPr>
        <w:t>年</w:t>
      </w:r>
      <w:r>
        <w:rPr>
          <w:rFonts w:ascii="Arial" w:eastAsia="仿宋_GB2312" w:hAnsi="Arial" w:cs="Arial"/>
          <w:sz w:val="28"/>
        </w:rPr>
        <w:t>6</w:t>
      </w:r>
      <w:r>
        <w:rPr>
          <w:rFonts w:ascii="Arial" w:eastAsia="仿宋_GB2312" w:hAnsi="Arial" w:cs="Arial" w:hint="eastAsia"/>
          <w:sz w:val="28"/>
        </w:rPr>
        <w:t>月</w:t>
      </w:r>
      <w:r>
        <w:rPr>
          <w:rFonts w:ascii="Arial" w:eastAsia="仿宋_GB2312" w:hAnsi="Arial" w:cs="Arial"/>
          <w:sz w:val="28"/>
        </w:rPr>
        <w:t>25</w:t>
      </w:r>
      <w:r>
        <w:rPr>
          <w:rFonts w:ascii="Arial" w:eastAsia="仿宋_GB2312" w:hAnsi="Arial" w:cs="Arial" w:hint="eastAsia"/>
          <w:sz w:val="28"/>
        </w:rPr>
        <w:t>日第六届全国人民代表大会常务委员会第十六次会议通过，中华人民共和国主席令第</w:t>
      </w:r>
      <w:r>
        <w:rPr>
          <w:rFonts w:ascii="Arial" w:eastAsia="仿宋_GB2312" w:hAnsi="Arial" w:cs="Arial"/>
          <w:sz w:val="28"/>
        </w:rPr>
        <w:t>41</w:t>
      </w:r>
      <w:r>
        <w:rPr>
          <w:rFonts w:ascii="Arial" w:eastAsia="仿宋_GB2312" w:hAnsi="Arial" w:cs="Arial" w:hint="eastAsia"/>
          <w:sz w:val="28"/>
        </w:rPr>
        <w:t>号公布，</w:t>
      </w:r>
      <w:r>
        <w:rPr>
          <w:rFonts w:ascii="Arial" w:eastAsia="仿宋_GB2312" w:hAnsi="Arial" w:cs="Arial"/>
          <w:sz w:val="28"/>
        </w:rPr>
        <w:t>1987</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r>
        <w:rPr>
          <w:rFonts w:ascii="Arial" w:eastAsia="仿宋_GB2312" w:hAnsi="Arial" w:cs="Arial"/>
          <w:sz w:val="28"/>
        </w:rPr>
        <w:t>1988</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日第七届全国人民代表大会常务委员会第五次会议第一次修正通过，自</w:t>
      </w:r>
      <w:r>
        <w:rPr>
          <w:rFonts w:ascii="Arial" w:eastAsia="仿宋_GB2312" w:hAnsi="Arial" w:cs="Arial"/>
          <w:sz w:val="28"/>
        </w:rPr>
        <w:t>1988</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日起施行；</w:t>
      </w:r>
      <w:r>
        <w:rPr>
          <w:rFonts w:ascii="Arial" w:eastAsia="仿宋_GB2312" w:hAnsi="Arial" w:cs="Arial"/>
          <w:sz w:val="28"/>
        </w:rPr>
        <w:t>1998</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日第九届全国人民代表大会常务委员会第四次会议修订通过，中华人民共和国主席令第</w:t>
      </w:r>
      <w:r>
        <w:rPr>
          <w:rFonts w:ascii="Arial" w:eastAsia="仿宋_GB2312" w:hAnsi="Arial" w:cs="Arial"/>
          <w:sz w:val="28"/>
        </w:rPr>
        <w:t>8</w:t>
      </w:r>
      <w:r>
        <w:rPr>
          <w:rFonts w:ascii="Arial" w:eastAsia="仿宋_GB2312" w:hAnsi="Arial" w:cs="Arial" w:hint="eastAsia"/>
          <w:sz w:val="28"/>
        </w:rPr>
        <w:t>号公布，自</w:t>
      </w:r>
      <w:r>
        <w:rPr>
          <w:rFonts w:ascii="Arial" w:eastAsia="仿宋_GB2312" w:hAnsi="Arial" w:cs="Arial"/>
          <w:sz w:val="28"/>
        </w:rPr>
        <w:t>1999</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r>
        <w:rPr>
          <w:rFonts w:ascii="Arial" w:eastAsia="仿宋_GB2312" w:hAnsi="Arial" w:cs="Arial"/>
          <w:sz w:val="28"/>
        </w:rPr>
        <w:t>2004</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28</w:t>
      </w:r>
      <w:r>
        <w:rPr>
          <w:rFonts w:ascii="Arial" w:eastAsia="仿宋_GB2312" w:hAnsi="Arial" w:cs="Arial" w:hint="eastAsia"/>
          <w:sz w:val="28"/>
        </w:rPr>
        <w:t>日第十届全国人民代表大会常务委员会第十一次会议第二次修正通过，中华人民共和国主席令第</w:t>
      </w:r>
      <w:r>
        <w:rPr>
          <w:rFonts w:ascii="Arial" w:eastAsia="仿宋_GB2312" w:hAnsi="Arial" w:cs="Arial"/>
          <w:sz w:val="28"/>
        </w:rPr>
        <w:t>28</w:t>
      </w:r>
      <w:r>
        <w:rPr>
          <w:rFonts w:ascii="Arial" w:eastAsia="仿宋_GB2312" w:hAnsi="Arial" w:cs="Arial" w:hint="eastAsia"/>
          <w:sz w:val="28"/>
        </w:rPr>
        <w:t>号公布，自公布起日起施行；</w:t>
      </w:r>
      <w:r>
        <w:rPr>
          <w:rFonts w:ascii="Arial" w:eastAsia="仿宋_GB2312" w:hAnsi="Arial" w:cs="Arial"/>
          <w:sz w:val="28"/>
        </w:rPr>
        <w:t>2019</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26</w:t>
      </w:r>
      <w:r>
        <w:rPr>
          <w:rFonts w:ascii="Arial" w:eastAsia="仿宋_GB2312" w:hAnsi="Arial" w:cs="Arial" w:hint="eastAsia"/>
          <w:sz w:val="28"/>
        </w:rPr>
        <w:t>日第十三届全国人民代表大会常务委员会第十二次会议第三次修正通过，自</w:t>
      </w:r>
      <w:r>
        <w:rPr>
          <w:rFonts w:ascii="Arial" w:eastAsia="仿宋_GB2312" w:hAnsi="Arial" w:cs="Arial"/>
          <w:sz w:val="28"/>
        </w:rPr>
        <w:t>2020</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p>
    <w:p w14:paraId="01D684C7"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《中华人民共和国城市房地产管理法》（</w:t>
      </w:r>
      <w:r>
        <w:rPr>
          <w:rFonts w:ascii="Arial" w:eastAsia="仿宋_GB2312" w:hAnsi="Arial" w:cs="Arial"/>
          <w:sz w:val="28"/>
        </w:rPr>
        <w:t>1994</w:t>
      </w:r>
      <w:r>
        <w:rPr>
          <w:rFonts w:ascii="Arial" w:eastAsia="仿宋_GB2312" w:hAnsi="Arial" w:cs="Arial" w:hint="eastAsia"/>
          <w:sz w:val="28"/>
        </w:rPr>
        <w:t>年</w:t>
      </w:r>
      <w:r>
        <w:rPr>
          <w:rFonts w:ascii="Arial" w:eastAsia="仿宋_GB2312" w:hAnsi="Arial" w:cs="Arial"/>
          <w:sz w:val="28"/>
        </w:rPr>
        <w:t>7</w:t>
      </w:r>
      <w:r>
        <w:rPr>
          <w:rFonts w:ascii="Arial" w:eastAsia="仿宋_GB2312" w:hAnsi="Arial" w:cs="Arial" w:hint="eastAsia"/>
          <w:sz w:val="28"/>
        </w:rPr>
        <w:t>月</w:t>
      </w:r>
      <w:r>
        <w:rPr>
          <w:rFonts w:ascii="Arial" w:eastAsia="仿宋_GB2312" w:hAnsi="Arial" w:cs="Arial"/>
          <w:sz w:val="28"/>
        </w:rPr>
        <w:t>5</w:t>
      </w:r>
      <w:r>
        <w:rPr>
          <w:rFonts w:ascii="Arial" w:eastAsia="仿宋_GB2312" w:hAnsi="Arial" w:cs="Arial" w:hint="eastAsia"/>
          <w:sz w:val="28"/>
        </w:rPr>
        <w:t>日第八届全国人民代表大会常务委员会第八次会议通过，中华人民共和国主席令第</w:t>
      </w:r>
      <w:r>
        <w:rPr>
          <w:rFonts w:ascii="Arial" w:eastAsia="仿宋_GB2312" w:hAnsi="Arial" w:cs="Arial"/>
          <w:sz w:val="28"/>
        </w:rPr>
        <w:t>29</w:t>
      </w:r>
      <w:r>
        <w:rPr>
          <w:rFonts w:ascii="Arial" w:eastAsia="仿宋_GB2312" w:hAnsi="Arial" w:cs="Arial" w:hint="eastAsia"/>
          <w:sz w:val="28"/>
        </w:rPr>
        <w:t>号公布，自</w:t>
      </w:r>
      <w:r>
        <w:rPr>
          <w:rFonts w:ascii="Arial" w:eastAsia="仿宋_GB2312" w:hAnsi="Arial" w:cs="Arial"/>
          <w:sz w:val="28"/>
        </w:rPr>
        <w:t>1995</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r>
        <w:rPr>
          <w:rFonts w:ascii="Arial" w:eastAsia="仿宋_GB2312" w:hAnsi="Arial" w:cs="Arial"/>
          <w:sz w:val="28"/>
        </w:rPr>
        <w:t>2007</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30</w:t>
      </w:r>
      <w:r>
        <w:rPr>
          <w:rFonts w:ascii="Arial" w:eastAsia="仿宋_GB2312" w:hAnsi="Arial" w:cs="Arial" w:hint="eastAsia"/>
          <w:sz w:val="28"/>
        </w:rPr>
        <w:t>日第十届全国人民代表大会常务委员会第二十九次会议通过第一次修正通过，中华人民共和国主席令第</w:t>
      </w:r>
      <w:r>
        <w:rPr>
          <w:rFonts w:ascii="Arial" w:eastAsia="仿宋_GB2312" w:hAnsi="Arial" w:cs="Arial"/>
          <w:sz w:val="28"/>
        </w:rPr>
        <w:t>72</w:t>
      </w:r>
      <w:r>
        <w:rPr>
          <w:rFonts w:ascii="Arial" w:eastAsia="仿宋_GB2312" w:hAnsi="Arial" w:cs="Arial" w:hint="eastAsia"/>
          <w:sz w:val="28"/>
        </w:rPr>
        <w:t>号公布，自公布之日起施行；</w:t>
      </w:r>
      <w:r>
        <w:rPr>
          <w:rFonts w:ascii="Arial" w:eastAsia="仿宋_GB2312" w:hAnsi="Arial" w:cs="Arial"/>
          <w:sz w:val="28"/>
        </w:rPr>
        <w:t>2009</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27</w:t>
      </w:r>
      <w:r>
        <w:rPr>
          <w:rFonts w:ascii="Arial" w:eastAsia="仿宋_GB2312" w:hAnsi="Arial" w:cs="Arial" w:hint="eastAsia"/>
          <w:sz w:val="28"/>
        </w:rPr>
        <w:t>日第十一届全国人民代表大会常务委员会第十次会议第二次修正通过，中华人民共和国主席令第</w:t>
      </w:r>
      <w:r>
        <w:rPr>
          <w:rFonts w:ascii="Arial" w:eastAsia="仿宋_GB2312" w:hAnsi="Arial" w:cs="Arial"/>
          <w:sz w:val="28"/>
        </w:rPr>
        <w:t>18</w:t>
      </w:r>
      <w:r>
        <w:rPr>
          <w:rFonts w:ascii="Arial" w:eastAsia="仿宋_GB2312" w:hAnsi="Arial" w:cs="Arial" w:hint="eastAsia"/>
          <w:sz w:val="28"/>
        </w:rPr>
        <w:t>号公布，自公布之日起施行；</w:t>
      </w:r>
      <w:r>
        <w:rPr>
          <w:rFonts w:ascii="Arial" w:eastAsia="仿宋_GB2312" w:hAnsi="Arial" w:cs="Arial"/>
          <w:sz w:val="28"/>
        </w:rPr>
        <w:t>2019</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26</w:t>
      </w:r>
      <w:r>
        <w:rPr>
          <w:rFonts w:ascii="Arial" w:eastAsia="仿宋_GB2312" w:hAnsi="Arial" w:cs="Arial" w:hint="eastAsia"/>
          <w:sz w:val="28"/>
        </w:rPr>
        <w:t>日第十三届全国人大常委会第</w:t>
      </w:r>
      <w:r>
        <w:rPr>
          <w:rFonts w:ascii="Arial" w:eastAsia="仿宋_GB2312" w:hAnsi="Arial" w:cs="Arial" w:hint="eastAsia"/>
          <w:sz w:val="28"/>
        </w:rPr>
        <w:lastRenderedPageBreak/>
        <w:t>十二次会议通过第三次修正，自</w:t>
      </w:r>
      <w:r>
        <w:rPr>
          <w:rFonts w:ascii="Arial" w:eastAsia="仿宋_GB2312" w:hAnsi="Arial" w:cs="Arial"/>
          <w:sz w:val="28"/>
        </w:rPr>
        <w:t>2020</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p>
    <w:p w14:paraId="1DB0805D"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《中华人民共和国城乡规划法》（</w:t>
      </w:r>
      <w:r>
        <w:rPr>
          <w:rFonts w:ascii="Arial" w:eastAsia="仿宋_GB2312" w:hAnsi="Arial" w:cs="Arial"/>
          <w:sz w:val="28"/>
        </w:rPr>
        <w:t xml:space="preserve">2007 </w:t>
      </w:r>
      <w:r>
        <w:rPr>
          <w:rFonts w:ascii="Arial" w:eastAsia="仿宋_GB2312" w:hAnsi="Arial" w:cs="Arial" w:hint="eastAsia"/>
          <w:sz w:val="28"/>
        </w:rPr>
        <w:t>年</w:t>
      </w:r>
      <w:r>
        <w:rPr>
          <w:rFonts w:ascii="Arial" w:eastAsia="仿宋_GB2312" w:hAnsi="Arial" w:cs="Arial"/>
          <w:sz w:val="28"/>
        </w:rPr>
        <w:t xml:space="preserve"> 10 </w:t>
      </w:r>
      <w:r>
        <w:rPr>
          <w:rFonts w:ascii="Arial" w:eastAsia="仿宋_GB2312" w:hAnsi="Arial" w:cs="Arial" w:hint="eastAsia"/>
          <w:sz w:val="28"/>
        </w:rPr>
        <w:t>月</w:t>
      </w:r>
      <w:r>
        <w:rPr>
          <w:rFonts w:ascii="Arial" w:eastAsia="仿宋_GB2312" w:hAnsi="Arial" w:cs="Arial"/>
          <w:sz w:val="28"/>
        </w:rPr>
        <w:t xml:space="preserve"> 28 </w:t>
      </w:r>
      <w:r>
        <w:rPr>
          <w:rFonts w:ascii="Arial" w:eastAsia="仿宋_GB2312" w:hAnsi="Arial" w:cs="Arial" w:hint="eastAsia"/>
          <w:sz w:val="28"/>
        </w:rPr>
        <w:t>日第十届全国人民代表大会常务委员会第三十次会议通过，中华人民共和国主席令第</w:t>
      </w:r>
      <w:r>
        <w:rPr>
          <w:rFonts w:ascii="Arial" w:eastAsia="仿宋_GB2312" w:hAnsi="Arial" w:cs="Arial"/>
          <w:sz w:val="28"/>
        </w:rPr>
        <w:t>74</w:t>
      </w:r>
      <w:r>
        <w:rPr>
          <w:rFonts w:ascii="Arial" w:eastAsia="仿宋_GB2312" w:hAnsi="Arial" w:cs="Arial" w:hint="eastAsia"/>
          <w:sz w:val="28"/>
        </w:rPr>
        <w:t>号，自公布之日起施行；根据</w:t>
      </w:r>
      <w:r>
        <w:rPr>
          <w:rFonts w:ascii="Arial" w:eastAsia="仿宋_GB2312" w:hAnsi="Arial" w:cs="Arial"/>
          <w:sz w:val="28"/>
        </w:rPr>
        <w:t xml:space="preserve"> 2015 </w:t>
      </w:r>
      <w:r>
        <w:rPr>
          <w:rFonts w:ascii="Arial" w:eastAsia="仿宋_GB2312" w:hAnsi="Arial" w:cs="Arial" w:hint="eastAsia"/>
          <w:sz w:val="28"/>
        </w:rPr>
        <w:t>年</w:t>
      </w:r>
      <w:r>
        <w:rPr>
          <w:rFonts w:ascii="Arial" w:eastAsia="仿宋_GB2312" w:hAnsi="Arial" w:cs="Arial"/>
          <w:sz w:val="28"/>
        </w:rPr>
        <w:t xml:space="preserve"> 4 </w:t>
      </w:r>
      <w:r>
        <w:rPr>
          <w:rFonts w:ascii="Arial" w:eastAsia="仿宋_GB2312" w:hAnsi="Arial" w:cs="Arial" w:hint="eastAsia"/>
          <w:sz w:val="28"/>
        </w:rPr>
        <w:t>月</w:t>
      </w:r>
      <w:r>
        <w:rPr>
          <w:rFonts w:ascii="Arial" w:eastAsia="仿宋_GB2312" w:hAnsi="Arial" w:cs="Arial"/>
          <w:sz w:val="28"/>
        </w:rPr>
        <w:t xml:space="preserve"> 24 </w:t>
      </w:r>
      <w:r>
        <w:rPr>
          <w:rFonts w:ascii="Arial" w:eastAsia="仿宋_GB2312" w:hAnsi="Arial" w:cs="Arial" w:hint="eastAsia"/>
          <w:sz w:val="28"/>
        </w:rPr>
        <w:t>日第十二届全国人民代表大会常务委员会第十四次会议通过第一次修正，中华人民共和国主席令第</w:t>
      </w:r>
      <w:r>
        <w:rPr>
          <w:rFonts w:ascii="Arial" w:eastAsia="仿宋_GB2312" w:hAnsi="Arial" w:cs="Arial"/>
          <w:sz w:val="28"/>
        </w:rPr>
        <w:t>23</w:t>
      </w:r>
      <w:r>
        <w:rPr>
          <w:rFonts w:ascii="Arial" w:eastAsia="仿宋_GB2312" w:hAnsi="Arial" w:cs="Arial" w:hint="eastAsia"/>
          <w:sz w:val="28"/>
        </w:rPr>
        <w:t>号公布，自公布之日起施行）；</w:t>
      </w:r>
    </w:p>
    <w:p w14:paraId="173940DD"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《中华人民共和国资产评估法》（</w:t>
      </w:r>
      <w:r>
        <w:rPr>
          <w:rFonts w:ascii="Arial" w:eastAsia="仿宋_GB2312" w:hAnsi="Arial" w:cs="Arial"/>
          <w:sz w:val="28"/>
        </w:rPr>
        <w:t>2016</w:t>
      </w:r>
      <w:r>
        <w:rPr>
          <w:rFonts w:ascii="Arial" w:eastAsia="仿宋_GB2312" w:hAnsi="Arial" w:cs="Arial" w:hint="eastAsia"/>
          <w:sz w:val="28"/>
        </w:rPr>
        <w:t>年</w:t>
      </w:r>
      <w:r>
        <w:rPr>
          <w:rFonts w:ascii="Arial" w:eastAsia="仿宋_GB2312" w:hAnsi="Arial" w:cs="Arial"/>
          <w:sz w:val="28"/>
        </w:rPr>
        <w:t>7</w:t>
      </w:r>
      <w:r>
        <w:rPr>
          <w:rFonts w:ascii="Arial" w:eastAsia="仿宋_GB2312" w:hAnsi="Arial" w:cs="Arial" w:hint="eastAsia"/>
          <w:sz w:val="28"/>
        </w:rPr>
        <w:t>月</w:t>
      </w:r>
      <w:r>
        <w:rPr>
          <w:rFonts w:ascii="Arial" w:eastAsia="仿宋_GB2312" w:hAnsi="Arial" w:cs="Arial"/>
          <w:sz w:val="28"/>
        </w:rPr>
        <w:t>2</w:t>
      </w:r>
      <w:r>
        <w:rPr>
          <w:rFonts w:ascii="Arial" w:eastAsia="仿宋_GB2312" w:hAnsi="Arial" w:cs="Arial" w:hint="eastAsia"/>
          <w:sz w:val="28"/>
        </w:rPr>
        <w:t>日第十二届全国人民代表大会常务委员会第二十一次会议通过</w:t>
      </w:r>
      <w:r>
        <w:rPr>
          <w:rFonts w:ascii="Arial" w:eastAsia="仿宋_GB2312" w:hAnsi="Arial" w:cs="Arial"/>
          <w:sz w:val="28"/>
        </w:rPr>
        <w:t xml:space="preserve"> 2016</w:t>
      </w:r>
      <w:r>
        <w:rPr>
          <w:rFonts w:ascii="Arial" w:eastAsia="仿宋_GB2312" w:hAnsi="Arial" w:cs="Arial" w:hint="eastAsia"/>
          <w:sz w:val="28"/>
        </w:rPr>
        <w:t>年</w:t>
      </w:r>
      <w:r>
        <w:rPr>
          <w:rFonts w:ascii="Arial" w:eastAsia="仿宋_GB2312" w:hAnsi="Arial" w:cs="Arial"/>
          <w:sz w:val="28"/>
        </w:rPr>
        <w:t>3</w:t>
      </w:r>
      <w:r>
        <w:rPr>
          <w:rFonts w:ascii="Arial" w:eastAsia="仿宋_GB2312" w:hAnsi="Arial" w:cs="Arial" w:hint="eastAsia"/>
          <w:sz w:val="28"/>
        </w:rPr>
        <w:t>月</w:t>
      </w:r>
      <w:r>
        <w:rPr>
          <w:rFonts w:ascii="Arial" w:eastAsia="仿宋_GB2312" w:hAnsi="Arial" w:cs="Arial"/>
          <w:sz w:val="28"/>
        </w:rPr>
        <w:t>16</w:t>
      </w:r>
      <w:r>
        <w:rPr>
          <w:rFonts w:ascii="Arial" w:eastAsia="仿宋_GB2312" w:hAnsi="Arial" w:cs="Arial" w:hint="eastAsia"/>
          <w:sz w:val="28"/>
        </w:rPr>
        <w:t>日中华人民共和国主席令第</w:t>
      </w:r>
      <w:r>
        <w:rPr>
          <w:rFonts w:ascii="Arial" w:eastAsia="仿宋_GB2312" w:hAnsi="Arial" w:cs="Arial"/>
          <w:sz w:val="28"/>
        </w:rPr>
        <w:t>46</w:t>
      </w:r>
      <w:r>
        <w:rPr>
          <w:rFonts w:ascii="Arial" w:eastAsia="仿宋_GB2312" w:hAnsi="Arial" w:cs="Arial" w:hint="eastAsia"/>
          <w:sz w:val="28"/>
        </w:rPr>
        <w:t>号公布</w:t>
      </w:r>
      <w:r>
        <w:rPr>
          <w:rFonts w:ascii="Arial" w:eastAsia="仿宋_GB2312" w:hAnsi="Arial" w:cs="Arial"/>
          <w:sz w:val="28"/>
        </w:rPr>
        <w:t xml:space="preserve"> </w:t>
      </w:r>
      <w:r>
        <w:rPr>
          <w:rFonts w:ascii="Arial" w:eastAsia="仿宋_GB2312" w:hAnsi="Arial" w:cs="Arial" w:hint="eastAsia"/>
          <w:sz w:val="28"/>
        </w:rPr>
        <w:t>自</w:t>
      </w:r>
      <w:r>
        <w:rPr>
          <w:rFonts w:ascii="Arial" w:eastAsia="仿宋_GB2312" w:hAnsi="Arial" w:cs="Arial"/>
          <w:sz w:val="28"/>
        </w:rPr>
        <w:t>2016</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p>
    <w:p w14:paraId="0A7A16EF"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《中华人民共和国城镇国有土地使用权出让和转让暂行条例》（</w:t>
      </w:r>
      <w:r>
        <w:rPr>
          <w:rFonts w:ascii="Arial" w:eastAsia="仿宋_GB2312" w:hAnsi="Arial" w:cs="Arial"/>
          <w:sz w:val="28"/>
        </w:rPr>
        <w:t>1990</w:t>
      </w:r>
      <w:r>
        <w:rPr>
          <w:rFonts w:ascii="Arial" w:eastAsia="仿宋_GB2312" w:hAnsi="Arial" w:cs="Arial" w:hint="eastAsia"/>
          <w:sz w:val="28"/>
        </w:rPr>
        <w:t>年</w:t>
      </w:r>
      <w:r>
        <w:rPr>
          <w:rFonts w:ascii="Arial" w:eastAsia="仿宋_GB2312" w:hAnsi="Arial" w:cs="Arial"/>
          <w:sz w:val="28"/>
        </w:rPr>
        <w:t>5</w:t>
      </w:r>
      <w:r>
        <w:rPr>
          <w:rFonts w:ascii="Arial" w:eastAsia="仿宋_GB2312" w:hAnsi="Arial" w:cs="Arial" w:hint="eastAsia"/>
          <w:sz w:val="28"/>
        </w:rPr>
        <w:t>月</w:t>
      </w:r>
      <w:r>
        <w:rPr>
          <w:rFonts w:ascii="Arial" w:eastAsia="仿宋_GB2312" w:hAnsi="Arial" w:cs="Arial"/>
          <w:sz w:val="28"/>
        </w:rPr>
        <w:t>19</w:t>
      </w:r>
      <w:r>
        <w:rPr>
          <w:rFonts w:ascii="Arial" w:eastAsia="仿宋_GB2312" w:hAnsi="Arial" w:cs="Arial" w:hint="eastAsia"/>
          <w:sz w:val="28"/>
        </w:rPr>
        <w:t>日中华人民共和国国务院令第</w:t>
      </w:r>
      <w:r>
        <w:rPr>
          <w:rFonts w:ascii="Arial" w:eastAsia="仿宋_GB2312" w:hAnsi="Arial" w:cs="Arial"/>
          <w:sz w:val="28"/>
        </w:rPr>
        <w:t>55</w:t>
      </w:r>
      <w:r>
        <w:rPr>
          <w:rFonts w:ascii="Arial" w:eastAsia="仿宋_GB2312" w:hAnsi="Arial" w:cs="Arial" w:hint="eastAsia"/>
          <w:sz w:val="28"/>
        </w:rPr>
        <w:t>号发布，自发布之日起施行）；</w:t>
      </w:r>
    </w:p>
    <w:p w14:paraId="08CE8E98"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《中华人民共和国土地管理法实施条例》（</w:t>
      </w:r>
      <w:r>
        <w:rPr>
          <w:rFonts w:ascii="Arial" w:eastAsia="仿宋_GB2312" w:hAnsi="Arial" w:cs="Arial"/>
          <w:sz w:val="28"/>
        </w:rPr>
        <w:t>1998</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24</w:t>
      </w:r>
      <w:r>
        <w:rPr>
          <w:rFonts w:ascii="Arial" w:eastAsia="仿宋_GB2312" w:hAnsi="Arial" w:cs="Arial" w:hint="eastAsia"/>
          <w:sz w:val="28"/>
        </w:rPr>
        <w:t>日国务院第</w:t>
      </w:r>
      <w:r>
        <w:rPr>
          <w:rFonts w:ascii="Arial" w:eastAsia="仿宋_GB2312" w:hAnsi="Arial" w:cs="Arial"/>
          <w:sz w:val="28"/>
        </w:rPr>
        <w:t>12</w:t>
      </w:r>
      <w:r>
        <w:rPr>
          <w:rFonts w:ascii="Arial" w:eastAsia="仿宋_GB2312" w:hAnsi="Arial" w:cs="Arial" w:hint="eastAsia"/>
          <w:sz w:val="28"/>
        </w:rPr>
        <w:t>次常务会议通过</w:t>
      </w:r>
      <w:r>
        <w:rPr>
          <w:rFonts w:ascii="Arial" w:eastAsia="仿宋_GB2312" w:hAnsi="Arial" w:cs="Arial"/>
          <w:sz w:val="28"/>
        </w:rPr>
        <w:t xml:space="preserve"> </w:t>
      </w:r>
      <w:r>
        <w:rPr>
          <w:rFonts w:ascii="Arial" w:eastAsia="仿宋_GB2312" w:hAnsi="Arial" w:cs="Arial" w:hint="eastAsia"/>
          <w:sz w:val="28"/>
        </w:rPr>
        <w:t>，</w:t>
      </w:r>
      <w:r>
        <w:rPr>
          <w:rFonts w:ascii="Arial" w:eastAsia="仿宋_GB2312" w:hAnsi="Arial" w:cs="Arial"/>
          <w:sz w:val="28"/>
        </w:rPr>
        <w:t>1998</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27</w:t>
      </w:r>
      <w:r>
        <w:rPr>
          <w:rFonts w:ascii="Arial" w:eastAsia="仿宋_GB2312" w:hAnsi="Arial" w:cs="Arial" w:hint="eastAsia"/>
          <w:sz w:val="28"/>
        </w:rPr>
        <w:t>日中华人民共和国国务院令第</w:t>
      </w:r>
      <w:r>
        <w:rPr>
          <w:rFonts w:ascii="Arial" w:eastAsia="仿宋_GB2312" w:hAnsi="Arial" w:cs="Arial"/>
          <w:sz w:val="28"/>
        </w:rPr>
        <w:t>256</w:t>
      </w:r>
      <w:r>
        <w:rPr>
          <w:rFonts w:ascii="Arial" w:eastAsia="仿宋_GB2312" w:hAnsi="Arial" w:cs="Arial" w:hint="eastAsia"/>
          <w:sz w:val="28"/>
        </w:rPr>
        <w:t>号发布，自</w:t>
      </w:r>
      <w:r>
        <w:rPr>
          <w:rFonts w:ascii="Arial" w:eastAsia="仿宋_GB2312" w:hAnsi="Arial" w:cs="Arial"/>
          <w:sz w:val="28"/>
        </w:rPr>
        <w:t>1999</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r>
        <w:rPr>
          <w:rFonts w:ascii="Arial" w:eastAsia="仿宋_GB2312" w:hAnsi="Arial" w:cs="Arial"/>
          <w:sz w:val="28"/>
        </w:rPr>
        <w:t>2010</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日国务院第</w:t>
      </w:r>
      <w:r>
        <w:rPr>
          <w:rFonts w:ascii="Arial" w:eastAsia="仿宋_GB2312" w:hAnsi="Arial" w:cs="Arial"/>
          <w:sz w:val="28"/>
        </w:rPr>
        <w:t>138</w:t>
      </w:r>
      <w:r>
        <w:rPr>
          <w:rFonts w:ascii="Arial" w:eastAsia="仿宋_GB2312" w:hAnsi="Arial" w:cs="Arial" w:hint="eastAsia"/>
          <w:sz w:val="28"/>
        </w:rPr>
        <w:t>次常务会议第一次修正通过，</w:t>
      </w:r>
      <w:r>
        <w:rPr>
          <w:rFonts w:ascii="Arial" w:eastAsia="仿宋_GB2312" w:hAnsi="Arial" w:cs="Arial"/>
          <w:sz w:val="28"/>
        </w:rPr>
        <w:t>2011</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8</w:t>
      </w:r>
      <w:r>
        <w:rPr>
          <w:rFonts w:ascii="Arial" w:eastAsia="仿宋_GB2312" w:hAnsi="Arial" w:cs="Arial" w:hint="eastAsia"/>
          <w:sz w:val="28"/>
        </w:rPr>
        <w:t>日中华人民共和国国务院令第</w:t>
      </w:r>
      <w:r>
        <w:rPr>
          <w:rFonts w:ascii="Arial" w:eastAsia="仿宋_GB2312" w:hAnsi="Arial" w:cs="Arial"/>
          <w:sz w:val="28"/>
        </w:rPr>
        <w:t>588</w:t>
      </w:r>
      <w:r>
        <w:rPr>
          <w:rFonts w:ascii="Arial" w:eastAsia="仿宋_GB2312" w:hAnsi="Arial" w:cs="Arial" w:hint="eastAsia"/>
          <w:sz w:val="28"/>
        </w:rPr>
        <w:t>号发布，自发布之日起施行；</w:t>
      </w:r>
      <w:r>
        <w:rPr>
          <w:rFonts w:ascii="Arial" w:eastAsia="仿宋_GB2312" w:hAnsi="Arial" w:cs="Arial"/>
          <w:sz w:val="28"/>
        </w:rPr>
        <w:t>2014</w:t>
      </w:r>
      <w:r>
        <w:rPr>
          <w:rFonts w:ascii="Arial" w:eastAsia="仿宋_GB2312" w:hAnsi="Arial" w:cs="Arial" w:hint="eastAsia"/>
          <w:sz w:val="28"/>
        </w:rPr>
        <w:t>年</w:t>
      </w:r>
      <w:r>
        <w:rPr>
          <w:rFonts w:ascii="Arial" w:eastAsia="仿宋_GB2312" w:hAnsi="Arial" w:cs="Arial"/>
          <w:sz w:val="28"/>
        </w:rPr>
        <w:t>7</w:t>
      </w:r>
      <w:r>
        <w:rPr>
          <w:rFonts w:ascii="Arial" w:eastAsia="仿宋_GB2312" w:hAnsi="Arial" w:cs="Arial" w:hint="eastAsia"/>
          <w:sz w:val="28"/>
        </w:rPr>
        <w:t>月</w:t>
      </w:r>
      <w:r>
        <w:rPr>
          <w:rFonts w:ascii="Arial" w:eastAsia="仿宋_GB2312" w:hAnsi="Arial" w:cs="Arial"/>
          <w:sz w:val="28"/>
        </w:rPr>
        <w:t>9</w:t>
      </w:r>
      <w:r>
        <w:rPr>
          <w:rFonts w:ascii="Arial" w:eastAsia="仿宋_GB2312" w:hAnsi="Arial" w:cs="Arial" w:hint="eastAsia"/>
          <w:sz w:val="28"/>
        </w:rPr>
        <w:t>日国务院第</w:t>
      </w:r>
      <w:r>
        <w:rPr>
          <w:rFonts w:ascii="Arial" w:eastAsia="仿宋_GB2312" w:hAnsi="Arial" w:cs="Arial"/>
          <w:sz w:val="28"/>
        </w:rPr>
        <w:t>54</w:t>
      </w:r>
      <w:r>
        <w:rPr>
          <w:rFonts w:ascii="Arial" w:eastAsia="仿宋_GB2312" w:hAnsi="Arial" w:cs="Arial" w:hint="eastAsia"/>
          <w:sz w:val="28"/>
        </w:rPr>
        <w:t>次常务会议第二次修正通过，中华人民共和国国务院令第</w:t>
      </w:r>
      <w:r>
        <w:rPr>
          <w:rFonts w:ascii="Arial" w:eastAsia="仿宋_GB2312" w:hAnsi="Arial" w:cs="Arial"/>
          <w:sz w:val="28"/>
        </w:rPr>
        <w:t>653</w:t>
      </w:r>
      <w:r>
        <w:rPr>
          <w:rFonts w:ascii="Arial" w:eastAsia="仿宋_GB2312" w:hAnsi="Arial" w:cs="Arial" w:hint="eastAsia"/>
          <w:sz w:val="28"/>
        </w:rPr>
        <w:t>号公布，自公布之日起施行）；</w:t>
      </w:r>
    </w:p>
    <w:p w14:paraId="7741006F"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rPr>
        <w:t>8.</w:t>
      </w:r>
      <w:r>
        <w:rPr>
          <w:rFonts w:ascii="Arial" w:eastAsia="仿宋_GB2312" w:hAnsi="Arial" w:cs="Arial" w:hint="eastAsia"/>
          <w:sz w:val="28"/>
          <w:szCs w:val="28"/>
        </w:rPr>
        <w:t>《不动产登记暂行条例》〔国务院令第</w:t>
      </w:r>
      <w:r>
        <w:rPr>
          <w:rFonts w:ascii="Arial" w:eastAsia="仿宋_GB2312" w:hAnsi="Arial" w:cs="Arial"/>
          <w:sz w:val="28"/>
          <w:szCs w:val="28"/>
        </w:rPr>
        <w:t>656</w:t>
      </w:r>
      <w:r>
        <w:rPr>
          <w:rFonts w:ascii="Arial" w:eastAsia="仿宋_GB2312" w:hAnsi="Arial" w:cs="Arial" w:hint="eastAsia"/>
          <w:sz w:val="28"/>
          <w:szCs w:val="28"/>
        </w:rPr>
        <w:t>号，自</w:t>
      </w:r>
      <w:r>
        <w:rPr>
          <w:rFonts w:ascii="Arial" w:eastAsia="仿宋_GB2312" w:hAnsi="Arial" w:cs="Arial"/>
          <w:sz w:val="28"/>
          <w:szCs w:val="28"/>
        </w:rPr>
        <w:t>2015</w:t>
      </w:r>
      <w:r>
        <w:rPr>
          <w:rFonts w:ascii="Arial" w:eastAsia="仿宋_GB2312" w:hAnsi="Arial" w:cs="Arial" w:hint="eastAsia"/>
          <w:sz w:val="28"/>
          <w:szCs w:val="28"/>
        </w:rPr>
        <w:t>年</w:t>
      </w:r>
      <w:r>
        <w:rPr>
          <w:rFonts w:ascii="Arial" w:eastAsia="仿宋_GB2312" w:hAnsi="Arial" w:cs="Arial"/>
          <w:sz w:val="28"/>
          <w:szCs w:val="28"/>
        </w:rPr>
        <w:t>3</w:t>
      </w:r>
      <w:r>
        <w:rPr>
          <w:rFonts w:ascii="Arial" w:eastAsia="仿宋_GB2312" w:hAnsi="Arial" w:cs="Arial" w:hint="eastAsia"/>
          <w:sz w:val="28"/>
          <w:szCs w:val="28"/>
        </w:rPr>
        <w:t>月</w:t>
      </w:r>
      <w:r>
        <w:rPr>
          <w:rFonts w:ascii="Arial" w:eastAsia="仿宋_GB2312" w:hAnsi="Arial" w:cs="Arial"/>
          <w:sz w:val="28"/>
          <w:szCs w:val="28"/>
        </w:rPr>
        <w:t>1</w:t>
      </w:r>
      <w:r>
        <w:rPr>
          <w:rFonts w:ascii="Arial" w:eastAsia="仿宋_GB2312" w:hAnsi="Arial" w:cs="Arial" w:hint="eastAsia"/>
          <w:sz w:val="28"/>
          <w:szCs w:val="28"/>
        </w:rPr>
        <w:t>日起施行〕；</w:t>
      </w:r>
    </w:p>
    <w:p w14:paraId="13BA8A67"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hint="eastAsia"/>
          <w:sz w:val="28"/>
          <w:szCs w:val="28"/>
        </w:rPr>
        <w:t>《国务院关于加强国有土地资产管理的通知》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2001</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15</w:t>
      </w:r>
      <w:r>
        <w:rPr>
          <w:rFonts w:ascii="Arial" w:eastAsia="仿宋_GB2312" w:hAnsi="Arial" w:cs="Arial" w:hint="eastAsia"/>
          <w:sz w:val="28"/>
          <w:szCs w:val="28"/>
        </w:rPr>
        <w:t>号，</w:t>
      </w:r>
      <w:r>
        <w:rPr>
          <w:rFonts w:ascii="Arial" w:eastAsia="仿宋_GB2312" w:hAnsi="Arial" w:cs="Arial"/>
          <w:sz w:val="28"/>
          <w:szCs w:val="28"/>
        </w:rPr>
        <w:t>2001</w:t>
      </w:r>
      <w:r>
        <w:rPr>
          <w:rFonts w:ascii="Arial" w:eastAsia="仿宋_GB2312" w:hAnsi="Arial" w:cs="Arial" w:hint="eastAsia"/>
          <w:sz w:val="28"/>
          <w:szCs w:val="28"/>
        </w:rPr>
        <w:t>年</w:t>
      </w:r>
      <w:r>
        <w:rPr>
          <w:rFonts w:ascii="Arial" w:eastAsia="仿宋_GB2312" w:hAnsi="Arial" w:cs="Arial"/>
          <w:sz w:val="28"/>
          <w:szCs w:val="28"/>
        </w:rPr>
        <w:t>4</w:t>
      </w:r>
      <w:r>
        <w:rPr>
          <w:rFonts w:ascii="Arial" w:eastAsia="仿宋_GB2312" w:hAnsi="Arial" w:cs="Arial" w:hint="eastAsia"/>
          <w:sz w:val="28"/>
          <w:szCs w:val="28"/>
        </w:rPr>
        <w:t>月</w:t>
      </w:r>
      <w:r>
        <w:rPr>
          <w:rFonts w:ascii="Arial" w:eastAsia="仿宋_GB2312" w:hAnsi="Arial" w:cs="Arial"/>
          <w:sz w:val="28"/>
          <w:szCs w:val="28"/>
        </w:rPr>
        <w:t>30</w:t>
      </w:r>
      <w:r>
        <w:rPr>
          <w:rFonts w:ascii="Arial" w:eastAsia="仿宋_GB2312" w:hAnsi="Arial" w:cs="Arial" w:hint="eastAsia"/>
          <w:sz w:val="28"/>
          <w:szCs w:val="28"/>
        </w:rPr>
        <w:t>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765C506E"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hint="eastAsia"/>
          <w:sz w:val="28"/>
          <w:szCs w:val="28"/>
        </w:rPr>
        <w:t>《国务院关于深化改革严格土地管理的决定》</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2004</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28</w:t>
      </w:r>
      <w:r>
        <w:rPr>
          <w:rFonts w:ascii="Arial" w:eastAsia="仿宋_GB2312" w:hAnsi="Arial" w:cs="Arial" w:hint="eastAsia"/>
          <w:sz w:val="28"/>
          <w:szCs w:val="28"/>
        </w:rPr>
        <w:t>号，</w:t>
      </w:r>
      <w:r>
        <w:rPr>
          <w:rFonts w:ascii="Arial" w:eastAsia="仿宋_GB2312" w:hAnsi="Arial" w:cs="Arial"/>
          <w:sz w:val="28"/>
          <w:szCs w:val="28"/>
        </w:rPr>
        <w:t>2004</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21</w:t>
      </w:r>
      <w:r>
        <w:rPr>
          <w:rFonts w:ascii="Arial" w:eastAsia="仿宋_GB2312" w:hAnsi="Arial" w:cs="Arial" w:hint="eastAsia"/>
          <w:sz w:val="28"/>
          <w:szCs w:val="28"/>
        </w:rPr>
        <w:t>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4E8682F2"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11.</w:t>
      </w:r>
      <w:r>
        <w:rPr>
          <w:rFonts w:ascii="Arial" w:eastAsia="仿宋_GB2312" w:hAnsi="Arial" w:cs="Arial" w:hint="eastAsia"/>
          <w:sz w:val="28"/>
          <w:szCs w:val="28"/>
        </w:rPr>
        <w:t>《国务院关于加强土地调控有关问题的通知》〔国发</w:t>
      </w:r>
      <w:r>
        <w:rPr>
          <w:rFonts w:ascii="Arial" w:eastAsia="仿宋_GB2312" w:hAnsi="Arial" w:cs="Arial"/>
          <w:sz w:val="28"/>
          <w:szCs w:val="28"/>
        </w:rPr>
        <w:t xml:space="preserve"> [2006] 31</w:t>
      </w:r>
      <w:r>
        <w:rPr>
          <w:rFonts w:ascii="Arial" w:eastAsia="仿宋_GB2312" w:hAnsi="Arial" w:cs="Arial" w:hint="eastAsia"/>
          <w:sz w:val="28"/>
          <w:szCs w:val="28"/>
        </w:rPr>
        <w:lastRenderedPageBreak/>
        <w:t>号，</w:t>
      </w:r>
      <w:r>
        <w:rPr>
          <w:rFonts w:ascii="Arial" w:eastAsia="仿宋_GB2312" w:hAnsi="Arial" w:cs="Arial"/>
          <w:sz w:val="28"/>
          <w:szCs w:val="28"/>
        </w:rPr>
        <w:t>2006</w:t>
      </w:r>
      <w:r>
        <w:rPr>
          <w:rFonts w:ascii="Arial" w:eastAsia="仿宋_GB2312" w:hAnsi="Arial" w:cs="Arial" w:hint="eastAsia"/>
          <w:sz w:val="28"/>
          <w:szCs w:val="28"/>
        </w:rPr>
        <w:t>年</w:t>
      </w:r>
      <w:r>
        <w:rPr>
          <w:rFonts w:ascii="Arial" w:eastAsia="仿宋_GB2312" w:hAnsi="Arial" w:cs="Arial"/>
          <w:sz w:val="28"/>
          <w:szCs w:val="28"/>
        </w:rPr>
        <w:t>8</w:t>
      </w:r>
      <w:r>
        <w:rPr>
          <w:rFonts w:ascii="Arial" w:eastAsia="仿宋_GB2312" w:hAnsi="Arial" w:cs="Arial" w:hint="eastAsia"/>
          <w:sz w:val="28"/>
          <w:szCs w:val="28"/>
        </w:rPr>
        <w:t>月</w:t>
      </w:r>
      <w:r>
        <w:rPr>
          <w:rFonts w:ascii="Arial" w:eastAsia="仿宋_GB2312" w:hAnsi="Arial" w:cs="Arial"/>
          <w:sz w:val="28"/>
          <w:szCs w:val="28"/>
        </w:rPr>
        <w:t>31</w:t>
      </w:r>
      <w:r>
        <w:rPr>
          <w:rFonts w:ascii="Arial" w:eastAsia="仿宋_GB2312" w:hAnsi="Arial" w:cs="Arial" w:hint="eastAsia"/>
          <w:sz w:val="28"/>
          <w:szCs w:val="28"/>
        </w:rPr>
        <w:t>日发布〕；</w:t>
      </w:r>
    </w:p>
    <w:p w14:paraId="195A68D7"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12.</w:t>
      </w:r>
      <w:r>
        <w:rPr>
          <w:rFonts w:ascii="Arial" w:eastAsia="仿宋_GB2312" w:hAnsi="Arial" w:cs="Arial" w:hint="eastAsia"/>
          <w:sz w:val="28"/>
          <w:szCs w:val="28"/>
        </w:rPr>
        <w:t>《国务院关于促进节约集约用地的通知》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2008</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3</w:t>
      </w:r>
      <w:r>
        <w:rPr>
          <w:rFonts w:ascii="Arial" w:eastAsia="仿宋_GB2312" w:hAnsi="Arial" w:cs="Arial" w:hint="eastAsia"/>
          <w:sz w:val="28"/>
          <w:szCs w:val="28"/>
        </w:rPr>
        <w:t>号，</w:t>
      </w:r>
      <w:r>
        <w:rPr>
          <w:rFonts w:ascii="Arial" w:eastAsia="仿宋_GB2312" w:hAnsi="Arial" w:cs="Arial"/>
          <w:sz w:val="28"/>
          <w:szCs w:val="28"/>
        </w:rPr>
        <w:t>2008</w:t>
      </w:r>
      <w:r>
        <w:rPr>
          <w:rFonts w:ascii="Arial" w:eastAsia="仿宋_GB2312" w:hAnsi="Arial" w:cs="Arial" w:hint="eastAsia"/>
          <w:sz w:val="28"/>
          <w:szCs w:val="28"/>
        </w:rPr>
        <w:t>年</w:t>
      </w:r>
      <w:r>
        <w:rPr>
          <w:rFonts w:ascii="Arial" w:eastAsia="仿宋_GB2312" w:hAnsi="Arial" w:cs="Arial"/>
          <w:sz w:val="28"/>
          <w:szCs w:val="28"/>
        </w:rPr>
        <w:t>1</w:t>
      </w:r>
      <w:r>
        <w:rPr>
          <w:rFonts w:ascii="Arial" w:eastAsia="仿宋_GB2312" w:hAnsi="Arial" w:cs="Arial" w:hint="eastAsia"/>
          <w:sz w:val="28"/>
          <w:szCs w:val="28"/>
        </w:rPr>
        <w:t>月</w:t>
      </w:r>
      <w:r>
        <w:rPr>
          <w:rFonts w:ascii="Arial" w:eastAsia="仿宋_GB2312" w:hAnsi="Arial" w:cs="Arial"/>
          <w:sz w:val="28"/>
          <w:szCs w:val="28"/>
        </w:rPr>
        <w:t>3</w:t>
      </w:r>
      <w:r>
        <w:rPr>
          <w:rFonts w:ascii="Arial" w:eastAsia="仿宋_GB2312" w:hAnsi="Arial" w:cs="Arial" w:hint="eastAsia"/>
          <w:sz w:val="28"/>
          <w:szCs w:val="28"/>
        </w:rPr>
        <w:t>日发布</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3C74BB4D"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13.</w:t>
      </w:r>
      <w:r>
        <w:rPr>
          <w:rFonts w:ascii="Arial" w:eastAsia="仿宋_GB2312" w:hAnsi="Arial" w:cs="Arial" w:hint="eastAsia"/>
          <w:sz w:val="28"/>
          <w:szCs w:val="28"/>
        </w:rPr>
        <w:t>《协议出让国有土地使用权规定》〔国土资源部令第</w:t>
      </w:r>
      <w:r>
        <w:rPr>
          <w:rFonts w:ascii="Arial" w:eastAsia="仿宋_GB2312" w:hAnsi="Arial" w:cs="Arial"/>
          <w:sz w:val="28"/>
          <w:szCs w:val="28"/>
        </w:rPr>
        <w:t>21</w:t>
      </w:r>
      <w:r>
        <w:rPr>
          <w:rFonts w:ascii="Arial" w:eastAsia="仿宋_GB2312" w:hAnsi="Arial" w:cs="Arial" w:hint="eastAsia"/>
          <w:sz w:val="28"/>
          <w:szCs w:val="28"/>
        </w:rPr>
        <w:t>号，自</w:t>
      </w:r>
      <w:r>
        <w:rPr>
          <w:rFonts w:ascii="Arial" w:eastAsia="仿宋_GB2312" w:hAnsi="Arial" w:cs="Arial"/>
          <w:sz w:val="28"/>
          <w:szCs w:val="28"/>
        </w:rPr>
        <w:t>2003</w:t>
      </w:r>
      <w:r>
        <w:rPr>
          <w:rFonts w:ascii="Arial" w:eastAsia="仿宋_GB2312" w:hAnsi="Arial" w:cs="Arial" w:hint="eastAsia"/>
          <w:sz w:val="28"/>
          <w:szCs w:val="28"/>
        </w:rPr>
        <w:t>年</w:t>
      </w:r>
      <w:r>
        <w:rPr>
          <w:rFonts w:ascii="Arial" w:eastAsia="仿宋_GB2312" w:hAnsi="Arial" w:cs="Arial"/>
          <w:sz w:val="28"/>
          <w:szCs w:val="28"/>
        </w:rPr>
        <w:t>8</w:t>
      </w:r>
      <w:r>
        <w:rPr>
          <w:rFonts w:ascii="Arial" w:eastAsia="仿宋_GB2312" w:hAnsi="Arial" w:cs="Arial" w:hint="eastAsia"/>
          <w:sz w:val="28"/>
          <w:szCs w:val="28"/>
        </w:rPr>
        <w:t>月</w:t>
      </w:r>
      <w:r>
        <w:rPr>
          <w:rFonts w:ascii="Arial" w:eastAsia="仿宋_GB2312" w:hAnsi="Arial" w:cs="Arial"/>
          <w:sz w:val="28"/>
          <w:szCs w:val="28"/>
        </w:rPr>
        <w:t>1</w:t>
      </w:r>
      <w:r>
        <w:rPr>
          <w:rFonts w:ascii="Arial" w:eastAsia="仿宋_GB2312" w:hAnsi="Arial" w:cs="Arial" w:hint="eastAsia"/>
          <w:sz w:val="28"/>
          <w:szCs w:val="28"/>
        </w:rPr>
        <w:t>日起施行〕；</w:t>
      </w:r>
    </w:p>
    <w:p w14:paraId="65423F7A"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14.</w:t>
      </w:r>
      <w:r>
        <w:rPr>
          <w:rFonts w:ascii="Arial" w:eastAsia="仿宋_GB2312" w:hAnsi="Arial" w:cs="Arial" w:hint="eastAsia"/>
          <w:sz w:val="28"/>
          <w:szCs w:val="28"/>
        </w:rPr>
        <w:t>《招标拍卖挂牌出让国有建设用地使用权规定》〔国土资源部令第</w:t>
      </w:r>
      <w:r>
        <w:rPr>
          <w:rFonts w:ascii="Arial" w:eastAsia="仿宋_GB2312" w:hAnsi="Arial" w:cs="Arial"/>
          <w:sz w:val="28"/>
          <w:szCs w:val="28"/>
        </w:rPr>
        <w:t>39</w:t>
      </w:r>
      <w:r>
        <w:rPr>
          <w:rFonts w:ascii="Arial" w:eastAsia="仿宋_GB2312" w:hAnsi="Arial" w:cs="Arial" w:hint="eastAsia"/>
          <w:sz w:val="28"/>
          <w:szCs w:val="28"/>
        </w:rPr>
        <w:t>号，</w:t>
      </w:r>
      <w:r>
        <w:rPr>
          <w:rFonts w:ascii="Arial" w:eastAsia="仿宋_GB2312" w:hAnsi="Arial" w:cs="Arial"/>
          <w:sz w:val="28"/>
          <w:szCs w:val="28"/>
        </w:rPr>
        <w:t>2007</w:t>
      </w:r>
      <w:r>
        <w:rPr>
          <w:rFonts w:ascii="Arial" w:eastAsia="仿宋_GB2312" w:hAnsi="Arial" w:cs="Arial" w:hint="eastAsia"/>
          <w:sz w:val="28"/>
          <w:szCs w:val="28"/>
        </w:rPr>
        <w:t>年</w:t>
      </w:r>
      <w:r>
        <w:rPr>
          <w:rFonts w:ascii="Arial" w:eastAsia="仿宋_GB2312" w:hAnsi="Arial" w:cs="Arial"/>
          <w:sz w:val="28"/>
          <w:szCs w:val="28"/>
        </w:rPr>
        <w:t>9</w:t>
      </w:r>
      <w:r>
        <w:rPr>
          <w:rFonts w:ascii="Arial" w:eastAsia="仿宋_GB2312" w:hAnsi="Arial" w:cs="Arial" w:hint="eastAsia"/>
          <w:sz w:val="28"/>
          <w:szCs w:val="28"/>
        </w:rPr>
        <w:t>月</w:t>
      </w:r>
      <w:r>
        <w:rPr>
          <w:rFonts w:ascii="Arial" w:eastAsia="仿宋_GB2312" w:hAnsi="Arial" w:cs="Arial"/>
          <w:sz w:val="28"/>
          <w:szCs w:val="28"/>
        </w:rPr>
        <w:t>21</w:t>
      </w:r>
      <w:r>
        <w:rPr>
          <w:rFonts w:ascii="Arial" w:eastAsia="仿宋_GB2312" w:hAnsi="Arial" w:cs="Arial" w:hint="eastAsia"/>
          <w:sz w:val="28"/>
          <w:szCs w:val="28"/>
        </w:rPr>
        <w:t>日国土资源部第</w:t>
      </w:r>
      <w:r>
        <w:rPr>
          <w:rFonts w:ascii="Arial" w:eastAsia="仿宋_GB2312" w:hAnsi="Arial" w:cs="Arial"/>
          <w:sz w:val="28"/>
          <w:szCs w:val="28"/>
        </w:rPr>
        <w:t>3</w:t>
      </w:r>
      <w:r>
        <w:rPr>
          <w:rFonts w:ascii="Arial" w:eastAsia="仿宋_GB2312" w:hAnsi="Arial" w:cs="Arial" w:hint="eastAsia"/>
          <w:sz w:val="28"/>
          <w:szCs w:val="28"/>
        </w:rPr>
        <w:t>次部务会议审议通过〕；</w:t>
      </w:r>
    </w:p>
    <w:p w14:paraId="398A289A"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15. </w:t>
      </w:r>
      <w:r>
        <w:rPr>
          <w:rFonts w:ascii="Arial" w:eastAsia="仿宋_GB2312" w:hAnsi="Arial" w:cs="Arial" w:hint="eastAsia"/>
          <w:sz w:val="28"/>
          <w:szCs w:val="28"/>
        </w:rPr>
        <w:t>国土资源部《关于坚持和完善土地招标拍卖挂牌出让制度的意见》</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国土资发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2011</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63</w:t>
      </w:r>
      <w:r>
        <w:rPr>
          <w:rFonts w:ascii="Arial" w:eastAsia="仿宋_GB2312" w:hAnsi="Arial" w:cs="Arial" w:hint="eastAsia"/>
          <w:sz w:val="28"/>
          <w:szCs w:val="28"/>
        </w:rPr>
        <w:t>号，</w:t>
      </w:r>
      <w:r>
        <w:rPr>
          <w:rFonts w:ascii="Arial" w:eastAsia="仿宋_GB2312" w:hAnsi="Arial" w:cs="Arial"/>
          <w:sz w:val="28"/>
          <w:szCs w:val="28"/>
        </w:rPr>
        <w:t>2011</w:t>
      </w:r>
      <w:r>
        <w:rPr>
          <w:rFonts w:ascii="Arial" w:eastAsia="仿宋_GB2312" w:hAnsi="Arial" w:cs="Arial" w:hint="eastAsia"/>
          <w:sz w:val="28"/>
          <w:szCs w:val="28"/>
        </w:rPr>
        <w:t>年</w:t>
      </w:r>
      <w:r>
        <w:rPr>
          <w:rFonts w:ascii="Arial" w:eastAsia="仿宋_GB2312" w:hAnsi="Arial" w:cs="Arial"/>
          <w:sz w:val="28"/>
          <w:szCs w:val="28"/>
        </w:rPr>
        <w:t>5</w:t>
      </w:r>
      <w:r>
        <w:rPr>
          <w:rFonts w:ascii="Arial" w:eastAsia="仿宋_GB2312" w:hAnsi="Arial" w:cs="Arial" w:hint="eastAsia"/>
          <w:sz w:val="28"/>
          <w:szCs w:val="28"/>
        </w:rPr>
        <w:t>月</w:t>
      </w:r>
      <w:r>
        <w:rPr>
          <w:rFonts w:ascii="Arial" w:eastAsia="仿宋_GB2312" w:hAnsi="Arial" w:cs="Arial"/>
          <w:sz w:val="28"/>
          <w:szCs w:val="28"/>
        </w:rPr>
        <w:t>13</w:t>
      </w:r>
      <w:r>
        <w:rPr>
          <w:rFonts w:ascii="Arial" w:eastAsia="仿宋_GB2312" w:hAnsi="Arial" w:cs="Arial" w:hint="eastAsia"/>
          <w:sz w:val="28"/>
          <w:szCs w:val="28"/>
        </w:rPr>
        <w:t>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04446A66"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16. </w:t>
      </w:r>
      <w:r>
        <w:rPr>
          <w:rFonts w:ascii="Arial" w:eastAsia="仿宋_GB2312" w:hAnsi="Arial" w:cs="Arial" w:hint="eastAsia"/>
          <w:sz w:val="28"/>
          <w:szCs w:val="28"/>
        </w:rPr>
        <w:t>国土资源部办公厅《关于实行电子化备案完善土地估价报告备案制度的通知》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国土资厅发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2012</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35</w:t>
      </w:r>
      <w:r>
        <w:rPr>
          <w:rFonts w:ascii="Arial" w:eastAsia="仿宋_GB2312" w:hAnsi="Arial" w:cs="Arial" w:hint="eastAsia"/>
          <w:sz w:val="28"/>
          <w:szCs w:val="28"/>
        </w:rPr>
        <w:t>号，</w:t>
      </w:r>
      <w:r>
        <w:rPr>
          <w:rFonts w:ascii="Arial" w:eastAsia="仿宋_GB2312" w:hAnsi="Arial" w:cs="Arial"/>
          <w:sz w:val="28"/>
          <w:szCs w:val="28"/>
        </w:rPr>
        <w:t>2012</w:t>
      </w:r>
      <w:r>
        <w:rPr>
          <w:rFonts w:ascii="Arial" w:eastAsia="仿宋_GB2312" w:hAnsi="Arial" w:cs="Arial" w:hint="eastAsia"/>
          <w:sz w:val="28"/>
          <w:szCs w:val="28"/>
        </w:rPr>
        <w:t>年</w:t>
      </w:r>
      <w:r>
        <w:rPr>
          <w:rFonts w:ascii="Arial" w:eastAsia="仿宋_GB2312" w:hAnsi="Arial" w:cs="Arial"/>
          <w:sz w:val="28"/>
          <w:szCs w:val="28"/>
        </w:rPr>
        <w:t>6</w:t>
      </w:r>
      <w:r>
        <w:rPr>
          <w:rFonts w:ascii="Arial" w:eastAsia="仿宋_GB2312" w:hAnsi="Arial" w:cs="Arial" w:hint="eastAsia"/>
          <w:sz w:val="28"/>
          <w:szCs w:val="28"/>
        </w:rPr>
        <w:t>月</w:t>
      </w:r>
      <w:r>
        <w:rPr>
          <w:rFonts w:ascii="Arial" w:eastAsia="仿宋_GB2312" w:hAnsi="Arial" w:cs="Arial"/>
          <w:sz w:val="28"/>
          <w:szCs w:val="28"/>
        </w:rPr>
        <w:t>14</w:t>
      </w:r>
      <w:r>
        <w:rPr>
          <w:rFonts w:ascii="Arial" w:eastAsia="仿宋_GB2312" w:hAnsi="Arial" w:cs="Arial" w:hint="eastAsia"/>
          <w:sz w:val="28"/>
          <w:szCs w:val="28"/>
        </w:rPr>
        <w:t>日发布</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4FB28559" w14:textId="77777777" w:rsidR="006C1DB6" w:rsidRDefault="006C1DB6" w:rsidP="006C1DB6">
      <w:pPr>
        <w:spacing w:line="360" w:lineRule="auto"/>
        <w:jc w:val="both"/>
        <w:rPr>
          <w:rFonts w:ascii="Arial" w:eastAsia="仿宋_GB2312" w:hAnsi="Arial" w:cs="Arial"/>
          <w:sz w:val="28"/>
        </w:rPr>
      </w:pPr>
      <w:r>
        <w:rPr>
          <w:rFonts w:ascii="Arial" w:eastAsia="仿宋_GB2312" w:hAnsi="Arial" w:cs="Arial" w:hint="eastAsia"/>
          <w:sz w:val="28"/>
        </w:rPr>
        <w:t>（二）采用的技术标准</w:t>
      </w:r>
    </w:p>
    <w:p w14:paraId="0EB28D50"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《城镇土地估价规程》</w:t>
      </w:r>
      <w:r>
        <w:rPr>
          <w:rFonts w:ascii="Arial" w:eastAsia="仿宋_GB2312" w:hAnsi="Arial" w:cs="Arial"/>
          <w:sz w:val="28"/>
        </w:rPr>
        <w:t>[GB/T 18508-2014]</w:t>
      </w:r>
    </w:p>
    <w:p w14:paraId="72E3F1B4" w14:textId="77777777" w:rsidR="006C1DB6" w:rsidRP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《城镇土地</w:t>
      </w:r>
      <w:r w:rsidRPr="006C1DB6">
        <w:rPr>
          <w:rFonts w:ascii="Arial" w:eastAsia="仿宋_GB2312" w:hAnsi="Arial" w:cs="Arial" w:hint="eastAsia"/>
          <w:sz w:val="28"/>
        </w:rPr>
        <w:t>分等定级规程》</w:t>
      </w:r>
      <w:hyperlink r:id="rId47" w:tgtFrame="_blank" w:history="1">
        <w:r w:rsidRPr="006C1DB6">
          <w:rPr>
            <w:rStyle w:val="ad"/>
            <w:rFonts w:ascii="Arial" w:eastAsia="仿宋_GB2312" w:hAnsi="Arial" w:cs="Arial"/>
            <w:color w:val="auto"/>
            <w:sz w:val="28"/>
          </w:rPr>
          <w:t>[GB/T 18507-2014]</w:t>
        </w:r>
      </w:hyperlink>
    </w:p>
    <w:p w14:paraId="2DBC76B6"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《土地利用现状分类》</w:t>
      </w:r>
      <w:r>
        <w:rPr>
          <w:rFonts w:ascii="Arial" w:eastAsia="仿宋_GB2312" w:hAnsi="Arial" w:cs="Arial"/>
          <w:sz w:val="28"/>
        </w:rPr>
        <w:t>[ GB/T 21010-2017]</w:t>
      </w:r>
    </w:p>
    <w:p w14:paraId="3222E262"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《城市用地分类与规划建设用地标准》</w:t>
      </w:r>
      <w:r>
        <w:rPr>
          <w:rFonts w:ascii="Arial" w:eastAsia="仿宋_GB2312" w:hAnsi="Arial" w:cs="Arial"/>
          <w:sz w:val="28"/>
        </w:rPr>
        <w:t>[GB50137-2011]</w:t>
      </w:r>
    </w:p>
    <w:p w14:paraId="7F53A144"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hint="eastAsia"/>
          <w:sz w:val="28"/>
        </w:rPr>
        <w:t>《国土资源部办公厅关于印发〈国有建设用地使用权出让地价评估技术规范〉的通知》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w:t>
      </w:r>
      <w:r>
        <w:rPr>
          <w:rFonts w:ascii="Arial" w:eastAsia="仿宋_GB2312" w:hAnsi="Arial" w:cs="Arial"/>
          <w:sz w:val="28"/>
        </w:rPr>
        <w:t>2018</w:t>
      </w:r>
      <w:r>
        <w:rPr>
          <w:rFonts w:ascii="Arial" w:eastAsia="仿宋_GB2312" w:hAnsi="Arial" w:cs="Arial" w:hint="eastAsia"/>
          <w:sz w:val="28"/>
        </w:rPr>
        <w:t>）</w:t>
      </w:r>
      <w:r>
        <w:rPr>
          <w:rFonts w:ascii="Arial" w:eastAsia="仿宋_GB2312" w:hAnsi="Arial" w:cs="Arial"/>
          <w:sz w:val="28"/>
        </w:rPr>
        <w:t>4</w:t>
      </w:r>
      <w:r>
        <w:rPr>
          <w:rFonts w:ascii="Arial" w:eastAsia="仿宋_GB2312" w:hAnsi="Arial" w:cs="Arial" w:hint="eastAsia"/>
          <w:sz w:val="28"/>
        </w:rPr>
        <w:t>号</w:t>
      </w:r>
      <w:r>
        <w:rPr>
          <w:rFonts w:ascii="Arial" w:eastAsia="仿宋_GB2312" w:hAnsi="Arial" w:cs="Arial"/>
          <w:sz w:val="28"/>
        </w:rPr>
        <w:t>]</w:t>
      </w:r>
    </w:p>
    <w:p w14:paraId="465E9B79"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hint="eastAsia"/>
          <w:sz w:val="28"/>
          <w:szCs w:val="28"/>
        </w:rPr>
        <w:t>《城市地价动态监测技术规范》</w:t>
      </w:r>
      <w:r>
        <w:rPr>
          <w:rFonts w:ascii="Arial" w:eastAsia="仿宋_GB2312" w:hAnsi="Arial" w:cs="Arial"/>
          <w:sz w:val="28"/>
        </w:rPr>
        <w:t>[</w:t>
      </w:r>
      <w:r>
        <w:rPr>
          <w:rFonts w:ascii="Arial" w:eastAsia="仿宋_GB2312" w:hAnsi="Arial" w:cs="Arial"/>
          <w:sz w:val="28"/>
          <w:szCs w:val="28"/>
        </w:rPr>
        <w:t>TD/T1009-2007</w:t>
      </w:r>
      <w:r>
        <w:rPr>
          <w:rFonts w:ascii="Arial" w:eastAsia="仿宋_GB2312" w:hAnsi="Arial" w:cs="Arial"/>
          <w:sz w:val="28"/>
        </w:rPr>
        <w:t>]</w:t>
      </w:r>
    </w:p>
    <w:p w14:paraId="367F4ED8" w14:textId="3A1CBBB0"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hint="eastAsia"/>
          <w:sz w:val="28"/>
          <w:szCs w:val="28"/>
        </w:rPr>
        <w:t>《北京市关于更新出让国有建设用地使用权基准地价的通知》</w:t>
      </w:r>
      <w:r>
        <w:rPr>
          <w:rFonts w:ascii="Arial" w:eastAsia="仿宋_GB2312" w:hAnsi="Arial" w:cs="Arial"/>
          <w:sz w:val="28"/>
        </w:rPr>
        <w:t>[</w:t>
      </w:r>
      <w:r>
        <w:rPr>
          <w:rFonts w:ascii="Arial" w:eastAsia="仿宋_GB2312" w:hAnsi="Arial" w:cs="Arial" w:hint="eastAsia"/>
          <w:sz w:val="28"/>
          <w:szCs w:val="28"/>
        </w:rPr>
        <w:t>京政发〔</w:t>
      </w:r>
      <w:r>
        <w:rPr>
          <w:rFonts w:ascii="Arial" w:eastAsia="仿宋_GB2312" w:hAnsi="Arial" w:cs="Arial"/>
          <w:sz w:val="28"/>
          <w:szCs w:val="28"/>
        </w:rPr>
        <w:t>2014</w:t>
      </w:r>
      <w:r>
        <w:rPr>
          <w:rFonts w:ascii="Arial" w:eastAsia="仿宋_GB2312" w:hAnsi="Arial" w:cs="Arial" w:hint="eastAsia"/>
          <w:sz w:val="28"/>
          <w:szCs w:val="28"/>
        </w:rPr>
        <w:t>〕</w:t>
      </w:r>
      <w:r>
        <w:rPr>
          <w:rFonts w:ascii="Arial" w:eastAsia="仿宋_GB2312" w:hAnsi="Arial" w:cs="Arial"/>
          <w:sz w:val="28"/>
          <w:szCs w:val="28"/>
        </w:rPr>
        <w:t>26</w:t>
      </w:r>
      <w:r>
        <w:rPr>
          <w:rFonts w:ascii="Arial" w:eastAsia="仿宋_GB2312" w:hAnsi="Arial" w:cs="Arial" w:hint="eastAsia"/>
          <w:sz w:val="28"/>
          <w:szCs w:val="28"/>
        </w:rPr>
        <w:t>号</w:t>
      </w:r>
      <w:r>
        <w:rPr>
          <w:rFonts w:ascii="Arial" w:eastAsia="仿宋_GB2312" w:hAnsi="Arial" w:cs="Arial"/>
          <w:sz w:val="28"/>
        </w:rPr>
        <w:t>]</w:t>
      </w:r>
    </w:p>
    <w:p w14:paraId="4D007ECC" w14:textId="5D641FE4"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hint="eastAsia"/>
          <w:sz w:val="28"/>
          <w:szCs w:val="28"/>
        </w:rPr>
        <w:t>《北京市基准地价更新成果（二Ｏ一四年）》</w:t>
      </w:r>
    </w:p>
    <w:p w14:paraId="270D3925" w14:textId="623633FC"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hint="eastAsia"/>
          <w:sz w:val="28"/>
          <w:szCs w:val="28"/>
        </w:rPr>
        <w:t>《关于印发北京市国有建设用地使用权出让地价评审暂行规定的通知》</w:t>
      </w:r>
      <w:r>
        <w:rPr>
          <w:rFonts w:ascii="Arial" w:eastAsia="仿宋_GB2312" w:hAnsi="Arial" w:cs="Arial"/>
          <w:sz w:val="28"/>
        </w:rPr>
        <w:t>[</w:t>
      </w:r>
      <w:r>
        <w:rPr>
          <w:rFonts w:ascii="Arial" w:eastAsia="仿宋_GB2312" w:hAnsi="Arial" w:cs="Arial" w:hint="eastAsia"/>
          <w:sz w:val="28"/>
          <w:szCs w:val="28"/>
        </w:rPr>
        <w:t>京国土用</w:t>
      </w:r>
      <w:r>
        <w:rPr>
          <w:rFonts w:ascii="Arial" w:eastAsia="仿宋_GB2312" w:hAnsi="Arial" w:cs="Arial"/>
          <w:sz w:val="28"/>
          <w:szCs w:val="28"/>
        </w:rPr>
        <w:t>[2015]87</w:t>
      </w:r>
      <w:r>
        <w:rPr>
          <w:rFonts w:ascii="Arial" w:eastAsia="仿宋_GB2312" w:hAnsi="Arial" w:cs="Arial" w:hint="eastAsia"/>
          <w:sz w:val="28"/>
          <w:szCs w:val="28"/>
        </w:rPr>
        <w:t>号</w:t>
      </w:r>
      <w:r>
        <w:rPr>
          <w:rFonts w:ascii="Arial" w:eastAsia="仿宋_GB2312" w:hAnsi="Arial" w:cs="Arial"/>
          <w:sz w:val="28"/>
        </w:rPr>
        <w:t>]</w:t>
      </w:r>
    </w:p>
    <w:p w14:paraId="4155FC89" w14:textId="326E1D2C"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10.</w:t>
      </w:r>
      <w:r>
        <w:rPr>
          <w:rFonts w:ascii="Arial" w:eastAsia="仿宋_GB2312" w:hAnsi="Arial" w:cs="Arial" w:hint="eastAsia"/>
          <w:sz w:val="28"/>
          <w:szCs w:val="28"/>
        </w:rPr>
        <w:t>《北京市国土资源局关于出让国有建设用地使用权基准地价应用有关问题的公告》</w:t>
      </w:r>
    </w:p>
    <w:p w14:paraId="1AC5E12C" w14:textId="5B789B78" w:rsidR="006C1DB6" w:rsidRDefault="006C1DB6" w:rsidP="006C1DB6">
      <w:pPr>
        <w:spacing w:line="360" w:lineRule="auto"/>
        <w:ind w:firstLineChars="200" w:firstLine="560"/>
        <w:rPr>
          <w:rFonts w:ascii="Arial" w:eastAsia="仿宋_GB2312" w:hAnsi="Arial" w:cs="Arial"/>
          <w:sz w:val="28"/>
        </w:rPr>
      </w:pPr>
      <w:r>
        <w:rPr>
          <w:rFonts w:ascii="Arial" w:eastAsia="仿宋_GB2312" w:hAnsi="Arial" w:cs="Arial"/>
          <w:sz w:val="28"/>
          <w:szCs w:val="28"/>
        </w:rPr>
        <w:t>11.</w:t>
      </w:r>
      <w:r>
        <w:rPr>
          <w:rFonts w:ascii="Arial" w:eastAsia="仿宋_GB2312" w:hAnsi="Arial" w:cs="Arial" w:hint="eastAsia"/>
          <w:sz w:val="28"/>
          <w:szCs w:val="28"/>
        </w:rPr>
        <w:t>《北京市</w:t>
      </w:r>
      <w:r>
        <w:rPr>
          <w:rFonts w:ascii="Arial" w:eastAsia="仿宋_GB2312" w:hAnsi="Arial" w:cs="Arial"/>
          <w:sz w:val="28"/>
          <w:szCs w:val="28"/>
        </w:rPr>
        <w:t>“</w:t>
      </w:r>
      <w:r>
        <w:rPr>
          <w:rFonts w:ascii="Arial" w:eastAsia="仿宋_GB2312" w:hAnsi="Arial" w:cs="Arial" w:hint="eastAsia"/>
          <w:sz w:val="28"/>
          <w:szCs w:val="28"/>
        </w:rPr>
        <w:t>地下空间</w:t>
      </w:r>
      <w:r>
        <w:rPr>
          <w:rFonts w:ascii="Arial" w:eastAsia="仿宋_GB2312" w:hAnsi="Arial" w:cs="Arial"/>
          <w:sz w:val="28"/>
          <w:szCs w:val="28"/>
        </w:rPr>
        <w:t>”</w:t>
      </w:r>
      <w:r>
        <w:rPr>
          <w:rFonts w:ascii="Arial" w:eastAsia="仿宋_GB2312" w:hAnsi="Arial" w:cs="Arial" w:hint="eastAsia"/>
          <w:sz w:val="28"/>
          <w:szCs w:val="28"/>
        </w:rPr>
        <w:t>使用权协议出让地价评估技术更新的说明》</w:t>
      </w:r>
      <w:r>
        <w:rPr>
          <w:rFonts w:ascii="Arial" w:eastAsia="仿宋_GB2312" w:hAnsi="Arial" w:cs="Arial"/>
          <w:sz w:val="28"/>
          <w:szCs w:val="28"/>
        </w:rPr>
        <w:t>[</w:t>
      </w:r>
      <w:proofErr w:type="gramStart"/>
      <w:r>
        <w:rPr>
          <w:rFonts w:ascii="Arial" w:eastAsia="仿宋_GB2312" w:hAnsi="Arial" w:cs="Arial" w:hint="eastAsia"/>
          <w:sz w:val="28"/>
          <w:szCs w:val="28"/>
        </w:rPr>
        <w:t>北估秘</w:t>
      </w:r>
      <w:proofErr w:type="gramEnd"/>
      <w:r>
        <w:rPr>
          <w:rFonts w:ascii="Arial" w:eastAsia="仿宋_GB2312" w:hAnsi="Arial" w:cs="Arial"/>
          <w:sz w:val="28"/>
          <w:szCs w:val="28"/>
        </w:rPr>
        <w:t>[2019]002</w:t>
      </w:r>
      <w:r>
        <w:rPr>
          <w:rFonts w:ascii="Arial" w:eastAsia="仿宋_GB2312" w:hAnsi="Arial" w:cs="Arial" w:hint="eastAsia"/>
          <w:sz w:val="28"/>
          <w:szCs w:val="28"/>
        </w:rPr>
        <w:t>号</w:t>
      </w:r>
      <w:r>
        <w:rPr>
          <w:rFonts w:ascii="Arial" w:eastAsia="仿宋_GB2312" w:hAnsi="Arial" w:cs="Arial"/>
          <w:sz w:val="28"/>
          <w:szCs w:val="28"/>
        </w:rPr>
        <w:t>]</w:t>
      </w:r>
    </w:p>
    <w:p w14:paraId="345C20D0" w14:textId="0BC19479"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rPr>
        <w:t>12</w:t>
      </w:r>
      <w:r>
        <w:rPr>
          <w:rFonts w:ascii="Arial" w:eastAsia="仿宋_GB2312" w:hAnsi="Arial" w:cs="Arial"/>
          <w:sz w:val="28"/>
          <w:szCs w:val="28"/>
        </w:rPr>
        <w:t>.</w:t>
      </w:r>
      <w:r>
        <w:rPr>
          <w:rFonts w:ascii="Arial" w:eastAsia="仿宋_GB2312" w:hAnsi="Arial" w:cs="Arial" w:hint="eastAsia"/>
          <w:sz w:val="28"/>
          <w:szCs w:val="28"/>
        </w:rPr>
        <w:t>《北京市建设工程计价依据</w:t>
      </w:r>
      <w:r>
        <w:rPr>
          <w:rFonts w:ascii="Arial" w:eastAsia="仿宋_GB2312" w:hAnsi="Arial" w:cs="Arial"/>
          <w:sz w:val="28"/>
          <w:szCs w:val="28"/>
        </w:rPr>
        <w:t>-</w:t>
      </w:r>
      <w:r>
        <w:rPr>
          <w:rFonts w:ascii="Arial" w:eastAsia="仿宋_GB2312" w:hAnsi="Arial" w:cs="Arial" w:hint="eastAsia"/>
          <w:sz w:val="28"/>
          <w:szCs w:val="28"/>
        </w:rPr>
        <w:t>预算定额》（</w:t>
      </w:r>
      <w:r>
        <w:rPr>
          <w:rFonts w:ascii="Arial" w:eastAsia="仿宋_GB2312" w:hAnsi="Arial" w:cs="Arial"/>
          <w:sz w:val="28"/>
          <w:szCs w:val="28"/>
        </w:rPr>
        <w:t>2012</w:t>
      </w:r>
      <w:r>
        <w:rPr>
          <w:rFonts w:ascii="Arial" w:eastAsia="仿宋_GB2312" w:hAnsi="Arial" w:cs="Arial" w:hint="eastAsia"/>
          <w:sz w:val="28"/>
          <w:szCs w:val="28"/>
        </w:rPr>
        <w:t>）及动态调整</w:t>
      </w:r>
    </w:p>
    <w:p w14:paraId="4D639E82" w14:textId="18D9F863"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13.</w:t>
      </w:r>
      <w:r>
        <w:rPr>
          <w:rFonts w:ascii="Arial" w:eastAsia="仿宋_GB2312" w:hAnsi="Arial" w:cs="Arial" w:hint="eastAsia"/>
          <w:sz w:val="28"/>
          <w:szCs w:val="28"/>
        </w:rPr>
        <w:t>《北京工程造价信息》〔北京市建设工程造价管理处定期发布〕</w:t>
      </w:r>
    </w:p>
    <w:p w14:paraId="01C4BDFE" w14:textId="061FAAA5" w:rsidR="006C1DB6" w:rsidRDefault="006C1DB6" w:rsidP="006C1DB6">
      <w:pPr>
        <w:spacing w:line="360" w:lineRule="auto"/>
        <w:ind w:firstLineChars="200" w:firstLine="560"/>
        <w:rPr>
          <w:rFonts w:ascii="Arial" w:eastAsia="仿宋_GB2312" w:hAnsi="Arial" w:cs="Arial"/>
          <w:sz w:val="28"/>
        </w:rPr>
      </w:pPr>
      <w:r>
        <w:rPr>
          <w:rFonts w:ascii="Arial" w:eastAsia="仿宋_GB2312" w:hAnsi="Arial" w:cs="Arial"/>
          <w:sz w:val="28"/>
          <w:szCs w:val="28"/>
        </w:rPr>
        <w:t>14.</w:t>
      </w:r>
      <w:r>
        <w:rPr>
          <w:rFonts w:ascii="Arial" w:eastAsia="仿宋_GB2312" w:hAnsi="Arial" w:cs="Arial" w:hint="eastAsia"/>
          <w:sz w:val="28"/>
          <w:szCs w:val="28"/>
        </w:rPr>
        <w:t>《北京市统计年鉴》</w:t>
      </w:r>
    </w:p>
    <w:p w14:paraId="73B967CD" w14:textId="77777777" w:rsidR="006C1DB6" w:rsidRDefault="006C1DB6" w:rsidP="006C1DB6">
      <w:pPr>
        <w:spacing w:line="360" w:lineRule="auto"/>
        <w:jc w:val="both"/>
        <w:rPr>
          <w:rFonts w:ascii="Arial" w:eastAsia="仿宋_GB2312" w:hAnsi="Arial" w:cs="Arial"/>
          <w:sz w:val="28"/>
          <w:szCs w:val="18"/>
        </w:rPr>
      </w:pPr>
      <w:r>
        <w:rPr>
          <w:rFonts w:ascii="Arial" w:eastAsia="仿宋_GB2312" w:hAnsi="Arial" w:cs="Arial" w:hint="eastAsia"/>
          <w:sz w:val="28"/>
          <w:szCs w:val="18"/>
        </w:rPr>
        <w:t>（三）</w:t>
      </w:r>
      <w:r>
        <w:rPr>
          <w:rFonts w:ascii="Arial" w:eastAsia="仿宋_GB2312" w:hAnsi="Arial" w:cs="Arial"/>
          <w:sz w:val="28"/>
          <w:szCs w:val="18"/>
        </w:rPr>
        <w:t xml:space="preserve"> </w:t>
      </w:r>
      <w:r>
        <w:rPr>
          <w:rFonts w:ascii="Arial" w:eastAsia="仿宋_GB2312" w:hAnsi="Arial" w:cs="Arial" w:hint="eastAsia"/>
          <w:sz w:val="28"/>
          <w:szCs w:val="18"/>
        </w:rPr>
        <w:t>委托估价方提供的资料</w:t>
      </w:r>
    </w:p>
    <w:p w14:paraId="2AD01BF6"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《国有建设用地使用权出让地价评估委托书》</w:t>
      </w:r>
    </w:p>
    <w:p w14:paraId="0CCD79EC"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《建设工程规划用地测量成果报告书》</w:t>
      </w:r>
      <w:r>
        <w:rPr>
          <w:rFonts w:ascii="Arial" w:eastAsia="仿宋_GB2312" w:hAnsi="Arial" w:cs="Arial"/>
          <w:sz w:val="28"/>
        </w:rPr>
        <w:t>[2017</w:t>
      </w:r>
      <w:proofErr w:type="gramStart"/>
      <w:r>
        <w:rPr>
          <w:rFonts w:ascii="Arial" w:eastAsia="仿宋_GB2312" w:hAnsi="Arial" w:cs="Arial" w:hint="eastAsia"/>
          <w:sz w:val="28"/>
        </w:rPr>
        <w:t>规</w:t>
      </w:r>
      <w:proofErr w:type="gramEnd"/>
      <w:r>
        <w:rPr>
          <w:rFonts w:ascii="Arial" w:eastAsia="仿宋_GB2312" w:hAnsi="Arial" w:cs="Arial" w:hint="eastAsia"/>
          <w:sz w:val="28"/>
        </w:rPr>
        <w:t>（海）测字</w:t>
      </w:r>
      <w:r>
        <w:rPr>
          <w:rFonts w:ascii="Arial" w:eastAsia="仿宋_GB2312" w:hAnsi="Arial" w:cs="Arial"/>
          <w:sz w:val="28"/>
        </w:rPr>
        <w:t>0023</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w:t>
      </w:r>
    </w:p>
    <w:p w14:paraId="41CB0623"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《海淀区苏州街站一体化棚户区改造项目前期工作及拟改造土地使用权一次性招标方案》及其附件复印件</w:t>
      </w:r>
    </w:p>
    <w:p w14:paraId="24B7376C"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w:t>
      </w:r>
    </w:p>
    <w:p w14:paraId="23D5E162"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《中标通知书》复印件</w:t>
      </w:r>
    </w:p>
    <w:p w14:paraId="5F343A73"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w:t>
      </w:r>
    </w:p>
    <w:p w14:paraId="71B34369"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《北京市海淀区人民防空办公室建设项目修建人民防空防护工程标准审查意见书》</w:t>
      </w:r>
      <w:r>
        <w:rPr>
          <w:rFonts w:ascii="Arial" w:eastAsia="仿宋_GB2312" w:hAnsi="Arial" w:cs="Arial"/>
          <w:sz w:val="28"/>
        </w:rPr>
        <w:t>[2020</w:t>
      </w:r>
      <w:r>
        <w:rPr>
          <w:rFonts w:ascii="Arial" w:eastAsia="仿宋_GB2312" w:hAnsi="Arial" w:cs="Arial" w:hint="eastAsia"/>
          <w:sz w:val="28"/>
        </w:rPr>
        <w:t>（</w:t>
      </w:r>
      <w:r>
        <w:rPr>
          <w:rFonts w:ascii="Arial" w:eastAsia="仿宋_GB2312" w:hAnsi="Arial" w:cs="Arial"/>
          <w:sz w:val="28"/>
        </w:rPr>
        <w:t>DGHY</w:t>
      </w:r>
      <w:r>
        <w:rPr>
          <w:rFonts w:ascii="Arial" w:eastAsia="仿宋_GB2312" w:hAnsi="Arial" w:cs="Arial" w:hint="eastAsia"/>
          <w:sz w:val="28"/>
        </w:rPr>
        <w:t>）京防（海）工准字</w:t>
      </w:r>
      <w:r>
        <w:rPr>
          <w:rFonts w:ascii="Arial" w:eastAsia="仿宋_GB2312" w:hAnsi="Arial" w:cs="Arial"/>
          <w:sz w:val="28"/>
        </w:rPr>
        <w:t>0022</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w:t>
      </w:r>
    </w:p>
    <w:p w14:paraId="052E1A18" w14:textId="1A1593D1"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《北京市发展和改革委员会、北京市住房和城乡建设委员会关于海淀区苏州街站一体化棚户区改造项目重新核准的批复》</w:t>
      </w:r>
      <w:r>
        <w:rPr>
          <w:rFonts w:ascii="Arial" w:eastAsia="仿宋_GB2312" w:hAnsi="Arial" w:cs="Arial" w:hint="eastAsia"/>
          <w:sz w:val="28"/>
        </w:rPr>
        <w:t>[</w:t>
      </w:r>
      <w:r>
        <w:rPr>
          <w:rFonts w:ascii="Arial" w:eastAsia="仿宋_GB2312" w:hAnsi="Arial" w:cs="Arial" w:hint="eastAsia"/>
          <w:sz w:val="28"/>
        </w:rPr>
        <w:t>京发改（核）</w:t>
      </w:r>
      <w:r>
        <w:rPr>
          <w:rFonts w:ascii="Arial" w:eastAsia="仿宋_GB2312" w:hAnsi="Arial" w:cs="Arial" w:hint="eastAsia"/>
          <w:sz w:val="28"/>
        </w:rPr>
        <w:t>[2021]54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lastRenderedPageBreak/>
        <w:t>复印件</w:t>
      </w:r>
    </w:p>
    <w:p w14:paraId="54ABC370"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w:t>
      </w:r>
    </w:p>
    <w:p w14:paraId="5C758CC8"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Pr>
          <w:rFonts w:ascii="Arial" w:eastAsia="仿宋_GB2312" w:hAnsi="Arial" w:cs="Arial" w:hint="eastAsia"/>
          <w:sz w:val="28"/>
        </w:rPr>
        <w:t>《名称变更通知》复印件</w:t>
      </w:r>
    </w:p>
    <w:p w14:paraId="24A6C07B" w14:textId="5773A1D3"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11.</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编号：海权属审（</w:t>
      </w:r>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）字第</w:t>
      </w:r>
      <w:r>
        <w:rPr>
          <w:rFonts w:ascii="Arial" w:eastAsia="仿宋_GB2312" w:hAnsi="Arial" w:cs="Arial" w:hint="eastAsia"/>
          <w:sz w:val="28"/>
        </w:rPr>
        <w:t>1</w:t>
      </w:r>
      <w:r>
        <w:rPr>
          <w:rFonts w:ascii="Arial" w:eastAsia="仿宋_GB2312" w:hAnsi="Arial" w:cs="Arial"/>
          <w:sz w:val="28"/>
        </w:rPr>
        <w:t>268</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及其附表附图</w:t>
      </w:r>
      <w:r w:rsidRPr="00F631FB">
        <w:rPr>
          <w:rFonts w:ascii="Arial" w:eastAsia="仿宋_GB2312" w:hAnsi="Arial" w:cs="Arial" w:hint="eastAsia"/>
          <w:sz w:val="28"/>
        </w:rPr>
        <w:t>复印件</w:t>
      </w:r>
    </w:p>
    <w:p w14:paraId="2C32F0C6" w14:textId="2D6F7DA6"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12.</w:t>
      </w:r>
      <w:r>
        <w:rPr>
          <w:rFonts w:ascii="Arial" w:eastAsia="仿宋_GB2312" w:hAnsi="Arial" w:cs="Arial" w:hint="eastAsia"/>
          <w:sz w:val="28"/>
        </w:rPr>
        <w:t>《海淀区苏州街一体化棚户区改造项目建筑面积及用途的说明》及其附表复印件</w:t>
      </w:r>
    </w:p>
    <w:p w14:paraId="394B9759" w14:textId="39D14C79"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13.</w:t>
      </w:r>
      <w:r>
        <w:rPr>
          <w:rFonts w:ascii="Arial" w:eastAsia="仿宋_GB2312" w:hAnsi="Arial" w:cs="Arial" w:hint="eastAsia"/>
          <w:sz w:val="28"/>
        </w:rPr>
        <w:t>《关于海淀区苏州街站一体化棚户区改造项目成本说明》复印件</w:t>
      </w:r>
    </w:p>
    <w:p w14:paraId="23FA0CBF" w14:textId="5807AEFF"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14.</w:t>
      </w:r>
      <w:r>
        <w:rPr>
          <w:rFonts w:ascii="Arial" w:eastAsia="仿宋_GB2312" w:hAnsi="Arial" w:cs="Arial" w:hint="eastAsia"/>
          <w:sz w:val="28"/>
        </w:rPr>
        <w:t>《关于海淀南路</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号院（飞达地块）拆迁安置情况说明》复印件</w:t>
      </w:r>
    </w:p>
    <w:p w14:paraId="4AC7C5F1" w14:textId="2C3067B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15.</w:t>
      </w:r>
      <w:r w:rsidRPr="006C1DB6">
        <w:rPr>
          <w:rFonts w:ascii="Arial" w:eastAsia="仿宋_GB2312" w:hAnsi="Arial" w:cs="Arial" w:hint="eastAsia"/>
          <w:sz w:val="28"/>
        </w:rPr>
        <w:t xml:space="preserve"> </w:t>
      </w:r>
      <w:r w:rsidRPr="00F631FB">
        <w:rPr>
          <w:rFonts w:ascii="Arial" w:eastAsia="仿宋_GB2312" w:hAnsi="Arial" w:cs="Arial" w:hint="eastAsia"/>
          <w:sz w:val="28"/>
        </w:rPr>
        <w:t>土地使用权人《营业执照》复印件</w:t>
      </w:r>
    </w:p>
    <w:p w14:paraId="6D017E1F" w14:textId="77777777" w:rsidR="006C1DB6" w:rsidRDefault="006C1DB6" w:rsidP="006C1DB6">
      <w:pPr>
        <w:widowControl/>
        <w:adjustRightInd/>
        <w:spacing w:line="240" w:lineRule="auto"/>
        <w:rPr>
          <w:rFonts w:ascii="宋体" w:hAnsi="宋体" w:cs="宋体"/>
          <w:szCs w:val="24"/>
        </w:rPr>
      </w:pPr>
      <w:r>
        <w:rPr>
          <w:rFonts w:ascii="Arial" w:eastAsia="仿宋_GB2312" w:hAnsi="Arial" w:cs="Arial" w:hint="eastAsia"/>
          <w:sz w:val="28"/>
          <w:szCs w:val="18"/>
        </w:rPr>
        <w:t>（四）受托估价方掌握的有关资料和评估专业人员实地勘察、调查所获取的资料实地勘查</w:t>
      </w:r>
      <w:r>
        <w:rPr>
          <w:rFonts w:ascii="Arial" w:eastAsia="仿宋_GB2312" w:hAnsi="Arial" w:cs="Arial" w:hint="eastAsia"/>
          <w:sz w:val="28"/>
        </w:rPr>
        <w:t>的有关资料</w:t>
      </w:r>
      <w:r>
        <w:rPr>
          <w:rFonts w:ascii="宋体" w:hAnsi="宋体" w:cs="宋体" w:hint="eastAsia"/>
          <w:szCs w:val="24"/>
        </w:rPr>
        <w:t xml:space="preserve"> </w:t>
      </w:r>
    </w:p>
    <w:p w14:paraId="5912408E" w14:textId="77777777" w:rsidR="002C3ABF" w:rsidRPr="00F631FB" w:rsidRDefault="002C3ABF" w:rsidP="002C3ABF">
      <w:pPr>
        <w:spacing w:line="360" w:lineRule="auto"/>
        <w:outlineLvl w:val="1"/>
        <w:rPr>
          <w:rFonts w:ascii="Arial" w:eastAsia="仿宋_GB2312" w:hAnsi="Arial" w:cs="Arial"/>
          <w:b/>
          <w:sz w:val="28"/>
        </w:rPr>
      </w:pPr>
      <w:bookmarkStart w:id="118" w:name="_Toc469066319"/>
      <w:bookmarkStart w:id="119" w:name="_Toc418750899"/>
      <w:bookmarkStart w:id="120" w:name="_Toc425250321"/>
      <w:bookmarkStart w:id="121" w:name="_Toc416783536"/>
      <w:bookmarkStart w:id="122" w:name="_Toc515458376"/>
      <w:bookmarkStart w:id="123" w:name="_Toc524335081"/>
      <w:bookmarkStart w:id="124" w:name="_Toc69393383"/>
      <w:r w:rsidRPr="00F631FB">
        <w:rPr>
          <w:rFonts w:ascii="Arial" w:eastAsia="仿宋_GB2312" w:hAnsi="Arial" w:cs="Arial"/>
          <w:b/>
          <w:sz w:val="28"/>
        </w:rPr>
        <w:t>二、土地估价</w:t>
      </w:r>
      <w:bookmarkEnd w:id="118"/>
      <w:bookmarkEnd w:id="119"/>
      <w:bookmarkEnd w:id="120"/>
      <w:bookmarkEnd w:id="121"/>
      <w:bookmarkEnd w:id="122"/>
      <w:r w:rsidRPr="00F631FB">
        <w:rPr>
          <w:rFonts w:ascii="Arial" w:eastAsia="仿宋_GB2312" w:hAnsi="Arial" w:cs="Arial"/>
          <w:b/>
          <w:sz w:val="28"/>
        </w:rPr>
        <w:t>原则</w:t>
      </w:r>
      <w:bookmarkEnd w:id="123"/>
      <w:bookmarkEnd w:id="124"/>
    </w:p>
    <w:p w14:paraId="2C437116" w14:textId="77777777" w:rsidR="002C3ABF" w:rsidRPr="00F631FB" w:rsidRDefault="002C3ABF" w:rsidP="002C3AB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F631FB">
        <w:rPr>
          <w:rFonts w:ascii="Arial" w:eastAsia="仿宋_GB2312" w:hAnsi="Arial" w:cs="Arial"/>
          <w:sz w:val="28"/>
          <w:szCs w:val="28"/>
        </w:rPr>
        <w:t>,</w:t>
      </w:r>
      <w:r w:rsidRPr="00F631FB">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F631FB">
        <w:rPr>
          <w:rFonts w:ascii="Arial" w:eastAsia="仿宋_GB2312" w:hAnsi="Arial" w:cs="Arial"/>
          <w:sz w:val="28"/>
          <w:szCs w:val="28"/>
        </w:rPr>
        <w:t xml:space="preserve">: </w:t>
      </w:r>
      <w:r w:rsidRPr="00F631FB">
        <w:rPr>
          <w:rFonts w:ascii="Arial" w:eastAsia="仿宋_GB2312" w:hAnsi="Arial" w:cs="Arial"/>
          <w:sz w:val="28"/>
          <w:szCs w:val="28"/>
        </w:rPr>
        <w:t>替代原则、最有效利用原则、预期收益原则、供需原则、贡献原则、价值主导原则、审慎原则、公开市场原则等。</w:t>
      </w:r>
    </w:p>
    <w:p w14:paraId="3256293E"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1.</w:t>
      </w:r>
      <w:r w:rsidRPr="00F631FB">
        <w:rPr>
          <w:rFonts w:ascii="Arial" w:eastAsia="仿宋_GB2312" w:hAnsi="Arial" w:cs="Arial"/>
          <w:sz w:val="28"/>
        </w:rPr>
        <w:t>替代原则</w:t>
      </w:r>
    </w:p>
    <w:p w14:paraId="2E78F79B" w14:textId="77777777" w:rsidR="002C3ABF" w:rsidRPr="00F631FB" w:rsidRDefault="002C3ABF" w:rsidP="002C3AB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1BFC51B"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64F987CE"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替代原则可以概括为三点：（</w:t>
      </w:r>
      <w:r w:rsidRPr="00F631FB">
        <w:rPr>
          <w:rFonts w:ascii="Arial" w:eastAsia="仿宋_GB2312" w:hAnsi="Arial" w:cs="Arial"/>
          <w:sz w:val="28"/>
          <w:szCs w:val="28"/>
        </w:rPr>
        <w:t>1</w:t>
      </w:r>
      <w:r w:rsidRPr="00F631FB">
        <w:rPr>
          <w:rFonts w:ascii="Arial" w:eastAsia="仿宋_GB2312" w:hAnsi="Arial" w:cs="Arial"/>
          <w:sz w:val="28"/>
          <w:szCs w:val="28"/>
        </w:rPr>
        <w:t>）土地价格水平由具有相同性质的替代</w:t>
      </w:r>
      <w:proofErr w:type="gramStart"/>
      <w:r w:rsidRPr="00F631FB">
        <w:rPr>
          <w:rFonts w:ascii="Arial" w:eastAsia="仿宋_GB2312" w:hAnsi="Arial" w:cs="Arial"/>
          <w:sz w:val="28"/>
          <w:szCs w:val="28"/>
        </w:rPr>
        <w:t>性土地</w:t>
      </w:r>
      <w:proofErr w:type="gramEnd"/>
      <w:r w:rsidRPr="00F631FB">
        <w:rPr>
          <w:rFonts w:ascii="Arial" w:eastAsia="仿宋_GB2312" w:hAnsi="Arial" w:cs="Arial"/>
          <w:sz w:val="28"/>
          <w:szCs w:val="28"/>
        </w:rPr>
        <w:t>的价格所决定；（</w:t>
      </w:r>
      <w:r w:rsidRPr="00F631FB">
        <w:rPr>
          <w:rFonts w:ascii="Arial" w:eastAsia="仿宋_GB2312" w:hAnsi="Arial" w:cs="Arial"/>
          <w:sz w:val="28"/>
          <w:szCs w:val="28"/>
        </w:rPr>
        <w:t>2</w:t>
      </w:r>
      <w:r w:rsidRPr="00F631FB">
        <w:rPr>
          <w:rFonts w:ascii="Arial" w:eastAsia="仿宋_GB2312" w:hAnsi="Arial" w:cs="Arial"/>
          <w:sz w:val="28"/>
          <w:szCs w:val="28"/>
        </w:rPr>
        <w:t>）土地价格水平是由最了解行情的买卖者按市场交易实例相互比较后决定；（</w:t>
      </w:r>
      <w:r w:rsidRPr="00F631FB">
        <w:rPr>
          <w:rFonts w:ascii="Arial" w:eastAsia="仿宋_GB2312" w:hAnsi="Arial" w:cs="Arial"/>
          <w:sz w:val="28"/>
          <w:szCs w:val="28"/>
        </w:rPr>
        <w:t>3</w:t>
      </w:r>
      <w:r w:rsidRPr="00F631FB">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3DBD25C"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替代原则的适用范围广，是本次估价市场比较法、基准地价系数修正法、剩余法中嵌套的市场比较法的理论基础。</w:t>
      </w:r>
    </w:p>
    <w:p w14:paraId="3321FC2C"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最有效利用原则</w:t>
      </w:r>
    </w:p>
    <w:p w14:paraId="39D3FB47" w14:textId="6C941447" w:rsidR="002C3ABF" w:rsidRPr="00F631FB" w:rsidRDefault="006C1DB6" w:rsidP="00771E24">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Arial" w:eastAsia="仿宋_GB2312" w:hAnsi="Arial" w:cs="Arial" w:hint="eastAsia"/>
          <w:sz w:val="28"/>
          <w:szCs w:val="28"/>
        </w:rPr>
        <w:t>估价对象拟办理招标出让手续，</w:t>
      </w:r>
      <w:r>
        <w:rPr>
          <w:rFonts w:ascii="Arial" w:eastAsia="仿宋_GB2312" w:hAnsi="Arial" w:cs="Arial" w:hint="eastAsia"/>
          <w:sz w:val="28"/>
        </w:rPr>
        <w:t>本次评估以设定规划条件符合最有效使用原则为前提。</w:t>
      </w:r>
    </w:p>
    <w:p w14:paraId="145B9DB9"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3.</w:t>
      </w:r>
      <w:r w:rsidRPr="00F631FB">
        <w:rPr>
          <w:rFonts w:ascii="Arial" w:eastAsia="仿宋_GB2312" w:hAnsi="Arial" w:cs="Arial"/>
          <w:sz w:val="28"/>
        </w:rPr>
        <w:t>预期收益原则</w:t>
      </w:r>
    </w:p>
    <w:p w14:paraId="19BE8E43"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F631FB">
        <w:rPr>
          <w:rFonts w:ascii="Arial" w:eastAsia="仿宋_GB2312" w:hAnsi="Arial" w:cs="Arial"/>
          <w:sz w:val="28"/>
        </w:rPr>
        <w:t>以待估宗地</w:t>
      </w:r>
      <w:proofErr w:type="gramEnd"/>
      <w:r w:rsidRPr="00F631FB">
        <w:rPr>
          <w:rFonts w:ascii="Arial" w:eastAsia="仿宋_GB2312" w:hAnsi="Arial" w:cs="Arial"/>
          <w:sz w:val="28"/>
        </w:rPr>
        <w:t>在正常利用条件下的未来客观有效的预期收益。本次评估在运用剩余法计算估价对象土地价格时，就是以该原则为原理。</w:t>
      </w:r>
    </w:p>
    <w:p w14:paraId="3E6461D4"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供需原则</w:t>
      </w:r>
    </w:p>
    <w:p w14:paraId="2C09D26A" w14:textId="5015F261"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D152B3">
        <w:rPr>
          <w:rFonts w:ascii="Arial" w:eastAsia="仿宋_GB2312" w:hAnsi="Arial" w:cs="Arial"/>
          <w:sz w:val="28"/>
        </w:rPr>
        <w:t>海淀区苏州街</w:t>
      </w:r>
      <w:r w:rsidRPr="00F631FB">
        <w:rPr>
          <w:rFonts w:ascii="Arial" w:eastAsia="仿宋_GB2312" w:hAnsi="Arial" w:cs="Arial"/>
          <w:sz w:val="28"/>
        </w:rPr>
        <w:t>，土地用途为</w:t>
      </w:r>
      <w:r w:rsidR="008E4F13">
        <w:rPr>
          <w:rFonts w:ascii="Arial" w:eastAsia="仿宋_GB2312" w:hAnsi="Arial" w:cs="Arial"/>
          <w:sz w:val="28"/>
        </w:rPr>
        <w:t>住宅、商业、办公、地下办公、地下车库</w:t>
      </w:r>
      <w:r w:rsidRPr="00F631FB">
        <w:rPr>
          <w:rFonts w:ascii="Arial" w:eastAsia="仿宋_GB2312" w:hAnsi="Arial" w:cs="Arial"/>
          <w:sz w:val="28"/>
        </w:rPr>
        <w:t>，土地性质为出让国有建设用地使用权。估价对象所处区域内土地资产存在较大增值潜力。评估中剩余法的运用主要考虑此项原则。</w:t>
      </w:r>
    </w:p>
    <w:p w14:paraId="0FDA0287"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贡献原则</w:t>
      </w:r>
    </w:p>
    <w:p w14:paraId="399FBC9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40132554"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6.</w:t>
      </w:r>
      <w:r w:rsidRPr="00F631FB">
        <w:rPr>
          <w:rFonts w:ascii="Arial" w:eastAsia="仿宋_GB2312" w:hAnsi="Arial" w:cs="Arial"/>
          <w:sz w:val="28"/>
          <w:szCs w:val="28"/>
        </w:rPr>
        <w:t>价值主导原则</w:t>
      </w:r>
    </w:p>
    <w:p w14:paraId="398BE900"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lastRenderedPageBreak/>
        <w:t>价值主导原则是指</w:t>
      </w:r>
      <w:r w:rsidRPr="00F631FB">
        <w:rPr>
          <w:rFonts w:ascii="Arial" w:eastAsia="仿宋_GB2312" w:hAnsi="Arial" w:cs="Arial"/>
          <w:sz w:val="28"/>
        </w:rPr>
        <w:t>土地</w:t>
      </w:r>
      <w:r w:rsidRPr="00F631FB">
        <w:rPr>
          <w:rFonts w:ascii="Arial" w:eastAsia="仿宋_GB2312" w:hAnsi="Arial" w:cs="Arial"/>
          <w:sz w:val="28"/>
          <w:szCs w:val="28"/>
        </w:rPr>
        <w:t>综合质量优劣是对土地价格产生影响的主要因素。</w:t>
      </w:r>
    </w:p>
    <w:p w14:paraId="4776648A"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3FBDD2C" w14:textId="1A9EBC8D"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估价对象位于</w:t>
      </w:r>
      <w:r w:rsidR="00D152B3">
        <w:rPr>
          <w:rFonts w:ascii="Arial" w:eastAsia="仿宋_GB2312" w:hAnsi="Arial" w:cs="Arial" w:hint="eastAsia"/>
          <w:sz w:val="28"/>
          <w:szCs w:val="28"/>
        </w:rPr>
        <w:t>北京市海淀区海淀南路</w:t>
      </w:r>
      <w:r w:rsidR="00D152B3">
        <w:rPr>
          <w:rFonts w:ascii="Arial" w:eastAsia="仿宋_GB2312" w:hAnsi="Arial" w:cs="Arial" w:hint="eastAsia"/>
          <w:sz w:val="28"/>
          <w:szCs w:val="28"/>
        </w:rPr>
        <w:t>12</w:t>
      </w:r>
      <w:r w:rsidR="00D152B3">
        <w:rPr>
          <w:rFonts w:ascii="Arial" w:eastAsia="仿宋_GB2312" w:hAnsi="Arial" w:cs="Arial" w:hint="eastAsia"/>
          <w:sz w:val="28"/>
          <w:szCs w:val="28"/>
        </w:rPr>
        <w:t>号院</w:t>
      </w:r>
      <w:r w:rsidRPr="00F631FB">
        <w:rPr>
          <w:rFonts w:ascii="Arial" w:eastAsia="仿宋_GB2312" w:hAnsi="Arial" w:cs="Arial"/>
          <w:sz w:val="28"/>
          <w:szCs w:val="28"/>
        </w:rPr>
        <w:t>，属于</w:t>
      </w:r>
      <w:r w:rsidRPr="00F631FB">
        <w:rPr>
          <w:rFonts w:ascii="Arial" w:eastAsia="仿宋_GB2312" w:hAnsi="Arial" w:cs="Arial" w:hint="eastAsia"/>
          <w:sz w:val="28"/>
          <w:szCs w:val="28"/>
        </w:rPr>
        <w:t>居住类</w:t>
      </w:r>
      <w:r w:rsidR="00D152B3">
        <w:rPr>
          <w:rFonts w:ascii="Arial" w:eastAsia="仿宋_GB2312" w:hAnsi="Arial" w:cs="Arial"/>
          <w:sz w:val="28"/>
          <w:szCs w:val="28"/>
        </w:rPr>
        <w:t>二</w:t>
      </w:r>
      <w:r w:rsidR="00D152B3">
        <w:rPr>
          <w:rFonts w:ascii="Arial" w:eastAsia="仿宋_GB2312" w:hAnsi="Arial" w:cs="Arial" w:hint="eastAsia"/>
          <w:sz w:val="28"/>
          <w:szCs w:val="28"/>
        </w:rPr>
        <w:t>级地价</w:t>
      </w:r>
      <w:r w:rsidR="00D152B3" w:rsidRPr="00F631FB">
        <w:rPr>
          <w:rFonts w:ascii="Arial" w:eastAsia="仿宋_GB2312" w:hAnsi="Arial" w:cs="Arial"/>
          <w:sz w:val="28"/>
          <w:szCs w:val="28"/>
        </w:rPr>
        <w:t>区</w:t>
      </w:r>
      <w:r w:rsidRPr="00F631FB">
        <w:rPr>
          <w:rFonts w:ascii="Arial" w:eastAsia="仿宋_GB2312" w:hAnsi="Arial" w:cs="Arial" w:hint="eastAsia"/>
          <w:sz w:val="28"/>
          <w:szCs w:val="28"/>
        </w:rPr>
        <w:t>、</w:t>
      </w:r>
      <w:r w:rsidRPr="00F631FB">
        <w:rPr>
          <w:rFonts w:ascii="Arial" w:eastAsia="仿宋_GB2312" w:hAnsi="Arial" w:cs="Arial"/>
          <w:sz w:val="28"/>
          <w:szCs w:val="28"/>
        </w:rPr>
        <w:t>商业类</w:t>
      </w:r>
      <w:r w:rsidR="00D152B3">
        <w:rPr>
          <w:rFonts w:ascii="Arial" w:eastAsia="仿宋_GB2312" w:hAnsi="Arial" w:cs="Arial" w:hint="eastAsia"/>
          <w:sz w:val="28"/>
          <w:szCs w:val="28"/>
        </w:rPr>
        <w:t>三级地价区</w:t>
      </w:r>
      <w:r w:rsidRPr="00F631FB">
        <w:rPr>
          <w:rFonts w:ascii="Arial" w:eastAsia="仿宋_GB2312" w:hAnsi="Arial" w:cs="Arial"/>
          <w:sz w:val="28"/>
          <w:szCs w:val="28"/>
        </w:rPr>
        <w:t>及办公类</w:t>
      </w:r>
      <w:r w:rsidR="00D152B3">
        <w:rPr>
          <w:rFonts w:ascii="Arial" w:eastAsia="仿宋_GB2312" w:hAnsi="Arial" w:cs="Arial"/>
          <w:sz w:val="28"/>
          <w:szCs w:val="28"/>
        </w:rPr>
        <w:t>二</w:t>
      </w:r>
      <w:r w:rsidR="00D152B3">
        <w:rPr>
          <w:rFonts w:ascii="Arial" w:eastAsia="仿宋_GB2312" w:hAnsi="Arial" w:cs="Arial" w:hint="eastAsia"/>
          <w:sz w:val="28"/>
          <w:szCs w:val="28"/>
        </w:rPr>
        <w:t>级地价</w:t>
      </w:r>
      <w:r w:rsidR="00D152B3" w:rsidRPr="00F631FB">
        <w:rPr>
          <w:rFonts w:ascii="Arial" w:eastAsia="仿宋_GB2312" w:hAnsi="Arial" w:cs="Arial"/>
          <w:sz w:val="28"/>
          <w:szCs w:val="28"/>
        </w:rPr>
        <w:t>区</w:t>
      </w:r>
      <w:r w:rsidRPr="00F631FB">
        <w:rPr>
          <w:rFonts w:ascii="Arial" w:eastAsia="仿宋_GB2312" w:hAnsi="Arial" w:cs="Arial"/>
          <w:sz w:val="28"/>
          <w:szCs w:val="28"/>
        </w:rPr>
        <w:t>，估价中评估专业人员是根据现场查勘，并依据《城镇土地分等定级规程》对估价对象进行综合判断。</w:t>
      </w:r>
    </w:p>
    <w:p w14:paraId="1060AF10"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7.</w:t>
      </w:r>
      <w:r w:rsidRPr="00F631FB">
        <w:rPr>
          <w:rFonts w:ascii="Arial" w:eastAsia="仿宋_GB2312" w:hAnsi="Arial" w:cs="Arial"/>
          <w:sz w:val="28"/>
          <w:szCs w:val="28"/>
        </w:rPr>
        <w:t>审慎原则</w:t>
      </w:r>
      <w:r w:rsidRPr="00F631FB">
        <w:rPr>
          <w:rFonts w:ascii="Arial" w:eastAsia="仿宋_GB2312" w:hAnsi="Arial" w:cs="Arial"/>
          <w:sz w:val="28"/>
          <w:szCs w:val="28"/>
        </w:rPr>
        <w:t xml:space="preserve"> </w:t>
      </w:r>
    </w:p>
    <w:p w14:paraId="6828B6A0"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F631FB">
        <w:rPr>
          <w:rFonts w:ascii="Arial" w:eastAsia="仿宋_GB2312" w:hAnsi="Arial" w:cs="Arial"/>
          <w:sz w:val="28"/>
          <w:szCs w:val="28"/>
        </w:rPr>
        <w:t>不</w:t>
      </w:r>
      <w:proofErr w:type="gramEnd"/>
      <w:r w:rsidRPr="00F631FB">
        <w:rPr>
          <w:rFonts w:ascii="Arial" w:eastAsia="仿宋_GB2312" w:hAnsi="Arial" w:cs="Arial"/>
          <w:sz w:val="28"/>
          <w:szCs w:val="28"/>
        </w:rPr>
        <w:t>高估也不低估估价对象的价值。</w:t>
      </w:r>
    </w:p>
    <w:p w14:paraId="7CF312B4"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42189E4"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8.</w:t>
      </w:r>
      <w:r w:rsidRPr="00F631FB">
        <w:rPr>
          <w:rFonts w:ascii="Arial" w:eastAsia="仿宋_GB2312" w:hAnsi="Arial" w:cs="Arial"/>
          <w:sz w:val="28"/>
          <w:szCs w:val="28"/>
        </w:rPr>
        <w:t>公开市场原则</w:t>
      </w:r>
    </w:p>
    <w:p w14:paraId="65B3A51A"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公开市场原则是指评估结果在公平、公正、公开的土地市场上可实现。</w:t>
      </w:r>
    </w:p>
    <w:p w14:paraId="37D1B5E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033C487F"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（二）估价方法</w:t>
      </w:r>
    </w:p>
    <w:p w14:paraId="3AB5E0F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 xml:space="preserve">1. </w:t>
      </w:r>
      <w:r w:rsidRPr="00F631FB">
        <w:rPr>
          <w:rFonts w:ascii="Arial" w:eastAsia="仿宋_GB2312" w:hAnsi="Arial" w:cs="Arial"/>
          <w:sz w:val="28"/>
        </w:rPr>
        <w:t>估价技术思路</w:t>
      </w:r>
    </w:p>
    <w:p w14:paraId="6E85343C" w14:textId="77777777" w:rsidR="002C3ABF" w:rsidRPr="00F631FB" w:rsidRDefault="002C3ABF" w:rsidP="002C3ABF">
      <w:pPr>
        <w:snapToGrid w:val="0"/>
        <w:spacing w:line="360" w:lineRule="auto"/>
        <w:ind w:firstLine="556"/>
        <w:rPr>
          <w:rFonts w:ascii="Arial" w:eastAsia="仿宋_GB2312" w:hAnsi="Arial" w:cs="Arial"/>
          <w:sz w:val="28"/>
          <w:szCs w:val="28"/>
        </w:rPr>
      </w:pPr>
      <w:r w:rsidRPr="00F631FB">
        <w:rPr>
          <w:rFonts w:ascii="Arial" w:eastAsia="仿宋_GB2312" w:hAnsi="Arial" w:cs="Arial"/>
          <w:sz w:val="28"/>
          <w:szCs w:val="28"/>
        </w:rPr>
        <w:t>本次出让地价评估是指土地估价师按照规定的程序和方法，参照北京市</w:t>
      </w:r>
      <w:r w:rsidRPr="00F631FB">
        <w:rPr>
          <w:rFonts w:ascii="Arial" w:eastAsia="仿宋_GB2312" w:hAnsi="Arial" w:cs="Arial"/>
          <w:sz w:val="28"/>
          <w:szCs w:val="28"/>
        </w:rPr>
        <w:lastRenderedPageBreak/>
        <w:t>正常土地市场价格水平，评估拟出让宗地熟地价（出让土地使用权的正常市场价格）和政府土地出让收益。评估两种价格的具体分析如下：</w:t>
      </w:r>
    </w:p>
    <w:p w14:paraId="0731C8FA"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首先需根据《城镇土地估价规程》</w:t>
      </w:r>
      <w:r w:rsidRPr="00F631FB">
        <w:rPr>
          <w:rFonts w:ascii="Arial" w:eastAsia="仿宋_GB2312" w:hAnsi="Arial" w:cs="Arial"/>
          <w:sz w:val="28"/>
        </w:rPr>
        <w:t>[GB/T 18508-2014]</w:t>
      </w:r>
      <w:r w:rsidRPr="00F631FB">
        <w:rPr>
          <w:rFonts w:ascii="Arial" w:eastAsia="仿宋_GB2312" w:hAnsi="Arial" w:cs="Arial"/>
          <w:sz w:val="28"/>
          <w:szCs w:val="28"/>
        </w:rPr>
        <w:t>和</w:t>
      </w:r>
      <w:r w:rsidRPr="00F631FB">
        <w:rPr>
          <w:rFonts w:ascii="Arial" w:eastAsia="仿宋_GB2312" w:hAnsi="Arial" w:cs="Arial"/>
          <w:sz w:val="28"/>
        </w:rPr>
        <w:t>《国土资源部办公厅关于印发〈国有建设用地使用权出让地价评估技术规范〉的通知》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szCs w:val="28"/>
        </w:rPr>
        <w:t>的要求，评估出让土地使用权的正常市场价格（熟地价）。</w:t>
      </w:r>
    </w:p>
    <w:p w14:paraId="1BF7D6F2" w14:textId="5D0BCC2F"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28"/>
        </w:rPr>
        <w:t>其次，需根据《北京市关于更新出让国有建设用地使用权基准地价的通知》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和《关于印发北京市国有建设用地使用权出让地价评审暂行规定的通知》</w:t>
      </w:r>
      <w:r w:rsidRPr="00F631FB">
        <w:rPr>
          <w:rFonts w:ascii="Arial" w:eastAsia="仿宋_GB2312" w:hAnsi="Arial" w:cs="Arial"/>
          <w:sz w:val="28"/>
          <w:szCs w:val="28"/>
        </w:rPr>
        <w:t>[</w:t>
      </w:r>
      <w:r w:rsidRPr="00F631FB">
        <w:rPr>
          <w:rFonts w:ascii="Arial" w:eastAsia="仿宋_GB2312" w:hAnsi="Arial" w:cs="Arial"/>
          <w:sz w:val="28"/>
          <w:szCs w:val="28"/>
        </w:rPr>
        <w:t>京国土用（</w:t>
      </w:r>
      <w:r w:rsidRPr="00F631FB">
        <w:rPr>
          <w:rFonts w:ascii="Arial" w:eastAsia="仿宋_GB2312" w:hAnsi="Arial" w:cs="Arial"/>
          <w:sz w:val="28"/>
          <w:szCs w:val="28"/>
        </w:rPr>
        <w:t>2015</w:t>
      </w:r>
      <w:r w:rsidRPr="00F631FB">
        <w:rPr>
          <w:rFonts w:ascii="Arial" w:eastAsia="仿宋_GB2312" w:hAnsi="Arial" w:cs="Arial"/>
          <w:sz w:val="28"/>
          <w:szCs w:val="28"/>
        </w:rPr>
        <w:t>）</w:t>
      </w:r>
      <w:r w:rsidRPr="00F631FB">
        <w:rPr>
          <w:rFonts w:ascii="Arial" w:eastAsia="仿宋_GB2312" w:hAnsi="Arial" w:cs="Arial"/>
          <w:sz w:val="28"/>
          <w:szCs w:val="28"/>
        </w:rPr>
        <w:t>87</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F631FB">
        <w:rPr>
          <w:rFonts w:ascii="Arial" w:eastAsia="仿宋_GB2312" w:hAnsi="Arial" w:cs="Arial"/>
          <w:sz w:val="28"/>
          <w:szCs w:val="28"/>
        </w:rPr>
        <w:t>收益按楼面熟</w:t>
      </w:r>
      <w:proofErr w:type="gramEnd"/>
      <w:r w:rsidRPr="00F631FB">
        <w:rPr>
          <w:rFonts w:ascii="Arial" w:eastAsia="仿宋_GB2312" w:hAnsi="Arial" w:cs="Arial"/>
          <w:sz w:val="28"/>
          <w:szCs w:val="28"/>
        </w:rPr>
        <w:t>地价及相应土地用途的政府收益比例确定，</w:t>
      </w:r>
      <w:r w:rsidR="005E1306" w:rsidRPr="00F631FB">
        <w:rPr>
          <w:rFonts w:ascii="Arial" w:eastAsia="仿宋_GB2312" w:hAnsi="Arial" w:cs="Arial" w:hint="eastAsia"/>
          <w:sz w:val="28"/>
          <w:szCs w:val="28"/>
        </w:rPr>
        <w:t>住宅、</w:t>
      </w:r>
      <w:r w:rsidRPr="00F631FB">
        <w:rPr>
          <w:rFonts w:ascii="Arial" w:eastAsia="仿宋_GB2312" w:hAnsi="Arial" w:cs="Arial"/>
          <w:sz w:val="28"/>
          <w:szCs w:val="28"/>
        </w:rPr>
        <w:t>商业、办公、地下办公、地下</w:t>
      </w:r>
      <w:r w:rsidR="003E0F06" w:rsidRPr="00F631FB">
        <w:rPr>
          <w:rFonts w:ascii="Arial" w:eastAsia="仿宋_GB2312" w:hAnsi="Arial" w:cs="Arial" w:hint="eastAsia"/>
          <w:sz w:val="28"/>
          <w:szCs w:val="28"/>
        </w:rPr>
        <w:t>仓储</w:t>
      </w:r>
      <w:r w:rsidRPr="00F631FB">
        <w:rPr>
          <w:rFonts w:ascii="Arial" w:eastAsia="仿宋_GB2312" w:hAnsi="Arial" w:cs="Arial"/>
          <w:sz w:val="28"/>
          <w:szCs w:val="28"/>
        </w:rPr>
        <w:t>用途政府土地收益比例为</w:t>
      </w:r>
      <w:r w:rsidRPr="00F631FB">
        <w:rPr>
          <w:rFonts w:ascii="Arial" w:eastAsia="仿宋_GB2312" w:hAnsi="Arial" w:cs="Arial"/>
          <w:sz w:val="28"/>
          <w:szCs w:val="28"/>
        </w:rPr>
        <w:t>25%</w:t>
      </w:r>
      <w:r w:rsidRPr="00F631FB">
        <w:rPr>
          <w:rFonts w:ascii="Arial" w:eastAsia="仿宋_GB2312" w:hAnsi="Arial" w:cs="Arial"/>
          <w:sz w:val="28"/>
          <w:szCs w:val="28"/>
        </w:rPr>
        <w:t>。</w:t>
      </w:r>
    </w:p>
    <w:p w14:paraId="0DFDB74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方法选择</w:t>
      </w:r>
    </w:p>
    <w:p w14:paraId="596C6BC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根据《城镇土地估价规程》</w:t>
      </w:r>
      <w:r w:rsidRPr="00F631FB">
        <w:rPr>
          <w:rFonts w:ascii="Arial" w:eastAsia="仿宋_GB2312" w:hAnsi="Arial" w:cs="Arial"/>
          <w:sz w:val="28"/>
        </w:rPr>
        <w:t>[GB/T18508-2014]</w:t>
      </w:r>
      <w:r w:rsidRPr="00F631FB">
        <w:rPr>
          <w:rFonts w:ascii="Arial" w:eastAsia="仿宋_GB2312" w:hAnsi="Arial" w:cs="Arial"/>
          <w:sz w:val="28"/>
        </w:rPr>
        <w:t>，估价方法通常有剩余法、基准地价系数修正法、成本逼近法、收益还原法及市场比较法共五种估价方法。</w:t>
      </w:r>
    </w:p>
    <w:p w14:paraId="2F6F23A8"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F631FB">
        <w:rPr>
          <w:rFonts w:ascii="Arial" w:eastAsia="仿宋_GB2312" w:hAnsi="Arial" w:cs="Arial"/>
          <w:sz w:val="28"/>
        </w:rPr>
        <w:t>评估专业人员根据估价对象的特点、实际情况以及估价目的，对上述估价方法分析如下：</w:t>
      </w:r>
    </w:p>
    <w:p w14:paraId="55B7BB9F"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）剩余法：剩余法适用于具有投资开发或再开发潜力的土地估价。允许运用于以下情形：</w:t>
      </w:r>
      <w:r w:rsidRPr="00F631FB">
        <w:rPr>
          <w:rFonts w:hAnsi="宋体" w:cs="宋体" w:hint="eastAsia"/>
          <w:sz w:val="28"/>
        </w:rPr>
        <w:t>①</w:t>
      </w:r>
      <w:r w:rsidRPr="00F631FB">
        <w:rPr>
          <w:rFonts w:ascii="Arial" w:eastAsia="仿宋_GB2312" w:hAnsi="Arial" w:cs="Arial"/>
          <w:sz w:val="28"/>
        </w:rPr>
        <w:t>待开发房地产或待拆迁改造后再开发房地产的土地估价；</w:t>
      </w:r>
      <w:r w:rsidRPr="00F631FB">
        <w:rPr>
          <w:rFonts w:hAnsi="宋体" w:cs="宋体" w:hint="eastAsia"/>
          <w:sz w:val="28"/>
        </w:rPr>
        <w:t>②</w:t>
      </w:r>
      <w:r w:rsidRPr="00F631FB">
        <w:rPr>
          <w:rFonts w:ascii="Arial" w:eastAsia="仿宋_GB2312" w:hAnsi="Arial" w:cs="Arial"/>
          <w:sz w:val="28"/>
        </w:rPr>
        <w:t>仅将土地开发整理成可供直接利用的土地估价；</w:t>
      </w:r>
      <w:r w:rsidRPr="00F631FB">
        <w:rPr>
          <w:rFonts w:hAnsi="宋体" w:cs="宋体" w:hint="eastAsia"/>
          <w:sz w:val="28"/>
        </w:rPr>
        <w:t>③</w:t>
      </w:r>
      <w:r w:rsidRPr="00F631FB">
        <w:rPr>
          <w:rFonts w:ascii="Arial" w:eastAsia="仿宋_GB2312" w:hAnsi="Arial" w:cs="Arial"/>
          <w:sz w:val="28"/>
        </w:rPr>
        <w:t>现有房地产中地价的单独评估。此次</w:t>
      </w:r>
      <w:proofErr w:type="gramStart"/>
      <w:r w:rsidRPr="00F631FB">
        <w:rPr>
          <w:rFonts w:ascii="Arial" w:eastAsia="仿宋_GB2312" w:hAnsi="Arial" w:cs="Arial"/>
          <w:sz w:val="28"/>
        </w:rPr>
        <w:t>估价按</w:t>
      </w:r>
      <w:proofErr w:type="gramEnd"/>
      <w:r w:rsidRPr="00F631FB">
        <w:rPr>
          <w:rFonts w:ascii="Arial" w:eastAsia="仿宋_GB2312" w:hAnsi="Arial" w:cs="Arial"/>
          <w:sz w:val="28"/>
        </w:rPr>
        <w:t>待开发土地的价格进行评估，符合剩余法的适用条件，故可采用剩余法估算估价对象的熟地价。</w:t>
      </w:r>
    </w:p>
    <w:p w14:paraId="04A5A991"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）基准地价系数修正法：</w:t>
      </w:r>
      <w:r w:rsidRPr="00F631FB">
        <w:rPr>
          <w:rFonts w:ascii="Arial" w:eastAsia="仿宋_GB2312" w:hAnsi="Arial" w:cs="Arial"/>
          <w:sz w:val="28"/>
          <w:szCs w:val="28"/>
        </w:rPr>
        <w:t>估价对象位于北京市基准地价覆盖区，符合基准地价的适用范围和条件。《北京市关于更新出让国有建设用地使用权基</w:t>
      </w:r>
      <w:r w:rsidRPr="00F631FB">
        <w:rPr>
          <w:rFonts w:ascii="Arial" w:eastAsia="仿宋_GB2312" w:hAnsi="Arial" w:cs="Arial"/>
          <w:sz w:val="28"/>
          <w:szCs w:val="28"/>
        </w:rPr>
        <w:lastRenderedPageBreak/>
        <w:t>准地价的通知》</w:t>
      </w:r>
      <w:r w:rsidRPr="00F631FB">
        <w:rPr>
          <w:rFonts w:ascii="Arial" w:eastAsia="仿宋_GB2312" w:hAnsi="Arial" w:cs="Arial"/>
          <w:sz w:val="28"/>
          <w:szCs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公布于</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28</w:t>
      </w:r>
      <w:r w:rsidRPr="00F631FB">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6266DB3E"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1EF5C2E0" w14:textId="6B941C9C"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）收益还原法适用于有现实收益或潜在收益的土地或不动产估价。估价对象所在区域内新建</w:t>
      </w:r>
      <w:r w:rsidR="005E1306" w:rsidRPr="00F631FB">
        <w:rPr>
          <w:rFonts w:ascii="Arial" w:eastAsia="仿宋_GB2312" w:hAnsi="Arial" w:cs="Arial" w:hint="eastAsia"/>
          <w:sz w:val="28"/>
        </w:rPr>
        <w:t>住宅、</w:t>
      </w:r>
      <w:r w:rsidRPr="00F631FB">
        <w:rPr>
          <w:rFonts w:ascii="Arial" w:eastAsia="仿宋_GB2312" w:hAnsi="Arial" w:cs="Arial"/>
          <w:sz w:val="28"/>
        </w:rPr>
        <w:t>商业、办公、地下办公、地下</w:t>
      </w:r>
      <w:r w:rsidR="00120D84">
        <w:rPr>
          <w:rFonts w:ascii="Arial" w:eastAsia="仿宋_GB2312" w:hAnsi="Arial" w:cs="Arial" w:hint="eastAsia"/>
          <w:sz w:val="28"/>
        </w:rPr>
        <w:t>车库</w:t>
      </w:r>
      <w:r w:rsidRPr="00F631FB">
        <w:rPr>
          <w:rFonts w:ascii="Arial" w:eastAsia="仿宋_GB2312" w:hAnsi="Arial" w:cs="Arial"/>
          <w:sz w:val="28"/>
        </w:rPr>
        <w:t>类物业基本以销售或自营为主，开发商</w:t>
      </w:r>
      <w:proofErr w:type="gramStart"/>
      <w:r w:rsidRPr="00F631FB">
        <w:rPr>
          <w:rFonts w:ascii="Arial" w:eastAsia="仿宋_GB2312" w:hAnsi="Arial" w:cs="Arial"/>
          <w:sz w:val="28"/>
        </w:rPr>
        <w:t>自持</w:t>
      </w:r>
      <w:proofErr w:type="gramEnd"/>
      <w:r w:rsidRPr="00F631FB">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5541CDB0" w14:textId="6EECD86B"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）市场比较法：市场比较法主要用于土地市场发达，有充足的具有替代性的土地交易实例的地区。估价对象为</w:t>
      </w:r>
      <w:r w:rsidR="009F133A">
        <w:rPr>
          <w:rFonts w:ascii="Arial" w:eastAsia="仿宋_GB2312" w:hAnsi="Arial" w:cs="Arial" w:hint="eastAsia"/>
          <w:sz w:val="28"/>
        </w:rPr>
        <w:t>办理</w:t>
      </w:r>
      <w:r w:rsidRPr="00F631FB">
        <w:rPr>
          <w:rFonts w:ascii="Arial" w:eastAsia="仿宋_GB2312" w:hAnsi="Arial" w:cs="Arial"/>
          <w:sz w:val="28"/>
        </w:rPr>
        <w:t>出让</w:t>
      </w:r>
      <w:r w:rsidR="009F133A">
        <w:rPr>
          <w:rFonts w:ascii="Arial" w:eastAsia="仿宋_GB2312" w:hAnsi="Arial" w:cs="Arial" w:hint="eastAsia"/>
          <w:sz w:val="28"/>
        </w:rPr>
        <w:t>手续</w:t>
      </w:r>
      <w:r w:rsidRPr="00F631FB">
        <w:rPr>
          <w:rFonts w:ascii="Arial" w:eastAsia="仿宋_GB2312" w:hAnsi="Arial" w:cs="Arial"/>
          <w:sz w:val="28"/>
        </w:rPr>
        <w:t>项目，本市已有多宗</w:t>
      </w:r>
      <w:r w:rsidRPr="00F631FB">
        <w:rPr>
          <w:rFonts w:ascii="Arial" w:eastAsia="仿宋_GB2312" w:hAnsi="Arial" w:cs="Arial" w:hint="eastAsia"/>
          <w:sz w:val="28"/>
        </w:rPr>
        <w:t>商业、办公用途</w:t>
      </w:r>
      <w:r w:rsidRPr="00F631FB">
        <w:rPr>
          <w:rFonts w:ascii="Arial" w:eastAsia="仿宋_GB2312" w:hAnsi="Arial" w:cs="Arial"/>
          <w:sz w:val="28"/>
        </w:rPr>
        <w:t>经过审定的</w:t>
      </w:r>
      <w:r w:rsidR="00E906EE">
        <w:rPr>
          <w:rFonts w:ascii="Arial" w:eastAsia="仿宋_GB2312" w:hAnsi="Arial" w:cs="Arial" w:hint="eastAsia"/>
          <w:sz w:val="28"/>
        </w:rPr>
        <w:t>招标</w:t>
      </w:r>
      <w:r w:rsidRPr="00F631FB">
        <w:rPr>
          <w:rFonts w:ascii="Arial" w:eastAsia="仿宋_GB2312" w:hAnsi="Arial" w:cs="Arial"/>
          <w:sz w:val="28"/>
        </w:rPr>
        <w:t>出让的经营性建设用地，满足市场比较法的要求。</w:t>
      </w:r>
    </w:p>
    <w:p w14:paraId="587CA942" w14:textId="36518DA6" w:rsidR="002C3ABF" w:rsidRPr="00F631FB"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F631FB">
        <w:rPr>
          <w:rFonts w:ascii="Arial" w:eastAsia="仿宋_GB2312" w:hAnsi="Arial" w:cs="Arial"/>
          <w:sz w:val="28"/>
        </w:rPr>
        <w:t>综上所述，本次评估根据估价对象的特点和实际状况，采用剩余法、市场比较法和基准地价系数修正法三种方法</w:t>
      </w:r>
      <w:r w:rsidRPr="00F631FB">
        <w:rPr>
          <w:rFonts w:ascii="Arial" w:eastAsia="仿宋_GB2312" w:hAnsi="Arial" w:cs="Arial" w:hint="eastAsia"/>
          <w:sz w:val="28"/>
        </w:rPr>
        <w:t>对商业、办公用途</w:t>
      </w:r>
      <w:r w:rsidRPr="00F631FB">
        <w:rPr>
          <w:rFonts w:ascii="Arial" w:eastAsia="仿宋_GB2312" w:hAnsi="Arial" w:cs="Arial"/>
          <w:sz w:val="28"/>
        </w:rPr>
        <w:t>进行测算，采用剩余法和基准地价系数修正法</w:t>
      </w:r>
      <w:r w:rsidRPr="00F631FB">
        <w:rPr>
          <w:rFonts w:ascii="Arial" w:eastAsia="仿宋_GB2312" w:hAnsi="Arial" w:cs="Arial" w:hint="eastAsia"/>
          <w:sz w:val="28"/>
        </w:rPr>
        <w:t>两</w:t>
      </w:r>
      <w:r w:rsidRPr="00F631FB">
        <w:rPr>
          <w:rFonts w:ascii="Arial" w:eastAsia="仿宋_GB2312" w:hAnsi="Arial" w:cs="Arial"/>
          <w:sz w:val="28"/>
        </w:rPr>
        <w:t>种方法</w:t>
      </w:r>
      <w:r w:rsidRPr="00F631FB">
        <w:rPr>
          <w:rFonts w:ascii="Arial" w:eastAsia="仿宋_GB2312" w:hAnsi="Arial" w:cs="Arial" w:hint="eastAsia"/>
          <w:sz w:val="28"/>
        </w:rPr>
        <w:t>对居住用途</w:t>
      </w:r>
      <w:r w:rsidRPr="00F631FB">
        <w:rPr>
          <w:rFonts w:ascii="Arial" w:eastAsia="仿宋_GB2312" w:hAnsi="Arial" w:cs="Arial"/>
          <w:sz w:val="28"/>
        </w:rPr>
        <w:t>进行测算，其中剩余法中不动产开发完成后总价采用市场比较法求取，力求合理科学地评估出估价对</w:t>
      </w:r>
      <w:r w:rsidRPr="00F631FB">
        <w:rPr>
          <w:rFonts w:ascii="Arial" w:eastAsia="仿宋_GB2312" w:hAnsi="Arial" w:cs="Arial"/>
          <w:sz w:val="28"/>
        </w:rPr>
        <w:lastRenderedPageBreak/>
        <w:t>象的出让国有建设用地使用权价格；</w:t>
      </w:r>
      <w:r w:rsidRPr="00F631FB">
        <w:rPr>
          <w:rFonts w:ascii="Arial" w:eastAsia="仿宋_GB2312" w:hAnsi="Arial" w:cs="Arial" w:hint="eastAsia"/>
          <w:sz w:val="28"/>
        </w:rPr>
        <w:t>接着利用地下空间修正系数求取地下各用途</w:t>
      </w:r>
      <w:r w:rsidRPr="00F631FB">
        <w:rPr>
          <w:rFonts w:ascii="Arial" w:eastAsia="仿宋_GB2312" w:hAnsi="Arial" w:cs="Arial"/>
          <w:sz w:val="28"/>
        </w:rPr>
        <w:t>的出让国有建设用地使用权价格</w:t>
      </w:r>
      <w:r w:rsidRPr="00F631FB">
        <w:rPr>
          <w:rFonts w:ascii="Arial" w:eastAsia="仿宋_GB2312" w:hAnsi="Arial" w:cs="Arial" w:hint="eastAsia"/>
          <w:sz w:val="28"/>
        </w:rPr>
        <w:t>；</w:t>
      </w:r>
      <w:r w:rsidRPr="00F631FB">
        <w:rPr>
          <w:rFonts w:ascii="Arial" w:eastAsia="仿宋_GB2312" w:hAnsi="Arial" w:cs="Arial"/>
          <w:sz w:val="28"/>
        </w:rPr>
        <w:t>然后再求取政府土地出让收益价格；最后对需</w:t>
      </w:r>
      <w:r w:rsidR="006C1DB6">
        <w:rPr>
          <w:rFonts w:ascii="Arial" w:eastAsia="仿宋_GB2312" w:hAnsi="Arial" w:cs="Arial" w:hint="eastAsia"/>
          <w:sz w:val="28"/>
        </w:rPr>
        <w:t>缴纳</w:t>
      </w:r>
      <w:r w:rsidRPr="00F631FB">
        <w:rPr>
          <w:rFonts w:ascii="Arial" w:eastAsia="仿宋_GB2312" w:hAnsi="Arial" w:cs="Arial"/>
          <w:sz w:val="28"/>
        </w:rPr>
        <w:t>的地价提出底价建议。</w:t>
      </w:r>
    </w:p>
    <w:p w14:paraId="41763E64" w14:textId="77777777" w:rsidR="002C3ABF" w:rsidRPr="00F631FB"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060DEB">
        <w:rPr>
          <w:rFonts w:ascii="Arial" w:eastAsia="仿宋_GB2312" w:hAnsi="Arial" w:cs="Arial"/>
          <w:sz w:val="28"/>
        </w:rPr>
        <w:t>3.</w:t>
      </w:r>
      <w:r w:rsidRPr="00060DEB">
        <w:rPr>
          <w:rFonts w:ascii="Arial" w:eastAsia="仿宋_GB2312" w:hAnsi="Arial" w:cs="Arial"/>
          <w:sz w:val="28"/>
        </w:rPr>
        <w:t>本次评估所采用的估价方法简述如下：</w:t>
      </w:r>
    </w:p>
    <w:p w14:paraId="70444E01"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）基准地价系数修正法</w:t>
      </w:r>
    </w:p>
    <w:p w14:paraId="077167BD"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基准地价系数修正法，是我国土地估价的方法之一。它是利用基准地价和基准地价修正系数表等成果，按照替代原则，</w:t>
      </w:r>
      <w:proofErr w:type="gramStart"/>
      <w:r w:rsidRPr="00F631FB">
        <w:rPr>
          <w:rFonts w:ascii="Arial" w:eastAsia="仿宋_GB2312" w:hAnsi="Arial" w:cs="Arial"/>
          <w:sz w:val="28"/>
          <w:szCs w:val="28"/>
        </w:rPr>
        <w:t>就待估宗地</w:t>
      </w:r>
      <w:proofErr w:type="gramEnd"/>
      <w:r w:rsidRPr="00F631FB">
        <w:rPr>
          <w:rFonts w:ascii="Arial" w:eastAsia="仿宋_GB2312" w:hAnsi="Arial" w:cs="Arial"/>
          <w:sz w:val="28"/>
          <w:szCs w:val="28"/>
        </w:rPr>
        <w:t>的区域条件和个别条件等与其所处区域的平均条件相比较，并对照修正系数表选取相应的修正系数对基准地价进行修正，进而</w:t>
      </w:r>
      <w:proofErr w:type="gramStart"/>
      <w:r w:rsidRPr="00F631FB">
        <w:rPr>
          <w:rFonts w:ascii="Arial" w:eastAsia="仿宋_GB2312" w:hAnsi="Arial" w:cs="Arial"/>
          <w:sz w:val="28"/>
          <w:szCs w:val="28"/>
        </w:rPr>
        <w:t>求取待估宗地</w:t>
      </w:r>
      <w:proofErr w:type="gramEnd"/>
      <w:r w:rsidRPr="00F631FB">
        <w:rPr>
          <w:rFonts w:ascii="Arial" w:eastAsia="仿宋_GB2312" w:hAnsi="Arial" w:cs="Arial"/>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w:t>
      </w:r>
      <w:proofErr w:type="gramStart"/>
      <w:r w:rsidRPr="00F631FB">
        <w:rPr>
          <w:rFonts w:ascii="Arial" w:eastAsia="仿宋_GB2312" w:hAnsi="Arial" w:cs="Arial"/>
          <w:sz w:val="28"/>
          <w:szCs w:val="28"/>
        </w:rPr>
        <w:t>通过待估宗地</w:t>
      </w:r>
      <w:proofErr w:type="gramEnd"/>
      <w:r w:rsidRPr="00F631FB">
        <w:rPr>
          <w:rFonts w:ascii="Arial" w:eastAsia="仿宋_GB2312" w:hAnsi="Arial" w:cs="Arial"/>
          <w:sz w:val="28"/>
          <w:szCs w:val="28"/>
        </w:rPr>
        <w:t>条件与级别或区域内同类用地一般条件的比较，并根据二者在区域条件、个别条件、使用年期和估价期日等方面的差异大小，对照因素修正系数表选取适宜的修正系数，对基准地价进行修正，即可</w:t>
      </w:r>
      <w:proofErr w:type="gramStart"/>
      <w:r w:rsidRPr="00F631FB">
        <w:rPr>
          <w:rFonts w:ascii="Arial" w:eastAsia="仿宋_GB2312" w:hAnsi="Arial" w:cs="Arial"/>
          <w:sz w:val="28"/>
          <w:szCs w:val="28"/>
        </w:rPr>
        <w:t>得到待估宗地</w:t>
      </w:r>
      <w:proofErr w:type="gramEnd"/>
      <w:r w:rsidRPr="00F631FB">
        <w:rPr>
          <w:rFonts w:ascii="Arial" w:eastAsia="仿宋_GB2312" w:hAnsi="Arial" w:cs="Arial"/>
          <w:sz w:val="28"/>
          <w:szCs w:val="28"/>
        </w:rPr>
        <w:t>地价。</w:t>
      </w:r>
    </w:p>
    <w:p w14:paraId="24A57C61"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2</w:t>
      </w:r>
      <w:r w:rsidRPr="00F631FB">
        <w:rPr>
          <w:rFonts w:ascii="Arial" w:eastAsia="仿宋_GB2312" w:hAnsi="Arial" w:cs="Arial"/>
          <w:sz w:val="28"/>
          <w:szCs w:val="28"/>
        </w:rPr>
        <w:t>）剩余法</w:t>
      </w:r>
    </w:p>
    <w:p w14:paraId="7BA149FC"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F631FB">
        <w:rPr>
          <w:rFonts w:ascii="宋体" w:hAnsi="宋体" w:cs="宋体" w:hint="eastAsia"/>
          <w:sz w:val="28"/>
        </w:rPr>
        <w:t>①</w:t>
      </w:r>
      <w:r w:rsidRPr="00F631FB">
        <w:rPr>
          <w:rFonts w:ascii="Arial" w:eastAsia="仿宋_GB2312" w:hAnsi="Arial" w:cs="Arial"/>
          <w:sz w:val="28"/>
        </w:rPr>
        <w:t>待开发房地产或待拆迁改造后再开发房地产的土地估价；</w:t>
      </w:r>
      <w:r w:rsidRPr="00F631FB">
        <w:rPr>
          <w:rFonts w:ascii="宋体" w:hAnsi="宋体" w:cs="宋体" w:hint="eastAsia"/>
          <w:sz w:val="28"/>
        </w:rPr>
        <w:t>②</w:t>
      </w:r>
      <w:r w:rsidRPr="00F631FB">
        <w:rPr>
          <w:rFonts w:ascii="Arial" w:eastAsia="仿宋_GB2312" w:hAnsi="Arial" w:cs="Arial"/>
          <w:sz w:val="28"/>
        </w:rPr>
        <w:t>仅将土地开发整理成可供直接利用的土地估价；</w:t>
      </w:r>
      <w:r w:rsidRPr="00F631FB">
        <w:rPr>
          <w:rFonts w:ascii="宋体" w:hAnsi="宋体" w:cs="宋体" w:hint="eastAsia"/>
          <w:sz w:val="28"/>
        </w:rPr>
        <w:t>③</w:t>
      </w:r>
      <w:r w:rsidRPr="00F631FB">
        <w:rPr>
          <w:rFonts w:ascii="Arial" w:eastAsia="仿宋_GB2312" w:hAnsi="Arial" w:cs="Arial"/>
          <w:sz w:val="28"/>
        </w:rPr>
        <w:t>现有房地产中地价的单独评估。</w:t>
      </w:r>
    </w:p>
    <w:p w14:paraId="75A043F3"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）评估待开发土地价格的公式为：</w:t>
      </w:r>
    </w:p>
    <w:p w14:paraId="205BC7C7" w14:textId="77777777" w:rsidR="002C3ABF" w:rsidRPr="00F631FB" w:rsidRDefault="002C3ABF" w:rsidP="002C3ABF">
      <w:pPr>
        <w:spacing w:line="360" w:lineRule="auto"/>
        <w:ind w:firstLineChars="200" w:firstLine="560"/>
        <w:rPr>
          <w:rFonts w:ascii="Arial" w:eastAsia="仿宋_GB2312" w:hAnsi="Arial" w:cs="Arial"/>
          <w:sz w:val="28"/>
        </w:rPr>
      </w:pPr>
      <w:proofErr w:type="gramStart"/>
      <w:r w:rsidRPr="00F631FB">
        <w:rPr>
          <w:rFonts w:ascii="Arial" w:eastAsia="仿宋_GB2312" w:hAnsi="Arial" w:cs="Arial"/>
          <w:sz w:val="28"/>
        </w:rPr>
        <w:lastRenderedPageBreak/>
        <w:t>待估宗地</w:t>
      </w:r>
      <w:proofErr w:type="gramEnd"/>
      <w:r w:rsidRPr="00F631FB">
        <w:rPr>
          <w:rFonts w:ascii="Arial" w:eastAsia="仿宋_GB2312" w:hAnsi="Arial" w:cs="Arial"/>
          <w:sz w:val="28"/>
        </w:rPr>
        <w:t>价格</w:t>
      </w:r>
      <w:r w:rsidRPr="00F631FB">
        <w:rPr>
          <w:rFonts w:ascii="Arial" w:eastAsia="仿宋_GB2312" w:hAnsi="Arial" w:cs="Arial"/>
          <w:sz w:val="28"/>
        </w:rPr>
        <w:t>=</w:t>
      </w:r>
      <w:r w:rsidRPr="00F631FB">
        <w:rPr>
          <w:rFonts w:ascii="Arial" w:eastAsia="仿宋_GB2312" w:hAnsi="Arial" w:cs="Arial"/>
          <w:sz w:val="28"/>
        </w:rPr>
        <w:t>不动产总价</w:t>
      </w:r>
      <w:r w:rsidRPr="00F631FB">
        <w:rPr>
          <w:rFonts w:ascii="Arial" w:eastAsia="仿宋_GB2312" w:hAnsi="Arial" w:cs="Arial"/>
          <w:sz w:val="28"/>
        </w:rPr>
        <w:t>-</w:t>
      </w:r>
      <w:r w:rsidRPr="00F631FB">
        <w:rPr>
          <w:rFonts w:ascii="Arial" w:eastAsia="仿宋_GB2312" w:hAnsi="Arial" w:cs="Arial"/>
          <w:sz w:val="28"/>
        </w:rPr>
        <w:t>开发项目整体的开发成本</w:t>
      </w:r>
      <w:r w:rsidRPr="00F631FB">
        <w:rPr>
          <w:rFonts w:ascii="Arial" w:eastAsia="仿宋_GB2312" w:hAnsi="Arial" w:cs="Arial"/>
          <w:sz w:val="28"/>
        </w:rPr>
        <w:t>-</w:t>
      </w:r>
      <w:r w:rsidRPr="00F631FB">
        <w:rPr>
          <w:rFonts w:ascii="Arial" w:eastAsia="仿宋_GB2312" w:hAnsi="Arial" w:cs="Arial"/>
          <w:sz w:val="28"/>
        </w:rPr>
        <w:t>客观开发利润</w:t>
      </w:r>
      <w:r w:rsidRPr="00F631FB">
        <w:rPr>
          <w:rFonts w:ascii="Arial" w:eastAsia="仿宋_GB2312" w:hAnsi="Arial" w:cs="Arial"/>
          <w:sz w:val="28"/>
        </w:rPr>
        <w:t xml:space="preserve">    </w:t>
      </w:r>
    </w:p>
    <w:p w14:paraId="7C0BD290"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）评估现有不动产中所含土地价格的公式为：</w:t>
      </w:r>
    </w:p>
    <w:p w14:paraId="6C99E422" w14:textId="77777777" w:rsidR="002C3ABF" w:rsidRPr="00F631FB" w:rsidRDefault="002C3ABF" w:rsidP="002C3ABF">
      <w:pPr>
        <w:spacing w:line="360" w:lineRule="auto"/>
        <w:ind w:firstLineChars="200" w:firstLine="560"/>
        <w:rPr>
          <w:rFonts w:ascii="Arial" w:eastAsia="仿宋_GB2312" w:hAnsi="Arial" w:cs="Arial"/>
          <w:sz w:val="28"/>
        </w:rPr>
      </w:pP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价格</w:t>
      </w:r>
      <w:r w:rsidRPr="00F631FB">
        <w:rPr>
          <w:rFonts w:ascii="Arial" w:eastAsia="仿宋_GB2312" w:hAnsi="Arial" w:cs="Arial"/>
          <w:sz w:val="28"/>
        </w:rPr>
        <w:t>=</w:t>
      </w:r>
      <w:r w:rsidRPr="00F631FB">
        <w:rPr>
          <w:rFonts w:ascii="Arial" w:eastAsia="仿宋_GB2312" w:hAnsi="Arial" w:cs="Arial"/>
          <w:sz w:val="28"/>
        </w:rPr>
        <w:t>不动产交易价格</w:t>
      </w:r>
      <w:r w:rsidRPr="00F631FB">
        <w:rPr>
          <w:rFonts w:ascii="Arial" w:eastAsia="仿宋_GB2312" w:hAnsi="Arial" w:cs="Arial"/>
          <w:sz w:val="28"/>
        </w:rPr>
        <w:t>-</w:t>
      </w:r>
      <w:r w:rsidRPr="00F631FB">
        <w:rPr>
          <w:rFonts w:ascii="Arial" w:eastAsia="仿宋_GB2312" w:hAnsi="Arial" w:cs="Arial"/>
          <w:sz w:val="28"/>
        </w:rPr>
        <w:t>房屋现值</w:t>
      </w:r>
      <w:r w:rsidRPr="00F631FB">
        <w:rPr>
          <w:rFonts w:ascii="Arial" w:eastAsia="仿宋_GB2312" w:hAnsi="Arial" w:cs="Arial"/>
          <w:sz w:val="28"/>
        </w:rPr>
        <w:t>-</w:t>
      </w:r>
      <w:r w:rsidRPr="00F631FB">
        <w:rPr>
          <w:rFonts w:ascii="Arial" w:eastAsia="仿宋_GB2312" w:hAnsi="Arial" w:cs="Arial"/>
          <w:sz w:val="28"/>
        </w:rPr>
        <w:t>交易税费</w:t>
      </w:r>
    </w:p>
    <w:p w14:paraId="66D1D613" w14:textId="5193A7B3"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）北京市通过集体决策，核定已出让</w:t>
      </w:r>
      <w:r w:rsidR="006C1DB6">
        <w:rPr>
          <w:rFonts w:ascii="Arial" w:eastAsia="仿宋_GB2312" w:hAnsi="Arial" w:cs="Arial" w:hint="eastAsia"/>
          <w:sz w:val="28"/>
        </w:rPr>
        <w:t>缴纳</w:t>
      </w:r>
      <w:r w:rsidRPr="00F631FB">
        <w:rPr>
          <w:rFonts w:ascii="Arial" w:eastAsia="仿宋_GB2312" w:hAnsi="Arial" w:cs="Arial"/>
          <w:sz w:val="28"/>
        </w:rPr>
        <w:t>地价款时要求：估价对象未进行房屋所有权登记的，剩余法计算公式应按照</w:t>
      </w:r>
      <w:r w:rsidRPr="00F631FB">
        <w:rPr>
          <w:rFonts w:ascii="Arial" w:eastAsia="仿宋_GB2312" w:hAnsi="Arial" w:cs="Arial"/>
          <w:sz w:val="28"/>
        </w:rPr>
        <w:t>“</w:t>
      </w:r>
      <w:r w:rsidRPr="00F631FB">
        <w:rPr>
          <w:rFonts w:ascii="Arial" w:eastAsia="仿宋_GB2312" w:hAnsi="Arial" w:cs="Arial"/>
          <w:sz w:val="28"/>
        </w:rPr>
        <w:t>评估待开发土地的价格</w:t>
      </w:r>
      <w:r w:rsidRPr="00F631FB">
        <w:rPr>
          <w:rFonts w:ascii="Arial" w:eastAsia="仿宋_GB2312" w:hAnsi="Arial" w:cs="Arial"/>
          <w:sz w:val="28"/>
        </w:rPr>
        <w:t>”</w:t>
      </w:r>
      <w:r w:rsidRPr="00F631FB">
        <w:rPr>
          <w:rFonts w:ascii="Arial" w:eastAsia="仿宋_GB2312" w:hAnsi="Arial" w:cs="Arial"/>
          <w:sz w:val="28"/>
        </w:rPr>
        <w:t>来选取基本公式。本次评估中，因估价对象尚未进行房屋登记，虽然为现有不动产，剩余法仍应按照</w:t>
      </w:r>
      <w:r w:rsidRPr="00F631FB">
        <w:rPr>
          <w:rFonts w:ascii="Arial" w:eastAsia="仿宋_GB2312" w:hAnsi="Arial" w:cs="Arial"/>
          <w:sz w:val="28"/>
        </w:rPr>
        <w:t>“</w:t>
      </w:r>
      <w:r w:rsidRPr="00F631FB">
        <w:rPr>
          <w:rFonts w:ascii="Arial" w:eastAsia="仿宋_GB2312" w:hAnsi="Arial" w:cs="Arial"/>
          <w:sz w:val="28"/>
        </w:rPr>
        <w:t>评估待开发土地的价格</w:t>
      </w:r>
      <w:r w:rsidRPr="00F631FB">
        <w:rPr>
          <w:rFonts w:ascii="Arial" w:eastAsia="仿宋_GB2312" w:hAnsi="Arial" w:cs="Arial"/>
          <w:sz w:val="28"/>
        </w:rPr>
        <w:t>”</w:t>
      </w:r>
      <w:r w:rsidRPr="00F631FB">
        <w:rPr>
          <w:rFonts w:ascii="Arial" w:eastAsia="仿宋_GB2312" w:hAnsi="Arial" w:cs="Arial"/>
          <w:sz w:val="28"/>
        </w:rPr>
        <w:t>进行相关测算。</w:t>
      </w:r>
    </w:p>
    <w:p w14:paraId="1B0E7C2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）市场比较法</w:t>
      </w:r>
    </w:p>
    <w:p w14:paraId="15BCE70A" w14:textId="77777777" w:rsidR="002C3ABF" w:rsidRPr="00F631FB"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F631FB">
        <w:rPr>
          <w:rFonts w:ascii="Arial" w:eastAsia="仿宋_GB2312" w:hAnsi="Arial" w:cs="Arial"/>
          <w:sz w:val="28"/>
        </w:rPr>
        <w:t>根据替代原理，</w:t>
      </w:r>
      <w:proofErr w:type="gramStart"/>
      <w:r w:rsidRPr="00F631FB">
        <w:rPr>
          <w:rFonts w:ascii="Arial" w:eastAsia="仿宋_GB2312" w:hAnsi="Arial" w:cs="Arial"/>
          <w:sz w:val="28"/>
        </w:rPr>
        <w:t>将待估宗地</w:t>
      </w:r>
      <w:proofErr w:type="gramEnd"/>
      <w:r w:rsidRPr="00F631FB">
        <w:rPr>
          <w:rFonts w:ascii="Arial" w:eastAsia="仿宋_GB2312" w:hAnsi="Arial" w:cs="Arial"/>
          <w:sz w:val="28"/>
        </w:rPr>
        <w:t>与具有替代性的，且在估价期</w:t>
      </w:r>
      <w:proofErr w:type="gramStart"/>
      <w:r w:rsidRPr="00F631FB">
        <w:rPr>
          <w:rFonts w:ascii="Arial" w:eastAsia="仿宋_GB2312" w:hAnsi="Arial" w:cs="Arial"/>
          <w:sz w:val="28"/>
        </w:rPr>
        <w:t>日近期</w:t>
      </w:r>
      <w:proofErr w:type="gramEnd"/>
      <w:r w:rsidRPr="00F631FB">
        <w:rPr>
          <w:rFonts w:ascii="Arial" w:eastAsia="仿宋_GB2312" w:hAnsi="Arial" w:cs="Arial"/>
          <w:sz w:val="28"/>
        </w:rPr>
        <w:t>市场上交易的类似宗地进行比较，并对类似宗地的成交价格进行差异修正，以此</w:t>
      </w:r>
      <w:proofErr w:type="gramStart"/>
      <w:r w:rsidRPr="00F631FB">
        <w:rPr>
          <w:rFonts w:ascii="Arial" w:eastAsia="仿宋_GB2312" w:hAnsi="Arial" w:cs="Arial"/>
          <w:sz w:val="28"/>
        </w:rPr>
        <w:t>估算待估宗地</w:t>
      </w:r>
      <w:proofErr w:type="gramEnd"/>
      <w:r w:rsidRPr="00F631FB">
        <w:rPr>
          <w:rFonts w:ascii="Arial" w:eastAsia="仿宋_GB2312" w:hAnsi="Arial" w:cs="Arial"/>
          <w:sz w:val="28"/>
        </w:rPr>
        <w:t>价格的方法。</w:t>
      </w:r>
    </w:p>
    <w:p w14:paraId="0AF83770" w14:textId="77777777" w:rsidR="002C3ABF" w:rsidRPr="00F631FB"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F631FB">
        <w:rPr>
          <w:rFonts w:ascii="Arial" w:eastAsia="仿宋_GB2312" w:hAnsi="Arial" w:cs="Arial"/>
          <w:sz w:val="28"/>
        </w:rPr>
        <w:t>其计算公式为：</w:t>
      </w:r>
    </w:p>
    <w:p w14:paraId="6F737E21"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P=P</w:t>
      </w:r>
      <w:r w:rsidRPr="00F631FB">
        <w:rPr>
          <w:rFonts w:ascii="Arial" w:eastAsia="仿宋_GB2312" w:hAnsi="Arial" w:cs="Arial"/>
          <w:sz w:val="28"/>
          <w:vertAlign w:val="subscript"/>
        </w:rPr>
        <w:t>B</w:t>
      </w:r>
      <w:r w:rsidRPr="00F631FB">
        <w:rPr>
          <w:rFonts w:ascii="Arial" w:hAnsi="Arial" w:cs="Arial"/>
          <w:sz w:val="28"/>
        </w:rPr>
        <w:t>×</w:t>
      </w:r>
      <w:r w:rsidRPr="00F631FB">
        <w:rPr>
          <w:rFonts w:ascii="Arial" w:eastAsia="仿宋_GB2312" w:hAnsi="Arial" w:cs="Arial"/>
          <w:sz w:val="28"/>
        </w:rPr>
        <w:t>A</w:t>
      </w:r>
      <w:r w:rsidRPr="00F631FB">
        <w:rPr>
          <w:rFonts w:ascii="Arial" w:hAnsi="Arial" w:cs="Arial"/>
          <w:sz w:val="28"/>
        </w:rPr>
        <w:t>×</w:t>
      </w:r>
      <w:r w:rsidRPr="00F631FB">
        <w:rPr>
          <w:rFonts w:ascii="Arial" w:eastAsia="仿宋_GB2312" w:hAnsi="Arial" w:cs="Arial"/>
          <w:sz w:val="28"/>
        </w:rPr>
        <w:t>B</w:t>
      </w:r>
      <w:r w:rsidRPr="00F631FB">
        <w:rPr>
          <w:rFonts w:ascii="Arial" w:hAnsi="Arial" w:cs="Arial"/>
          <w:sz w:val="28"/>
        </w:rPr>
        <w:t>×</w:t>
      </w:r>
      <w:r w:rsidRPr="00F631FB">
        <w:rPr>
          <w:rFonts w:ascii="Arial" w:eastAsia="仿宋_GB2312" w:hAnsi="Arial" w:cs="Arial"/>
          <w:sz w:val="28"/>
        </w:rPr>
        <w:t>C</w:t>
      </w:r>
      <w:r w:rsidRPr="00F631FB">
        <w:rPr>
          <w:rFonts w:ascii="Arial" w:hAnsi="Arial" w:cs="Arial"/>
          <w:sz w:val="28"/>
        </w:rPr>
        <w:t>×</w:t>
      </w:r>
      <w:r w:rsidRPr="00F631FB">
        <w:rPr>
          <w:rFonts w:ascii="Arial" w:eastAsia="仿宋_GB2312" w:hAnsi="Arial" w:cs="Arial"/>
          <w:sz w:val="28"/>
        </w:rPr>
        <w:t>D</w:t>
      </w:r>
      <w:r w:rsidRPr="00F631FB">
        <w:rPr>
          <w:rFonts w:ascii="Arial" w:hAnsi="Arial" w:cs="Arial"/>
          <w:sz w:val="28"/>
        </w:rPr>
        <w:t>×</w:t>
      </w:r>
      <w:r w:rsidRPr="00F631FB">
        <w:rPr>
          <w:rFonts w:ascii="Arial" w:eastAsia="仿宋_GB2312" w:hAnsi="Arial" w:cs="Arial"/>
          <w:sz w:val="28"/>
        </w:rPr>
        <w:t>E</w:t>
      </w:r>
    </w:p>
    <w:p w14:paraId="3CBAABE7"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式中：</w:t>
      </w:r>
    </w:p>
    <w:p w14:paraId="606196C1"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P——</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价格；</w:t>
      </w:r>
    </w:p>
    <w:p w14:paraId="1AE16227"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vertAlign w:val="subscript"/>
        </w:rPr>
      </w:pPr>
      <w:r w:rsidRPr="00F631FB">
        <w:rPr>
          <w:rFonts w:ascii="Arial" w:eastAsia="仿宋_GB2312" w:hAnsi="Arial" w:cs="Arial"/>
          <w:sz w:val="28"/>
        </w:rPr>
        <w:t>P</w:t>
      </w:r>
      <w:r w:rsidRPr="00F631FB">
        <w:rPr>
          <w:rFonts w:ascii="Arial" w:eastAsia="仿宋_GB2312" w:hAnsi="Arial" w:cs="Arial"/>
          <w:sz w:val="28"/>
          <w:vertAlign w:val="subscript"/>
        </w:rPr>
        <w:t>B</w:t>
      </w:r>
      <w:r w:rsidRPr="00F631FB">
        <w:rPr>
          <w:rFonts w:ascii="Arial" w:eastAsia="仿宋_GB2312" w:hAnsi="Arial" w:cs="Arial"/>
          <w:sz w:val="28"/>
        </w:rPr>
        <w:t>——</w:t>
      </w:r>
      <w:r w:rsidRPr="00F631FB">
        <w:rPr>
          <w:rFonts w:ascii="Arial" w:eastAsia="仿宋_GB2312" w:hAnsi="Arial" w:cs="Arial"/>
          <w:sz w:val="28"/>
        </w:rPr>
        <w:t>比较实例价格；</w:t>
      </w:r>
    </w:p>
    <w:p w14:paraId="537F2531"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A——</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交易情况指数</w:t>
      </w:r>
      <w:r w:rsidRPr="00F631FB">
        <w:rPr>
          <w:rFonts w:ascii="Arial" w:eastAsia="仿宋_GB2312" w:hAnsi="Arial" w:cs="Arial"/>
          <w:sz w:val="28"/>
        </w:rPr>
        <w:t>/</w:t>
      </w:r>
      <w:r w:rsidRPr="00F631FB">
        <w:rPr>
          <w:rFonts w:ascii="Arial" w:eastAsia="仿宋_GB2312" w:hAnsi="Arial" w:cs="Arial"/>
          <w:sz w:val="28"/>
        </w:rPr>
        <w:t>比较实例宗地交易情况指数</w:t>
      </w:r>
    </w:p>
    <w:p w14:paraId="4FC2BD63"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B——</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估价期日地价指数</w:t>
      </w:r>
      <w:r w:rsidRPr="00F631FB">
        <w:rPr>
          <w:rFonts w:ascii="Arial" w:eastAsia="仿宋_GB2312" w:hAnsi="Arial" w:cs="Arial"/>
          <w:sz w:val="28"/>
        </w:rPr>
        <w:t>/</w:t>
      </w:r>
      <w:r w:rsidRPr="00F631FB">
        <w:rPr>
          <w:rFonts w:ascii="Arial" w:eastAsia="仿宋_GB2312" w:hAnsi="Arial" w:cs="Arial"/>
          <w:sz w:val="28"/>
        </w:rPr>
        <w:t>比较实例宗地交易日期地价指数</w:t>
      </w:r>
    </w:p>
    <w:p w14:paraId="7CE87114"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C——</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区域因素条件指数</w:t>
      </w:r>
      <w:r w:rsidRPr="00F631FB">
        <w:rPr>
          <w:rFonts w:ascii="Arial" w:eastAsia="仿宋_GB2312" w:hAnsi="Arial" w:cs="Arial"/>
          <w:sz w:val="28"/>
        </w:rPr>
        <w:t>/</w:t>
      </w:r>
      <w:r w:rsidRPr="00F631FB">
        <w:rPr>
          <w:rFonts w:ascii="Arial" w:eastAsia="仿宋_GB2312" w:hAnsi="Arial" w:cs="Arial"/>
          <w:sz w:val="28"/>
        </w:rPr>
        <w:t>比较实例宗地区域因素条件指数</w:t>
      </w:r>
    </w:p>
    <w:p w14:paraId="7C46FE9A"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D——</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个别因素条件指数</w:t>
      </w:r>
      <w:r w:rsidRPr="00F631FB">
        <w:rPr>
          <w:rFonts w:ascii="Arial" w:eastAsia="仿宋_GB2312" w:hAnsi="Arial" w:cs="Arial"/>
          <w:sz w:val="28"/>
        </w:rPr>
        <w:t>/</w:t>
      </w:r>
      <w:r w:rsidRPr="00F631FB">
        <w:rPr>
          <w:rFonts w:ascii="Arial" w:eastAsia="仿宋_GB2312" w:hAnsi="Arial" w:cs="Arial"/>
          <w:sz w:val="28"/>
        </w:rPr>
        <w:t>比较实例宗地个别因素条件指数</w:t>
      </w:r>
    </w:p>
    <w:p w14:paraId="4AA26157"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E——</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使用年期修正指数</w:t>
      </w:r>
      <w:r w:rsidRPr="00F631FB">
        <w:rPr>
          <w:rFonts w:ascii="Arial" w:eastAsia="仿宋_GB2312" w:hAnsi="Arial" w:cs="Arial"/>
          <w:sz w:val="28"/>
        </w:rPr>
        <w:t>/</w:t>
      </w:r>
      <w:r w:rsidRPr="00F631FB">
        <w:rPr>
          <w:rFonts w:ascii="Arial" w:eastAsia="仿宋_GB2312" w:hAnsi="Arial" w:cs="Arial"/>
          <w:sz w:val="28"/>
        </w:rPr>
        <w:t>比较实例宗地使用年期修正指数</w:t>
      </w:r>
    </w:p>
    <w:p w14:paraId="0CD2E9D3" w14:textId="77777777" w:rsidR="009F133A" w:rsidRDefault="009F133A" w:rsidP="002C3ABF">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br w:type="page"/>
      </w:r>
    </w:p>
    <w:p w14:paraId="527D2923" w14:textId="04716240"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lastRenderedPageBreak/>
        <w:t>（三）估价结果</w:t>
      </w:r>
    </w:p>
    <w:p w14:paraId="0BB14E66" w14:textId="77777777" w:rsidR="006C1DB6" w:rsidRDefault="006C1DB6" w:rsidP="006C1DB6">
      <w:pPr>
        <w:spacing w:line="360" w:lineRule="auto"/>
        <w:ind w:firstLineChars="200" w:firstLine="560"/>
        <w:jc w:val="both"/>
        <w:rPr>
          <w:rFonts w:ascii="Arial" w:eastAsia="仿宋_GB2312" w:hAnsi="Arial" w:cs="Arial"/>
          <w:sz w:val="28"/>
        </w:rPr>
      </w:pPr>
      <w:r w:rsidRPr="00F631FB">
        <w:rPr>
          <w:rFonts w:ascii="Arial" w:eastAsia="仿宋_GB2312" w:hAnsi="Arial" w:cs="Arial"/>
          <w:kern w:val="2"/>
          <w:sz w:val="28"/>
        </w:rPr>
        <w:t>评估专业人员根据估价的目的，按照估价的程序，采用科学的估价方法（剩余法、基准地价系数修正法和</w:t>
      </w:r>
      <w:r w:rsidRPr="00F631FB">
        <w:rPr>
          <w:rFonts w:ascii="Arial" w:eastAsia="仿宋_GB2312" w:hAnsi="Arial" w:cs="Arial"/>
          <w:sz w:val="28"/>
        </w:rPr>
        <w:t>市场比较法</w:t>
      </w:r>
      <w:r w:rsidRPr="00F631FB">
        <w:rPr>
          <w:rFonts w:ascii="Arial" w:eastAsia="仿宋_GB2312" w:hAnsi="Arial" w:cs="Arial"/>
          <w:kern w:val="2"/>
          <w:sz w:val="28"/>
        </w:rPr>
        <w:t>），在认真分析现有资料的基础上，通过仔细测算和认真分析各种影响</w:t>
      </w:r>
      <w:r w:rsidRPr="00F631FB">
        <w:rPr>
          <w:rFonts w:ascii="Arial" w:eastAsia="仿宋_GB2312" w:hAnsi="Arial" w:cs="Arial"/>
          <w:sz w:val="28"/>
        </w:rPr>
        <w:t>土地</w:t>
      </w:r>
      <w:r w:rsidRPr="00F631FB">
        <w:rPr>
          <w:rFonts w:ascii="Arial" w:eastAsia="仿宋_GB2312" w:hAnsi="Arial" w:cs="Arial"/>
          <w:kern w:val="2"/>
          <w:sz w:val="28"/>
        </w:rPr>
        <w:t>价格的因素，确定</w:t>
      </w:r>
      <w:r w:rsidRPr="00F631FB">
        <w:rPr>
          <w:rFonts w:ascii="Arial" w:eastAsia="仿宋_GB2312" w:hAnsi="Arial" w:cs="Arial"/>
          <w:sz w:val="28"/>
        </w:rPr>
        <w:t>估价对象于估价期日的出让国有建设用地使用权评估价格为（币种：人民币）：</w:t>
      </w:r>
    </w:p>
    <w:p w14:paraId="2C1952E8" w14:textId="77777777" w:rsidR="006C1DB6" w:rsidRDefault="006C1DB6" w:rsidP="006C1DB6">
      <w:pPr>
        <w:snapToGrid w:val="0"/>
        <w:ind w:firstLine="556"/>
        <w:rPr>
          <w:rFonts w:ascii="Arial" w:eastAsia="仿宋_GB2312" w:hAnsi="Arial" w:cs="Arial"/>
          <w:b/>
          <w:sz w:val="28"/>
          <w:szCs w:val="28"/>
        </w:rPr>
      </w:pPr>
      <w:r w:rsidRPr="00AF4CFE">
        <w:rPr>
          <w:rFonts w:ascii="Arial" w:eastAsia="仿宋_GB2312" w:hAnsi="Arial" w:cs="Arial"/>
          <w:b/>
          <w:sz w:val="28"/>
          <w:szCs w:val="28"/>
        </w:rPr>
        <w:sym w:font="Wingdings 2" w:char="F0C3"/>
      </w:r>
      <w:r w:rsidRPr="00AF4CFE">
        <w:rPr>
          <w:rFonts w:ascii="Arial" w:eastAsia="仿宋_GB2312" w:hAnsi="Arial" w:cs="Arial"/>
          <w:b/>
          <w:sz w:val="28"/>
          <w:szCs w:val="28"/>
        </w:rPr>
        <w:t xml:space="preserve"> </w:t>
      </w:r>
      <w:r w:rsidRPr="00AF4CFE">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1123"/>
        <w:gridCol w:w="1844"/>
        <w:gridCol w:w="1844"/>
        <w:gridCol w:w="2124"/>
        <w:gridCol w:w="2349"/>
      </w:tblGrid>
      <w:tr w:rsidR="006C1DB6" w:rsidRPr="006C526D" w14:paraId="2C9F5F76" w14:textId="77777777" w:rsidTr="00E906EE">
        <w:trPr>
          <w:trHeight w:val="720"/>
          <w:jc w:val="center"/>
        </w:trPr>
        <w:tc>
          <w:tcPr>
            <w:tcW w:w="605"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628E5C6E"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部位</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CD31D"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BA944"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出让建筑面积</w:t>
            </w:r>
          </w:p>
          <w:p w14:paraId="47599C93" w14:textId="77777777" w:rsidR="006C1DB6" w:rsidRPr="006C526D" w:rsidRDefault="006C1DB6" w:rsidP="00E906EE">
            <w:pPr>
              <w:spacing w:line="240" w:lineRule="auto"/>
              <w:jc w:val="center"/>
              <w:rPr>
                <w:rFonts w:ascii="Arial" w:eastAsia="仿宋_GB2312" w:hAnsi="Arial" w:cs="Arial"/>
                <w:b/>
                <w:bCs/>
                <w:sz w:val="22"/>
                <w:szCs w:val="16"/>
              </w:rPr>
            </w:pPr>
            <w:r w:rsidRPr="006C526D">
              <w:rPr>
                <w:rFonts w:ascii="Arial" w:eastAsia="仿宋_GB2312" w:hAnsi="Arial" w:cs="Arial" w:hint="eastAsia"/>
                <w:b/>
                <w:bCs/>
                <w:sz w:val="22"/>
                <w:szCs w:val="16"/>
              </w:rPr>
              <w:t>（</w:t>
            </w:r>
            <w:r w:rsidRPr="006C526D">
              <w:rPr>
                <w:rFonts w:ascii="Batang" w:eastAsia="Batang" w:hAnsi="Batang" w:cs="Batang" w:hint="eastAsia"/>
                <w:b/>
                <w:bCs/>
                <w:sz w:val="22"/>
                <w:szCs w:val="16"/>
              </w:rPr>
              <w:t>㎡</w:t>
            </w:r>
            <w:r w:rsidRPr="006C526D">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88B71"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楼面熟地单价</w:t>
            </w:r>
          </w:p>
          <w:p w14:paraId="356A584D" w14:textId="77777777" w:rsidR="006C1DB6" w:rsidRPr="006C526D" w:rsidRDefault="006C1DB6" w:rsidP="00E906EE">
            <w:pPr>
              <w:spacing w:line="240" w:lineRule="auto"/>
              <w:jc w:val="center"/>
              <w:rPr>
                <w:rFonts w:ascii="Arial" w:eastAsia="仿宋_GB2312" w:hAnsi="Arial" w:cs="Arial"/>
                <w:b/>
                <w:bCs/>
                <w:sz w:val="22"/>
                <w:szCs w:val="16"/>
              </w:rPr>
            </w:pPr>
            <w:r w:rsidRPr="006C526D">
              <w:rPr>
                <w:rFonts w:ascii="Arial" w:eastAsia="仿宋_GB2312" w:hAnsi="Arial" w:cs="Arial" w:hint="eastAsia"/>
                <w:b/>
                <w:bCs/>
                <w:sz w:val="22"/>
                <w:szCs w:val="16"/>
              </w:rPr>
              <w:t>（元</w:t>
            </w:r>
            <w:r w:rsidRPr="006C526D">
              <w:rPr>
                <w:rFonts w:ascii="Arial" w:eastAsia="仿宋_GB2312" w:hAnsi="Arial" w:cs="Arial" w:hint="eastAsia"/>
                <w:b/>
                <w:bCs/>
                <w:sz w:val="22"/>
                <w:szCs w:val="16"/>
              </w:rPr>
              <w:t>/</w:t>
            </w:r>
            <w:r w:rsidRPr="006C526D">
              <w:rPr>
                <w:rFonts w:ascii="Batang" w:eastAsia="Batang" w:hAnsi="Batang" w:cs="Batang" w:hint="eastAsia"/>
                <w:b/>
                <w:bCs/>
                <w:sz w:val="22"/>
                <w:szCs w:val="16"/>
              </w:rPr>
              <w:t>㎡</w:t>
            </w:r>
            <w:r w:rsidRPr="006C526D">
              <w:rPr>
                <w:rFonts w:ascii="Arial" w:eastAsia="仿宋_GB2312" w:hAnsi="Arial" w:cs="Arial"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A4B2D"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熟地总价</w:t>
            </w:r>
          </w:p>
          <w:p w14:paraId="2AB2E8F2"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w:t>
            </w:r>
            <w:r w:rsidRPr="006C526D">
              <w:rPr>
                <w:rFonts w:ascii="Arial" w:eastAsia="仿宋_GB2312" w:hAnsi="Arial" w:cs="Arial" w:hint="eastAsia"/>
                <w:b/>
                <w:bCs/>
                <w:sz w:val="22"/>
                <w:szCs w:val="16"/>
              </w:rPr>
              <w:t>万元）</w:t>
            </w:r>
          </w:p>
        </w:tc>
      </w:tr>
      <w:tr w:rsidR="006C1DB6" w:rsidRPr="006C526D" w14:paraId="53D30B52" w14:textId="77777777" w:rsidTr="00E906EE">
        <w:trPr>
          <w:trHeight w:val="420"/>
          <w:jc w:val="center"/>
        </w:trPr>
        <w:tc>
          <w:tcPr>
            <w:tcW w:w="605" w:type="pct"/>
            <w:vMerge w:val="restart"/>
            <w:tcBorders>
              <w:top w:val="nil"/>
              <w:left w:val="single" w:sz="8" w:space="0" w:color="auto"/>
              <w:bottom w:val="single" w:sz="8" w:space="0" w:color="auto"/>
              <w:right w:val="single" w:sz="8" w:space="0" w:color="auto"/>
            </w:tcBorders>
            <w:shd w:val="clear" w:color="auto" w:fill="auto"/>
            <w:vAlign w:val="center"/>
            <w:hideMark/>
          </w:tcPr>
          <w:p w14:paraId="791DF9A5"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地上</w:t>
            </w:r>
          </w:p>
        </w:tc>
        <w:tc>
          <w:tcPr>
            <w:tcW w:w="993" w:type="pct"/>
            <w:tcBorders>
              <w:top w:val="single" w:sz="4" w:space="0" w:color="auto"/>
              <w:left w:val="nil"/>
              <w:bottom w:val="single" w:sz="8" w:space="0" w:color="auto"/>
              <w:right w:val="single" w:sz="8" w:space="0" w:color="auto"/>
            </w:tcBorders>
            <w:shd w:val="clear" w:color="auto" w:fill="auto"/>
            <w:vAlign w:val="center"/>
            <w:hideMark/>
          </w:tcPr>
          <w:p w14:paraId="0DFF2F99"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住宅</w:t>
            </w:r>
          </w:p>
        </w:tc>
        <w:tc>
          <w:tcPr>
            <w:tcW w:w="993" w:type="pct"/>
            <w:tcBorders>
              <w:top w:val="single" w:sz="4" w:space="0" w:color="auto"/>
              <w:left w:val="nil"/>
              <w:bottom w:val="single" w:sz="8" w:space="0" w:color="auto"/>
              <w:right w:val="single" w:sz="8" w:space="0" w:color="auto"/>
            </w:tcBorders>
            <w:shd w:val="clear" w:color="auto" w:fill="auto"/>
            <w:vAlign w:val="center"/>
            <w:hideMark/>
          </w:tcPr>
          <w:p w14:paraId="11D1AF6A" w14:textId="77777777" w:rsidR="006C1DB6" w:rsidRPr="006C526D" w:rsidRDefault="006C1DB6"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28075</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34433D24" w14:textId="0974F597" w:rsidR="006C1DB6"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79598</w:t>
            </w:r>
            <w:r w:rsidR="006C1DB6" w:rsidRPr="003C48EF">
              <w:rPr>
                <w:rFonts w:ascii="Arial" w:eastAsia="仿宋_GB2312" w:hAnsi="Arial" w:cs="Arial"/>
                <w:sz w:val="22"/>
                <w:szCs w:val="16"/>
              </w:rPr>
              <w:t xml:space="preserve"> </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128D5A6F" w14:textId="51FDCA67" w:rsidR="006C1DB6"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223471.3850</w:t>
            </w:r>
          </w:p>
        </w:tc>
      </w:tr>
      <w:tr w:rsidR="006C1DB6" w:rsidRPr="006C526D" w14:paraId="541B6244"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62662F10"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052876B2"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商业</w:t>
            </w:r>
          </w:p>
        </w:tc>
        <w:tc>
          <w:tcPr>
            <w:tcW w:w="993" w:type="pct"/>
            <w:tcBorders>
              <w:top w:val="nil"/>
              <w:left w:val="nil"/>
              <w:bottom w:val="single" w:sz="8" w:space="0" w:color="auto"/>
              <w:right w:val="single" w:sz="8" w:space="0" w:color="auto"/>
            </w:tcBorders>
            <w:shd w:val="clear" w:color="auto" w:fill="auto"/>
            <w:vAlign w:val="center"/>
            <w:hideMark/>
          </w:tcPr>
          <w:p w14:paraId="7C5E4421" w14:textId="77777777" w:rsidR="006C1DB6" w:rsidRPr="006C526D" w:rsidRDefault="006C1DB6"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3318</w:t>
            </w:r>
          </w:p>
        </w:tc>
        <w:tc>
          <w:tcPr>
            <w:tcW w:w="1144" w:type="pct"/>
            <w:tcBorders>
              <w:top w:val="nil"/>
              <w:left w:val="nil"/>
              <w:bottom w:val="single" w:sz="8" w:space="0" w:color="auto"/>
              <w:right w:val="single" w:sz="8" w:space="0" w:color="auto"/>
            </w:tcBorders>
            <w:shd w:val="clear" w:color="auto" w:fill="auto"/>
            <w:vAlign w:val="center"/>
            <w:hideMark/>
          </w:tcPr>
          <w:p w14:paraId="4768B267" w14:textId="6005408F" w:rsidR="006C1DB6"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30853</w:t>
            </w:r>
            <w:r w:rsidR="006C1DB6"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1691028C" w14:textId="71C283C1" w:rsidR="006C1DB6"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10237.0254</w:t>
            </w:r>
          </w:p>
        </w:tc>
      </w:tr>
      <w:tr w:rsidR="006C1DB6" w:rsidRPr="006C526D" w14:paraId="72634C35"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3995A764"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3D437541"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办公</w:t>
            </w:r>
          </w:p>
        </w:tc>
        <w:tc>
          <w:tcPr>
            <w:tcW w:w="993" w:type="pct"/>
            <w:tcBorders>
              <w:top w:val="nil"/>
              <w:left w:val="nil"/>
              <w:bottom w:val="single" w:sz="8" w:space="0" w:color="auto"/>
              <w:right w:val="single" w:sz="8" w:space="0" w:color="auto"/>
            </w:tcBorders>
            <w:shd w:val="clear" w:color="auto" w:fill="auto"/>
            <w:vAlign w:val="center"/>
            <w:hideMark/>
          </w:tcPr>
          <w:p w14:paraId="5FF614DB" w14:textId="77777777" w:rsidR="006C1DB6" w:rsidRPr="006C526D" w:rsidRDefault="006C1DB6"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118</w:t>
            </w:r>
          </w:p>
        </w:tc>
        <w:tc>
          <w:tcPr>
            <w:tcW w:w="1144" w:type="pct"/>
            <w:tcBorders>
              <w:top w:val="nil"/>
              <w:left w:val="nil"/>
              <w:bottom w:val="single" w:sz="8" w:space="0" w:color="auto"/>
              <w:right w:val="single" w:sz="8" w:space="0" w:color="auto"/>
            </w:tcBorders>
            <w:shd w:val="clear" w:color="auto" w:fill="auto"/>
            <w:vAlign w:val="center"/>
            <w:hideMark/>
          </w:tcPr>
          <w:p w14:paraId="7E8AF204" w14:textId="6B99F03F" w:rsidR="006C1DB6"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30708</w:t>
            </w:r>
            <w:r w:rsidR="006C1DB6"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33738934" w14:textId="480E08C2" w:rsidR="006C1DB6"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362.3544</w:t>
            </w:r>
          </w:p>
        </w:tc>
      </w:tr>
      <w:tr w:rsidR="006C1DB6" w:rsidRPr="006C526D" w14:paraId="21A78EA7"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666F6F8F"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5C17A6C6"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小计</w:t>
            </w:r>
          </w:p>
        </w:tc>
        <w:tc>
          <w:tcPr>
            <w:tcW w:w="993" w:type="pct"/>
            <w:tcBorders>
              <w:top w:val="nil"/>
              <w:left w:val="nil"/>
              <w:bottom w:val="single" w:sz="8" w:space="0" w:color="auto"/>
              <w:right w:val="single" w:sz="8" w:space="0" w:color="auto"/>
            </w:tcBorders>
            <w:shd w:val="clear" w:color="auto" w:fill="auto"/>
            <w:vAlign w:val="center"/>
            <w:hideMark/>
          </w:tcPr>
          <w:p w14:paraId="1265F45E" w14:textId="77777777" w:rsidR="006C1DB6" w:rsidRPr="003C48EF" w:rsidRDefault="006C1DB6"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31511</w:t>
            </w:r>
          </w:p>
        </w:tc>
        <w:tc>
          <w:tcPr>
            <w:tcW w:w="1144" w:type="pct"/>
            <w:tcBorders>
              <w:top w:val="nil"/>
              <w:left w:val="nil"/>
              <w:bottom w:val="single" w:sz="8" w:space="0" w:color="auto"/>
              <w:right w:val="single" w:sz="8" w:space="0" w:color="auto"/>
            </w:tcBorders>
            <w:shd w:val="clear" w:color="auto" w:fill="auto"/>
            <w:vAlign w:val="center"/>
            <w:hideMark/>
          </w:tcPr>
          <w:p w14:paraId="6C5C65FB" w14:textId="77777777" w:rsidR="006C1DB6" w:rsidRPr="003C48EF" w:rsidRDefault="006C1DB6"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2FC131FD" w14:textId="010677AB" w:rsidR="006C1DB6" w:rsidRPr="003C48EF" w:rsidRDefault="000B7D55"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234070.7648</w:t>
            </w:r>
          </w:p>
        </w:tc>
      </w:tr>
      <w:tr w:rsidR="006C1DB6" w:rsidRPr="006C526D" w14:paraId="584726AB" w14:textId="77777777" w:rsidTr="00E906EE">
        <w:trPr>
          <w:trHeight w:val="420"/>
          <w:jc w:val="center"/>
        </w:trPr>
        <w:tc>
          <w:tcPr>
            <w:tcW w:w="605" w:type="pct"/>
            <w:vMerge w:val="restart"/>
            <w:tcBorders>
              <w:top w:val="nil"/>
              <w:left w:val="single" w:sz="8" w:space="0" w:color="auto"/>
              <w:bottom w:val="single" w:sz="8" w:space="0" w:color="auto"/>
              <w:right w:val="single" w:sz="8" w:space="0" w:color="auto"/>
            </w:tcBorders>
            <w:shd w:val="clear" w:color="auto" w:fill="auto"/>
            <w:vAlign w:val="center"/>
            <w:hideMark/>
          </w:tcPr>
          <w:p w14:paraId="34186B0B"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w:t>
            </w:r>
          </w:p>
        </w:tc>
        <w:tc>
          <w:tcPr>
            <w:tcW w:w="993" w:type="pct"/>
            <w:tcBorders>
              <w:top w:val="nil"/>
              <w:left w:val="nil"/>
              <w:bottom w:val="single" w:sz="8" w:space="0" w:color="auto"/>
              <w:right w:val="single" w:sz="8" w:space="0" w:color="auto"/>
            </w:tcBorders>
            <w:shd w:val="clear" w:color="auto" w:fill="auto"/>
            <w:vAlign w:val="center"/>
            <w:hideMark/>
          </w:tcPr>
          <w:p w14:paraId="27CF5EB0"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地下办公</w:t>
            </w:r>
          </w:p>
        </w:tc>
        <w:tc>
          <w:tcPr>
            <w:tcW w:w="993" w:type="pct"/>
            <w:tcBorders>
              <w:top w:val="nil"/>
              <w:left w:val="nil"/>
              <w:bottom w:val="single" w:sz="8" w:space="0" w:color="auto"/>
              <w:right w:val="single" w:sz="8" w:space="0" w:color="auto"/>
            </w:tcBorders>
            <w:shd w:val="clear" w:color="auto" w:fill="auto"/>
            <w:vAlign w:val="center"/>
            <w:hideMark/>
          </w:tcPr>
          <w:p w14:paraId="597049AC" w14:textId="77777777" w:rsidR="006C1DB6" w:rsidRPr="006C526D" w:rsidRDefault="006C1DB6"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32</w:t>
            </w:r>
          </w:p>
        </w:tc>
        <w:tc>
          <w:tcPr>
            <w:tcW w:w="1144" w:type="pct"/>
            <w:tcBorders>
              <w:top w:val="nil"/>
              <w:left w:val="nil"/>
              <w:bottom w:val="single" w:sz="8" w:space="0" w:color="auto"/>
              <w:right w:val="single" w:sz="8" w:space="0" w:color="auto"/>
            </w:tcBorders>
            <w:shd w:val="clear" w:color="auto" w:fill="auto"/>
            <w:vAlign w:val="center"/>
            <w:hideMark/>
          </w:tcPr>
          <w:p w14:paraId="43C72D1E" w14:textId="2AE46066" w:rsidR="006C1DB6"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9538</w:t>
            </w:r>
            <w:r w:rsidR="006C1DB6"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4B1AA560" w14:textId="5E8FA4F3" w:rsidR="006C1DB6"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30.5216</w:t>
            </w:r>
          </w:p>
        </w:tc>
      </w:tr>
      <w:tr w:rsidR="006C1DB6" w:rsidRPr="006C526D" w14:paraId="025FA09A"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3CA3634F"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6325AAD5"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地下车库</w:t>
            </w:r>
          </w:p>
        </w:tc>
        <w:tc>
          <w:tcPr>
            <w:tcW w:w="993" w:type="pct"/>
            <w:tcBorders>
              <w:top w:val="nil"/>
              <w:left w:val="nil"/>
              <w:bottom w:val="single" w:sz="8" w:space="0" w:color="auto"/>
              <w:right w:val="single" w:sz="8" w:space="0" w:color="auto"/>
            </w:tcBorders>
            <w:shd w:val="clear" w:color="auto" w:fill="auto"/>
            <w:vAlign w:val="center"/>
            <w:hideMark/>
          </w:tcPr>
          <w:p w14:paraId="3717A51D" w14:textId="77777777" w:rsidR="006C1DB6" w:rsidRPr="006C526D" w:rsidRDefault="006C1DB6"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10345</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21262D6B" w14:textId="4B380DAE" w:rsidR="006C1DB6" w:rsidRPr="006C526D"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9922</w:t>
            </w:r>
            <w:r w:rsidR="006C1DB6"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50A91A37" w14:textId="041E549A" w:rsidR="006C1DB6" w:rsidRPr="006C526D"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10264.3288</w:t>
            </w:r>
          </w:p>
        </w:tc>
      </w:tr>
      <w:tr w:rsidR="006C1DB6" w:rsidRPr="006C526D" w14:paraId="16647AF6"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29A0E7A6"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1CE38B86"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小计</w:t>
            </w:r>
          </w:p>
        </w:tc>
        <w:tc>
          <w:tcPr>
            <w:tcW w:w="993" w:type="pct"/>
            <w:tcBorders>
              <w:top w:val="nil"/>
              <w:left w:val="nil"/>
              <w:bottom w:val="single" w:sz="8" w:space="0" w:color="auto"/>
              <w:right w:val="single" w:sz="8" w:space="0" w:color="auto"/>
            </w:tcBorders>
            <w:shd w:val="clear" w:color="auto" w:fill="auto"/>
            <w:vAlign w:val="center"/>
            <w:hideMark/>
          </w:tcPr>
          <w:p w14:paraId="606C5158" w14:textId="77777777" w:rsidR="006C1DB6" w:rsidRPr="003C48EF" w:rsidRDefault="006C1DB6"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p>
        </w:tc>
        <w:tc>
          <w:tcPr>
            <w:tcW w:w="1144" w:type="pct"/>
            <w:tcBorders>
              <w:top w:val="nil"/>
              <w:left w:val="nil"/>
              <w:bottom w:val="single" w:sz="8" w:space="0" w:color="auto"/>
              <w:right w:val="single" w:sz="8" w:space="0" w:color="auto"/>
            </w:tcBorders>
            <w:shd w:val="clear" w:color="auto" w:fill="auto"/>
            <w:vAlign w:val="center"/>
            <w:hideMark/>
          </w:tcPr>
          <w:p w14:paraId="3679899E" w14:textId="77777777" w:rsidR="006C1DB6" w:rsidRPr="003C48EF" w:rsidRDefault="006C1DB6"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6FA13468" w14:textId="1EA7562A" w:rsidR="006C1DB6" w:rsidRPr="003C48EF" w:rsidRDefault="00443EF8"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10294.8504</w:t>
            </w:r>
          </w:p>
        </w:tc>
      </w:tr>
      <w:tr w:rsidR="006C1DB6" w:rsidRPr="006C526D" w14:paraId="746F5915" w14:textId="77777777" w:rsidTr="00E906EE">
        <w:trPr>
          <w:trHeight w:val="420"/>
          <w:jc w:val="center"/>
        </w:trPr>
        <w:tc>
          <w:tcPr>
            <w:tcW w:w="1598"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7CDE88A"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合计</w:t>
            </w:r>
          </w:p>
        </w:tc>
        <w:tc>
          <w:tcPr>
            <w:tcW w:w="993" w:type="pct"/>
            <w:tcBorders>
              <w:top w:val="nil"/>
              <w:left w:val="nil"/>
              <w:bottom w:val="single" w:sz="8" w:space="0" w:color="auto"/>
              <w:right w:val="single" w:sz="8" w:space="0" w:color="auto"/>
            </w:tcBorders>
            <w:shd w:val="clear" w:color="auto" w:fill="auto"/>
            <w:vAlign w:val="center"/>
            <w:hideMark/>
          </w:tcPr>
          <w:p w14:paraId="215EC050" w14:textId="77777777" w:rsidR="006C1DB6" w:rsidRPr="003C48EF" w:rsidRDefault="006C1DB6"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p>
        </w:tc>
        <w:tc>
          <w:tcPr>
            <w:tcW w:w="1144" w:type="pct"/>
            <w:tcBorders>
              <w:top w:val="nil"/>
              <w:left w:val="nil"/>
              <w:bottom w:val="single" w:sz="8" w:space="0" w:color="auto"/>
              <w:right w:val="single" w:sz="8" w:space="0" w:color="auto"/>
            </w:tcBorders>
            <w:shd w:val="clear" w:color="auto" w:fill="auto"/>
            <w:vAlign w:val="center"/>
            <w:hideMark/>
          </w:tcPr>
          <w:p w14:paraId="4B049028" w14:textId="77777777" w:rsidR="006C1DB6" w:rsidRPr="003C48EF" w:rsidRDefault="006C1DB6"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091B393C" w14:textId="786DDF40" w:rsidR="006C1DB6" w:rsidRPr="003C48EF" w:rsidRDefault="00443EF8"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244365.6152</w:t>
            </w:r>
          </w:p>
        </w:tc>
      </w:tr>
    </w:tbl>
    <w:p w14:paraId="6EB973DC" w14:textId="77777777" w:rsidR="006C1DB6" w:rsidRDefault="006C1DB6" w:rsidP="006C1DB6">
      <w:pPr>
        <w:snapToGrid w:val="0"/>
        <w:spacing w:beforeLines="100" w:before="240"/>
        <w:ind w:firstLine="556"/>
        <w:rPr>
          <w:rFonts w:ascii="Arial" w:eastAsia="仿宋_GB2312" w:hAnsi="Arial" w:cs="Arial"/>
          <w:b/>
          <w:sz w:val="28"/>
          <w:szCs w:val="28"/>
        </w:rPr>
      </w:pPr>
      <w:r w:rsidRPr="00AF4CFE">
        <w:rPr>
          <w:rFonts w:ascii="Arial" w:eastAsia="仿宋_GB2312" w:hAnsi="Arial" w:cs="Arial"/>
          <w:b/>
          <w:sz w:val="28"/>
          <w:szCs w:val="28"/>
        </w:rPr>
        <w:sym w:font="Wingdings 2" w:char="F0C3"/>
      </w:r>
      <w:r w:rsidRPr="00AF4CFE">
        <w:rPr>
          <w:rFonts w:ascii="Arial" w:eastAsia="仿宋_GB2312" w:hAnsi="Arial" w:cs="Arial"/>
          <w:b/>
          <w:sz w:val="28"/>
          <w:szCs w:val="28"/>
        </w:rPr>
        <w:t>政府土地出让收益</w:t>
      </w:r>
    </w:p>
    <w:tbl>
      <w:tblPr>
        <w:tblW w:w="5000" w:type="pct"/>
        <w:tblLook w:val="04A0" w:firstRow="1" w:lastRow="0" w:firstColumn="1" w:lastColumn="0" w:noHBand="0" w:noVBand="1"/>
      </w:tblPr>
      <w:tblGrid>
        <w:gridCol w:w="1123"/>
        <w:gridCol w:w="1844"/>
        <w:gridCol w:w="1844"/>
        <w:gridCol w:w="2124"/>
        <w:gridCol w:w="2349"/>
      </w:tblGrid>
      <w:tr w:rsidR="006C1DB6" w:rsidRPr="00666906" w14:paraId="30A4DDDB" w14:textId="77777777" w:rsidTr="00C70DD8">
        <w:trPr>
          <w:trHeight w:val="353"/>
        </w:trPr>
        <w:tc>
          <w:tcPr>
            <w:tcW w:w="60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5B9EBB3A"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部位</w:t>
            </w:r>
          </w:p>
        </w:tc>
        <w:tc>
          <w:tcPr>
            <w:tcW w:w="993"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73818718"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89A8E"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出让建筑面积</w:t>
            </w:r>
          </w:p>
          <w:p w14:paraId="6FBE16B8" w14:textId="77777777" w:rsidR="006C1DB6" w:rsidRPr="00666906" w:rsidRDefault="006C1DB6" w:rsidP="00E906EE">
            <w:pPr>
              <w:spacing w:line="240" w:lineRule="auto"/>
              <w:jc w:val="center"/>
              <w:rPr>
                <w:rFonts w:ascii="Arial" w:eastAsia="仿宋_GB2312" w:hAnsi="Arial" w:cs="Arial"/>
                <w:b/>
                <w:bCs/>
                <w:sz w:val="22"/>
                <w:szCs w:val="16"/>
              </w:rPr>
            </w:pP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A8894" w14:textId="77777777" w:rsidR="006C1DB6" w:rsidRPr="00666906" w:rsidRDefault="006C1DB6" w:rsidP="00E906EE">
            <w:pPr>
              <w:widowControl/>
              <w:adjustRightInd/>
              <w:spacing w:line="240" w:lineRule="auto"/>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政府土地出让收益楼面单价（元</w:t>
            </w: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微软雅黑" w:eastAsia="微软雅黑" w:hAnsi="微软雅黑" w:cs="微软雅黑"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679CB" w14:textId="77777777" w:rsidR="006C1DB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w:t>
            </w:r>
          </w:p>
          <w:p w14:paraId="340B4D65"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收益总价</w:t>
            </w:r>
            <w:r w:rsidRPr="00666906">
              <w:rPr>
                <w:rFonts w:ascii="Arial" w:eastAsia="仿宋_GB2312" w:hAnsi="Arial" w:cs="Arial" w:hint="eastAsia"/>
                <w:b/>
                <w:bCs/>
                <w:sz w:val="22"/>
                <w:szCs w:val="16"/>
              </w:rPr>
              <w:t>(</w:t>
            </w:r>
            <w:r w:rsidRPr="00666906">
              <w:rPr>
                <w:rFonts w:ascii="Arial" w:eastAsia="仿宋_GB2312" w:hAnsi="Arial" w:cs="Arial" w:hint="eastAsia"/>
                <w:b/>
                <w:bCs/>
                <w:sz w:val="22"/>
                <w:szCs w:val="16"/>
              </w:rPr>
              <w:t>万元）</w:t>
            </w:r>
          </w:p>
        </w:tc>
      </w:tr>
      <w:tr w:rsidR="006C1DB6" w:rsidRPr="00666906" w14:paraId="757851B7"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3FDFDCF2"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地上</w:t>
            </w:r>
          </w:p>
        </w:tc>
        <w:tc>
          <w:tcPr>
            <w:tcW w:w="993" w:type="pct"/>
            <w:tcBorders>
              <w:top w:val="nil"/>
              <w:left w:val="nil"/>
              <w:bottom w:val="single" w:sz="8" w:space="0" w:color="auto"/>
              <w:right w:val="nil"/>
            </w:tcBorders>
            <w:shd w:val="clear" w:color="auto" w:fill="auto"/>
            <w:vAlign w:val="center"/>
            <w:hideMark/>
          </w:tcPr>
          <w:p w14:paraId="0A2C0736"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住宅</w:t>
            </w:r>
          </w:p>
        </w:tc>
        <w:tc>
          <w:tcPr>
            <w:tcW w:w="99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561D472E"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28075 </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3C40A221" w14:textId="301BF199" w:rsidR="006C1DB6"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19900</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16988D7A" w14:textId="562A0709" w:rsidR="006C1DB6"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55869.2500</w:t>
            </w:r>
          </w:p>
        </w:tc>
      </w:tr>
      <w:tr w:rsidR="006C1DB6" w:rsidRPr="00666906" w14:paraId="3F487F92"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23E3D5DD"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769046D7"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商业</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17FA91DB"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3318 </w:t>
            </w:r>
          </w:p>
        </w:tc>
        <w:tc>
          <w:tcPr>
            <w:tcW w:w="1144" w:type="pct"/>
            <w:tcBorders>
              <w:top w:val="nil"/>
              <w:left w:val="nil"/>
              <w:bottom w:val="single" w:sz="8" w:space="0" w:color="auto"/>
              <w:right w:val="single" w:sz="8" w:space="0" w:color="auto"/>
            </w:tcBorders>
            <w:shd w:val="clear" w:color="auto" w:fill="auto"/>
            <w:vAlign w:val="center"/>
            <w:hideMark/>
          </w:tcPr>
          <w:p w14:paraId="02BA39D5" w14:textId="3D2AE583" w:rsidR="006C1DB6"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7713</w:t>
            </w:r>
          </w:p>
        </w:tc>
        <w:tc>
          <w:tcPr>
            <w:tcW w:w="1265" w:type="pct"/>
            <w:tcBorders>
              <w:top w:val="nil"/>
              <w:left w:val="nil"/>
              <w:bottom w:val="single" w:sz="8" w:space="0" w:color="auto"/>
              <w:right w:val="single" w:sz="8" w:space="0" w:color="auto"/>
            </w:tcBorders>
            <w:shd w:val="clear" w:color="auto" w:fill="auto"/>
            <w:vAlign w:val="center"/>
            <w:hideMark/>
          </w:tcPr>
          <w:p w14:paraId="3D49477E" w14:textId="5D8F171A" w:rsidR="006C1DB6"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2559.1734</w:t>
            </w:r>
          </w:p>
        </w:tc>
      </w:tr>
      <w:tr w:rsidR="006C1DB6" w:rsidRPr="00666906" w14:paraId="73DC6B55"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5B52E9DE"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16E2BDB9"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13950E0B"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118 </w:t>
            </w:r>
          </w:p>
        </w:tc>
        <w:tc>
          <w:tcPr>
            <w:tcW w:w="1144" w:type="pct"/>
            <w:tcBorders>
              <w:top w:val="nil"/>
              <w:left w:val="nil"/>
              <w:bottom w:val="single" w:sz="8" w:space="0" w:color="auto"/>
              <w:right w:val="single" w:sz="8" w:space="0" w:color="auto"/>
            </w:tcBorders>
            <w:shd w:val="clear" w:color="auto" w:fill="auto"/>
            <w:vAlign w:val="center"/>
            <w:hideMark/>
          </w:tcPr>
          <w:p w14:paraId="58487970" w14:textId="3714BB9E" w:rsidR="006C1DB6"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7677</w:t>
            </w:r>
          </w:p>
        </w:tc>
        <w:tc>
          <w:tcPr>
            <w:tcW w:w="1265" w:type="pct"/>
            <w:tcBorders>
              <w:top w:val="nil"/>
              <w:left w:val="nil"/>
              <w:bottom w:val="single" w:sz="8" w:space="0" w:color="auto"/>
              <w:right w:val="single" w:sz="8" w:space="0" w:color="auto"/>
            </w:tcBorders>
            <w:shd w:val="clear" w:color="auto" w:fill="auto"/>
            <w:vAlign w:val="center"/>
            <w:hideMark/>
          </w:tcPr>
          <w:p w14:paraId="6F67956D" w14:textId="16D9E0DD" w:rsidR="006C1DB6"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90.5886</w:t>
            </w:r>
          </w:p>
        </w:tc>
      </w:tr>
      <w:tr w:rsidR="006C1DB6" w:rsidRPr="00666906" w14:paraId="3968B7D1"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6A0E9C14"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4D86A360"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1367A3C"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b/>
                <w:bCs/>
                <w:sz w:val="22"/>
                <w:szCs w:val="16"/>
              </w:rPr>
              <w:t xml:space="preserve">31511 </w:t>
            </w:r>
          </w:p>
        </w:tc>
        <w:tc>
          <w:tcPr>
            <w:tcW w:w="1144" w:type="pct"/>
            <w:tcBorders>
              <w:top w:val="nil"/>
              <w:left w:val="nil"/>
              <w:bottom w:val="single" w:sz="8" w:space="0" w:color="auto"/>
              <w:right w:val="single" w:sz="8" w:space="0" w:color="auto"/>
            </w:tcBorders>
            <w:shd w:val="clear" w:color="auto" w:fill="auto"/>
            <w:vAlign w:val="center"/>
            <w:hideMark/>
          </w:tcPr>
          <w:p w14:paraId="61FC19E6" w14:textId="77777777" w:rsidR="006C1DB6" w:rsidRPr="00826D24" w:rsidRDefault="006C1DB6" w:rsidP="00E906EE">
            <w:pPr>
              <w:widowControl/>
              <w:adjustRightInd/>
              <w:spacing w:line="240" w:lineRule="auto"/>
              <w:jc w:val="center"/>
              <w:textAlignment w:val="auto"/>
              <w:rPr>
                <w:rFonts w:ascii="Arial" w:eastAsia="仿宋_GB2312" w:hAnsi="Arial" w:cs="Arial"/>
                <w:sz w:val="22"/>
                <w:szCs w:val="16"/>
              </w:rPr>
            </w:pPr>
            <w:r w:rsidRPr="00826D24">
              <w:rPr>
                <w:rFonts w:ascii="Arial" w:eastAsia="仿宋_GB2312" w:hAnsi="Arial" w:cs="Arial"/>
                <w:sz w:val="22"/>
                <w:szCs w:val="16"/>
              </w:rPr>
              <w:t>-</w:t>
            </w:r>
            <w:r>
              <w:rPr>
                <w:rFonts w:ascii="Arial" w:eastAsia="仿宋_GB2312" w:hAnsi="Arial" w:cs="Arial"/>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1F7A7F0C" w14:textId="02C3B1F1" w:rsidR="006C1DB6" w:rsidRPr="00826D24" w:rsidRDefault="000B7D55"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58519.0120</w:t>
            </w:r>
          </w:p>
        </w:tc>
      </w:tr>
      <w:tr w:rsidR="006C1DB6" w:rsidRPr="00666906" w14:paraId="6194AD8D"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01609935"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w:t>
            </w:r>
          </w:p>
        </w:tc>
        <w:tc>
          <w:tcPr>
            <w:tcW w:w="993" w:type="pct"/>
            <w:tcBorders>
              <w:top w:val="nil"/>
              <w:left w:val="nil"/>
              <w:bottom w:val="single" w:sz="8" w:space="0" w:color="auto"/>
              <w:right w:val="nil"/>
            </w:tcBorders>
            <w:shd w:val="clear" w:color="auto" w:fill="auto"/>
            <w:vAlign w:val="center"/>
            <w:hideMark/>
          </w:tcPr>
          <w:p w14:paraId="71E23648"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0E49528F"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32 </w:t>
            </w:r>
          </w:p>
        </w:tc>
        <w:tc>
          <w:tcPr>
            <w:tcW w:w="1144" w:type="pct"/>
            <w:tcBorders>
              <w:top w:val="nil"/>
              <w:left w:val="nil"/>
              <w:bottom w:val="single" w:sz="8" w:space="0" w:color="auto"/>
              <w:right w:val="single" w:sz="8" w:space="0" w:color="auto"/>
            </w:tcBorders>
            <w:shd w:val="clear" w:color="auto" w:fill="auto"/>
            <w:vAlign w:val="center"/>
            <w:hideMark/>
          </w:tcPr>
          <w:p w14:paraId="2DF0F445" w14:textId="5E5A56BE" w:rsidR="006C1DB6"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2385</w:t>
            </w:r>
          </w:p>
        </w:tc>
        <w:tc>
          <w:tcPr>
            <w:tcW w:w="1265" w:type="pct"/>
            <w:tcBorders>
              <w:top w:val="nil"/>
              <w:left w:val="nil"/>
              <w:bottom w:val="single" w:sz="8" w:space="0" w:color="auto"/>
              <w:right w:val="single" w:sz="8" w:space="0" w:color="auto"/>
            </w:tcBorders>
            <w:shd w:val="clear" w:color="auto" w:fill="auto"/>
            <w:vAlign w:val="center"/>
            <w:hideMark/>
          </w:tcPr>
          <w:p w14:paraId="0FD7B703" w14:textId="1E57FC57" w:rsidR="006C1DB6"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7.6320</w:t>
            </w:r>
          </w:p>
        </w:tc>
      </w:tr>
      <w:tr w:rsidR="006C1DB6" w:rsidRPr="00666906" w14:paraId="5FE9B81E"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1FD2F4A8"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7B00A339"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地下车库</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6282CBDF"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10345 </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4ED4281E" w14:textId="693311F7" w:rsidR="006C1DB6" w:rsidRPr="00666906"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2481</w:t>
            </w:r>
          </w:p>
        </w:tc>
        <w:tc>
          <w:tcPr>
            <w:tcW w:w="1265" w:type="pct"/>
            <w:tcBorders>
              <w:top w:val="nil"/>
              <w:left w:val="nil"/>
              <w:bottom w:val="single" w:sz="8" w:space="0" w:color="auto"/>
              <w:right w:val="single" w:sz="8" w:space="0" w:color="auto"/>
            </w:tcBorders>
            <w:shd w:val="clear" w:color="auto" w:fill="auto"/>
            <w:vAlign w:val="center"/>
            <w:hideMark/>
          </w:tcPr>
          <w:p w14:paraId="3C13D546" w14:textId="39F9A107" w:rsidR="006C1DB6" w:rsidRPr="00666906"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2566.5995</w:t>
            </w:r>
          </w:p>
        </w:tc>
      </w:tr>
      <w:tr w:rsidR="006C1DB6" w:rsidRPr="00666906" w14:paraId="310D96AD"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24494100"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294F5845"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63FA1C8A" w14:textId="77777777" w:rsidR="006C1DB6" w:rsidRPr="00826D24" w:rsidRDefault="006C1DB6"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0D25D34C" w14:textId="77777777" w:rsidR="006C1DB6" w:rsidRPr="00826D24" w:rsidRDefault="006C1DB6"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7F27B311" w14:textId="06D3E4C4" w:rsidR="006C1DB6" w:rsidRPr="00826D24" w:rsidRDefault="00443EF8"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2574.2315</w:t>
            </w:r>
          </w:p>
        </w:tc>
      </w:tr>
      <w:tr w:rsidR="006C1DB6" w:rsidRPr="00666906" w14:paraId="51DFE6A4" w14:textId="77777777" w:rsidTr="00C70DD8">
        <w:trPr>
          <w:trHeight w:val="264"/>
        </w:trPr>
        <w:tc>
          <w:tcPr>
            <w:tcW w:w="1598" w:type="pct"/>
            <w:gridSpan w:val="2"/>
            <w:tcBorders>
              <w:top w:val="single" w:sz="8" w:space="0" w:color="auto"/>
              <w:left w:val="single" w:sz="8" w:space="0" w:color="auto"/>
              <w:bottom w:val="single" w:sz="8" w:space="0" w:color="auto"/>
              <w:right w:val="nil"/>
            </w:tcBorders>
            <w:shd w:val="clear" w:color="auto" w:fill="auto"/>
            <w:vAlign w:val="center"/>
            <w:hideMark/>
          </w:tcPr>
          <w:p w14:paraId="715A3C4B"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合计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DC7F418" w14:textId="77777777" w:rsidR="006C1DB6" w:rsidRPr="00826D24" w:rsidRDefault="006C1DB6"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6AEC1774" w14:textId="77777777" w:rsidR="006C1DB6" w:rsidRPr="00826D24" w:rsidRDefault="006C1DB6"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60D7CCFD" w14:textId="7C59ACF2" w:rsidR="006C1DB6" w:rsidRPr="00826D24" w:rsidRDefault="00443EF8" w:rsidP="007F1FA0">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61093.2435</w:t>
            </w:r>
          </w:p>
        </w:tc>
      </w:tr>
    </w:tbl>
    <w:p w14:paraId="15A00E87" w14:textId="77777777" w:rsidR="006C1DB6" w:rsidRDefault="006C1DB6" w:rsidP="006C1DB6">
      <w:pPr>
        <w:pStyle w:val="11"/>
        <w:ind w:firstLine="562"/>
        <w:rPr>
          <w:rFonts w:ascii="Arial" w:hAnsi="Arial" w:cs="Arial"/>
          <w:b/>
          <w:szCs w:val="28"/>
        </w:rPr>
      </w:pPr>
      <w:r>
        <w:rPr>
          <w:rFonts w:ascii="Arial" w:hAnsi="Arial" w:cs="Arial"/>
          <w:b/>
          <w:szCs w:val="28"/>
        </w:rPr>
        <w:sym w:font="Wingdings 2" w:char="F0C3"/>
      </w:r>
      <w:r>
        <w:rPr>
          <w:rFonts w:ascii="Arial" w:hAnsi="Arial" w:cs="Arial" w:hint="eastAsia"/>
          <w:b/>
          <w:szCs w:val="28"/>
        </w:rPr>
        <w:t>土地开发总成本</w:t>
      </w:r>
    </w:p>
    <w:p w14:paraId="41527ABD" w14:textId="77777777" w:rsidR="00B03551" w:rsidRPr="001C2131" w:rsidRDefault="00B03551" w:rsidP="00B03551">
      <w:pPr>
        <w:pStyle w:val="11"/>
        <w:jc w:val="both"/>
        <w:rPr>
          <w:rFonts w:ascii="Arial" w:hAnsi="Arial" w:cs="Arial"/>
          <w:bCs/>
          <w:szCs w:val="28"/>
        </w:rPr>
      </w:pPr>
      <w:r w:rsidRPr="001C2131">
        <w:rPr>
          <w:rFonts w:ascii="Arial" w:hAnsi="Arial" w:cs="Arial" w:hint="eastAsia"/>
          <w:bCs/>
          <w:szCs w:val="28"/>
        </w:rPr>
        <w:t>根据《北京市海淀区人民政府关于商请加快地铁</w:t>
      </w:r>
      <w:r w:rsidRPr="001C2131">
        <w:rPr>
          <w:rFonts w:ascii="Arial" w:hAnsi="Arial" w:cs="Arial" w:hint="eastAsia"/>
          <w:bCs/>
          <w:szCs w:val="28"/>
        </w:rPr>
        <w:t>16</w:t>
      </w:r>
      <w:r w:rsidRPr="001C2131">
        <w:rPr>
          <w:rFonts w:ascii="Arial" w:hAnsi="Arial" w:cs="Arial" w:hint="eastAsia"/>
          <w:bCs/>
          <w:szCs w:val="28"/>
        </w:rPr>
        <w:t>号线苏州街站一体化</w:t>
      </w:r>
      <w:r w:rsidRPr="001C2131">
        <w:rPr>
          <w:rFonts w:ascii="Arial" w:hAnsi="Arial" w:cs="Arial" w:hint="eastAsia"/>
          <w:bCs/>
          <w:szCs w:val="28"/>
        </w:rPr>
        <w:lastRenderedPageBreak/>
        <w:t>棚改项目国有建设用地使用权出让手续办理有关事宜的函》</w:t>
      </w:r>
      <w:r w:rsidRPr="001C2131">
        <w:rPr>
          <w:rFonts w:ascii="Arial" w:hAnsi="Arial" w:cs="Arial" w:hint="eastAsia"/>
          <w:bCs/>
          <w:szCs w:val="28"/>
        </w:rPr>
        <w:t>[</w:t>
      </w:r>
      <w:r w:rsidRPr="001C2131">
        <w:rPr>
          <w:rFonts w:ascii="Arial" w:hAnsi="Arial" w:cs="Arial" w:hint="eastAsia"/>
          <w:bCs/>
          <w:szCs w:val="28"/>
        </w:rPr>
        <w:t>海政函（</w:t>
      </w:r>
      <w:r w:rsidRPr="001C2131">
        <w:rPr>
          <w:rFonts w:ascii="Arial" w:hAnsi="Arial" w:cs="Arial" w:hint="eastAsia"/>
          <w:bCs/>
          <w:szCs w:val="28"/>
        </w:rPr>
        <w:t>2021</w:t>
      </w:r>
      <w:r w:rsidRPr="001C2131">
        <w:rPr>
          <w:rFonts w:ascii="Arial" w:hAnsi="Arial" w:cs="Arial" w:hint="eastAsia"/>
          <w:bCs/>
          <w:szCs w:val="28"/>
        </w:rPr>
        <w:t>）</w:t>
      </w:r>
      <w:r w:rsidRPr="001C2131">
        <w:rPr>
          <w:rFonts w:ascii="Arial" w:hAnsi="Arial" w:cs="Arial" w:hint="eastAsia"/>
          <w:bCs/>
          <w:szCs w:val="28"/>
        </w:rPr>
        <w:t>50</w:t>
      </w:r>
      <w:r w:rsidRPr="001C2131">
        <w:rPr>
          <w:rFonts w:ascii="Arial" w:hAnsi="Arial" w:cs="Arial" w:hint="eastAsia"/>
          <w:bCs/>
          <w:szCs w:val="28"/>
        </w:rPr>
        <w:t>号</w:t>
      </w:r>
      <w:r w:rsidRPr="001C2131">
        <w:rPr>
          <w:rFonts w:ascii="Arial" w:hAnsi="Arial" w:cs="Arial" w:hint="eastAsia"/>
          <w:bCs/>
          <w:szCs w:val="28"/>
        </w:rPr>
        <w:t>]</w:t>
      </w:r>
      <w:r w:rsidRPr="001C2131">
        <w:rPr>
          <w:rFonts w:ascii="Arial" w:hAnsi="Arial" w:cs="Arial" w:hint="eastAsia"/>
          <w:bCs/>
          <w:szCs w:val="28"/>
        </w:rPr>
        <w:t>及其附件。</w:t>
      </w:r>
      <w:r>
        <w:rPr>
          <w:rFonts w:ascii="Arial" w:hAnsi="Arial" w:cs="Arial" w:hint="eastAsia"/>
        </w:rPr>
        <w:t>该项目前期土地开发成本</w:t>
      </w:r>
      <w:r w:rsidRPr="00B03551">
        <w:rPr>
          <w:rFonts w:ascii="Arial" w:hAnsi="Arial" w:cs="Arial" w:hint="eastAsia"/>
        </w:rPr>
        <w:t>包括房屋拆迁补偿费等主要成本的实际发生额，以及未来计划发生成本和不可预见费（根据招标方案预估）</w:t>
      </w:r>
      <w:r>
        <w:rPr>
          <w:rFonts w:ascii="Arial" w:hAnsi="Arial" w:cs="Arial" w:hint="eastAsia"/>
        </w:rPr>
        <w:t>。</w:t>
      </w:r>
    </w:p>
    <w:p w14:paraId="143B7CEE" w14:textId="77777777" w:rsidR="00B03551" w:rsidRDefault="00B03551" w:rsidP="00B03551">
      <w:pPr>
        <w:snapToGrid w:val="0"/>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土地开发总成本：</w:t>
      </w:r>
      <w:r>
        <w:rPr>
          <w:rFonts w:ascii="Arial" w:eastAsia="仿宋_GB2312" w:hAnsi="Arial" w:cs="Arial"/>
          <w:sz w:val="28"/>
        </w:rPr>
        <w:t>158379.13</w:t>
      </w:r>
      <w:r>
        <w:rPr>
          <w:rFonts w:ascii="Arial" w:eastAsia="仿宋_GB2312" w:hAnsi="Arial" w:cs="Arial" w:hint="eastAsia"/>
          <w:sz w:val="28"/>
        </w:rPr>
        <w:t>万元</w:t>
      </w:r>
    </w:p>
    <w:p w14:paraId="71076D01" w14:textId="493468E3" w:rsidR="006C1DB6" w:rsidRDefault="00B03551" w:rsidP="00B03551">
      <w:pPr>
        <w:snapToGrid w:val="0"/>
        <w:spacing w:beforeLines="50" w:before="120" w:line="360" w:lineRule="auto"/>
        <w:ind w:firstLineChars="200" w:firstLine="560"/>
        <w:rPr>
          <w:rFonts w:ascii="Arial" w:eastAsia="仿宋_GB2312" w:hAnsi="Arial" w:cs="Arial"/>
          <w:sz w:val="28"/>
        </w:rPr>
      </w:pPr>
      <w:r>
        <w:rPr>
          <w:rFonts w:ascii="Arial" w:eastAsia="仿宋_GB2312" w:hAnsi="Arial" w:cs="Arial" w:hint="eastAsia"/>
          <w:sz w:val="28"/>
        </w:rPr>
        <w:t>大写金额：壹拾伍亿捌仟叁佰柒拾玖万壹仟叁佰元整</w:t>
      </w:r>
    </w:p>
    <w:p w14:paraId="44EDA065" w14:textId="77777777" w:rsidR="006C1DB6" w:rsidRPr="00AF4CFE" w:rsidRDefault="006C1DB6" w:rsidP="006C1DB6">
      <w:pPr>
        <w:pStyle w:val="11"/>
        <w:ind w:firstLine="562"/>
        <w:rPr>
          <w:rFonts w:ascii="Arial" w:hAnsi="Arial" w:cs="Arial"/>
          <w:b/>
          <w:szCs w:val="28"/>
        </w:rPr>
      </w:pPr>
      <w:r>
        <w:rPr>
          <w:rFonts w:ascii="Arial" w:hAnsi="Arial" w:cs="Arial"/>
          <w:b/>
          <w:szCs w:val="28"/>
        </w:rPr>
        <w:sym w:font="Wingdings 2" w:char="F0C3"/>
      </w:r>
      <w:r>
        <w:rPr>
          <w:rFonts w:ascii="Arial" w:hAnsi="Arial" w:cs="Arial" w:hint="eastAsia"/>
          <w:b/>
          <w:szCs w:val="28"/>
        </w:rPr>
        <w:t>需缴纳地价款</w:t>
      </w:r>
    </w:p>
    <w:tbl>
      <w:tblPr>
        <w:tblW w:w="5000" w:type="pct"/>
        <w:tblLook w:val="04A0" w:firstRow="1" w:lastRow="0" w:firstColumn="1" w:lastColumn="0" w:noHBand="0" w:noVBand="1"/>
      </w:tblPr>
      <w:tblGrid>
        <w:gridCol w:w="1123"/>
        <w:gridCol w:w="1844"/>
        <w:gridCol w:w="1844"/>
        <w:gridCol w:w="2124"/>
        <w:gridCol w:w="2349"/>
      </w:tblGrid>
      <w:tr w:rsidR="006C1DB6" w:rsidRPr="00666906" w14:paraId="4E825D88" w14:textId="77777777" w:rsidTr="00E906EE">
        <w:trPr>
          <w:trHeight w:val="936"/>
        </w:trPr>
        <w:tc>
          <w:tcPr>
            <w:tcW w:w="60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6B2F2538"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部位</w:t>
            </w:r>
          </w:p>
        </w:tc>
        <w:tc>
          <w:tcPr>
            <w:tcW w:w="993"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0AB3D014"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25720"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出让建筑面积</w:t>
            </w:r>
          </w:p>
          <w:p w14:paraId="1F152185" w14:textId="77777777" w:rsidR="006C1DB6" w:rsidRPr="00666906" w:rsidRDefault="006C1DB6" w:rsidP="00E906EE">
            <w:pPr>
              <w:spacing w:line="240" w:lineRule="auto"/>
              <w:jc w:val="center"/>
              <w:rPr>
                <w:rFonts w:ascii="Arial" w:eastAsia="仿宋_GB2312" w:hAnsi="Arial" w:cs="Arial"/>
                <w:b/>
                <w:bCs/>
                <w:sz w:val="22"/>
                <w:szCs w:val="16"/>
              </w:rPr>
            </w:pP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B3BC51" w14:textId="77777777" w:rsidR="006C1DB6" w:rsidRPr="00666906" w:rsidRDefault="006C1DB6" w:rsidP="00E906EE">
            <w:pPr>
              <w:widowControl/>
              <w:adjustRightInd/>
              <w:spacing w:line="240" w:lineRule="auto"/>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政府土地出让收益楼面单价（元</w:t>
            </w: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微软雅黑" w:eastAsia="微软雅黑" w:hAnsi="微软雅黑" w:cs="微软雅黑"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4C3076" w14:textId="77777777" w:rsidR="006C1DB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w:t>
            </w:r>
          </w:p>
          <w:p w14:paraId="6FEC122E"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收益总价</w:t>
            </w:r>
            <w:r w:rsidRPr="00666906">
              <w:rPr>
                <w:rFonts w:ascii="Arial" w:eastAsia="仿宋_GB2312" w:hAnsi="Arial" w:cs="Arial" w:hint="eastAsia"/>
                <w:b/>
                <w:bCs/>
                <w:sz w:val="22"/>
                <w:szCs w:val="16"/>
              </w:rPr>
              <w:t>(</w:t>
            </w:r>
            <w:r w:rsidRPr="00666906">
              <w:rPr>
                <w:rFonts w:ascii="Arial" w:eastAsia="仿宋_GB2312" w:hAnsi="Arial" w:cs="Arial" w:hint="eastAsia"/>
                <w:b/>
                <w:bCs/>
                <w:sz w:val="22"/>
                <w:szCs w:val="16"/>
              </w:rPr>
              <w:t>万元）</w:t>
            </w:r>
          </w:p>
        </w:tc>
      </w:tr>
      <w:tr w:rsidR="006C1DB6" w:rsidRPr="00666906" w14:paraId="2C70BCA7"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7A4AF6C1"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地上</w:t>
            </w:r>
          </w:p>
        </w:tc>
        <w:tc>
          <w:tcPr>
            <w:tcW w:w="993" w:type="pct"/>
            <w:tcBorders>
              <w:top w:val="nil"/>
              <w:left w:val="nil"/>
              <w:bottom w:val="single" w:sz="8" w:space="0" w:color="auto"/>
              <w:right w:val="nil"/>
            </w:tcBorders>
            <w:shd w:val="clear" w:color="auto" w:fill="auto"/>
            <w:vAlign w:val="center"/>
            <w:hideMark/>
          </w:tcPr>
          <w:p w14:paraId="28E94DD7"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住宅</w:t>
            </w:r>
          </w:p>
        </w:tc>
        <w:tc>
          <w:tcPr>
            <w:tcW w:w="99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95BF12C"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28075 </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773FE412" w14:textId="78C64FF8" w:rsidR="006C1DB6"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19900</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691D847E" w14:textId="71F329F8" w:rsidR="006C1DB6"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55869.2500</w:t>
            </w:r>
          </w:p>
        </w:tc>
      </w:tr>
      <w:tr w:rsidR="006C1DB6" w:rsidRPr="00666906" w14:paraId="03C2138D"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7C021533"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76F4511E"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商业</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15D8D507"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3318 </w:t>
            </w:r>
          </w:p>
        </w:tc>
        <w:tc>
          <w:tcPr>
            <w:tcW w:w="1144" w:type="pct"/>
            <w:tcBorders>
              <w:top w:val="nil"/>
              <w:left w:val="nil"/>
              <w:bottom w:val="single" w:sz="8" w:space="0" w:color="auto"/>
              <w:right w:val="single" w:sz="8" w:space="0" w:color="auto"/>
            </w:tcBorders>
            <w:shd w:val="clear" w:color="auto" w:fill="auto"/>
            <w:vAlign w:val="center"/>
            <w:hideMark/>
          </w:tcPr>
          <w:p w14:paraId="3A711B06" w14:textId="56DC1342" w:rsidR="006C1DB6"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7713</w:t>
            </w:r>
          </w:p>
        </w:tc>
        <w:tc>
          <w:tcPr>
            <w:tcW w:w="1265" w:type="pct"/>
            <w:tcBorders>
              <w:top w:val="nil"/>
              <w:left w:val="nil"/>
              <w:bottom w:val="single" w:sz="8" w:space="0" w:color="auto"/>
              <w:right w:val="single" w:sz="8" w:space="0" w:color="auto"/>
            </w:tcBorders>
            <w:shd w:val="clear" w:color="auto" w:fill="auto"/>
            <w:vAlign w:val="center"/>
            <w:hideMark/>
          </w:tcPr>
          <w:p w14:paraId="202698D6" w14:textId="2F7C2CF3" w:rsidR="006C1DB6"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2559.1734</w:t>
            </w:r>
          </w:p>
        </w:tc>
      </w:tr>
      <w:tr w:rsidR="006C1DB6" w:rsidRPr="00666906" w14:paraId="1BC1F0BF"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4774B87A"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63D5F942"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2C84A1F"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118 </w:t>
            </w:r>
          </w:p>
        </w:tc>
        <w:tc>
          <w:tcPr>
            <w:tcW w:w="1144" w:type="pct"/>
            <w:tcBorders>
              <w:top w:val="nil"/>
              <w:left w:val="nil"/>
              <w:bottom w:val="single" w:sz="8" w:space="0" w:color="auto"/>
              <w:right w:val="single" w:sz="8" w:space="0" w:color="auto"/>
            </w:tcBorders>
            <w:shd w:val="clear" w:color="auto" w:fill="auto"/>
            <w:vAlign w:val="center"/>
            <w:hideMark/>
          </w:tcPr>
          <w:p w14:paraId="78D04560" w14:textId="733F9069" w:rsidR="006C1DB6"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7677</w:t>
            </w:r>
          </w:p>
        </w:tc>
        <w:tc>
          <w:tcPr>
            <w:tcW w:w="1265" w:type="pct"/>
            <w:tcBorders>
              <w:top w:val="nil"/>
              <w:left w:val="nil"/>
              <w:bottom w:val="single" w:sz="8" w:space="0" w:color="auto"/>
              <w:right w:val="single" w:sz="8" w:space="0" w:color="auto"/>
            </w:tcBorders>
            <w:shd w:val="clear" w:color="auto" w:fill="auto"/>
            <w:vAlign w:val="center"/>
            <w:hideMark/>
          </w:tcPr>
          <w:p w14:paraId="690263F7" w14:textId="37452979" w:rsidR="006C1DB6"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90.5886</w:t>
            </w:r>
          </w:p>
        </w:tc>
      </w:tr>
      <w:tr w:rsidR="006C1DB6" w:rsidRPr="00666906" w14:paraId="7017F4C8"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7A3D8615"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254DC466"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33743EC5"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b/>
                <w:bCs/>
                <w:sz w:val="22"/>
                <w:szCs w:val="16"/>
              </w:rPr>
              <w:t xml:space="preserve">31511 </w:t>
            </w:r>
          </w:p>
        </w:tc>
        <w:tc>
          <w:tcPr>
            <w:tcW w:w="1144" w:type="pct"/>
            <w:tcBorders>
              <w:top w:val="nil"/>
              <w:left w:val="nil"/>
              <w:bottom w:val="single" w:sz="8" w:space="0" w:color="auto"/>
              <w:right w:val="single" w:sz="8" w:space="0" w:color="auto"/>
            </w:tcBorders>
            <w:shd w:val="clear" w:color="auto" w:fill="auto"/>
            <w:vAlign w:val="center"/>
            <w:hideMark/>
          </w:tcPr>
          <w:p w14:paraId="0D98CA82" w14:textId="77777777" w:rsidR="006C1DB6" w:rsidRPr="00826D24" w:rsidRDefault="006C1DB6" w:rsidP="00E906EE">
            <w:pPr>
              <w:widowControl/>
              <w:adjustRightInd/>
              <w:spacing w:line="240" w:lineRule="auto"/>
              <w:jc w:val="center"/>
              <w:textAlignment w:val="auto"/>
              <w:rPr>
                <w:rFonts w:ascii="Arial" w:eastAsia="仿宋_GB2312" w:hAnsi="Arial" w:cs="Arial"/>
                <w:sz w:val="22"/>
                <w:szCs w:val="16"/>
              </w:rPr>
            </w:pPr>
            <w:r w:rsidRPr="00826D24">
              <w:rPr>
                <w:rFonts w:ascii="Arial" w:eastAsia="仿宋_GB2312" w:hAnsi="Arial" w:cs="Arial"/>
                <w:sz w:val="22"/>
                <w:szCs w:val="16"/>
              </w:rPr>
              <w:t>-</w:t>
            </w:r>
            <w:r>
              <w:rPr>
                <w:rFonts w:ascii="Arial" w:eastAsia="仿宋_GB2312" w:hAnsi="Arial" w:cs="Arial"/>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399DA6E2" w14:textId="70731515" w:rsidR="006C1DB6" w:rsidRPr="00826D24" w:rsidRDefault="000B7D55"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58519.0120</w:t>
            </w:r>
          </w:p>
        </w:tc>
      </w:tr>
      <w:tr w:rsidR="006C1DB6" w:rsidRPr="00666906" w14:paraId="324560C8"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62167DD6"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w:t>
            </w:r>
          </w:p>
        </w:tc>
        <w:tc>
          <w:tcPr>
            <w:tcW w:w="993" w:type="pct"/>
            <w:tcBorders>
              <w:top w:val="nil"/>
              <w:left w:val="nil"/>
              <w:bottom w:val="single" w:sz="8" w:space="0" w:color="auto"/>
              <w:right w:val="nil"/>
            </w:tcBorders>
            <w:shd w:val="clear" w:color="auto" w:fill="auto"/>
            <w:vAlign w:val="center"/>
            <w:hideMark/>
          </w:tcPr>
          <w:p w14:paraId="13E66B36"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09ABC2BF"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32 </w:t>
            </w:r>
          </w:p>
        </w:tc>
        <w:tc>
          <w:tcPr>
            <w:tcW w:w="1144" w:type="pct"/>
            <w:tcBorders>
              <w:top w:val="nil"/>
              <w:left w:val="nil"/>
              <w:bottom w:val="single" w:sz="8" w:space="0" w:color="auto"/>
              <w:right w:val="single" w:sz="8" w:space="0" w:color="auto"/>
            </w:tcBorders>
            <w:shd w:val="clear" w:color="auto" w:fill="auto"/>
            <w:vAlign w:val="center"/>
            <w:hideMark/>
          </w:tcPr>
          <w:p w14:paraId="1D5AE1D8" w14:textId="0C71D855" w:rsidR="006C1DB6"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2385</w:t>
            </w:r>
          </w:p>
        </w:tc>
        <w:tc>
          <w:tcPr>
            <w:tcW w:w="1265" w:type="pct"/>
            <w:tcBorders>
              <w:top w:val="nil"/>
              <w:left w:val="nil"/>
              <w:bottom w:val="single" w:sz="8" w:space="0" w:color="auto"/>
              <w:right w:val="single" w:sz="8" w:space="0" w:color="auto"/>
            </w:tcBorders>
            <w:shd w:val="clear" w:color="auto" w:fill="auto"/>
            <w:vAlign w:val="center"/>
            <w:hideMark/>
          </w:tcPr>
          <w:p w14:paraId="4296E7BF" w14:textId="1341E92A" w:rsidR="006C1DB6"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7.6320</w:t>
            </w:r>
          </w:p>
        </w:tc>
      </w:tr>
      <w:tr w:rsidR="006C1DB6" w:rsidRPr="00666906" w14:paraId="22706ACF"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2A9E9CB1"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21EE0972"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地下车库</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3ED1768"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10345 </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79A7C513" w14:textId="135AA6F2" w:rsidR="006C1DB6" w:rsidRPr="00666906"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2481</w:t>
            </w:r>
          </w:p>
        </w:tc>
        <w:tc>
          <w:tcPr>
            <w:tcW w:w="1265" w:type="pct"/>
            <w:tcBorders>
              <w:top w:val="nil"/>
              <w:left w:val="nil"/>
              <w:bottom w:val="single" w:sz="8" w:space="0" w:color="auto"/>
              <w:right w:val="single" w:sz="8" w:space="0" w:color="auto"/>
            </w:tcBorders>
            <w:shd w:val="clear" w:color="auto" w:fill="auto"/>
            <w:vAlign w:val="center"/>
            <w:hideMark/>
          </w:tcPr>
          <w:p w14:paraId="34405101" w14:textId="6DD54788" w:rsidR="006C1DB6" w:rsidRPr="00666906"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2566.5995</w:t>
            </w:r>
          </w:p>
        </w:tc>
      </w:tr>
      <w:tr w:rsidR="006C1DB6" w:rsidRPr="00666906" w14:paraId="2AF3ED62"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4DBE39B3"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15B87234"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6001F720" w14:textId="77777777" w:rsidR="006C1DB6" w:rsidRPr="00826D24" w:rsidRDefault="006C1DB6"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46727658" w14:textId="77777777" w:rsidR="006C1DB6" w:rsidRPr="00826D24" w:rsidRDefault="006C1DB6"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3032E124" w14:textId="222637DB" w:rsidR="006C1DB6" w:rsidRPr="00826D24" w:rsidRDefault="00443EF8"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2574.2315</w:t>
            </w:r>
          </w:p>
        </w:tc>
      </w:tr>
      <w:tr w:rsidR="006C1DB6" w:rsidRPr="00666906" w14:paraId="7D05042C" w14:textId="77777777" w:rsidTr="00E906EE">
        <w:trPr>
          <w:trHeight w:val="420"/>
        </w:trPr>
        <w:tc>
          <w:tcPr>
            <w:tcW w:w="1598" w:type="pct"/>
            <w:gridSpan w:val="2"/>
            <w:tcBorders>
              <w:top w:val="single" w:sz="8" w:space="0" w:color="auto"/>
              <w:left w:val="single" w:sz="8" w:space="0" w:color="auto"/>
              <w:bottom w:val="single" w:sz="8" w:space="0" w:color="auto"/>
              <w:right w:val="nil"/>
            </w:tcBorders>
            <w:shd w:val="clear" w:color="auto" w:fill="auto"/>
            <w:vAlign w:val="center"/>
            <w:hideMark/>
          </w:tcPr>
          <w:p w14:paraId="6AE69121"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合计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A5A9899" w14:textId="77777777" w:rsidR="006C1DB6" w:rsidRPr="00826D24" w:rsidRDefault="006C1DB6"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709CF7ED" w14:textId="77777777" w:rsidR="006C1DB6" w:rsidRPr="00826D24" w:rsidRDefault="006C1DB6"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43BE77C1" w14:textId="75E6370E" w:rsidR="006C1DB6" w:rsidRPr="00826D24" w:rsidRDefault="00443EF8" w:rsidP="007F1FA0">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61093.2435</w:t>
            </w:r>
          </w:p>
        </w:tc>
      </w:tr>
    </w:tbl>
    <w:p w14:paraId="447DFCC0" w14:textId="77777777" w:rsidR="006C1DB6" w:rsidRDefault="006C1DB6" w:rsidP="006C1DB6">
      <w:pPr>
        <w:spacing w:beforeLines="100" w:before="240" w:line="360" w:lineRule="auto"/>
        <w:ind w:firstLineChars="200" w:firstLine="560"/>
        <w:jc w:val="both"/>
        <w:rPr>
          <w:rFonts w:ascii="Arial" w:eastAsia="仿宋_GB2312" w:hAnsi="Arial" w:cs="Arial"/>
          <w:sz w:val="28"/>
        </w:rPr>
      </w:pPr>
      <w:r w:rsidRPr="00666906">
        <w:rPr>
          <w:rFonts w:ascii="Arial" w:eastAsia="仿宋_GB2312" w:hAnsi="Arial" w:cs="Arial" w:hint="eastAsia"/>
          <w:sz w:val="28"/>
        </w:rPr>
        <w:t>具体结果详见《估价结果一览表》</w:t>
      </w:r>
    </w:p>
    <w:p w14:paraId="305639D4" w14:textId="77777777" w:rsidR="006C1DB6" w:rsidRDefault="006C1DB6" w:rsidP="006C1DB6">
      <w:pPr>
        <w:snapToGrid w:val="0"/>
        <w:spacing w:line="360" w:lineRule="auto"/>
        <w:ind w:firstLine="556"/>
        <w:rPr>
          <w:rFonts w:ascii="Arial" w:hAnsi="Arial" w:cs="Arial"/>
          <w:b/>
          <w:szCs w:val="28"/>
        </w:rPr>
      </w:pPr>
      <w:r>
        <w:rPr>
          <w:rFonts w:ascii="Arial" w:hAnsi="Arial" w:cs="Arial"/>
          <w:b/>
          <w:szCs w:val="28"/>
        </w:rPr>
        <w:br w:type="page"/>
      </w:r>
    </w:p>
    <w:p w14:paraId="7D140B1B" w14:textId="77777777" w:rsidR="00790873" w:rsidRPr="00AF4CFE" w:rsidRDefault="00790873" w:rsidP="00790873">
      <w:pPr>
        <w:snapToGrid w:val="0"/>
        <w:spacing w:line="360" w:lineRule="auto"/>
        <w:ind w:firstLine="556"/>
        <w:rPr>
          <w:rFonts w:ascii="Arial" w:eastAsia="仿宋_GB2312" w:hAnsi="Arial" w:cs="Arial"/>
          <w:b/>
          <w:kern w:val="2"/>
          <w:sz w:val="28"/>
          <w:szCs w:val="28"/>
        </w:rPr>
      </w:pPr>
      <w:r w:rsidRPr="00042468">
        <w:rPr>
          <w:rFonts w:ascii="Arial" w:hAnsi="Arial" w:cs="Arial"/>
          <w:b/>
          <w:szCs w:val="28"/>
        </w:rPr>
        <w:lastRenderedPageBreak/>
        <w:sym w:font="Wingdings 2" w:char="F0C3"/>
      </w:r>
      <w:r w:rsidRPr="00042468">
        <w:rPr>
          <w:rFonts w:ascii="Arial" w:eastAsia="仿宋_GB2312" w:hAnsi="Arial" w:cs="Arial"/>
          <w:b/>
          <w:kern w:val="2"/>
          <w:sz w:val="28"/>
          <w:szCs w:val="28"/>
        </w:rPr>
        <w:t>出让底价建议</w:t>
      </w:r>
    </w:p>
    <w:p w14:paraId="04FB0638" w14:textId="77777777" w:rsidR="00790873" w:rsidRDefault="00790873" w:rsidP="00790873">
      <w:pPr>
        <w:pStyle w:val="11"/>
        <w:jc w:val="both"/>
        <w:rPr>
          <w:rFonts w:ascii="Arial" w:hAnsi="Arial" w:cs="Arial"/>
          <w:szCs w:val="28"/>
        </w:rPr>
      </w:pPr>
      <w:r>
        <w:rPr>
          <w:rFonts w:ascii="Arial" w:hAnsi="Arial" w:cs="Arial" w:hint="eastAsia"/>
        </w:rPr>
        <w:t>本次评估是</w:t>
      </w:r>
      <w:r w:rsidRPr="00F631FB">
        <w:rPr>
          <w:rFonts w:ascii="Arial" w:hAnsi="Arial" w:cs="Arial"/>
        </w:rPr>
        <w:t>为北京市规划和自然资源委员会办理该项目</w:t>
      </w:r>
      <w:r w:rsidRPr="00927BB2">
        <w:rPr>
          <w:rFonts w:ascii="Arial" w:hAnsi="Arial" w:cs="Arial" w:hint="eastAsia"/>
        </w:rPr>
        <w:t>一次性招标</w:t>
      </w:r>
      <w:r>
        <w:rPr>
          <w:rFonts w:ascii="Arial" w:hAnsi="Arial" w:cs="Arial" w:hint="eastAsia"/>
        </w:rPr>
        <w:t>出让手续</w:t>
      </w:r>
      <w:r w:rsidRPr="00F631FB">
        <w:rPr>
          <w:rFonts w:ascii="Arial" w:hAnsi="Arial" w:cs="Arial"/>
        </w:rPr>
        <w:t>提供参考</w:t>
      </w:r>
      <w:r w:rsidRPr="00F631FB">
        <w:rPr>
          <w:rFonts w:ascii="Arial" w:hAnsi="Arial" w:cs="Arial" w:hint="eastAsia"/>
        </w:rPr>
        <w:t>依据</w:t>
      </w:r>
      <w:r w:rsidRPr="00F631FB">
        <w:rPr>
          <w:rFonts w:ascii="Arial" w:hAnsi="Arial" w:cs="Arial"/>
        </w:rPr>
        <w:t>。</w:t>
      </w:r>
      <w:r>
        <w:rPr>
          <w:rFonts w:ascii="Arial" w:hAnsi="Arial" w:cs="Arial" w:hint="eastAsia"/>
        </w:rPr>
        <w:t>估价对象非特</w:t>
      </w:r>
      <w:proofErr w:type="gramStart"/>
      <w:r>
        <w:rPr>
          <w:rFonts w:ascii="Arial" w:hAnsi="Arial" w:cs="Arial" w:hint="eastAsia"/>
        </w:rPr>
        <w:t>定条件下招拍挂</w:t>
      </w:r>
      <w:proofErr w:type="gramEnd"/>
      <w:r>
        <w:rPr>
          <w:rFonts w:ascii="Arial" w:hAnsi="Arial" w:cs="Arial" w:hint="eastAsia"/>
        </w:rPr>
        <w:t>出让方式，</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Pr>
          <w:rFonts w:ascii="Arial" w:hAnsi="Arial" w:cs="Arial" w:hint="eastAsia"/>
          <w:szCs w:val="28"/>
        </w:rPr>
        <w:t>中未对一次性招标出让底价进行特殊规定，</w:t>
      </w:r>
      <w:r>
        <w:rPr>
          <w:rFonts w:ascii="Arial" w:hAnsi="Arial" w:cs="Arial" w:hint="eastAsia"/>
        </w:rPr>
        <w:t>故本次出让底价建议参考</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sidRPr="00AF4CFE">
        <w:rPr>
          <w:rFonts w:ascii="Arial" w:hAnsi="Arial" w:cs="Arial"/>
          <w:szCs w:val="28"/>
        </w:rPr>
        <w:t>对于</w:t>
      </w:r>
      <w:r>
        <w:rPr>
          <w:rFonts w:ascii="Arial" w:hAnsi="Arial" w:cs="Arial" w:hint="eastAsia"/>
          <w:szCs w:val="28"/>
        </w:rPr>
        <w:t>协议</w:t>
      </w:r>
      <w:r w:rsidRPr="00AF4CFE">
        <w:rPr>
          <w:rFonts w:ascii="Arial" w:hAnsi="Arial" w:cs="Arial"/>
          <w:szCs w:val="28"/>
        </w:rPr>
        <w:t>出让项目</w:t>
      </w:r>
      <w:r>
        <w:rPr>
          <w:rFonts w:ascii="Arial" w:hAnsi="Arial" w:cs="Arial" w:hint="eastAsia"/>
          <w:szCs w:val="28"/>
        </w:rPr>
        <w:t>的规定：</w:t>
      </w:r>
      <w:r w:rsidRPr="00AF4CFE">
        <w:rPr>
          <w:rFonts w:ascii="Arial" w:hAnsi="Arial" w:cs="Arial"/>
          <w:szCs w:val="28"/>
        </w:rPr>
        <w:t>“</w:t>
      </w:r>
      <w:r w:rsidRPr="00AF4CFE">
        <w:rPr>
          <w:rFonts w:ascii="Arial" w:hAnsi="Arial" w:cs="Arial"/>
          <w:szCs w:val="28"/>
        </w:rPr>
        <w:t>确定估价结果，并根据当地市场情况、有关法律法规和政策规定，给出底价决策建议</w:t>
      </w:r>
      <w:r w:rsidRPr="00AF4CFE">
        <w:rPr>
          <w:rFonts w:ascii="Arial" w:hAnsi="Arial" w:cs="Arial"/>
          <w:szCs w:val="28"/>
        </w:rPr>
        <w:t>”</w:t>
      </w:r>
      <w:r w:rsidRPr="00AF4CFE">
        <w:rPr>
          <w:rFonts w:ascii="Arial" w:hAnsi="Arial" w:cs="Arial"/>
          <w:szCs w:val="28"/>
        </w:rPr>
        <w:t>，出让底价应不低于宗地所在级别基准地价低限修正后结果。</w:t>
      </w:r>
    </w:p>
    <w:p w14:paraId="2D2A4C1D" w14:textId="77777777" w:rsidR="00790873" w:rsidRPr="000B7D55" w:rsidRDefault="00790873" w:rsidP="00790873">
      <w:pPr>
        <w:spacing w:line="360" w:lineRule="auto"/>
        <w:ind w:firstLineChars="200" w:firstLine="560"/>
        <w:rPr>
          <w:rFonts w:ascii="Arial" w:eastAsia="仿宋_GB2312" w:hAnsi="Arial" w:cs="Arial"/>
          <w:sz w:val="28"/>
        </w:rPr>
      </w:pPr>
      <w:r w:rsidRPr="004B7002">
        <w:rPr>
          <w:rFonts w:ascii="Arial" w:eastAsia="仿宋_GB2312" w:hAnsi="Arial" w:cs="Arial"/>
          <w:sz w:val="28"/>
          <w:szCs w:val="28"/>
        </w:rPr>
        <w:t xml:space="preserve">1. </w:t>
      </w: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p>
    <w:p w14:paraId="4AB6D019" w14:textId="77777777" w:rsidR="00790873" w:rsidRDefault="00790873" w:rsidP="0079087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估价对象所在</w:t>
      </w:r>
      <w:r w:rsidRPr="000B7D55">
        <w:rPr>
          <w:rFonts w:ascii="Arial" w:eastAsia="仿宋_GB2312" w:hAnsi="Arial" w:cs="Arial"/>
          <w:sz w:val="28"/>
        </w:rPr>
        <w:t>居住类</w:t>
      </w:r>
      <w:r w:rsidRPr="000B7D55">
        <w:rPr>
          <w:rFonts w:ascii="Arial" w:eastAsia="仿宋_GB2312" w:hAnsi="Arial" w:cs="Arial" w:hint="eastAsia"/>
          <w:sz w:val="28"/>
        </w:rPr>
        <w:t>二</w:t>
      </w:r>
      <w:r w:rsidRPr="000B7D55">
        <w:rPr>
          <w:rFonts w:ascii="Arial" w:eastAsia="仿宋_GB2312" w:hAnsi="Arial" w:cs="Arial"/>
          <w:sz w:val="28"/>
        </w:rPr>
        <w:t>级</w:t>
      </w:r>
      <w:r w:rsidRPr="000B7D55">
        <w:rPr>
          <w:rFonts w:ascii="Arial" w:eastAsia="仿宋_GB2312" w:hAnsi="Arial" w:cs="Arial" w:hint="eastAsia"/>
          <w:sz w:val="28"/>
        </w:rPr>
        <w:t>Ⅱ</w:t>
      </w:r>
      <w:r w:rsidRPr="000B7D55">
        <w:rPr>
          <w:rFonts w:ascii="Arial" w:eastAsia="仿宋_GB2312" w:hAnsi="Arial" w:cs="Arial"/>
          <w:sz w:val="28"/>
        </w:rPr>
        <w:t>-0</w:t>
      </w:r>
      <w:r w:rsidRPr="000B7D55">
        <w:rPr>
          <w:rFonts w:ascii="Arial" w:eastAsia="仿宋_GB2312" w:hAnsi="Arial" w:cs="Arial" w:hint="eastAsia"/>
          <w:sz w:val="28"/>
        </w:rPr>
        <w:t>3</w:t>
      </w:r>
      <w:r w:rsidRPr="000B7D55">
        <w:rPr>
          <w:rFonts w:ascii="Arial" w:eastAsia="仿宋_GB2312" w:hAnsi="Arial" w:cs="Arial"/>
          <w:sz w:val="28"/>
        </w:rPr>
        <w:t>区片、商业类三级</w:t>
      </w:r>
      <w:r w:rsidRPr="000B7D55">
        <w:rPr>
          <w:rFonts w:ascii="Arial" w:eastAsia="仿宋_GB2312" w:hAnsi="Arial" w:cs="Arial" w:hint="eastAsia"/>
          <w:sz w:val="28"/>
        </w:rPr>
        <w:t>Ⅲ</w:t>
      </w:r>
      <w:r w:rsidRPr="000B7D55">
        <w:rPr>
          <w:rFonts w:ascii="Arial" w:eastAsia="仿宋_GB2312" w:hAnsi="Arial" w:cs="Arial"/>
          <w:sz w:val="28"/>
        </w:rPr>
        <w:t>-06</w:t>
      </w:r>
      <w:r w:rsidRPr="000B7D55">
        <w:rPr>
          <w:rFonts w:ascii="Arial" w:eastAsia="仿宋_GB2312" w:hAnsi="Arial" w:cs="Arial"/>
          <w:sz w:val="28"/>
        </w:rPr>
        <w:t>区片、办公类</w:t>
      </w:r>
      <w:r w:rsidRPr="000B7D55">
        <w:rPr>
          <w:rFonts w:ascii="Arial" w:eastAsia="仿宋_GB2312" w:hAnsi="Arial" w:cs="Arial" w:hint="eastAsia"/>
          <w:sz w:val="28"/>
        </w:rPr>
        <w:t>二</w:t>
      </w:r>
      <w:r w:rsidRPr="000B7D55">
        <w:rPr>
          <w:rFonts w:ascii="Arial" w:eastAsia="仿宋_GB2312" w:hAnsi="Arial" w:cs="Arial"/>
          <w:sz w:val="28"/>
        </w:rPr>
        <w:t>级</w:t>
      </w:r>
      <w:r w:rsidRPr="000B7D55">
        <w:rPr>
          <w:rFonts w:ascii="Arial" w:eastAsia="仿宋_GB2312" w:hAnsi="Arial" w:cs="Arial" w:hint="eastAsia"/>
          <w:sz w:val="28"/>
        </w:rPr>
        <w:t>Ⅱ</w:t>
      </w:r>
      <w:r w:rsidRPr="000B7D55">
        <w:rPr>
          <w:rFonts w:ascii="Arial" w:eastAsia="仿宋_GB2312" w:hAnsi="Arial" w:cs="Arial"/>
          <w:sz w:val="28"/>
        </w:rPr>
        <w:t>-0</w:t>
      </w:r>
      <w:r w:rsidRPr="000B7D55">
        <w:rPr>
          <w:rFonts w:ascii="Arial" w:eastAsia="仿宋_GB2312" w:hAnsi="Arial" w:cs="Arial" w:hint="eastAsia"/>
          <w:sz w:val="28"/>
        </w:rPr>
        <w:t>3</w:t>
      </w:r>
      <w:r w:rsidRPr="000B7D55">
        <w:rPr>
          <w:rFonts w:ascii="Arial" w:eastAsia="仿宋_GB2312" w:hAnsi="Arial" w:cs="Arial"/>
          <w:sz w:val="28"/>
        </w:rPr>
        <w:t>区片</w:t>
      </w:r>
      <w:r w:rsidRPr="000B7D55">
        <w:rPr>
          <w:rFonts w:ascii="Arial" w:eastAsia="仿宋_GB2312" w:hAnsi="Arial" w:cs="Arial" w:hint="eastAsia"/>
          <w:sz w:val="28"/>
        </w:rPr>
        <w:t>内</w:t>
      </w:r>
      <w:r>
        <w:rPr>
          <w:rFonts w:ascii="Arial" w:eastAsia="仿宋_GB2312" w:hAnsi="Arial" w:cs="Arial" w:hint="eastAsia"/>
          <w:sz w:val="28"/>
        </w:rPr>
        <w:t>；</w:t>
      </w:r>
      <w:r w:rsidRPr="000B7D55">
        <w:rPr>
          <w:rFonts w:ascii="Arial" w:eastAsia="仿宋_GB2312" w:hAnsi="Arial" w:cs="Arial"/>
          <w:sz w:val="28"/>
        </w:rPr>
        <w:t>居住类</w:t>
      </w:r>
      <w:r w:rsidRPr="000B7D55">
        <w:rPr>
          <w:rFonts w:ascii="Arial" w:eastAsia="仿宋_GB2312" w:hAnsi="Arial" w:cs="Arial" w:hint="eastAsia"/>
          <w:sz w:val="28"/>
        </w:rPr>
        <w:t>二</w:t>
      </w:r>
      <w:r w:rsidRPr="000B7D55">
        <w:rPr>
          <w:rFonts w:ascii="Arial" w:eastAsia="仿宋_GB2312" w:hAnsi="Arial" w:cs="Arial"/>
          <w:sz w:val="28"/>
        </w:rPr>
        <w:t>级</w:t>
      </w:r>
      <w:r w:rsidRPr="004B7002">
        <w:rPr>
          <w:rFonts w:ascii="Arial" w:eastAsia="仿宋_GB2312" w:hAnsi="Arial" w:cs="Arial"/>
          <w:sz w:val="28"/>
        </w:rPr>
        <w:t>区片价区间为</w:t>
      </w:r>
      <w:r>
        <w:rPr>
          <w:rFonts w:ascii="Arial" w:eastAsia="仿宋_GB2312" w:hAnsi="Arial" w:cs="Arial"/>
          <w:sz w:val="28"/>
        </w:rPr>
        <w:t>21250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27790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0B7D55">
        <w:rPr>
          <w:rFonts w:ascii="Arial" w:eastAsia="仿宋_GB2312" w:hAnsi="Arial" w:cs="Arial"/>
          <w:sz w:val="28"/>
        </w:rPr>
        <w:t>、商业类三级</w:t>
      </w:r>
      <w:r w:rsidRPr="004B7002">
        <w:rPr>
          <w:rFonts w:ascii="Arial" w:eastAsia="仿宋_GB2312" w:hAnsi="Arial" w:cs="Arial"/>
          <w:sz w:val="28"/>
        </w:rPr>
        <w:t>区片价区间为</w:t>
      </w:r>
      <w:r>
        <w:rPr>
          <w:rFonts w:ascii="Arial" w:eastAsia="仿宋_GB2312" w:hAnsi="Arial" w:cs="Arial"/>
          <w:sz w:val="28"/>
        </w:rPr>
        <w:t>17430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24410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0B7D55">
        <w:rPr>
          <w:rFonts w:ascii="Arial" w:eastAsia="仿宋_GB2312" w:hAnsi="Arial" w:cs="Arial"/>
          <w:sz w:val="28"/>
        </w:rPr>
        <w:t>、办公类</w:t>
      </w:r>
      <w:r w:rsidRPr="000B7D55">
        <w:rPr>
          <w:rFonts w:ascii="Arial" w:eastAsia="仿宋_GB2312" w:hAnsi="Arial" w:cs="Arial" w:hint="eastAsia"/>
          <w:sz w:val="28"/>
        </w:rPr>
        <w:t>二</w:t>
      </w:r>
      <w:r w:rsidRPr="000B7D55">
        <w:rPr>
          <w:rFonts w:ascii="Arial" w:eastAsia="仿宋_GB2312" w:hAnsi="Arial" w:cs="Arial"/>
          <w:sz w:val="28"/>
        </w:rPr>
        <w:t>级</w:t>
      </w:r>
      <w:r w:rsidRPr="004B7002">
        <w:rPr>
          <w:rFonts w:ascii="Arial" w:eastAsia="仿宋_GB2312" w:hAnsi="Arial" w:cs="Arial"/>
          <w:sz w:val="28"/>
        </w:rPr>
        <w:t>区片价区间为</w:t>
      </w:r>
      <w:r>
        <w:rPr>
          <w:rFonts w:ascii="Arial" w:eastAsia="仿宋_GB2312" w:hAnsi="Arial" w:cs="Arial"/>
          <w:sz w:val="28"/>
        </w:rPr>
        <w:t>21480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28080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Pr>
          <w:rFonts w:ascii="Arial" w:eastAsia="仿宋_GB2312" w:hAnsi="Arial" w:cs="Arial" w:hint="eastAsia"/>
          <w:sz w:val="28"/>
        </w:rPr>
        <w:t>，</w:t>
      </w:r>
      <w:r w:rsidRPr="004B7002">
        <w:rPr>
          <w:rFonts w:ascii="Arial" w:eastAsia="仿宋_GB2312" w:hAnsi="Arial" w:cs="Arial"/>
          <w:sz w:val="28"/>
        </w:rPr>
        <w:t>对其对应的各用途基准地价级别低限进行修正，过程和结果见下表：</w:t>
      </w:r>
    </w:p>
    <w:p w14:paraId="625A2792" w14:textId="77777777" w:rsidR="00790873" w:rsidRPr="004B7002" w:rsidRDefault="00790873" w:rsidP="00790873">
      <w:pPr>
        <w:spacing w:line="360" w:lineRule="auto"/>
        <w:ind w:firstLineChars="200" w:firstLine="560"/>
        <w:jc w:val="both"/>
        <w:rPr>
          <w:rFonts w:ascii="Arial" w:eastAsia="仿宋_GB2312" w:hAnsi="Arial" w:cs="Arial"/>
          <w:sz w:val="28"/>
        </w:rPr>
      </w:pPr>
    </w:p>
    <w:tbl>
      <w:tblPr>
        <w:tblStyle w:val="aff5"/>
        <w:tblW w:w="9640" w:type="dxa"/>
        <w:jc w:val="center"/>
        <w:tblLook w:val="04A0" w:firstRow="1" w:lastRow="0" w:firstColumn="1" w:lastColumn="0" w:noHBand="0" w:noVBand="1"/>
      </w:tblPr>
      <w:tblGrid>
        <w:gridCol w:w="662"/>
        <w:gridCol w:w="703"/>
        <w:gridCol w:w="771"/>
        <w:gridCol w:w="767"/>
        <w:gridCol w:w="789"/>
        <w:gridCol w:w="767"/>
        <w:gridCol w:w="810"/>
        <w:gridCol w:w="808"/>
        <w:gridCol w:w="767"/>
        <w:gridCol w:w="662"/>
        <w:gridCol w:w="967"/>
        <w:gridCol w:w="1167"/>
      </w:tblGrid>
      <w:tr w:rsidR="00790873" w:rsidRPr="004B7002" w14:paraId="3F366BF2" w14:textId="77777777" w:rsidTr="00790873">
        <w:trPr>
          <w:jc w:val="center"/>
        </w:trPr>
        <w:tc>
          <w:tcPr>
            <w:tcW w:w="662" w:type="dxa"/>
            <w:vAlign w:val="center"/>
          </w:tcPr>
          <w:p w14:paraId="37ACF9BC" w14:textId="77777777" w:rsidR="00790873" w:rsidRPr="004B7002" w:rsidRDefault="00790873" w:rsidP="0079087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lastRenderedPageBreak/>
              <w:t>用途</w:t>
            </w:r>
          </w:p>
        </w:tc>
        <w:tc>
          <w:tcPr>
            <w:tcW w:w="703" w:type="dxa"/>
            <w:vAlign w:val="center"/>
          </w:tcPr>
          <w:p w14:paraId="01F57825" w14:textId="77777777" w:rsidR="00790873" w:rsidRPr="004B7002" w:rsidRDefault="00790873" w:rsidP="0079087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土地级别</w:t>
            </w:r>
          </w:p>
        </w:tc>
        <w:tc>
          <w:tcPr>
            <w:tcW w:w="771" w:type="dxa"/>
            <w:vAlign w:val="center"/>
          </w:tcPr>
          <w:p w14:paraId="410EC48F" w14:textId="77777777" w:rsidR="00790873" w:rsidRPr="004B7002" w:rsidRDefault="00790873" w:rsidP="0079087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所在级别低限基准地价</w:t>
            </w:r>
          </w:p>
        </w:tc>
        <w:tc>
          <w:tcPr>
            <w:tcW w:w="767" w:type="dxa"/>
            <w:vAlign w:val="center"/>
          </w:tcPr>
          <w:p w14:paraId="6E9786BA" w14:textId="77777777" w:rsidR="00790873" w:rsidRPr="004B7002" w:rsidRDefault="00790873" w:rsidP="0079087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期日修正系数</w:t>
            </w:r>
          </w:p>
        </w:tc>
        <w:tc>
          <w:tcPr>
            <w:tcW w:w="789" w:type="dxa"/>
            <w:vAlign w:val="center"/>
          </w:tcPr>
          <w:p w14:paraId="46188A2D" w14:textId="77777777" w:rsidR="00790873" w:rsidRPr="004B7002" w:rsidRDefault="00790873" w:rsidP="0079087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年期修正系数</w:t>
            </w:r>
          </w:p>
        </w:tc>
        <w:tc>
          <w:tcPr>
            <w:tcW w:w="767" w:type="dxa"/>
            <w:vAlign w:val="center"/>
          </w:tcPr>
          <w:p w14:paraId="3679BCE3" w14:textId="77777777" w:rsidR="00790873" w:rsidRPr="004B7002" w:rsidRDefault="00790873" w:rsidP="0079087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hint="eastAsia"/>
                <w:b/>
                <w:color w:val="000000"/>
                <w:sz w:val="18"/>
                <w:szCs w:val="18"/>
              </w:rPr>
              <w:t>容积率修正系数</w:t>
            </w:r>
          </w:p>
        </w:tc>
        <w:tc>
          <w:tcPr>
            <w:tcW w:w="810" w:type="dxa"/>
            <w:vAlign w:val="center"/>
          </w:tcPr>
          <w:p w14:paraId="77501073" w14:textId="77777777" w:rsidR="00790873" w:rsidRPr="004B7002" w:rsidRDefault="00790873" w:rsidP="0079087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因素修正系数</w:t>
            </w:r>
          </w:p>
        </w:tc>
        <w:tc>
          <w:tcPr>
            <w:tcW w:w="808" w:type="dxa"/>
            <w:vAlign w:val="center"/>
          </w:tcPr>
          <w:p w14:paraId="559410A0" w14:textId="77777777" w:rsidR="00790873" w:rsidRPr="004B7002" w:rsidRDefault="00790873" w:rsidP="00790873">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r>
              <w:rPr>
                <w:rFonts w:ascii="Arial" w:eastAsia="仿宋_GB2312" w:hAnsi="Arial" w:cs="Arial"/>
                <w:b/>
                <w:color w:val="000000"/>
                <w:sz w:val="18"/>
                <w:szCs w:val="18"/>
              </w:rPr>
              <w:t>/</w:t>
            </w:r>
            <w:r>
              <w:rPr>
                <w:rFonts w:ascii="Arial" w:eastAsia="仿宋_GB2312" w:hAnsi="Arial" w:cs="Arial" w:hint="eastAsia"/>
                <w:b/>
                <w:color w:val="000000"/>
                <w:sz w:val="18"/>
                <w:szCs w:val="18"/>
              </w:rPr>
              <w:t>地下空间修正系数</w:t>
            </w:r>
          </w:p>
        </w:tc>
        <w:tc>
          <w:tcPr>
            <w:tcW w:w="767" w:type="dxa"/>
            <w:vAlign w:val="center"/>
          </w:tcPr>
          <w:p w14:paraId="2C4EA5EA" w14:textId="77777777" w:rsidR="00790873" w:rsidRPr="004B7002" w:rsidRDefault="00790873" w:rsidP="0079087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楼面熟地价</w:t>
            </w:r>
          </w:p>
        </w:tc>
        <w:tc>
          <w:tcPr>
            <w:tcW w:w="662" w:type="dxa"/>
            <w:vAlign w:val="center"/>
          </w:tcPr>
          <w:p w14:paraId="603FC90A" w14:textId="77777777" w:rsidR="00790873" w:rsidRPr="004B7002" w:rsidRDefault="00790873" w:rsidP="00790873">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政府土地出让收益</w:t>
            </w:r>
          </w:p>
        </w:tc>
        <w:tc>
          <w:tcPr>
            <w:tcW w:w="967" w:type="dxa"/>
            <w:vAlign w:val="center"/>
          </w:tcPr>
          <w:p w14:paraId="0A1065F8" w14:textId="77777777" w:rsidR="00790873" w:rsidRPr="0063620D" w:rsidRDefault="00790873" w:rsidP="00790873">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建筑面积</w:t>
            </w:r>
          </w:p>
        </w:tc>
        <w:tc>
          <w:tcPr>
            <w:tcW w:w="1167" w:type="dxa"/>
            <w:vAlign w:val="center"/>
          </w:tcPr>
          <w:p w14:paraId="32248CB3" w14:textId="77777777" w:rsidR="00790873" w:rsidRPr="0063620D" w:rsidRDefault="00790873" w:rsidP="00790873">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w:t>
            </w:r>
            <w:r>
              <w:rPr>
                <w:rFonts w:ascii="Arial" w:eastAsia="仿宋_GB2312" w:hAnsi="Arial" w:cs="Arial" w:hint="eastAsia"/>
                <w:b/>
                <w:color w:val="000000"/>
                <w:sz w:val="18"/>
                <w:szCs w:val="18"/>
              </w:rPr>
              <w:t>总</w:t>
            </w:r>
            <w:r w:rsidRPr="0063620D">
              <w:rPr>
                <w:rFonts w:ascii="Arial" w:eastAsia="仿宋_GB2312" w:hAnsi="Arial" w:cs="Arial" w:hint="eastAsia"/>
                <w:b/>
                <w:color w:val="000000"/>
                <w:sz w:val="18"/>
                <w:szCs w:val="18"/>
              </w:rPr>
              <w:t>收益</w:t>
            </w:r>
          </w:p>
        </w:tc>
      </w:tr>
      <w:tr w:rsidR="00790873" w:rsidRPr="004B7002" w14:paraId="464860F5" w14:textId="77777777" w:rsidTr="00790873">
        <w:trPr>
          <w:jc w:val="center"/>
        </w:trPr>
        <w:tc>
          <w:tcPr>
            <w:tcW w:w="662" w:type="dxa"/>
            <w:vAlign w:val="center"/>
          </w:tcPr>
          <w:p w14:paraId="25D7F03E"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住宅</w:t>
            </w:r>
          </w:p>
        </w:tc>
        <w:tc>
          <w:tcPr>
            <w:tcW w:w="703" w:type="dxa"/>
            <w:vAlign w:val="center"/>
          </w:tcPr>
          <w:p w14:paraId="68283F61"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6B1469AA"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0926A183"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2A0ED0B8"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1569EA2E"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0.865</w:t>
            </w:r>
            <w:r>
              <w:rPr>
                <w:rFonts w:ascii="Arial" w:eastAsia="仿宋_GB2312" w:hAnsi="Arial" w:cs="Arial"/>
                <w:color w:val="000000"/>
                <w:sz w:val="18"/>
                <w:szCs w:val="18"/>
              </w:rPr>
              <w:t>2</w:t>
            </w:r>
          </w:p>
        </w:tc>
        <w:tc>
          <w:tcPr>
            <w:tcW w:w="810" w:type="dxa"/>
            <w:vAlign w:val="center"/>
          </w:tcPr>
          <w:p w14:paraId="1B499731"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7139FA48" w14:textId="77777777" w:rsidR="00790873" w:rsidRPr="0020403B" w:rsidRDefault="00790873" w:rsidP="0079087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584380EF" w14:textId="77777777" w:rsidR="00790873" w:rsidRPr="004B7002" w:rsidRDefault="00790873" w:rsidP="0079087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3</w:t>
            </w:r>
            <w:r>
              <w:rPr>
                <w:rFonts w:ascii="Arial" w:eastAsia="仿宋_GB2312" w:hAnsi="Arial" w:cs="Arial"/>
                <w:b/>
                <w:bCs/>
                <w:color w:val="000000"/>
                <w:sz w:val="18"/>
                <w:szCs w:val="18"/>
              </w:rPr>
              <w:t>4471</w:t>
            </w:r>
          </w:p>
        </w:tc>
        <w:tc>
          <w:tcPr>
            <w:tcW w:w="662" w:type="dxa"/>
            <w:vAlign w:val="center"/>
          </w:tcPr>
          <w:p w14:paraId="30B63681"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8</w:t>
            </w:r>
            <w:r>
              <w:rPr>
                <w:rFonts w:ascii="Arial" w:eastAsia="仿宋_GB2312" w:hAnsi="Arial" w:cs="Arial"/>
                <w:b/>
                <w:bCs/>
                <w:color w:val="000000"/>
                <w:sz w:val="18"/>
                <w:szCs w:val="18"/>
              </w:rPr>
              <w:t>618</w:t>
            </w:r>
          </w:p>
        </w:tc>
        <w:tc>
          <w:tcPr>
            <w:tcW w:w="967" w:type="dxa"/>
            <w:vAlign w:val="center"/>
          </w:tcPr>
          <w:p w14:paraId="5955B8FF"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28075</w:t>
            </w:r>
          </w:p>
        </w:tc>
        <w:tc>
          <w:tcPr>
            <w:tcW w:w="1167" w:type="dxa"/>
            <w:vAlign w:val="center"/>
          </w:tcPr>
          <w:p w14:paraId="48A6E913"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24195.035</w:t>
            </w:r>
            <w:r>
              <w:rPr>
                <w:rFonts w:ascii="Arial" w:eastAsia="仿宋_GB2312" w:hAnsi="Arial" w:cs="Arial"/>
                <w:b/>
                <w:bCs/>
                <w:color w:val="000000"/>
                <w:sz w:val="18"/>
                <w:szCs w:val="18"/>
              </w:rPr>
              <w:t>0</w:t>
            </w:r>
          </w:p>
        </w:tc>
      </w:tr>
      <w:tr w:rsidR="00790873" w:rsidRPr="004B7002" w14:paraId="5D770C06" w14:textId="77777777" w:rsidTr="00790873">
        <w:trPr>
          <w:jc w:val="center"/>
        </w:trPr>
        <w:tc>
          <w:tcPr>
            <w:tcW w:w="662" w:type="dxa"/>
            <w:vAlign w:val="center"/>
          </w:tcPr>
          <w:p w14:paraId="61BC75C9"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703" w:type="dxa"/>
            <w:vAlign w:val="center"/>
          </w:tcPr>
          <w:p w14:paraId="15FF979C"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Ⅲ</w:t>
            </w:r>
            <w:r w:rsidRPr="0063620D">
              <w:rPr>
                <w:rFonts w:ascii="Arial" w:eastAsia="仿宋_GB2312" w:hAnsi="Arial" w:cs="Arial" w:hint="eastAsia"/>
                <w:color w:val="000000"/>
                <w:sz w:val="18"/>
                <w:szCs w:val="18"/>
              </w:rPr>
              <w:t>-06</w:t>
            </w:r>
          </w:p>
        </w:tc>
        <w:tc>
          <w:tcPr>
            <w:tcW w:w="771" w:type="dxa"/>
            <w:vAlign w:val="center"/>
          </w:tcPr>
          <w:p w14:paraId="0967EB41"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767" w:type="dxa"/>
            <w:vAlign w:val="center"/>
          </w:tcPr>
          <w:p w14:paraId="72B8DD33"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390ADD65"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70DC4CDF"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.8175</w:t>
            </w:r>
          </w:p>
        </w:tc>
        <w:tc>
          <w:tcPr>
            <w:tcW w:w="810" w:type="dxa"/>
            <w:vAlign w:val="center"/>
          </w:tcPr>
          <w:p w14:paraId="4E7DF767"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.0535</w:t>
            </w:r>
          </w:p>
        </w:tc>
        <w:tc>
          <w:tcPr>
            <w:tcW w:w="808" w:type="dxa"/>
            <w:vAlign w:val="center"/>
          </w:tcPr>
          <w:p w14:paraId="518915F0" w14:textId="77777777" w:rsidR="00790873" w:rsidRPr="0020403B" w:rsidRDefault="00790873" w:rsidP="0079087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131B8B21" w14:textId="77777777" w:rsidR="00790873" w:rsidRPr="004B7002" w:rsidRDefault="00790873" w:rsidP="0079087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0960</w:t>
            </w:r>
          </w:p>
        </w:tc>
        <w:tc>
          <w:tcPr>
            <w:tcW w:w="662" w:type="dxa"/>
            <w:vAlign w:val="center"/>
          </w:tcPr>
          <w:p w14:paraId="22B53CE5"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5</w:t>
            </w:r>
            <w:r>
              <w:rPr>
                <w:rFonts w:ascii="Arial" w:eastAsia="仿宋_GB2312" w:hAnsi="Arial" w:cs="Arial"/>
                <w:b/>
                <w:bCs/>
                <w:color w:val="000000"/>
                <w:sz w:val="18"/>
                <w:szCs w:val="18"/>
              </w:rPr>
              <w:t>240</w:t>
            </w:r>
          </w:p>
        </w:tc>
        <w:tc>
          <w:tcPr>
            <w:tcW w:w="967" w:type="dxa"/>
            <w:vAlign w:val="center"/>
          </w:tcPr>
          <w:p w14:paraId="1DEDD0BF"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3318</w:t>
            </w:r>
          </w:p>
        </w:tc>
        <w:tc>
          <w:tcPr>
            <w:tcW w:w="1167" w:type="dxa"/>
            <w:vAlign w:val="center"/>
          </w:tcPr>
          <w:p w14:paraId="476DE1AA"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1738.632</w:t>
            </w:r>
            <w:r>
              <w:rPr>
                <w:rFonts w:ascii="Arial" w:eastAsia="仿宋_GB2312" w:hAnsi="Arial" w:cs="Arial"/>
                <w:b/>
                <w:bCs/>
                <w:color w:val="000000"/>
                <w:sz w:val="18"/>
                <w:szCs w:val="18"/>
              </w:rPr>
              <w:t>0</w:t>
            </w:r>
          </w:p>
        </w:tc>
      </w:tr>
      <w:tr w:rsidR="00790873" w:rsidRPr="004B7002" w14:paraId="1739DD20" w14:textId="77777777" w:rsidTr="00790873">
        <w:trPr>
          <w:jc w:val="center"/>
        </w:trPr>
        <w:tc>
          <w:tcPr>
            <w:tcW w:w="662" w:type="dxa"/>
            <w:vAlign w:val="center"/>
          </w:tcPr>
          <w:p w14:paraId="3B153725"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办公</w:t>
            </w:r>
          </w:p>
        </w:tc>
        <w:tc>
          <w:tcPr>
            <w:tcW w:w="703" w:type="dxa"/>
            <w:vAlign w:val="center"/>
          </w:tcPr>
          <w:p w14:paraId="37F14EAC"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3F63FA38"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79831919"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3566BD5B"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417B2DD7"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.9151</w:t>
            </w:r>
          </w:p>
        </w:tc>
        <w:tc>
          <w:tcPr>
            <w:tcW w:w="810" w:type="dxa"/>
            <w:vAlign w:val="center"/>
          </w:tcPr>
          <w:p w14:paraId="2D9A6C85"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1841F4DF" w14:textId="77777777" w:rsidR="00790873" w:rsidRPr="0020403B" w:rsidRDefault="00790873" w:rsidP="0079087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355BDE96" w14:textId="77777777" w:rsidR="00790873" w:rsidRPr="004B7002" w:rsidRDefault="00790873" w:rsidP="0079087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8536</w:t>
            </w:r>
          </w:p>
        </w:tc>
        <w:tc>
          <w:tcPr>
            <w:tcW w:w="662" w:type="dxa"/>
            <w:vAlign w:val="center"/>
          </w:tcPr>
          <w:p w14:paraId="2076F696"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7</w:t>
            </w:r>
            <w:r>
              <w:rPr>
                <w:rFonts w:ascii="Arial" w:eastAsia="仿宋_GB2312" w:hAnsi="Arial" w:cs="Arial"/>
                <w:b/>
                <w:bCs/>
                <w:color w:val="000000"/>
                <w:sz w:val="18"/>
                <w:szCs w:val="18"/>
              </w:rPr>
              <w:t>134</w:t>
            </w:r>
          </w:p>
        </w:tc>
        <w:tc>
          <w:tcPr>
            <w:tcW w:w="967" w:type="dxa"/>
            <w:vAlign w:val="center"/>
          </w:tcPr>
          <w:p w14:paraId="0EDEA705"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118</w:t>
            </w:r>
          </w:p>
        </w:tc>
        <w:tc>
          <w:tcPr>
            <w:tcW w:w="1167" w:type="dxa"/>
            <w:vAlign w:val="center"/>
          </w:tcPr>
          <w:p w14:paraId="0EBA2C15"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84.1812</w:t>
            </w:r>
          </w:p>
        </w:tc>
      </w:tr>
      <w:tr w:rsidR="00790873" w:rsidRPr="004B7002" w14:paraId="3B2A6079" w14:textId="77777777" w:rsidTr="00790873">
        <w:trPr>
          <w:jc w:val="center"/>
        </w:trPr>
        <w:tc>
          <w:tcPr>
            <w:tcW w:w="662" w:type="dxa"/>
            <w:vAlign w:val="center"/>
          </w:tcPr>
          <w:p w14:paraId="21E4D0A5" w14:textId="77777777" w:rsidR="00790873"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703" w:type="dxa"/>
            <w:vAlign w:val="center"/>
          </w:tcPr>
          <w:p w14:paraId="6225105F"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42F202D3"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59632B39"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4C7E09FD"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1A521869"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5A7F4464"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5F6F9EC5" w14:textId="77777777" w:rsidR="00790873" w:rsidRPr="0020403B" w:rsidRDefault="00790873" w:rsidP="0079087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0.3</w:t>
            </w:r>
          </w:p>
        </w:tc>
        <w:tc>
          <w:tcPr>
            <w:tcW w:w="767" w:type="dxa"/>
            <w:vAlign w:val="center"/>
          </w:tcPr>
          <w:p w14:paraId="582AE1BA" w14:textId="77777777" w:rsidR="00790873" w:rsidRPr="004B7002" w:rsidRDefault="00790873" w:rsidP="0079087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355</w:t>
            </w:r>
          </w:p>
        </w:tc>
        <w:tc>
          <w:tcPr>
            <w:tcW w:w="662" w:type="dxa"/>
            <w:vAlign w:val="center"/>
          </w:tcPr>
          <w:p w14:paraId="00228792"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339</w:t>
            </w:r>
          </w:p>
        </w:tc>
        <w:tc>
          <w:tcPr>
            <w:tcW w:w="967" w:type="dxa"/>
            <w:vAlign w:val="center"/>
          </w:tcPr>
          <w:p w14:paraId="47B7AE33"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32</w:t>
            </w:r>
          </w:p>
        </w:tc>
        <w:tc>
          <w:tcPr>
            <w:tcW w:w="1167" w:type="dxa"/>
            <w:vAlign w:val="center"/>
          </w:tcPr>
          <w:p w14:paraId="6CA2C347"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7.4848</w:t>
            </w:r>
          </w:p>
        </w:tc>
      </w:tr>
      <w:tr w:rsidR="00790873" w:rsidRPr="004B7002" w14:paraId="05761803" w14:textId="77777777" w:rsidTr="00790873">
        <w:trPr>
          <w:jc w:val="center"/>
        </w:trPr>
        <w:tc>
          <w:tcPr>
            <w:tcW w:w="662" w:type="dxa"/>
            <w:vAlign w:val="center"/>
          </w:tcPr>
          <w:p w14:paraId="63C3C82A" w14:textId="77777777" w:rsidR="00790873"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地下车库</w:t>
            </w:r>
          </w:p>
        </w:tc>
        <w:tc>
          <w:tcPr>
            <w:tcW w:w="703" w:type="dxa"/>
            <w:vAlign w:val="center"/>
          </w:tcPr>
          <w:p w14:paraId="68E2D4AA"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61055CB1"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25C1D176"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178D6992"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2717C761"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10" w:type="dxa"/>
            <w:vAlign w:val="center"/>
          </w:tcPr>
          <w:p w14:paraId="564896B3"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39CA2F4A" w14:textId="77777777" w:rsidR="00790873" w:rsidRPr="0020403B" w:rsidRDefault="00790873" w:rsidP="0079087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0.25</w:t>
            </w:r>
          </w:p>
        </w:tc>
        <w:tc>
          <w:tcPr>
            <w:tcW w:w="767" w:type="dxa"/>
            <w:vAlign w:val="center"/>
          </w:tcPr>
          <w:p w14:paraId="1C84F0B1" w14:textId="77777777" w:rsidR="00790873" w:rsidRPr="004B7002" w:rsidRDefault="00790873" w:rsidP="0079087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960</w:t>
            </w:r>
          </w:p>
        </w:tc>
        <w:tc>
          <w:tcPr>
            <w:tcW w:w="662" w:type="dxa"/>
            <w:vAlign w:val="center"/>
          </w:tcPr>
          <w:p w14:paraId="331282BB"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490</w:t>
            </w:r>
          </w:p>
        </w:tc>
        <w:tc>
          <w:tcPr>
            <w:tcW w:w="967" w:type="dxa"/>
            <w:vAlign w:val="center"/>
          </w:tcPr>
          <w:p w14:paraId="682DFDE6"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10345.02</w:t>
            </w:r>
          </w:p>
        </w:tc>
        <w:tc>
          <w:tcPr>
            <w:tcW w:w="1167" w:type="dxa"/>
            <w:vAlign w:val="center"/>
          </w:tcPr>
          <w:p w14:paraId="477242B6"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2575.91</w:t>
            </w:r>
            <w:r>
              <w:rPr>
                <w:rFonts w:ascii="Arial" w:eastAsia="仿宋_GB2312" w:hAnsi="Arial" w:cs="Arial"/>
                <w:b/>
                <w:bCs/>
                <w:color w:val="000000"/>
                <w:sz w:val="18"/>
                <w:szCs w:val="18"/>
              </w:rPr>
              <w:t>00</w:t>
            </w:r>
          </w:p>
        </w:tc>
      </w:tr>
      <w:tr w:rsidR="00790873" w:rsidRPr="004B7002" w14:paraId="1BAB5433" w14:textId="77777777" w:rsidTr="00790873">
        <w:trPr>
          <w:jc w:val="center"/>
        </w:trPr>
        <w:tc>
          <w:tcPr>
            <w:tcW w:w="662" w:type="dxa"/>
            <w:vAlign w:val="center"/>
          </w:tcPr>
          <w:p w14:paraId="1E83E10A" w14:textId="77777777" w:rsidR="00790873"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合计</w:t>
            </w:r>
          </w:p>
        </w:tc>
        <w:tc>
          <w:tcPr>
            <w:tcW w:w="703" w:type="dxa"/>
            <w:vAlign w:val="center"/>
          </w:tcPr>
          <w:p w14:paraId="445D0E14" w14:textId="77777777" w:rsidR="00790873"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40F2001D" w14:textId="77777777" w:rsidR="00790873"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1EFB3320"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89" w:type="dxa"/>
            <w:vAlign w:val="center"/>
          </w:tcPr>
          <w:p w14:paraId="25E51D41"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61A01D27" w14:textId="77777777" w:rsidR="00790873"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568B5980"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08" w:type="dxa"/>
            <w:vAlign w:val="center"/>
          </w:tcPr>
          <w:p w14:paraId="3AF578C3"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767" w:type="dxa"/>
            <w:vAlign w:val="center"/>
          </w:tcPr>
          <w:p w14:paraId="7626B4F1" w14:textId="77777777" w:rsidR="00790873" w:rsidRDefault="00790873" w:rsidP="0079087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662" w:type="dxa"/>
            <w:vAlign w:val="center"/>
          </w:tcPr>
          <w:p w14:paraId="45F8752A"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967" w:type="dxa"/>
            <w:vAlign w:val="center"/>
          </w:tcPr>
          <w:p w14:paraId="67B3B096"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41888.02</w:t>
            </w:r>
          </w:p>
        </w:tc>
        <w:tc>
          <w:tcPr>
            <w:tcW w:w="1167" w:type="dxa"/>
            <w:vAlign w:val="center"/>
          </w:tcPr>
          <w:p w14:paraId="738A4CA5"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28601.243</w:t>
            </w:r>
            <w:r>
              <w:rPr>
                <w:rFonts w:ascii="Arial" w:eastAsia="仿宋_GB2312" w:hAnsi="Arial" w:cs="Arial"/>
                <w:b/>
                <w:bCs/>
                <w:color w:val="000000"/>
                <w:sz w:val="18"/>
                <w:szCs w:val="18"/>
              </w:rPr>
              <w:t>0</w:t>
            </w:r>
          </w:p>
        </w:tc>
      </w:tr>
    </w:tbl>
    <w:p w14:paraId="16C9DE8E" w14:textId="77777777" w:rsidR="00790873" w:rsidRPr="004B7002" w:rsidRDefault="00790873" w:rsidP="00790873">
      <w:pPr>
        <w:pStyle w:val="11"/>
        <w:ind w:firstLine="361"/>
        <w:jc w:val="both"/>
        <w:rPr>
          <w:rFonts w:ascii="Arial" w:hAnsi="Arial" w:cs="Arial"/>
          <w:b/>
          <w:sz w:val="18"/>
          <w:szCs w:val="18"/>
        </w:rPr>
      </w:pPr>
      <w:r w:rsidRPr="004B7002">
        <w:rPr>
          <w:rFonts w:ascii="Arial" w:hAnsi="Arial" w:cs="Arial"/>
          <w:b/>
          <w:sz w:val="18"/>
          <w:szCs w:val="18"/>
        </w:rPr>
        <w:t>单位：元</w:t>
      </w:r>
      <w:r w:rsidRPr="004B7002">
        <w:rPr>
          <w:rFonts w:ascii="Arial" w:hAnsi="Arial" w:cs="Arial"/>
          <w:b/>
          <w:sz w:val="18"/>
          <w:szCs w:val="18"/>
        </w:rPr>
        <w:t>/</w:t>
      </w:r>
      <w:r w:rsidRPr="004B7002">
        <w:rPr>
          <w:rFonts w:ascii="Arial" w:hAnsi="Arial" w:cs="Arial"/>
          <w:b/>
          <w:sz w:val="18"/>
          <w:szCs w:val="18"/>
        </w:rPr>
        <w:t>平方米</w:t>
      </w:r>
      <w:r>
        <w:rPr>
          <w:rFonts w:ascii="Arial" w:hAnsi="Arial" w:cs="Arial" w:hint="eastAsia"/>
          <w:b/>
          <w:sz w:val="18"/>
          <w:szCs w:val="18"/>
        </w:rPr>
        <w:t>、平方米、万元</w:t>
      </w:r>
    </w:p>
    <w:p w14:paraId="596B9FA3" w14:textId="77777777" w:rsidR="00790873" w:rsidRDefault="00790873" w:rsidP="00790873">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根据</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及其附件复印件、《关于海淀区苏州街站一体化棚户区改造项目成本说明》</w:t>
      </w:r>
      <w:r>
        <w:rPr>
          <w:rFonts w:ascii="Arial" w:eastAsia="仿宋_GB2312" w:hAnsi="Arial" w:cs="Arial" w:hint="eastAsia"/>
          <w:bCs/>
          <w:sz w:val="28"/>
        </w:rPr>
        <w:t>，估价对象前期土地开发成本约为</w:t>
      </w:r>
      <w:r>
        <w:rPr>
          <w:rFonts w:ascii="Arial" w:eastAsia="仿宋_GB2312" w:hAnsi="Arial" w:cs="Arial"/>
          <w:bCs/>
          <w:sz w:val="28"/>
        </w:rPr>
        <w:t>158379.13</w:t>
      </w:r>
      <w:r>
        <w:rPr>
          <w:rFonts w:ascii="Arial" w:eastAsia="仿宋_GB2312" w:hAnsi="Arial" w:cs="Arial" w:hint="eastAsia"/>
          <w:bCs/>
          <w:sz w:val="28"/>
        </w:rPr>
        <w:t>万元，本次评估测算政府土地出让收益总价为</w:t>
      </w:r>
      <w:r>
        <w:rPr>
          <w:rFonts w:ascii="Arial" w:eastAsia="仿宋_GB2312" w:hAnsi="Arial" w:cs="Arial"/>
          <w:bCs/>
          <w:color w:val="000000" w:themeColor="text1"/>
          <w:sz w:val="28"/>
        </w:rPr>
        <w:t>61093.2435</w:t>
      </w:r>
      <w:r w:rsidRPr="000B7D55">
        <w:rPr>
          <w:rFonts w:ascii="Arial" w:eastAsia="仿宋_GB2312" w:hAnsi="Arial" w:cs="Arial" w:hint="eastAsia"/>
          <w:bCs/>
          <w:color w:val="000000" w:themeColor="text1"/>
          <w:sz w:val="28"/>
        </w:rPr>
        <w:t>万元，</w:t>
      </w:r>
      <w:r w:rsidRPr="000B7D55">
        <w:rPr>
          <w:rFonts w:ascii="Arial" w:eastAsia="仿宋_GB2312" w:hAnsi="Arial" w:cs="Arial" w:hint="eastAsia"/>
          <w:color w:val="000000" w:themeColor="text1"/>
          <w:sz w:val="28"/>
        </w:rPr>
        <w:t>则政府土地收益与</w:t>
      </w:r>
      <w:r w:rsidRPr="000B7D55">
        <w:rPr>
          <w:rFonts w:ascii="Arial" w:eastAsia="仿宋_GB2312" w:hAnsi="Arial" w:cs="Arial" w:hint="eastAsia"/>
          <w:bCs/>
          <w:color w:val="000000" w:themeColor="text1"/>
          <w:sz w:val="28"/>
        </w:rPr>
        <w:t>土地开发成本</w:t>
      </w:r>
      <w:r w:rsidRPr="000B7D55">
        <w:rPr>
          <w:rFonts w:ascii="Arial" w:eastAsia="仿宋_GB2312" w:hAnsi="Arial" w:cs="Arial" w:hint="eastAsia"/>
          <w:color w:val="000000" w:themeColor="text1"/>
          <w:sz w:val="28"/>
        </w:rPr>
        <w:t>合计为</w:t>
      </w:r>
      <w:r w:rsidRPr="000B7D55">
        <w:rPr>
          <w:rFonts w:ascii="Arial" w:eastAsia="仿宋_GB2312" w:hAnsi="Arial" w:cs="Arial"/>
          <w:bCs/>
          <w:color w:val="000000" w:themeColor="text1"/>
          <w:sz w:val="28"/>
        </w:rPr>
        <w:t>219473.4080</w:t>
      </w:r>
      <w:r w:rsidRPr="000B7D55">
        <w:rPr>
          <w:rFonts w:ascii="Arial" w:eastAsia="仿宋_GB2312" w:hAnsi="Arial" w:cs="Arial" w:hint="eastAsia"/>
          <w:bCs/>
          <w:color w:val="000000" w:themeColor="text1"/>
          <w:sz w:val="28"/>
        </w:rPr>
        <w:t>万元，</w:t>
      </w:r>
      <w:r w:rsidRPr="000B7D55">
        <w:rPr>
          <w:rFonts w:ascii="Arial" w:eastAsia="仿宋_GB2312" w:hAnsi="Arial" w:cs="Arial"/>
          <w:bCs/>
          <w:color w:val="000000" w:themeColor="text1"/>
          <w:sz w:val="28"/>
        </w:rPr>
        <w:t xml:space="preserve"> </w:t>
      </w:r>
      <w:r>
        <w:rPr>
          <w:rFonts w:ascii="Arial" w:eastAsia="仿宋_GB2312" w:hAnsi="Arial" w:cs="Arial" w:hint="eastAsia"/>
          <w:sz w:val="28"/>
        </w:rPr>
        <w:t>与</w:t>
      </w:r>
      <w:r>
        <w:rPr>
          <w:rFonts w:ascii="Arial" w:eastAsia="仿宋_GB2312" w:hAnsi="Arial" w:cs="Arial" w:hint="eastAsia"/>
          <w:bCs/>
          <w:sz w:val="28"/>
        </w:rPr>
        <w:t>上表中级别地价低限对比</w:t>
      </w:r>
      <w:r>
        <w:rPr>
          <w:rFonts w:ascii="Arial" w:eastAsia="仿宋_GB2312" w:hAnsi="Arial" w:cs="Arial"/>
          <w:bCs/>
          <w:sz w:val="28"/>
        </w:rPr>
        <w:t>,</w:t>
      </w:r>
      <w:r>
        <w:rPr>
          <w:rFonts w:ascii="Arial" w:eastAsia="仿宋_GB2312" w:hAnsi="Arial" w:cs="Arial" w:hint="eastAsia"/>
          <w:sz w:val="28"/>
        </w:rPr>
        <w:t>政府土地出让收益与土地开发成本合计高于</w:t>
      </w:r>
      <w:r>
        <w:rPr>
          <w:rFonts w:ascii="Arial" w:eastAsia="仿宋_GB2312" w:hAnsi="Arial" w:cs="Arial" w:hint="eastAsia"/>
          <w:bCs/>
          <w:sz w:val="28"/>
        </w:rPr>
        <w:t>修正后基准地价级别地价低限，故评估结果符合相关文件规定。</w:t>
      </w:r>
    </w:p>
    <w:p w14:paraId="10D816F2" w14:textId="77777777" w:rsidR="00790873" w:rsidRPr="004B7002" w:rsidRDefault="00790873" w:rsidP="00790873">
      <w:pPr>
        <w:spacing w:line="360" w:lineRule="auto"/>
        <w:ind w:firstLineChars="200" w:firstLine="560"/>
        <w:rPr>
          <w:rFonts w:ascii="Arial" w:eastAsia="仿宋_GB2312" w:hAnsi="Arial" w:cs="Arial"/>
          <w:bCs/>
          <w:sz w:val="28"/>
        </w:rPr>
      </w:pPr>
      <w:r w:rsidRPr="004B7002">
        <w:rPr>
          <w:rFonts w:ascii="Arial" w:eastAsia="仿宋_GB2312" w:hAnsi="Arial" w:cs="Arial"/>
          <w:sz w:val="28"/>
          <w:szCs w:val="28"/>
        </w:rPr>
        <w:t>2</w:t>
      </w:r>
      <w:r w:rsidRPr="004B7002">
        <w:rPr>
          <w:rFonts w:ascii="Arial" w:eastAsia="仿宋_GB2312" w:hAnsi="Arial" w:cs="Arial"/>
          <w:bCs/>
          <w:sz w:val="28"/>
        </w:rPr>
        <w:t>.</w:t>
      </w:r>
      <w:r w:rsidRPr="004B7002">
        <w:rPr>
          <w:rFonts w:ascii="Arial" w:eastAsia="仿宋_GB2312" w:hAnsi="Arial" w:cs="Arial"/>
          <w:bCs/>
          <w:sz w:val="28"/>
        </w:rPr>
        <w:t>土地市场分析</w:t>
      </w:r>
    </w:p>
    <w:p w14:paraId="4CF4F683" w14:textId="77777777" w:rsidR="00790873" w:rsidRDefault="00790873" w:rsidP="00790873">
      <w:pPr>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估价对象为住宅</w:t>
      </w:r>
      <w:r>
        <w:rPr>
          <w:rFonts w:ascii="Arial" w:eastAsia="仿宋_GB2312" w:hAnsi="Arial" w:cs="Arial" w:hint="eastAsia"/>
          <w:sz w:val="28"/>
          <w:szCs w:val="28"/>
        </w:rPr>
        <w:t>、商业、办公、地下办公、地下车库</w:t>
      </w:r>
      <w:r w:rsidRPr="004B7002">
        <w:rPr>
          <w:rFonts w:ascii="Arial" w:eastAsia="仿宋_GB2312" w:hAnsi="Arial" w:cs="Arial" w:hint="eastAsia"/>
          <w:sz w:val="28"/>
          <w:szCs w:val="28"/>
        </w:rPr>
        <w:t>用地，符合土地集约节约利用的政策要求。</w:t>
      </w:r>
    </w:p>
    <w:p w14:paraId="6CA1ED0F" w14:textId="77777777" w:rsidR="00790873" w:rsidRPr="004B00B4" w:rsidRDefault="00790873" w:rsidP="00790873">
      <w:pPr>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目前海淀区尚未有充足的住宅用地土地使用权的交易案例，难以用市场价格判断评估价是否与市场吻合。</w:t>
      </w:r>
      <w:r>
        <w:rPr>
          <w:rFonts w:ascii="Arial" w:eastAsia="仿宋_GB2312" w:hAnsi="Arial" w:cs="Arial" w:hint="eastAsia"/>
          <w:sz w:val="28"/>
          <w:szCs w:val="28"/>
        </w:rPr>
        <w:t>但</w:t>
      </w:r>
      <w:r w:rsidRPr="007C07A4">
        <w:rPr>
          <w:rFonts w:ascii="Arial" w:eastAsia="仿宋_GB2312" w:hAnsi="Arial" w:cs="Arial" w:hint="eastAsia"/>
          <w:sz w:val="28"/>
          <w:szCs w:val="28"/>
        </w:rPr>
        <w:t>有充足的商业、办公用地土地使用权的交易案例，</w:t>
      </w:r>
      <w:r w:rsidRPr="004B7002">
        <w:rPr>
          <w:rFonts w:ascii="Arial" w:eastAsia="仿宋_GB2312" w:hAnsi="Arial" w:cs="Arial" w:hint="eastAsia"/>
          <w:sz w:val="28"/>
          <w:szCs w:val="28"/>
        </w:rPr>
        <w:t>北京市基准地价为出让地价的重要参考依据，可以参照基准地价判断评估结果的合理性。</w:t>
      </w:r>
    </w:p>
    <w:p w14:paraId="1B1040C1" w14:textId="77777777" w:rsidR="00790873" w:rsidRPr="004B7002" w:rsidRDefault="00790873" w:rsidP="00790873">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经分析估价对象同区域内（海淀区）近三年（</w:t>
      </w:r>
      <w:r w:rsidRPr="004B7002">
        <w:rPr>
          <w:rFonts w:ascii="Arial" w:eastAsia="仿宋_GB2312" w:hAnsi="Arial" w:cs="Arial"/>
          <w:sz w:val="28"/>
          <w:szCs w:val="28"/>
        </w:rPr>
        <w:t>2018-2020</w:t>
      </w:r>
      <w:r w:rsidRPr="004B7002">
        <w:rPr>
          <w:rFonts w:ascii="Arial" w:eastAsia="仿宋_GB2312" w:hAnsi="Arial" w:cs="Arial"/>
          <w:sz w:val="28"/>
          <w:szCs w:val="28"/>
        </w:rPr>
        <w:t>年）已审定</w:t>
      </w:r>
      <w:r w:rsidRPr="004B7002">
        <w:rPr>
          <w:rFonts w:ascii="Arial" w:eastAsia="仿宋_GB2312" w:hAnsi="Arial" w:cs="Arial" w:hint="eastAsia"/>
          <w:sz w:val="28"/>
          <w:szCs w:val="28"/>
        </w:rPr>
        <w:t>住宅</w:t>
      </w:r>
      <w:r w:rsidRPr="004B7002">
        <w:rPr>
          <w:rFonts w:ascii="Arial" w:eastAsia="仿宋_GB2312" w:hAnsi="Arial" w:cs="Arial"/>
          <w:sz w:val="28"/>
          <w:szCs w:val="28"/>
        </w:rPr>
        <w:t>用途协议出让案例有</w:t>
      </w:r>
      <w:r>
        <w:rPr>
          <w:rFonts w:ascii="Arial" w:eastAsia="仿宋_GB2312" w:hAnsi="Arial" w:cs="Arial" w:hint="eastAsia"/>
          <w:sz w:val="28"/>
          <w:szCs w:val="28"/>
        </w:rPr>
        <w:t>1</w:t>
      </w:r>
      <w:r w:rsidRPr="004B7002">
        <w:rPr>
          <w:rFonts w:ascii="Arial" w:eastAsia="仿宋_GB2312" w:hAnsi="Arial" w:cs="Arial"/>
          <w:sz w:val="28"/>
          <w:szCs w:val="28"/>
        </w:rPr>
        <w:t>个，其中</w:t>
      </w:r>
      <w:r w:rsidRPr="004B7002">
        <w:rPr>
          <w:rFonts w:ascii="Arial" w:eastAsia="仿宋_GB2312" w:hAnsi="Arial" w:cs="Arial"/>
          <w:sz w:val="28"/>
          <w:szCs w:val="28"/>
        </w:rPr>
        <w:t>2018</w:t>
      </w:r>
      <w:r>
        <w:rPr>
          <w:rFonts w:ascii="Arial" w:eastAsia="仿宋_GB2312" w:hAnsi="Arial" w:cs="Arial" w:hint="eastAsia"/>
          <w:sz w:val="28"/>
          <w:szCs w:val="28"/>
        </w:rPr>
        <w:t>、</w:t>
      </w:r>
      <w:r w:rsidRPr="004B7002">
        <w:rPr>
          <w:rFonts w:ascii="Arial" w:eastAsia="仿宋_GB2312" w:hAnsi="Arial" w:cs="Arial" w:hint="eastAsia"/>
          <w:sz w:val="28"/>
          <w:szCs w:val="28"/>
        </w:rPr>
        <w:t>2</w:t>
      </w:r>
      <w:r w:rsidRPr="004B7002">
        <w:rPr>
          <w:rFonts w:ascii="Arial" w:eastAsia="仿宋_GB2312" w:hAnsi="Arial" w:cs="Arial"/>
          <w:sz w:val="28"/>
          <w:szCs w:val="28"/>
        </w:rPr>
        <w:t>019</w:t>
      </w:r>
      <w:r w:rsidRPr="004B7002">
        <w:rPr>
          <w:rFonts w:ascii="Arial" w:eastAsia="仿宋_GB2312" w:hAnsi="Arial" w:cs="Arial"/>
          <w:sz w:val="28"/>
          <w:szCs w:val="28"/>
        </w:rPr>
        <w:t>年</w:t>
      </w:r>
      <w:proofErr w:type="gramStart"/>
      <w:r w:rsidRPr="004B7002">
        <w:rPr>
          <w:rFonts w:ascii="Arial" w:eastAsia="仿宋_GB2312" w:hAnsi="Arial" w:cs="Arial" w:hint="eastAsia"/>
          <w:sz w:val="28"/>
          <w:szCs w:val="28"/>
        </w:rPr>
        <w:t>无住宅</w:t>
      </w:r>
      <w:proofErr w:type="gramEnd"/>
      <w:r w:rsidRPr="004B7002">
        <w:rPr>
          <w:rFonts w:ascii="Arial" w:eastAsia="仿宋_GB2312" w:hAnsi="Arial" w:cs="Arial" w:hint="eastAsia"/>
          <w:sz w:val="28"/>
          <w:szCs w:val="28"/>
        </w:rPr>
        <w:t>用途协议出让案例，</w:t>
      </w:r>
      <w:r w:rsidRPr="004B7002">
        <w:rPr>
          <w:rFonts w:ascii="Arial" w:eastAsia="仿宋_GB2312" w:hAnsi="Arial" w:cs="Arial"/>
          <w:sz w:val="28"/>
          <w:szCs w:val="28"/>
        </w:rPr>
        <w:t>2020</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sidRPr="004B7002">
        <w:rPr>
          <w:rFonts w:ascii="Arial" w:eastAsia="仿宋_GB2312" w:hAnsi="Arial" w:cs="Arial"/>
          <w:sz w:val="28"/>
          <w:szCs w:val="28"/>
        </w:rPr>
        <w:t>19622</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4B7002">
        <w:rPr>
          <w:rFonts w:ascii="Arial" w:eastAsia="仿宋_GB2312" w:hAnsi="Arial" w:cs="Arial" w:hint="eastAsia"/>
          <w:sz w:val="28"/>
          <w:szCs w:val="28"/>
        </w:rPr>
        <w:t>仅</w:t>
      </w:r>
      <w:r w:rsidRPr="004B7002">
        <w:rPr>
          <w:rFonts w:ascii="Arial" w:eastAsia="仿宋_GB2312" w:hAnsi="Arial" w:cs="Arial"/>
          <w:sz w:val="28"/>
          <w:szCs w:val="28"/>
        </w:rPr>
        <w:t>1</w:t>
      </w:r>
      <w:r w:rsidRPr="004B7002">
        <w:rPr>
          <w:rFonts w:ascii="Arial" w:eastAsia="仿宋_GB2312" w:hAnsi="Arial" w:cs="Arial"/>
          <w:sz w:val="28"/>
          <w:szCs w:val="28"/>
        </w:rPr>
        <w:t>宗，</w:t>
      </w:r>
      <w:r w:rsidRPr="004B7002">
        <w:rPr>
          <w:rFonts w:ascii="Arial" w:eastAsia="仿宋_GB2312" w:hAnsi="Arial" w:cs="Arial" w:hint="eastAsia"/>
          <w:sz w:val="28"/>
          <w:szCs w:val="28"/>
        </w:rPr>
        <w:t>位于</w:t>
      </w:r>
      <w:r w:rsidRPr="004B7002">
        <w:rPr>
          <w:rFonts w:ascii="Arial" w:eastAsia="仿宋_GB2312" w:hAnsi="Arial" w:cs="Arial"/>
          <w:sz w:val="28"/>
          <w:szCs w:val="28"/>
        </w:rPr>
        <w:t>七级</w:t>
      </w:r>
      <w:r w:rsidRPr="004B7002">
        <w:rPr>
          <w:rFonts w:ascii="Arial" w:eastAsia="仿宋_GB2312" w:hAnsi="Arial" w:cs="Arial"/>
          <w:sz w:val="28"/>
          <w:szCs w:val="28"/>
        </w:rPr>
        <w:lastRenderedPageBreak/>
        <w:t>地价区）</w:t>
      </w:r>
      <w:r w:rsidRPr="004B7002">
        <w:rPr>
          <w:rFonts w:ascii="Arial" w:eastAsia="仿宋_GB2312" w:hAnsi="Arial" w:cs="Arial" w:hint="eastAsia"/>
          <w:sz w:val="28"/>
          <w:szCs w:val="28"/>
        </w:rPr>
        <w:t>，估价对象位于</w:t>
      </w:r>
      <w:r>
        <w:rPr>
          <w:rFonts w:ascii="Arial" w:eastAsia="仿宋_GB2312" w:hAnsi="Arial" w:cs="Arial" w:hint="eastAsia"/>
          <w:sz w:val="28"/>
          <w:szCs w:val="28"/>
        </w:rPr>
        <w:t>二</w:t>
      </w:r>
      <w:r w:rsidRPr="004B7002">
        <w:rPr>
          <w:rFonts w:ascii="Arial" w:eastAsia="仿宋_GB2312" w:hAnsi="Arial" w:cs="Arial" w:hint="eastAsia"/>
          <w:sz w:val="28"/>
          <w:szCs w:val="28"/>
        </w:rPr>
        <w:t>级地价区，</w:t>
      </w:r>
      <w:r>
        <w:rPr>
          <w:rFonts w:ascii="Arial" w:eastAsia="仿宋_GB2312" w:hAnsi="Arial" w:cs="Arial" w:hint="eastAsia"/>
          <w:sz w:val="28"/>
          <w:szCs w:val="28"/>
        </w:rPr>
        <w:t>2020</w:t>
      </w:r>
      <w:r w:rsidRPr="004B7002">
        <w:rPr>
          <w:rFonts w:ascii="Arial" w:eastAsia="仿宋_GB2312" w:hAnsi="Arial" w:cs="Arial" w:hint="eastAsia"/>
          <w:sz w:val="28"/>
          <w:szCs w:val="28"/>
        </w:rPr>
        <w:t>年</w:t>
      </w:r>
      <w:r>
        <w:rPr>
          <w:rFonts w:ascii="Arial" w:eastAsia="仿宋_GB2312" w:hAnsi="Arial" w:cs="Arial" w:hint="eastAsia"/>
          <w:sz w:val="28"/>
          <w:szCs w:val="28"/>
        </w:rPr>
        <w:t>成交的</w:t>
      </w:r>
      <w:r w:rsidRPr="004B7002">
        <w:rPr>
          <w:rFonts w:ascii="Arial" w:eastAsia="仿宋_GB2312" w:hAnsi="Arial" w:cs="Arial" w:hint="eastAsia"/>
          <w:sz w:val="28"/>
          <w:szCs w:val="28"/>
        </w:rPr>
        <w:t>住宅用途协议出让案例</w:t>
      </w:r>
      <w:r>
        <w:rPr>
          <w:rFonts w:ascii="Arial" w:eastAsia="仿宋_GB2312" w:hAnsi="Arial" w:cs="Arial" w:hint="eastAsia"/>
          <w:sz w:val="28"/>
          <w:szCs w:val="28"/>
        </w:rPr>
        <w:t>土地级别较低，</w:t>
      </w:r>
      <w:r w:rsidRPr="004B7002">
        <w:rPr>
          <w:rFonts w:ascii="Arial" w:eastAsia="仿宋_GB2312" w:hAnsi="Arial" w:cs="Arial" w:hint="eastAsia"/>
          <w:sz w:val="28"/>
          <w:szCs w:val="28"/>
        </w:rPr>
        <w:t>不具有参考性</w:t>
      </w:r>
      <w:r w:rsidRPr="004B7002">
        <w:rPr>
          <w:rFonts w:ascii="Arial" w:eastAsia="仿宋_GB2312" w:hAnsi="Arial" w:cs="Arial"/>
          <w:sz w:val="28"/>
          <w:szCs w:val="28"/>
        </w:rPr>
        <w:t>。</w:t>
      </w:r>
    </w:p>
    <w:p w14:paraId="5990D998" w14:textId="77777777" w:rsidR="00790873" w:rsidRDefault="00790873" w:rsidP="00790873">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近三年同区域内（海淀区）住宅</w:t>
      </w:r>
      <w:proofErr w:type="gramStart"/>
      <w:r>
        <w:rPr>
          <w:rFonts w:ascii="Arial" w:eastAsia="仿宋_GB2312" w:hAnsi="Arial" w:cs="Arial" w:hint="eastAsia"/>
          <w:sz w:val="28"/>
          <w:szCs w:val="28"/>
        </w:rPr>
        <w:t>类招拍挂成交</w:t>
      </w:r>
      <w:proofErr w:type="gramEnd"/>
      <w:r>
        <w:rPr>
          <w:rFonts w:ascii="Arial" w:eastAsia="仿宋_GB2312" w:hAnsi="Arial" w:cs="Arial" w:hint="eastAsia"/>
          <w:sz w:val="28"/>
          <w:szCs w:val="28"/>
        </w:rPr>
        <w:t>地块共</w:t>
      </w:r>
      <w:r>
        <w:rPr>
          <w:rFonts w:ascii="Arial" w:eastAsia="仿宋_GB2312" w:hAnsi="Arial" w:cs="Arial"/>
          <w:sz w:val="28"/>
          <w:szCs w:val="28"/>
        </w:rPr>
        <w:t>3</w:t>
      </w:r>
      <w:r>
        <w:rPr>
          <w:rFonts w:ascii="Arial" w:eastAsia="仿宋_GB2312" w:hAnsi="Arial" w:cs="Arial" w:hint="eastAsia"/>
          <w:sz w:val="28"/>
          <w:szCs w:val="28"/>
        </w:rPr>
        <w:t>宗，其中</w:t>
      </w:r>
      <w:r w:rsidRPr="004B7002">
        <w:rPr>
          <w:rFonts w:ascii="Arial" w:eastAsia="仿宋_GB2312" w:hAnsi="Arial" w:cs="Arial"/>
          <w:sz w:val="28"/>
          <w:szCs w:val="28"/>
        </w:rPr>
        <w:t>2018</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Pr>
          <w:rFonts w:ascii="Arial" w:eastAsia="仿宋_GB2312" w:hAnsi="Arial" w:cs="Arial"/>
          <w:sz w:val="28"/>
          <w:szCs w:val="28"/>
        </w:rPr>
        <w:t>40865</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7B3A83">
        <w:rPr>
          <w:rFonts w:ascii="Arial" w:eastAsia="仿宋_GB2312" w:hAnsi="Arial" w:cs="Arial" w:hint="eastAsia"/>
          <w:sz w:val="28"/>
          <w:szCs w:val="28"/>
        </w:rPr>
        <w:t>仅</w:t>
      </w:r>
      <w:r w:rsidRPr="007B3A83">
        <w:rPr>
          <w:rFonts w:ascii="Arial" w:eastAsia="仿宋_GB2312" w:hAnsi="Arial" w:cs="Arial" w:hint="eastAsia"/>
          <w:sz w:val="28"/>
          <w:szCs w:val="28"/>
        </w:rPr>
        <w:t>1</w:t>
      </w:r>
      <w:r w:rsidRPr="007B3A83">
        <w:rPr>
          <w:rFonts w:ascii="Arial" w:eastAsia="仿宋_GB2312" w:hAnsi="Arial" w:cs="Arial"/>
          <w:sz w:val="28"/>
          <w:szCs w:val="28"/>
        </w:rPr>
        <w:t>宗，</w:t>
      </w:r>
      <w:r w:rsidRPr="007B3A83">
        <w:rPr>
          <w:rFonts w:ascii="Arial" w:eastAsia="仿宋_GB2312" w:hAnsi="Arial" w:cs="Arial" w:hint="eastAsia"/>
          <w:sz w:val="28"/>
          <w:szCs w:val="28"/>
        </w:rPr>
        <w:t>位于八</w:t>
      </w:r>
      <w:r w:rsidRPr="007B3A83">
        <w:rPr>
          <w:rFonts w:ascii="Arial" w:eastAsia="仿宋_GB2312" w:hAnsi="Arial" w:cs="Arial"/>
          <w:sz w:val="28"/>
          <w:szCs w:val="28"/>
        </w:rPr>
        <w:t>级地价区）；</w:t>
      </w:r>
      <w:r w:rsidRPr="007B3A83">
        <w:rPr>
          <w:rFonts w:ascii="Arial" w:eastAsia="仿宋_GB2312" w:hAnsi="Arial" w:cs="Arial"/>
          <w:sz w:val="28"/>
          <w:szCs w:val="28"/>
        </w:rPr>
        <w:t>2019</w:t>
      </w:r>
      <w:r w:rsidRPr="007B3A83">
        <w:rPr>
          <w:rFonts w:ascii="Arial" w:eastAsia="仿宋_GB2312" w:hAnsi="Arial" w:cs="Arial" w:hint="eastAsia"/>
          <w:sz w:val="28"/>
          <w:szCs w:val="28"/>
        </w:rPr>
        <w:t>年</w:t>
      </w:r>
      <w:proofErr w:type="gramStart"/>
      <w:r w:rsidRPr="007B3A83">
        <w:rPr>
          <w:rFonts w:ascii="Arial" w:eastAsia="仿宋_GB2312" w:hAnsi="Arial" w:cs="Arial" w:hint="eastAsia"/>
          <w:sz w:val="28"/>
          <w:szCs w:val="28"/>
        </w:rPr>
        <w:t>无住宅类招拍挂成交</w:t>
      </w:r>
      <w:proofErr w:type="gramEnd"/>
      <w:r w:rsidRPr="007B3A83">
        <w:rPr>
          <w:rFonts w:ascii="Arial" w:eastAsia="仿宋_GB2312" w:hAnsi="Arial" w:cs="Arial" w:hint="eastAsia"/>
          <w:sz w:val="28"/>
          <w:szCs w:val="28"/>
        </w:rPr>
        <w:t>地块，</w:t>
      </w:r>
      <w:r w:rsidRPr="007B3A83">
        <w:rPr>
          <w:rFonts w:ascii="Arial" w:eastAsia="仿宋_GB2312" w:hAnsi="Arial" w:cs="Arial"/>
          <w:sz w:val="28"/>
          <w:szCs w:val="28"/>
        </w:rPr>
        <w:t>2020</w:t>
      </w:r>
      <w:r w:rsidRPr="007B3A83">
        <w:rPr>
          <w:rFonts w:ascii="Arial" w:eastAsia="仿宋_GB2312" w:hAnsi="Arial" w:cs="Arial" w:hint="eastAsia"/>
          <w:sz w:val="28"/>
          <w:szCs w:val="28"/>
        </w:rPr>
        <w:t>年成交均价为</w:t>
      </w:r>
      <w:r w:rsidRPr="007B3A83">
        <w:rPr>
          <w:rFonts w:ascii="Arial" w:eastAsia="仿宋_GB2312" w:hAnsi="Arial" w:cs="Arial"/>
          <w:sz w:val="28"/>
          <w:szCs w:val="28"/>
        </w:rPr>
        <w:t>70049</w:t>
      </w:r>
      <w:r w:rsidRPr="007B3A83">
        <w:rPr>
          <w:rFonts w:ascii="Arial" w:eastAsia="仿宋_GB2312" w:hAnsi="Arial" w:cs="Arial" w:hint="eastAsia"/>
          <w:sz w:val="28"/>
          <w:szCs w:val="28"/>
        </w:rPr>
        <w:t>元</w:t>
      </w:r>
      <w:r w:rsidRPr="007B3A83">
        <w:rPr>
          <w:rFonts w:ascii="Arial" w:eastAsia="仿宋_GB2312" w:hAnsi="Arial" w:cs="Arial"/>
          <w:sz w:val="28"/>
          <w:szCs w:val="28"/>
        </w:rPr>
        <w:t>/</w:t>
      </w:r>
      <w:r w:rsidRPr="007B3A83">
        <w:rPr>
          <w:rFonts w:ascii="Arial" w:eastAsia="仿宋_GB2312" w:hAnsi="Arial" w:cs="Arial" w:hint="eastAsia"/>
          <w:sz w:val="28"/>
          <w:szCs w:val="28"/>
        </w:rPr>
        <w:t>平方米（共</w:t>
      </w:r>
      <w:r w:rsidRPr="007B3A83">
        <w:rPr>
          <w:rFonts w:ascii="Arial" w:eastAsia="仿宋_GB2312" w:hAnsi="Arial" w:cs="Arial"/>
          <w:sz w:val="28"/>
          <w:szCs w:val="28"/>
        </w:rPr>
        <w:t>2</w:t>
      </w:r>
      <w:r w:rsidRPr="007B3A83">
        <w:rPr>
          <w:rFonts w:ascii="Arial" w:eastAsia="仿宋_GB2312" w:hAnsi="Arial" w:cs="Arial" w:hint="eastAsia"/>
          <w:sz w:val="28"/>
          <w:szCs w:val="28"/>
        </w:rPr>
        <w:t>宗，均为四级地价区），估价对象位于二级</w:t>
      </w:r>
      <w:r>
        <w:rPr>
          <w:rFonts w:ascii="Arial" w:eastAsia="仿宋_GB2312" w:hAnsi="Arial" w:cs="Arial" w:hint="eastAsia"/>
          <w:sz w:val="28"/>
          <w:szCs w:val="28"/>
        </w:rPr>
        <w:t>地价区。本次评估结果高于</w:t>
      </w:r>
      <w:r>
        <w:rPr>
          <w:rFonts w:ascii="Arial" w:eastAsia="仿宋_GB2312" w:hAnsi="Arial" w:cs="Arial" w:hint="eastAsia"/>
          <w:sz w:val="28"/>
          <w:szCs w:val="28"/>
        </w:rPr>
        <w:t>2</w:t>
      </w:r>
      <w:r>
        <w:rPr>
          <w:rFonts w:ascii="Arial" w:eastAsia="仿宋_GB2312" w:hAnsi="Arial" w:cs="Arial"/>
          <w:sz w:val="28"/>
          <w:szCs w:val="28"/>
        </w:rPr>
        <w:t>018</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sz w:val="28"/>
          <w:szCs w:val="28"/>
        </w:rPr>
        <w:t>020</w:t>
      </w:r>
      <w:r>
        <w:rPr>
          <w:rFonts w:ascii="Arial" w:eastAsia="仿宋_GB2312" w:hAnsi="Arial" w:cs="Arial" w:hint="eastAsia"/>
          <w:sz w:val="28"/>
          <w:szCs w:val="28"/>
        </w:rPr>
        <w:t>年的楼面熟地价在合理范围内。</w:t>
      </w:r>
    </w:p>
    <w:p w14:paraId="24F87FE0" w14:textId="77777777" w:rsidR="00790873" w:rsidRDefault="00790873" w:rsidP="00790873">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估价对象的估价结果与近三年已审定（或成交）案例的平均价格水平相当，因受估价对象所在区域、估价期日、容积率等因素的影响，最终估价结果在合理范围之内。</w:t>
      </w:r>
    </w:p>
    <w:p w14:paraId="6C4E7E2D" w14:textId="77777777" w:rsidR="00790873" w:rsidRDefault="00790873" w:rsidP="00790873">
      <w:pPr>
        <w:spacing w:line="360" w:lineRule="auto"/>
        <w:jc w:val="center"/>
        <w:rPr>
          <w:rFonts w:ascii="Arial" w:eastAsia="仿宋_GB2312" w:hAnsi="Arial" w:cs="Arial"/>
          <w:sz w:val="28"/>
          <w:szCs w:val="28"/>
        </w:rPr>
      </w:pPr>
      <w:r w:rsidRPr="00193CEB">
        <w:rPr>
          <w:rFonts w:ascii="Arial" w:eastAsia="仿宋_GB2312" w:hAnsi="Arial" w:cs="Arial" w:hint="eastAsia"/>
          <w:sz w:val="28"/>
          <w:szCs w:val="28"/>
        </w:rPr>
        <w:t>住宅</w:t>
      </w:r>
      <w:r w:rsidRPr="00193CEB">
        <w:rPr>
          <w:rFonts w:ascii="Arial" w:eastAsia="仿宋_GB2312" w:hAnsi="Arial" w:cs="Arial"/>
          <w:sz w:val="28"/>
          <w:szCs w:val="28"/>
        </w:rPr>
        <w:t>用途案例分析</w:t>
      </w:r>
    </w:p>
    <w:p w14:paraId="1A4B8155" w14:textId="77777777" w:rsidR="00790873" w:rsidRPr="00193CEB" w:rsidRDefault="00790873" w:rsidP="00790873">
      <w:pPr>
        <w:spacing w:line="360" w:lineRule="auto"/>
        <w:jc w:val="center"/>
        <w:rPr>
          <w:rFonts w:ascii="Arial" w:eastAsia="仿宋_GB2312" w:hAnsi="Arial" w:cs="Arial"/>
          <w:sz w:val="28"/>
          <w:szCs w:val="28"/>
        </w:rPr>
      </w:pPr>
      <w:r>
        <w:rPr>
          <w:noProof/>
        </w:rPr>
        <w:drawing>
          <wp:inline distT="0" distB="0" distL="0" distR="0" wp14:anchorId="1C831A3C" wp14:editId="15DEF916">
            <wp:extent cx="5401340" cy="3327991"/>
            <wp:effectExtent l="0" t="0" r="8890" b="6350"/>
            <wp:docPr id="4" name="图表 4">
              <a:extLst xmlns:a="http://schemas.openxmlformats.org/drawingml/2006/main">
                <a:ext uri="{FF2B5EF4-FFF2-40B4-BE49-F238E27FC236}">
                  <a16:creationId xmlns:a16="http://schemas.microsoft.com/office/drawing/2014/main" id="{C9AC4BE7-DBC3-4E8F-B115-ED87DC000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DAD4C74" w14:textId="77777777" w:rsidR="00790873" w:rsidRDefault="00790873" w:rsidP="00790873">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经分析同区域内（海淀区）近三年（</w:t>
      </w:r>
      <w:r>
        <w:rPr>
          <w:rFonts w:ascii="Arial" w:eastAsia="仿宋_GB2312" w:hAnsi="Arial" w:cs="Arial"/>
          <w:sz w:val="28"/>
          <w:szCs w:val="28"/>
        </w:rPr>
        <w:t>2018-2020</w:t>
      </w:r>
      <w:r>
        <w:rPr>
          <w:rFonts w:ascii="Arial" w:eastAsia="仿宋_GB2312" w:hAnsi="Arial" w:cs="Arial" w:hint="eastAsia"/>
          <w:sz w:val="28"/>
          <w:szCs w:val="28"/>
        </w:rPr>
        <w:t>年）估价对象周边已审定（或成交）商业用途协议出让案例有</w:t>
      </w:r>
      <w:r>
        <w:rPr>
          <w:rFonts w:ascii="Arial" w:eastAsia="仿宋_GB2312" w:hAnsi="Arial" w:cs="Arial" w:hint="eastAsia"/>
          <w:sz w:val="28"/>
          <w:szCs w:val="28"/>
        </w:rPr>
        <w:t>8</w:t>
      </w:r>
      <w:r>
        <w:rPr>
          <w:rFonts w:ascii="Arial" w:eastAsia="仿宋_GB2312" w:hAnsi="Arial" w:cs="Arial" w:hint="eastAsia"/>
          <w:sz w:val="28"/>
          <w:szCs w:val="28"/>
        </w:rPr>
        <w:t>个，其中</w:t>
      </w:r>
      <w:r>
        <w:rPr>
          <w:rFonts w:ascii="Arial" w:eastAsia="仿宋_GB2312" w:hAnsi="Arial" w:cs="Arial"/>
          <w:sz w:val="28"/>
          <w:szCs w:val="28"/>
        </w:rPr>
        <w:t>2018</w:t>
      </w:r>
      <w:r>
        <w:rPr>
          <w:rFonts w:ascii="Arial" w:eastAsia="仿宋_GB2312" w:hAnsi="Arial" w:cs="Arial" w:hint="eastAsia"/>
          <w:sz w:val="28"/>
          <w:szCs w:val="28"/>
        </w:rPr>
        <w:t>年楼面熟地价平均值为</w:t>
      </w:r>
      <w:r>
        <w:rPr>
          <w:rFonts w:ascii="Arial" w:eastAsia="仿宋_GB2312" w:hAnsi="Arial" w:cs="Arial"/>
          <w:sz w:val="28"/>
          <w:szCs w:val="28"/>
        </w:rPr>
        <w:t>20293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5</w:t>
      </w:r>
      <w:r>
        <w:rPr>
          <w:rFonts w:ascii="Arial" w:eastAsia="仿宋_GB2312" w:hAnsi="Arial" w:cs="Arial" w:hint="eastAsia"/>
          <w:sz w:val="28"/>
          <w:szCs w:val="28"/>
        </w:rPr>
        <w:t>宗，</w:t>
      </w:r>
      <w:r>
        <w:rPr>
          <w:rFonts w:ascii="Arial" w:eastAsia="仿宋_GB2312" w:hAnsi="Arial" w:cs="Arial"/>
          <w:sz w:val="28"/>
          <w:szCs w:val="28"/>
        </w:rPr>
        <w:t>1</w:t>
      </w:r>
      <w:r>
        <w:rPr>
          <w:rFonts w:ascii="Arial" w:eastAsia="仿宋_GB2312" w:hAnsi="Arial" w:cs="Arial" w:hint="eastAsia"/>
          <w:sz w:val="28"/>
          <w:szCs w:val="28"/>
        </w:rPr>
        <w:t>宗位于七级地价区，</w:t>
      </w:r>
      <w:r>
        <w:rPr>
          <w:rFonts w:ascii="Arial" w:eastAsia="仿宋_GB2312" w:hAnsi="Arial" w:cs="Arial"/>
          <w:sz w:val="28"/>
          <w:szCs w:val="28"/>
        </w:rPr>
        <w:t xml:space="preserve"> 1</w:t>
      </w:r>
      <w:r>
        <w:rPr>
          <w:rFonts w:ascii="Arial" w:eastAsia="仿宋_GB2312" w:hAnsi="Arial" w:cs="Arial" w:hint="eastAsia"/>
          <w:sz w:val="28"/>
          <w:szCs w:val="28"/>
        </w:rPr>
        <w:t>宗位于六级地价区，</w:t>
      </w:r>
      <w:r>
        <w:rPr>
          <w:rFonts w:ascii="Arial" w:eastAsia="仿宋_GB2312" w:hAnsi="Arial" w:cs="Arial" w:hint="eastAsia"/>
          <w:sz w:val="28"/>
          <w:szCs w:val="28"/>
        </w:rPr>
        <w:t>3</w:t>
      </w:r>
      <w:r>
        <w:rPr>
          <w:rFonts w:ascii="Arial" w:eastAsia="仿宋_GB2312" w:hAnsi="Arial" w:cs="Arial" w:hint="eastAsia"/>
          <w:sz w:val="28"/>
          <w:szCs w:val="28"/>
        </w:rPr>
        <w:t>宗位于五级地价区），</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23694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3</w:t>
      </w:r>
      <w:r>
        <w:rPr>
          <w:rFonts w:ascii="Arial" w:eastAsia="仿宋_GB2312" w:hAnsi="Arial" w:cs="Arial" w:hint="eastAsia"/>
          <w:sz w:val="28"/>
          <w:szCs w:val="28"/>
        </w:rPr>
        <w:lastRenderedPageBreak/>
        <w:t>宗，</w:t>
      </w:r>
      <w:r>
        <w:rPr>
          <w:rFonts w:ascii="Arial" w:eastAsia="仿宋_GB2312" w:hAnsi="Arial" w:cs="Arial"/>
          <w:sz w:val="28"/>
          <w:szCs w:val="28"/>
        </w:rPr>
        <w:t>2</w:t>
      </w:r>
      <w:r>
        <w:rPr>
          <w:rFonts w:ascii="Arial" w:eastAsia="仿宋_GB2312" w:hAnsi="Arial" w:cs="Arial" w:hint="eastAsia"/>
          <w:sz w:val="28"/>
          <w:szCs w:val="28"/>
        </w:rPr>
        <w:t>宗位于三级地价区（其中</w:t>
      </w:r>
      <w:r>
        <w:rPr>
          <w:rFonts w:ascii="Arial" w:eastAsia="仿宋_GB2312" w:hAnsi="Arial" w:cs="Arial" w:hint="eastAsia"/>
          <w:sz w:val="28"/>
          <w:szCs w:val="28"/>
        </w:rPr>
        <w:t>1</w:t>
      </w:r>
      <w:r>
        <w:rPr>
          <w:rFonts w:ascii="Arial" w:eastAsia="仿宋_GB2312" w:hAnsi="Arial" w:cs="Arial" w:hint="eastAsia"/>
          <w:sz w:val="28"/>
          <w:szCs w:val="28"/>
        </w:rPr>
        <w:t>宗楼面熟地价</w:t>
      </w:r>
      <w:r>
        <w:rPr>
          <w:rFonts w:ascii="Arial" w:eastAsia="仿宋_GB2312" w:hAnsi="Arial" w:cs="Arial" w:hint="eastAsia"/>
          <w:sz w:val="28"/>
          <w:szCs w:val="28"/>
        </w:rPr>
        <w:t>3</w:t>
      </w:r>
      <w:r>
        <w:rPr>
          <w:rFonts w:ascii="Arial" w:eastAsia="仿宋_GB2312" w:hAnsi="Arial" w:cs="Arial"/>
          <w:sz w:val="28"/>
          <w:szCs w:val="28"/>
        </w:rPr>
        <w:t>3464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平方米，另</w:t>
      </w:r>
      <w:r>
        <w:rPr>
          <w:rFonts w:ascii="Arial" w:eastAsia="仿宋_GB2312" w:hAnsi="Arial" w:cs="Arial" w:hint="eastAsia"/>
          <w:sz w:val="28"/>
          <w:szCs w:val="28"/>
        </w:rPr>
        <w:t>1</w:t>
      </w:r>
      <w:r>
        <w:rPr>
          <w:rFonts w:ascii="Arial" w:eastAsia="仿宋_GB2312" w:hAnsi="Arial" w:cs="Arial" w:hint="eastAsia"/>
          <w:sz w:val="28"/>
          <w:szCs w:val="28"/>
        </w:rPr>
        <w:t>宗楼面熟地价</w:t>
      </w:r>
      <w:r>
        <w:rPr>
          <w:rFonts w:ascii="Arial" w:eastAsia="仿宋_GB2312" w:hAnsi="Arial" w:cs="Arial" w:hint="eastAsia"/>
          <w:sz w:val="28"/>
          <w:szCs w:val="28"/>
        </w:rPr>
        <w:t>2</w:t>
      </w:r>
      <w:r>
        <w:rPr>
          <w:rFonts w:ascii="Arial" w:eastAsia="仿宋_GB2312" w:hAnsi="Arial" w:cs="Arial"/>
          <w:sz w:val="28"/>
          <w:szCs w:val="28"/>
        </w:rPr>
        <w:t>4975</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平方米，三级</w:t>
      </w:r>
      <w:proofErr w:type="gramStart"/>
      <w:r>
        <w:rPr>
          <w:rFonts w:ascii="Arial" w:eastAsia="仿宋_GB2312" w:hAnsi="Arial" w:cs="Arial" w:hint="eastAsia"/>
          <w:sz w:val="28"/>
          <w:szCs w:val="28"/>
        </w:rPr>
        <w:t>地价区楼面熟</w:t>
      </w:r>
      <w:proofErr w:type="gramEnd"/>
      <w:r>
        <w:rPr>
          <w:rFonts w:ascii="Arial" w:eastAsia="仿宋_GB2312" w:hAnsi="Arial" w:cs="Arial" w:hint="eastAsia"/>
          <w:sz w:val="28"/>
          <w:szCs w:val="28"/>
        </w:rPr>
        <w:t>地价平均值为</w:t>
      </w:r>
      <w:r>
        <w:rPr>
          <w:rFonts w:ascii="Arial" w:eastAsia="仿宋_GB2312" w:hAnsi="Arial" w:cs="Arial" w:hint="eastAsia"/>
          <w:sz w:val="28"/>
          <w:szCs w:val="28"/>
        </w:rPr>
        <w:t>2</w:t>
      </w:r>
      <w:r>
        <w:rPr>
          <w:rFonts w:ascii="Arial" w:eastAsia="仿宋_GB2312" w:hAnsi="Arial" w:cs="Arial"/>
          <w:sz w:val="28"/>
          <w:szCs w:val="28"/>
        </w:rPr>
        <w:t>9220</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w:t>
      </w:r>
      <w:r>
        <w:rPr>
          <w:rFonts w:ascii="Arial" w:eastAsia="仿宋_GB2312" w:hAnsi="Arial" w:cs="Arial"/>
          <w:sz w:val="28"/>
          <w:szCs w:val="28"/>
        </w:rPr>
        <w:t>1</w:t>
      </w:r>
      <w:r>
        <w:rPr>
          <w:rFonts w:ascii="Arial" w:eastAsia="仿宋_GB2312" w:hAnsi="Arial" w:cs="Arial" w:hint="eastAsia"/>
          <w:sz w:val="28"/>
          <w:szCs w:val="28"/>
        </w:rPr>
        <w:t>宗位于八级地价区），</w:t>
      </w:r>
      <w:r>
        <w:rPr>
          <w:rFonts w:ascii="Arial" w:eastAsia="仿宋_GB2312" w:hAnsi="Arial" w:cs="Arial"/>
          <w:sz w:val="28"/>
          <w:szCs w:val="28"/>
        </w:rPr>
        <w:t>2020</w:t>
      </w:r>
      <w:r>
        <w:rPr>
          <w:rFonts w:ascii="Arial" w:eastAsia="仿宋_GB2312" w:hAnsi="Arial" w:cs="Arial" w:hint="eastAsia"/>
          <w:sz w:val="28"/>
          <w:szCs w:val="28"/>
        </w:rPr>
        <w:t>年</w:t>
      </w:r>
      <w:proofErr w:type="gramStart"/>
      <w:r>
        <w:rPr>
          <w:rFonts w:ascii="Arial" w:eastAsia="仿宋_GB2312" w:hAnsi="Arial" w:cs="Arial" w:hint="eastAsia"/>
          <w:sz w:val="28"/>
          <w:szCs w:val="28"/>
        </w:rPr>
        <w:t>无商业</w:t>
      </w:r>
      <w:proofErr w:type="gramEnd"/>
      <w:r>
        <w:rPr>
          <w:rFonts w:ascii="Arial" w:eastAsia="仿宋_GB2312" w:hAnsi="Arial" w:cs="Arial" w:hint="eastAsia"/>
          <w:sz w:val="28"/>
          <w:szCs w:val="28"/>
        </w:rPr>
        <w:t>类协议出让成交地块，估价对象位于三级地价区，故估价对象商业</w:t>
      </w:r>
      <w:proofErr w:type="gramStart"/>
      <w:r>
        <w:rPr>
          <w:rFonts w:ascii="Arial" w:eastAsia="仿宋_GB2312" w:hAnsi="Arial" w:cs="Arial" w:hint="eastAsia"/>
          <w:sz w:val="28"/>
          <w:szCs w:val="28"/>
        </w:rPr>
        <w:t>用途楼</w:t>
      </w:r>
      <w:proofErr w:type="gramEnd"/>
      <w:r>
        <w:rPr>
          <w:rFonts w:ascii="Arial" w:eastAsia="仿宋_GB2312" w:hAnsi="Arial" w:cs="Arial" w:hint="eastAsia"/>
          <w:sz w:val="28"/>
          <w:szCs w:val="28"/>
        </w:rPr>
        <w:t>面熟地价同</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年成交的</w:t>
      </w:r>
      <w:r>
        <w:rPr>
          <w:rFonts w:ascii="Arial" w:eastAsia="仿宋_GB2312" w:hAnsi="Arial" w:cs="Arial" w:hint="eastAsia"/>
          <w:sz w:val="28"/>
          <w:szCs w:val="28"/>
        </w:rPr>
        <w:t>2</w:t>
      </w:r>
      <w:r>
        <w:rPr>
          <w:rFonts w:ascii="Arial" w:eastAsia="仿宋_GB2312" w:hAnsi="Arial" w:cs="Arial" w:hint="eastAsia"/>
          <w:sz w:val="28"/>
          <w:szCs w:val="28"/>
        </w:rPr>
        <w:t>宗三级地成交价格接近，较为合理。</w:t>
      </w:r>
    </w:p>
    <w:p w14:paraId="5C5AEF48" w14:textId="77777777" w:rsidR="00790873" w:rsidRDefault="00790873" w:rsidP="00790873">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经分析同区域内（海淀区）近三年（</w:t>
      </w:r>
      <w:r>
        <w:rPr>
          <w:rFonts w:ascii="Arial" w:eastAsia="仿宋_GB2312" w:hAnsi="Arial" w:cs="Arial"/>
          <w:sz w:val="28"/>
          <w:szCs w:val="28"/>
        </w:rPr>
        <w:t>2018-2020</w:t>
      </w:r>
      <w:r>
        <w:rPr>
          <w:rFonts w:ascii="Arial" w:eastAsia="仿宋_GB2312" w:hAnsi="Arial" w:cs="Arial" w:hint="eastAsia"/>
          <w:sz w:val="28"/>
          <w:szCs w:val="28"/>
        </w:rPr>
        <w:t>年）估价对象周边已审定（或成交）办公用途协议出让案例有</w:t>
      </w:r>
      <w:r>
        <w:rPr>
          <w:rFonts w:ascii="Arial" w:eastAsia="仿宋_GB2312" w:hAnsi="Arial" w:cs="Arial"/>
          <w:sz w:val="28"/>
          <w:szCs w:val="28"/>
        </w:rPr>
        <w:t>10</w:t>
      </w:r>
      <w:r>
        <w:rPr>
          <w:rFonts w:ascii="Arial" w:eastAsia="仿宋_GB2312" w:hAnsi="Arial" w:cs="Arial" w:hint="eastAsia"/>
          <w:sz w:val="28"/>
          <w:szCs w:val="28"/>
        </w:rPr>
        <w:t>个，其中</w:t>
      </w:r>
      <w:r>
        <w:rPr>
          <w:rFonts w:ascii="Arial" w:eastAsia="仿宋_GB2312" w:hAnsi="Arial" w:cs="Arial"/>
          <w:sz w:val="28"/>
          <w:szCs w:val="28"/>
        </w:rPr>
        <w:t>2018</w:t>
      </w:r>
      <w:r>
        <w:rPr>
          <w:rFonts w:ascii="Arial" w:eastAsia="仿宋_GB2312" w:hAnsi="Arial" w:cs="Arial" w:hint="eastAsia"/>
          <w:sz w:val="28"/>
          <w:szCs w:val="28"/>
        </w:rPr>
        <w:t>年楼面熟地价平均值为</w:t>
      </w:r>
      <w:r>
        <w:rPr>
          <w:rFonts w:ascii="Arial" w:eastAsia="仿宋_GB2312" w:hAnsi="Arial" w:cs="Arial"/>
          <w:sz w:val="28"/>
          <w:szCs w:val="28"/>
        </w:rPr>
        <w:t>16852</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6</w:t>
      </w:r>
      <w:r>
        <w:rPr>
          <w:rFonts w:ascii="Arial" w:eastAsia="仿宋_GB2312" w:hAnsi="Arial" w:cs="Arial" w:hint="eastAsia"/>
          <w:sz w:val="28"/>
          <w:szCs w:val="28"/>
        </w:rPr>
        <w:t>宗，</w:t>
      </w:r>
      <w:r>
        <w:rPr>
          <w:rFonts w:ascii="Arial" w:eastAsia="仿宋_GB2312" w:hAnsi="Arial" w:cs="Arial"/>
          <w:sz w:val="28"/>
          <w:szCs w:val="28"/>
        </w:rPr>
        <w:t>1</w:t>
      </w:r>
      <w:r>
        <w:rPr>
          <w:rFonts w:ascii="Arial" w:eastAsia="仿宋_GB2312" w:hAnsi="Arial" w:cs="Arial" w:hint="eastAsia"/>
          <w:sz w:val="28"/>
          <w:szCs w:val="28"/>
        </w:rPr>
        <w:t>宗位于七级地价区，</w:t>
      </w:r>
      <w:r>
        <w:rPr>
          <w:rFonts w:ascii="Arial" w:eastAsia="仿宋_GB2312" w:hAnsi="Arial" w:cs="Arial"/>
          <w:sz w:val="28"/>
          <w:szCs w:val="28"/>
        </w:rPr>
        <w:t xml:space="preserve"> 2</w:t>
      </w:r>
      <w:r>
        <w:rPr>
          <w:rFonts w:ascii="Arial" w:eastAsia="仿宋_GB2312" w:hAnsi="Arial" w:cs="Arial" w:hint="eastAsia"/>
          <w:sz w:val="28"/>
          <w:szCs w:val="28"/>
        </w:rPr>
        <w:t>宗位于六级地价区，</w:t>
      </w:r>
      <w:r>
        <w:rPr>
          <w:rFonts w:ascii="Arial" w:eastAsia="仿宋_GB2312" w:hAnsi="Arial" w:cs="Arial"/>
          <w:sz w:val="28"/>
          <w:szCs w:val="28"/>
        </w:rPr>
        <w:t>3</w:t>
      </w:r>
      <w:r>
        <w:rPr>
          <w:rFonts w:ascii="Arial" w:eastAsia="仿宋_GB2312" w:hAnsi="Arial" w:cs="Arial" w:hint="eastAsia"/>
          <w:sz w:val="28"/>
          <w:szCs w:val="28"/>
        </w:rPr>
        <w:t>宗位于五级地价区），</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19414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3</w:t>
      </w:r>
      <w:r>
        <w:rPr>
          <w:rFonts w:ascii="Arial" w:eastAsia="仿宋_GB2312" w:hAnsi="Arial" w:cs="Arial" w:hint="eastAsia"/>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宗位于八级地价区，</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2020</w:t>
      </w:r>
      <w:r>
        <w:rPr>
          <w:rFonts w:ascii="Arial" w:eastAsia="仿宋_GB2312" w:hAnsi="Arial" w:cs="Arial" w:hint="eastAsia"/>
          <w:sz w:val="28"/>
          <w:szCs w:val="28"/>
        </w:rPr>
        <w:t>年楼面熟地价平均值为</w:t>
      </w:r>
      <w:r>
        <w:rPr>
          <w:rFonts w:ascii="Arial" w:eastAsia="仿宋_GB2312" w:hAnsi="Arial" w:cs="Arial"/>
          <w:sz w:val="28"/>
          <w:szCs w:val="28"/>
        </w:rPr>
        <w:t>26293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平方米（仅</w:t>
      </w:r>
      <w:r>
        <w:rPr>
          <w:rFonts w:ascii="Arial" w:eastAsia="仿宋_GB2312" w:hAnsi="Arial" w:cs="Arial"/>
          <w:sz w:val="28"/>
          <w:szCs w:val="28"/>
        </w:rPr>
        <w:t>1</w:t>
      </w:r>
      <w:r>
        <w:rPr>
          <w:rFonts w:ascii="Arial" w:eastAsia="仿宋_GB2312" w:hAnsi="Arial" w:cs="Arial" w:hint="eastAsia"/>
          <w:sz w:val="28"/>
          <w:szCs w:val="28"/>
        </w:rPr>
        <w:t>宗，位于二级地价区，该</w:t>
      </w:r>
      <w:r>
        <w:rPr>
          <w:rFonts w:ascii="Arial" w:eastAsia="仿宋_GB2312" w:hAnsi="Arial" w:cs="Arial"/>
          <w:sz w:val="28"/>
          <w:szCs w:val="28"/>
        </w:rPr>
        <w:t>用途出让</w:t>
      </w:r>
      <w:r>
        <w:rPr>
          <w:rFonts w:ascii="Arial" w:eastAsia="仿宋_GB2312" w:hAnsi="Arial" w:cs="Arial" w:hint="eastAsia"/>
          <w:sz w:val="28"/>
          <w:szCs w:val="28"/>
        </w:rPr>
        <w:t>建设</w:t>
      </w:r>
      <w:r>
        <w:rPr>
          <w:rFonts w:ascii="Arial" w:eastAsia="仿宋_GB2312" w:hAnsi="Arial" w:cs="Arial"/>
          <w:sz w:val="28"/>
          <w:szCs w:val="28"/>
        </w:rPr>
        <w:t>规模</w:t>
      </w:r>
      <w:r>
        <w:rPr>
          <w:rFonts w:ascii="Arial" w:eastAsia="仿宋_GB2312" w:hAnsi="Arial" w:cs="Arial" w:hint="eastAsia"/>
          <w:sz w:val="28"/>
          <w:szCs w:val="28"/>
        </w:rPr>
        <w:t>超</w:t>
      </w:r>
      <w:r>
        <w:rPr>
          <w:rFonts w:ascii="Arial" w:eastAsia="仿宋_GB2312" w:hAnsi="Arial" w:cs="Arial" w:hint="eastAsia"/>
          <w:sz w:val="28"/>
          <w:szCs w:val="28"/>
        </w:rPr>
        <w:t>10000</w:t>
      </w:r>
      <w:r>
        <w:rPr>
          <w:rFonts w:ascii="Arial" w:eastAsia="仿宋_GB2312" w:hAnsi="Arial" w:cs="Arial" w:hint="eastAsia"/>
          <w:sz w:val="28"/>
          <w:szCs w:val="28"/>
        </w:rPr>
        <w:t>平方米），估价对象位于二级地价区，估价结果应高于</w:t>
      </w:r>
      <w:r>
        <w:rPr>
          <w:rFonts w:ascii="Arial" w:eastAsia="仿宋_GB2312" w:hAnsi="Arial" w:cs="Arial"/>
          <w:sz w:val="28"/>
          <w:szCs w:val="28"/>
        </w:rPr>
        <w:t>2018-2020</w:t>
      </w:r>
      <w:r>
        <w:rPr>
          <w:rFonts w:ascii="Arial" w:eastAsia="仿宋_GB2312" w:hAnsi="Arial" w:cs="Arial" w:hint="eastAsia"/>
          <w:sz w:val="28"/>
          <w:szCs w:val="28"/>
        </w:rPr>
        <w:t>年楼面熟地价。</w:t>
      </w:r>
    </w:p>
    <w:p w14:paraId="279A81A3" w14:textId="77777777" w:rsidR="00790873" w:rsidRDefault="00790873" w:rsidP="00790873">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近三年同区域内（海淀区）共成交</w:t>
      </w:r>
      <w:r>
        <w:rPr>
          <w:rFonts w:ascii="Arial" w:eastAsia="仿宋_GB2312" w:hAnsi="Arial" w:cs="Arial"/>
          <w:sz w:val="28"/>
          <w:szCs w:val="28"/>
        </w:rPr>
        <w:t>4</w:t>
      </w:r>
      <w:r>
        <w:rPr>
          <w:rFonts w:ascii="Arial" w:eastAsia="仿宋_GB2312" w:hAnsi="Arial" w:cs="Arial" w:hint="eastAsia"/>
          <w:sz w:val="28"/>
          <w:szCs w:val="28"/>
        </w:rPr>
        <w:t>个商办</w:t>
      </w:r>
      <w:proofErr w:type="gramStart"/>
      <w:r>
        <w:rPr>
          <w:rFonts w:ascii="Arial" w:eastAsia="仿宋_GB2312" w:hAnsi="Arial" w:cs="Arial" w:hint="eastAsia"/>
          <w:sz w:val="28"/>
          <w:szCs w:val="28"/>
        </w:rPr>
        <w:t>类招拍挂</w:t>
      </w:r>
      <w:proofErr w:type="gramEnd"/>
      <w:r>
        <w:rPr>
          <w:rFonts w:ascii="Arial" w:eastAsia="仿宋_GB2312" w:hAnsi="Arial" w:cs="Arial" w:hint="eastAsia"/>
          <w:sz w:val="28"/>
          <w:szCs w:val="28"/>
        </w:rPr>
        <w:t>出让项目，</w:t>
      </w:r>
      <w:r>
        <w:rPr>
          <w:rFonts w:ascii="Arial" w:eastAsia="仿宋_GB2312" w:hAnsi="Arial" w:cs="Arial"/>
          <w:sz w:val="28"/>
          <w:szCs w:val="28"/>
        </w:rPr>
        <w:t>2018</w:t>
      </w:r>
      <w:r>
        <w:rPr>
          <w:rFonts w:ascii="Arial" w:eastAsia="仿宋_GB2312" w:hAnsi="Arial" w:cs="Arial" w:hint="eastAsia"/>
          <w:sz w:val="28"/>
          <w:szCs w:val="28"/>
        </w:rPr>
        <w:t>年同区域无商办</w:t>
      </w:r>
      <w:proofErr w:type="gramStart"/>
      <w:r>
        <w:rPr>
          <w:rFonts w:ascii="Arial" w:eastAsia="仿宋_GB2312" w:hAnsi="Arial" w:cs="Arial" w:hint="eastAsia"/>
          <w:sz w:val="28"/>
          <w:szCs w:val="28"/>
        </w:rPr>
        <w:t>类招拍挂成交</w:t>
      </w:r>
      <w:proofErr w:type="gramEnd"/>
      <w:r>
        <w:rPr>
          <w:rFonts w:ascii="Arial" w:eastAsia="仿宋_GB2312" w:hAnsi="Arial" w:cs="Arial" w:hint="eastAsia"/>
          <w:sz w:val="28"/>
          <w:szCs w:val="28"/>
        </w:rPr>
        <w:t>地块；</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22423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3</w:t>
      </w:r>
      <w:r>
        <w:rPr>
          <w:rFonts w:ascii="Arial" w:eastAsia="仿宋_GB2312" w:hAnsi="Arial" w:cs="Arial" w:hint="eastAsia"/>
          <w:sz w:val="28"/>
          <w:szCs w:val="28"/>
        </w:rPr>
        <w:t>宗，其中</w:t>
      </w:r>
      <w:r>
        <w:rPr>
          <w:rFonts w:ascii="Arial" w:eastAsia="仿宋_GB2312" w:hAnsi="Arial" w:cs="Arial"/>
          <w:sz w:val="28"/>
          <w:szCs w:val="28"/>
        </w:rPr>
        <w:t>1</w:t>
      </w:r>
      <w:r>
        <w:rPr>
          <w:rFonts w:ascii="Arial" w:eastAsia="仿宋_GB2312" w:hAnsi="Arial" w:cs="Arial" w:hint="eastAsia"/>
          <w:sz w:val="28"/>
          <w:szCs w:val="28"/>
        </w:rPr>
        <w:t>宗位于五级地，</w:t>
      </w:r>
      <w:r>
        <w:rPr>
          <w:rFonts w:ascii="Arial" w:eastAsia="仿宋_GB2312" w:hAnsi="Arial" w:cs="Arial"/>
          <w:sz w:val="28"/>
          <w:szCs w:val="28"/>
        </w:rPr>
        <w:t>2</w:t>
      </w:r>
      <w:r>
        <w:rPr>
          <w:rFonts w:ascii="Arial" w:eastAsia="仿宋_GB2312" w:hAnsi="Arial" w:cs="Arial" w:hint="eastAsia"/>
          <w:sz w:val="28"/>
          <w:szCs w:val="28"/>
        </w:rPr>
        <w:t>宗位于六级地），结合</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案例用途及位置，故估价对象评估结果高于</w:t>
      </w:r>
      <w:r>
        <w:rPr>
          <w:rFonts w:ascii="Arial" w:eastAsia="仿宋_GB2312" w:hAnsi="Arial" w:cs="Arial"/>
          <w:sz w:val="28"/>
          <w:szCs w:val="28"/>
        </w:rPr>
        <w:t>2019</w:t>
      </w:r>
      <w:r>
        <w:rPr>
          <w:rFonts w:ascii="Arial" w:eastAsia="仿宋_GB2312" w:hAnsi="Arial" w:cs="Arial" w:hint="eastAsia"/>
          <w:sz w:val="28"/>
          <w:szCs w:val="28"/>
        </w:rPr>
        <w:t>年度</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地价均值是合理的；</w:t>
      </w:r>
      <w:r>
        <w:rPr>
          <w:rFonts w:ascii="Arial" w:eastAsia="仿宋_GB2312" w:hAnsi="Arial" w:cs="Arial"/>
          <w:sz w:val="28"/>
          <w:szCs w:val="28"/>
        </w:rPr>
        <w:t>2020</w:t>
      </w:r>
      <w:r>
        <w:rPr>
          <w:rFonts w:ascii="Arial" w:eastAsia="仿宋_GB2312" w:hAnsi="Arial" w:cs="Arial" w:hint="eastAsia"/>
          <w:sz w:val="28"/>
          <w:szCs w:val="28"/>
        </w:rPr>
        <w:t>年楼面熟地价（仅成交</w:t>
      </w:r>
      <w:r>
        <w:rPr>
          <w:rFonts w:ascii="Arial" w:eastAsia="仿宋_GB2312" w:hAnsi="Arial" w:cs="Arial"/>
          <w:sz w:val="28"/>
          <w:szCs w:val="28"/>
        </w:rPr>
        <w:t>1</w:t>
      </w:r>
      <w:r>
        <w:rPr>
          <w:rFonts w:ascii="Arial" w:eastAsia="仿宋_GB2312" w:hAnsi="Arial" w:cs="Arial" w:hint="eastAsia"/>
          <w:sz w:val="28"/>
          <w:szCs w:val="28"/>
        </w:rPr>
        <w:t>宗，位于西八里庄，三级地价区）为</w:t>
      </w:r>
      <w:r>
        <w:rPr>
          <w:rFonts w:ascii="Arial" w:eastAsia="仿宋_GB2312" w:hAnsi="Arial" w:cs="Arial"/>
          <w:sz w:val="28"/>
          <w:szCs w:val="28"/>
        </w:rPr>
        <w:t>31358</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平方米，估价对象位于二级地价区，估价对象</w:t>
      </w:r>
      <w:r>
        <w:rPr>
          <w:rFonts w:ascii="Arial" w:eastAsia="仿宋_GB2312" w:hAnsi="Arial" w:cs="Arial"/>
          <w:sz w:val="28"/>
          <w:szCs w:val="28"/>
        </w:rPr>
        <w:t>商办</w:t>
      </w:r>
      <w:r>
        <w:rPr>
          <w:rFonts w:ascii="Arial" w:eastAsia="仿宋_GB2312" w:hAnsi="Arial" w:cs="Arial" w:hint="eastAsia"/>
          <w:sz w:val="28"/>
          <w:szCs w:val="28"/>
        </w:rPr>
        <w:t>用途属于住宅</w:t>
      </w:r>
      <w:r>
        <w:rPr>
          <w:rFonts w:ascii="Arial" w:eastAsia="仿宋_GB2312" w:hAnsi="Arial" w:cs="Arial"/>
          <w:sz w:val="28"/>
          <w:szCs w:val="28"/>
        </w:rPr>
        <w:t>配套</w:t>
      </w:r>
      <w:r>
        <w:rPr>
          <w:rFonts w:ascii="Arial" w:eastAsia="仿宋_GB2312" w:hAnsi="Arial" w:cs="Arial" w:hint="eastAsia"/>
          <w:sz w:val="28"/>
          <w:szCs w:val="28"/>
        </w:rPr>
        <w:t>，与</w:t>
      </w:r>
      <w:r>
        <w:rPr>
          <w:rFonts w:ascii="Arial" w:eastAsia="仿宋_GB2312" w:hAnsi="Arial" w:cs="Arial"/>
          <w:sz w:val="28"/>
          <w:szCs w:val="28"/>
        </w:rPr>
        <w:t>西八里</w:t>
      </w:r>
      <w:proofErr w:type="gramStart"/>
      <w:r>
        <w:rPr>
          <w:rFonts w:ascii="Arial" w:eastAsia="仿宋_GB2312" w:hAnsi="Arial" w:cs="Arial"/>
          <w:sz w:val="28"/>
          <w:szCs w:val="28"/>
        </w:rPr>
        <w:t>庄项目</w:t>
      </w:r>
      <w:proofErr w:type="gramEnd"/>
      <w:r>
        <w:rPr>
          <w:rFonts w:ascii="Arial" w:eastAsia="仿宋_GB2312" w:hAnsi="Arial" w:cs="Arial"/>
          <w:sz w:val="28"/>
          <w:szCs w:val="28"/>
        </w:rPr>
        <w:t>产品类型不同</w:t>
      </w:r>
      <w:r>
        <w:rPr>
          <w:rFonts w:ascii="Arial" w:eastAsia="仿宋_GB2312" w:hAnsi="Arial" w:cs="Arial" w:hint="eastAsia"/>
          <w:sz w:val="28"/>
          <w:szCs w:val="28"/>
        </w:rPr>
        <w:t>，估价结果略低于西八里</w:t>
      </w:r>
      <w:proofErr w:type="gramStart"/>
      <w:r>
        <w:rPr>
          <w:rFonts w:ascii="Arial" w:eastAsia="仿宋_GB2312" w:hAnsi="Arial" w:cs="Arial" w:hint="eastAsia"/>
          <w:sz w:val="28"/>
          <w:szCs w:val="28"/>
        </w:rPr>
        <w:t>庄招拍挂成交</w:t>
      </w:r>
      <w:proofErr w:type="gramEnd"/>
      <w:r>
        <w:rPr>
          <w:rFonts w:ascii="Arial" w:eastAsia="仿宋_GB2312" w:hAnsi="Arial" w:cs="Arial" w:hint="eastAsia"/>
          <w:sz w:val="28"/>
          <w:szCs w:val="28"/>
        </w:rPr>
        <w:t>地价是合理的。</w:t>
      </w:r>
    </w:p>
    <w:p w14:paraId="6D6C13F1" w14:textId="77777777" w:rsidR="00790873" w:rsidRDefault="00790873" w:rsidP="00790873">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估价对象的估价结果与近三年已审定（或成交）案例的平均价格水平相当，因受估价对象所在区域、估价期日、容积率等因素的影响，最终估价结果在合理范围之内。</w:t>
      </w:r>
      <w:r w:rsidRPr="003A3E89">
        <w:rPr>
          <w:rFonts w:ascii="Arial" w:eastAsia="仿宋_GB2312" w:hAnsi="Arial" w:cs="Arial" w:hint="eastAsia"/>
          <w:sz w:val="28"/>
          <w:szCs w:val="28"/>
        </w:rPr>
        <w:t xml:space="preserve"> </w:t>
      </w:r>
    </w:p>
    <w:p w14:paraId="6645FA90" w14:textId="77777777" w:rsidR="00790873" w:rsidRPr="00CB3EE5" w:rsidRDefault="00790873" w:rsidP="00790873">
      <w:pPr>
        <w:spacing w:line="360" w:lineRule="auto"/>
        <w:jc w:val="both"/>
        <w:rPr>
          <w:rFonts w:ascii="Arial" w:eastAsia="仿宋_GB2312" w:hAnsi="Arial" w:cs="Arial"/>
          <w:sz w:val="28"/>
          <w:szCs w:val="28"/>
        </w:rPr>
      </w:pPr>
    </w:p>
    <w:p w14:paraId="25AA4373" w14:textId="77777777" w:rsidR="00790873" w:rsidRDefault="00790873" w:rsidP="00790873">
      <w:pPr>
        <w:adjustRightInd/>
        <w:spacing w:line="360" w:lineRule="auto"/>
        <w:jc w:val="center"/>
        <w:textAlignment w:val="auto"/>
        <w:rPr>
          <w:rFonts w:ascii="Arial" w:eastAsia="仿宋_GB2312" w:hAnsi="Arial" w:cs="Arial"/>
          <w:sz w:val="28"/>
          <w:szCs w:val="28"/>
        </w:rPr>
      </w:pPr>
      <w:r w:rsidRPr="00193CEB">
        <w:rPr>
          <w:rFonts w:ascii="Arial" w:eastAsia="仿宋_GB2312" w:hAnsi="Arial" w:cs="Arial" w:hint="eastAsia"/>
          <w:sz w:val="28"/>
          <w:szCs w:val="28"/>
        </w:rPr>
        <w:lastRenderedPageBreak/>
        <w:t>商业</w:t>
      </w:r>
      <w:r w:rsidRPr="00193CEB">
        <w:rPr>
          <w:rFonts w:ascii="Arial" w:eastAsia="仿宋_GB2312" w:hAnsi="Arial" w:cs="Arial"/>
          <w:sz w:val="28"/>
          <w:szCs w:val="28"/>
        </w:rPr>
        <w:t>用途案例分析</w:t>
      </w:r>
    </w:p>
    <w:p w14:paraId="0FEA6427" w14:textId="77777777" w:rsidR="00790873" w:rsidRPr="00640132" w:rsidRDefault="00790873" w:rsidP="00790873">
      <w:pPr>
        <w:adjustRightInd/>
        <w:spacing w:line="360" w:lineRule="auto"/>
        <w:jc w:val="center"/>
        <w:textAlignment w:val="auto"/>
        <w:rPr>
          <w:rFonts w:ascii="Arial" w:eastAsia="仿宋_GB2312" w:hAnsi="Arial" w:cs="Arial"/>
          <w:sz w:val="28"/>
          <w:szCs w:val="28"/>
        </w:rPr>
      </w:pPr>
      <w:r>
        <w:rPr>
          <w:noProof/>
        </w:rPr>
        <w:drawing>
          <wp:inline distT="0" distB="0" distL="0" distR="0" wp14:anchorId="3FE6C901" wp14:editId="13B9FE50">
            <wp:extent cx="4986669" cy="3721395"/>
            <wp:effectExtent l="0" t="0" r="4445" b="12700"/>
            <wp:docPr id="32" name="图表 32">
              <a:extLst xmlns:a="http://schemas.openxmlformats.org/drawingml/2006/main">
                <a:ext uri="{FF2B5EF4-FFF2-40B4-BE49-F238E27FC236}">
                  <a16:creationId xmlns:a16="http://schemas.microsoft.com/office/drawing/2014/main" id="{FEBD5C2B-F202-48C1-8753-64C5C7A5E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E10E9AF" w14:textId="77777777" w:rsidR="00790873" w:rsidRDefault="00790873" w:rsidP="00790873">
      <w:pPr>
        <w:adjustRightInd/>
        <w:spacing w:line="360" w:lineRule="auto"/>
        <w:jc w:val="center"/>
        <w:textAlignment w:val="auto"/>
        <w:rPr>
          <w:rFonts w:ascii="Arial" w:eastAsia="仿宋_GB2312" w:hAnsi="Arial" w:cs="Arial"/>
          <w:sz w:val="28"/>
          <w:szCs w:val="28"/>
        </w:rPr>
      </w:pPr>
      <w:r w:rsidRPr="00640132">
        <w:rPr>
          <w:rFonts w:ascii="Arial" w:eastAsia="仿宋_GB2312" w:hAnsi="Arial" w:cs="Arial" w:hint="eastAsia"/>
          <w:sz w:val="28"/>
          <w:szCs w:val="28"/>
        </w:rPr>
        <w:t>办公</w:t>
      </w:r>
      <w:r w:rsidRPr="00640132">
        <w:rPr>
          <w:rFonts w:ascii="Arial" w:eastAsia="仿宋_GB2312" w:hAnsi="Arial" w:cs="Arial"/>
          <w:sz w:val="28"/>
          <w:szCs w:val="28"/>
        </w:rPr>
        <w:t>用途案例分析</w:t>
      </w:r>
    </w:p>
    <w:p w14:paraId="59E1BD48" w14:textId="77777777" w:rsidR="00790873" w:rsidRPr="00640132" w:rsidRDefault="00790873" w:rsidP="00790873">
      <w:pPr>
        <w:adjustRightInd/>
        <w:spacing w:line="360" w:lineRule="auto"/>
        <w:jc w:val="center"/>
        <w:textAlignment w:val="auto"/>
        <w:rPr>
          <w:rFonts w:ascii="Arial" w:eastAsia="仿宋_GB2312" w:hAnsi="Arial" w:cs="Arial"/>
          <w:sz w:val="28"/>
          <w:szCs w:val="28"/>
        </w:rPr>
      </w:pPr>
      <w:r>
        <w:rPr>
          <w:noProof/>
        </w:rPr>
        <w:drawing>
          <wp:inline distT="0" distB="0" distL="0" distR="0" wp14:anchorId="615DF975" wp14:editId="6D37F8C2">
            <wp:extent cx="4972050" cy="3957638"/>
            <wp:effectExtent l="0" t="0" r="0" b="5080"/>
            <wp:docPr id="33" name="图表 33">
              <a:extLst xmlns:a="http://schemas.openxmlformats.org/drawingml/2006/main">
                <a:ext uri="{FF2B5EF4-FFF2-40B4-BE49-F238E27FC236}">
                  <a16:creationId xmlns:a16="http://schemas.microsoft.com/office/drawing/2014/main" id="{E7836004-ED6E-4C44-9ACC-0FB78E0C6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42763C6" w14:textId="77777777" w:rsidR="00790873" w:rsidRDefault="00790873" w:rsidP="00790873">
      <w:pPr>
        <w:pStyle w:val="11"/>
        <w:jc w:val="both"/>
        <w:rPr>
          <w:rFonts w:ascii="Arial" w:hAnsi="Arial" w:cs="Arial"/>
          <w:szCs w:val="28"/>
        </w:rPr>
      </w:pPr>
      <w:r w:rsidRPr="004B7002">
        <w:rPr>
          <w:rFonts w:ascii="Arial" w:hAnsi="Arial" w:cs="Arial"/>
          <w:szCs w:val="28"/>
        </w:rPr>
        <w:lastRenderedPageBreak/>
        <w:t>3.</w:t>
      </w:r>
      <w:r>
        <w:rPr>
          <w:rFonts w:ascii="Arial" w:hAnsi="Arial" w:cs="Arial" w:hint="eastAsia"/>
        </w:rPr>
        <w:t>本次评估是</w:t>
      </w:r>
      <w:r w:rsidRPr="00F631FB">
        <w:rPr>
          <w:rFonts w:ascii="Arial" w:hAnsi="Arial" w:cs="Arial"/>
        </w:rPr>
        <w:t>为北京市规划和自然资源委员会办理该项目</w:t>
      </w:r>
      <w:r w:rsidRPr="00927BB2">
        <w:rPr>
          <w:rFonts w:ascii="Arial" w:hAnsi="Arial" w:cs="Arial" w:hint="eastAsia"/>
        </w:rPr>
        <w:t>一次性招标</w:t>
      </w:r>
      <w:r>
        <w:rPr>
          <w:rFonts w:ascii="Arial" w:hAnsi="Arial" w:cs="Arial" w:hint="eastAsia"/>
        </w:rPr>
        <w:t>出让手续</w:t>
      </w:r>
      <w:r w:rsidRPr="00F631FB">
        <w:rPr>
          <w:rFonts w:ascii="Arial" w:hAnsi="Arial" w:cs="Arial"/>
        </w:rPr>
        <w:t>提供参考</w:t>
      </w:r>
      <w:r w:rsidRPr="00F631FB">
        <w:rPr>
          <w:rFonts w:ascii="Arial" w:hAnsi="Arial" w:cs="Arial" w:hint="eastAsia"/>
        </w:rPr>
        <w:t>依据</w:t>
      </w:r>
      <w:r w:rsidRPr="00F631FB">
        <w:rPr>
          <w:rFonts w:ascii="Arial" w:hAnsi="Arial" w:cs="Arial"/>
        </w:rPr>
        <w:t>。</w:t>
      </w:r>
      <w:r>
        <w:rPr>
          <w:rFonts w:ascii="Arial" w:hAnsi="Arial" w:cs="Arial" w:hint="eastAsia"/>
        </w:rPr>
        <w:t>估价对象非特</w:t>
      </w:r>
      <w:proofErr w:type="gramStart"/>
      <w:r>
        <w:rPr>
          <w:rFonts w:ascii="Arial" w:hAnsi="Arial" w:cs="Arial" w:hint="eastAsia"/>
        </w:rPr>
        <w:t>定条件下招拍挂</w:t>
      </w:r>
      <w:proofErr w:type="gramEnd"/>
      <w:r>
        <w:rPr>
          <w:rFonts w:ascii="Arial" w:hAnsi="Arial" w:cs="Arial" w:hint="eastAsia"/>
        </w:rPr>
        <w:t>出让方式，</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Pr>
          <w:rFonts w:ascii="Arial" w:hAnsi="Arial" w:cs="Arial" w:hint="eastAsia"/>
          <w:szCs w:val="28"/>
        </w:rPr>
        <w:t>中未对一次性招标出让底价进行特殊规定，</w:t>
      </w:r>
      <w:r>
        <w:rPr>
          <w:rFonts w:ascii="Arial" w:hAnsi="Arial" w:cs="Arial" w:hint="eastAsia"/>
        </w:rPr>
        <w:t>故本次出让底价建议参考</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sidRPr="00AF4CFE">
        <w:rPr>
          <w:rFonts w:ascii="Arial" w:hAnsi="Arial" w:cs="Arial"/>
          <w:szCs w:val="28"/>
        </w:rPr>
        <w:t>对于</w:t>
      </w:r>
      <w:r>
        <w:rPr>
          <w:rFonts w:ascii="Arial" w:hAnsi="Arial" w:cs="Arial" w:hint="eastAsia"/>
          <w:szCs w:val="28"/>
        </w:rPr>
        <w:t>协议</w:t>
      </w:r>
      <w:r w:rsidRPr="00AF4CFE">
        <w:rPr>
          <w:rFonts w:ascii="Arial" w:hAnsi="Arial" w:cs="Arial"/>
          <w:szCs w:val="28"/>
        </w:rPr>
        <w:t>出让项目</w:t>
      </w:r>
      <w:r>
        <w:rPr>
          <w:rFonts w:ascii="Arial" w:hAnsi="Arial" w:cs="Arial" w:hint="eastAsia"/>
          <w:szCs w:val="28"/>
        </w:rPr>
        <w:t>的规定：</w:t>
      </w:r>
      <w:r w:rsidRPr="00AF4CFE">
        <w:rPr>
          <w:rFonts w:ascii="Arial" w:hAnsi="Arial" w:cs="Arial"/>
          <w:szCs w:val="28"/>
        </w:rPr>
        <w:t>“</w:t>
      </w:r>
      <w:r w:rsidRPr="00AF4CFE">
        <w:rPr>
          <w:rFonts w:ascii="Arial" w:hAnsi="Arial" w:cs="Arial"/>
          <w:szCs w:val="28"/>
        </w:rPr>
        <w:t>确定估价结果，并根据当地市场情况、有关法律法规和政策规定，给出底价决策建议</w:t>
      </w:r>
      <w:r w:rsidRPr="00AF4CFE">
        <w:rPr>
          <w:rFonts w:ascii="Arial" w:hAnsi="Arial" w:cs="Arial"/>
          <w:szCs w:val="28"/>
        </w:rPr>
        <w:t>”</w:t>
      </w:r>
      <w:r w:rsidRPr="00AF4CFE">
        <w:rPr>
          <w:rFonts w:ascii="Arial" w:hAnsi="Arial" w:cs="Arial"/>
          <w:szCs w:val="28"/>
        </w:rPr>
        <w:t>，出让底价应不低于宗地所在级别基准地价低限修正后结果。</w:t>
      </w:r>
    </w:p>
    <w:p w14:paraId="362B7CFF" w14:textId="26066D47" w:rsidR="00790873" w:rsidRDefault="00790873" w:rsidP="00790873">
      <w:pPr>
        <w:spacing w:line="360" w:lineRule="auto"/>
        <w:ind w:firstLineChars="200" w:firstLine="560"/>
        <w:rPr>
          <w:rFonts w:ascii="Arial" w:eastAsia="仿宋_GB2312" w:hAnsi="Arial" w:cs="Arial"/>
          <w:sz w:val="28"/>
        </w:rPr>
      </w:pP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p>
    <w:p w14:paraId="5F9AFDAE" w14:textId="504A4092" w:rsidR="00790873" w:rsidRPr="00A75B80" w:rsidRDefault="00790873" w:rsidP="00790873">
      <w:pPr>
        <w:spacing w:line="360" w:lineRule="auto"/>
        <w:ind w:firstLineChars="200" w:firstLine="560"/>
        <w:rPr>
          <w:rFonts w:ascii="Arial" w:eastAsia="仿宋_GB2312" w:hAnsi="Arial" w:cs="Arial"/>
          <w:sz w:val="28"/>
          <w:szCs w:val="28"/>
        </w:rPr>
      </w:pPr>
      <w:r>
        <w:rPr>
          <w:rFonts w:ascii="Arial" w:eastAsia="仿宋_GB2312" w:hAnsi="Arial" w:cs="Arial" w:hint="eastAsia"/>
          <w:sz w:val="28"/>
        </w:rPr>
        <w:t>（转下页）</w:t>
      </w:r>
    </w:p>
    <w:p w14:paraId="277D4C19" w14:textId="77777777" w:rsidR="00790873" w:rsidRDefault="00790873" w:rsidP="00790873">
      <w:pPr>
        <w:autoSpaceDE w:val="0"/>
        <w:autoSpaceDN w:val="0"/>
        <w:snapToGrid w:val="0"/>
        <w:spacing w:line="360" w:lineRule="auto"/>
        <w:ind w:firstLine="540"/>
        <w:jc w:val="both"/>
        <w:textAlignment w:val="bottom"/>
        <w:rPr>
          <w:rFonts w:ascii="Arial" w:eastAsia="仿宋_GB2312" w:hAnsi="Arial" w:cs="Arial"/>
          <w:sz w:val="28"/>
        </w:rPr>
      </w:pPr>
      <w:r>
        <w:rPr>
          <w:rFonts w:ascii="Arial" w:eastAsia="仿宋_GB2312" w:hAnsi="Arial" w:cs="Arial"/>
          <w:sz w:val="28"/>
        </w:rPr>
        <w:br w:type="page"/>
      </w:r>
    </w:p>
    <w:p w14:paraId="3D6702DA" w14:textId="39FFDAE5" w:rsidR="00790873" w:rsidRDefault="00790873" w:rsidP="00790873">
      <w:pPr>
        <w:autoSpaceDE w:val="0"/>
        <w:autoSpaceDN w:val="0"/>
        <w:snapToGrid w:val="0"/>
        <w:spacing w:line="360" w:lineRule="auto"/>
        <w:ind w:firstLine="540"/>
        <w:jc w:val="both"/>
        <w:textAlignment w:val="bottom"/>
        <w:rPr>
          <w:rFonts w:ascii="Arial" w:eastAsia="仿宋_GB2312" w:hAnsi="Arial" w:cs="Arial"/>
          <w:sz w:val="28"/>
          <w:szCs w:val="28"/>
        </w:rPr>
      </w:pPr>
      <w:r w:rsidRPr="004B7002">
        <w:rPr>
          <w:rFonts w:ascii="Arial" w:eastAsia="仿宋_GB2312" w:hAnsi="Arial" w:cs="Arial" w:hint="eastAsia"/>
          <w:sz w:val="28"/>
        </w:rPr>
        <w:lastRenderedPageBreak/>
        <w:t>依前述，估价对象住宅用途</w:t>
      </w:r>
      <w:r w:rsidRPr="004B7002">
        <w:rPr>
          <w:rFonts w:ascii="Arial" w:eastAsia="仿宋_GB2312" w:hAnsi="Arial" w:cs="Arial"/>
          <w:sz w:val="28"/>
          <w:szCs w:val="28"/>
        </w:rPr>
        <w:t>经评审的政府土地出让收益与应分摊成本合计</w:t>
      </w:r>
      <w:r w:rsidRPr="004B7002">
        <w:rPr>
          <w:rFonts w:ascii="Arial" w:eastAsia="仿宋_GB2312" w:hAnsi="Arial" w:cs="Arial" w:hint="eastAsia"/>
          <w:sz w:val="28"/>
          <w:szCs w:val="28"/>
        </w:rPr>
        <w:t>、</w:t>
      </w:r>
      <w:r w:rsidRPr="004B7002">
        <w:rPr>
          <w:rFonts w:ascii="Arial" w:eastAsia="仿宋_GB2312" w:hAnsi="Arial" w:cs="Arial"/>
          <w:sz w:val="28"/>
          <w:szCs w:val="28"/>
        </w:rPr>
        <w:t>所在基准地价级别低限价格</w:t>
      </w:r>
      <w:r w:rsidRPr="004B7002">
        <w:rPr>
          <w:rFonts w:ascii="Arial" w:eastAsia="仿宋_GB2312" w:hAnsi="Arial" w:cs="Arial" w:hint="eastAsia"/>
          <w:sz w:val="28"/>
          <w:szCs w:val="28"/>
        </w:rPr>
        <w:t>及其对应的政府土地出让收益如下表所示：</w:t>
      </w:r>
    </w:p>
    <w:tbl>
      <w:tblPr>
        <w:tblStyle w:val="aff5"/>
        <w:tblW w:w="9640" w:type="dxa"/>
        <w:jc w:val="center"/>
        <w:tblLook w:val="04A0" w:firstRow="1" w:lastRow="0" w:firstColumn="1" w:lastColumn="0" w:noHBand="0" w:noVBand="1"/>
      </w:tblPr>
      <w:tblGrid>
        <w:gridCol w:w="662"/>
        <w:gridCol w:w="703"/>
        <w:gridCol w:w="771"/>
        <w:gridCol w:w="767"/>
        <w:gridCol w:w="789"/>
        <w:gridCol w:w="767"/>
        <w:gridCol w:w="810"/>
        <w:gridCol w:w="808"/>
        <w:gridCol w:w="767"/>
        <w:gridCol w:w="662"/>
        <w:gridCol w:w="967"/>
        <w:gridCol w:w="1167"/>
      </w:tblGrid>
      <w:tr w:rsidR="00790873" w:rsidRPr="004B7002" w14:paraId="6F73321E" w14:textId="77777777" w:rsidTr="00790873">
        <w:trPr>
          <w:jc w:val="center"/>
        </w:trPr>
        <w:tc>
          <w:tcPr>
            <w:tcW w:w="662" w:type="dxa"/>
            <w:vAlign w:val="center"/>
          </w:tcPr>
          <w:p w14:paraId="33E53239" w14:textId="77777777" w:rsidR="00790873" w:rsidRPr="004B7002" w:rsidRDefault="00790873" w:rsidP="0079087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用途</w:t>
            </w:r>
          </w:p>
        </w:tc>
        <w:tc>
          <w:tcPr>
            <w:tcW w:w="703" w:type="dxa"/>
            <w:vAlign w:val="center"/>
          </w:tcPr>
          <w:p w14:paraId="7AC4840E" w14:textId="77777777" w:rsidR="00790873" w:rsidRPr="004B7002" w:rsidRDefault="00790873" w:rsidP="0079087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土地级别</w:t>
            </w:r>
          </w:p>
        </w:tc>
        <w:tc>
          <w:tcPr>
            <w:tcW w:w="771" w:type="dxa"/>
            <w:vAlign w:val="center"/>
          </w:tcPr>
          <w:p w14:paraId="600AF4A3" w14:textId="77777777" w:rsidR="00790873" w:rsidRPr="004B7002" w:rsidRDefault="00790873" w:rsidP="0079087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所在级别低限基准地价</w:t>
            </w:r>
          </w:p>
        </w:tc>
        <w:tc>
          <w:tcPr>
            <w:tcW w:w="767" w:type="dxa"/>
            <w:vAlign w:val="center"/>
          </w:tcPr>
          <w:p w14:paraId="1F57EC41" w14:textId="77777777" w:rsidR="00790873" w:rsidRPr="004B7002" w:rsidRDefault="00790873" w:rsidP="0079087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期日修正系数</w:t>
            </w:r>
          </w:p>
        </w:tc>
        <w:tc>
          <w:tcPr>
            <w:tcW w:w="789" w:type="dxa"/>
            <w:vAlign w:val="center"/>
          </w:tcPr>
          <w:p w14:paraId="0B0F47B1" w14:textId="77777777" w:rsidR="00790873" w:rsidRPr="004B7002" w:rsidRDefault="00790873" w:rsidP="0079087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年期修正系数</w:t>
            </w:r>
          </w:p>
        </w:tc>
        <w:tc>
          <w:tcPr>
            <w:tcW w:w="767" w:type="dxa"/>
            <w:vAlign w:val="center"/>
          </w:tcPr>
          <w:p w14:paraId="643E0F1D" w14:textId="77777777" w:rsidR="00790873" w:rsidRPr="004B7002" w:rsidRDefault="00790873" w:rsidP="0079087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hint="eastAsia"/>
                <w:b/>
                <w:color w:val="000000"/>
                <w:sz w:val="18"/>
                <w:szCs w:val="18"/>
              </w:rPr>
              <w:t>容积率修正系数</w:t>
            </w:r>
          </w:p>
        </w:tc>
        <w:tc>
          <w:tcPr>
            <w:tcW w:w="810" w:type="dxa"/>
            <w:vAlign w:val="center"/>
          </w:tcPr>
          <w:p w14:paraId="3BD6C61E" w14:textId="77777777" w:rsidR="00790873" w:rsidRPr="004B7002" w:rsidRDefault="00790873" w:rsidP="0079087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因素修正系数</w:t>
            </w:r>
          </w:p>
        </w:tc>
        <w:tc>
          <w:tcPr>
            <w:tcW w:w="808" w:type="dxa"/>
            <w:vAlign w:val="center"/>
          </w:tcPr>
          <w:p w14:paraId="397B4D08" w14:textId="77777777" w:rsidR="00790873" w:rsidRPr="004B7002" w:rsidRDefault="00790873" w:rsidP="00790873">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r>
              <w:rPr>
                <w:rFonts w:ascii="Arial" w:eastAsia="仿宋_GB2312" w:hAnsi="Arial" w:cs="Arial"/>
                <w:b/>
                <w:color w:val="000000"/>
                <w:sz w:val="18"/>
                <w:szCs w:val="18"/>
              </w:rPr>
              <w:t>/</w:t>
            </w:r>
            <w:r>
              <w:rPr>
                <w:rFonts w:ascii="Arial" w:eastAsia="仿宋_GB2312" w:hAnsi="Arial" w:cs="Arial" w:hint="eastAsia"/>
                <w:b/>
                <w:color w:val="000000"/>
                <w:sz w:val="18"/>
                <w:szCs w:val="18"/>
              </w:rPr>
              <w:t>地下空间修正系数</w:t>
            </w:r>
          </w:p>
        </w:tc>
        <w:tc>
          <w:tcPr>
            <w:tcW w:w="767" w:type="dxa"/>
            <w:vAlign w:val="center"/>
          </w:tcPr>
          <w:p w14:paraId="4A470778" w14:textId="77777777" w:rsidR="00790873" w:rsidRPr="004B7002" w:rsidRDefault="00790873" w:rsidP="0079087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楼面熟地价</w:t>
            </w:r>
          </w:p>
        </w:tc>
        <w:tc>
          <w:tcPr>
            <w:tcW w:w="662" w:type="dxa"/>
            <w:vAlign w:val="center"/>
          </w:tcPr>
          <w:p w14:paraId="21F65F16" w14:textId="77777777" w:rsidR="00790873" w:rsidRPr="004B7002" w:rsidRDefault="00790873" w:rsidP="00790873">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政府土地出让收益</w:t>
            </w:r>
          </w:p>
        </w:tc>
        <w:tc>
          <w:tcPr>
            <w:tcW w:w="967" w:type="dxa"/>
            <w:vAlign w:val="center"/>
          </w:tcPr>
          <w:p w14:paraId="03AA9654" w14:textId="77777777" w:rsidR="00790873" w:rsidRPr="0063620D" w:rsidRDefault="00790873" w:rsidP="00790873">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建筑面积</w:t>
            </w:r>
          </w:p>
        </w:tc>
        <w:tc>
          <w:tcPr>
            <w:tcW w:w="1167" w:type="dxa"/>
            <w:vAlign w:val="center"/>
          </w:tcPr>
          <w:p w14:paraId="4255C4FF" w14:textId="77777777" w:rsidR="00790873" w:rsidRPr="0063620D" w:rsidRDefault="00790873" w:rsidP="00790873">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w:t>
            </w:r>
            <w:r>
              <w:rPr>
                <w:rFonts w:ascii="Arial" w:eastAsia="仿宋_GB2312" w:hAnsi="Arial" w:cs="Arial" w:hint="eastAsia"/>
                <w:b/>
                <w:color w:val="000000"/>
                <w:sz w:val="18"/>
                <w:szCs w:val="18"/>
              </w:rPr>
              <w:t>总</w:t>
            </w:r>
            <w:r w:rsidRPr="0063620D">
              <w:rPr>
                <w:rFonts w:ascii="Arial" w:eastAsia="仿宋_GB2312" w:hAnsi="Arial" w:cs="Arial" w:hint="eastAsia"/>
                <w:b/>
                <w:color w:val="000000"/>
                <w:sz w:val="18"/>
                <w:szCs w:val="18"/>
              </w:rPr>
              <w:t>收益</w:t>
            </w:r>
          </w:p>
        </w:tc>
      </w:tr>
      <w:tr w:rsidR="00790873" w:rsidRPr="004B7002" w14:paraId="390F2804" w14:textId="77777777" w:rsidTr="00790873">
        <w:trPr>
          <w:jc w:val="center"/>
        </w:trPr>
        <w:tc>
          <w:tcPr>
            <w:tcW w:w="662" w:type="dxa"/>
            <w:vAlign w:val="center"/>
          </w:tcPr>
          <w:p w14:paraId="31568DAE"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住宅</w:t>
            </w:r>
          </w:p>
        </w:tc>
        <w:tc>
          <w:tcPr>
            <w:tcW w:w="703" w:type="dxa"/>
            <w:vAlign w:val="center"/>
          </w:tcPr>
          <w:p w14:paraId="60860B86"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1175002E"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509498C9"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6FB63A12"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3CDEC9B0"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0.865</w:t>
            </w:r>
            <w:r>
              <w:rPr>
                <w:rFonts w:ascii="Arial" w:eastAsia="仿宋_GB2312" w:hAnsi="Arial" w:cs="Arial"/>
                <w:color w:val="000000"/>
                <w:sz w:val="18"/>
                <w:szCs w:val="18"/>
              </w:rPr>
              <w:t>2</w:t>
            </w:r>
          </w:p>
        </w:tc>
        <w:tc>
          <w:tcPr>
            <w:tcW w:w="810" w:type="dxa"/>
            <w:vAlign w:val="center"/>
          </w:tcPr>
          <w:p w14:paraId="49EC363C"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05E978B6" w14:textId="77777777" w:rsidR="00790873" w:rsidRPr="0020403B" w:rsidRDefault="00790873" w:rsidP="0079087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68C89A95" w14:textId="77777777" w:rsidR="00790873" w:rsidRPr="004B7002" w:rsidRDefault="00790873" w:rsidP="0079087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3</w:t>
            </w:r>
            <w:r>
              <w:rPr>
                <w:rFonts w:ascii="Arial" w:eastAsia="仿宋_GB2312" w:hAnsi="Arial" w:cs="Arial"/>
                <w:b/>
                <w:bCs/>
                <w:color w:val="000000"/>
                <w:sz w:val="18"/>
                <w:szCs w:val="18"/>
              </w:rPr>
              <w:t>4471</w:t>
            </w:r>
          </w:p>
        </w:tc>
        <w:tc>
          <w:tcPr>
            <w:tcW w:w="662" w:type="dxa"/>
            <w:vAlign w:val="center"/>
          </w:tcPr>
          <w:p w14:paraId="72DF365E"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8</w:t>
            </w:r>
            <w:r>
              <w:rPr>
                <w:rFonts w:ascii="Arial" w:eastAsia="仿宋_GB2312" w:hAnsi="Arial" w:cs="Arial"/>
                <w:b/>
                <w:bCs/>
                <w:color w:val="000000"/>
                <w:sz w:val="18"/>
                <w:szCs w:val="18"/>
              </w:rPr>
              <w:t>618</w:t>
            </w:r>
          </w:p>
        </w:tc>
        <w:tc>
          <w:tcPr>
            <w:tcW w:w="967" w:type="dxa"/>
            <w:vAlign w:val="center"/>
          </w:tcPr>
          <w:p w14:paraId="7835B818"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28075</w:t>
            </w:r>
          </w:p>
        </w:tc>
        <w:tc>
          <w:tcPr>
            <w:tcW w:w="1167" w:type="dxa"/>
            <w:vAlign w:val="center"/>
          </w:tcPr>
          <w:p w14:paraId="3FE46BFA"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24195.035</w:t>
            </w:r>
            <w:r>
              <w:rPr>
                <w:rFonts w:ascii="Arial" w:eastAsia="仿宋_GB2312" w:hAnsi="Arial" w:cs="Arial"/>
                <w:b/>
                <w:bCs/>
                <w:color w:val="000000"/>
                <w:sz w:val="18"/>
                <w:szCs w:val="18"/>
              </w:rPr>
              <w:t>0</w:t>
            </w:r>
          </w:p>
        </w:tc>
      </w:tr>
      <w:tr w:rsidR="00790873" w:rsidRPr="004B7002" w14:paraId="66B42BF7" w14:textId="77777777" w:rsidTr="00790873">
        <w:trPr>
          <w:jc w:val="center"/>
        </w:trPr>
        <w:tc>
          <w:tcPr>
            <w:tcW w:w="662" w:type="dxa"/>
            <w:vAlign w:val="center"/>
          </w:tcPr>
          <w:p w14:paraId="157F0543"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703" w:type="dxa"/>
            <w:vAlign w:val="center"/>
          </w:tcPr>
          <w:p w14:paraId="44F98CB8"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Ⅲ</w:t>
            </w:r>
            <w:r w:rsidRPr="0063620D">
              <w:rPr>
                <w:rFonts w:ascii="Arial" w:eastAsia="仿宋_GB2312" w:hAnsi="Arial" w:cs="Arial" w:hint="eastAsia"/>
                <w:color w:val="000000"/>
                <w:sz w:val="18"/>
                <w:szCs w:val="18"/>
              </w:rPr>
              <w:t>-06</w:t>
            </w:r>
          </w:p>
        </w:tc>
        <w:tc>
          <w:tcPr>
            <w:tcW w:w="771" w:type="dxa"/>
            <w:vAlign w:val="center"/>
          </w:tcPr>
          <w:p w14:paraId="34983D38"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767" w:type="dxa"/>
            <w:vAlign w:val="center"/>
          </w:tcPr>
          <w:p w14:paraId="4F716708"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4C8A8801"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79906FFE"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.8175</w:t>
            </w:r>
          </w:p>
        </w:tc>
        <w:tc>
          <w:tcPr>
            <w:tcW w:w="810" w:type="dxa"/>
            <w:vAlign w:val="center"/>
          </w:tcPr>
          <w:p w14:paraId="3525571D"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.0535</w:t>
            </w:r>
          </w:p>
        </w:tc>
        <w:tc>
          <w:tcPr>
            <w:tcW w:w="808" w:type="dxa"/>
            <w:vAlign w:val="center"/>
          </w:tcPr>
          <w:p w14:paraId="748BC67A" w14:textId="77777777" w:rsidR="00790873" w:rsidRPr="0020403B" w:rsidRDefault="00790873" w:rsidP="0079087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314A3972" w14:textId="77777777" w:rsidR="00790873" w:rsidRPr="004B7002" w:rsidRDefault="00790873" w:rsidP="0079087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0960</w:t>
            </w:r>
          </w:p>
        </w:tc>
        <w:tc>
          <w:tcPr>
            <w:tcW w:w="662" w:type="dxa"/>
            <w:vAlign w:val="center"/>
          </w:tcPr>
          <w:p w14:paraId="078A9F76"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5</w:t>
            </w:r>
            <w:r>
              <w:rPr>
                <w:rFonts w:ascii="Arial" w:eastAsia="仿宋_GB2312" w:hAnsi="Arial" w:cs="Arial"/>
                <w:b/>
                <w:bCs/>
                <w:color w:val="000000"/>
                <w:sz w:val="18"/>
                <w:szCs w:val="18"/>
              </w:rPr>
              <w:t>240</w:t>
            </w:r>
          </w:p>
        </w:tc>
        <w:tc>
          <w:tcPr>
            <w:tcW w:w="967" w:type="dxa"/>
            <w:vAlign w:val="center"/>
          </w:tcPr>
          <w:p w14:paraId="6C142B8F"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3318</w:t>
            </w:r>
          </w:p>
        </w:tc>
        <w:tc>
          <w:tcPr>
            <w:tcW w:w="1167" w:type="dxa"/>
            <w:vAlign w:val="center"/>
          </w:tcPr>
          <w:p w14:paraId="5CD807E8"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1738.632</w:t>
            </w:r>
            <w:r>
              <w:rPr>
                <w:rFonts w:ascii="Arial" w:eastAsia="仿宋_GB2312" w:hAnsi="Arial" w:cs="Arial"/>
                <w:b/>
                <w:bCs/>
                <w:color w:val="000000"/>
                <w:sz w:val="18"/>
                <w:szCs w:val="18"/>
              </w:rPr>
              <w:t>0</w:t>
            </w:r>
          </w:p>
        </w:tc>
      </w:tr>
      <w:tr w:rsidR="00790873" w:rsidRPr="004B7002" w14:paraId="4DCF687A" w14:textId="77777777" w:rsidTr="00790873">
        <w:trPr>
          <w:jc w:val="center"/>
        </w:trPr>
        <w:tc>
          <w:tcPr>
            <w:tcW w:w="662" w:type="dxa"/>
            <w:vAlign w:val="center"/>
          </w:tcPr>
          <w:p w14:paraId="29079705"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办公</w:t>
            </w:r>
          </w:p>
        </w:tc>
        <w:tc>
          <w:tcPr>
            <w:tcW w:w="703" w:type="dxa"/>
            <w:vAlign w:val="center"/>
          </w:tcPr>
          <w:p w14:paraId="23397110"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6DB328E9"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0D355208"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5198B939"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6B06A203"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.9151</w:t>
            </w:r>
          </w:p>
        </w:tc>
        <w:tc>
          <w:tcPr>
            <w:tcW w:w="810" w:type="dxa"/>
            <w:vAlign w:val="center"/>
          </w:tcPr>
          <w:p w14:paraId="788232EA"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35E83584" w14:textId="77777777" w:rsidR="00790873" w:rsidRPr="0020403B" w:rsidRDefault="00790873" w:rsidP="0079087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2859E232" w14:textId="77777777" w:rsidR="00790873" w:rsidRPr="004B7002" w:rsidRDefault="00790873" w:rsidP="0079087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8536</w:t>
            </w:r>
          </w:p>
        </w:tc>
        <w:tc>
          <w:tcPr>
            <w:tcW w:w="662" w:type="dxa"/>
            <w:vAlign w:val="center"/>
          </w:tcPr>
          <w:p w14:paraId="1B475875"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7</w:t>
            </w:r>
            <w:r>
              <w:rPr>
                <w:rFonts w:ascii="Arial" w:eastAsia="仿宋_GB2312" w:hAnsi="Arial" w:cs="Arial"/>
                <w:b/>
                <w:bCs/>
                <w:color w:val="000000"/>
                <w:sz w:val="18"/>
                <w:szCs w:val="18"/>
              </w:rPr>
              <w:t>134</w:t>
            </w:r>
          </w:p>
        </w:tc>
        <w:tc>
          <w:tcPr>
            <w:tcW w:w="967" w:type="dxa"/>
            <w:vAlign w:val="center"/>
          </w:tcPr>
          <w:p w14:paraId="1B192E23"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118</w:t>
            </w:r>
          </w:p>
        </w:tc>
        <w:tc>
          <w:tcPr>
            <w:tcW w:w="1167" w:type="dxa"/>
            <w:vAlign w:val="center"/>
          </w:tcPr>
          <w:p w14:paraId="300BBFF2"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84.1812</w:t>
            </w:r>
          </w:p>
        </w:tc>
      </w:tr>
      <w:tr w:rsidR="00790873" w:rsidRPr="004B7002" w14:paraId="795B3347" w14:textId="77777777" w:rsidTr="00790873">
        <w:trPr>
          <w:jc w:val="center"/>
        </w:trPr>
        <w:tc>
          <w:tcPr>
            <w:tcW w:w="662" w:type="dxa"/>
            <w:vAlign w:val="center"/>
          </w:tcPr>
          <w:p w14:paraId="28E7E7B0" w14:textId="77777777" w:rsidR="00790873"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703" w:type="dxa"/>
            <w:vAlign w:val="center"/>
          </w:tcPr>
          <w:p w14:paraId="63B01CD5"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764F05AC"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50997FB5"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2BC53612"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47B818EB"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7CA0DB0A"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42000F82" w14:textId="77777777" w:rsidR="00790873" w:rsidRPr="0020403B" w:rsidRDefault="00790873" w:rsidP="0079087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0.3</w:t>
            </w:r>
          </w:p>
        </w:tc>
        <w:tc>
          <w:tcPr>
            <w:tcW w:w="767" w:type="dxa"/>
            <w:vAlign w:val="center"/>
          </w:tcPr>
          <w:p w14:paraId="175FD841" w14:textId="77777777" w:rsidR="00790873" w:rsidRPr="004B7002" w:rsidRDefault="00790873" w:rsidP="0079087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355</w:t>
            </w:r>
          </w:p>
        </w:tc>
        <w:tc>
          <w:tcPr>
            <w:tcW w:w="662" w:type="dxa"/>
            <w:vAlign w:val="center"/>
          </w:tcPr>
          <w:p w14:paraId="52F7E9EA"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339</w:t>
            </w:r>
          </w:p>
        </w:tc>
        <w:tc>
          <w:tcPr>
            <w:tcW w:w="967" w:type="dxa"/>
            <w:vAlign w:val="center"/>
          </w:tcPr>
          <w:p w14:paraId="0BD5879C"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32</w:t>
            </w:r>
          </w:p>
        </w:tc>
        <w:tc>
          <w:tcPr>
            <w:tcW w:w="1167" w:type="dxa"/>
            <w:vAlign w:val="center"/>
          </w:tcPr>
          <w:p w14:paraId="19C017BB"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7.4848</w:t>
            </w:r>
          </w:p>
        </w:tc>
      </w:tr>
      <w:tr w:rsidR="00790873" w:rsidRPr="004B7002" w14:paraId="44617190" w14:textId="77777777" w:rsidTr="00790873">
        <w:trPr>
          <w:jc w:val="center"/>
        </w:trPr>
        <w:tc>
          <w:tcPr>
            <w:tcW w:w="662" w:type="dxa"/>
            <w:vAlign w:val="center"/>
          </w:tcPr>
          <w:p w14:paraId="3ACB1C89" w14:textId="77777777" w:rsidR="00790873"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地下车库</w:t>
            </w:r>
          </w:p>
        </w:tc>
        <w:tc>
          <w:tcPr>
            <w:tcW w:w="703" w:type="dxa"/>
            <w:vAlign w:val="center"/>
          </w:tcPr>
          <w:p w14:paraId="1D12836C"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6A487CEE"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79EDA73A"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2D354412"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6F8144DF"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10" w:type="dxa"/>
            <w:vAlign w:val="center"/>
          </w:tcPr>
          <w:p w14:paraId="4D3C1326"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14B787A0" w14:textId="77777777" w:rsidR="00790873" w:rsidRPr="0020403B" w:rsidRDefault="00790873" w:rsidP="0079087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0.25</w:t>
            </w:r>
          </w:p>
        </w:tc>
        <w:tc>
          <w:tcPr>
            <w:tcW w:w="767" w:type="dxa"/>
            <w:vAlign w:val="center"/>
          </w:tcPr>
          <w:p w14:paraId="5FDAD166" w14:textId="77777777" w:rsidR="00790873" w:rsidRPr="004B7002" w:rsidRDefault="00790873" w:rsidP="0079087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960</w:t>
            </w:r>
          </w:p>
        </w:tc>
        <w:tc>
          <w:tcPr>
            <w:tcW w:w="662" w:type="dxa"/>
            <w:vAlign w:val="center"/>
          </w:tcPr>
          <w:p w14:paraId="68A032CF"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490</w:t>
            </w:r>
          </w:p>
        </w:tc>
        <w:tc>
          <w:tcPr>
            <w:tcW w:w="967" w:type="dxa"/>
            <w:vAlign w:val="center"/>
          </w:tcPr>
          <w:p w14:paraId="64CA1998"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10345.02</w:t>
            </w:r>
          </w:p>
        </w:tc>
        <w:tc>
          <w:tcPr>
            <w:tcW w:w="1167" w:type="dxa"/>
            <w:vAlign w:val="center"/>
          </w:tcPr>
          <w:p w14:paraId="3844D9B9"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2575.91</w:t>
            </w:r>
            <w:r>
              <w:rPr>
                <w:rFonts w:ascii="Arial" w:eastAsia="仿宋_GB2312" w:hAnsi="Arial" w:cs="Arial"/>
                <w:b/>
                <w:bCs/>
                <w:color w:val="000000"/>
                <w:sz w:val="18"/>
                <w:szCs w:val="18"/>
              </w:rPr>
              <w:t>00</w:t>
            </w:r>
          </w:p>
        </w:tc>
      </w:tr>
      <w:tr w:rsidR="00790873" w:rsidRPr="004B7002" w14:paraId="1D42982D" w14:textId="77777777" w:rsidTr="00790873">
        <w:trPr>
          <w:jc w:val="center"/>
        </w:trPr>
        <w:tc>
          <w:tcPr>
            <w:tcW w:w="662" w:type="dxa"/>
            <w:vAlign w:val="center"/>
          </w:tcPr>
          <w:p w14:paraId="694E759B" w14:textId="77777777" w:rsidR="00790873"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合计</w:t>
            </w:r>
          </w:p>
        </w:tc>
        <w:tc>
          <w:tcPr>
            <w:tcW w:w="703" w:type="dxa"/>
            <w:vAlign w:val="center"/>
          </w:tcPr>
          <w:p w14:paraId="0202A26A" w14:textId="77777777" w:rsidR="00790873"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3A1D6D96" w14:textId="77777777" w:rsidR="00790873"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1601EC5D"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89" w:type="dxa"/>
            <w:vAlign w:val="center"/>
          </w:tcPr>
          <w:p w14:paraId="62D5603C"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2ED9BD55" w14:textId="77777777" w:rsidR="00790873"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7241300E" w14:textId="77777777" w:rsidR="00790873" w:rsidRPr="004B7002" w:rsidRDefault="00790873" w:rsidP="0079087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08" w:type="dxa"/>
            <w:vAlign w:val="center"/>
          </w:tcPr>
          <w:p w14:paraId="49DD828B"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767" w:type="dxa"/>
            <w:vAlign w:val="center"/>
          </w:tcPr>
          <w:p w14:paraId="51E5F945" w14:textId="77777777" w:rsidR="00790873" w:rsidRDefault="00790873" w:rsidP="0079087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662" w:type="dxa"/>
            <w:vAlign w:val="center"/>
          </w:tcPr>
          <w:p w14:paraId="7E989FAF"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967" w:type="dxa"/>
            <w:vAlign w:val="center"/>
          </w:tcPr>
          <w:p w14:paraId="4032F1B0"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41888.02</w:t>
            </w:r>
          </w:p>
        </w:tc>
        <w:tc>
          <w:tcPr>
            <w:tcW w:w="1167" w:type="dxa"/>
            <w:vAlign w:val="center"/>
          </w:tcPr>
          <w:p w14:paraId="7D6EC32D" w14:textId="77777777" w:rsidR="00790873" w:rsidRDefault="00790873" w:rsidP="0079087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28601.243</w:t>
            </w:r>
            <w:r>
              <w:rPr>
                <w:rFonts w:ascii="Arial" w:eastAsia="仿宋_GB2312" w:hAnsi="Arial" w:cs="Arial"/>
                <w:b/>
                <w:bCs/>
                <w:color w:val="000000"/>
                <w:sz w:val="18"/>
                <w:szCs w:val="18"/>
              </w:rPr>
              <w:t>0</w:t>
            </w:r>
          </w:p>
        </w:tc>
      </w:tr>
    </w:tbl>
    <w:p w14:paraId="1ED4AF85" w14:textId="77777777" w:rsidR="00790873" w:rsidRPr="004B7002" w:rsidRDefault="00790873" w:rsidP="00790873">
      <w:pPr>
        <w:widowControl/>
        <w:adjustRightInd/>
        <w:spacing w:line="240" w:lineRule="auto"/>
        <w:textAlignment w:val="auto"/>
        <w:rPr>
          <w:rFonts w:ascii="Arial" w:eastAsia="仿宋_GB2312" w:hAnsi="Arial" w:cs="Arial"/>
          <w:b/>
          <w:color w:val="000000"/>
          <w:sz w:val="21"/>
          <w:szCs w:val="21"/>
        </w:rPr>
      </w:pPr>
      <w:r w:rsidRPr="004B7002">
        <w:rPr>
          <w:rFonts w:ascii="Arial" w:eastAsia="仿宋_GB2312" w:hAnsi="Arial" w:cs="Arial"/>
          <w:b/>
          <w:color w:val="000000"/>
          <w:sz w:val="21"/>
          <w:szCs w:val="21"/>
        </w:rPr>
        <w:t>备注：依据</w:t>
      </w:r>
      <w:r w:rsidRPr="00BA7C99">
        <w:rPr>
          <w:rFonts w:ascii="Arial" w:eastAsia="仿宋_GB2312" w:hAnsi="Arial" w:cs="Arial" w:hint="eastAsia"/>
          <w:b/>
          <w:color w:val="000000"/>
          <w:sz w:val="21"/>
          <w:szCs w:val="21"/>
        </w:rPr>
        <w:t>《北京市海淀区人民政府关于商请加快地铁</w:t>
      </w:r>
      <w:r w:rsidRPr="00BA7C99">
        <w:rPr>
          <w:rFonts w:ascii="Arial" w:eastAsia="仿宋_GB2312" w:hAnsi="Arial" w:cs="Arial" w:hint="eastAsia"/>
          <w:b/>
          <w:color w:val="000000"/>
          <w:sz w:val="21"/>
          <w:szCs w:val="21"/>
        </w:rPr>
        <w:t>16</w:t>
      </w:r>
      <w:r w:rsidRPr="00BA7C99">
        <w:rPr>
          <w:rFonts w:ascii="Arial" w:eastAsia="仿宋_GB2312" w:hAnsi="Arial" w:cs="Arial" w:hint="eastAsia"/>
          <w:b/>
          <w:color w:val="000000"/>
          <w:sz w:val="21"/>
          <w:szCs w:val="21"/>
        </w:rPr>
        <w:t>号线苏州街站一体化棚改项目国有建设用地使用权出让手续办理有关事宜的函》</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海政函（</w:t>
      </w:r>
      <w:r w:rsidRPr="00BA7C99">
        <w:rPr>
          <w:rFonts w:ascii="Arial" w:eastAsia="仿宋_GB2312" w:hAnsi="Arial" w:cs="Arial" w:hint="eastAsia"/>
          <w:b/>
          <w:color w:val="000000"/>
          <w:sz w:val="21"/>
          <w:szCs w:val="21"/>
        </w:rPr>
        <w:t>2021</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50</w:t>
      </w:r>
      <w:r w:rsidRPr="00BA7C99">
        <w:rPr>
          <w:rFonts w:ascii="Arial" w:eastAsia="仿宋_GB2312" w:hAnsi="Arial" w:cs="Arial" w:hint="eastAsia"/>
          <w:b/>
          <w:color w:val="000000"/>
          <w:sz w:val="21"/>
          <w:szCs w:val="21"/>
        </w:rPr>
        <w:t>号</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及其附件、《关于海淀区苏州街站一体化棚户区改造项目成本说明》</w:t>
      </w:r>
      <w:r>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估价对象前期土地开发成本约为</w:t>
      </w:r>
      <w:r w:rsidRPr="00BA7C99">
        <w:rPr>
          <w:rFonts w:ascii="Arial" w:eastAsia="仿宋_GB2312" w:hAnsi="Arial" w:cs="Arial" w:hint="eastAsia"/>
          <w:b/>
          <w:color w:val="000000"/>
          <w:sz w:val="21"/>
          <w:szCs w:val="21"/>
        </w:rPr>
        <w:t>158379.13</w:t>
      </w:r>
      <w:r w:rsidRPr="00BA7C99">
        <w:rPr>
          <w:rFonts w:ascii="Arial" w:eastAsia="仿宋_GB2312" w:hAnsi="Arial" w:cs="Arial" w:hint="eastAsia"/>
          <w:b/>
          <w:color w:val="000000"/>
          <w:sz w:val="21"/>
          <w:szCs w:val="21"/>
        </w:rPr>
        <w:t>万元</w:t>
      </w:r>
    </w:p>
    <w:p w14:paraId="1D04214D" w14:textId="605E4B7E" w:rsidR="00F81F06" w:rsidRDefault="00790873" w:rsidP="00790873">
      <w:pPr>
        <w:spacing w:beforeLines="100" w:before="240" w:line="360" w:lineRule="auto"/>
        <w:ind w:firstLineChars="200" w:firstLine="560"/>
        <w:rPr>
          <w:rFonts w:ascii="Arial" w:eastAsia="仿宋_GB2312" w:hAnsi="Arial" w:cs="Arial"/>
          <w:bCs/>
          <w:sz w:val="28"/>
        </w:rPr>
      </w:pPr>
      <w:r>
        <w:rPr>
          <w:rFonts w:ascii="Arial" w:eastAsia="仿宋_GB2312" w:hAnsi="Arial" w:cs="Arial" w:hint="eastAsia"/>
          <w:sz w:val="28"/>
        </w:rPr>
        <w:t>通过上表可知，估价对象政府土地出让收益与土地开发成本合计不低于该宗地所在基准地价级别低限，故建议本项目出让底价按该宗地在新设定规划建设条件下的出让土地使用权正常市场价格计取</w:t>
      </w:r>
      <w:r w:rsidR="00F81F06">
        <w:rPr>
          <w:rFonts w:ascii="Arial" w:eastAsia="仿宋_GB2312" w:hAnsi="Arial" w:cs="Arial" w:hint="eastAsia"/>
          <w:sz w:val="28"/>
        </w:rPr>
        <w:t>。</w:t>
      </w:r>
    </w:p>
    <w:p w14:paraId="56F88CE8" w14:textId="477D8C8F" w:rsidR="007B3A83" w:rsidRPr="00F81F06" w:rsidRDefault="007B3A83" w:rsidP="00DC3FE0">
      <w:pPr>
        <w:spacing w:beforeLines="100" w:before="240" w:line="360" w:lineRule="auto"/>
        <w:ind w:firstLineChars="200" w:firstLine="560"/>
        <w:rPr>
          <w:rFonts w:ascii="Arial" w:eastAsia="仿宋_GB2312" w:hAnsi="Arial" w:cs="Arial"/>
          <w:bCs/>
          <w:sz w:val="28"/>
        </w:rPr>
      </w:pPr>
    </w:p>
    <w:p w14:paraId="00156504" w14:textId="4A09EEA6" w:rsidR="002C3ABF" w:rsidRPr="007B3A83" w:rsidRDefault="002C3ABF" w:rsidP="006C1DB6">
      <w:pPr>
        <w:autoSpaceDE w:val="0"/>
        <w:autoSpaceDN w:val="0"/>
        <w:snapToGrid w:val="0"/>
        <w:spacing w:line="360" w:lineRule="auto"/>
        <w:ind w:firstLine="540"/>
        <w:jc w:val="both"/>
        <w:textAlignment w:val="bottom"/>
        <w:rPr>
          <w:rFonts w:ascii="Arial" w:eastAsia="仿宋_GB2312" w:hAnsi="Arial" w:cs="Arial"/>
          <w:sz w:val="28"/>
        </w:rPr>
      </w:pPr>
    </w:p>
    <w:p w14:paraId="4FD10B44" w14:textId="77777777" w:rsidR="002C3ABF" w:rsidRPr="00F631FB" w:rsidRDefault="002C3ABF" w:rsidP="002C3ABF">
      <w:pPr>
        <w:autoSpaceDE w:val="0"/>
        <w:autoSpaceDN w:val="0"/>
        <w:snapToGrid w:val="0"/>
        <w:spacing w:line="360" w:lineRule="auto"/>
        <w:ind w:firstLine="540"/>
        <w:jc w:val="both"/>
        <w:textAlignment w:val="bottom"/>
        <w:rPr>
          <w:rFonts w:ascii="Arial" w:eastAsia="仿宋_GB2312" w:hAnsi="Arial" w:cs="Arial"/>
          <w:sz w:val="28"/>
        </w:rPr>
      </w:pPr>
    </w:p>
    <w:p w14:paraId="5335C9AC" w14:textId="77777777" w:rsidR="00C70DD8" w:rsidRDefault="00C70DD8" w:rsidP="002C3ABF">
      <w:pPr>
        <w:spacing w:line="360" w:lineRule="auto"/>
        <w:outlineLvl w:val="1"/>
        <w:rPr>
          <w:rFonts w:ascii="Arial" w:eastAsia="仿宋_GB2312" w:hAnsi="Arial" w:cs="Arial"/>
          <w:b/>
          <w:sz w:val="28"/>
        </w:rPr>
      </w:pPr>
      <w:bookmarkStart w:id="125" w:name="_Toc515458377"/>
      <w:bookmarkStart w:id="126" w:name="_Toc425250322"/>
      <w:bookmarkStart w:id="127" w:name="_Toc418750900"/>
      <w:bookmarkStart w:id="128" w:name="_Toc416783537"/>
      <w:bookmarkStart w:id="129" w:name="_Toc469066320"/>
      <w:bookmarkStart w:id="130" w:name="_Toc524335082"/>
      <w:bookmarkStart w:id="131" w:name="_Toc69393384"/>
      <w:r>
        <w:rPr>
          <w:rFonts w:ascii="Arial" w:eastAsia="仿宋_GB2312" w:hAnsi="Arial" w:cs="Arial"/>
          <w:b/>
          <w:sz w:val="28"/>
        </w:rPr>
        <w:br w:type="page"/>
      </w:r>
    </w:p>
    <w:p w14:paraId="21AA0E1E" w14:textId="3B5BFE41" w:rsidR="002C3ABF" w:rsidRPr="00F631FB" w:rsidRDefault="002C3ABF" w:rsidP="002C3ABF">
      <w:pPr>
        <w:spacing w:line="360" w:lineRule="auto"/>
        <w:outlineLvl w:val="1"/>
        <w:rPr>
          <w:rFonts w:ascii="Arial" w:eastAsia="仿宋_GB2312" w:hAnsi="Arial" w:cs="Arial"/>
          <w:b/>
          <w:sz w:val="28"/>
        </w:rPr>
      </w:pPr>
      <w:r w:rsidRPr="00F631FB">
        <w:rPr>
          <w:rFonts w:ascii="Arial" w:eastAsia="仿宋_GB2312" w:hAnsi="Arial" w:cs="Arial"/>
          <w:b/>
          <w:sz w:val="28"/>
        </w:rPr>
        <w:lastRenderedPageBreak/>
        <w:t>三、估价结果和估价报告的使用</w:t>
      </w:r>
      <w:bookmarkEnd w:id="125"/>
      <w:bookmarkEnd w:id="126"/>
      <w:bookmarkEnd w:id="127"/>
      <w:bookmarkEnd w:id="128"/>
      <w:bookmarkEnd w:id="129"/>
      <w:bookmarkEnd w:id="130"/>
      <w:bookmarkEnd w:id="131"/>
    </w:p>
    <w:p w14:paraId="13EC50EB" w14:textId="77777777" w:rsidR="002C3ABF" w:rsidRPr="00F631FB" w:rsidRDefault="002C3ABF" w:rsidP="002C3ABF">
      <w:pPr>
        <w:snapToGrid w:val="0"/>
        <w:spacing w:line="360" w:lineRule="auto"/>
        <w:jc w:val="both"/>
        <w:textAlignment w:val="bottom"/>
        <w:rPr>
          <w:rFonts w:ascii="Arial" w:eastAsia="仿宋_GB2312" w:hAnsi="Arial" w:cs="Arial"/>
          <w:sz w:val="28"/>
        </w:rPr>
      </w:pPr>
      <w:bookmarkStart w:id="132" w:name="_Toc425250323"/>
      <w:bookmarkStart w:id="133" w:name="_Toc469066321"/>
      <w:bookmarkStart w:id="134" w:name="_Toc418750901"/>
      <w:bookmarkStart w:id="135" w:name="_Toc416783538"/>
      <w:r w:rsidRPr="00F631FB">
        <w:rPr>
          <w:rFonts w:ascii="Arial" w:eastAsia="仿宋_GB2312" w:hAnsi="Arial" w:cs="Arial"/>
          <w:sz w:val="28"/>
        </w:rPr>
        <w:t>（一）估价的前提条件和假设条件</w:t>
      </w:r>
    </w:p>
    <w:p w14:paraId="6BE90DCD" w14:textId="73FDA2CA" w:rsidR="002C3ABF" w:rsidRPr="00F631FB" w:rsidRDefault="002C3ABF" w:rsidP="002C3ABF">
      <w:pPr>
        <w:snapToGrid w:val="0"/>
        <w:spacing w:line="360" w:lineRule="auto"/>
        <w:ind w:firstLine="555"/>
        <w:jc w:val="both"/>
        <w:textAlignment w:val="bottom"/>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估价对象</w:t>
      </w:r>
      <w:r w:rsidRPr="00F631FB">
        <w:rPr>
          <w:rFonts w:ascii="Arial" w:eastAsia="仿宋_GB2312" w:hAnsi="Arial" w:cs="Arial" w:hint="eastAsia"/>
          <w:sz w:val="28"/>
        </w:rPr>
        <w:t>所属项目</w:t>
      </w:r>
      <w:r w:rsidRPr="00F631FB">
        <w:rPr>
          <w:rFonts w:ascii="Arial" w:eastAsia="仿宋_GB2312" w:hAnsi="Arial" w:cs="Arial"/>
          <w:sz w:val="28"/>
        </w:rPr>
        <w:t>作为</w:t>
      </w:r>
      <w:r w:rsidR="008E4F13">
        <w:rPr>
          <w:rFonts w:ascii="Arial" w:eastAsia="仿宋_GB2312" w:hAnsi="Arial" w:cs="Arial"/>
          <w:sz w:val="28"/>
        </w:rPr>
        <w:t>住宅、商业、办公、地下办公、地下车库</w:t>
      </w:r>
      <w:r w:rsidRPr="00F631FB">
        <w:rPr>
          <w:rFonts w:ascii="Arial" w:eastAsia="仿宋_GB2312" w:hAnsi="Arial" w:cs="Arial"/>
          <w:sz w:val="28"/>
        </w:rPr>
        <w:t>用地为最有效利用方式。</w:t>
      </w:r>
    </w:p>
    <w:p w14:paraId="66C367C8" w14:textId="77777777" w:rsidR="002C3ABF" w:rsidRPr="00F631FB" w:rsidRDefault="002C3ABF" w:rsidP="002C3ABF">
      <w:pPr>
        <w:snapToGrid w:val="0"/>
        <w:spacing w:line="360" w:lineRule="auto"/>
        <w:ind w:firstLine="555"/>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委托估价方提供的资料属实，没有保留及隐瞒。</w:t>
      </w:r>
    </w:p>
    <w:p w14:paraId="71715CAA"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 xml:space="preserve">    3.</w:t>
      </w:r>
      <w:r w:rsidRPr="00F631FB">
        <w:rPr>
          <w:rFonts w:ascii="Arial" w:eastAsia="仿宋_GB2312" w:hAnsi="Arial" w:cs="Arial"/>
          <w:sz w:val="28"/>
        </w:rPr>
        <w:t>在估价期日的房地产市场为公开、平等、自愿的交易市场。</w:t>
      </w:r>
    </w:p>
    <w:p w14:paraId="24FCCD03"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 xml:space="preserve">    4.</w:t>
      </w:r>
      <w:r w:rsidRPr="00F631FB">
        <w:rPr>
          <w:rFonts w:ascii="Arial" w:eastAsia="仿宋_GB2312" w:hAnsi="Arial" w:cs="Arial"/>
          <w:sz w:val="28"/>
        </w:rPr>
        <w:t>任何有关估价对象的运作方式、程序符合国家、地方的有关法律、法规。</w:t>
      </w:r>
    </w:p>
    <w:p w14:paraId="1151AB42" w14:textId="77777777" w:rsidR="002C3ABF" w:rsidRPr="00F631FB" w:rsidRDefault="002C3ABF" w:rsidP="002C3ABF">
      <w:pPr>
        <w:spacing w:line="360" w:lineRule="auto"/>
        <w:ind w:right="17"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土地使用权人合法取得估价对象出让国有建设用地使用权，并支付全部相关税费。</w:t>
      </w:r>
    </w:p>
    <w:p w14:paraId="1606555C" w14:textId="47DB709A" w:rsidR="00C70DD8" w:rsidRDefault="002C3ABF" w:rsidP="00C70DD8">
      <w:pPr>
        <w:snapToGrid w:val="0"/>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6.</w:t>
      </w:r>
      <w:r w:rsidR="00C70DD8" w:rsidRPr="00C70DD8">
        <w:rPr>
          <w:rFonts w:ascii="Arial" w:eastAsia="仿宋_GB2312" w:hAnsi="Arial" w:cs="Arial" w:hint="eastAsia"/>
          <w:sz w:val="28"/>
          <w:szCs w:val="28"/>
        </w:rPr>
        <w:t xml:space="preserve"> </w:t>
      </w:r>
      <w:r w:rsidR="00C70DD8">
        <w:rPr>
          <w:rFonts w:ascii="Arial" w:eastAsia="仿宋_GB2312" w:hAnsi="Arial" w:cs="Arial" w:hint="eastAsia"/>
          <w:sz w:val="28"/>
          <w:szCs w:val="28"/>
        </w:rPr>
        <w:t>根据</w:t>
      </w:r>
      <w:r w:rsidR="00C70DD8">
        <w:rPr>
          <w:rFonts w:ascii="Arial" w:eastAsia="仿宋_GB2312" w:hAnsi="Arial" w:cs="Arial" w:hint="eastAsia"/>
          <w:sz w:val="28"/>
        </w:rPr>
        <w:t>《北京市海淀区苏州街站一体化棚户区改造项目前期工作及拟改造土地使用权出让招标文件》</w:t>
      </w:r>
      <w:r w:rsidR="00C70DD8">
        <w:rPr>
          <w:rFonts w:ascii="Arial" w:eastAsia="仿宋_GB2312" w:hAnsi="Arial" w:cs="Arial"/>
          <w:sz w:val="28"/>
        </w:rPr>
        <w:t>[</w:t>
      </w:r>
      <w:r w:rsidR="00C70DD8">
        <w:rPr>
          <w:rFonts w:ascii="Arial" w:eastAsia="仿宋_GB2312" w:hAnsi="Arial" w:cs="Arial" w:hint="eastAsia"/>
          <w:sz w:val="28"/>
        </w:rPr>
        <w:t>招标编号：</w:t>
      </w:r>
      <w:proofErr w:type="gramStart"/>
      <w:r w:rsidR="00C70DD8">
        <w:rPr>
          <w:rFonts w:ascii="Arial" w:eastAsia="仿宋_GB2312" w:hAnsi="Arial" w:cs="Arial" w:hint="eastAsia"/>
          <w:sz w:val="28"/>
        </w:rPr>
        <w:t>京土棚改</w:t>
      </w:r>
      <w:proofErr w:type="gramEnd"/>
      <w:r w:rsidR="00C70DD8">
        <w:rPr>
          <w:rFonts w:ascii="Arial" w:eastAsia="仿宋_GB2312" w:hAnsi="Arial" w:cs="Arial" w:hint="eastAsia"/>
          <w:sz w:val="28"/>
        </w:rPr>
        <w:t>招（海）</w:t>
      </w:r>
      <w:r w:rsidR="00C70DD8">
        <w:rPr>
          <w:rFonts w:ascii="Arial" w:eastAsia="仿宋_GB2312" w:hAnsi="Arial" w:cs="Arial"/>
          <w:sz w:val="28"/>
        </w:rPr>
        <w:t>[2017]001</w:t>
      </w:r>
      <w:r w:rsidR="00C70DD8">
        <w:rPr>
          <w:rFonts w:ascii="Arial" w:eastAsia="仿宋_GB2312" w:hAnsi="Arial" w:cs="Arial" w:hint="eastAsia"/>
          <w:sz w:val="28"/>
        </w:rPr>
        <w:t>号</w:t>
      </w:r>
      <w:r w:rsidR="00C70DD8">
        <w:rPr>
          <w:rFonts w:ascii="Arial" w:eastAsia="仿宋_GB2312" w:hAnsi="Arial" w:cs="Arial"/>
          <w:sz w:val="28"/>
        </w:rPr>
        <w:t>]</w:t>
      </w:r>
      <w:r w:rsidR="00C70DD8">
        <w:rPr>
          <w:rFonts w:ascii="Arial" w:eastAsia="仿宋_GB2312" w:hAnsi="Arial" w:cs="Arial" w:hint="eastAsia"/>
          <w:sz w:val="28"/>
        </w:rPr>
        <w:t>及其附件复印件、《北京市规划和自然资源委员会关于北京市海淀区苏州街站一体化棚户区改造项目用地相关意见及设计方案审查意见的函（城镇建筑工程）》</w:t>
      </w:r>
      <w:r w:rsidR="00C70DD8">
        <w:rPr>
          <w:rFonts w:ascii="Arial" w:eastAsia="仿宋_GB2312" w:hAnsi="Arial" w:cs="Arial"/>
          <w:sz w:val="28"/>
        </w:rPr>
        <w:t>[2019</w:t>
      </w:r>
      <w:proofErr w:type="gramStart"/>
      <w:r w:rsidR="00C70DD8">
        <w:rPr>
          <w:rFonts w:ascii="Arial" w:eastAsia="仿宋_GB2312" w:hAnsi="Arial" w:cs="Arial" w:hint="eastAsia"/>
          <w:sz w:val="28"/>
        </w:rPr>
        <w:t>规</w:t>
      </w:r>
      <w:proofErr w:type="gramEnd"/>
      <w:r w:rsidR="00C70DD8">
        <w:rPr>
          <w:rFonts w:ascii="Arial" w:eastAsia="仿宋_GB2312" w:hAnsi="Arial" w:cs="Arial" w:hint="eastAsia"/>
          <w:sz w:val="28"/>
        </w:rPr>
        <w:t>自（海）</w:t>
      </w:r>
      <w:proofErr w:type="gramStart"/>
      <w:r w:rsidR="00C70DD8">
        <w:rPr>
          <w:rFonts w:ascii="Arial" w:eastAsia="仿宋_GB2312" w:hAnsi="Arial" w:cs="Arial" w:hint="eastAsia"/>
          <w:sz w:val="28"/>
        </w:rPr>
        <w:t>审改试点函</w:t>
      </w:r>
      <w:proofErr w:type="gramEnd"/>
      <w:r w:rsidR="00C70DD8">
        <w:rPr>
          <w:rFonts w:ascii="Arial" w:eastAsia="仿宋_GB2312" w:hAnsi="Arial" w:cs="Arial" w:hint="eastAsia"/>
          <w:sz w:val="28"/>
        </w:rPr>
        <w:t>字</w:t>
      </w:r>
      <w:r w:rsidR="00C70DD8">
        <w:rPr>
          <w:rFonts w:ascii="Arial" w:eastAsia="仿宋_GB2312" w:hAnsi="Arial" w:cs="Arial"/>
          <w:sz w:val="28"/>
        </w:rPr>
        <w:t>0001</w:t>
      </w:r>
      <w:r w:rsidR="00C70DD8">
        <w:rPr>
          <w:rFonts w:ascii="Arial" w:eastAsia="仿宋_GB2312" w:hAnsi="Arial" w:cs="Arial" w:hint="eastAsia"/>
          <w:sz w:val="28"/>
        </w:rPr>
        <w:t>号</w:t>
      </w:r>
      <w:r w:rsidR="00C70DD8">
        <w:rPr>
          <w:rFonts w:ascii="Arial" w:eastAsia="仿宋_GB2312" w:hAnsi="Arial" w:cs="Arial"/>
          <w:sz w:val="28"/>
        </w:rPr>
        <w:t>]</w:t>
      </w:r>
      <w:r w:rsidR="00C70DD8">
        <w:rPr>
          <w:rFonts w:ascii="Arial" w:eastAsia="仿宋_GB2312" w:hAnsi="Arial" w:cs="Arial" w:hint="eastAsia"/>
          <w:sz w:val="28"/>
        </w:rPr>
        <w:t>及其附图复印件、《土地权属审查告知书》</w:t>
      </w:r>
      <w:r w:rsidR="00C70DD8">
        <w:rPr>
          <w:rFonts w:ascii="Arial" w:eastAsia="仿宋_GB2312" w:hAnsi="Arial" w:cs="Arial"/>
          <w:sz w:val="28"/>
        </w:rPr>
        <w:t>[</w:t>
      </w:r>
      <w:r w:rsidR="00C70DD8">
        <w:rPr>
          <w:rFonts w:ascii="Arial" w:eastAsia="仿宋_GB2312" w:hAnsi="Arial" w:cs="Arial" w:hint="eastAsia"/>
          <w:sz w:val="28"/>
        </w:rPr>
        <w:t>编号：海权属审（</w:t>
      </w:r>
      <w:r w:rsidR="00C70DD8">
        <w:rPr>
          <w:rFonts w:ascii="Arial" w:eastAsia="仿宋_GB2312" w:hAnsi="Arial" w:cs="Arial"/>
          <w:sz w:val="28"/>
        </w:rPr>
        <w:t>2021</w:t>
      </w:r>
      <w:r w:rsidR="00C70DD8">
        <w:rPr>
          <w:rFonts w:ascii="Arial" w:eastAsia="仿宋_GB2312" w:hAnsi="Arial" w:cs="Arial" w:hint="eastAsia"/>
          <w:sz w:val="28"/>
        </w:rPr>
        <w:t>）字第</w:t>
      </w:r>
      <w:r w:rsidR="00C70DD8">
        <w:rPr>
          <w:rFonts w:ascii="Arial" w:eastAsia="仿宋_GB2312" w:hAnsi="Arial" w:cs="Arial"/>
          <w:sz w:val="28"/>
        </w:rPr>
        <w:t>1268</w:t>
      </w:r>
      <w:r w:rsidR="00C70DD8">
        <w:rPr>
          <w:rFonts w:ascii="Arial" w:eastAsia="仿宋_GB2312" w:hAnsi="Arial" w:cs="Arial" w:hint="eastAsia"/>
          <w:sz w:val="28"/>
        </w:rPr>
        <w:t>号</w:t>
      </w:r>
      <w:r w:rsidR="00C70DD8">
        <w:rPr>
          <w:rFonts w:ascii="Arial" w:eastAsia="仿宋_GB2312" w:hAnsi="Arial" w:cs="Arial"/>
          <w:sz w:val="28"/>
        </w:rPr>
        <w:t>]</w:t>
      </w:r>
      <w:r w:rsidR="00C70DD8">
        <w:rPr>
          <w:rFonts w:ascii="Arial" w:eastAsia="仿宋_GB2312" w:hAnsi="Arial" w:cs="Arial" w:hint="eastAsia"/>
          <w:sz w:val="28"/>
        </w:rPr>
        <w:t>及其附表附图复印件</w:t>
      </w:r>
      <w:r w:rsidR="00C70DD8">
        <w:rPr>
          <w:rFonts w:ascii="Arial" w:eastAsia="仿宋_GB2312" w:hAnsi="Arial" w:cs="Arial" w:hint="eastAsia"/>
          <w:sz w:val="28"/>
          <w:szCs w:val="28"/>
        </w:rPr>
        <w:t>，</w:t>
      </w:r>
      <w:r w:rsidR="00C70DD8">
        <w:rPr>
          <w:rFonts w:ascii="Arial" w:eastAsia="仿宋_GB2312" w:hAnsi="Arial" w:cs="Arial" w:hint="eastAsia"/>
          <w:sz w:val="28"/>
        </w:rPr>
        <w:t>北京市海淀区苏州街站一体化棚户区改造一次性招标项目</w:t>
      </w:r>
      <w:r w:rsidR="00C70DD8">
        <w:rPr>
          <w:rFonts w:ascii="Arial" w:eastAsia="仿宋_GB2312" w:hAnsi="Arial" w:cs="Arial" w:hint="eastAsia"/>
          <w:sz w:val="28"/>
          <w:szCs w:val="28"/>
        </w:rPr>
        <w:t>规划用途为</w:t>
      </w:r>
      <w:r w:rsidR="00C70DD8">
        <w:rPr>
          <w:rFonts w:ascii="Arial" w:eastAsia="仿宋_GB2312" w:hAnsi="Arial" w:cs="Arial"/>
          <w:sz w:val="28"/>
          <w:szCs w:val="28"/>
        </w:rPr>
        <w:t>R2</w:t>
      </w:r>
      <w:proofErr w:type="gramStart"/>
      <w:r w:rsidR="00C70DD8">
        <w:rPr>
          <w:rFonts w:ascii="Arial" w:eastAsia="仿宋_GB2312" w:hAnsi="Arial" w:cs="Arial" w:hint="eastAsia"/>
          <w:sz w:val="28"/>
          <w:szCs w:val="28"/>
        </w:rPr>
        <w:t>二</w:t>
      </w:r>
      <w:proofErr w:type="gramEnd"/>
      <w:r w:rsidR="00C70DD8">
        <w:rPr>
          <w:rFonts w:ascii="Arial" w:eastAsia="仿宋_GB2312" w:hAnsi="Arial" w:cs="Arial" w:hint="eastAsia"/>
          <w:sz w:val="28"/>
          <w:szCs w:val="28"/>
        </w:rPr>
        <w:t>类居住用地。</w:t>
      </w:r>
      <w:r w:rsidR="00C70DD8">
        <w:rPr>
          <w:rFonts w:ascii="Arial" w:eastAsia="仿宋_GB2312" w:hAnsi="Arial" w:cs="Arial"/>
          <w:sz w:val="28"/>
          <w:szCs w:val="28"/>
        </w:rPr>
        <w:t xml:space="preserve"> </w:t>
      </w:r>
    </w:p>
    <w:p w14:paraId="46D069AA" w14:textId="0C057162" w:rsidR="002C3ABF" w:rsidRPr="00F631FB" w:rsidRDefault="00C70DD8" w:rsidP="00C70DD8">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及其附件复印件、《海淀区苏州街一体化棚户区改造项目建筑面积及用途的说明》及其附表，以及委托估价方在《国有建设用地使用权出让地价评估委托书》中明确，估价对象土地用途为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GB/T21010-2007</w:t>
      </w:r>
      <w:r>
        <w:rPr>
          <w:rFonts w:ascii="Arial" w:eastAsia="仿宋_GB2312" w:hAnsi="Arial" w:cs="Arial"/>
          <w:sz w:val="28"/>
          <w:szCs w:val="28"/>
        </w:rPr>
        <w:t>]</w:t>
      </w:r>
      <w:r>
        <w:rPr>
          <w:rFonts w:ascii="Arial" w:eastAsia="仿宋_GB2312" w:hAnsi="Arial" w:cs="Arial" w:hint="eastAsia"/>
          <w:sz w:val="28"/>
        </w:rPr>
        <w:t>、《北京市关于更新出让国有建设用地使用权基准地价的通知》</w:t>
      </w:r>
      <w:r>
        <w:rPr>
          <w:rFonts w:ascii="Arial" w:eastAsia="仿宋_GB2312" w:hAnsi="Arial" w:cs="Arial"/>
          <w:sz w:val="28"/>
          <w:szCs w:val="28"/>
        </w:rPr>
        <w:t>[</w:t>
      </w:r>
      <w:r>
        <w:rPr>
          <w:rFonts w:ascii="Arial" w:eastAsia="仿宋_GB2312" w:hAnsi="Arial" w:cs="Arial" w:hint="eastAsia"/>
          <w:sz w:val="28"/>
        </w:rPr>
        <w:t>京政发（</w:t>
      </w:r>
      <w:r>
        <w:rPr>
          <w:rFonts w:ascii="Arial" w:eastAsia="仿宋_GB2312" w:hAnsi="Arial" w:cs="Arial"/>
          <w:sz w:val="28"/>
        </w:rPr>
        <w:t>2014</w:t>
      </w:r>
      <w:r>
        <w:rPr>
          <w:rFonts w:ascii="Arial" w:eastAsia="仿宋_GB2312" w:hAnsi="Arial" w:cs="Arial" w:hint="eastAsia"/>
          <w:sz w:val="28"/>
        </w:rPr>
        <w:t>）</w:t>
      </w:r>
      <w:r>
        <w:rPr>
          <w:rFonts w:ascii="Arial" w:eastAsia="仿宋_GB2312" w:hAnsi="Arial" w:cs="Arial"/>
          <w:sz w:val="28"/>
        </w:rPr>
        <w:t>26</w:t>
      </w:r>
      <w:r>
        <w:rPr>
          <w:rFonts w:ascii="Arial" w:eastAsia="仿宋_GB2312" w:hAnsi="Arial" w:cs="Arial" w:hint="eastAsia"/>
          <w:sz w:val="28"/>
        </w:rPr>
        <w:t>号</w:t>
      </w:r>
      <w:r>
        <w:rPr>
          <w:rFonts w:ascii="Arial" w:eastAsia="仿宋_GB2312" w:hAnsi="Arial" w:cs="Arial"/>
          <w:sz w:val="28"/>
          <w:szCs w:val="28"/>
        </w:rPr>
        <w:t>]</w:t>
      </w:r>
      <w:r>
        <w:rPr>
          <w:rFonts w:ascii="Arial" w:eastAsia="仿宋_GB2312" w:hAnsi="Arial" w:cs="Arial" w:hint="eastAsia"/>
          <w:sz w:val="28"/>
          <w:szCs w:val="28"/>
        </w:rPr>
        <w:t>内容</w:t>
      </w:r>
      <w:r>
        <w:rPr>
          <w:rFonts w:ascii="Arial" w:eastAsia="仿宋_GB2312" w:hAnsi="Arial" w:cs="Arial" w:hint="eastAsia"/>
          <w:sz w:val="28"/>
        </w:rPr>
        <w:t>，此次</w:t>
      </w:r>
      <w:r>
        <w:rPr>
          <w:rFonts w:ascii="Arial" w:eastAsia="仿宋_GB2312" w:hAnsi="Arial" w:cs="Arial" w:hint="eastAsia"/>
          <w:sz w:val="28"/>
        </w:rPr>
        <w:lastRenderedPageBreak/>
        <w:t>估价设定估价对象用途为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w:t>
      </w:r>
      <w:r w:rsidR="002C3ABF" w:rsidRPr="00F631FB">
        <w:rPr>
          <w:rFonts w:ascii="Arial" w:eastAsia="仿宋_GB2312" w:hAnsi="Arial" w:cs="Arial"/>
          <w:sz w:val="28"/>
        </w:rPr>
        <w:t xml:space="preserve"> </w:t>
      </w:r>
    </w:p>
    <w:p w14:paraId="44728110" w14:textId="41F44582" w:rsidR="002C3ABF" w:rsidRPr="00C70DD8" w:rsidRDefault="002C3ABF" w:rsidP="00C70DD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7.</w:t>
      </w:r>
      <w:r w:rsidR="00C70DD8" w:rsidRPr="00C70DD8">
        <w:rPr>
          <w:rFonts w:ascii="Arial" w:eastAsia="仿宋_GB2312" w:hAnsi="Arial" w:cs="Arial" w:hint="eastAsia"/>
          <w:sz w:val="28"/>
        </w:rPr>
        <w:t xml:space="preserve"> </w:t>
      </w:r>
      <w:r w:rsidR="00C70DD8">
        <w:rPr>
          <w:rFonts w:ascii="Arial" w:eastAsia="仿宋_GB2312" w:hAnsi="Arial" w:cs="Arial" w:hint="eastAsia"/>
          <w:sz w:val="28"/>
        </w:rPr>
        <w:t>根据《海淀区苏州街站一体化棚户区改造项目前期工作及拟改造土地使用权一次性招标方案》及其附件，要求市政基础设施条件最终达到“七通”（</w:t>
      </w:r>
      <w:r w:rsidR="00C70DD8">
        <w:rPr>
          <w:rFonts w:ascii="Arial" w:eastAsia="仿宋_GB2312" w:hAnsi="Arial" w:cs="Arial" w:hint="eastAsia"/>
          <w:sz w:val="28"/>
          <w:szCs w:val="28"/>
        </w:rPr>
        <w:t>即通路、通电（管沟和电缆）、通讯、通上水（自来水、中水）、通下水（雨水、污水）、通燃气、通热</w:t>
      </w:r>
      <w:r w:rsidR="00C70DD8">
        <w:rPr>
          <w:rFonts w:ascii="Arial" w:eastAsia="仿宋_GB2312" w:hAnsi="Arial" w:cs="Arial" w:hint="eastAsia"/>
          <w:sz w:val="28"/>
        </w:rPr>
        <w:t>），截至价值时点，</w:t>
      </w:r>
      <w:r w:rsidR="00C70DD8">
        <w:rPr>
          <w:rFonts w:ascii="Arial" w:eastAsia="仿宋_GB2312" w:hAnsi="Arial" w:cs="Arial" w:hint="eastAsia"/>
          <w:sz w:val="28"/>
          <w:szCs w:val="28"/>
        </w:rPr>
        <w:t>宗地内建筑物正在进行结构施工。</w:t>
      </w:r>
      <w:r w:rsidR="00C70DD8">
        <w:rPr>
          <w:rFonts w:ascii="Arial" w:eastAsia="仿宋_GB2312" w:hAnsi="Arial" w:cs="Arial" w:hint="eastAsia"/>
          <w:sz w:val="28"/>
        </w:rPr>
        <w:t>本次评估是为北京市规划和自然资源委员会办理该项目一次性招标出让手续提供参考依据，结合</w:t>
      </w:r>
      <w:r w:rsidR="00C70DD8">
        <w:rPr>
          <w:rFonts w:ascii="Arial" w:eastAsia="仿宋_GB2312" w:hAnsi="Arial" w:cs="Arial" w:hint="eastAsia"/>
          <w:sz w:val="28"/>
          <w:szCs w:val="28"/>
        </w:rPr>
        <w:t>估价目的，本次评估设定估价对象开发程度为宗地外</w:t>
      </w:r>
      <w:r w:rsidR="00C70DD8">
        <w:rPr>
          <w:rFonts w:ascii="Arial" w:eastAsia="仿宋_GB2312" w:hAnsi="Arial" w:cs="Arial"/>
          <w:sz w:val="28"/>
          <w:szCs w:val="28"/>
        </w:rPr>
        <w:t>“</w:t>
      </w:r>
      <w:r w:rsidR="00C70DD8">
        <w:rPr>
          <w:rFonts w:ascii="Arial" w:eastAsia="仿宋_GB2312" w:hAnsi="Arial" w:cs="Arial" w:hint="eastAsia"/>
          <w:sz w:val="28"/>
          <w:szCs w:val="28"/>
        </w:rPr>
        <w:t>七通</w:t>
      </w:r>
      <w:r w:rsidR="00C70DD8">
        <w:rPr>
          <w:rFonts w:ascii="Arial" w:eastAsia="仿宋_GB2312" w:hAnsi="Arial" w:cs="Arial"/>
          <w:sz w:val="28"/>
          <w:szCs w:val="28"/>
        </w:rPr>
        <w:t>”</w:t>
      </w:r>
      <w:r w:rsidR="00C70DD8">
        <w:rPr>
          <w:rFonts w:ascii="Arial" w:eastAsia="仿宋_GB2312" w:hAnsi="Arial" w:cs="Arial" w:hint="eastAsia"/>
          <w:sz w:val="28"/>
          <w:szCs w:val="28"/>
        </w:rPr>
        <w:t>（即通路、通电（管沟和电缆）、通讯、通上水（自来水、中水）、通下水（雨水、污水）、通燃气、通热），宗地内</w:t>
      </w:r>
      <w:r w:rsidR="00C70DD8">
        <w:rPr>
          <w:rFonts w:ascii="Arial" w:eastAsia="仿宋_GB2312" w:hAnsi="Arial" w:cs="Arial"/>
          <w:sz w:val="28"/>
          <w:szCs w:val="28"/>
        </w:rPr>
        <w:t>“</w:t>
      </w:r>
      <w:r w:rsidR="00C70DD8">
        <w:rPr>
          <w:rFonts w:ascii="Arial" w:eastAsia="仿宋_GB2312" w:hAnsi="Arial" w:cs="Arial" w:hint="eastAsia"/>
          <w:sz w:val="28"/>
          <w:szCs w:val="28"/>
        </w:rPr>
        <w:t>场地平整</w:t>
      </w:r>
      <w:r w:rsidR="00C70DD8">
        <w:rPr>
          <w:rFonts w:ascii="Arial" w:eastAsia="仿宋_GB2312" w:hAnsi="Arial" w:cs="Arial"/>
          <w:sz w:val="28"/>
          <w:szCs w:val="28"/>
        </w:rPr>
        <w:t>”</w:t>
      </w:r>
      <w:r w:rsidR="00C70DD8">
        <w:rPr>
          <w:rFonts w:ascii="Arial" w:eastAsia="仿宋_GB2312" w:hAnsi="Arial" w:cs="Arial" w:hint="eastAsia"/>
          <w:sz w:val="28"/>
          <w:szCs w:val="28"/>
        </w:rPr>
        <w:t>。</w:t>
      </w:r>
    </w:p>
    <w:p w14:paraId="77CE28A3" w14:textId="77777777" w:rsidR="002C3ABF" w:rsidRPr="00F631FB" w:rsidRDefault="002C3ABF" w:rsidP="002C3ABF">
      <w:pPr>
        <w:adjustRightInd/>
        <w:snapToGrid w:val="0"/>
        <w:spacing w:line="360" w:lineRule="auto"/>
        <w:ind w:firstLineChars="250" w:firstLine="700"/>
        <w:jc w:val="both"/>
        <w:textAlignment w:val="auto"/>
        <w:rPr>
          <w:rFonts w:ascii="Arial" w:eastAsia="仿宋_GB2312" w:hAnsi="Arial" w:cs="Arial"/>
          <w:sz w:val="28"/>
          <w:szCs w:val="28"/>
        </w:rPr>
      </w:pPr>
      <w:r w:rsidRPr="00F631FB">
        <w:rPr>
          <w:rFonts w:ascii="Arial" w:eastAsia="仿宋_GB2312" w:hAnsi="Arial" w:cs="Arial"/>
          <w:sz w:val="28"/>
        </w:rPr>
        <w:t>8.</w:t>
      </w:r>
      <w:r w:rsidRPr="00F631FB">
        <w:rPr>
          <w:rFonts w:ascii="Arial" w:eastAsia="仿宋_GB2312" w:hAnsi="Arial" w:cs="Arial"/>
          <w:sz w:val="28"/>
          <w:szCs w:val="28"/>
        </w:rPr>
        <w:t xml:space="preserve"> </w:t>
      </w:r>
      <w:r w:rsidRPr="00F631FB">
        <w:rPr>
          <w:rFonts w:ascii="Arial" w:eastAsia="仿宋_GB2312" w:hAnsi="Arial" w:cs="Arial"/>
          <w:sz w:val="28"/>
          <w:szCs w:val="28"/>
        </w:rPr>
        <w:t>容积率设定：</w:t>
      </w:r>
    </w:p>
    <w:p w14:paraId="6B946967" w14:textId="77777777" w:rsidR="00C70DD8" w:rsidRDefault="00C70DD8" w:rsidP="00C70DD8">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及其附图复印件、《海淀区苏州街一体化棚户区改造项目建筑面积及用途的说明》及其附表记载，估价对象总用地面积</w:t>
      </w:r>
      <w:r>
        <w:rPr>
          <w:rFonts w:ascii="Arial" w:eastAsia="仿宋_GB2312" w:hAnsi="Arial" w:cs="Arial"/>
          <w:sz w:val="28"/>
        </w:rPr>
        <w:t>6180.978</w:t>
      </w:r>
      <w:r>
        <w:rPr>
          <w:rFonts w:ascii="Arial" w:eastAsia="仿宋_GB2312" w:hAnsi="Arial" w:cs="Arial" w:hint="eastAsia"/>
          <w:sz w:val="28"/>
        </w:rPr>
        <w:t>平方米，均为建设用地。总规划建筑面积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。详见下表：</w:t>
      </w:r>
    </w:p>
    <w:p w14:paraId="379C82CA" w14:textId="77777777" w:rsidR="00C70DD8" w:rsidRDefault="00C70DD8" w:rsidP="00C70DD8">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14:paraId="0A52484B" w14:textId="77777777" w:rsidR="00C70DD8" w:rsidRDefault="00C70DD8" w:rsidP="00C70DD8">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b/>
          <w:bCs/>
          <w:szCs w:val="18"/>
        </w:rPr>
        <w:br w:type="page"/>
      </w:r>
    </w:p>
    <w:p w14:paraId="11AC0E9C" w14:textId="77777777" w:rsidR="00C70DD8" w:rsidRPr="00090D86" w:rsidRDefault="00C70DD8" w:rsidP="00C70DD8">
      <w:pPr>
        <w:autoSpaceDE w:val="0"/>
        <w:autoSpaceDN w:val="0"/>
        <w:snapToGrid w:val="0"/>
        <w:spacing w:line="240" w:lineRule="auto"/>
        <w:jc w:val="center"/>
        <w:textAlignment w:val="bottom"/>
        <w:rPr>
          <w:rFonts w:ascii="Arial" w:eastAsia="仿宋_GB2312" w:hAnsi="Arial" w:cs="Arial"/>
          <w:b/>
          <w:bCs/>
          <w:szCs w:val="18"/>
        </w:rPr>
      </w:pPr>
      <w:r w:rsidRPr="00090D86">
        <w:rPr>
          <w:rFonts w:ascii="Arial" w:eastAsia="仿宋_GB2312" w:hAnsi="Arial" w:cs="Arial" w:hint="eastAsia"/>
          <w:b/>
          <w:bCs/>
          <w:szCs w:val="18"/>
        </w:rPr>
        <w:lastRenderedPageBreak/>
        <w:t>土地用途及建筑面积表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06"/>
        <w:gridCol w:w="1308"/>
        <w:gridCol w:w="2943"/>
        <w:gridCol w:w="2636"/>
      </w:tblGrid>
      <w:tr w:rsidR="00C70DD8" w:rsidRPr="00F86D61" w14:paraId="34A76BE8" w14:textId="77777777" w:rsidTr="00E906EE">
        <w:trPr>
          <w:trHeight w:val="632"/>
          <w:tblHeader/>
        </w:trPr>
        <w:tc>
          <w:tcPr>
            <w:tcW w:w="1371" w:type="pct"/>
            <w:gridSpan w:val="2"/>
            <w:shd w:val="clear" w:color="auto" w:fill="auto"/>
            <w:noWrap/>
            <w:vAlign w:val="center"/>
          </w:tcPr>
          <w:p w14:paraId="10B93457" w14:textId="77777777" w:rsidR="00C70DD8" w:rsidRPr="00F86D61" w:rsidRDefault="00C70DD8"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位置</w:t>
            </w:r>
          </w:p>
        </w:tc>
        <w:tc>
          <w:tcPr>
            <w:tcW w:w="782" w:type="pct"/>
            <w:shd w:val="clear" w:color="auto" w:fill="auto"/>
            <w:noWrap/>
            <w:vAlign w:val="center"/>
          </w:tcPr>
          <w:p w14:paraId="2C19B3E4" w14:textId="77777777" w:rsidR="00C70DD8" w:rsidRPr="00F86D61" w:rsidRDefault="00C70DD8"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用途</w:t>
            </w:r>
          </w:p>
        </w:tc>
        <w:tc>
          <w:tcPr>
            <w:tcW w:w="1662" w:type="pct"/>
            <w:shd w:val="clear" w:color="auto" w:fill="auto"/>
            <w:noWrap/>
            <w:vAlign w:val="center"/>
          </w:tcPr>
          <w:p w14:paraId="7116F3D6" w14:textId="77777777" w:rsidR="00C70DD8" w:rsidRPr="00F86D61" w:rsidRDefault="00C70DD8"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分类</w:t>
            </w:r>
          </w:p>
        </w:tc>
        <w:tc>
          <w:tcPr>
            <w:tcW w:w="1185" w:type="pct"/>
            <w:shd w:val="clear" w:color="auto" w:fill="auto"/>
            <w:noWrap/>
            <w:vAlign w:val="center"/>
          </w:tcPr>
          <w:p w14:paraId="189559EC" w14:textId="77777777" w:rsidR="00C70DD8" w:rsidRPr="00F86D61" w:rsidRDefault="00C70DD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规划</w:t>
            </w:r>
            <w:r w:rsidRPr="00F86D61">
              <w:rPr>
                <w:rFonts w:ascii="Arial" w:eastAsia="仿宋_GB2312" w:hAnsi="Arial" w:cs="Arial" w:hint="eastAsia"/>
                <w:sz w:val="22"/>
                <w:szCs w:val="16"/>
              </w:rPr>
              <w:t>建筑面积（平方米）</w:t>
            </w:r>
          </w:p>
        </w:tc>
      </w:tr>
      <w:tr w:rsidR="00C70DD8" w:rsidRPr="00F86D61" w14:paraId="7F6EEF41" w14:textId="77777777" w:rsidTr="00E906EE">
        <w:trPr>
          <w:trHeight w:val="345"/>
        </w:trPr>
        <w:tc>
          <w:tcPr>
            <w:tcW w:w="590" w:type="pct"/>
            <w:vMerge w:val="restart"/>
            <w:shd w:val="clear" w:color="auto" w:fill="auto"/>
            <w:noWrap/>
            <w:vAlign w:val="center"/>
            <w:hideMark/>
          </w:tcPr>
          <w:p w14:paraId="15E36D77"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地上</w:t>
            </w:r>
            <w:r>
              <w:rPr>
                <w:rFonts w:ascii="Arial" w:eastAsia="仿宋_GB2312" w:hAnsi="Arial" w:cs="Arial" w:hint="eastAsia"/>
                <w:sz w:val="22"/>
                <w:szCs w:val="16"/>
              </w:rPr>
              <w:t>部分</w:t>
            </w:r>
          </w:p>
        </w:tc>
        <w:tc>
          <w:tcPr>
            <w:tcW w:w="781" w:type="pct"/>
            <w:vMerge w:val="restart"/>
            <w:vAlign w:val="center"/>
          </w:tcPr>
          <w:p w14:paraId="50EB1AF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vMerge w:val="restart"/>
            <w:shd w:val="clear" w:color="auto" w:fill="auto"/>
            <w:noWrap/>
            <w:vAlign w:val="center"/>
            <w:hideMark/>
          </w:tcPr>
          <w:p w14:paraId="66763A1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住宅</w:t>
            </w:r>
          </w:p>
        </w:tc>
        <w:tc>
          <w:tcPr>
            <w:tcW w:w="1662" w:type="pct"/>
            <w:shd w:val="clear" w:color="auto" w:fill="auto"/>
            <w:noWrap/>
            <w:vAlign w:val="center"/>
            <w:hideMark/>
          </w:tcPr>
          <w:p w14:paraId="609E6AD3"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回迁安置房</w:t>
            </w:r>
          </w:p>
        </w:tc>
        <w:tc>
          <w:tcPr>
            <w:tcW w:w="1185" w:type="pct"/>
            <w:shd w:val="clear" w:color="auto" w:fill="auto"/>
            <w:noWrap/>
            <w:vAlign w:val="center"/>
            <w:hideMark/>
          </w:tcPr>
          <w:p w14:paraId="387519E3"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13920.98</w:t>
            </w:r>
          </w:p>
        </w:tc>
      </w:tr>
      <w:tr w:rsidR="00C70DD8" w:rsidRPr="001D4423" w14:paraId="5C7DADFC" w14:textId="77777777" w:rsidTr="00E906EE">
        <w:trPr>
          <w:trHeight w:val="345"/>
        </w:trPr>
        <w:tc>
          <w:tcPr>
            <w:tcW w:w="590" w:type="pct"/>
            <w:vMerge/>
            <w:shd w:val="clear" w:color="auto" w:fill="auto"/>
            <w:vAlign w:val="center"/>
            <w:hideMark/>
          </w:tcPr>
          <w:p w14:paraId="5DDD8FF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7E9D50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09E012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89FE574"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w:t>
            </w:r>
          </w:p>
        </w:tc>
        <w:tc>
          <w:tcPr>
            <w:tcW w:w="1185" w:type="pct"/>
            <w:shd w:val="clear" w:color="auto" w:fill="auto"/>
            <w:noWrap/>
            <w:vAlign w:val="center"/>
            <w:hideMark/>
          </w:tcPr>
          <w:p w14:paraId="39325F45"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13794.02</w:t>
            </w:r>
          </w:p>
        </w:tc>
      </w:tr>
      <w:tr w:rsidR="00C70DD8" w:rsidRPr="001D4423" w14:paraId="20B01777" w14:textId="77777777" w:rsidTr="00E906EE">
        <w:trPr>
          <w:trHeight w:val="345"/>
        </w:trPr>
        <w:tc>
          <w:tcPr>
            <w:tcW w:w="590" w:type="pct"/>
            <w:vMerge/>
            <w:shd w:val="clear" w:color="auto" w:fill="auto"/>
            <w:vAlign w:val="center"/>
            <w:hideMark/>
          </w:tcPr>
          <w:p w14:paraId="5C88872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CB668A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CDA3F1C"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5BB41107"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人防室外出入口及其他</w:t>
            </w:r>
          </w:p>
        </w:tc>
        <w:tc>
          <w:tcPr>
            <w:tcW w:w="1185" w:type="pct"/>
            <w:shd w:val="clear" w:color="auto" w:fill="auto"/>
            <w:noWrap/>
            <w:vAlign w:val="center"/>
            <w:hideMark/>
          </w:tcPr>
          <w:p w14:paraId="25FE1D2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w:t>
            </w:r>
          </w:p>
        </w:tc>
      </w:tr>
      <w:tr w:rsidR="00C70DD8" w:rsidRPr="00F86D61" w14:paraId="60B8D286" w14:textId="77777777" w:rsidTr="00E906EE">
        <w:trPr>
          <w:trHeight w:val="345"/>
        </w:trPr>
        <w:tc>
          <w:tcPr>
            <w:tcW w:w="590" w:type="pct"/>
            <w:vMerge/>
            <w:shd w:val="clear" w:color="auto" w:fill="auto"/>
            <w:vAlign w:val="center"/>
            <w:hideMark/>
          </w:tcPr>
          <w:p w14:paraId="1E80E49C"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1CEE6E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97BEDA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7259D89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7BD620E4"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28075</w:t>
            </w:r>
          </w:p>
        </w:tc>
      </w:tr>
      <w:tr w:rsidR="00C70DD8" w:rsidRPr="00F86D61" w14:paraId="68C51844" w14:textId="77777777" w:rsidTr="00E906EE">
        <w:trPr>
          <w:trHeight w:val="345"/>
        </w:trPr>
        <w:tc>
          <w:tcPr>
            <w:tcW w:w="590" w:type="pct"/>
            <w:vMerge/>
            <w:shd w:val="clear" w:color="auto" w:fill="auto"/>
            <w:vAlign w:val="center"/>
            <w:hideMark/>
          </w:tcPr>
          <w:p w14:paraId="2D7136B9"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B4D1B17"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081530E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商业</w:t>
            </w:r>
          </w:p>
        </w:tc>
        <w:tc>
          <w:tcPr>
            <w:tcW w:w="1662" w:type="pct"/>
            <w:shd w:val="clear" w:color="auto" w:fill="auto"/>
            <w:vAlign w:val="center"/>
            <w:hideMark/>
          </w:tcPr>
          <w:p w14:paraId="3002B968"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w:t>
            </w:r>
            <w:proofErr w:type="gramStart"/>
            <w:r w:rsidRPr="001D4423">
              <w:rPr>
                <w:rFonts w:ascii="Arial" w:eastAsia="仿宋_GB2312" w:hAnsi="Arial" w:cs="Arial" w:hint="eastAsia"/>
                <w:sz w:val="22"/>
                <w:szCs w:val="16"/>
              </w:rPr>
              <w:t>房配套</w:t>
            </w:r>
            <w:proofErr w:type="gramEnd"/>
            <w:r w:rsidRPr="001D4423">
              <w:rPr>
                <w:rFonts w:ascii="Arial" w:eastAsia="仿宋_GB2312" w:hAnsi="Arial" w:cs="Arial" w:hint="eastAsia"/>
                <w:sz w:val="22"/>
                <w:szCs w:val="16"/>
              </w:rPr>
              <w:t>商业</w:t>
            </w:r>
          </w:p>
        </w:tc>
        <w:tc>
          <w:tcPr>
            <w:tcW w:w="1185" w:type="pct"/>
            <w:shd w:val="clear" w:color="auto" w:fill="auto"/>
            <w:noWrap/>
            <w:vAlign w:val="center"/>
            <w:hideMark/>
          </w:tcPr>
          <w:p w14:paraId="738FA54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260</w:t>
            </w:r>
          </w:p>
        </w:tc>
      </w:tr>
      <w:tr w:rsidR="00C70DD8" w:rsidRPr="00F86D61" w14:paraId="6191B711" w14:textId="77777777" w:rsidTr="00E906EE">
        <w:trPr>
          <w:trHeight w:val="345"/>
        </w:trPr>
        <w:tc>
          <w:tcPr>
            <w:tcW w:w="590" w:type="pct"/>
            <w:vMerge/>
            <w:shd w:val="clear" w:color="auto" w:fill="auto"/>
            <w:vAlign w:val="center"/>
            <w:hideMark/>
          </w:tcPr>
          <w:p w14:paraId="6C40E9C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1565C68"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923A9D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28388A4F"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平衡资金商品房配套商业</w:t>
            </w:r>
          </w:p>
        </w:tc>
        <w:tc>
          <w:tcPr>
            <w:tcW w:w="1185" w:type="pct"/>
            <w:shd w:val="clear" w:color="auto" w:fill="auto"/>
            <w:noWrap/>
            <w:vAlign w:val="center"/>
            <w:hideMark/>
          </w:tcPr>
          <w:p w14:paraId="1C1EB85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3045</w:t>
            </w:r>
          </w:p>
        </w:tc>
      </w:tr>
      <w:tr w:rsidR="00C70DD8" w:rsidRPr="00F86D61" w14:paraId="594AE766" w14:textId="77777777" w:rsidTr="00E906EE">
        <w:trPr>
          <w:trHeight w:val="345"/>
        </w:trPr>
        <w:tc>
          <w:tcPr>
            <w:tcW w:w="590" w:type="pct"/>
            <w:vMerge/>
            <w:shd w:val="clear" w:color="auto" w:fill="auto"/>
            <w:vAlign w:val="center"/>
            <w:hideMark/>
          </w:tcPr>
          <w:p w14:paraId="2E28F77F"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4AB8153"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28D443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307EBD9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小型商服</w:t>
            </w:r>
          </w:p>
        </w:tc>
        <w:tc>
          <w:tcPr>
            <w:tcW w:w="1185" w:type="pct"/>
            <w:shd w:val="clear" w:color="auto" w:fill="auto"/>
            <w:noWrap/>
            <w:vAlign w:val="center"/>
            <w:hideMark/>
          </w:tcPr>
          <w:p w14:paraId="093BE19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w:t>
            </w:r>
          </w:p>
        </w:tc>
      </w:tr>
      <w:tr w:rsidR="00C70DD8" w:rsidRPr="00F86D61" w14:paraId="69E142D4" w14:textId="77777777" w:rsidTr="00E906EE">
        <w:trPr>
          <w:trHeight w:val="345"/>
        </w:trPr>
        <w:tc>
          <w:tcPr>
            <w:tcW w:w="590" w:type="pct"/>
            <w:vMerge/>
            <w:shd w:val="clear" w:color="auto" w:fill="auto"/>
            <w:vAlign w:val="center"/>
            <w:hideMark/>
          </w:tcPr>
          <w:p w14:paraId="299C2A12"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706AB3C"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5E40D9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18E9355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45AF1C6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3318</w:t>
            </w:r>
          </w:p>
        </w:tc>
      </w:tr>
      <w:tr w:rsidR="00C70DD8" w:rsidRPr="00F86D61" w14:paraId="624AF02C" w14:textId="77777777" w:rsidTr="00E906EE">
        <w:trPr>
          <w:trHeight w:val="345"/>
        </w:trPr>
        <w:tc>
          <w:tcPr>
            <w:tcW w:w="590" w:type="pct"/>
            <w:vMerge/>
            <w:shd w:val="clear" w:color="auto" w:fill="auto"/>
            <w:vAlign w:val="center"/>
            <w:hideMark/>
          </w:tcPr>
          <w:p w14:paraId="01CDADB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A8CF747"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1CF73D6F"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办公</w:t>
            </w:r>
          </w:p>
        </w:tc>
        <w:tc>
          <w:tcPr>
            <w:tcW w:w="1662" w:type="pct"/>
            <w:shd w:val="clear" w:color="auto" w:fill="auto"/>
            <w:vAlign w:val="center"/>
            <w:hideMark/>
          </w:tcPr>
          <w:p w14:paraId="53FC7F4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18AA8F5F"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70DD8" w:rsidRPr="00F86D61" w14:paraId="48922E57" w14:textId="77777777" w:rsidTr="00E906EE">
        <w:trPr>
          <w:trHeight w:val="345"/>
        </w:trPr>
        <w:tc>
          <w:tcPr>
            <w:tcW w:w="590" w:type="pct"/>
            <w:vMerge/>
            <w:shd w:val="clear" w:color="auto" w:fill="auto"/>
            <w:vAlign w:val="center"/>
            <w:hideMark/>
          </w:tcPr>
          <w:p w14:paraId="6FECBED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8615B4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9F7764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25825B1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14EC4EA8"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70DD8" w:rsidRPr="00F86D61" w14:paraId="2791668E" w14:textId="77777777" w:rsidTr="00E906EE">
        <w:trPr>
          <w:trHeight w:val="345"/>
        </w:trPr>
        <w:tc>
          <w:tcPr>
            <w:tcW w:w="590" w:type="pct"/>
            <w:vMerge/>
            <w:shd w:val="clear" w:color="auto" w:fill="auto"/>
            <w:vAlign w:val="center"/>
            <w:hideMark/>
          </w:tcPr>
          <w:p w14:paraId="2B0898FF"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3E23CD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1945B60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2265699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31511</w:t>
            </w:r>
          </w:p>
        </w:tc>
      </w:tr>
      <w:tr w:rsidR="00C70DD8" w:rsidRPr="00F86D61" w14:paraId="5B4D5A8E" w14:textId="77777777" w:rsidTr="00E906EE">
        <w:trPr>
          <w:trHeight w:val="345"/>
        </w:trPr>
        <w:tc>
          <w:tcPr>
            <w:tcW w:w="590" w:type="pct"/>
            <w:vMerge w:val="restart"/>
            <w:shd w:val="clear" w:color="auto" w:fill="auto"/>
            <w:noWrap/>
            <w:vAlign w:val="center"/>
            <w:hideMark/>
          </w:tcPr>
          <w:p w14:paraId="10182A1C"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w:t>
            </w:r>
            <w:r>
              <w:rPr>
                <w:rFonts w:ascii="Arial" w:eastAsia="仿宋_GB2312" w:hAnsi="Arial" w:cs="Arial" w:hint="eastAsia"/>
                <w:sz w:val="22"/>
                <w:szCs w:val="16"/>
              </w:rPr>
              <w:t>部分</w:t>
            </w:r>
          </w:p>
        </w:tc>
        <w:tc>
          <w:tcPr>
            <w:tcW w:w="781" w:type="pct"/>
            <w:vMerge w:val="restart"/>
            <w:vAlign w:val="center"/>
          </w:tcPr>
          <w:p w14:paraId="0A142375"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shd w:val="clear" w:color="auto" w:fill="auto"/>
            <w:vAlign w:val="center"/>
            <w:hideMark/>
          </w:tcPr>
          <w:p w14:paraId="41A0E438"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地下办公</w:t>
            </w:r>
          </w:p>
        </w:tc>
        <w:tc>
          <w:tcPr>
            <w:tcW w:w="1662" w:type="pct"/>
            <w:shd w:val="clear" w:color="auto" w:fill="auto"/>
            <w:vAlign w:val="center"/>
            <w:hideMark/>
          </w:tcPr>
          <w:p w14:paraId="54601255"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04AC267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32</w:t>
            </w:r>
          </w:p>
        </w:tc>
      </w:tr>
      <w:tr w:rsidR="00C70DD8" w:rsidRPr="00F86D61" w14:paraId="41DEA794" w14:textId="77777777" w:rsidTr="00E906EE">
        <w:trPr>
          <w:trHeight w:val="345"/>
        </w:trPr>
        <w:tc>
          <w:tcPr>
            <w:tcW w:w="590" w:type="pct"/>
            <w:vMerge/>
            <w:shd w:val="clear" w:color="auto" w:fill="auto"/>
            <w:vAlign w:val="center"/>
            <w:hideMark/>
          </w:tcPr>
          <w:p w14:paraId="4197EEE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CB5BEC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6365D454"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地下车库</w:t>
            </w:r>
          </w:p>
        </w:tc>
        <w:tc>
          <w:tcPr>
            <w:tcW w:w="1662" w:type="pct"/>
            <w:shd w:val="clear" w:color="auto" w:fill="auto"/>
            <w:vAlign w:val="center"/>
            <w:hideMark/>
          </w:tcPr>
          <w:p w14:paraId="548F7F25"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汽车库</w:t>
            </w:r>
          </w:p>
        </w:tc>
        <w:tc>
          <w:tcPr>
            <w:tcW w:w="1185" w:type="pct"/>
            <w:shd w:val="clear" w:color="auto" w:fill="auto"/>
            <w:noWrap/>
            <w:vAlign w:val="center"/>
            <w:hideMark/>
          </w:tcPr>
          <w:p w14:paraId="200D861C"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10345.02</w:t>
            </w:r>
          </w:p>
        </w:tc>
      </w:tr>
      <w:tr w:rsidR="00C70DD8" w:rsidRPr="00F86D61" w14:paraId="5353FC8B" w14:textId="77777777" w:rsidTr="00E906EE">
        <w:trPr>
          <w:trHeight w:val="345"/>
        </w:trPr>
        <w:tc>
          <w:tcPr>
            <w:tcW w:w="590" w:type="pct"/>
            <w:vMerge/>
            <w:shd w:val="clear" w:color="auto" w:fill="auto"/>
            <w:vAlign w:val="center"/>
            <w:hideMark/>
          </w:tcPr>
          <w:p w14:paraId="15CFB694"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restart"/>
            <w:vAlign w:val="center"/>
          </w:tcPr>
          <w:p w14:paraId="5C9C0F2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不出让</w:t>
            </w:r>
          </w:p>
        </w:tc>
        <w:tc>
          <w:tcPr>
            <w:tcW w:w="782" w:type="pct"/>
            <w:shd w:val="clear" w:color="auto" w:fill="auto"/>
            <w:vAlign w:val="center"/>
            <w:hideMark/>
          </w:tcPr>
          <w:p w14:paraId="69FD23C7"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662" w:type="pct"/>
            <w:shd w:val="clear" w:color="auto" w:fill="auto"/>
            <w:vAlign w:val="center"/>
            <w:hideMark/>
          </w:tcPr>
          <w:p w14:paraId="2F526B6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185" w:type="pct"/>
            <w:shd w:val="clear" w:color="auto" w:fill="auto"/>
            <w:noWrap/>
            <w:vAlign w:val="center"/>
            <w:hideMark/>
          </w:tcPr>
          <w:p w14:paraId="07EE12C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227</w:t>
            </w:r>
          </w:p>
        </w:tc>
      </w:tr>
      <w:tr w:rsidR="00C70DD8" w:rsidRPr="00F86D61" w14:paraId="413C8A92" w14:textId="77777777" w:rsidTr="00E906EE">
        <w:trPr>
          <w:trHeight w:val="345"/>
        </w:trPr>
        <w:tc>
          <w:tcPr>
            <w:tcW w:w="590" w:type="pct"/>
            <w:vMerge/>
            <w:shd w:val="clear" w:color="auto" w:fill="auto"/>
            <w:vAlign w:val="center"/>
            <w:hideMark/>
          </w:tcPr>
          <w:p w14:paraId="580C319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6D6760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4C7B733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662" w:type="pct"/>
            <w:shd w:val="clear" w:color="auto" w:fill="auto"/>
            <w:vAlign w:val="center"/>
            <w:hideMark/>
          </w:tcPr>
          <w:p w14:paraId="36FEE78F"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185" w:type="pct"/>
            <w:shd w:val="clear" w:color="auto" w:fill="auto"/>
            <w:noWrap/>
            <w:vAlign w:val="center"/>
            <w:hideMark/>
          </w:tcPr>
          <w:p w14:paraId="6C061ABC"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3600.98</w:t>
            </w:r>
          </w:p>
        </w:tc>
      </w:tr>
      <w:tr w:rsidR="00C70DD8" w:rsidRPr="00F86D61" w14:paraId="7723869B" w14:textId="77777777" w:rsidTr="00E906EE">
        <w:trPr>
          <w:trHeight w:val="345"/>
        </w:trPr>
        <w:tc>
          <w:tcPr>
            <w:tcW w:w="590" w:type="pct"/>
            <w:vMerge/>
            <w:shd w:val="clear" w:color="auto" w:fill="auto"/>
            <w:vAlign w:val="center"/>
            <w:hideMark/>
          </w:tcPr>
          <w:p w14:paraId="4A9CC8A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BCA5853"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vAlign w:val="center"/>
            <w:hideMark/>
          </w:tcPr>
          <w:p w14:paraId="1CAB680F"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非经营性用途</w:t>
            </w:r>
          </w:p>
        </w:tc>
        <w:tc>
          <w:tcPr>
            <w:tcW w:w="1662" w:type="pct"/>
            <w:shd w:val="clear" w:color="auto" w:fill="auto"/>
            <w:vAlign w:val="center"/>
            <w:hideMark/>
          </w:tcPr>
          <w:p w14:paraId="76C3BD52"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室内覆盖系统机房</w:t>
            </w:r>
          </w:p>
        </w:tc>
        <w:tc>
          <w:tcPr>
            <w:tcW w:w="1185" w:type="pct"/>
            <w:shd w:val="clear" w:color="auto" w:fill="auto"/>
            <w:noWrap/>
            <w:vAlign w:val="center"/>
            <w:hideMark/>
          </w:tcPr>
          <w:p w14:paraId="4E42E3A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70DD8" w:rsidRPr="001D4423" w14:paraId="0348340E" w14:textId="77777777" w:rsidTr="00E906EE">
        <w:trPr>
          <w:trHeight w:val="345"/>
        </w:trPr>
        <w:tc>
          <w:tcPr>
            <w:tcW w:w="590" w:type="pct"/>
            <w:vMerge/>
            <w:shd w:val="clear" w:color="auto" w:fill="auto"/>
            <w:vAlign w:val="center"/>
            <w:hideMark/>
          </w:tcPr>
          <w:p w14:paraId="28EFD07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31D04E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B52CB9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125860D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固定通信设备间</w:t>
            </w:r>
          </w:p>
        </w:tc>
        <w:tc>
          <w:tcPr>
            <w:tcW w:w="1185" w:type="pct"/>
            <w:shd w:val="clear" w:color="auto" w:fill="auto"/>
            <w:noWrap/>
            <w:vAlign w:val="center"/>
            <w:hideMark/>
          </w:tcPr>
          <w:p w14:paraId="6388699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70DD8" w:rsidRPr="001D4423" w14:paraId="6E4AAEF7" w14:textId="77777777" w:rsidTr="00E906EE">
        <w:trPr>
          <w:trHeight w:val="345"/>
        </w:trPr>
        <w:tc>
          <w:tcPr>
            <w:tcW w:w="590" w:type="pct"/>
            <w:vMerge/>
            <w:shd w:val="clear" w:color="auto" w:fill="auto"/>
            <w:vAlign w:val="center"/>
            <w:hideMark/>
          </w:tcPr>
          <w:p w14:paraId="0401C14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2605925"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548D28C"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65C227E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有线电视光电转换间</w:t>
            </w:r>
          </w:p>
        </w:tc>
        <w:tc>
          <w:tcPr>
            <w:tcW w:w="1185" w:type="pct"/>
            <w:shd w:val="clear" w:color="auto" w:fill="auto"/>
            <w:noWrap/>
            <w:vAlign w:val="center"/>
            <w:hideMark/>
          </w:tcPr>
          <w:p w14:paraId="64821AC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w:t>
            </w:r>
          </w:p>
        </w:tc>
      </w:tr>
      <w:tr w:rsidR="00C70DD8" w:rsidRPr="001D4423" w14:paraId="28122F6F" w14:textId="77777777" w:rsidTr="00E906EE">
        <w:trPr>
          <w:trHeight w:val="345"/>
        </w:trPr>
        <w:tc>
          <w:tcPr>
            <w:tcW w:w="590" w:type="pct"/>
            <w:vMerge/>
            <w:shd w:val="clear" w:color="auto" w:fill="auto"/>
            <w:vAlign w:val="center"/>
            <w:hideMark/>
          </w:tcPr>
          <w:p w14:paraId="42273609"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550DE4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A6CDA15"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7CF734C3"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配电室</w:t>
            </w:r>
          </w:p>
        </w:tc>
        <w:tc>
          <w:tcPr>
            <w:tcW w:w="1185" w:type="pct"/>
            <w:shd w:val="clear" w:color="auto" w:fill="auto"/>
            <w:noWrap/>
            <w:vAlign w:val="center"/>
            <w:hideMark/>
          </w:tcPr>
          <w:p w14:paraId="32B01494"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180</w:t>
            </w:r>
          </w:p>
        </w:tc>
      </w:tr>
      <w:tr w:rsidR="00C70DD8" w:rsidRPr="001D4423" w14:paraId="7817204E" w14:textId="77777777" w:rsidTr="00E906EE">
        <w:trPr>
          <w:trHeight w:val="345"/>
        </w:trPr>
        <w:tc>
          <w:tcPr>
            <w:tcW w:w="590" w:type="pct"/>
            <w:vMerge/>
            <w:shd w:val="clear" w:color="auto" w:fill="auto"/>
            <w:vAlign w:val="center"/>
            <w:hideMark/>
          </w:tcPr>
          <w:p w14:paraId="5CB27B9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63CD1AF"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6450164"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053128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热力站</w:t>
            </w:r>
          </w:p>
        </w:tc>
        <w:tc>
          <w:tcPr>
            <w:tcW w:w="1185" w:type="pct"/>
            <w:shd w:val="clear" w:color="auto" w:fill="auto"/>
            <w:noWrap/>
            <w:vAlign w:val="center"/>
            <w:hideMark/>
          </w:tcPr>
          <w:p w14:paraId="4DF982A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200</w:t>
            </w:r>
          </w:p>
        </w:tc>
      </w:tr>
      <w:tr w:rsidR="00C70DD8" w:rsidRPr="001D4423" w14:paraId="1645DA9E" w14:textId="77777777" w:rsidTr="00E906EE">
        <w:trPr>
          <w:trHeight w:val="345"/>
        </w:trPr>
        <w:tc>
          <w:tcPr>
            <w:tcW w:w="590" w:type="pct"/>
            <w:vMerge/>
            <w:shd w:val="clear" w:color="auto" w:fill="auto"/>
            <w:vAlign w:val="center"/>
            <w:hideMark/>
          </w:tcPr>
          <w:p w14:paraId="2A3F3B09"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6C894EC"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805F49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785B41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设备用房</w:t>
            </w:r>
          </w:p>
        </w:tc>
        <w:tc>
          <w:tcPr>
            <w:tcW w:w="1185" w:type="pct"/>
            <w:shd w:val="clear" w:color="auto" w:fill="auto"/>
            <w:noWrap/>
            <w:vAlign w:val="center"/>
            <w:hideMark/>
          </w:tcPr>
          <w:p w14:paraId="6F5B2275"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661</w:t>
            </w:r>
          </w:p>
        </w:tc>
      </w:tr>
      <w:tr w:rsidR="00C70DD8" w:rsidRPr="00F86D61" w14:paraId="00876E27" w14:textId="77777777" w:rsidTr="00E906EE">
        <w:trPr>
          <w:trHeight w:val="345"/>
        </w:trPr>
        <w:tc>
          <w:tcPr>
            <w:tcW w:w="590" w:type="pct"/>
            <w:vMerge/>
            <w:shd w:val="clear" w:color="auto" w:fill="auto"/>
            <w:vAlign w:val="center"/>
            <w:hideMark/>
          </w:tcPr>
          <w:p w14:paraId="10E09979"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36C61A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FEBA52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E2AABD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560E600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1077</w:t>
            </w:r>
          </w:p>
        </w:tc>
      </w:tr>
      <w:tr w:rsidR="00C70DD8" w:rsidRPr="00F86D61" w14:paraId="2AE60A86" w14:textId="77777777" w:rsidTr="00E906EE">
        <w:trPr>
          <w:trHeight w:val="345"/>
        </w:trPr>
        <w:tc>
          <w:tcPr>
            <w:tcW w:w="590" w:type="pct"/>
            <w:vMerge/>
            <w:shd w:val="clear" w:color="auto" w:fill="auto"/>
            <w:vAlign w:val="center"/>
            <w:hideMark/>
          </w:tcPr>
          <w:p w14:paraId="66996DB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Align w:val="center"/>
          </w:tcPr>
          <w:p w14:paraId="2712CB04"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17032CF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6FE12219"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15282</w:t>
            </w:r>
          </w:p>
        </w:tc>
      </w:tr>
      <w:tr w:rsidR="00C70DD8" w:rsidRPr="00F86D61" w14:paraId="1E212BC2" w14:textId="77777777" w:rsidTr="00E906EE">
        <w:trPr>
          <w:trHeight w:val="345"/>
        </w:trPr>
        <w:tc>
          <w:tcPr>
            <w:tcW w:w="590" w:type="pct"/>
            <w:shd w:val="clear" w:color="auto" w:fill="auto"/>
            <w:noWrap/>
            <w:vAlign w:val="center"/>
            <w:hideMark/>
          </w:tcPr>
          <w:p w14:paraId="562E90D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总计</w:t>
            </w:r>
          </w:p>
        </w:tc>
        <w:tc>
          <w:tcPr>
            <w:tcW w:w="781" w:type="pct"/>
            <w:vAlign w:val="center"/>
          </w:tcPr>
          <w:p w14:paraId="53768F78"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hideMark/>
          </w:tcPr>
          <w:p w14:paraId="066ADDD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w:t>
            </w:r>
          </w:p>
        </w:tc>
        <w:tc>
          <w:tcPr>
            <w:tcW w:w="1185" w:type="pct"/>
            <w:shd w:val="clear" w:color="auto" w:fill="auto"/>
            <w:noWrap/>
            <w:vAlign w:val="center"/>
            <w:hideMark/>
          </w:tcPr>
          <w:p w14:paraId="4CCE3702"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46793</w:t>
            </w:r>
          </w:p>
        </w:tc>
      </w:tr>
      <w:tr w:rsidR="00C70DD8" w:rsidRPr="00F86D61" w14:paraId="1CD67969" w14:textId="77777777" w:rsidTr="00E906EE">
        <w:trPr>
          <w:trHeight w:val="345"/>
        </w:trPr>
        <w:tc>
          <w:tcPr>
            <w:tcW w:w="590" w:type="pct"/>
            <w:shd w:val="clear" w:color="auto" w:fill="auto"/>
            <w:noWrap/>
            <w:vAlign w:val="center"/>
          </w:tcPr>
          <w:p w14:paraId="799877C2"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693735D9" w14:textId="77777777" w:rsidR="00C70DD8" w:rsidRPr="00F86D61" w:rsidRDefault="00C70DD8"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0619C71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总用地面积</w:t>
            </w:r>
          </w:p>
        </w:tc>
        <w:tc>
          <w:tcPr>
            <w:tcW w:w="1185" w:type="pct"/>
            <w:shd w:val="clear" w:color="auto" w:fill="auto"/>
            <w:noWrap/>
            <w:vAlign w:val="center"/>
          </w:tcPr>
          <w:p w14:paraId="25F75722"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6180.978</w:t>
            </w:r>
          </w:p>
        </w:tc>
      </w:tr>
      <w:tr w:rsidR="00C70DD8" w:rsidRPr="00F86D61" w14:paraId="4CCEF1D4" w14:textId="77777777" w:rsidTr="00E906EE">
        <w:trPr>
          <w:trHeight w:val="345"/>
        </w:trPr>
        <w:tc>
          <w:tcPr>
            <w:tcW w:w="590" w:type="pct"/>
            <w:shd w:val="clear" w:color="auto" w:fill="auto"/>
            <w:noWrap/>
            <w:vAlign w:val="center"/>
          </w:tcPr>
          <w:p w14:paraId="6AFC849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74786235" w14:textId="77777777" w:rsidR="00C70DD8" w:rsidRDefault="00C70DD8"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495C901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容积率</w:t>
            </w:r>
          </w:p>
        </w:tc>
        <w:tc>
          <w:tcPr>
            <w:tcW w:w="1185" w:type="pct"/>
            <w:shd w:val="clear" w:color="auto" w:fill="auto"/>
            <w:noWrap/>
            <w:vAlign w:val="center"/>
          </w:tcPr>
          <w:p w14:paraId="7F11113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5</w:t>
            </w:r>
            <w:r>
              <w:rPr>
                <w:rFonts w:ascii="Arial" w:eastAsia="仿宋_GB2312" w:hAnsi="Arial" w:cs="Arial"/>
                <w:sz w:val="22"/>
                <w:szCs w:val="16"/>
              </w:rPr>
              <w:t>.10</w:t>
            </w:r>
          </w:p>
        </w:tc>
      </w:tr>
    </w:tbl>
    <w:p w14:paraId="6E9452DB" w14:textId="77777777" w:rsidR="002C3ABF" w:rsidRPr="00F631FB"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9.</w:t>
      </w:r>
      <w:r w:rsidRPr="00F631FB">
        <w:rPr>
          <w:rFonts w:ascii="Arial" w:eastAsia="仿宋_GB2312" w:hAnsi="Arial" w:cs="Arial"/>
          <w:sz w:val="28"/>
          <w:szCs w:val="28"/>
        </w:rPr>
        <w:t>地价内涵：</w:t>
      </w:r>
    </w:p>
    <w:p w14:paraId="4B3B910C" w14:textId="4C5E07E4" w:rsidR="002C3ABF" w:rsidRPr="00F631FB" w:rsidRDefault="00C70DD8"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15</w:t>
      </w:r>
      <w:r>
        <w:rPr>
          <w:rFonts w:ascii="Arial" w:eastAsia="仿宋_GB2312" w:hAnsi="Arial" w:cs="Arial" w:hint="eastAsia"/>
          <w:sz w:val="28"/>
          <w:szCs w:val="28"/>
        </w:rPr>
        <w:t>日，在北京市基准地价居住类二级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区片、商业类三级</w:t>
      </w:r>
      <w:r>
        <w:rPr>
          <w:rFonts w:ascii="微软雅黑" w:eastAsia="微软雅黑" w:hAnsi="微软雅黑" w:cs="Arial" w:hint="eastAsia"/>
          <w:sz w:val="28"/>
          <w:szCs w:val="28"/>
        </w:rPr>
        <w:t>Ⅲ</w:t>
      </w:r>
      <w:r>
        <w:rPr>
          <w:rFonts w:ascii="Arial" w:eastAsia="仿宋_GB2312" w:hAnsi="Arial" w:cs="Arial"/>
          <w:sz w:val="28"/>
          <w:szCs w:val="28"/>
        </w:rPr>
        <w:t>-06</w:t>
      </w:r>
      <w:r>
        <w:rPr>
          <w:rFonts w:ascii="Arial" w:eastAsia="仿宋_GB2312" w:hAnsi="Arial" w:cs="Arial" w:hint="eastAsia"/>
          <w:sz w:val="28"/>
          <w:szCs w:val="28"/>
        </w:rPr>
        <w:t>区片、办公类二级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区片地价区内，评估设定土地使用权类型为出让；设定开发程度为宗地外</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七通</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（即通路、通电（管沟和电缆）、通讯、通上水（自来水、中水）、通</w:t>
      </w:r>
      <w:r>
        <w:rPr>
          <w:rFonts w:ascii="Arial" w:eastAsia="仿宋_GB2312" w:hAnsi="Arial" w:cs="Arial" w:hint="eastAsia"/>
          <w:sz w:val="28"/>
          <w:szCs w:val="28"/>
        </w:rPr>
        <w:lastRenderedPageBreak/>
        <w:t>下水（雨水、污水）、通燃气、通热），宗地内</w:t>
      </w:r>
      <w:r>
        <w:rPr>
          <w:rFonts w:ascii="Arial" w:eastAsia="仿宋_GB2312" w:hAnsi="Arial" w:cs="Arial"/>
          <w:sz w:val="28"/>
          <w:szCs w:val="28"/>
        </w:rPr>
        <w:t>“</w:t>
      </w:r>
      <w:r>
        <w:rPr>
          <w:rFonts w:ascii="Arial" w:eastAsia="仿宋_GB2312" w:hAnsi="Arial" w:cs="Arial" w:hint="eastAsia"/>
          <w:sz w:val="28"/>
          <w:szCs w:val="28"/>
        </w:rPr>
        <w:t>场地平整</w:t>
      </w:r>
      <w:r>
        <w:rPr>
          <w:rFonts w:ascii="Arial" w:eastAsia="仿宋_GB2312" w:hAnsi="Arial" w:cs="Arial"/>
          <w:sz w:val="28"/>
          <w:szCs w:val="28"/>
        </w:rPr>
        <w:t>”</w:t>
      </w:r>
      <w:r>
        <w:rPr>
          <w:rFonts w:ascii="Arial" w:eastAsia="仿宋_GB2312" w:hAnsi="Arial" w:cs="Arial" w:hint="eastAsia"/>
          <w:sz w:val="28"/>
          <w:szCs w:val="28"/>
        </w:rPr>
        <w:t>；设定土地用途为住宅、商业、办公、地下办公、地下车库；地上容积率为</w:t>
      </w:r>
      <w:r>
        <w:rPr>
          <w:rFonts w:ascii="Arial" w:eastAsia="仿宋_GB2312" w:hAnsi="Arial" w:cs="Arial"/>
          <w:sz w:val="28"/>
          <w:szCs w:val="28"/>
        </w:rPr>
        <w:t>5.10</w:t>
      </w:r>
      <w:r>
        <w:rPr>
          <w:rFonts w:ascii="Arial" w:eastAsia="仿宋_GB2312" w:hAnsi="Arial" w:cs="Arial" w:hint="eastAsia"/>
          <w:sz w:val="28"/>
          <w:szCs w:val="28"/>
        </w:rPr>
        <w:t>，地上住宅</w:t>
      </w:r>
      <w:r>
        <w:rPr>
          <w:rFonts w:ascii="Arial" w:eastAsia="仿宋_GB2312" w:hAnsi="Arial" w:cs="Arial"/>
          <w:sz w:val="28"/>
          <w:szCs w:val="28"/>
        </w:rPr>
        <w:t>70</w:t>
      </w:r>
      <w:r>
        <w:rPr>
          <w:rFonts w:ascii="Arial" w:eastAsia="仿宋_GB2312" w:hAnsi="Arial" w:cs="Arial" w:hint="eastAsia"/>
          <w:sz w:val="28"/>
          <w:szCs w:val="28"/>
        </w:rPr>
        <w:t>年，地上商业</w:t>
      </w:r>
      <w:r>
        <w:rPr>
          <w:rFonts w:ascii="Arial" w:eastAsia="仿宋_GB2312" w:hAnsi="Arial" w:cs="Arial"/>
          <w:sz w:val="28"/>
          <w:szCs w:val="28"/>
        </w:rPr>
        <w:t>40</w:t>
      </w:r>
      <w:r>
        <w:rPr>
          <w:rFonts w:ascii="Arial" w:eastAsia="仿宋_GB2312" w:hAnsi="Arial" w:cs="Arial" w:hint="eastAsia"/>
          <w:sz w:val="28"/>
          <w:szCs w:val="28"/>
        </w:rPr>
        <w:t>年，地上办公</w:t>
      </w:r>
      <w:r>
        <w:rPr>
          <w:rFonts w:ascii="Arial" w:eastAsia="仿宋_GB2312" w:hAnsi="Arial" w:cs="Arial"/>
          <w:sz w:val="28"/>
          <w:szCs w:val="28"/>
        </w:rPr>
        <w:t>50</w:t>
      </w:r>
      <w:r>
        <w:rPr>
          <w:rFonts w:ascii="Arial" w:eastAsia="仿宋_GB2312" w:hAnsi="Arial" w:cs="Arial" w:hint="eastAsia"/>
          <w:sz w:val="28"/>
          <w:szCs w:val="28"/>
        </w:rPr>
        <w:t>年、地下办公</w:t>
      </w:r>
      <w:r>
        <w:rPr>
          <w:rFonts w:ascii="Arial" w:eastAsia="仿宋_GB2312" w:hAnsi="Arial" w:cs="Arial"/>
          <w:sz w:val="28"/>
          <w:szCs w:val="28"/>
        </w:rPr>
        <w:t>50</w:t>
      </w:r>
      <w:r>
        <w:rPr>
          <w:rFonts w:ascii="Arial" w:eastAsia="仿宋_GB2312" w:hAnsi="Arial" w:cs="Arial" w:hint="eastAsia"/>
          <w:sz w:val="28"/>
          <w:szCs w:val="28"/>
        </w:rPr>
        <w:t>年、地下车库</w:t>
      </w:r>
      <w:r>
        <w:rPr>
          <w:rFonts w:ascii="Arial" w:eastAsia="仿宋_GB2312" w:hAnsi="Arial" w:cs="Arial"/>
          <w:sz w:val="28"/>
          <w:szCs w:val="28"/>
        </w:rPr>
        <w:t>50</w:t>
      </w:r>
      <w:r>
        <w:rPr>
          <w:rFonts w:ascii="Arial" w:eastAsia="仿宋_GB2312" w:hAnsi="Arial" w:cs="Arial" w:hint="eastAsia"/>
          <w:sz w:val="28"/>
          <w:szCs w:val="28"/>
        </w:rPr>
        <w:t>年于设定条件下完整的国有建设用地使用权价格，即出让土地使用权的正常市场价格</w:t>
      </w:r>
      <w:r w:rsidR="009F133A" w:rsidRPr="00F631FB">
        <w:rPr>
          <w:rFonts w:ascii="Arial" w:eastAsia="仿宋_GB2312" w:hAnsi="Arial" w:cs="Arial"/>
          <w:sz w:val="28"/>
          <w:szCs w:val="28"/>
        </w:rPr>
        <w:t>。</w:t>
      </w:r>
    </w:p>
    <w:p w14:paraId="47384C01" w14:textId="2DD7125D"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10.</w:t>
      </w:r>
      <w:r w:rsidRPr="00F631FB">
        <w:rPr>
          <w:rFonts w:ascii="Arial" w:eastAsia="仿宋_GB2312" w:hAnsi="Arial" w:cs="Arial"/>
          <w:sz w:val="28"/>
        </w:rPr>
        <w:t>评估专业人员根据委托估价方所提供的资料，未发现有抵押、租赁的登记信息，本次评估设定估价对象不存在抵押、租赁等他项权利。</w:t>
      </w:r>
    </w:p>
    <w:p w14:paraId="55C8A99D"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（二）估价结果和估价报告的使用</w:t>
      </w:r>
    </w:p>
    <w:p w14:paraId="0E1FD16B"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75B1A021"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委托估价方</w:t>
      </w:r>
      <w:r w:rsidRPr="00F631FB">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3A58FCE9"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本报告估价结果为估价期日下的正常市场价格，随着时间的推移，该价格需要做相应的调整直至重新评估。</w:t>
      </w:r>
    </w:p>
    <w:p w14:paraId="02EB5848"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本估价报告在估价机构盖章和土地估价师签字的条件下有效。</w:t>
      </w:r>
    </w:p>
    <w:p w14:paraId="19A66946"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本次评估估价报告分为</w:t>
      </w:r>
      <w:r w:rsidRPr="00F631FB">
        <w:rPr>
          <w:rFonts w:ascii="Arial" w:eastAsia="仿宋_GB2312" w:hAnsi="Arial" w:cs="Arial"/>
          <w:sz w:val="28"/>
        </w:rPr>
        <w:t>“</w:t>
      </w:r>
      <w:r w:rsidRPr="00F631FB">
        <w:rPr>
          <w:rFonts w:ascii="Arial" w:eastAsia="仿宋_GB2312" w:hAnsi="Arial" w:cs="Arial"/>
          <w:sz w:val="28"/>
        </w:rPr>
        <w:t>土地估价报告</w:t>
      </w:r>
      <w:r w:rsidRPr="00F631FB">
        <w:rPr>
          <w:rFonts w:ascii="Arial" w:eastAsia="仿宋_GB2312" w:hAnsi="Arial" w:cs="Arial"/>
          <w:sz w:val="28"/>
        </w:rPr>
        <w:t>”</w:t>
      </w:r>
      <w:r w:rsidRPr="00F631FB">
        <w:rPr>
          <w:rFonts w:ascii="Arial" w:eastAsia="仿宋_GB2312" w:hAnsi="Arial" w:cs="Arial"/>
          <w:sz w:val="28"/>
        </w:rPr>
        <w:t>和</w:t>
      </w:r>
      <w:r w:rsidRPr="00F631FB">
        <w:rPr>
          <w:rFonts w:ascii="Arial" w:eastAsia="仿宋_GB2312" w:hAnsi="Arial" w:cs="Arial"/>
          <w:sz w:val="28"/>
        </w:rPr>
        <w:t>“</w:t>
      </w:r>
      <w:r w:rsidRPr="00F631FB">
        <w:rPr>
          <w:rFonts w:ascii="Arial" w:eastAsia="仿宋_GB2312" w:hAnsi="Arial" w:cs="Arial"/>
          <w:sz w:val="28"/>
        </w:rPr>
        <w:t>土地估价技术报告</w:t>
      </w:r>
      <w:r w:rsidRPr="00F631FB">
        <w:rPr>
          <w:rFonts w:ascii="Arial" w:eastAsia="仿宋_GB2312" w:hAnsi="Arial" w:cs="Arial"/>
          <w:sz w:val="28"/>
        </w:rPr>
        <w:t>”</w:t>
      </w:r>
      <w:r w:rsidRPr="00F631FB">
        <w:rPr>
          <w:rFonts w:ascii="Arial" w:eastAsia="仿宋_GB2312" w:hAnsi="Arial" w:cs="Arial"/>
          <w:sz w:val="28"/>
        </w:rPr>
        <w:t>两部分，</w:t>
      </w:r>
      <w:r w:rsidRPr="00F631FB">
        <w:rPr>
          <w:rFonts w:ascii="Arial" w:eastAsia="仿宋_GB2312" w:hAnsi="Arial" w:cs="Arial"/>
          <w:sz w:val="28"/>
        </w:rPr>
        <w:t>“</w:t>
      </w:r>
      <w:r w:rsidRPr="00F631FB">
        <w:rPr>
          <w:rFonts w:ascii="Arial" w:eastAsia="仿宋_GB2312" w:hAnsi="Arial" w:cs="Arial"/>
          <w:sz w:val="28"/>
        </w:rPr>
        <w:t>土地估价报告</w:t>
      </w:r>
      <w:r w:rsidRPr="00F631FB">
        <w:rPr>
          <w:rFonts w:ascii="Arial" w:eastAsia="仿宋_GB2312" w:hAnsi="Arial" w:cs="Arial"/>
          <w:sz w:val="28"/>
        </w:rPr>
        <w:t>”</w:t>
      </w:r>
      <w:proofErr w:type="gramStart"/>
      <w:r w:rsidRPr="00F631FB">
        <w:rPr>
          <w:rFonts w:ascii="Arial" w:eastAsia="仿宋_GB2312" w:hAnsi="Arial" w:cs="Arial"/>
          <w:sz w:val="28"/>
        </w:rPr>
        <w:t>供委托</w:t>
      </w:r>
      <w:proofErr w:type="gramEnd"/>
      <w:r w:rsidRPr="00F631FB">
        <w:rPr>
          <w:rFonts w:ascii="Arial" w:eastAsia="仿宋_GB2312" w:hAnsi="Arial" w:cs="Arial"/>
          <w:sz w:val="28"/>
        </w:rPr>
        <w:t>估价方使用，</w:t>
      </w:r>
      <w:r w:rsidRPr="00F631FB">
        <w:rPr>
          <w:rFonts w:ascii="Arial" w:eastAsia="仿宋_GB2312" w:hAnsi="Arial" w:cs="Arial"/>
          <w:sz w:val="28"/>
        </w:rPr>
        <w:t>“</w:t>
      </w:r>
      <w:r w:rsidRPr="00F631FB">
        <w:rPr>
          <w:rFonts w:ascii="Arial" w:eastAsia="仿宋_GB2312" w:hAnsi="Arial" w:cs="Arial"/>
          <w:sz w:val="28"/>
        </w:rPr>
        <w:t>土地估价技术报告</w:t>
      </w:r>
      <w:r w:rsidRPr="00F631FB">
        <w:rPr>
          <w:rFonts w:ascii="Arial" w:eastAsia="仿宋_GB2312" w:hAnsi="Arial" w:cs="Arial"/>
          <w:sz w:val="28"/>
        </w:rPr>
        <w:t>”</w:t>
      </w:r>
      <w:r w:rsidRPr="00F631FB">
        <w:rPr>
          <w:rFonts w:ascii="Arial" w:eastAsia="仿宋_GB2312" w:hAnsi="Arial" w:cs="Arial"/>
          <w:sz w:val="28"/>
        </w:rPr>
        <w:t>仅供估价机构存档和作为估价结果提交房屋土地管理部门确认或备案时的附件。</w:t>
      </w:r>
    </w:p>
    <w:p w14:paraId="20214EDE"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6.</w:t>
      </w:r>
      <w:r w:rsidRPr="00F631FB">
        <w:rPr>
          <w:rFonts w:ascii="Arial" w:eastAsia="仿宋_GB2312" w:hAnsi="Arial" w:cs="Arial"/>
          <w:sz w:val="28"/>
        </w:rPr>
        <w:t>本估价报告只能由估价报告载明的报告使用者使用，且只能用于本报告载明的唯一估价目的和用途。</w:t>
      </w:r>
    </w:p>
    <w:p w14:paraId="38DB5A1D"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7.</w:t>
      </w:r>
      <w:r w:rsidRPr="00F631FB">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21CDE9B"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lastRenderedPageBreak/>
        <w:t>8.</w:t>
      </w:r>
      <w:r w:rsidRPr="00F631FB">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3894B281"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9.</w:t>
      </w:r>
      <w:r w:rsidRPr="00F631FB">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3B90E2AB" w14:textId="0F6F6D3B"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10.</w:t>
      </w:r>
      <w:r w:rsidRPr="00F631FB">
        <w:rPr>
          <w:rFonts w:ascii="Arial" w:eastAsia="仿宋_GB2312" w:hAnsi="Arial" w:cs="Arial"/>
          <w:sz w:val="28"/>
        </w:rPr>
        <w:t>本报告所确定的土地价格</w:t>
      </w:r>
      <w:r w:rsidR="009F133A" w:rsidRPr="00F631FB">
        <w:rPr>
          <w:rFonts w:ascii="Arial" w:eastAsia="仿宋_GB2312" w:hAnsi="Arial" w:cs="Arial"/>
          <w:sz w:val="28"/>
        </w:rPr>
        <w:t>为北京市规划和自然资源委员会办理该项目</w:t>
      </w:r>
      <w:r w:rsidR="009F133A" w:rsidRPr="00927BB2">
        <w:rPr>
          <w:rFonts w:ascii="Arial" w:eastAsia="仿宋_GB2312" w:hAnsi="Arial" w:cs="Arial" w:hint="eastAsia"/>
          <w:sz w:val="28"/>
        </w:rPr>
        <w:t>一次性招标</w:t>
      </w:r>
      <w:r w:rsidR="009F133A">
        <w:rPr>
          <w:rFonts w:ascii="Arial" w:eastAsia="仿宋_GB2312" w:hAnsi="Arial" w:cs="Arial" w:hint="eastAsia"/>
          <w:sz w:val="28"/>
        </w:rPr>
        <w:t>出让手续</w:t>
      </w:r>
      <w:r w:rsidR="009F133A" w:rsidRPr="00F631FB">
        <w:rPr>
          <w:rFonts w:ascii="Arial" w:eastAsia="仿宋_GB2312" w:hAnsi="Arial" w:cs="Arial"/>
          <w:sz w:val="28"/>
        </w:rPr>
        <w:t>提供参考</w:t>
      </w:r>
      <w:r w:rsidR="009F133A" w:rsidRPr="00F631FB">
        <w:rPr>
          <w:rFonts w:ascii="Arial" w:eastAsia="仿宋_GB2312" w:hAnsi="Arial" w:cs="Arial" w:hint="eastAsia"/>
          <w:sz w:val="28"/>
        </w:rPr>
        <w:t>依据</w:t>
      </w:r>
      <w:r w:rsidRPr="00F631FB">
        <w:rPr>
          <w:rFonts w:ascii="Arial" w:eastAsia="仿宋_GB2312" w:hAnsi="Arial" w:cs="Arial"/>
          <w:sz w:val="28"/>
          <w:szCs w:val="28"/>
        </w:rPr>
        <w:t>。土地出让属于政府行为，办理出让应缴纳的地价款以北京市规划和自然资源委员会最终审定结果为准。</w:t>
      </w:r>
      <w:r w:rsidRPr="00F631FB">
        <w:rPr>
          <w:rFonts w:ascii="Arial" w:eastAsia="仿宋_GB2312" w:hAnsi="Arial" w:cs="Arial"/>
          <w:sz w:val="28"/>
        </w:rPr>
        <w:t>若违反特定用途使用本土地评估报告和估价结果，由此引出的一切法律责任由使用者自负。</w:t>
      </w:r>
    </w:p>
    <w:p w14:paraId="405491DD" w14:textId="0E7AAD96"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11.</w:t>
      </w:r>
      <w:r w:rsidRPr="00F631FB">
        <w:rPr>
          <w:rFonts w:ascii="Arial" w:eastAsia="仿宋_GB2312" w:hAnsi="Arial" w:cs="Arial"/>
          <w:kern w:val="2"/>
          <w:sz w:val="28"/>
        </w:rPr>
        <w:t>本估价</w:t>
      </w:r>
      <w:proofErr w:type="gramStart"/>
      <w:r w:rsidRPr="00F631FB">
        <w:rPr>
          <w:rFonts w:ascii="Arial" w:eastAsia="仿宋_GB2312" w:hAnsi="Arial" w:cs="Arial"/>
          <w:kern w:val="2"/>
          <w:sz w:val="28"/>
        </w:rPr>
        <w:t>报告自报告</w:t>
      </w:r>
      <w:proofErr w:type="gramEnd"/>
      <w:r w:rsidRPr="00F631FB">
        <w:rPr>
          <w:rFonts w:ascii="Arial" w:eastAsia="仿宋_GB2312" w:hAnsi="Arial" w:cs="Arial"/>
          <w:kern w:val="2"/>
          <w:sz w:val="28"/>
        </w:rPr>
        <w:t>出具日起计算，至</w:t>
      </w:r>
      <w:r w:rsidR="00F81F06">
        <w:rPr>
          <w:rFonts w:ascii="Arial" w:eastAsia="仿宋_GB2312" w:hAnsi="Arial" w:cs="Arial"/>
          <w:kern w:val="2"/>
          <w:sz w:val="28"/>
        </w:rPr>
        <w:t>2022</w:t>
      </w:r>
      <w:r w:rsidR="00F81F06">
        <w:rPr>
          <w:rFonts w:ascii="Arial" w:eastAsia="仿宋_GB2312" w:hAnsi="Arial" w:cs="Arial"/>
          <w:kern w:val="2"/>
          <w:sz w:val="28"/>
        </w:rPr>
        <w:t>年</w:t>
      </w:r>
      <w:r w:rsidR="00F81F06">
        <w:rPr>
          <w:rFonts w:ascii="Arial" w:eastAsia="仿宋_GB2312" w:hAnsi="Arial" w:cs="Arial"/>
          <w:kern w:val="2"/>
          <w:sz w:val="28"/>
        </w:rPr>
        <w:t>11</w:t>
      </w:r>
      <w:r w:rsidR="00F81F06">
        <w:rPr>
          <w:rFonts w:ascii="Arial" w:eastAsia="仿宋_GB2312" w:hAnsi="Arial" w:cs="Arial"/>
          <w:kern w:val="2"/>
          <w:sz w:val="28"/>
        </w:rPr>
        <w:t>月</w:t>
      </w:r>
      <w:r w:rsidR="00F81F06">
        <w:rPr>
          <w:rFonts w:ascii="Arial" w:eastAsia="仿宋_GB2312" w:hAnsi="Arial" w:cs="Arial"/>
          <w:kern w:val="2"/>
          <w:sz w:val="28"/>
        </w:rPr>
        <w:t>30</w:t>
      </w:r>
      <w:r w:rsidR="00F81F06">
        <w:rPr>
          <w:rFonts w:ascii="Arial" w:eastAsia="仿宋_GB2312" w:hAnsi="Arial" w:cs="Arial"/>
          <w:kern w:val="2"/>
          <w:sz w:val="28"/>
        </w:rPr>
        <w:t>日</w:t>
      </w:r>
      <w:r w:rsidRPr="00F631FB">
        <w:rPr>
          <w:rFonts w:ascii="Arial" w:eastAsia="仿宋_GB2312" w:hAnsi="Arial" w:cs="Arial"/>
          <w:kern w:val="2"/>
          <w:sz w:val="28"/>
        </w:rPr>
        <w:t>有效。</w:t>
      </w:r>
    </w:p>
    <w:p w14:paraId="076C99AA"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楷体_GB2312" w:hAnsi="Arial" w:cs="Arial"/>
          <w:kern w:val="2"/>
          <w:sz w:val="28"/>
        </w:rPr>
        <w:t>12</w:t>
      </w:r>
      <w:r w:rsidRPr="00F631FB">
        <w:rPr>
          <w:rFonts w:ascii="Arial" w:eastAsia="仿宋_GB2312" w:hAnsi="Arial" w:cs="Arial"/>
          <w:sz w:val="28"/>
        </w:rPr>
        <w:t>.</w:t>
      </w:r>
      <w:r w:rsidRPr="00F631FB">
        <w:rPr>
          <w:rFonts w:ascii="Arial" w:eastAsia="仿宋_GB2312" w:hAnsi="Arial" w:cs="Arial"/>
          <w:sz w:val="28"/>
        </w:rPr>
        <w:t>本次土地估价报告的使用权归</w:t>
      </w:r>
      <w:r w:rsidRPr="00F631FB">
        <w:rPr>
          <w:rFonts w:ascii="Arial" w:eastAsia="仿宋_GB2312" w:hAnsi="Arial" w:cs="Arial"/>
          <w:sz w:val="28"/>
          <w:szCs w:val="28"/>
        </w:rPr>
        <w:t>北京市土地利用事务中心</w:t>
      </w:r>
      <w:r w:rsidRPr="00F631FB">
        <w:rPr>
          <w:rFonts w:ascii="Arial" w:eastAsia="仿宋_GB2312" w:hAnsi="Arial" w:cs="Arial"/>
          <w:sz w:val="28"/>
        </w:rPr>
        <w:t>，土地估价报告由</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基房地产评估有限公司负责解释。</w:t>
      </w:r>
    </w:p>
    <w:p w14:paraId="6C4FC215"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（三）需要特殊说明的事项</w:t>
      </w:r>
    </w:p>
    <w:p w14:paraId="4AD589BA"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资料来源说明</w:t>
      </w:r>
    </w:p>
    <w:p w14:paraId="7D118633"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）估价对象的土地、房屋权属资料、土地利用状况、评估项目相关资料由委托估价方提供。</w:t>
      </w:r>
    </w:p>
    <w:p w14:paraId="2456465E"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）土地区位条件、地产市场交易资料、土地利用现状照片等相关资料由评估专业人员实地调查取得。</w:t>
      </w:r>
    </w:p>
    <w:p w14:paraId="1CD65719"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）区域经济发展状况、统计数据、城市规划资料、基准地价资料等由评估专业人员通过政府相关部门获取。</w:t>
      </w:r>
    </w:p>
    <w:p w14:paraId="65D8107A"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）估价中的相关参数资料由评估专业人员通过政府部门相关文件规定、公开媒体等多种途径获取。</w:t>
      </w:r>
    </w:p>
    <w:p w14:paraId="2CFD1394"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）评估专业人员结合执业经验，对上述相关评估资料的真实性、合法</w:t>
      </w:r>
      <w:r w:rsidRPr="00F631FB">
        <w:rPr>
          <w:rFonts w:ascii="Arial" w:eastAsia="仿宋_GB2312" w:hAnsi="Arial" w:cs="Arial"/>
          <w:sz w:val="28"/>
        </w:rPr>
        <w:lastRenderedPageBreak/>
        <w:t>性、有效性、适用性进行了尽职核实、专业判断。委托估价方对所提供资料的真实性负责，估价机构对所收集资料的真实性、准确性负责。</w:t>
      </w:r>
    </w:p>
    <w:p w14:paraId="03E4E6E4"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有关参数确定及使用说明</w:t>
      </w:r>
    </w:p>
    <w:p w14:paraId="7F7A6F4C" w14:textId="7D094433"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w:t>
      </w:r>
      <w:r w:rsidR="00C70DD8">
        <w:rPr>
          <w:rFonts w:ascii="Arial" w:eastAsia="仿宋_GB2312" w:hAnsi="Arial" w:cs="Arial" w:hint="eastAsia"/>
          <w:sz w:val="28"/>
        </w:rPr>
        <w:t>依据《北京市规划和自然资源委员会关于北京市海淀区苏州街站一体化棚户区改造项目用地相关意见及设计方案审查意见的函（城镇建筑工程）》</w:t>
      </w:r>
      <w:r w:rsidR="00C70DD8">
        <w:rPr>
          <w:rFonts w:ascii="Arial" w:eastAsia="仿宋_GB2312" w:hAnsi="Arial" w:cs="Arial"/>
          <w:sz w:val="28"/>
        </w:rPr>
        <w:t>[2019</w:t>
      </w:r>
      <w:proofErr w:type="gramStart"/>
      <w:r w:rsidR="00C70DD8">
        <w:rPr>
          <w:rFonts w:ascii="Arial" w:eastAsia="仿宋_GB2312" w:hAnsi="Arial" w:cs="Arial" w:hint="eastAsia"/>
          <w:sz w:val="28"/>
        </w:rPr>
        <w:t>规</w:t>
      </w:r>
      <w:proofErr w:type="gramEnd"/>
      <w:r w:rsidR="00C70DD8">
        <w:rPr>
          <w:rFonts w:ascii="Arial" w:eastAsia="仿宋_GB2312" w:hAnsi="Arial" w:cs="Arial" w:hint="eastAsia"/>
          <w:sz w:val="28"/>
        </w:rPr>
        <w:t>自（海）</w:t>
      </w:r>
      <w:proofErr w:type="gramStart"/>
      <w:r w:rsidR="00C70DD8">
        <w:rPr>
          <w:rFonts w:ascii="Arial" w:eastAsia="仿宋_GB2312" w:hAnsi="Arial" w:cs="Arial" w:hint="eastAsia"/>
          <w:sz w:val="28"/>
        </w:rPr>
        <w:t>审改试点函</w:t>
      </w:r>
      <w:proofErr w:type="gramEnd"/>
      <w:r w:rsidR="00C70DD8">
        <w:rPr>
          <w:rFonts w:ascii="Arial" w:eastAsia="仿宋_GB2312" w:hAnsi="Arial" w:cs="Arial" w:hint="eastAsia"/>
          <w:sz w:val="28"/>
        </w:rPr>
        <w:t>字</w:t>
      </w:r>
      <w:r w:rsidR="00C70DD8">
        <w:rPr>
          <w:rFonts w:ascii="Arial" w:eastAsia="仿宋_GB2312" w:hAnsi="Arial" w:cs="Arial"/>
          <w:sz w:val="28"/>
        </w:rPr>
        <w:t>0001</w:t>
      </w:r>
      <w:r w:rsidR="00C70DD8">
        <w:rPr>
          <w:rFonts w:ascii="Arial" w:eastAsia="仿宋_GB2312" w:hAnsi="Arial" w:cs="Arial" w:hint="eastAsia"/>
          <w:sz w:val="28"/>
        </w:rPr>
        <w:t>号</w:t>
      </w:r>
      <w:r w:rsidR="00C70DD8">
        <w:rPr>
          <w:rFonts w:ascii="Arial" w:eastAsia="仿宋_GB2312" w:hAnsi="Arial" w:cs="Arial"/>
          <w:sz w:val="28"/>
        </w:rPr>
        <w:t>]</w:t>
      </w:r>
      <w:r w:rsidR="00C70DD8">
        <w:rPr>
          <w:rFonts w:ascii="Arial" w:eastAsia="仿宋_GB2312" w:hAnsi="Arial" w:cs="Arial" w:hint="eastAsia"/>
          <w:sz w:val="28"/>
        </w:rPr>
        <w:t>及其附图、《海淀区苏州街一体化棚户区改造项目建筑面积及用途的说明》及其附表记载，估价对象总用地面积</w:t>
      </w:r>
      <w:r w:rsidR="00C70DD8">
        <w:rPr>
          <w:rFonts w:ascii="Arial" w:eastAsia="仿宋_GB2312" w:hAnsi="Arial" w:cs="Arial"/>
          <w:sz w:val="28"/>
        </w:rPr>
        <w:t>6180.978</w:t>
      </w:r>
      <w:r w:rsidR="00C70DD8">
        <w:rPr>
          <w:rFonts w:ascii="Arial" w:eastAsia="仿宋_GB2312" w:hAnsi="Arial" w:cs="Arial" w:hint="eastAsia"/>
          <w:sz w:val="28"/>
        </w:rPr>
        <w:t>平方米，均为建设用地。总规划建筑面积</w:t>
      </w:r>
      <w:r w:rsidR="00C70DD8">
        <w:rPr>
          <w:rFonts w:ascii="Arial" w:eastAsia="仿宋_GB2312" w:hAnsi="Arial" w:cs="Arial"/>
          <w:sz w:val="28"/>
        </w:rPr>
        <w:t>46793</w:t>
      </w:r>
      <w:r w:rsidR="00C70DD8">
        <w:rPr>
          <w:rFonts w:ascii="Arial" w:eastAsia="仿宋_GB2312" w:hAnsi="Arial" w:cs="Arial" w:hint="eastAsia"/>
          <w:sz w:val="28"/>
        </w:rPr>
        <w:t>平方米，其中，地上总规划建筑面积</w:t>
      </w:r>
      <w:r w:rsidR="00C70DD8">
        <w:rPr>
          <w:rFonts w:ascii="Arial" w:eastAsia="仿宋_GB2312" w:hAnsi="Arial" w:cs="Arial"/>
          <w:sz w:val="28"/>
        </w:rPr>
        <w:t>31511</w:t>
      </w:r>
      <w:r w:rsidR="00C70DD8">
        <w:rPr>
          <w:rFonts w:ascii="Arial" w:eastAsia="仿宋_GB2312" w:hAnsi="Arial" w:cs="Arial" w:hint="eastAsia"/>
          <w:sz w:val="28"/>
        </w:rPr>
        <w:t>平方米（其中，住宅用房</w:t>
      </w:r>
      <w:r w:rsidR="00C70DD8">
        <w:rPr>
          <w:rFonts w:ascii="Arial" w:eastAsia="仿宋_GB2312" w:hAnsi="Arial" w:cs="Arial"/>
          <w:sz w:val="28"/>
        </w:rPr>
        <w:t>28075</w:t>
      </w:r>
      <w:r w:rsidR="00C70DD8">
        <w:rPr>
          <w:rFonts w:ascii="Arial" w:eastAsia="仿宋_GB2312" w:hAnsi="Arial" w:cs="Arial" w:hint="eastAsia"/>
          <w:sz w:val="28"/>
        </w:rPr>
        <w:t>平方米（包含回迁安置房</w:t>
      </w:r>
      <w:r w:rsidR="00C70DD8">
        <w:rPr>
          <w:rFonts w:ascii="Arial" w:eastAsia="仿宋_GB2312" w:hAnsi="Arial" w:cs="Arial"/>
          <w:sz w:val="28"/>
        </w:rPr>
        <w:t>13920.98</w:t>
      </w:r>
      <w:r w:rsidR="00C70DD8">
        <w:rPr>
          <w:rFonts w:ascii="Arial" w:eastAsia="仿宋_GB2312" w:hAnsi="Arial" w:cs="Arial" w:hint="eastAsia"/>
          <w:sz w:val="28"/>
        </w:rPr>
        <w:t>平方米、平衡资金商品房</w:t>
      </w:r>
      <w:r w:rsidR="00C70DD8">
        <w:rPr>
          <w:rFonts w:ascii="Arial" w:eastAsia="仿宋_GB2312" w:hAnsi="Arial" w:cs="Arial"/>
          <w:sz w:val="28"/>
        </w:rPr>
        <w:t>13794.02</w:t>
      </w:r>
      <w:r w:rsidR="00C70DD8">
        <w:rPr>
          <w:rFonts w:ascii="Arial" w:eastAsia="仿宋_GB2312" w:hAnsi="Arial" w:cs="Arial" w:hint="eastAsia"/>
          <w:sz w:val="28"/>
        </w:rPr>
        <w:t>平方米、人防室外出入口及其他</w:t>
      </w:r>
      <w:r w:rsidR="00C70DD8">
        <w:rPr>
          <w:rFonts w:ascii="Arial" w:eastAsia="仿宋_GB2312" w:hAnsi="Arial" w:cs="Arial"/>
          <w:sz w:val="28"/>
        </w:rPr>
        <w:t>360</w:t>
      </w:r>
      <w:r w:rsidR="00C70DD8">
        <w:rPr>
          <w:rFonts w:ascii="Arial" w:eastAsia="仿宋_GB2312" w:hAnsi="Arial" w:cs="Arial" w:hint="eastAsia"/>
          <w:sz w:val="28"/>
        </w:rPr>
        <w:t>平方米），商业用房</w:t>
      </w:r>
      <w:r w:rsidR="00C70DD8">
        <w:rPr>
          <w:rFonts w:ascii="Arial" w:eastAsia="仿宋_GB2312" w:hAnsi="Arial" w:cs="Arial"/>
          <w:sz w:val="28"/>
        </w:rPr>
        <w:t>3318</w:t>
      </w:r>
      <w:r w:rsidR="00C70DD8">
        <w:rPr>
          <w:rFonts w:ascii="Arial" w:eastAsia="仿宋_GB2312" w:hAnsi="Arial" w:cs="Arial" w:hint="eastAsia"/>
          <w:sz w:val="28"/>
        </w:rPr>
        <w:t>平方米（包含回迁安置</w:t>
      </w:r>
      <w:proofErr w:type="gramStart"/>
      <w:r w:rsidR="00C70DD8">
        <w:rPr>
          <w:rFonts w:ascii="Arial" w:eastAsia="仿宋_GB2312" w:hAnsi="Arial" w:cs="Arial" w:hint="eastAsia"/>
          <w:sz w:val="28"/>
        </w:rPr>
        <w:t>房配套</w:t>
      </w:r>
      <w:proofErr w:type="gramEnd"/>
      <w:r w:rsidR="00C70DD8">
        <w:rPr>
          <w:rFonts w:ascii="Arial" w:eastAsia="仿宋_GB2312" w:hAnsi="Arial" w:cs="Arial" w:hint="eastAsia"/>
          <w:sz w:val="28"/>
        </w:rPr>
        <w:t>商业用房</w:t>
      </w:r>
      <w:r w:rsidR="00C70DD8">
        <w:rPr>
          <w:rFonts w:ascii="Arial" w:eastAsia="仿宋_GB2312" w:hAnsi="Arial" w:cs="Arial"/>
          <w:sz w:val="28"/>
        </w:rPr>
        <w:t>260</w:t>
      </w:r>
      <w:r w:rsidR="00C70DD8">
        <w:rPr>
          <w:rFonts w:ascii="Arial" w:eastAsia="仿宋_GB2312" w:hAnsi="Arial" w:cs="Arial" w:hint="eastAsia"/>
          <w:sz w:val="28"/>
        </w:rPr>
        <w:t>平方米、平衡资金商品房配套商业用房</w:t>
      </w:r>
      <w:r w:rsidR="00C70DD8">
        <w:rPr>
          <w:rFonts w:ascii="Arial" w:eastAsia="仿宋_GB2312" w:hAnsi="Arial" w:cs="Arial"/>
          <w:sz w:val="28"/>
        </w:rPr>
        <w:t>3045</w:t>
      </w:r>
      <w:r w:rsidR="00C70DD8">
        <w:rPr>
          <w:rFonts w:ascii="Arial" w:eastAsia="仿宋_GB2312" w:hAnsi="Arial" w:cs="Arial" w:hint="eastAsia"/>
          <w:sz w:val="28"/>
        </w:rPr>
        <w:t>平方米、小型商服用房</w:t>
      </w:r>
      <w:r w:rsidR="00C70DD8">
        <w:rPr>
          <w:rFonts w:ascii="Arial" w:eastAsia="仿宋_GB2312" w:hAnsi="Arial" w:cs="Arial"/>
          <w:sz w:val="28"/>
        </w:rPr>
        <w:t>13</w:t>
      </w:r>
      <w:r w:rsidR="00C70DD8">
        <w:rPr>
          <w:rFonts w:ascii="Arial" w:eastAsia="仿宋_GB2312" w:hAnsi="Arial" w:cs="Arial" w:hint="eastAsia"/>
          <w:sz w:val="28"/>
        </w:rPr>
        <w:t>平方米），办公用房（物业管理用房）</w:t>
      </w:r>
      <w:r w:rsidR="00C70DD8">
        <w:rPr>
          <w:rFonts w:ascii="Arial" w:eastAsia="仿宋_GB2312" w:hAnsi="Arial" w:cs="Arial"/>
          <w:sz w:val="28"/>
        </w:rPr>
        <w:t>118</w:t>
      </w:r>
      <w:r w:rsidR="00C70DD8">
        <w:rPr>
          <w:rFonts w:ascii="Arial" w:eastAsia="仿宋_GB2312" w:hAnsi="Arial" w:cs="Arial" w:hint="eastAsia"/>
          <w:sz w:val="28"/>
        </w:rPr>
        <w:t>平方米），地下总规划建筑面积</w:t>
      </w:r>
      <w:r w:rsidR="00C70DD8">
        <w:rPr>
          <w:rFonts w:ascii="Arial" w:eastAsia="仿宋_GB2312" w:hAnsi="Arial" w:cs="Arial"/>
          <w:sz w:val="28"/>
        </w:rPr>
        <w:t>15282</w:t>
      </w:r>
      <w:r w:rsidR="00C70DD8">
        <w:rPr>
          <w:rFonts w:ascii="Arial" w:eastAsia="仿宋_GB2312" w:hAnsi="Arial" w:cs="Arial" w:hint="eastAsia"/>
          <w:sz w:val="28"/>
        </w:rPr>
        <w:t>平方米（其中，地下办公用房（物业管理用房）</w:t>
      </w:r>
      <w:r w:rsidR="00C70DD8">
        <w:rPr>
          <w:rFonts w:ascii="Arial" w:eastAsia="仿宋_GB2312" w:hAnsi="Arial" w:cs="Arial"/>
          <w:sz w:val="28"/>
        </w:rPr>
        <w:t>32</w:t>
      </w:r>
      <w:r w:rsidR="00C70DD8">
        <w:rPr>
          <w:rFonts w:ascii="Arial" w:eastAsia="仿宋_GB2312" w:hAnsi="Arial" w:cs="Arial" w:hint="eastAsia"/>
          <w:sz w:val="28"/>
        </w:rPr>
        <w:t>平方米、地下车库（汽车库）</w:t>
      </w:r>
      <w:r w:rsidR="00C70DD8">
        <w:rPr>
          <w:rFonts w:ascii="Arial" w:eastAsia="仿宋_GB2312" w:hAnsi="Arial" w:cs="Arial"/>
          <w:sz w:val="28"/>
        </w:rPr>
        <w:t>10345.02</w:t>
      </w:r>
      <w:r w:rsidR="00C70DD8">
        <w:rPr>
          <w:rFonts w:ascii="Arial" w:eastAsia="仿宋_GB2312" w:hAnsi="Arial" w:cs="Arial" w:hint="eastAsia"/>
          <w:sz w:val="28"/>
        </w:rPr>
        <w:t>平方米、自行车库</w:t>
      </w:r>
      <w:r w:rsidR="00C70DD8">
        <w:rPr>
          <w:rFonts w:ascii="Arial" w:eastAsia="仿宋_GB2312" w:hAnsi="Arial" w:cs="Arial"/>
          <w:sz w:val="28"/>
        </w:rPr>
        <w:t>227</w:t>
      </w:r>
      <w:r w:rsidR="00C70DD8">
        <w:rPr>
          <w:rFonts w:ascii="Arial" w:eastAsia="仿宋_GB2312" w:hAnsi="Arial" w:cs="Arial" w:hint="eastAsia"/>
          <w:sz w:val="28"/>
        </w:rPr>
        <w:t>平方米、人防</w:t>
      </w:r>
      <w:r w:rsidR="00C70DD8">
        <w:rPr>
          <w:rFonts w:ascii="Arial" w:eastAsia="仿宋_GB2312" w:hAnsi="Arial" w:cs="Arial"/>
          <w:sz w:val="28"/>
        </w:rPr>
        <w:t>3600.98</w:t>
      </w:r>
      <w:r w:rsidR="00C70DD8">
        <w:rPr>
          <w:rFonts w:ascii="Arial" w:eastAsia="仿宋_GB2312" w:hAnsi="Arial" w:cs="Arial" w:hint="eastAsia"/>
          <w:sz w:val="28"/>
        </w:rPr>
        <w:t>平方米，非经营性用房</w:t>
      </w:r>
      <w:r w:rsidR="00C70DD8">
        <w:rPr>
          <w:rFonts w:ascii="Arial" w:eastAsia="仿宋_GB2312" w:hAnsi="Arial" w:cs="Arial"/>
          <w:sz w:val="28"/>
        </w:rPr>
        <w:t>1077</w:t>
      </w:r>
      <w:r w:rsidR="00C70DD8">
        <w:rPr>
          <w:rFonts w:ascii="Arial" w:eastAsia="仿宋_GB2312" w:hAnsi="Arial" w:cs="Arial" w:hint="eastAsia"/>
          <w:sz w:val="28"/>
        </w:rPr>
        <w:t>平方米）。若上述条件发生变化，评估结果作相应调整。</w:t>
      </w:r>
    </w:p>
    <w:p w14:paraId="170CB8D6" w14:textId="1CD06F8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bookmarkStart w:id="136" w:name="_Hlk79697750"/>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）本次需评估</w:t>
      </w:r>
      <w:r w:rsidRPr="00F631FB">
        <w:rPr>
          <w:rFonts w:ascii="Arial" w:eastAsia="仿宋_GB2312" w:hAnsi="Arial" w:cs="Arial" w:hint="eastAsia"/>
          <w:sz w:val="28"/>
        </w:rPr>
        <w:t>地下办公</w:t>
      </w:r>
      <w:r w:rsidRPr="00F631FB">
        <w:rPr>
          <w:rFonts w:ascii="Arial" w:eastAsia="仿宋_GB2312" w:hAnsi="Arial" w:cs="Arial"/>
          <w:sz w:val="28"/>
        </w:rPr>
        <w:t>地价，依据北京房地产估价师和土地估价师与不动产登记代理人协会下发的</w:t>
      </w:r>
      <w:r w:rsidR="00C70DD8">
        <w:rPr>
          <w:rFonts w:ascii="Arial" w:eastAsia="仿宋_GB2312" w:hAnsi="Arial" w:cs="Arial"/>
          <w:sz w:val="28"/>
        </w:rPr>
        <w:t>关于发布《北京市</w:t>
      </w:r>
      <w:r w:rsidR="00C70DD8">
        <w:rPr>
          <w:rFonts w:ascii="Arial" w:eastAsia="仿宋_GB2312" w:hAnsi="Arial" w:cs="Arial"/>
          <w:sz w:val="28"/>
        </w:rPr>
        <w:t>“</w:t>
      </w:r>
      <w:r w:rsidR="00C70DD8">
        <w:rPr>
          <w:rFonts w:ascii="Arial" w:eastAsia="仿宋_GB2312" w:hAnsi="Arial" w:cs="Arial"/>
          <w:sz w:val="28"/>
        </w:rPr>
        <w:t>地下空间</w:t>
      </w:r>
      <w:r w:rsidR="00C70DD8">
        <w:rPr>
          <w:rFonts w:ascii="Arial" w:eastAsia="仿宋_GB2312" w:hAnsi="Arial" w:cs="Arial"/>
          <w:sz w:val="28"/>
        </w:rPr>
        <w:t>”</w:t>
      </w:r>
      <w:r w:rsidR="00C70DD8">
        <w:rPr>
          <w:rFonts w:ascii="Arial" w:eastAsia="仿宋_GB2312" w:hAnsi="Arial" w:cs="Arial"/>
          <w:sz w:val="28"/>
        </w:rPr>
        <w:t>使用权协议出让地价评估技术更新的说明》的通知（</w:t>
      </w:r>
      <w:proofErr w:type="gramStart"/>
      <w:r w:rsidR="00C70DD8">
        <w:rPr>
          <w:rFonts w:ascii="Arial" w:eastAsia="仿宋_GB2312" w:hAnsi="Arial" w:cs="Arial"/>
          <w:sz w:val="28"/>
        </w:rPr>
        <w:t>北估秘</w:t>
      </w:r>
      <w:proofErr w:type="gramEnd"/>
      <w:r w:rsidR="00C70DD8">
        <w:rPr>
          <w:rFonts w:ascii="Arial" w:eastAsia="仿宋_GB2312" w:hAnsi="Arial" w:cs="Arial"/>
          <w:sz w:val="28"/>
        </w:rPr>
        <w:t>[2019]002</w:t>
      </w:r>
      <w:r w:rsidR="00C70DD8">
        <w:rPr>
          <w:rFonts w:ascii="Arial" w:eastAsia="仿宋_GB2312" w:hAnsi="Arial" w:cs="Arial"/>
          <w:sz w:val="28"/>
        </w:rPr>
        <w:t>号）</w:t>
      </w:r>
      <w:r w:rsidRPr="00F631FB">
        <w:rPr>
          <w:rFonts w:ascii="Arial" w:eastAsia="仿宋_GB2312" w:hAnsi="Arial" w:cs="Arial"/>
          <w:sz w:val="28"/>
        </w:rPr>
        <w:t>技术文件，先评估地上</w:t>
      </w:r>
      <w:r w:rsidRPr="00F631FB">
        <w:rPr>
          <w:rFonts w:ascii="Arial" w:eastAsia="仿宋_GB2312" w:hAnsi="Arial" w:cs="Arial" w:hint="eastAsia"/>
          <w:sz w:val="28"/>
        </w:rPr>
        <w:t>办公</w:t>
      </w:r>
      <w:r w:rsidRPr="00F631FB">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确定。</w:t>
      </w:r>
    </w:p>
    <w:p w14:paraId="5E1BB7E4" w14:textId="2B51B513"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）本次需评估</w:t>
      </w:r>
      <w:r w:rsidR="009F133A">
        <w:rPr>
          <w:rFonts w:ascii="Arial" w:eastAsia="仿宋_GB2312" w:hAnsi="Arial" w:cs="Arial" w:hint="eastAsia"/>
          <w:sz w:val="28"/>
        </w:rPr>
        <w:t>地下车库</w:t>
      </w:r>
      <w:r w:rsidRPr="00F631FB">
        <w:rPr>
          <w:rFonts w:ascii="Arial" w:eastAsia="仿宋_GB2312" w:hAnsi="Arial" w:cs="Arial"/>
          <w:sz w:val="28"/>
        </w:rPr>
        <w:t>用途地价，依据北京房地产估价师和土地估价</w:t>
      </w:r>
      <w:r w:rsidRPr="00F631FB">
        <w:rPr>
          <w:rFonts w:ascii="Arial" w:eastAsia="仿宋_GB2312" w:hAnsi="Arial" w:cs="Arial"/>
          <w:sz w:val="28"/>
        </w:rPr>
        <w:lastRenderedPageBreak/>
        <w:t>师与不动产登记代理人协会下发的</w:t>
      </w:r>
      <w:r w:rsidR="00C70DD8">
        <w:rPr>
          <w:rFonts w:ascii="Arial" w:eastAsia="仿宋_GB2312" w:hAnsi="Arial" w:cs="Arial"/>
          <w:sz w:val="28"/>
        </w:rPr>
        <w:t>关于发布《北京市</w:t>
      </w:r>
      <w:r w:rsidR="00C70DD8">
        <w:rPr>
          <w:rFonts w:ascii="Arial" w:eastAsia="仿宋_GB2312" w:hAnsi="Arial" w:cs="Arial"/>
          <w:sz w:val="28"/>
        </w:rPr>
        <w:t>“</w:t>
      </w:r>
      <w:r w:rsidR="00C70DD8">
        <w:rPr>
          <w:rFonts w:ascii="Arial" w:eastAsia="仿宋_GB2312" w:hAnsi="Arial" w:cs="Arial"/>
          <w:sz w:val="28"/>
        </w:rPr>
        <w:t>地下空间</w:t>
      </w:r>
      <w:r w:rsidR="00C70DD8">
        <w:rPr>
          <w:rFonts w:ascii="Arial" w:eastAsia="仿宋_GB2312" w:hAnsi="Arial" w:cs="Arial"/>
          <w:sz w:val="28"/>
        </w:rPr>
        <w:t>”</w:t>
      </w:r>
      <w:r w:rsidR="00C70DD8">
        <w:rPr>
          <w:rFonts w:ascii="Arial" w:eastAsia="仿宋_GB2312" w:hAnsi="Arial" w:cs="Arial"/>
          <w:sz w:val="28"/>
        </w:rPr>
        <w:t>使用权协议出让地价评估技术更新的说明》的通知（</w:t>
      </w:r>
      <w:proofErr w:type="gramStart"/>
      <w:r w:rsidR="00C70DD8">
        <w:rPr>
          <w:rFonts w:ascii="Arial" w:eastAsia="仿宋_GB2312" w:hAnsi="Arial" w:cs="Arial"/>
          <w:sz w:val="28"/>
        </w:rPr>
        <w:t>北估秘</w:t>
      </w:r>
      <w:proofErr w:type="gramEnd"/>
      <w:r w:rsidR="00C70DD8">
        <w:rPr>
          <w:rFonts w:ascii="Arial" w:eastAsia="仿宋_GB2312" w:hAnsi="Arial" w:cs="Arial"/>
          <w:sz w:val="28"/>
        </w:rPr>
        <w:t>[2019]002</w:t>
      </w:r>
      <w:r w:rsidR="00C70DD8">
        <w:rPr>
          <w:rFonts w:ascii="Arial" w:eastAsia="仿宋_GB2312" w:hAnsi="Arial" w:cs="Arial"/>
          <w:sz w:val="28"/>
        </w:rPr>
        <w:t>号）</w:t>
      </w:r>
      <w:r w:rsidRPr="00F631FB">
        <w:rPr>
          <w:rFonts w:ascii="Arial" w:eastAsia="仿宋_GB2312" w:hAnsi="Arial" w:cs="Arial"/>
          <w:sz w:val="28"/>
        </w:rPr>
        <w:t>技术文件，先评估</w:t>
      </w:r>
      <w:r w:rsidRPr="00F631FB">
        <w:rPr>
          <w:rFonts w:ascii="Arial" w:eastAsia="仿宋_GB2312" w:hAnsi="Arial" w:cs="Arial" w:hint="eastAsia"/>
          <w:sz w:val="28"/>
        </w:rPr>
        <w:t>地上住宅</w:t>
      </w:r>
      <w:r w:rsidRPr="00F631FB">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确定。</w:t>
      </w:r>
    </w:p>
    <w:p w14:paraId="686A90F9"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）根据</w:t>
      </w:r>
      <w:r w:rsidRPr="00F631FB">
        <w:rPr>
          <w:rFonts w:ascii="Arial" w:eastAsia="仿宋_GB2312" w:hAnsi="Arial" w:cs="Arial"/>
          <w:sz w:val="28"/>
        </w:rPr>
        <w:t>2014</w:t>
      </w:r>
      <w:r w:rsidRPr="00F631FB">
        <w:rPr>
          <w:rFonts w:ascii="Arial" w:eastAsia="仿宋_GB2312" w:hAnsi="Arial" w:cs="Arial"/>
          <w:sz w:val="28"/>
        </w:rPr>
        <w:t>年第</w:t>
      </w:r>
      <w:r w:rsidRPr="00F631FB">
        <w:rPr>
          <w:rFonts w:ascii="Arial" w:eastAsia="仿宋_GB2312" w:hAnsi="Arial" w:cs="Arial"/>
          <w:sz w:val="28"/>
        </w:rPr>
        <w:t>46</w:t>
      </w:r>
      <w:r w:rsidRPr="00F631FB">
        <w:rPr>
          <w:rFonts w:ascii="Arial" w:eastAsia="仿宋_GB2312" w:hAnsi="Arial" w:cs="Arial"/>
          <w:sz w:val="28"/>
        </w:rPr>
        <w:t>期北京市国土资源局局长专题会议纪要的具体要求，地下设备用房等非经营性用途暂不收取政府土地出让收益，</w:t>
      </w:r>
      <w:proofErr w:type="gramStart"/>
      <w:r w:rsidRPr="00F631FB">
        <w:rPr>
          <w:rFonts w:ascii="Arial" w:eastAsia="仿宋_GB2312" w:hAnsi="Arial" w:cs="Arial"/>
          <w:sz w:val="28"/>
        </w:rPr>
        <w:t>故委托</w:t>
      </w:r>
      <w:proofErr w:type="gramEnd"/>
      <w:r w:rsidRPr="00F631FB">
        <w:rPr>
          <w:rFonts w:ascii="Arial" w:eastAsia="仿宋_GB2312" w:hAnsi="Arial" w:cs="Arial"/>
          <w:sz w:val="28"/>
        </w:rPr>
        <w:t>估价对象不包含此部分内容。</w:t>
      </w:r>
    </w:p>
    <w:p w14:paraId="5B4896EB"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）根据《北京市关于更新出让国有建设用地使用权基准地价的通知》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的要求，评估专业人员以北京市地价动态监测成果公布的地价增长率为准，对基准地价中的熟地价进行期日修正。</w:t>
      </w:r>
    </w:p>
    <w:p w14:paraId="0AD295E2"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6</w:t>
      </w:r>
      <w:r w:rsidRPr="00F631FB">
        <w:rPr>
          <w:rFonts w:ascii="Arial" w:eastAsia="仿宋_GB2312" w:hAnsi="Arial" w:cs="Arial"/>
          <w:sz w:val="28"/>
        </w:rPr>
        <w:t>）依据现行的《关于全面推开营业税改征增值税试点的通知》，剩余法中房地产开发销售过程中的增值税，暂按</w:t>
      </w:r>
      <w:r w:rsidRPr="00F631FB">
        <w:rPr>
          <w:rFonts w:ascii="Arial" w:eastAsia="仿宋_GB2312" w:hAnsi="Arial" w:cs="Arial"/>
          <w:sz w:val="28"/>
        </w:rPr>
        <w:t>5%</w:t>
      </w:r>
      <w:r w:rsidRPr="00F631FB">
        <w:rPr>
          <w:rFonts w:ascii="Arial" w:eastAsia="仿宋_GB2312" w:hAnsi="Arial" w:cs="Arial"/>
          <w:sz w:val="28"/>
        </w:rPr>
        <w:t>的征收率计税。</w:t>
      </w:r>
    </w:p>
    <w:p w14:paraId="4BCCB0C7"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7</w:t>
      </w:r>
      <w:r w:rsidRPr="00F631FB">
        <w:rPr>
          <w:rFonts w:ascii="Arial" w:eastAsia="仿宋_GB2312" w:hAnsi="Arial" w:cs="Arial"/>
          <w:sz w:val="28"/>
        </w:rPr>
        <w:t>）关于土地还原率的确定。</w:t>
      </w:r>
    </w:p>
    <w:p w14:paraId="06A6AC8C"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kern w:val="2"/>
          <w:sz w:val="28"/>
        </w:rPr>
        <w:t>根据《北京市人民政府关于更新出让国有建设用地使用权基准地价的通知》</w:t>
      </w:r>
      <w:r w:rsidRPr="00F631FB">
        <w:rPr>
          <w:rFonts w:ascii="Arial" w:eastAsia="仿宋_GB2312" w:hAnsi="Arial" w:cs="Arial"/>
          <w:kern w:val="2"/>
          <w:sz w:val="28"/>
        </w:rPr>
        <w:t>[</w:t>
      </w:r>
      <w:r w:rsidRPr="00F631FB">
        <w:rPr>
          <w:rFonts w:ascii="Arial" w:eastAsia="仿宋_GB2312" w:hAnsi="Arial" w:cs="Arial"/>
          <w:kern w:val="2"/>
          <w:sz w:val="28"/>
        </w:rPr>
        <w:t>京政发</w:t>
      </w:r>
      <w:r w:rsidRPr="00F631FB">
        <w:rPr>
          <w:rFonts w:ascii="Arial" w:hAnsi="Arial" w:cs="Arial"/>
          <w:kern w:val="2"/>
          <w:sz w:val="28"/>
        </w:rPr>
        <w:t>﹝</w:t>
      </w:r>
      <w:r w:rsidRPr="00F631FB">
        <w:rPr>
          <w:rFonts w:ascii="Arial" w:eastAsia="仿宋_GB2312" w:hAnsi="Arial" w:cs="Arial"/>
          <w:kern w:val="2"/>
          <w:sz w:val="28"/>
        </w:rPr>
        <w:t>2014</w:t>
      </w:r>
      <w:r w:rsidRPr="00F631FB">
        <w:rPr>
          <w:rFonts w:ascii="Arial" w:hAnsi="Arial" w:cs="Arial"/>
          <w:kern w:val="2"/>
          <w:sz w:val="28"/>
        </w:rPr>
        <w:t>﹞</w:t>
      </w:r>
      <w:r w:rsidRPr="00F631FB">
        <w:rPr>
          <w:rFonts w:ascii="Arial" w:eastAsia="仿宋_GB2312" w:hAnsi="Arial" w:cs="Arial"/>
          <w:kern w:val="2"/>
          <w:sz w:val="28"/>
        </w:rPr>
        <w:t>26</w:t>
      </w:r>
      <w:r w:rsidRPr="00F631FB">
        <w:rPr>
          <w:rFonts w:ascii="Arial" w:eastAsia="仿宋_GB2312" w:hAnsi="Arial" w:cs="Arial"/>
          <w:kern w:val="2"/>
          <w:sz w:val="28"/>
        </w:rPr>
        <w:t>号</w:t>
      </w:r>
      <w:r w:rsidRPr="00F631FB">
        <w:rPr>
          <w:rFonts w:ascii="Arial" w:eastAsia="仿宋_GB2312" w:hAnsi="Arial" w:cs="Arial"/>
          <w:kern w:val="2"/>
          <w:sz w:val="28"/>
        </w:rPr>
        <w:t>]</w:t>
      </w:r>
      <w:r w:rsidRPr="00F631FB">
        <w:rPr>
          <w:rFonts w:ascii="Arial" w:eastAsia="仿宋_GB2312" w:hAnsi="Arial" w:cs="Arial"/>
          <w:kern w:val="2"/>
          <w:sz w:val="28"/>
        </w:rPr>
        <w:t>的规定确定，商业、办公、居住、工业用途的土地还原利率原则上按同期中国人民银行公布的一年</w:t>
      </w:r>
      <w:proofErr w:type="gramStart"/>
      <w:r w:rsidRPr="00F631FB">
        <w:rPr>
          <w:rFonts w:ascii="Arial" w:eastAsia="仿宋_GB2312" w:hAnsi="Arial" w:cs="Arial"/>
          <w:kern w:val="2"/>
          <w:sz w:val="28"/>
        </w:rPr>
        <w:t>期贷</w:t>
      </w:r>
      <w:proofErr w:type="gramEnd"/>
      <w:r w:rsidRPr="00F631FB">
        <w:rPr>
          <w:rFonts w:ascii="Arial" w:eastAsia="仿宋_GB2312" w:hAnsi="Arial" w:cs="Arial"/>
          <w:kern w:val="2"/>
          <w:sz w:val="28"/>
        </w:rPr>
        <w:t>款利率分别上浮</w:t>
      </w:r>
      <w:r w:rsidRPr="00F631FB">
        <w:rPr>
          <w:rFonts w:ascii="Arial" w:hAnsi="Arial" w:cs="Arial"/>
          <w:kern w:val="2"/>
          <w:sz w:val="28"/>
        </w:rPr>
        <w:t>25</w:t>
      </w:r>
      <w:r w:rsidRPr="00F631FB">
        <w:rPr>
          <w:rFonts w:ascii="Arial" w:hAnsi="Arial" w:cs="Arial"/>
          <w:kern w:val="2"/>
          <w:sz w:val="28"/>
        </w:rPr>
        <w:t>％、</w:t>
      </w:r>
      <w:r w:rsidRPr="00F631FB">
        <w:rPr>
          <w:rFonts w:ascii="Arial" w:hAnsi="Arial" w:cs="Arial"/>
          <w:kern w:val="2"/>
          <w:sz w:val="28"/>
        </w:rPr>
        <w:t>20</w:t>
      </w:r>
      <w:r w:rsidRPr="00F631FB">
        <w:rPr>
          <w:rFonts w:ascii="Arial" w:hAnsi="Arial" w:cs="Arial"/>
          <w:kern w:val="2"/>
          <w:sz w:val="28"/>
        </w:rPr>
        <w:t>％、</w:t>
      </w:r>
      <w:r w:rsidRPr="00F631FB">
        <w:rPr>
          <w:rFonts w:ascii="Arial" w:hAnsi="Arial" w:cs="Arial"/>
          <w:kern w:val="2"/>
          <w:sz w:val="28"/>
        </w:rPr>
        <w:t>15</w:t>
      </w:r>
      <w:r w:rsidRPr="00F631FB">
        <w:rPr>
          <w:rFonts w:ascii="Arial" w:hAnsi="Arial" w:cs="Arial"/>
          <w:kern w:val="2"/>
          <w:sz w:val="28"/>
        </w:rPr>
        <w:t>％、</w:t>
      </w:r>
      <w:r w:rsidRPr="00F631FB">
        <w:rPr>
          <w:rFonts w:ascii="Arial" w:hAnsi="Arial" w:cs="Arial"/>
          <w:kern w:val="2"/>
          <w:sz w:val="28"/>
        </w:rPr>
        <w:t>10</w:t>
      </w:r>
      <w:r w:rsidRPr="00F631FB">
        <w:rPr>
          <w:rFonts w:ascii="Arial" w:hAnsi="Arial" w:cs="Arial"/>
          <w:kern w:val="2"/>
          <w:sz w:val="28"/>
        </w:rPr>
        <w:t>％</w:t>
      </w:r>
      <w:r w:rsidRPr="00F631FB">
        <w:rPr>
          <w:rFonts w:ascii="Arial" w:eastAsia="仿宋_GB2312" w:hAnsi="Arial" w:cs="Arial"/>
          <w:kern w:val="2"/>
          <w:sz w:val="28"/>
        </w:rPr>
        <w:t>确定。估价对象所属项目地上用途为商业及办公，现行一年</w:t>
      </w:r>
      <w:proofErr w:type="gramStart"/>
      <w:r w:rsidRPr="00F631FB">
        <w:rPr>
          <w:rFonts w:ascii="Arial" w:eastAsia="仿宋_GB2312" w:hAnsi="Arial" w:cs="Arial"/>
          <w:kern w:val="2"/>
          <w:sz w:val="28"/>
        </w:rPr>
        <w:t>期贷</w:t>
      </w:r>
      <w:proofErr w:type="gramEnd"/>
      <w:r w:rsidRPr="00F631FB">
        <w:rPr>
          <w:rFonts w:ascii="Arial" w:eastAsia="仿宋_GB2312" w:hAnsi="Arial" w:cs="Arial"/>
          <w:kern w:val="2"/>
          <w:sz w:val="28"/>
        </w:rPr>
        <w:t>款利率（</w:t>
      </w:r>
      <w:r w:rsidRPr="00F631FB">
        <w:rPr>
          <w:rFonts w:ascii="Arial" w:eastAsia="仿宋_GB2312" w:hAnsi="Arial" w:cs="Arial"/>
          <w:kern w:val="2"/>
          <w:sz w:val="28"/>
        </w:rPr>
        <w:t>2015</w:t>
      </w:r>
      <w:r w:rsidRPr="00F631FB">
        <w:rPr>
          <w:rFonts w:ascii="Arial" w:eastAsia="仿宋_GB2312" w:hAnsi="Arial" w:cs="Arial"/>
          <w:kern w:val="2"/>
          <w:sz w:val="28"/>
        </w:rPr>
        <w:t>年</w:t>
      </w:r>
      <w:r w:rsidRPr="00F631FB">
        <w:rPr>
          <w:rFonts w:ascii="Arial" w:eastAsia="仿宋_GB2312" w:hAnsi="Arial" w:cs="Arial"/>
          <w:kern w:val="2"/>
          <w:sz w:val="28"/>
        </w:rPr>
        <w:t>10</w:t>
      </w:r>
      <w:r w:rsidRPr="00F631FB">
        <w:rPr>
          <w:rFonts w:ascii="Arial" w:eastAsia="仿宋_GB2312" w:hAnsi="Arial" w:cs="Arial"/>
          <w:kern w:val="2"/>
          <w:sz w:val="28"/>
        </w:rPr>
        <w:t>月</w:t>
      </w:r>
      <w:r w:rsidRPr="00F631FB">
        <w:rPr>
          <w:rFonts w:ascii="Arial" w:eastAsia="仿宋_GB2312" w:hAnsi="Arial" w:cs="Arial"/>
          <w:kern w:val="2"/>
          <w:sz w:val="28"/>
        </w:rPr>
        <w:t>24</w:t>
      </w:r>
      <w:r w:rsidRPr="00F631FB">
        <w:rPr>
          <w:rFonts w:ascii="Arial" w:eastAsia="仿宋_GB2312" w:hAnsi="Arial" w:cs="Arial"/>
          <w:kern w:val="2"/>
          <w:sz w:val="28"/>
        </w:rPr>
        <w:t>日公布）为</w:t>
      </w:r>
      <w:r w:rsidRPr="00F631FB">
        <w:rPr>
          <w:rFonts w:ascii="Arial" w:eastAsia="仿宋_GB2312" w:hAnsi="Arial" w:cs="Arial"/>
          <w:kern w:val="2"/>
          <w:sz w:val="28"/>
        </w:rPr>
        <w:t>4.35%</w:t>
      </w:r>
      <w:r w:rsidRPr="00F631FB">
        <w:rPr>
          <w:rFonts w:ascii="Arial" w:eastAsia="仿宋_GB2312" w:hAnsi="Arial" w:cs="Arial"/>
          <w:kern w:val="2"/>
          <w:sz w:val="28"/>
        </w:rPr>
        <w:t>。本次评估确定土地还原利率为商业</w:t>
      </w:r>
      <w:r w:rsidRPr="00F631FB">
        <w:rPr>
          <w:rFonts w:ascii="Arial" w:eastAsia="仿宋_GB2312" w:hAnsi="Arial" w:cs="Arial"/>
          <w:kern w:val="2"/>
          <w:sz w:val="28"/>
        </w:rPr>
        <w:t>5.4%</w:t>
      </w:r>
      <w:r w:rsidRPr="00F631FB">
        <w:rPr>
          <w:rFonts w:ascii="Arial" w:eastAsia="仿宋_GB2312" w:hAnsi="Arial" w:cs="Arial"/>
          <w:kern w:val="2"/>
          <w:sz w:val="28"/>
        </w:rPr>
        <w:t>、办公</w:t>
      </w:r>
      <w:r w:rsidRPr="00F631FB">
        <w:rPr>
          <w:rFonts w:ascii="Arial" w:eastAsia="仿宋_GB2312" w:hAnsi="Arial" w:cs="Arial"/>
          <w:kern w:val="2"/>
          <w:sz w:val="28"/>
        </w:rPr>
        <w:t>5.2%</w:t>
      </w:r>
      <w:r w:rsidRPr="00F631FB">
        <w:rPr>
          <w:rFonts w:ascii="Arial" w:eastAsia="仿宋_GB2312" w:hAnsi="Arial" w:cs="Arial" w:hint="eastAsia"/>
          <w:kern w:val="2"/>
          <w:sz w:val="28"/>
        </w:rPr>
        <w:t>、居住</w:t>
      </w:r>
      <w:r w:rsidRPr="00F631FB">
        <w:rPr>
          <w:rFonts w:ascii="Arial" w:eastAsia="仿宋_GB2312" w:hAnsi="Arial" w:cs="Arial" w:hint="eastAsia"/>
          <w:kern w:val="2"/>
          <w:sz w:val="28"/>
        </w:rPr>
        <w:t>5.0%</w:t>
      </w:r>
      <w:r w:rsidRPr="00F631FB">
        <w:rPr>
          <w:rFonts w:ascii="Arial" w:eastAsia="仿宋_GB2312" w:hAnsi="Arial" w:cs="Arial"/>
          <w:kern w:val="2"/>
          <w:sz w:val="28"/>
        </w:rPr>
        <w:t>。</w:t>
      </w:r>
    </w:p>
    <w:p w14:paraId="433619B3"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8</w:t>
      </w:r>
      <w:r w:rsidRPr="00F631FB">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36"/>
    <w:p w14:paraId="0D84D3A1"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其他说明</w:t>
      </w:r>
    </w:p>
    <w:p w14:paraId="3BB774AC" w14:textId="0EA4D156"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lastRenderedPageBreak/>
        <w:t>（</w:t>
      </w:r>
      <w:r w:rsidRPr="00F631FB">
        <w:rPr>
          <w:rFonts w:ascii="Arial" w:eastAsia="仿宋_GB2312" w:hAnsi="Arial" w:cs="Arial"/>
          <w:sz w:val="28"/>
        </w:rPr>
        <w:t>1</w:t>
      </w:r>
      <w:r w:rsidRPr="00F631FB">
        <w:rPr>
          <w:rFonts w:ascii="Arial" w:eastAsia="仿宋_GB2312" w:hAnsi="Arial" w:cs="Arial"/>
          <w:sz w:val="28"/>
        </w:rPr>
        <w:t>）估价对象房屋坐落根据</w:t>
      </w:r>
      <w:r w:rsidRPr="00F631FB">
        <w:rPr>
          <w:rFonts w:ascii="Arial" w:eastAsia="仿宋_GB2312" w:hAnsi="Arial" w:cs="Arial" w:hint="eastAsia"/>
          <w:sz w:val="28"/>
          <w:szCs w:val="28"/>
        </w:rPr>
        <w:t>《国有建设用地使用权出让地价评估委托书》</w:t>
      </w:r>
      <w:r w:rsidRPr="00F631FB">
        <w:rPr>
          <w:rFonts w:ascii="Arial" w:eastAsia="仿宋_GB2312" w:hAnsi="Arial" w:cs="Arial"/>
          <w:sz w:val="28"/>
        </w:rPr>
        <w:t>描述确定，项目坐落确定为</w:t>
      </w:r>
      <w:r w:rsidR="0073655F" w:rsidRPr="0073655F">
        <w:rPr>
          <w:rFonts w:ascii="Arial" w:eastAsia="仿宋_GB2312" w:hAnsi="Arial" w:cs="Arial" w:hint="eastAsia"/>
          <w:sz w:val="28"/>
        </w:rPr>
        <w:t>北京市海淀区苏州街站一体化棚户区改造一次性招标项目</w:t>
      </w:r>
      <w:r w:rsidRPr="00F631FB">
        <w:rPr>
          <w:rFonts w:ascii="Arial" w:eastAsia="仿宋_GB2312" w:hAnsi="Arial" w:cs="Arial"/>
          <w:sz w:val="28"/>
        </w:rPr>
        <w:t>。</w:t>
      </w:r>
    </w:p>
    <w:p w14:paraId="0803B245" w14:textId="234EA755"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sidR="0073655F">
        <w:rPr>
          <w:rFonts w:ascii="Arial" w:eastAsia="仿宋_GB2312" w:hAnsi="Arial" w:cs="Arial" w:hint="eastAsia"/>
          <w:sz w:val="28"/>
        </w:rPr>
        <w:t>一次性招标出让手续</w:t>
      </w:r>
      <w:r w:rsidRPr="00F631FB">
        <w:rPr>
          <w:rFonts w:ascii="Arial" w:eastAsia="仿宋_GB2312" w:hAnsi="Arial" w:cs="Arial"/>
          <w:sz w:val="28"/>
        </w:rPr>
        <w:t>提供参考依据。</w:t>
      </w:r>
    </w:p>
    <w:p w14:paraId="10DAB4FF" w14:textId="54CDC52D"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）委托估价方于</w:t>
      </w:r>
      <w:r w:rsidR="006650F1">
        <w:rPr>
          <w:rFonts w:ascii="Arial" w:eastAsia="仿宋_GB2312" w:hAnsi="Arial" w:cs="Arial"/>
          <w:sz w:val="28"/>
        </w:rPr>
        <w:t>2021</w:t>
      </w:r>
      <w:r w:rsidR="006650F1">
        <w:rPr>
          <w:rFonts w:ascii="Arial" w:eastAsia="仿宋_GB2312" w:hAnsi="Arial" w:cs="Arial"/>
          <w:sz w:val="28"/>
        </w:rPr>
        <w:t>年</w:t>
      </w:r>
      <w:r w:rsidR="0073655F">
        <w:rPr>
          <w:rFonts w:ascii="Arial" w:eastAsia="仿宋_GB2312" w:hAnsi="Arial" w:cs="Arial"/>
          <w:sz w:val="28"/>
        </w:rPr>
        <w:t>11</w:t>
      </w:r>
      <w:r w:rsidR="006650F1">
        <w:rPr>
          <w:rFonts w:ascii="Arial" w:eastAsia="仿宋_GB2312" w:hAnsi="Arial" w:cs="Arial"/>
          <w:sz w:val="28"/>
        </w:rPr>
        <w:t>月</w:t>
      </w:r>
      <w:r w:rsidR="0073655F">
        <w:rPr>
          <w:rFonts w:ascii="Arial" w:eastAsia="仿宋_GB2312" w:hAnsi="Arial" w:cs="Arial"/>
          <w:sz w:val="28"/>
        </w:rPr>
        <w:t>18</w:t>
      </w:r>
      <w:r w:rsidR="006650F1">
        <w:rPr>
          <w:rFonts w:ascii="Arial" w:eastAsia="仿宋_GB2312" w:hAnsi="Arial" w:cs="Arial"/>
          <w:sz w:val="28"/>
        </w:rPr>
        <w:t>日</w:t>
      </w:r>
      <w:r w:rsidRPr="00F631FB">
        <w:rPr>
          <w:rFonts w:ascii="Arial" w:eastAsia="仿宋_GB2312" w:hAnsi="Arial" w:cs="Arial"/>
          <w:sz w:val="28"/>
        </w:rPr>
        <w:t>正式委托进行评估，确定估价期日为</w:t>
      </w:r>
      <w:r w:rsidR="006650F1">
        <w:rPr>
          <w:rFonts w:ascii="Arial" w:eastAsia="仿宋_GB2312" w:hAnsi="Arial" w:cs="Arial"/>
          <w:sz w:val="28"/>
        </w:rPr>
        <w:t>2021</w:t>
      </w:r>
      <w:r w:rsidR="006650F1">
        <w:rPr>
          <w:rFonts w:ascii="Arial" w:eastAsia="仿宋_GB2312" w:hAnsi="Arial" w:cs="Arial"/>
          <w:sz w:val="28"/>
        </w:rPr>
        <w:t>年</w:t>
      </w:r>
      <w:r w:rsidR="006650F1">
        <w:rPr>
          <w:rFonts w:ascii="Arial" w:eastAsia="仿宋_GB2312" w:hAnsi="Arial" w:cs="Arial"/>
          <w:sz w:val="28"/>
        </w:rPr>
        <w:t>10</w:t>
      </w:r>
      <w:r w:rsidR="006650F1">
        <w:rPr>
          <w:rFonts w:ascii="Arial" w:eastAsia="仿宋_GB2312" w:hAnsi="Arial" w:cs="Arial"/>
          <w:sz w:val="28"/>
        </w:rPr>
        <w:t>月</w:t>
      </w:r>
      <w:r w:rsidR="006650F1">
        <w:rPr>
          <w:rFonts w:ascii="Arial" w:eastAsia="仿宋_GB2312" w:hAnsi="Arial" w:cs="Arial"/>
          <w:sz w:val="28"/>
        </w:rPr>
        <w:t>15</w:t>
      </w:r>
      <w:r w:rsidR="006650F1">
        <w:rPr>
          <w:rFonts w:ascii="Arial" w:eastAsia="仿宋_GB2312" w:hAnsi="Arial" w:cs="Arial"/>
          <w:sz w:val="28"/>
        </w:rPr>
        <w:t>日</w:t>
      </w:r>
      <w:r w:rsidRPr="00F631FB">
        <w:rPr>
          <w:rFonts w:ascii="Arial" w:eastAsia="仿宋_GB2312" w:hAnsi="Arial" w:cs="Arial"/>
          <w:sz w:val="28"/>
        </w:rPr>
        <w:t>。评估专业人员于</w:t>
      </w:r>
      <w:r w:rsidR="00831261">
        <w:rPr>
          <w:rFonts w:ascii="Arial" w:eastAsia="仿宋_GB2312" w:hAnsi="Arial" w:cs="Arial"/>
          <w:sz w:val="28"/>
        </w:rPr>
        <w:t>2021</w:t>
      </w:r>
      <w:r w:rsidR="00831261">
        <w:rPr>
          <w:rFonts w:ascii="Arial" w:eastAsia="仿宋_GB2312" w:hAnsi="Arial" w:cs="Arial"/>
          <w:sz w:val="28"/>
        </w:rPr>
        <w:t>年</w:t>
      </w:r>
      <w:r w:rsidR="00831261">
        <w:rPr>
          <w:rFonts w:ascii="Arial" w:eastAsia="仿宋_GB2312" w:hAnsi="Arial" w:cs="Arial"/>
          <w:sz w:val="28"/>
        </w:rPr>
        <w:t>11</w:t>
      </w:r>
      <w:r w:rsidR="00831261">
        <w:rPr>
          <w:rFonts w:ascii="Arial" w:eastAsia="仿宋_GB2312" w:hAnsi="Arial" w:cs="Arial"/>
          <w:sz w:val="28"/>
        </w:rPr>
        <w:t>月</w:t>
      </w:r>
      <w:r w:rsidR="00831261">
        <w:rPr>
          <w:rFonts w:ascii="Arial" w:eastAsia="仿宋_GB2312" w:hAnsi="Arial" w:cs="Arial"/>
          <w:sz w:val="28"/>
        </w:rPr>
        <w:t>29</w:t>
      </w:r>
      <w:r w:rsidR="00831261">
        <w:rPr>
          <w:rFonts w:ascii="Arial" w:eastAsia="仿宋_GB2312" w:hAnsi="Arial" w:cs="Arial"/>
          <w:sz w:val="28"/>
        </w:rPr>
        <w:t>日</w:t>
      </w:r>
      <w:r w:rsidRPr="00F631FB">
        <w:rPr>
          <w:rFonts w:ascii="Arial" w:eastAsia="仿宋_GB2312" w:hAnsi="Arial" w:cs="Arial"/>
          <w:sz w:val="28"/>
        </w:rPr>
        <w:t>进行实地查勘，</w:t>
      </w:r>
      <w:r w:rsidR="00C70DD8">
        <w:rPr>
          <w:rFonts w:ascii="Arial" w:eastAsia="仿宋_GB2312" w:hAnsi="Arial" w:cs="Arial" w:hint="eastAsia"/>
          <w:sz w:val="28"/>
        </w:rPr>
        <w:t>本次评估设定估价对象于估价期日的状况与实地查勘情况一致</w:t>
      </w:r>
      <w:r w:rsidRPr="00F631FB">
        <w:rPr>
          <w:rFonts w:ascii="Arial" w:eastAsia="仿宋_GB2312" w:hAnsi="Arial" w:cs="Arial"/>
          <w:sz w:val="28"/>
        </w:rPr>
        <w:t>。</w:t>
      </w:r>
    </w:p>
    <w:p w14:paraId="315E4965" w14:textId="3D94042C"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sectPr w:rsidR="002C3ABF" w:rsidRPr="00F631FB">
          <w:headerReference w:type="default" r:id="rId51"/>
          <w:footerReference w:type="first" r:id="rId52"/>
          <w:pgSz w:w="11907" w:h="16840"/>
          <w:pgMar w:top="1843" w:right="1134" w:bottom="1134" w:left="1134" w:header="1134" w:footer="907" w:gutter="340"/>
          <w:cols w:space="425"/>
          <w:docGrid w:linePitch="326"/>
        </w:sect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）根据估价目的，此次评估在符合《城镇土地估价规程》</w:t>
      </w:r>
      <w:r w:rsidRPr="00F631FB">
        <w:rPr>
          <w:rFonts w:ascii="Arial" w:eastAsia="仿宋_GB2312" w:hAnsi="Arial" w:cs="Arial"/>
          <w:sz w:val="28"/>
        </w:rPr>
        <w:t>[GB/T 18508-2014]</w:t>
      </w:r>
      <w:r w:rsidRPr="00F631FB">
        <w:rPr>
          <w:rFonts w:ascii="Arial" w:eastAsia="仿宋_GB2312" w:hAnsi="Arial" w:cs="Arial"/>
          <w:sz w:val="28"/>
        </w:rPr>
        <w:t>和《国土资源部办公厅关于印发〈国有建设用地使用权出让地价评估技术规范〉的通知》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原则性要求的基础上，还需满足《北京市关于更新出让国有建设用地使用权基准地价的通知》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、《关于印发北京市国有建设用地使用权出让地价评审暂行规定的通知》</w:t>
      </w:r>
      <w:r w:rsidRPr="00F631FB">
        <w:rPr>
          <w:rFonts w:ascii="Arial" w:eastAsia="仿宋_GB2312" w:hAnsi="Arial" w:cs="Arial"/>
          <w:sz w:val="28"/>
        </w:rPr>
        <w:t>[</w:t>
      </w:r>
      <w:r w:rsidRPr="00F631FB">
        <w:rPr>
          <w:rFonts w:ascii="Arial" w:eastAsia="仿宋_GB2312" w:hAnsi="Arial" w:cs="Arial"/>
          <w:sz w:val="28"/>
        </w:rPr>
        <w:t>京国土用</w:t>
      </w:r>
      <w:r w:rsidRPr="00F631FB">
        <w:rPr>
          <w:rFonts w:ascii="Arial" w:eastAsia="仿宋_GB2312" w:hAnsi="Arial" w:cs="Arial"/>
          <w:sz w:val="28"/>
        </w:rPr>
        <w:t>[2015]87</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和《北京市国土资源局关于出让国有建设用地使用权基准地价应用有关问题的公告》和</w:t>
      </w:r>
      <w:r w:rsidR="00C70DD8">
        <w:rPr>
          <w:rFonts w:ascii="Arial" w:eastAsia="仿宋_GB2312" w:hAnsi="Arial" w:cs="Arial"/>
          <w:sz w:val="28"/>
        </w:rPr>
        <w:t>关于发布《北京市</w:t>
      </w:r>
      <w:r w:rsidR="00C70DD8">
        <w:rPr>
          <w:rFonts w:ascii="Arial" w:eastAsia="仿宋_GB2312" w:hAnsi="Arial" w:cs="Arial"/>
          <w:sz w:val="28"/>
        </w:rPr>
        <w:t>“</w:t>
      </w:r>
      <w:r w:rsidR="00C70DD8">
        <w:rPr>
          <w:rFonts w:ascii="Arial" w:eastAsia="仿宋_GB2312" w:hAnsi="Arial" w:cs="Arial"/>
          <w:sz w:val="28"/>
        </w:rPr>
        <w:t>地下空间</w:t>
      </w:r>
      <w:r w:rsidR="00C70DD8">
        <w:rPr>
          <w:rFonts w:ascii="Arial" w:eastAsia="仿宋_GB2312" w:hAnsi="Arial" w:cs="Arial"/>
          <w:sz w:val="28"/>
        </w:rPr>
        <w:t>”</w:t>
      </w:r>
      <w:r w:rsidR="00C70DD8">
        <w:rPr>
          <w:rFonts w:ascii="Arial" w:eastAsia="仿宋_GB2312" w:hAnsi="Arial" w:cs="Arial"/>
          <w:sz w:val="28"/>
        </w:rPr>
        <w:t>使用权协议出让地价评估技术更新的说明》的通知（</w:t>
      </w:r>
      <w:proofErr w:type="gramStart"/>
      <w:r w:rsidR="00C70DD8">
        <w:rPr>
          <w:rFonts w:ascii="Arial" w:eastAsia="仿宋_GB2312" w:hAnsi="Arial" w:cs="Arial"/>
          <w:sz w:val="28"/>
        </w:rPr>
        <w:t>北估秘</w:t>
      </w:r>
      <w:proofErr w:type="gramEnd"/>
      <w:r w:rsidR="00C70DD8">
        <w:rPr>
          <w:rFonts w:ascii="Arial" w:eastAsia="仿宋_GB2312" w:hAnsi="Arial" w:cs="Arial"/>
          <w:sz w:val="28"/>
        </w:rPr>
        <w:t>[2019]002</w:t>
      </w:r>
      <w:r w:rsidR="00C70DD8">
        <w:rPr>
          <w:rFonts w:ascii="Arial" w:eastAsia="仿宋_GB2312" w:hAnsi="Arial" w:cs="Arial"/>
          <w:sz w:val="28"/>
        </w:rPr>
        <w:t>号）</w:t>
      </w:r>
      <w:r w:rsidRPr="00F631FB">
        <w:rPr>
          <w:rFonts w:ascii="Arial" w:eastAsia="仿宋_GB2312" w:hAnsi="Arial" w:cs="Arial"/>
          <w:sz w:val="28"/>
        </w:rPr>
        <w:t>的要求，</w:t>
      </w:r>
      <w:proofErr w:type="gramStart"/>
      <w:r w:rsidRPr="00F631FB">
        <w:rPr>
          <w:rFonts w:ascii="Arial" w:eastAsia="仿宋_GB2312" w:hAnsi="Arial" w:cs="Arial"/>
          <w:sz w:val="28"/>
        </w:rPr>
        <w:t>故报告</w:t>
      </w:r>
      <w:proofErr w:type="gramEnd"/>
      <w:r w:rsidRPr="00F631FB">
        <w:rPr>
          <w:rFonts w:ascii="Arial" w:eastAsia="仿宋_GB2312" w:hAnsi="Arial" w:cs="Arial"/>
          <w:sz w:val="28"/>
        </w:rPr>
        <w:t>格式和具体表述在《城镇土地估价规程》</w:t>
      </w:r>
      <w:r w:rsidRPr="00F631FB">
        <w:rPr>
          <w:rFonts w:ascii="Arial" w:eastAsia="仿宋_GB2312" w:hAnsi="Arial" w:cs="Arial"/>
          <w:sz w:val="28"/>
        </w:rPr>
        <w:t>[GB/T 18508-2014]</w:t>
      </w:r>
      <w:r w:rsidRPr="00F631FB">
        <w:rPr>
          <w:rFonts w:ascii="Arial" w:eastAsia="仿宋_GB2312" w:hAnsi="Arial" w:cs="Arial"/>
          <w:sz w:val="28"/>
        </w:rPr>
        <w:t>规范格式基础上，有所拓展和补充。</w:t>
      </w:r>
    </w:p>
    <w:p w14:paraId="0932685C" w14:textId="77777777" w:rsidR="002C3ABF" w:rsidRPr="00F631FB" w:rsidRDefault="002C3ABF" w:rsidP="002C3ABF">
      <w:pPr>
        <w:spacing w:line="360" w:lineRule="auto"/>
        <w:jc w:val="center"/>
        <w:outlineLvl w:val="0"/>
        <w:rPr>
          <w:rFonts w:ascii="Arial" w:eastAsia="仿宋_GB2312" w:hAnsi="Arial" w:cs="Arial"/>
          <w:sz w:val="28"/>
        </w:rPr>
      </w:pPr>
      <w:bookmarkStart w:id="137" w:name="_Toc515458378"/>
      <w:bookmarkStart w:id="138" w:name="_Toc524335083"/>
      <w:bookmarkStart w:id="139" w:name="_Toc69393385"/>
      <w:bookmarkEnd w:id="15"/>
      <w:r w:rsidRPr="00F631FB">
        <w:rPr>
          <w:rFonts w:ascii="Arial" w:hAnsi="Arial" w:cs="Arial"/>
          <w:b/>
          <w:sz w:val="32"/>
        </w:rPr>
        <w:lastRenderedPageBreak/>
        <w:t>第四部分</w:t>
      </w:r>
      <w:r w:rsidRPr="00F631FB">
        <w:rPr>
          <w:rFonts w:ascii="Arial" w:eastAsia="仿宋_GB2312" w:hAnsi="Arial" w:cs="Arial"/>
          <w:b/>
          <w:sz w:val="32"/>
        </w:rPr>
        <w:t xml:space="preserve">  </w:t>
      </w:r>
      <w:r w:rsidRPr="00F631FB">
        <w:rPr>
          <w:rFonts w:ascii="Arial" w:hAnsi="Arial" w:cs="Arial"/>
          <w:b/>
          <w:sz w:val="32"/>
        </w:rPr>
        <w:t>附</w:t>
      </w:r>
      <w:r w:rsidRPr="00F631FB">
        <w:rPr>
          <w:rFonts w:ascii="Arial" w:eastAsia="仿宋_GB2312" w:hAnsi="Arial" w:cs="Arial"/>
          <w:b/>
          <w:sz w:val="32"/>
        </w:rPr>
        <w:t xml:space="preserve">  </w:t>
      </w:r>
      <w:r w:rsidRPr="00F631FB">
        <w:rPr>
          <w:rFonts w:ascii="Arial" w:hAnsi="Arial" w:cs="Arial"/>
          <w:b/>
          <w:sz w:val="32"/>
        </w:rPr>
        <w:t>件</w:t>
      </w:r>
      <w:bookmarkEnd w:id="132"/>
      <w:bookmarkEnd w:id="133"/>
      <w:bookmarkEnd w:id="134"/>
      <w:bookmarkEnd w:id="135"/>
      <w:bookmarkEnd w:id="137"/>
      <w:bookmarkEnd w:id="138"/>
      <w:bookmarkEnd w:id="139"/>
    </w:p>
    <w:p w14:paraId="30412322"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Pr="00F631FB">
        <w:rPr>
          <w:rFonts w:ascii="Arial" w:eastAsia="仿宋_GB2312" w:hAnsi="Arial" w:cs="Arial" w:hint="eastAsia"/>
          <w:sz w:val="28"/>
        </w:rPr>
        <w:t>《国有建设用地使用权出让地价评估委托书》复印件</w:t>
      </w:r>
    </w:p>
    <w:p w14:paraId="4DED8C7E"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 xml:space="preserve">2. </w:t>
      </w:r>
      <w:r w:rsidRPr="00F631FB">
        <w:rPr>
          <w:rFonts w:ascii="Arial" w:eastAsia="仿宋_GB2312" w:hAnsi="Arial" w:cs="Arial" w:hint="eastAsia"/>
          <w:sz w:val="28"/>
        </w:rPr>
        <w:t>估价对象所在位置示意图</w:t>
      </w:r>
    </w:p>
    <w:p w14:paraId="2D33A002"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 xml:space="preserve">3. </w:t>
      </w:r>
      <w:r w:rsidRPr="00F631FB">
        <w:rPr>
          <w:rFonts w:ascii="Arial" w:eastAsia="仿宋_GB2312" w:hAnsi="Arial" w:cs="Arial" w:hint="eastAsia"/>
          <w:sz w:val="28"/>
        </w:rPr>
        <w:t>估价对象实地勘察情况和相关照片</w:t>
      </w:r>
    </w:p>
    <w:p w14:paraId="308E2539"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4.</w:t>
      </w:r>
      <w:r w:rsidRPr="00F631FB">
        <w:rPr>
          <w:rFonts w:ascii="Arial" w:eastAsia="仿宋_GB2312" w:hAnsi="Arial" w:cs="Arial" w:hint="eastAsia"/>
          <w:sz w:val="28"/>
        </w:rPr>
        <w:t>《</w:t>
      </w:r>
      <w:r>
        <w:rPr>
          <w:rFonts w:ascii="Arial" w:eastAsia="仿宋_GB2312" w:hAnsi="Arial" w:cs="Arial" w:hint="eastAsia"/>
          <w:sz w:val="28"/>
        </w:rPr>
        <w:t>建设工程规划用地测量成果报告书</w:t>
      </w:r>
      <w:r w:rsidRPr="00F631FB">
        <w:rPr>
          <w:rFonts w:ascii="Arial" w:eastAsia="仿宋_GB2312" w:hAnsi="Arial" w:cs="Arial" w:hint="eastAsia"/>
          <w:sz w:val="28"/>
        </w:rPr>
        <w:t>》</w:t>
      </w:r>
      <w:r w:rsidRPr="00F631FB">
        <w:rPr>
          <w:rFonts w:ascii="Arial" w:eastAsia="仿宋_GB2312" w:hAnsi="Arial" w:cs="Arial" w:hint="eastAsia"/>
          <w:sz w:val="28"/>
        </w:rPr>
        <w:t>[</w:t>
      </w:r>
      <w:r>
        <w:rPr>
          <w:rFonts w:ascii="Arial" w:eastAsia="仿宋_GB2312" w:hAnsi="Arial" w:cs="Arial"/>
          <w:sz w:val="28"/>
        </w:rPr>
        <w:t>2017</w:t>
      </w:r>
      <w:proofErr w:type="gramStart"/>
      <w:r>
        <w:rPr>
          <w:rFonts w:ascii="Arial" w:eastAsia="仿宋_GB2312" w:hAnsi="Arial" w:cs="Arial" w:hint="eastAsia"/>
          <w:sz w:val="28"/>
        </w:rPr>
        <w:t>规</w:t>
      </w:r>
      <w:proofErr w:type="gramEnd"/>
      <w:r>
        <w:rPr>
          <w:rFonts w:ascii="Arial" w:eastAsia="仿宋_GB2312" w:hAnsi="Arial" w:cs="Arial" w:hint="eastAsia"/>
          <w:sz w:val="28"/>
        </w:rPr>
        <w:t>（海）测字</w:t>
      </w:r>
      <w:r>
        <w:rPr>
          <w:rFonts w:ascii="Arial" w:eastAsia="仿宋_GB2312" w:hAnsi="Arial" w:cs="Arial" w:hint="eastAsia"/>
          <w:sz w:val="28"/>
        </w:rPr>
        <w:t>0</w:t>
      </w:r>
      <w:r>
        <w:rPr>
          <w:rFonts w:ascii="Arial" w:eastAsia="仿宋_GB2312" w:hAnsi="Arial" w:cs="Arial"/>
          <w:sz w:val="28"/>
        </w:rPr>
        <w:t>023</w:t>
      </w:r>
      <w:r>
        <w:rPr>
          <w:rFonts w:ascii="Arial" w:eastAsia="仿宋_GB2312" w:hAnsi="Arial" w:cs="Arial" w:hint="eastAsia"/>
          <w:sz w:val="28"/>
        </w:rPr>
        <w:t>号</w:t>
      </w:r>
      <w:r>
        <w:rPr>
          <w:rFonts w:ascii="Arial" w:eastAsia="仿宋_GB2312" w:hAnsi="Arial" w:cs="Arial" w:hint="eastAsia"/>
          <w:sz w:val="28"/>
        </w:rPr>
        <w:t>]</w:t>
      </w:r>
      <w:r w:rsidRPr="00F631FB">
        <w:rPr>
          <w:rFonts w:ascii="Arial" w:eastAsia="仿宋_GB2312" w:hAnsi="Arial" w:cs="Arial" w:hint="eastAsia"/>
          <w:sz w:val="28"/>
        </w:rPr>
        <w:t>及</w:t>
      </w:r>
      <w:r>
        <w:rPr>
          <w:rFonts w:ascii="Arial" w:eastAsia="仿宋_GB2312" w:hAnsi="Arial" w:cs="Arial" w:hint="eastAsia"/>
          <w:sz w:val="28"/>
        </w:rPr>
        <w:t>其附图</w:t>
      </w:r>
      <w:r w:rsidRPr="00F631FB">
        <w:rPr>
          <w:rFonts w:ascii="Arial" w:eastAsia="仿宋_GB2312" w:hAnsi="Arial" w:cs="Arial" w:hint="eastAsia"/>
          <w:sz w:val="28"/>
        </w:rPr>
        <w:t>复印件</w:t>
      </w:r>
    </w:p>
    <w:p w14:paraId="5836D3E5"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5.</w:t>
      </w:r>
      <w:r w:rsidRPr="00F631FB">
        <w:rPr>
          <w:rFonts w:ascii="Arial" w:eastAsia="仿宋_GB2312" w:hAnsi="Arial" w:cs="Arial" w:hint="eastAsia"/>
          <w:sz w:val="28"/>
        </w:rPr>
        <w:t>《</w:t>
      </w:r>
      <w:r>
        <w:rPr>
          <w:rFonts w:ascii="Arial" w:eastAsia="仿宋_GB2312" w:hAnsi="Arial" w:cs="Arial" w:hint="eastAsia"/>
          <w:sz w:val="28"/>
        </w:rPr>
        <w:t>海淀区苏州街站一体化棚户区改造项目前期工作及拟改造土地使用权一次性招标方案</w:t>
      </w:r>
      <w:r w:rsidRPr="00F631FB">
        <w:rPr>
          <w:rFonts w:ascii="Arial" w:eastAsia="仿宋_GB2312" w:hAnsi="Arial" w:cs="Arial" w:hint="eastAsia"/>
          <w:sz w:val="28"/>
        </w:rPr>
        <w:t>》</w:t>
      </w:r>
      <w:r>
        <w:rPr>
          <w:rFonts w:ascii="Arial" w:eastAsia="仿宋_GB2312" w:hAnsi="Arial" w:cs="Arial" w:hint="eastAsia"/>
          <w:sz w:val="28"/>
        </w:rPr>
        <w:t>及其附件复印件</w:t>
      </w:r>
    </w:p>
    <w:p w14:paraId="4A6BF060"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6.</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hint="eastAsia"/>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hint="eastAsia"/>
          <w:sz w:val="28"/>
        </w:rPr>
        <w:t>[2</w:t>
      </w:r>
      <w:r>
        <w:rPr>
          <w:rFonts w:ascii="Arial" w:eastAsia="仿宋_GB2312" w:hAnsi="Arial" w:cs="Arial"/>
          <w:sz w:val="28"/>
        </w:rPr>
        <w:t>017</w:t>
      </w:r>
      <w:r>
        <w:rPr>
          <w:rFonts w:ascii="Arial" w:eastAsia="仿宋_GB2312" w:hAnsi="Arial" w:cs="Arial" w:hint="eastAsia"/>
          <w:sz w:val="28"/>
        </w:rPr>
        <w:t>]0</w:t>
      </w:r>
      <w:r>
        <w:rPr>
          <w:rFonts w:ascii="Arial" w:eastAsia="仿宋_GB2312" w:hAnsi="Arial" w:cs="Arial"/>
          <w:sz w:val="28"/>
        </w:rPr>
        <w:t>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w:t>
      </w:r>
      <w:r w:rsidRPr="00F631FB">
        <w:rPr>
          <w:rFonts w:ascii="Arial" w:eastAsia="仿宋_GB2312" w:hAnsi="Arial" w:cs="Arial" w:hint="eastAsia"/>
          <w:sz w:val="28"/>
        </w:rPr>
        <w:t>复印件</w:t>
      </w:r>
    </w:p>
    <w:p w14:paraId="29F17A34"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Pr>
          <w:rFonts w:ascii="Arial" w:eastAsia="仿宋_GB2312" w:hAnsi="Arial" w:cs="Arial" w:hint="eastAsia"/>
          <w:sz w:val="28"/>
        </w:rPr>
        <w:t>《中标通知书》复印件</w:t>
      </w:r>
    </w:p>
    <w:p w14:paraId="2FE9E2E0"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8.</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hint="eastAsia"/>
          <w:sz w:val="28"/>
        </w:rPr>
        <w:t>[</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hint="eastAsia"/>
          <w:sz w:val="28"/>
        </w:rPr>
        <w:t>0</w:t>
      </w:r>
      <w:r>
        <w:rPr>
          <w:rFonts w:ascii="Arial" w:eastAsia="仿宋_GB2312" w:hAnsi="Arial" w:cs="Arial"/>
          <w:sz w:val="28"/>
        </w:rPr>
        <w:t>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w:t>
      </w:r>
      <w:r w:rsidRPr="00F631FB">
        <w:rPr>
          <w:rFonts w:ascii="Arial" w:eastAsia="仿宋_GB2312" w:hAnsi="Arial" w:cs="Arial" w:hint="eastAsia"/>
          <w:sz w:val="28"/>
        </w:rPr>
        <w:t>复印件</w:t>
      </w:r>
    </w:p>
    <w:p w14:paraId="3AB177E1"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9.</w:t>
      </w:r>
      <w:r w:rsidRPr="00F631FB">
        <w:rPr>
          <w:rFonts w:ascii="Arial" w:eastAsia="仿宋_GB2312" w:hAnsi="Arial" w:cs="Arial" w:hint="eastAsia"/>
          <w:sz w:val="28"/>
        </w:rPr>
        <w:t>《</w:t>
      </w:r>
      <w:r>
        <w:rPr>
          <w:rFonts w:ascii="Arial" w:eastAsia="仿宋_GB2312" w:hAnsi="Arial" w:cs="Arial" w:hint="eastAsia"/>
          <w:sz w:val="28"/>
        </w:rPr>
        <w:t>北京市海淀区人民防空办公室建设项目修建人民防空防护工程标准审查意见书</w:t>
      </w:r>
      <w:r w:rsidRPr="00F631FB">
        <w:rPr>
          <w:rFonts w:ascii="Arial" w:eastAsia="仿宋_GB2312" w:hAnsi="Arial" w:cs="Arial" w:hint="eastAsia"/>
          <w:sz w:val="28"/>
        </w:rPr>
        <w:t>》</w:t>
      </w:r>
      <w:r w:rsidRPr="00F631FB">
        <w:rPr>
          <w:rFonts w:ascii="Arial" w:eastAsia="仿宋_GB2312" w:hAnsi="Arial" w:cs="Arial" w:hint="eastAsia"/>
          <w:sz w:val="28"/>
        </w:rPr>
        <w:t>[</w:t>
      </w:r>
      <w:r>
        <w:rPr>
          <w:rFonts w:ascii="Arial" w:eastAsia="仿宋_GB2312" w:hAnsi="Arial" w:cs="Arial"/>
          <w:sz w:val="28"/>
        </w:rPr>
        <w:t>2020</w:t>
      </w:r>
      <w:r>
        <w:rPr>
          <w:rFonts w:ascii="Arial" w:eastAsia="仿宋_GB2312" w:hAnsi="Arial" w:cs="Arial" w:hint="eastAsia"/>
          <w:sz w:val="28"/>
        </w:rPr>
        <w:t>（</w:t>
      </w:r>
      <w:r>
        <w:rPr>
          <w:rFonts w:ascii="Arial" w:eastAsia="仿宋_GB2312" w:hAnsi="Arial" w:cs="Arial" w:hint="eastAsia"/>
          <w:sz w:val="28"/>
        </w:rPr>
        <w:t>DGHY</w:t>
      </w:r>
      <w:r>
        <w:rPr>
          <w:rFonts w:ascii="Arial" w:eastAsia="仿宋_GB2312" w:hAnsi="Arial" w:cs="Arial" w:hint="eastAsia"/>
          <w:sz w:val="28"/>
        </w:rPr>
        <w:t>）京防（海）工准字</w:t>
      </w:r>
      <w:r>
        <w:rPr>
          <w:rFonts w:ascii="Arial" w:eastAsia="仿宋_GB2312" w:hAnsi="Arial" w:cs="Arial" w:hint="eastAsia"/>
          <w:sz w:val="28"/>
        </w:rPr>
        <w:t>0</w:t>
      </w:r>
      <w:r>
        <w:rPr>
          <w:rFonts w:ascii="Arial" w:eastAsia="仿宋_GB2312" w:hAnsi="Arial" w:cs="Arial"/>
          <w:sz w:val="28"/>
        </w:rPr>
        <w:t>022</w:t>
      </w:r>
      <w:r>
        <w:rPr>
          <w:rFonts w:ascii="Arial" w:eastAsia="仿宋_GB2312" w:hAnsi="Arial" w:cs="Arial" w:hint="eastAsia"/>
          <w:sz w:val="28"/>
        </w:rPr>
        <w:t>号</w:t>
      </w:r>
      <w:r w:rsidRPr="00F631FB">
        <w:rPr>
          <w:rFonts w:ascii="Arial" w:eastAsia="仿宋_GB2312" w:hAnsi="Arial" w:cs="Arial" w:hint="eastAsia"/>
          <w:sz w:val="28"/>
        </w:rPr>
        <w:t>]</w:t>
      </w:r>
      <w:r>
        <w:rPr>
          <w:rFonts w:ascii="Arial" w:eastAsia="仿宋_GB2312" w:hAnsi="Arial" w:cs="Arial" w:hint="eastAsia"/>
          <w:sz w:val="28"/>
        </w:rPr>
        <w:t>及其附图复印件</w:t>
      </w:r>
    </w:p>
    <w:p w14:paraId="4550B7AC" w14:textId="215BF7CA"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10.</w:t>
      </w:r>
      <w:r w:rsidR="006C1DB6">
        <w:rPr>
          <w:rFonts w:ascii="Arial" w:eastAsia="仿宋_GB2312" w:hAnsi="Arial" w:cs="Arial" w:hint="eastAsia"/>
          <w:sz w:val="28"/>
        </w:rPr>
        <w:t>《北京市发展和改革委员会、北京市住房和城乡建设委员会关于海淀区苏州街站一体化棚户区改造项目重新核准的批复》</w:t>
      </w:r>
      <w:r w:rsidR="006C1DB6">
        <w:rPr>
          <w:rFonts w:ascii="Arial" w:eastAsia="仿宋_GB2312" w:hAnsi="Arial" w:cs="Arial" w:hint="eastAsia"/>
          <w:sz w:val="28"/>
        </w:rPr>
        <w:t>[</w:t>
      </w:r>
      <w:r w:rsidR="006C1DB6">
        <w:rPr>
          <w:rFonts w:ascii="Arial" w:eastAsia="仿宋_GB2312" w:hAnsi="Arial" w:cs="Arial" w:hint="eastAsia"/>
          <w:sz w:val="28"/>
        </w:rPr>
        <w:t>京发改（核）</w:t>
      </w:r>
      <w:r w:rsidR="006C1DB6">
        <w:rPr>
          <w:rFonts w:ascii="Arial" w:eastAsia="仿宋_GB2312" w:hAnsi="Arial" w:cs="Arial" w:hint="eastAsia"/>
          <w:sz w:val="28"/>
        </w:rPr>
        <w:t>[2021]54</w:t>
      </w:r>
      <w:r w:rsidR="006C1DB6">
        <w:rPr>
          <w:rFonts w:ascii="Arial" w:eastAsia="仿宋_GB2312" w:hAnsi="Arial" w:cs="Arial" w:hint="eastAsia"/>
          <w:sz w:val="28"/>
        </w:rPr>
        <w:t>号</w:t>
      </w:r>
      <w:r w:rsidR="006C1DB6">
        <w:rPr>
          <w:rFonts w:ascii="Arial" w:eastAsia="仿宋_GB2312" w:hAnsi="Arial" w:cs="Arial" w:hint="eastAsia"/>
          <w:sz w:val="28"/>
        </w:rPr>
        <w:t>]</w:t>
      </w:r>
      <w:r w:rsidRPr="00F631FB">
        <w:rPr>
          <w:rFonts w:ascii="Arial" w:eastAsia="仿宋_GB2312" w:hAnsi="Arial" w:cs="Arial" w:hint="eastAsia"/>
          <w:sz w:val="28"/>
        </w:rPr>
        <w:t>复印件</w:t>
      </w:r>
    </w:p>
    <w:p w14:paraId="44A31F85" w14:textId="77777777" w:rsidR="0002769D"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11.</w:t>
      </w:r>
      <w:r>
        <w:rPr>
          <w:rFonts w:ascii="Arial" w:eastAsia="仿宋_GB2312" w:hAnsi="Arial" w:cs="Arial" w:hint="eastAsia"/>
          <w:sz w:val="28"/>
        </w:rPr>
        <w:t>《北京市海淀区人民政府关于商请加快地铁</w:t>
      </w: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w:t>
      </w:r>
      <w:r>
        <w:rPr>
          <w:rFonts w:ascii="Arial" w:eastAsia="仿宋_GB2312" w:hAnsi="Arial" w:cs="Arial" w:hint="eastAsia"/>
          <w:sz w:val="28"/>
        </w:rPr>
        <w:t>5</w:t>
      </w:r>
      <w:r>
        <w:rPr>
          <w:rFonts w:ascii="Arial" w:eastAsia="仿宋_GB2312" w:hAnsi="Arial" w:cs="Arial"/>
          <w:sz w:val="28"/>
        </w:rPr>
        <w:t>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w:t>
      </w:r>
      <w:r w:rsidRPr="00F631FB">
        <w:rPr>
          <w:rFonts w:ascii="Arial" w:eastAsia="仿宋_GB2312" w:hAnsi="Arial" w:cs="Arial" w:hint="eastAsia"/>
          <w:sz w:val="28"/>
        </w:rPr>
        <w:t>复印件</w:t>
      </w:r>
    </w:p>
    <w:p w14:paraId="40FD0995" w14:textId="77777777" w:rsidR="0002769D" w:rsidRPr="00F631FB" w:rsidRDefault="0002769D" w:rsidP="0002769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《名称变更通知》复印件</w:t>
      </w:r>
    </w:p>
    <w:p w14:paraId="466571EB" w14:textId="77777777" w:rsidR="0002769D"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lastRenderedPageBreak/>
        <w:t>1</w:t>
      </w:r>
      <w:r>
        <w:rPr>
          <w:rFonts w:ascii="Arial" w:eastAsia="仿宋_GB2312" w:hAnsi="Arial" w:cs="Arial"/>
          <w:sz w:val="28"/>
        </w:rPr>
        <w:t>3</w:t>
      </w:r>
      <w:r w:rsidRPr="00F631FB">
        <w:rPr>
          <w:rFonts w:ascii="Arial" w:eastAsia="仿宋_GB2312" w:hAnsi="Arial" w:cs="Arial" w:hint="eastAsia"/>
          <w:sz w:val="28"/>
        </w:rPr>
        <w:t>.</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编号：海权属审（</w:t>
      </w:r>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）字第</w:t>
      </w:r>
      <w:r>
        <w:rPr>
          <w:rFonts w:ascii="Arial" w:eastAsia="仿宋_GB2312" w:hAnsi="Arial" w:cs="Arial" w:hint="eastAsia"/>
          <w:sz w:val="28"/>
        </w:rPr>
        <w:t>1</w:t>
      </w:r>
      <w:r>
        <w:rPr>
          <w:rFonts w:ascii="Arial" w:eastAsia="仿宋_GB2312" w:hAnsi="Arial" w:cs="Arial"/>
          <w:sz w:val="28"/>
        </w:rPr>
        <w:t>268</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及其附表附图</w:t>
      </w:r>
      <w:r w:rsidRPr="00F631FB">
        <w:rPr>
          <w:rFonts w:ascii="Arial" w:eastAsia="仿宋_GB2312" w:hAnsi="Arial" w:cs="Arial" w:hint="eastAsia"/>
          <w:sz w:val="28"/>
        </w:rPr>
        <w:t>复印件</w:t>
      </w:r>
    </w:p>
    <w:p w14:paraId="3CD02794" w14:textId="77777777" w:rsidR="0002769D" w:rsidRDefault="0002769D" w:rsidP="0002769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《海淀区苏州街一体化棚户区改造项目建筑面积及用途的说明》及其附表复印件</w:t>
      </w:r>
    </w:p>
    <w:p w14:paraId="188B1F20" w14:textId="77777777" w:rsidR="0002769D" w:rsidRDefault="0002769D" w:rsidP="0002769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《关于海淀区苏州街站一体化棚户区改造项目成本说明》复印件</w:t>
      </w:r>
    </w:p>
    <w:p w14:paraId="2C35D79B" w14:textId="77777777" w:rsidR="0002769D" w:rsidRPr="00F631FB" w:rsidRDefault="0002769D" w:rsidP="0002769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《关于海淀南路</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号院（飞达地块）拆迁安置情况说明》复印件</w:t>
      </w:r>
    </w:p>
    <w:p w14:paraId="289D2C01"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Pr>
          <w:rFonts w:ascii="Arial" w:eastAsia="仿宋_GB2312" w:hAnsi="Arial" w:cs="Arial"/>
          <w:sz w:val="28"/>
        </w:rPr>
        <w:t>7</w:t>
      </w:r>
      <w:r w:rsidRPr="00F631FB">
        <w:rPr>
          <w:rFonts w:ascii="Arial" w:eastAsia="仿宋_GB2312" w:hAnsi="Arial" w:cs="Arial" w:hint="eastAsia"/>
          <w:sz w:val="28"/>
        </w:rPr>
        <w:t xml:space="preserve">. </w:t>
      </w:r>
      <w:r w:rsidRPr="00F631FB">
        <w:rPr>
          <w:rFonts w:ascii="Arial" w:eastAsia="仿宋_GB2312" w:hAnsi="Arial" w:cs="Arial" w:hint="eastAsia"/>
          <w:sz w:val="28"/>
        </w:rPr>
        <w:t>土地使用权人《营业执照》复印件</w:t>
      </w:r>
    </w:p>
    <w:p w14:paraId="30ADDBE9"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Pr>
          <w:rFonts w:ascii="Arial" w:eastAsia="仿宋_GB2312" w:hAnsi="Arial" w:cs="Arial"/>
          <w:sz w:val="28"/>
        </w:rPr>
        <w:t>8</w:t>
      </w:r>
      <w:r w:rsidRPr="00F631FB">
        <w:rPr>
          <w:rFonts w:ascii="Arial" w:eastAsia="仿宋_GB2312" w:hAnsi="Arial" w:cs="Arial" w:hint="eastAsia"/>
          <w:sz w:val="28"/>
        </w:rPr>
        <w:t>.</w:t>
      </w:r>
      <w:r w:rsidRPr="00F631FB">
        <w:rPr>
          <w:rFonts w:ascii="Arial" w:eastAsia="仿宋_GB2312" w:hAnsi="Arial" w:cs="Arial" w:hint="eastAsia"/>
          <w:sz w:val="28"/>
        </w:rPr>
        <w:t>估价机构《营业执照（副本）》复印件</w:t>
      </w:r>
    </w:p>
    <w:p w14:paraId="18DA404E"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Pr>
          <w:rFonts w:ascii="Arial" w:eastAsia="仿宋_GB2312" w:hAnsi="Arial" w:cs="Arial"/>
          <w:sz w:val="28"/>
        </w:rPr>
        <w:t>9</w:t>
      </w:r>
      <w:r w:rsidRPr="00F631FB">
        <w:rPr>
          <w:rFonts w:ascii="Arial" w:eastAsia="仿宋_GB2312" w:hAnsi="Arial" w:cs="Arial" w:hint="eastAsia"/>
          <w:sz w:val="28"/>
        </w:rPr>
        <w:t>.</w:t>
      </w:r>
      <w:r w:rsidRPr="00F631FB">
        <w:rPr>
          <w:rFonts w:ascii="Arial" w:eastAsia="仿宋_GB2312" w:hAnsi="Arial" w:cs="Arial" w:hint="eastAsia"/>
          <w:sz w:val="28"/>
        </w:rPr>
        <w:t>估价机构评估资质复印件</w:t>
      </w:r>
    </w:p>
    <w:p w14:paraId="07E1AED4" w14:textId="77777777" w:rsidR="0002769D" w:rsidRPr="0074010A" w:rsidRDefault="0002769D" w:rsidP="0002769D">
      <w:pPr>
        <w:spacing w:line="360" w:lineRule="auto"/>
        <w:ind w:firstLineChars="200" w:firstLine="560"/>
        <w:jc w:val="both"/>
        <w:rPr>
          <w:rFonts w:ascii="Arial" w:hAnsi="Arial" w:cs="Arial"/>
        </w:rPr>
      </w:pPr>
      <w:r>
        <w:rPr>
          <w:rFonts w:ascii="Arial" w:eastAsia="仿宋_GB2312" w:hAnsi="Arial" w:cs="Arial"/>
          <w:sz w:val="28"/>
        </w:rPr>
        <w:t>20</w:t>
      </w:r>
      <w:r w:rsidRPr="00F631FB">
        <w:rPr>
          <w:rFonts w:ascii="Arial" w:eastAsia="仿宋_GB2312" w:hAnsi="Arial" w:cs="Arial" w:hint="eastAsia"/>
          <w:sz w:val="28"/>
        </w:rPr>
        <w:t>.</w:t>
      </w:r>
      <w:r w:rsidRPr="00F631FB">
        <w:rPr>
          <w:rFonts w:ascii="Arial" w:eastAsia="仿宋_GB2312" w:hAnsi="Arial" w:cs="Arial" w:hint="eastAsia"/>
          <w:sz w:val="28"/>
        </w:rPr>
        <w:t>评估专业人员资质证书复印件</w:t>
      </w:r>
    </w:p>
    <w:p w14:paraId="68D1DD17" w14:textId="77777777" w:rsidR="002C3ABF" w:rsidRPr="0002769D" w:rsidRDefault="002C3ABF" w:rsidP="002C3ABF">
      <w:pPr>
        <w:rPr>
          <w:rFonts w:ascii="Arial" w:hAnsi="Arial" w:cs="Arial"/>
        </w:rPr>
      </w:pPr>
    </w:p>
    <w:p w14:paraId="561BA8D3" w14:textId="77777777" w:rsidR="002C3ABF" w:rsidRPr="00F631FB" w:rsidRDefault="002C3ABF" w:rsidP="002C3ABF">
      <w:pPr>
        <w:spacing w:line="432" w:lineRule="auto"/>
        <w:jc w:val="center"/>
        <w:rPr>
          <w:rFonts w:ascii="Arial" w:hAnsi="Arial" w:cs="Arial"/>
          <w:b/>
          <w:sz w:val="44"/>
        </w:rPr>
      </w:pPr>
      <w:bookmarkStart w:id="140" w:name="_Toc416783539"/>
      <w:bookmarkStart w:id="141" w:name="_Toc416783635"/>
      <w:bookmarkStart w:id="142" w:name="_Toc418750902"/>
    </w:p>
    <w:p w14:paraId="7E288EF3" w14:textId="77777777" w:rsidR="002C3ABF" w:rsidRPr="00F631FB" w:rsidRDefault="002C3ABF" w:rsidP="002C3ABF">
      <w:pPr>
        <w:spacing w:line="432" w:lineRule="auto"/>
        <w:jc w:val="center"/>
        <w:rPr>
          <w:rFonts w:ascii="Arial" w:hAnsi="Arial" w:cs="Arial"/>
          <w:b/>
          <w:sz w:val="44"/>
        </w:rPr>
        <w:sectPr w:rsidR="002C3ABF" w:rsidRPr="00F631FB" w:rsidSect="004A2C77">
          <w:headerReference w:type="first" r:id="rId53"/>
          <w:footerReference w:type="first" r:id="rId54"/>
          <w:pgSz w:w="11907" w:h="16840"/>
          <w:pgMar w:top="1843" w:right="1134" w:bottom="1134" w:left="1134" w:header="1134" w:footer="907" w:gutter="340"/>
          <w:cols w:space="720"/>
          <w:docGrid w:linePitch="326"/>
        </w:sectPr>
      </w:pPr>
    </w:p>
    <w:p w14:paraId="7500FA7C" w14:textId="77777777" w:rsidR="002C3ABF" w:rsidRPr="00F631FB" w:rsidRDefault="002C3ABF" w:rsidP="002C3ABF">
      <w:pPr>
        <w:spacing w:line="432" w:lineRule="auto"/>
        <w:jc w:val="center"/>
        <w:rPr>
          <w:rFonts w:ascii="Arial" w:hAnsi="Arial" w:cs="Arial"/>
          <w:sz w:val="44"/>
        </w:rPr>
      </w:pPr>
      <w:r w:rsidRPr="00F631FB">
        <w:rPr>
          <w:rFonts w:ascii="Arial" w:hAnsi="Arial" w:cs="Arial"/>
          <w:b/>
          <w:sz w:val="44"/>
        </w:rPr>
        <w:lastRenderedPageBreak/>
        <w:t>土</w:t>
      </w:r>
      <w:r w:rsidRPr="00F631FB">
        <w:rPr>
          <w:rFonts w:ascii="Arial" w:eastAsia="仿宋_GB2312" w:hAnsi="Arial" w:cs="Arial"/>
          <w:b/>
          <w:sz w:val="44"/>
        </w:rPr>
        <w:t xml:space="preserve"> </w:t>
      </w:r>
      <w:r w:rsidRPr="00F631FB">
        <w:rPr>
          <w:rFonts w:ascii="Arial" w:hAnsi="Arial" w:cs="Arial"/>
          <w:b/>
          <w:sz w:val="44"/>
        </w:rPr>
        <w:t>地</w:t>
      </w:r>
      <w:r w:rsidRPr="00F631FB">
        <w:rPr>
          <w:rFonts w:ascii="Arial" w:eastAsia="仿宋_GB2312" w:hAnsi="Arial" w:cs="Arial"/>
          <w:b/>
          <w:sz w:val="44"/>
        </w:rPr>
        <w:t xml:space="preserve"> </w:t>
      </w:r>
      <w:r w:rsidRPr="00F631FB">
        <w:rPr>
          <w:rFonts w:ascii="Arial" w:hAnsi="Arial" w:cs="Arial"/>
          <w:b/>
          <w:sz w:val="44"/>
        </w:rPr>
        <w:t>估</w:t>
      </w:r>
      <w:r w:rsidRPr="00F631FB">
        <w:rPr>
          <w:rFonts w:ascii="Arial" w:eastAsia="仿宋_GB2312" w:hAnsi="Arial" w:cs="Arial"/>
          <w:b/>
          <w:sz w:val="44"/>
        </w:rPr>
        <w:t xml:space="preserve"> </w:t>
      </w:r>
      <w:r w:rsidRPr="00F631FB">
        <w:rPr>
          <w:rFonts w:ascii="Arial" w:hAnsi="Arial" w:cs="Arial"/>
          <w:b/>
          <w:sz w:val="44"/>
        </w:rPr>
        <w:t>价</w:t>
      </w:r>
      <w:r w:rsidRPr="00F631FB">
        <w:rPr>
          <w:rFonts w:ascii="Arial" w:eastAsia="仿宋_GB2312" w:hAnsi="Arial" w:cs="Arial"/>
          <w:b/>
          <w:sz w:val="44"/>
        </w:rPr>
        <w:t xml:space="preserve"> </w:t>
      </w:r>
      <w:r w:rsidRPr="00F631FB">
        <w:rPr>
          <w:rFonts w:ascii="Arial" w:hAnsi="Arial" w:cs="Arial"/>
          <w:b/>
          <w:sz w:val="44"/>
        </w:rPr>
        <w:t>技</w:t>
      </w:r>
      <w:r w:rsidRPr="00F631FB">
        <w:rPr>
          <w:rFonts w:ascii="Arial" w:eastAsia="仿宋_GB2312" w:hAnsi="Arial" w:cs="Arial"/>
          <w:b/>
          <w:sz w:val="44"/>
        </w:rPr>
        <w:t xml:space="preserve"> </w:t>
      </w:r>
      <w:r w:rsidRPr="00F631FB">
        <w:rPr>
          <w:rFonts w:ascii="Arial" w:hAnsi="Arial" w:cs="Arial"/>
          <w:b/>
          <w:sz w:val="44"/>
        </w:rPr>
        <w:t>术</w:t>
      </w:r>
      <w:r w:rsidRPr="00F631FB">
        <w:rPr>
          <w:rFonts w:ascii="Arial" w:eastAsia="仿宋_GB2312" w:hAnsi="Arial" w:cs="Arial"/>
          <w:b/>
          <w:sz w:val="44"/>
        </w:rPr>
        <w:t xml:space="preserve"> </w:t>
      </w:r>
      <w:r w:rsidRPr="00F631FB">
        <w:rPr>
          <w:rFonts w:ascii="Arial" w:hAnsi="Arial" w:cs="Arial"/>
          <w:b/>
          <w:sz w:val="44"/>
        </w:rPr>
        <w:t>报</w:t>
      </w:r>
      <w:r w:rsidRPr="00F631FB">
        <w:rPr>
          <w:rFonts w:ascii="Arial" w:eastAsia="仿宋_GB2312" w:hAnsi="Arial" w:cs="Arial"/>
          <w:b/>
          <w:sz w:val="44"/>
        </w:rPr>
        <w:t xml:space="preserve"> </w:t>
      </w:r>
      <w:r w:rsidRPr="00F631FB">
        <w:rPr>
          <w:rFonts w:ascii="Arial" w:hAnsi="Arial" w:cs="Arial"/>
          <w:b/>
          <w:sz w:val="44"/>
        </w:rPr>
        <w:t>告</w:t>
      </w:r>
      <w:bookmarkEnd w:id="140"/>
      <w:bookmarkEnd w:id="141"/>
      <w:bookmarkEnd w:id="142"/>
    </w:p>
    <w:p w14:paraId="41964AC7" w14:textId="77777777" w:rsidR="002C3ABF" w:rsidRPr="00F631FB" w:rsidRDefault="002C3ABF" w:rsidP="002C3ABF">
      <w:pPr>
        <w:spacing w:line="432" w:lineRule="auto"/>
        <w:jc w:val="center"/>
        <w:rPr>
          <w:rFonts w:ascii="Arial" w:eastAsia="楷体_GB2312" w:hAnsi="Arial" w:cs="Arial"/>
          <w:bCs/>
          <w:sz w:val="32"/>
        </w:rPr>
      </w:pPr>
    </w:p>
    <w:p w14:paraId="3DBF8524" w14:textId="6ED1FC77" w:rsidR="002C3ABF" w:rsidRPr="00F631FB" w:rsidRDefault="002C3ABF" w:rsidP="00771E24">
      <w:pPr>
        <w:spacing w:line="432" w:lineRule="auto"/>
        <w:ind w:left="2201" w:hangingChars="685" w:hanging="2201"/>
        <w:jc w:val="both"/>
        <w:rPr>
          <w:rFonts w:ascii="Arial" w:eastAsia="楷体_GB2312" w:hAnsi="Arial" w:cs="Arial"/>
          <w:b/>
          <w:i/>
          <w:sz w:val="28"/>
          <w:szCs w:val="28"/>
        </w:rPr>
      </w:pPr>
      <w:r w:rsidRPr="00F631FB">
        <w:rPr>
          <w:rFonts w:ascii="Arial" w:eastAsia="楷体_GB2312" w:hAnsi="Arial" w:cs="Arial"/>
          <w:b/>
          <w:sz w:val="32"/>
        </w:rPr>
        <w:t>项</w:t>
      </w:r>
      <w:r w:rsidRPr="00F631FB">
        <w:rPr>
          <w:rFonts w:ascii="Arial" w:eastAsia="仿宋_GB2312" w:hAnsi="Arial" w:cs="Arial"/>
          <w:b/>
          <w:sz w:val="32"/>
        </w:rPr>
        <w:t xml:space="preserve">  </w:t>
      </w:r>
      <w:r w:rsidRPr="00F631FB">
        <w:rPr>
          <w:rFonts w:ascii="Arial" w:eastAsia="楷体_GB2312" w:hAnsi="Arial" w:cs="Arial"/>
          <w:b/>
          <w:sz w:val="32"/>
        </w:rPr>
        <w:t>目</w:t>
      </w:r>
      <w:r w:rsidRPr="00F631FB">
        <w:rPr>
          <w:rFonts w:ascii="Arial" w:eastAsia="仿宋_GB2312" w:hAnsi="Arial" w:cs="Arial"/>
          <w:b/>
          <w:sz w:val="32"/>
        </w:rPr>
        <w:t xml:space="preserve"> </w:t>
      </w:r>
      <w:r w:rsidRPr="00F631FB">
        <w:rPr>
          <w:rFonts w:ascii="Arial" w:eastAsia="楷体_GB2312" w:hAnsi="Arial" w:cs="Arial"/>
          <w:b/>
          <w:sz w:val="32"/>
        </w:rPr>
        <w:t>名</w:t>
      </w:r>
      <w:r w:rsidRPr="00F631FB">
        <w:rPr>
          <w:rFonts w:ascii="Arial" w:eastAsia="仿宋_GB2312" w:hAnsi="Arial" w:cs="Arial"/>
          <w:b/>
          <w:sz w:val="32"/>
        </w:rPr>
        <w:t xml:space="preserve"> </w:t>
      </w:r>
      <w:r w:rsidRPr="00F631FB">
        <w:rPr>
          <w:rFonts w:ascii="Arial" w:eastAsia="楷体_GB2312" w:hAnsi="Arial" w:cs="Arial"/>
          <w:b/>
          <w:sz w:val="32"/>
        </w:rPr>
        <w:t>称：</w:t>
      </w:r>
      <w:r w:rsidR="0002769D" w:rsidRPr="00F631FB">
        <w:rPr>
          <w:rFonts w:ascii="Arial" w:eastAsia="楷体_GB2312" w:hAnsi="Arial" w:cs="Arial"/>
          <w:b/>
          <w:sz w:val="32"/>
        </w:rPr>
        <w:t>北京市海淀区</w:t>
      </w:r>
      <w:r w:rsidR="0002769D">
        <w:rPr>
          <w:rFonts w:ascii="Arial" w:eastAsia="楷体_GB2312" w:hAnsi="Arial" w:cs="Arial" w:hint="eastAsia"/>
          <w:b/>
          <w:sz w:val="32"/>
        </w:rPr>
        <w:t>苏州街站一体化棚户区改造一次性招标项目</w:t>
      </w:r>
      <w:r w:rsidR="0002769D" w:rsidRPr="00F631FB">
        <w:rPr>
          <w:rFonts w:ascii="Arial" w:eastAsia="楷体_GB2312" w:hAnsi="Arial" w:cs="Arial"/>
          <w:b/>
          <w:sz w:val="32"/>
        </w:rPr>
        <w:t>国有建设用地使用权出让地价评估</w:t>
      </w:r>
    </w:p>
    <w:p w14:paraId="77638F8A" w14:textId="77777777" w:rsidR="002C3ABF" w:rsidRPr="00F631FB" w:rsidRDefault="002C3ABF" w:rsidP="00771E24">
      <w:pPr>
        <w:spacing w:line="432" w:lineRule="auto"/>
        <w:ind w:left="1925" w:hangingChars="685" w:hanging="1925"/>
        <w:jc w:val="both"/>
        <w:rPr>
          <w:rFonts w:ascii="Arial" w:eastAsia="楷体_GB2312" w:hAnsi="Arial" w:cs="Arial"/>
          <w:b/>
          <w:sz w:val="28"/>
          <w:szCs w:val="28"/>
        </w:rPr>
      </w:pPr>
    </w:p>
    <w:p w14:paraId="41869CB1" w14:textId="77777777" w:rsidR="002C3ABF" w:rsidRPr="00F631FB" w:rsidRDefault="002C3ABF" w:rsidP="002C3ABF">
      <w:pPr>
        <w:spacing w:line="432" w:lineRule="auto"/>
        <w:rPr>
          <w:rFonts w:ascii="Arial" w:eastAsia="楷体_GB2312" w:hAnsi="Arial" w:cs="Arial"/>
          <w:b/>
          <w:bCs/>
          <w:sz w:val="32"/>
        </w:rPr>
      </w:pPr>
      <w:r w:rsidRPr="00F631FB">
        <w:rPr>
          <w:rFonts w:ascii="Arial" w:eastAsia="楷体_GB2312" w:hAnsi="Arial" w:cs="Arial"/>
          <w:b/>
          <w:sz w:val="32"/>
        </w:rPr>
        <w:t>受托估价单位：</w:t>
      </w:r>
      <w:proofErr w:type="gramStart"/>
      <w:r w:rsidRPr="00F631FB">
        <w:rPr>
          <w:rFonts w:ascii="Arial" w:eastAsia="楷体_GB2312" w:hAnsi="Arial" w:cs="Arial"/>
          <w:b/>
          <w:sz w:val="32"/>
        </w:rPr>
        <w:t>北京康正宏</w:t>
      </w:r>
      <w:proofErr w:type="gramEnd"/>
      <w:r w:rsidRPr="00F631FB">
        <w:rPr>
          <w:rFonts w:ascii="Arial" w:eastAsia="楷体_GB2312" w:hAnsi="Arial" w:cs="Arial"/>
          <w:b/>
          <w:sz w:val="32"/>
        </w:rPr>
        <w:t>基房地产评估有限公司</w:t>
      </w:r>
    </w:p>
    <w:p w14:paraId="6435FA01" w14:textId="77777777" w:rsidR="002C3ABF" w:rsidRPr="00F631FB" w:rsidRDefault="002C3ABF" w:rsidP="002C3ABF">
      <w:pPr>
        <w:spacing w:line="432" w:lineRule="auto"/>
        <w:ind w:right="-327"/>
        <w:rPr>
          <w:rFonts w:ascii="Arial" w:eastAsia="楷体_GB2312" w:hAnsi="Arial" w:cs="Arial"/>
          <w:b/>
          <w:bCs/>
          <w:sz w:val="32"/>
        </w:rPr>
      </w:pPr>
      <w:bookmarkStart w:id="143" w:name="_Toc416783540"/>
      <w:bookmarkStart w:id="144" w:name="_Toc416783636"/>
    </w:p>
    <w:p w14:paraId="05C4F20D" w14:textId="59092A2E" w:rsidR="002C3ABF" w:rsidRPr="00F631FB" w:rsidRDefault="002C3ABF" w:rsidP="002C3ABF">
      <w:pPr>
        <w:spacing w:line="432" w:lineRule="auto"/>
        <w:ind w:right="-327"/>
        <w:rPr>
          <w:rFonts w:ascii="Arial" w:eastAsia="楷体_GB2312" w:hAnsi="Arial" w:cs="Arial"/>
          <w:b/>
          <w:sz w:val="32"/>
        </w:rPr>
      </w:pPr>
      <w:bookmarkStart w:id="145" w:name="_Toc418750903"/>
      <w:bookmarkEnd w:id="143"/>
      <w:bookmarkEnd w:id="144"/>
      <w:r w:rsidRPr="00F631FB">
        <w:rPr>
          <w:rFonts w:ascii="Arial" w:eastAsia="楷体_GB2312" w:hAnsi="Arial" w:cs="Arial"/>
          <w:b/>
          <w:sz w:val="32"/>
        </w:rPr>
        <w:t>土地估价报告编号：</w:t>
      </w:r>
      <w:bookmarkStart w:id="146" w:name="_Toc416783637"/>
      <w:bookmarkStart w:id="147" w:name="_Toc416783541"/>
      <w:bookmarkEnd w:id="145"/>
      <w:r w:rsidR="008E4F13">
        <w:rPr>
          <w:rFonts w:ascii="Arial" w:eastAsia="楷体_GB2312" w:hAnsi="Arial" w:cs="Arial"/>
          <w:b/>
          <w:sz w:val="32"/>
        </w:rPr>
        <w:t>2021-1-0606-</w:t>
      </w:r>
      <w:r w:rsidR="00831261">
        <w:rPr>
          <w:rFonts w:ascii="Arial" w:eastAsia="楷体_GB2312" w:hAnsi="Arial" w:cs="Arial"/>
          <w:b/>
          <w:sz w:val="32"/>
        </w:rPr>
        <w:t>F02</w:t>
      </w:r>
      <w:r w:rsidR="008E4F13">
        <w:rPr>
          <w:rFonts w:ascii="Arial" w:eastAsia="楷体_GB2312" w:hAnsi="Arial" w:cs="Arial"/>
          <w:b/>
          <w:sz w:val="32"/>
        </w:rPr>
        <w:t>TDCR6</w:t>
      </w:r>
    </w:p>
    <w:p w14:paraId="6F868F99" w14:textId="77777777" w:rsidR="002C3ABF" w:rsidRPr="00F631FB" w:rsidRDefault="002C3ABF" w:rsidP="002C3ABF">
      <w:pPr>
        <w:spacing w:line="432" w:lineRule="auto"/>
        <w:ind w:right="-327"/>
        <w:rPr>
          <w:rFonts w:ascii="Arial" w:eastAsia="楷体_GB2312" w:hAnsi="Arial" w:cs="Arial"/>
          <w:b/>
          <w:bCs/>
          <w:spacing w:val="-10"/>
          <w:sz w:val="32"/>
        </w:rPr>
      </w:pPr>
    </w:p>
    <w:p w14:paraId="183FC73D" w14:textId="72DB257F" w:rsidR="002C3ABF" w:rsidRPr="00F631FB" w:rsidRDefault="002C3ABF" w:rsidP="002C3ABF">
      <w:pPr>
        <w:spacing w:line="432" w:lineRule="auto"/>
        <w:ind w:right="-207"/>
        <w:rPr>
          <w:rFonts w:ascii="Arial" w:eastAsia="楷体_GB2312" w:hAnsi="Arial" w:cs="Arial"/>
          <w:b/>
          <w:sz w:val="32"/>
        </w:rPr>
      </w:pPr>
      <w:bookmarkStart w:id="148" w:name="_Toc418750904"/>
      <w:r w:rsidRPr="00F631FB">
        <w:rPr>
          <w:rFonts w:ascii="Arial" w:eastAsia="楷体_GB2312" w:hAnsi="Arial" w:cs="Arial"/>
          <w:b/>
          <w:bCs/>
          <w:spacing w:val="-10"/>
          <w:sz w:val="32"/>
        </w:rPr>
        <w:t>土地估价技术报告编号：</w:t>
      </w:r>
      <w:bookmarkEnd w:id="146"/>
      <w:bookmarkEnd w:id="147"/>
      <w:bookmarkEnd w:id="148"/>
      <w:r w:rsidR="008E4F13">
        <w:rPr>
          <w:rFonts w:ascii="Arial" w:eastAsia="楷体_GB2312" w:hAnsi="Arial" w:cs="Arial"/>
          <w:b/>
          <w:sz w:val="32"/>
        </w:rPr>
        <w:t>2021-1-0606-</w:t>
      </w:r>
      <w:r w:rsidR="00831261">
        <w:rPr>
          <w:rFonts w:ascii="Arial" w:eastAsia="楷体_GB2312" w:hAnsi="Arial" w:cs="Arial"/>
          <w:b/>
          <w:sz w:val="32"/>
        </w:rPr>
        <w:t>F02</w:t>
      </w:r>
      <w:r w:rsidR="008E4F13">
        <w:rPr>
          <w:rFonts w:ascii="Arial" w:eastAsia="楷体_GB2312" w:hAnsi="Arial" w:cs="Arial"/>
          <w:b/>
          <w:sz w:val="32"/>
        </w:rPr>
        <w:t>TDCR6</w:t>
      </w:r>
    </w:p>
    <w:p w14:paraId="61CB1CF1" w14:textId="77777777" w:rsidR="002C3ABF" w:rsidRPr="00F631FB" w:rsidRDefault="002C3ABF" w:rsidP="002C3ABF">
      <w:pPr>
        <w:spacing w:line="432" w:lineRule="auto"/>
        <w:ind w:right="-207"/>
        <w:rPr>
          <w:rFonts w:ascii="Arial" w:eastAsia="楷体_GB2312" w:hAnsi="Arial" w:cs="Arial"/>
          <w:b/>
          <w:sz w:val="32"/>
        </w:rPr>
      </w:pPr>
    </w:p>
    <w:p w14:paraId="482222B7" w14:textId="216EA364" w:rsidR="002C3ABF" w:rsidRPr="00F631FB" w:rsidRDefault="002C3ABF" w:rsidP="002C3ABF">
      <w:pPr>
        <w:spacing w:line="432" w:lineRule="auto"/>
        <w:rPr>
          <w:rFonts w:ascii="Arial" w:eastAsia="楷体_GB2312" w:hAnsi="Arial" w:cs="Arial"/>
          <w:b/>
          <w:bCs/>
          <w:spacing w:val="-20"/>
          <w:sz w:val="32"/>
        </w:rPr>
      </w:pPr>
      <w:r w:rsidRPr="00F631FB">
        <w:rPr>
          <w:rFonts w:ascii="Arial" w:eastAsia="楷体_GB2312" w:hAnsi="Arial" w:cs="Arial"/>
          <w:b/>
          <w:bCs/>
          <w:sz w:val="32"/>
        </w:rPr>
        <w:t>提交估价报告日期：</w:t>
      </w:r>
      <w:r w:rsidR="00831261">
        <w:rPr>
          <w:rFonts w:ascii="Arial" w:eastAsia="楷体_GB2312" w:hAnsi="Arial" w:cs="Arial"/>
          <w:b/>
          <w:sz w:val="32"/>
        </w:rPr>
        <w:t>2021</w:t>
      </w:r>
      <w:r w:rsidR="00831261">
        <w:rPr>
          <w:rFonts w:ascii="Arial" w:eastAsia="楷体_GB2312" w:hAnsi="Arial" w:cs="Arial"/>
          <w:b/>
          <w:sz w:val="32"/>
        </w:rPr>
        <w:t>年</w:t>
      </w:r>
      <w:r w:rsidR="00831261">
        <w:rPr>
          <w:rFonts w:ascii="Arial" w:eastAsia="楷体_GB2312" w:hAnsi="Arial" w:cs="Arial"/>
          <w:b/>
          <w:sz w:val="32"/>
        </w:rPr>
        <w:t>12</w:t>
      </w:r>
      <w:r w:rsidR="00831261">
        <w:rPr>
          <w:rFonts w:ascii="Arial" w:eastAsia="楷体_GB2312" w:hAnsi="Arial" w:cs="Arial"/>
          <w:b/>
          <w:sz w:val="32"/>
        </w:rPr>
        <w:t>月</w:t>
      </w:r>
      <w:r w:rsidR="00831261">
        <w:rPr>
          <w:rFonts w:ascii="Arial" w:eastAsia="楷体_GB2312" w:hAnsi="Arial" w:cs="Arial"/>
          <w:b/>
          <w:sz w:val="32"/>
        </w:rPr>
        <w:t>1</w:t>
      </w:r>
      <w:r w:rsidR="00831261">
        <w:rPr>
          <w:rFonts w:ascii="Arial" w:eastAsia="楷体_GB2312" w:hAnsi="Arial" w:cs="Arial"/>
          <w:b/>
          <w:sz w:val="32"/>
        </w:rPr>
        <w:t>日</w:t>
      </w:r>
    </w:p>
    <w:p w14:paraId="609AA62A" w14:textId="77777777" w:rsidR="002C3ABF" w:rsidRPr="00F631FB" w:rsidRDefault="002C3ABF" w:rsidP="002C3ABF">
      <w:pPr>
        <w:spacing w:line="432" w:lineRule="auto"/>
        <w:rPr>
          <w:rFonts w:ascii="Arial" w:eastAsia="楷体_GB2312" w:hAnsi="Arial" w:cs="Arial"/>
          <w:b/>
          <w:bCs/>
          <w:sz w:val="32"/>
        </w:rPr>
      </w:pPr>
    </w:p>
    <w:p w14:paraId="27E57160" w14:textId="77777777" w:rsidR="002C3ABF" w:rsidRPr="00F631FB" w:rsidRDefault="002C3ABF" w:rsidP="002C3ABF">
      <w:pPr>
        <w:spacing w:line="240" w:lineRule="auto"/>
        <w:rPr>
          <w:rFonts w:ascii="Arial" w:eastAsia="楷体_GB2312" w:hAnsi="Arial" w:cs="Arial"/>
          <w:b/>
          <w:bCs/>
          <w:sz w:val="32"/>
        </w:rPr>
      </w:pPr>
      <w:r w:rsidRPr="00F631FB">
        <w:rPr>
          <w:rFonts w:ascii="Arial" w:eastAsia="楷体_GB2312" w:hAnsi="Arial" w:cs="Arial"/>
          <w:b/>
          <w:bCs/>
          <w:sz w:val="32"/>
        </w:rPr>
        <w:t>关键词：北京市、海淀区</w:t>
      </w:r>
    </w:p>
    <w:p w14:paraId="283B3ABB" w14:textId="77777777" w:rsidR="002C3ABF" w:rsidRPr="00F631FB" w:rsidRDefault="002C3ABF" w:rsidP="00771E24">
      <w:pPr>
        <w:spacing w:line="240" w:lineRule="auto"/>
        <w:ind w:firstLineChars="400" w:firstLine="1285"/>
        <w:rPr>
          <w:rFonts w:ascii="Arial" w:eastAsia="楷体_GB2312" w:hAnsi="Arial" w:cs="Arial"/>
          <w:b/>
          <w:bCs/>
          <w:sz w:val="32"/>
        </w:rPr>
      </w:pPr>
      <w:r w:rsidRPr="00F631FB">
        <w:rPr>
          <w:rFonts w:ascii="Arial" w:eastAsia="楷体_GB2312" w:hAnsi="Arial" w:cs="Arial"/>
          <w:b/>
          <w:bCs/>
          <w:sz w:val="32"/>
        </w:rPr>
        <w:t>出让地价</w:t>
      </w:r>
    </w:p>
    <w:p w14:paraId="0348DD06" w14:textId="77777777" w:rsidR="002C3ABF" w:rsidRPr="00F631FB" w:rsidRDefault="002C3ABF" w:rsidP="00771E24">
      <w:pPr>
        <w:spacing w:line="240" w:lineRule="auto"/>
        <w:ind w:firstLineChars="400" w:firstLine="1285"/>
        <w:rPr>
          <w:rFonts w:ascii="Arial" w:eastAsia="楷体_GB2312" w:hAnsi="Arial" w:cs="Arial"/>
          <w:b/>
          <w:bCs/>
          <w:sz w:val="32"/>
        </w:rPr>
      </w:pPr>
      <w:proofErr w:type="gramStart"/>
      <w:r w:rsidRPr="00F631FB">
        <w:rPr>
          <w:rFonts w:ascii="Arial" w:eastAsia="楷体_GB2312" w:hAnsi="Arial" w:cs="Arial"/>
          <w:b/>
          <w:bCs/>
          <w:sz w:val="32"/>
        </w:rPr>
        <w:t>北京康正宏</w:t>
      </w:r>
      <w:proofErr w:type="gramEnd"/>
      <w:r w:rsidRPr="00F631FB">
        <w:rPr>
          <w:rFonts w:ascii="Arial" w:eastAsia="楷体_GB2312" w:hAnsi="Arial" w:cs="Arial"/>
          <w:b/>
          <w:bCs/>
          <w:sz w:val="32"/>
        </w:rPr>
        <w:t>基房地产评估有限公司</w:t>
      </w:r>
    </w:p>
    <w:p w14:paraId="1D53CE6D" w14:textId="77777777" w:rsidR="002C3ABF" w:rsidRPr="00F631FB" w:rsidRDefault="002C3ABF" w:rsidP="002C3ABF">
      <w:pPr>
        <w:spacing w:line="240" w:lineRule="auto"/>
        <w:rPr>
          <w:rFonts w:ascii="Arial" w:eastAsia="楷体_GB2312" w:hAnsi="Arial" w:cs="Arial"/>
          <w:b/>
          <w:bCs/>
          <w:spacing w:val="-20"/>
          <w:sz w:val="32"/>
        </w:rPr>
      </w:pPr>
      <w:r w:rsidRPr="00F631FB">
        <w:rPr>
          <w:rFonts w:ascii="Arial" w:eastAsia="仿宋_GB2312" w:hAnsi="Arial" w:cs="Arial"/>
          <w:b/>
          <w:bCs/>
          <w:sz w:val="32"/>
        </w:rPr>
        <w:t xml:space="preserve">        </w:t>
      </w:r>
      <w:r w:rsidRPr="00F631FB">
        <w:rPr>
          <w:rFonts w:ascii="Arial" w:eastAsia="楷体_GB2312" w:hAnsi="Arial" w:cs="Arial"/>
          <w:b/>
          <w:bCs/>
          <w:sz w:val="32"/>
        </w:rPr>
        <w:t>二Ｏ二一年</w:t>
      </w:r>
    </w:p>
    <w:p w14:paraId="3322FBA0" w14:textId="77777777" w:rsidR="002C3ABF" w:rsidRPr="00F631FB" w:rsidRDefault="002C3ABF" w:rsidP="002C3ABF">
      <w:pPr>
        <w:tabs>
          <w:tab w:val="center" w:pos="4649"/>
        </w:tabs>
        <w:spacing w:line="360" w:lineRule="auto"/>
        <w:rPr>
          <w:rFonts w:ascii="Arial" w:eastAsia="楷体" w:hAnsi="Arial" w:cs="Arial"/>
          <w:bCs/>
          <w:sz w:val="32"/>
        </w:rPr>
        <w:sectPr w:rsidR="002C3ABF" w:rsidRPr="00F631FB" w:rsidSect="004A2C77">
          <w:footerReference w:type="default" r:id="rId55"/>
          <w:pgSz w:w="11907" w:h="16840"/>
          <w:pgMar w:top="1843" w:right="1134" w:bottom="1134" w:left="1134" w:header="851" w:footer="1134" w:gutter="340"/>
          <w:cols w:space="720"/>
          <w:docGrid w:linePitch="326"/>
        </w:sectPr>
      </w:pPr>
      <w:r w:rsidRPr="00F631FB">
        <w:rPr>
          <w:rFonts w:ascii="Arial" w:eastAsia="楷体" w:hAnsi="Arial" w:cs="Arial"/>
          <w:bCs/>
          <w:sz w:val="32"/>
        </w:rPr>
        <w:tab/>
      </w:r>
    </w:p>
    <w:p w14:paraId="601BF34D" w14:textId="77777777" w:rsidR="002C3ABF" w:rsidRPr="00F631FB" w:rsidRDefault="002C3ABF" w:rsidP="002C3ABF">
      <w:pPr>
        <w:pStyle w:val="TOC1"/>
        <w:rPr>
          <w:rFonts w:ascii="Arial" w:cs="Arial"/>
          <w:noProof/>
        </w:rPr>
      </w:pPr>
      <w:r w:rsidRPr="00F631FB">
        <w:rPr>
          <w:rFonts w:ascii="Arial" w:cs="Arial"/>
          <w:b/>
          <w:sz w:val="32"/>
          <w:szCs w:val="32"/>
        </w:rPr>
        <w:lastRenderedPageBreak/>
        <w:t>目录</w:t>
      </w:r>
      <w:r w:rsidR="00123EE9" w:rsidRPr="00F631FB">
        <w:rPr>
          <w:rStyle w:val="ad"/>
          <w:rFonts w:ascii="Arial" w:cs="Arial"/>
          <w:color w:val="auto"/>
          <w:sz w:val="24"/>
          <w:szCs w:val="24"/>
        </w:rPr>
        <w:fldChar w:fldCharType="begin"/>
      </w:r>
      <w:r w:rsidRPr="00F631FB">
        <w:rPr>
          <w:rStyle w:val="ad"/>
          <w:rFonts w:ascii="Arial" w:cs="Arial"/>
          <w:color w:val="auto"/>
          <w:sz w:val="24"/>
          <w:szCs w:val="24"/>
        </w:rPr>
        <w:instrText xml:space="preserve"> TOC \o "1-2" \h \z \u </w:instrText>
      </w:r>
      <w:r w:rsidR="00123EE9" w:rsidRPr="00F631FB">
        <w:rPr>
          <w:rStyle w:val="ad"/>
          <w:rFonts w:ascii="Arial" w:cs="Arial"/>
          <w:color w:val="auto"/>
          <w:sz w:val="24"/>
          <w:szCs w:val="24"/>
        </w:rPr>
        <w:fldChar w:fldCharType="separate"/>
      </w:r>
    </w:p>
    <w:p w14:paraId="2B51CA6F" w14:textId="4BAF986B" w:rsidR="002C3ABF" w:rsidRPr="00F631FB" w:rsidRDefault="007B5839" w:rsidP="002C3ABF">
      <w:pPr>
        <w:pStyle w:val="TOC1"/>
        <w:rPr>
          <w:rFonts w:ascii="Arial" w:eastAsiaTheme="minorEastAsia" w:cs="Arial"/>
          <w:noProof/>
          <w:kern w:val="2"/>
          <w:sz w:val="21"/>
          <w:szCs w:val="22"/>
        </w:rPr>
      </w:pPr>
      <w:hyperlink w:anchor="_Toc524335084" w:history="1">
        <w:r w:rsidR="002C3ABF" w:rsidRPr="00F631FB">
          <w:rPr>
            <w:rStyle w:val="ad"/>
            <w:rFonts w:ascii="Arial" w:cs="Arial"/>
            <w:b/>
            <w:noProof/>
            <w:color w:val="auto"/>
          </w:rPr>
          <w:t>第一部分</w:t>
        </w:r>
        <w:r w:rsidR="002C3ABF" w:rsidRPr="00F631FB">
          <w:rPr>
            <w:rStyle w:val="ad"/>
            <w:rFonts w:ascii="Arial" w:cs="Arial"/>
            <w:b/>
            <w:noProof/>
            <w:color w:val="auto"/>
          </w:rPr>
          <w:t xml:space="preserve">  </w:t>
        </w:r>
        <w:r w:rsidR="002C3ABF" w:rsidRPr="00F631FB">
          <w:rPr>
            <w:rStyle w:val="ad"/>
            <w:rFonts w:ascii="Arial" w:cs="Arial"/>
            <w:b/>
            <w:noProof/>
            <w:color w:val="auto"/>
          </w:rPr>
          <w:t>总</w:t>
        </w:r>
        <w:r w:rsidR="002C3ABF" w:rsidRPr="00F631FB">
          <w:rPr>
            <w:rStyle w:val="ad"/>
            <w:rFonts w:ascii="Arial" w:cs="Arial"/>
            <w:b/>
            <w:noProof/>
            <w:color w:val="auto"/>
          </w:rPr>
          <w:t xml:space="preserve">  </w:t>
        </w:r>
        <w:r w:rsidR="002C3ABF" w:rsidRPr="00F631FB">
          <w:rPr>
            <w:rStyle w:val="ad"/>
            <w:rFonts w:ascii="Arial" w:cs="Arial"/>
            <w:b/>
            <w:noProof/>
            <w:color w:val="auto"/>
          </w:rPr>
          <w:t>述</w:t>
        </w:r>
        <w:r w:rsidR="002C3ABF" w:rsidRPr="00F631FB">
          <w:rPr>
            <w:rFonts w:ascii="Arial" w:cs="Arial"/>
            <w:noProof/>
            <w:webHidden/>
          </w:rPr>
          <w:tab/>
        </w:r>
        <w:r w:rsidR="00123EE9" w:rsidRPr="00F631FB">
          <w:rPr>
            <w:rFonts w:ascii="Arial" w:cs="Arial"/>
            <w:noProof/>
            <w:webHidden/>
          </w:rPr>
          <w:fldChar w:fldCharType="begin"/>
        </w:r>
        <w:r w:rsidR="002C3ABF" w:rsidRPr="00F631FB">
          <w:rPr>
            <w:rFonts w:ascii="Arial" w:cs="Arial"/>
            <w:noProof/>
            <w:webHidden/>
          </w:rPr>
          <w:instrText xml:space="preserve"> PAGEREF _Toc524335084 \h </w:instrText>
        </w:r>
        <w:r w:rsidR="00123EE9" w:rsidRPr="00F631FB">
          <w:rPr>
            <w:rFonts w:ascii="Arial" w:cs="Arial"/>
            <w:noProof/>
            <w:webHidden/>
          </w:rPr>
        </w:r>
        <w:r w:rsidR="00123EE9" w:rsidRPr="00F631FB">
          <w:rPr>
            <w:rFonts w:ascii="Arial" w:cs="Arial"/>
            <w:noProof/>
            <w:webHidden/>
          </w:rPr>
          <w:fldChar w:fldCharType="separate"/>
        </w:r>
        <w:r w:rsidR="004907BD">
          <w:rPr>
            <w:rFonts w:ascii="Arial" w:cs="Arial"/>
            <w:noProof/>
            <w:webHidden/>
          </w:rPr>
          <w:t>1</w:t>
        </w:r>
        <w:r w:rsidR="00123EE9" w:rsidRPr="00F631FB">
          <w:rPr>
            <w:rFonts w:ascii="Arial" w:cs="Arial"/>
            <w:noProof/>
            <w:webHidden/>
          </w:rPr>
          <w:fldChar w:fldCharType="end"/>
        </w:r>
      </w:hyperlink>
    </w:p>
    <w:p w14:paraId="7BCFC8A8" w14:textId="36B5C4E0" w:rsidR="002C3ABF" w:rsidRPr="00F631FB" w:rsidRDefault="007B5839" w:rsidP="002C3ABF">
      <w:pPr>
        <w:pStyle w:val="TOC2"/>
        <w:rPr>
          <w:rFonts w:ascii="Arial" w:eastAsiaTheme="minorEastAsia" w:hAnsi="Arial" w:cs="Arial"/>
          <w:noProof/>
          <w:kern w:val="2"/>
          <w:sz w:val="21"/>
          <w:szCs w:val="22"/>
        </w:rPr>
      </w:pPr>
      <w:hyperlink w:anchor="_Toc524335085" w:history="1">
        <w:r w:rsidR="002C3ABF" w:rsidRPr="00F631FB">
          <w:rPr>
            <w:rStyle w:val="ad"/>
            <w:rFonts w:ascii="Arial" w:eastAsia="仿宋_GB2312" w:hAnsi="Arial" w:cs="Arial"/>
            <w:b/>
            <w:noProof/>
            <w:color w:val="auto"/>
          </w:rPr>
          <w:t>一、估价项目名称</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_Toc524335085 \h </w:instrText>
        </w:r>
        <w:r w:rsidR="00123EE9" w:rsidRPr="00F631FB">
          <w:rPr>
            <w:rFonts w:ascii="Arial" w:hAnsi="Arial" w:cs="Arial"/>
            <w:noProof/>
            <w:webHidden/>
          </w:rPr>
        </w:r>
        <w:r w:rsidR="00123EE9" w:rsidRPr="00F631FB">
          <w:rPr>
            <w:rFonts w:ascii="Arial" w:hAnsi="Arial" w:cs="Arial"/>
            <w:noProof/>
            <w:webHidden/>
          </w:rPr>
          <w:fldChar w:fldCharType="separate"/>
        </w:r>
        <w:r w:rsidR="004907BD">
          <w:rPr>
            <w:rFonts w:ascii="Arial" w:hAnsi="Arial" w:cs="Arial"/>
            <w:noProof/>
            <w:webHidden/>
          </w:rPr>
          <w:t>1</w:t>
        </w:r>
        <w:r w:rsidR="00123EE9" w:rsidRPr="00F631FB">
          <w:rPr>
            <w:rFonts w:ascii="Arial" w:hAnsi="Arial" w:cs="Arial"/>
            <w:noProof/>
            <w:webHidden/>
          </w:rPr>
          <w:fldChar w:fldCharType="end"/>
        </w:r>
      </w:hyperlink>
    </w:p>
    <w:p w14:paraId="6D51C80B" w14:textId="40B4D8DC" w:rsidR="002C3ABF" w:rsidRPr="00F631FB" w:rsidRDefault="007B5839" w:rsidP="002C3ABF">
      <w:pPr>
        <w:pStyle w:val="TOC2"/>
        <w:rPr>
          <w:rFonts w:ascii="Arial" w:eastAsiaTheme="minorEastAsia" w:hAnsi="Arial" w:cs="Arial"/>
          <w:noProof/>
          <w:kern w:val="2"/>
          <w:sz w:val="21"/>
          <w:szCs w:val="22"/>
        </w:rPr>
      </w:pPr>
      <w:hyperlink w:anchor="_Toc524335086" w:history="1">
        <w:r w:rsidR="002C3ABF" w:rsidRPr="00F631FB">
          <w:rPr>
            <w:rStyle w:val="ad"/>
            <w:rFonts w:ascii="Arial" w:eastAsia="仿宋_GB2312" w:hAnsi="Arial" w:cs="Arial"/>
            <w:b/>
            <w:noProof/>
            <w:color w:val="auto"/>
          </w:rPr>
          <w:t>二、委托估价方</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_Toc524335086 \h </w:instrText>
        </w:r>
        <w:r w:rsidR="00123EE9" w:rsidRPr="00F631FB">
          <w:rPr>
            <w:rFonts w:ascii="Arial" w:hAnsi="Arial" w:cs="Arial"/>
            <w:noProof/>
            <w:webHidden/>
          </w:rPr>
        </w:r>
        <w:r w:rsidR="00123EE9" w:rsidRPr="00F631FB">
          <w:rPr>
            <w:rFonts w:ascii="Arial" w:hAnsi="Arial" w:cs="Arial"/>
            <w:noProof/>
            <w:webHidden/>
          </w:rPr>
          <w:fldChar w:fldCharType="separate"/>
        </w:r>
        <w:r w:rsidR="004907BD">
          <w:rPr>
            <w:rFonts w:ascii="Arial" w:hAnsi="Arial" w:cs="Arial"/>
            <w:noProof/>
            <w:webHidden/>
          </w:rPr>
          <w:t>1</w:t>
        </w:r>
        <w:r w:rsidR="00123EE9" w:rsidRPr="00F631FB">
          <w:rPr>
            <w:rFonts w:ascii="Arial" w:hAnsi="Arial" w:cs="Arial"/>
            <w:noProof/>
            <w:webHidden/>
          </w:rPr>
          <w:fldChar w:fldCharType="end"/>
        </w:r>
      </w:hyperlink>
    </w:p>
    <w:p w14:paraId="7574474D" w14:textId="422505AF" w:rsidR="002C3ABF" w:rsidRPr="00F631FB" w:rsidRDefault="007B5839" w:rsidP="002C3ABF">
      <w:pPr>
        <w:pStyle w:val="TOC2"/>
        <w:rPr>
          <w:rFonts w:ascii="Arial" w:eastAsiaTheme="minorEastAsia" w:hAnsi="Arial" w:cs="Arial"/>
          <w:noProof/>
          <w:kern w:val="2"/>
          <w:sz w:val="21"/>
          <w:szCs w:val="22"/>
        </w:rPr>
      </w:pPr>
      <w:hyperlink w:anchor="_Toc524335087" w:history="1">
        <w:r w:rsidR="002C3ABF" w:rsidRPr="00F631FB">
          <w:rPr>
            <w:rStyle w:val="ad"/>
            <w:rFonts w:ascii="Arial" w:eastAsia="仿宋_GB2312" w:hAnsi="Arial" w:cs="Arial"/>
            <w:b/>
            <w:noProof/>
            <w:color w:val="auto"/>
          </w:rPr>
          <w:t>三、受托估价方</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_Toc524335087 \h </w:instrText>
        </w:r>
        <w:r w:rsidR="00123EE9" w:rsidRPr="00F631FB">
          <w:rPr>
            <w:rFonts w:ascii="Arial" w:hAnsi="Arial" w:cs="Arial"/>
            <w:noProof/>
            <w:webHidden/>
          </w:rPr>
        </w:r>
        <w:r w:rsidR="00123EE9" w:rsidRPr="00F631FB">
          <w:rPr>
            <w:rFonts w:ascii="Arial" w:hAnsi="Arial" w:cs="Arial"/>
            <w:noProof/>
            <w:webHidden/>
          </w:rPr>
          <w:fldChar w:fldCharType="separate"/>
        </w:r>
        <w:r w:rsidR="004907BD">
          <w:rPr>
            <w:rFonts w:ascii="Arial" w:hAnsi="Arial" w:cs="Arial"/>
            <w:noProof/>
            <w:webHidden/>
          </w:rPr>
          <w:t>1</w:t>
        </w:r>
        <w:r w:rsidR="00123EE9" w:rsidRPr="00F631FB">
          <w:rPr>
            <w:rFonts w:ascii="Arial" w:hAnsi="Arial" w:cs="Arial"/>
            <w:noProof/>
            <w:webHidden/>
          </w:rPr>
          <w:fldChar w:fldCharType="end"/>
        </w:r>
      </w:hyperlink>
    </w:p>
    <w:p w14:paraId="08E0582D" w14:textId="42E5938F" w:rsidR="002C3ABF" w:rsidRPr="00F631FB" w:rsidRDefault="007B5839" w:rsidP="002C3ABF">
      <w:pPr>
        <w:pStyle w:val="TOC2"/>
        <w:rPr>
          <w:rFonts w:ascii="Arial" w:eastAsiaTheme="minorEastAsia" w:hAnsi="Arial" w:cs="Arial"/>
          <w:noProof/>
          <w:kern w:val="2"/>
          <w:sz w:val="21"/>
          <w:szCs w:val="22"/>
        </w:rPr>
      </w:pPr>
      <w:hyperlink w:anchor="_Toc524335088" w:history="1">
        <w:r w:rsidR="002C3ABF" w:rsidRPr="00F631FB">
          <w:rPr>
            <w:rStyle w:val="ad"/>
            <w:rFonts w:ascii="Arial" w:eastAsia="仿宋_GB2312" w:hAnsi="Arial" w:cs="Arial"/>
            <w:b/>
            <w:noProof/>
            <w:color w:val="auto"/>
          </w:rPr>
          <w:t>四、估价目的</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_Toc524335088 \h </w:instrText>
        </w:r>
        <w:r w:rsidR="00123EE9" w:rsidRPr="00F631FB">
          <w:rPr>
            <w:rFonts w:ascii="Arial" w:hAnsi="Arial" w:cs="Arial"/>
            <w:noProof/>
            <w:webHidden/>
          </w:rPr>
        </w:r>
        <w:r w:rsidR="00123EE9" w:rsidRPr="00F631FB">
          <w:rPr>
            <w:rFonts w:ascii="Arial" w:hAnsi="Arial" w:cs="Arial"/>
            <w:noProof/>
            <w:webHidden/>
          </w:rPr>
          <w:fldChar w:fldCharType="separate"/>
        </w:r>
        <w:r w:rsidR="004907BD">
          <w:rPr>
            <w:rFonts w:ascii="Arial" w:hAnsi="Arial" w:cs="Arial"/>
            <w:noProof/>
            <w:webHidden/>
          </w:rPr>
          <w:t>1</w:t>
        </w:r>
        <w:r w:rsidR="00123EE9" w:rsidRPr="00F631FB">
          <w:rPr>
            <w:rFonts w:ascii="Arial" w:hAnsi="Arial" w:cs="Arial"/>
            <w:noProof/>
            <w:webHidden/>
          </w:rPr>
          <w:fldChar w:fldCharType="end"/>
        </w:r>
      </w:hyperlink>
    </w:p>
    <w:p w14:paraId="21A36BEC" w14:textId="4079EFD4" w:rsidR="002C3ABF" w:rsidRPr="00F631FB" w:rsidRDefault="007B5839" w:rsidP="002C3ABF">
      <w:pPr>
        <w:pStyle w:val="TOC2"/>
        <w:rPr>
          <w:rFonts w:ascii="Arial" w:eastAsiaTheme="minorEastAsia" w:hAnsi="Arial" w:cs="Arial"/>
          <w:noProof/>
          <w:kern w:val="2"/>
          <w:sz w:val="21"/>
          <w:szCs w:val="22"/>
        </w:rPr>
      </w:pPr>
      <w:hyperlink w:anchor="_Toc524335089" w:history="1">
        <w:r w:rsidR="002C3ABF" w:rsidRPr="00F631FB">
          <w:rPr>
            <w:rStyle w:val="ad"/>
            <w:rFonts w:ascii="Arial" w:eastAsia="仿宋_GB2312" w:hAnsi="Arial" w:cs="Arial"/>
            <w:b/>
            <w:noProof/>
            <w:color w:val="auto"/>
          </w:rPr>
          <w:t>五、估价依据</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_Toc524335089 \h </w:instrText>
        </w:r>
        <w:r w:rsidR="00123EE9" w:rsidRPr="00F631FB">
          <w:rPr>
            <w:rFonts w:ascii="Arial" w:hAnsi="Arial" w:cs="Arial"/>
            <w:noProof/>
            <w:webHidden/>
          </w:rPr>
        </w:r>
        <w:r w:rsidR="00123EE9" w:rsidRPr="00F631FB">
          <w:rPr>
            <w:rFonts w:ascii="Arial" w:hAnsi="Arial" w:cs="Arial"/>
            <w:noProof/>
            <w:webHidden/>
          </w:rPr>
          <w:fldChar w:fldCharType="separate"/>
        </w:r>
        <w:r w:rsidR="004907BD">
          <w:rPr>
            <w:rFonts w:ascii="Arial" w:hAnsi="Arial" w:cs="Arial"/>
            <w:noProof/>
            <w:webHidden/>
          </w:rPr>
          <w:t>2</w:t>
        </w:r>
        <w:r w:rsidR="00123EE9" w:rsidRPr="00F631FB">
          <w:rPr>
            <w:rFonts w:ascii="Arial" w:hAnsi="Arial" w:cs="Arial"/>
            <w:noProof/>
            <w:webHidden/>
          </w:rPr>
          <w:fldChar w:fldCharType="end"/>
        </w:r>
      </w:hyperlink>
    </w:p>
    <w:p w14:paraId="157011B5" w14:textId="0E5D4360" w:rsidR="002C3ABF" w:rsidRPr="00F631FB" w:rsidRDefault="007B5839" w:rsidP="002C3ABF">
      <w:pPr>
        <w:pStyle w:val="TOC2"/>
        <w:rPr>
          <w:rFonts w:ascii="Arial" w:eastAsiaTheme="minorEastAsia" w:hAnsi="Arial" w:cs="Arial"/>
          <w:noProof/>
          <w:kern w:val="2"/>
          <w:sz w:val="21"/>
          <w:szCs w:val="22"/>
        </w:rPr>
      </w:pPr>
      <w:hyperlink w:anchor="_Toc524335090" w:history="1">
        <w:r w:rsidR="002C3ABF" w:rsidRPr="00F631FB">
          <w:rPr>
            <w:rStyle w:val="ad"/>
            <w:rFonts w:ascii="Arial" w:eastAsia="仿宋_GB2312" w:hAnsi="Arial" w:cs="Arial"/>
            <w:b/>
            <w:noProof/>
            <w:color w:val="auto"/>
          </w:rPr>
          <w:t>六、估价期日</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_Toc524335090 \h </w:instrText>
        </w:r>
        <w:r w:rsidR="00123EE9" w:rsidRPr="00F631FB">
          <w:rPr>
            <w:rFonts w:ascii="Arial" w:hAnsi="Arial" w:cs="Arial"/>
            <w:noProof/>
            <w:webHidden/>
          </w:rPr>
        </w:r>
        <w:r w:rsidR="00123EE9" w:rsidRPr="00F631FB">
          <w:rPr>
            <w:rFonts w:ascii="Arial" w:hAnsi="Arial" w:cs="Arial"/>
            <w:noProof/>
            <w:webHidden/>
          </w:rPr>
          <w:fldChar w:fldCharType="separate"/>
        </w:r>
        <w:r w:rsidR="004907BD">
          <w:rPr>
            <w:rFonts w:ascii="Arial" w:hAnsi="Arial" w:cs="Arial"/>
            <w:noProof/>
            <w:webHidden/>
          </w:rPr>
          <w:t>6</w:t>
        </w:r>
        <w:r w:rsidR="00123EE9" w:rsidRPr="00F631FB">
          <w:rPr>
            <w:rFonts w:ascii="Arial" w:hAnsi="Arial" w:cs="Arial"/>
            <w:noProof/>
            <w:webHidden/>
          </w:rPr>
          <w:fldChar w:fldCharType="end"/>
        </w:r>
      </w:hyperlink>
    </w:p>
    <w:p w14:paraId="0763FF7C" w14:textId="173F2EDF" w:rsidR="002C3ABF" w:rsidRPr="00F631FB" w:rsidRDefault="007B5839" w:rsidP="002C3ABF">
      <w:pPr>
        <w:pStyle w:val="TOC2"/>
        <w:rPr>
          <w:rFonts w:ascii="Arial" w:eastAsiaTheme="minorEastAsia" w:hAnsi="Arial" w:cs="Arial"/>
          <w:noProof/>
          <w:kern w:val="2"/>
          <w:sz w:val="21"/>
          <w:szCs w:val="22"/>
        </w:rPr>
      </w:pPr>
      <w:hyperlink w:anchor="_Toc524335091" w:history="1">
        <w:r w:rsidR="002C3ABF" w:rsidRPr="00F631FB">
          <w:rPr>
            <w:rStyle w:val="ad"/>
            <w:rFonts w:ascii="Arial" w:eastAsia="仿宋_GB2312" w:hAnsi="Arial" w:cs="Arial"/>
            <w:b/>
            <w:bCs/>
            <w:noProof/>
            <w:color w:val="auto"/>
          </w:rPr>
          <w:t>七、估价日期</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_Toc524335091 \h </w:instrText>
        </w:r>
        <w:r w:rsidR="00123EE9" w:rsidRPr="00F631FB">
          <w:rPr>
            <w:rFonts w:ascii="Arial" w:hAnsi="Arial" w:cs="Arial"/>
            <w:noProof/>
            <w:webHidden/>
          </w:rPr>
        </w:r>
        <w:r w:rsidR="00123EE9" w:rsidRPr="00F631FB">
          <w:rPr>
            <w:rFonts w:ascii="Arial" w:hAnsi="Arial" w:cs="Arial"/>
            <w:noProof/>
            <w:webHidden/>
          </w:rPr>
          <w:fldChar w:fldCharType="separate"/>
        </w:r>
        <w:r w:rsidR="004907BD">
          <w:rPr>
            <w:rFonts w:ascii="Arial" w:hAnsi="Arial" w:cs="Arial"/>
            <w:noProof/>
            <w:webHidden/>
          </w:rPr>
          <w:t>6</w:t>
        </w:r>
        <w:r w:rsidR="00123EE9" w:rsidRPr="00F631FB">
          <w:rPr>
            <w:rFonts w:ascii="Arial" w:hAnsi="Arial" w:cs="Arial"/>
            <w:noProof/>
            <w:webHidden/>
          </w:rPr>
          <w:fldChar w:fldCharType="end"/>
        </w:r>
      </w:hyperlink>
    </w:p>
    <w:p w14:paraId="224CEA67" w14:textId="0C27829A" w:rsidR="002C3ABF" w:rsidRPr="00F631FB" w:rsidRDefault="007B5839" w:rsidP="002C3ABF">
      <w:pPr>
        <w:pStyle w:val="TOC2"/>
        <w:rPr>
          <w:rFonts w:ascii="Arial" w:eastAsiaTheme="minorEastAsia" w:hAnsi="Arial" w:cs="Arial"/>
          <w:noProof/>
          <w:kern w:val="2"/>
          <w:sz w:val="21"/>
          <w:szCs w:val="22"/>
        </w:rPr>
      </w:pPr>
      <w:hyperlink w:anchor="_Toc524335092" w:history="1">
        <w:r w:rsidR="002C3ABF" w:rsidRPr="00F631FB">
          <w:rPr>
            <w:rStyle w:val="ad"/>
            <w:rFonts w:ascii="Arial" w:eastAsia="仿宋_GB2312" w:hAnsi="Arial" w:cs="Arial"/>
            <w:b/>
            <w:bCs/>
            <w:noProof/>
            <w:color w:val="auto"/>
          </w:rPr>
          <w:t>八、地价定义</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_Toc524335092 \h </w:instrText>
        </w:r>
        <w:r w:rsidR="00123EE9" w:rsidRPr="00F631FB">
          <w:rPr>
            <w:rFonts w:ascii="Arial" w:hAnsi="Arial" w:cs="Arial"/>
            <w:noProof/>
            <w:webHidden/>
          </w:rPr>
        </w:r>
        <w:r w:rsidR="00123EE9" w:rsidRPr="00F631FB">
          <w:rPr>
            <w:rFonts w:ascii="Arial" w:hAnsi="Arial" w:cs="Arial"/>
            <w:noProof/>
            <w:webHidden/>
          </w:rPr>
          <w:fldChar w:fldCharType="separate"/>
        </w:r>
        <w:r w:rsidR="004907BD">
          <w:rPr>
            <w:rFonts w:ascii="Arial" w:hAnsi="Arial" w:cs="Arial"/>
            <w:noProof/>
            <w:webHidden/>
          </w:rPr>
          <w:t>6</w:t>
        </w:r>
        <w:r w:rsidR="00123EE9" w:rsidRPr="00F631FB">
          <w:rPr>
            <w:rFonts w:ascii="Arial" w:hAnsi="Arial" w:cs="Arial"/>
            <w:noProof/>
            <w:webHidden/>
          </w:rPr>
          <w:fldChar w:fldCharType="end"/>
        </w:r>
      </w:hyperlink>
    </w:p>
    <w:p w14:paraId="7BC9274A" w14:textId="7A6BE07D" w:rsidR="002C3ABF" w:rsidRPr="00F631FB" w:rsidRDefault="007B5839" w:rsidP="002C3ABF">
      <w:pPr>
        <w:pStyle w:val="TOC2"/>
        <w:rPr>
          <w:rFonts w:ascii="Arial" w:eastAsiaTheme="minorEastAsia" w:hAnsi="Arial" w:cs="Arial"/>
          <w:noProof/>
          <w:kern w:val="2"/>
          <w:sz w:val="21"/>
          <w:szCs w:val="22"/>
        </w:rPr>
      </w:pPr>
      <w:hyperlink w:anchor="_Toc524335093" w:history="1">
        <w:r w:rsidR="002C3ABF" w:rsidRPr="00F631FB">
          <w:rPr>
            <w:rStyle w:val="ad"/>
            <w:rFonts w:ascii="Arial" w:eastAsia="仿宋_GB2312" w:hAnsi="Arial" w:cs="Arial"/>
            <w:b/>
            <w:noProof/>
            <w:color w:val="auto"/>
          </w:rPr>
          <w:t>九、估价结果</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_Toc524335093 \h </w:instrText>
        </w:r>
        <w:r w:rsidR="00123EE9" w:rsidRPr="00F631FB">
          <w:rPr>
            <w:rFonts w:ascii="Arial" w:hAnsi="Arial" w:cs="Arial"/>
            <w:noProof/>
            <w:webHidden/>
          </w:rPr>
        </w:r>
        <w:r w:rsidR="00123EE9" w:rsidRPr="00F631FB">
          <w:rPr>
            <w:rFonts w:ascii="Arial" w:hAnsi="Arial" w:cs="Arial"/>
            <w:noProof/>
            <w:webHidden/>
          </w:rPr>
          <w:fldChar w:fldCharType="separate"/>
        </w:r>
        <w:r w:rsidR="004907BD">
          <w:rPr>
            <w:rFonts w:ascii="Arial" w:hAnsi="Arial" w:cs="Arial"/>
            <w:noProof/>
            <w:webHidden/>
          </w:rPr>
          <w:t>12</w:t>
        </w:r>
        <w:r w:rsidR="00123EE9" w:rsidRPr="00F631FB">
          <w:rPr>
            <w:rFonts w:ascii="Arial" w:hAnsi="Arial" w:cs="Arial"/>
            <w:noProof/>
            <w:webHidden/>
          </w:rPr>
          <w:fldChar w:fldCharType="end"/>
        </w:r>
      </w:hyperlink>
    </w:p>
    <w:p w14:paraId="6EF532B9" w14:textId="0F495EBB" w:rsidR="002C3ABF" w:rsidRPr="00F631FB" w:rsidRDefault="007B5839" w:rsidP="002C3ABF">
      <w:pPr>
        <w:pStyle w:val="TOC2"/>
        <w:rPr>
          <w:rFonts w:ascii="Arial" w:eastAsiaTheme="minorEastAsia" w:hAnsi="Arial" w:cs="Arial"/>
          <w:noProof/>
          <w:kern w:val="2"/>
          <w:sz w:val="21"/>
          <w:szCs w:val="22"/>
        </w:rPr>
      </w:pPr>
      <w:hyperlink w:anchor="_Toc524335095" w:history="1">
        <w:r w:rsidR="002C3ABF" w:rsidRPr="00F631FB">
          <w:rPr>
            <w:rStyle w:val="ad"/>
            <w:rFonts w:ascii="Arial" w:eastAsia="仿宋_GB2312" w:hAnsi="Arial" w:cs="Arial"/>
            <w:b/>
            <w:noProof/>
            <w:color w:val="auto"/>
          </w:rPr>
          <w:t>十、需要特殊说明的事项</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_Toc524335095 \h </w:instrText>
        </w:r>
        <w:r w:rsidR="00123EE9" w:rsidRPr="00F631FB">
          <w:rPr>
            <w:rFonts w:ascii="Arial" w:hAnsi="Arial" w:cs="Arial"/>
            <w:noProof/>
            <w:webHidden/>
          </w:rPr>
        </w:r>
        <w:r w:rsidR="00123EE9" w:rsidRPr="00F631FB">
          <w:rPr>
            <w:rFonts w:ascii="Arial" w:hAnsi="Arial" w:cs="Arial"/>
            <w:noProof/>
            <w:webHidden/>
          </w:rPr>
          <w:fldChar w:fldCharType="separate"/>
        </w:r>
        <w:r w:rsidR="004907BD">
          <w:rPr>
            <w:rFonts w:ascii="Arial" w:hAnsi="Arial" w:cs="Arial"/>
            <w:noProof/>
            <w:webHidden/>
          </w:rPr>
          <w:t>22</w:t>
        </w:r>
        <w:r w:rsidR="00123EE9" w:rsidRPr="00F631FB">
          <w:rPr>
            <w:rFonts w:ascii="Arial" w:hAnsi="Arial" w:cs="Arial"/>
            <w:noProof/>
            <w:webHidden/>
          </w:rPr>
          <w:fldChar w:fldCharType="end"/>
        </w:r>
      </w:hyperlink>
    </w:p>
    <w:p w14:paraId="4FA7D253" w14:textId="551BC5C0" w:rsidR="002C3ABF" w:rsidRPr="00F631FB" w:rsidRDefault="007B5839" w:rsidP="002C3ABF">
      <w:pPr>
        <w:pStyle w:val="TOC2"/>
        <w:rPr>
          <w:rFonts w:ascii="Arial" w:eastAsiaTheme="minorEastAsia" w:hAnsi="Arial" w:cs="Arial"/>
          <w:noProof/>
          <w:kern w:val="2"/>
          <w:sz w:val="21"/>
          <w:szCs w:val="22"/>
        </w:rPr>
      </w:pPr>
      <w:hyperlink w:anchor="_Toc524335096" w:history="1">
        <w:r w:rsidR="002C3ABF" w:rsidRPr="00F631FB">
          <w:rPr>
            <w:rStyle w:val="ad"/>
            <w:rFonts w:ascii="Arial" w:eastAsia="仿宋_GB2312" w:hAnsi="Arial" w:cs="Arial"/>
            <w:b/>
            <w:noProof/>
            <w:color w:val="auto"/>
          </w:rPr>
          <w:t>十一、评估专业人员签字</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_Toc524335096 \h </w:instrText>
        </w:r>
        <w:r w:rsidR="00123EE9" w:rsidRPr="00F631FB">
          <w:rPr>
            <w:rFonts w:ascii="Arial" w:hAnsi="Arial" w:cs="Arial"/>
            <w:noProof/>
            <w:webHidden/>
          </w:rPr>
        </w:r>
        <w:r w:rsidR="00123EE9" w:rsidRPr="00F631FB">
          <w:rPr>
            <w:rFonts w:ascii="Arial" w:hAnsi="Arial" w:cs="Arial"/>
            <w:noProof/>
            <w:webHidden/>
          </w:rPr>
          <w:fldChar w:fldCharType="separate"/>
        </w:r>
        <w:r w:rsidR="004907BD">
          <w:rPr>
            <w:rFonts w:ascii="Arial" w:hAnsi="Arial" w:cs="Arial"/>
            <w:noProof/>
            <w:webHidden/>
          </w:rPr>
          <w:t>30</w:t>
        </w:r>
        <w:r w:rsidR="00123EE9" w:rsidRPr="00F631FB">
          <w:rPr>
            <w:rFonts w:ascii="Arial" w:hAnsi="Arial" w:cs="Arial"/>
            <w:noProof/>
            <w:webHidden/>
          </w:rPr>
          <w:fldChar w:fldCharType="end"/>
        </w:r>
      </w:hyperlink>
    </w:p>
    <w:p w14:paraId="743CA260" w14:textId="7659F42B" w:rsidR="002C3ABF" w:rsidRPr="00F631FB" w:rsidRDefault="007B5839" w:rsidP="002C3ABF">
      <w:pPr>
        <w:pStyle w:val="TOC2"/>
        <w:rPr>
          <w:rFonts w:ascii="Arial" w:eastAsiaTheme="minorEastAsia" w:hAnsi="Arial" w:cs="Arial"/>
          <w:noProof/>
          <w:kern w:val="2"/>
          <w:sz w:val="21"/>
          <w:szCs w:val="22"/>
        </w:rPr>
      </w:pPr>
      <w:hyperlink w:anchor="_Toc524335097" w:history="1">
        <w:r w:rsidR="002C3ABF" w:rsidRPr="00F631FB">
          <w:rPr>
            <w:rStyle w:val="ad"/>
            <w:rFonts w:ascii="Arial" w:eastAsia="仿宋_GB2312" w:hAnsi="Arial" w:cs="Arial"/>
            <w:b/>
            <w:noProof/>
            <w:color w:val="auto"/>
          </w:rPr>
          <w:t>十二、土地估价机构</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_Toc524335097 \h </w:instrText>
        </w:r>
        <w:r w:rsidR="00123EE9" w:rsidRPr="00F631FB">
          <w:rPr>
            <w:rFonts w:ascii="Arial" w:hAnsi="Arial" w:cs="Arial"/>
            <w:noProof/>
            <w:webHidden/>
          </w:rPr>
        </w:r>
        <w:r w:rsidR="00123EE9" w:rsidRPr="00F631FB">
          <w:rPr>
            <w:rFonts w:ascii="Arial" w:hAnsi="Arial" w:cs="Arial"/>
            <w:noProof/>
            <w:webHidden/>
          </w:rPr>
          <w:fldChar w:fldCharType="separate"/>
        </w:r>
        <w:r w:rsidR="004907BD">
          <w:rPr>
            <w:rFonts w:ascii="Arial" w:hAnsi="Arial" w:cs="Arial"/>
            <w:noProof/>
            <w:webHidden/>
          </w:rPr>
          <w:t>30</w:t>
        </w:r>
        <w:r w:rsidR="00123EE9" w:rsidRPr="00F631FB">
          <w:rPr>
            <w:rFonts w:ascii="Arial" w:hAnsi="Arial" w:cs="Arial"/>
            <w:noProof/>
            <w:webHidden/>
          </w:rPr>
          <w:fldChar w:fldCharType="end"/>
        </w:r>
      </w:hyperlink>
    </w:p>
    <w:p w14:paraId="552E301D" w14:textId="3625ED0F" w:rsidR="002C3ABF" w:rsidRPr="00F631FB" w:rsidRDefault="007B5839" w:rsidP="002C3ABF">
      <w:pPr>
        <w:pStyle w:val="TOC1"/>
        <w:rPr>
          <w:rFonts w:ascii="Arial" w:eastAsiaTheme="minorEastAsia" w:cs="Arial"/>
          <w:noProof/>
          <w:kern w:val="2"/>
          <w:sz w:val="21"/>
          <w:szCs w:val="22"/>
        </w:rPr>
      </w:pPr>
      <w:hyperlink w:anchor="_Toc524335098" w:history="1">
        <w:r w:rsidR="002C3ABF" w:rsidRPr="00F631FB">
          <w:rPr>
            <w:rStyle w:val="ad"/>
            <w:rFonts w:ascii="Arial" w:cs="Arial"/>
            <w:b/>
            <w:noProof/>
            <w:color w:val="auto"/>
          </w:rPr>
          <w:t>第二部分</w:t>
        </w:r>
        <w:r w:rsidR="002C3ABF" w:rsidRPr="00F631FB">
          <w:rPr>
            <w:rStyle w:val="ad"/>
            <w:rFonts w:ascii="Arial" w:cs="Arial"/>
            <w:b/>
            <w:noProof/>
            <w:color w:val="auto"/>
          </w:rPr>
          <w:t xml:space="preserve">  </w:t>
        </w:r>
        <w:r w:rsidR="002C3ABF" w:rsidRPr="00F631FB">
          <w:rPr>
            <w:rStyle w:val="ad"/>
            <w:rFonts w:ascii="Arial" w:cs="Arial"/>
            <w:b/>
            <w:noProof/>
            <w:color w:val="auto"/>
          </w:rPr>
          <w:t>估价对象描述及土地价格影响因素分析</w:t>
        </w:r>
        <w:r w:rsidR="002C3ABF" w:rsidRPr="00F631FB">
          <w:rPr>
            <w:rFonts w:ascii="Arial" w:cs="Arial"/>
            <w:noProof/>
            <w:webHidden/>
          </w:rPr>
          <w:tab/>
        </w:r>
        <w:r w:rsidR="00123EE9" w:rsidRPr="00F631FB">
          <w:rPr>
            <w:rFonts w:ascii="Arial" w:cs="Arial"/>
            <w:noProof/>
            <w:webHidden/>
          </w:rPr>
          <w:fldChar w:fldCharType="begin"/>
        </w:r>
        <w:r w:rsidR="002C3ABF" w:rsidRPr="00F631FB">
          <w:rPr>
            <w:rFonts w:ascii="Arial" w:cs="Arial"/>
            <w:noProof/>
            <w:webHidden/>
          </w:rPr>
          <w:instrText xml:space="preserve"> PAGEREF _Toc524335098 \h </w:instrText>
        </w:r>
        <w:r w:rsidR="00123EE9" w:rsidRPr="00F631FB">
          <w:rPr>
            <w:rFonts w:ascii="Arial" w:cs="Arial"/>
            <w:noProof/>
            <w:webHidden/>
          </w:rPr>
        </w:r>
        <w:r w:rsidR="00123EE9" w:rsidRPr="00F631FB">
          <w:rPr>
            <w:rFonts w:ascii="Arial" w:cs="Arial"/>
            <w:noProof/>
            <w:webHidden/>
          </w:rPr>
          <w:fldChar w:fldCharType="separate"/>
        </w:r>
        <w:r w:rsidR="004907BD">
          <w:rPr>
            <w:rFonts w:ascii="Arial" w:cs="Arial"/>
            <w:noProof/>
            <w:webHidden/>
          </w:rPr>
          <w:t>31</w:t>
        </w:r>
        <w:r w:rsidR="00123EE9" w:rsidRPr="00F631FB">
          <w:rPr>
            <w:rFonts w:ascii="Arial" w:cs="Arial"/>
            <w:noProof/>
            <w:webHidden/>
          </w:rPr>
          <w:fldChar w:fldCharType="end"/>
        </w:r>
      </w:hyperlink>
    </w:p>
    <w:p w14:paraId="67F8B075" w14:textId="00D9B74A" w:rsidR="002C3ABF" w:rsidRPr="00F631FB" w:rsidRDefault="007B5839" w:rsidP="002C3ABF">
      <w:pPr>
        <w:pStyle w:val="TOC2"/>
        <w:rPr>
          <w:rFonts w:ascii="Arial" w:eastAsiaTheme="minorEastAsia" w:hAnsi="Arial" w:cs="Arial"/>
          <w:noProof/>
          <w:kern w:val="2"/>
          <w:sz w:val="21"/>
          <w:szCs w:val="22"/>
        </w:rPr>
      </w:pPr>
      <w:hyperlink w:anchor="_Toc524335099" w:history="1">
        <w:r w:rsidR="002C3ABF" w:rsidRPr="00F631FB">
          <w:rPr>
            <w:rStyle w:val="ad"/>
            <w:rFonts w:ascii="Arial" w:eastAsia="仿宋_GB2312" w:hAnsi="Arial" w:cs="Arial"/>
            <w:b/>
            <w:noProof/>
            <w:color w:val="auto"/>
          </w:rPr>
          <w:t>一、估价对象描述</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_Toc524335099 \h </w:instrText>
        </w:r>
        <w:r w:rsidR="00123EE9" w:rsidRPr="00F631FB">
          <w:rPr>
            <w:rFonts w:ascii="Arial" w:hAnsi="Arial" w:cs="Arial"/>
            <w:noProof/>
            <w:webHidden/>
          </w:rPr>
        </w:r>
        <w:r w:rsidR="00123EE9" w:rsidRPr="00F631FB">
          <w:rPr>
            <w:rFonts w:ascii="Arial" w:hAnsi="Arial" w:cs="Arial"/>
            <w:noProof/>
            <w:webHidden/>
          </w:rPr>
          <w:fldChar w:fldCharType="separate"/>
        </w:r>
        <w:r w:rsidR="004907BD">
          <w:rPr>
            <w:rFonts w:ascii="Arial" w:hAnsi="Arial" w:cs="Arial"/>
            <w:noProof/>
            <w:webHidden/>
          </w:rPr>
          <w:t>31</w:t>
        </w:r>
        <w:r w:rsidR="00123EE9" w:rsidRPr="00F631FB">
          <w:rPr>
            <w:rFonts w:ascii="Arial" w:hAnsi="Arial" w:cs="Arial"/>
            <w:noProof/>
            <w:webHidden/>
          </w:rPr>
          <w:fldChar w:fldCharType="end"/>
        </w:r>
      </w:hyperlink>
    </w:p>
    <w:p w14:paraId="4A96763C" w14:textId="67E10D75" w:rsidR="002C3ABF" w:rsidRPr="00F631FB" w:rsidRDefault="007B5839" w:rsidP="002C3ABF">
      <w:pPr>
        <w:pStyle w:val="TOC2"/>
        <w:rPr>
          <w:rFonts w:ascii="Arial" w:eastAsiaTheme="minorEastAsia" w:hAnsi="Arial" w:cs="Arial"/>
          <w:noProof/>
          <w:kern w:val="2"/>
          <w:sz w:val="21"/>
          <w:szCs w:val="22"/>
        </w:rPr>
      </w:pPr>
      <w:hyperlink w:anchor="_Toc524335100" w:history="1">
        <w:r w:rsidR="002C3ABF" w:rsidRPr="00F631FB">
          <w:rPr>
            <w:rStyle w:val="ad"/>
            <w:rFonts w:ascii="Arial" w:eastAsia="仿宋_GB2312" w:hAnsi="Arial" w:cs="Arial"/>
            <w:b/>
            <w:noProof/>
            <w:color w:val="auto"/>
          </w:rPr>
          <w:t>二、地价影响因素分析</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_Toc524335100 \h </w:instrText>
        </w:r>
        <w:r w:rsidR="00123EE9" w:rsidRPr="00F631FB">
          <w:rPr>
            <w:rFonts w:ascii="Arial" w:hAnsi="Arial" w:cs="Arial"/>
            <w:noProof/>
            <w:webHidden/>
          </w:rPr>
        </w:r>
        <w:r w:rsidR="00123EE9" w:rsidRPr="00F631FB">
          <w:rPr>
            <w:rFonts w:ascii="Arial" w:hAnsi="Arial" w:cs="Arial"/>
            <w:noProof/>
            <w:webHidden/>
          </w:rPr>
          <w:fldChar w:fldCharType="separate"/>
        </w:r>
        <w:r w:rsidR="004907BD">
          <w:rPr>
            <w:rFonts w:ascii="Arial" w:hAnsi="Arial" w:cs="Arial"/>
            <w:noProof/>
            <w:webHidden/>
          </w:rPr>
          <w:t>35</w:t>
        </w:r>
        <w:r w:rsidR="00123EE9" w:rsidRPr="00F631FB">
          <w:rPr>
            <w:rFonts w:ascii="Arial" w:hAnsi="Arial" w:cs="Arial"/>
            <w:noProof/>
            <w:webHidden/>
          </w:rPr>
          <w:fldChar w:fldCharType="end"/>
        </w:r>
      </w:hyperlink>
    </w:p>
    <w:p w14:paraId="0942ADB2" w14:textId="4DCB8FCC" w:rsidR="002C3ABF" w:rsidRPr="00F631FB" w:rsidRDefault="007B5839" w:rsidP="002C3ABF">
      <w:pPr>
        <w:pStyle w:val="TOC1"/>
        <w:rPr>
          <w:rFonts w:ascii="Arial" w:eastAsiaTheme="minorEastAsia" w:cs="Arial"/>
          <w:noProof/>
          <w:kern w:val="2"/>
          <w:sz w:val="21"/>
          <w:szCs w:val="22"/>
        </w:rPr>
      </w:pPr>
      <w:hyperlink w:anchor="_Toc524335110" w:history="1">
        <w:r w:rsidR="002C3ABF" w:rsidRPr="00F631FB">
          <w:rPr>
            <w:rStyle w:val="ad"/>
            <w:rFonts w:ascii="Arial" w:cs="Arial"/>
            <w:b/>
            <w:noProof/>
            <w:color w:val="auto"/>
          </w:rPr>
          <w:t>第三部分</w:t>
        </w:r>
        <w:r w:rsidR="002C3ABF" w:rsidRPr="00F631FB">
          <w:rPr>
            <w:rStyle w:val="ad"/>
            <w:rFonts w:ascii="Arial" w:cs="Arial"/>
            <w:b/>
            <w:noProof/>
            <w:color w:val="auto"/>
          </w:rPr>
          <w:t xml:space="preserve">  </w:t>
        </w:r>
        <w:r w:rsidR="002C3ABF" w:rsidRPr="00F631FB">
          <w:rPr>
            <w:rStyle w:val="ad"/>
            <w:rFonts w:ascii="Arial" w:cs="Arial"/>
            <w:b/>
            <w:noProof/>
            <w:color w:val="auto"/>
          </w:rPr>
          <w:t>土地估价</w:t>
        </w:r>
        <w:r w:rsidR="002C3ABF" w:rsidRPr="00F631FB">
          <w:rPr>
            <w:rFonts w:ascii="Arial" w:cs="Arial"/>
            <w:noProof/>
            <w:webHidden/>
          </w:rPr>
          <w:tab/>
        </w:r>
        <w:r w:rsidR="002C3ABF" w:rsidRPr="00F631FB">
          <w:rPr>
            <w:rFonts w:ascii="Arial" w:cs="Arial" w:hint="eastAsia"/>
            <w:noProof/>
            <w:webHidden/>
          </w:rPr>
          <w:t>52</w:t>
        </w:r>
      </w:hyperlink>
    </w:p>
    <w:p w14:paraId="5E0E4D98" w14:textId="15586492" w:rsidR="002C3ABF" w:rsidRPr="00F631FB" w:rsidRDefault="007B5839" w:rsidP="002C3ABF">
      <w:pPr>
        <w:pStyle w:val="TOC2"/>
        <w:rPr>
          <w:rFonts w:ascii="Arial" w:eastAsiaTheme="minorEastAsia" w:hAnsi="Arial" w:cs="Arial"/>
          <w:noProof/>
          <w:kern w:val="2"/>
          <w:sz w:val="21"/>
          <w:szCs w:val="22"/>
        </w:rPr>
      </w:pPr>
      <w:hyperlink w:anchor="_Toc524335111" w:history="1">
        <w:r w:rsidR="002C3ABF" w:rsidRPr="00F631FB">
          <w:rPr>
            <w:rStyle w:val="ad"/>
            <w:rFonts w:ascii="Arial" w:eastAsia="仿宋_GB2312" w:hAnsi="Arial" w:cs="Arial"/>
            <w:b/>
            <w:noProof/>
            <w:color w:val="auto"/>
          </w:rPr>
          <w:t>一、估价原则</w:t>
        </w:r>
        <w:r w:rsidR="002C3ABF" w:rsidRPr="00F631FB">
          <w:rPr>
            <w:rFonts w:ascii="Arial" w:hAnsi="Arial" w:cs="Arial"/>
            <w:noProof/>
            <w:webHidden/>
          </w:rPr>
          <w:tab/>
        </w:r>
        <w:r w:rsidR="002C3ABF" w:rsidRPr="00F631FB">
          <w:rPr>
            <w:rFonts w:ascii="Arial" w:hAnsi="Arial" w:cs="Arial" w:hint="eastAsia"/>
            <w:noProof/>
            <w:webHidden/>
          </w:rPr>
          <w:t>52</w:t>
        </w:r>
      </w:hyperlink>
    </w:p>
    <w:p w14:paraId="65C3A871" w14:textId="7B16F83F" w:rsidR="002C3ABF" w:rsidRPr="00F631FB" w:rsidRDefault="007B5839" w:rsidP="002C3ABF">
      <w:pPr>
        <w:pStyle w:val="TOC2"/>
        <w:rPr>
          <w:rFonts w:ascii="Arial" w:eastAsiaTheme="minorEastAsia" w:hAnsi="Arial" w:cs="Arial"/>
          <w:noProof/>
          <w:kern w:val="2"/>
          <w:sz w:val="21"/>
          <w:szCs w:val="22"/>
        </w:rPr>
      </w:pPr>
      <w:hyperlink w:anchor="_Toc524335112" w:history="1">
        <w:r w:rsidR="002C3ABF" w:rsidRPr="00F631FB">
          <w:rPr>
            <w:rStyle w:val="ad"/>
            <w:rFonts w:ascii="Arial" w:eastAsia="仿宋_GB2312" w:hAnsi="Arial" w:cs="Arial"/>
            <w:b/>
            <w:noProof/>
            <w:color w:val="auto"/>
          </w:rPr>
          <w:t>二、估价方法与估价过程</w:t>
        </w:r>
        <w:r w:rsidR="002C3ABF" w:rsidRPr="00F631FB">
          <w:rPr>
            <w:rFonts w:ascii="Arial" w:hAnsi="Arial" w:cs="Arial"/>
            <w:noProof/>
            <w:webHidden/>
          </w:rPr>
          <w:tab/>
        </w:r>
        <w:r w:rsidR="002C3ABF" w:rsidRPr="00F631FB">
          <w:rPr>
            <w:rFonts w:ascii="Arial" w:hAnsi="Arial" w:cs="Arial" w:hint="eastAsia"/>
            <w:noProof/>
            <w:webHidden/>
          </w:rPr>
          <w:t>56</w:t>
        </w:r>
      </w:hyperlink>
    </w:p>
    <w:p w14:paraId="1E21EA4B" w14:textId="66BE6E4B" w:rsidR="002C3ABF" w:rsidRPr="00F631FB" w:rsidRDefault="007B5839" w:rsidP="002C3ABF">
      <w:pPr>
        <w:pStyle w:val="TOC1"/>
        <w:rPr>
          <w:rFonts w:ascii="Arial" w:eastAsiaTheme="minorEastAsia" w:cs="Arial"/>
          <w:noProof/>
          <w:kern w:val="2"/>
          <w:sz w:val="21"/>
          <w:szCs w:val="22"/>
        </w:rPr>
      </w:pPr>
      <w:hyperlink w:anchor="_Toc524335123" w:history="1">
        <w:r w:rsidR="002C3ABF" w:rsidRPr="00F631FB">
          <w:rPr>
            <w:rStyle w:val="ad"/>
            <w:rFonts w:ascii="Arial" w:cs="Arial"/>
            <w:b/>
            <w:noProof/>
            <w:color w:val="auto"/>
          </w:rPr>
          <w:t>附</w:t>
        </w:r>
        <w:r w:rsidR="002C3ABF" w:rsidRPr="00F631FB">
          <w:rPr>
            <w:rStyle w:val="ad"/>
            <w:rFonts w:ascii="Arial" w:cs="Arial"/>
            <w:b/>
            <w:noProof/>
            <w:color w:val="auto"/>
          </w:rPr>
          <w:t xml:space="preserve">  </w:t>
        </w:r>
        <w:r w:rsidR="002C3ABF" w:rsidRPr="00F631FB">
          <w:rPr>
            <w:rStyle w:val="ad"/>
            <w:rFonts w:ascii="Arial" w:cs="Arial"/>
            <w:b/>
            <w:noProof/>
            <w:color w:val="auto"/>
          </w:rPr>
          <w:t>件</w:t>
        </w:r>
        <w:r w:rsidR="002C3ABF" w:rsidRPr="00F631FB">
          <w:rPr>
            <w:rFonts w:ascii="Arial" w:cs="Arial"/>
            <w:noProof/>
            <w:webHidden/>
          </w:rPr>
          <w:tab/>
        </w:r>
        <w:r w:rsidR="00123EE9" w:rsidRPr="00F631FB">
          <w:rPr>
            <w:rFonts w:ascii="Arial" w:cs="Arial"/>
            <w:noProof/>
            <w:webHidden/>
          </w:rPr>
          <w:fldChar w:fldCharType="begin"/>
        </w:r>
        <w:r w:rsidR="002C3ABF" w:rsidRPr="00F631FB">
          <w:rPr>
            <w:rFonts w:ascii="Arial" w:cs="Arial"/>
            <w:noProof/>
            <w:webHidden/>
          </w:rPr>
          <w:instrText xml:space="preserve"> PAGEREF _Toc524335123 \h </w:instrText>
        </w:r>
        <w:r w:rsidR="00123EE9" w:rsidRPr="00F631FB">
          <w:rPr>
            <w:rFonts w:ascii="Arial" w:cs="Arial"/>
            <w:noProof/>
            <w:webHidden/>
          </w:rPr>
        </w:r>
        <w:r w:rsidR="00123EE9" w:rsidRPr="00F631FB">
          <w:rPr>
            <w:rFonts w:ascii="Arial" w:cs="Arial"/>
            <w:noProof/>
            <w:webHidden/>
          </w:rPr>
          <w:fldChar w:fldCharType="separate"/>
        </w:r>
        <w:r w:rsidR="004907BD">
          <w:rPr>
            <w:rFonts w:ascii="Arial" w:cs="Arial"/>
            <w:noProof/>
            <w:webHidden/>
          </w:rPr>
          <w:t>185</w:t>
        </w:r>
        <w:r w:rsidR="00123EE9" w:rsidRPr="00F631FB">
          <w:rPr>
            <w:rFonts w:ascii="Arial" w:cs="Arial"/>
            <w:noProof/>
            <w:webHidden/>
          </w:rPr>
          <w:fldChar w:fldCharType="end"/>
        </w:r>
      </w:hyperlink>
    </w:p>
    <w:p w14:paraId="162600A9" w14:textId="77777777" w:rsidR="002C3ABF" w:rsidRPr="00F631FB" w:rsidRDefault="00123EE9" w:rsidP="002C3ABF">
      <w:pPr>
        <w:pStyle w:val="TOC2"/>
        <w:rPr>
          <w:rFonts w:ascii="Arial" w:eastAsia="楷体" w:hAnsi="Arial" w:cs="Arial"/>
          <w:sz w:val="32"/>
        </w:rPr>
        <w:sectPr w:rsidR="002C3ABF" w:rsidRPr="00F631FB">
          <w:headerReference w:type="first" r:id="rId56"/>
          <w:footerReference w:type="first" r:id="rId57"/>
          <w:pgSz w:w="11907" w:h="16840"/>
          <w:pgMar w:top="1843" w:right="1134" w:bottom="1134" w:left="1134" w:header="1134" w:footer="907" w:gutter="340"/>
          <w:pgNumType w:start="0"/>
          <w:cols w:space="720"/>
          <w:titlePg/>
          <w:docGrid w:linePitch="326"/>
        </w:sectPr>
      </w:pPr>
      <w:r w:rsidRPr="00F631FB">
        <w:rPr>
          <w:rStyle w:val="ad"/>
          <w:rFonts w:ascii="Arial" w:eastAsia="仿宋_GB2312" w:hAnsi="Arial" w:cs="Arial"/>
          <w:color w:val="auto"/>
          <w:szCs w:val="24"/>
        </w:rPr>
        <w:fldChar w:fldCharType="end"/>
      </w:r>
    </w:p>
    <w:p w14:paraId="4AF41CD3" w14:textId="77777777" w:rsidR="002C3ABF" w:rsidRPr="00F631FB" w:rsidRDefault="002C3ABF" w:rsidP="002C3ABF">
      <w:pPr>
        <w:spacing w:line="360" w:lineRule="auto"/>
        <w:jc w:val="center"/>
        <w:rPr>
          <w:rFonts w:ascii="Arial" w:hAnsi="Arial" w:cs="Arial"/>
          <w:sz w:val="32"/>
        </w:rPr>
      </w:pPr>
      <w:bookmarkStart w:id="149" w:name="_Toc416783638"/>
      <w:bookmarkStart w:id="150" w:name="_Toc416783542"/>
      <w:r w:rsidRPr="00F631FB">
        <w:rPr>
          <w:rFonts w:ascii="Arial" w:hAnsi="Arial" w:cs="Arial"/>
          <w:b/>
          <w:sz w:val="32"/>
        </w:rPr>
        <w:lastRenderedPageBreak/>
        <w:t>土</w:t>
      </w:r>
      <w:r w:rsidRPr="00F631FB">
        <w:rPr>
          <w:rFonts w:ascii="Arial" w:eastAsia="仿宋_GB2312" w:hAnsi="Arial" w:cs="Arial"/>
          <w:b/>
          <w:sz w:val="32"/>
        </w:rPr>
        <w:t xml:space="preserve"> </w:t>
      </w:r>
      <w:r w:rsidRPr="00F631FB">
        <w:rPr>
          <w:rFonts w:ascii="Arial" w:hAnsi="Arial" w:cs="Arial"/>
          <w:b/>
          <w:sz w:val="32"/>
        </w:rPr>
        <w:t>地</w:t>
      </w:r>
      <w:r w:rsidRPr="00F631FB">
        <w:rPr>
          <w:rFonts w:ascii="Arial" w:eastAsia="仿宋_GB2312" w:hAnsi="Arial" w:cs="Arial"/>
          <w:b/>
          <w:sz w:val="32"/>
        </w:rPr>
        <w:t xml:space="preserve"> </w:t>
      </w:r>
      <w:r w:rsidRPr="00F631FB">
        <w:rPr>
          <w:rFonts w:ascii="Arial" w:hAnsi="Arial" w:cs="Arial"/>
          <w:b/>
          <w:sz w:val="32"/>
        </w:rPr>
        <w:t>估</w:t>
      </w:r>
      <w:r w:rsidRPr="00F631FB">
        <w:rPr>
          <w:rFonts w:ascii="Arial" w:eastAsia="仿宋_GB2312" w:hAnsi="Arial" w:cs="Arial"/>
          <w:b/>
          <w:sz w:val="32"/>
        </w:rPr>
        <w:t xml:space="preserve"> </w:t>
      </w:r>
      <w:r w:rsidRPr="00F631FB">
        <w:rPr>
          <w:rFonts w:ascii="Arial" w:hAnsi="Arial" w:cs="Arial"/>
          <w:b/>
          <w:sz w:val="32"/>
        </w:rPr>
        <w:t>价</w:t>
      </w:r>
      <w:r w:rsidRPr="00F631FB">
        <w:rPr>
          <w:rFonts w:ascii="Arial" w:eastAsia="仿宋_GB2312" w:hAnsi="Arial" w:cs="Arial"/>
          <w:b/>
          <w:sz w:val="32"/>
        </w:rPr>
        <w:t xml:space="preserve"> </w:t>
      </w:r>
      <w:r w:rsidRPr="00F631FB">
        <w:rPr>
          <w:rFonts w:ascii="Arial" w:hAnsi="Arial" w:cs="Arial"/>
          <w:b/>
          <w:sz w:val="32"/>
        </w:rPr>
        <w:t>技</w:t>
      </w:r>
      <w:r w:rsidRPr="00F631FB">
        <w:rPr>
          <w:rFonts w:ascii="Arial" w:eastAsia="仿宋_GB2312" w:hAnsi="Arial" w:cs="Arial"/>
          <w:b/>
          <w:sz w:val="32"/>
        </w:rPr>
        <w:t xml:space="preserve"> </w:t>
      </w:r>
      <w:r w:rsidRPr="00F631FB">
        <w:rPr>
          <w:rFonts w:ascii="Arial" w:hAnsi="Arial" w:cs="Arial"/>
          <w:b/>
          <w:sz w:val="32"/>
        </w:rPr>
        <w:t>术</w:t>
      </w:r>
      <w:r w:rsidRPr="00F631FB">
        <w:rPr>
          <w:rFonts w:ascii="Arial" w:eastAsia="仿宋_GB2312" w:hAnsi="Arial" w:cs="Arial"/>
          <w:b/>
          <w:sz w:val="32"/>
        </w:rPr>
        <w:t xml:space="preserve"> </w:t>
      </w:r>
      <w:r w:rsidRPr="00F631FB">
        <w:rPr>
          <w:rFonts w:ascii="Arial" w:hAnsi="Arial" w:cs="Arial"/>
          <w:b/>
          <w:sz w:val="32"/>
        </w:rPr>
        <w:t>报</w:t>
      </w:r>
      <w:r w:rsidRPr="00F631FB">
        <w:rPr>
          <w:rFonts w:ascii="Arial" w:eastAsia="仿宋_GB2312" w:hAnsi="Arial" w:cs="Arial"/>
          <w:b/>
          <w:sz w:val="32"/>
        </w:rPr>
        <w:t xml:space="preserve"> </w:t>
      </w:r>
      <w:r w:rsidRPr="00F631FB">
        <w:rPr>
          <w:rFonts w:ascii="Arial" w:hAnsi="Arial" w:cs="Arial"/>
          <w:b/>
          <w:sz w:val="32"/>
        </w:rPr>
        <w:t>告</w:t>
      </w:r>
      <w:bookmarkEnd w:id="149"/>
      <w:bookmarkEnd w:id="150"/>
    </w:p>
    <w:p w14:paraId="1202A4CB" w14:textId="77777777" w:rsidR="002C3ABF" w:rsidRPr="00F631FB" w:rsidRDefault="002C3ABF" w:rsidP="002C3ABF">
      <w:pPr>
        <w:spacing w:line="360" w:lineRule="auto"/>
        <w:jc w:val="center"/>
        <w:rPr>
          <w:rFonts w:ascii="Arial" w:hAnsi="Arial" w:cs="Arial"/>
          <w:sz w:val="32"/>
        </w:rPr>
      </w:pPr>
    </w:p>
    <w:p w14:paraId="0A78C6EE" w14:textId="77777777" w:rsidR="002C3ABF" w:rsidRPr="00F631FB" w:rsidRDefault="002C3ABF" w:rsidP="002C3ABF">
      <w:pPr>
        <w:spacing w:line="360" w:lineRule="auto"/>
        <w:jc w:val="center"/>
        <w:outlineLvl w:val="0"/>
        <w:rPr>
          <w:rFonts w:ascii="Arial" w:hAnsi="Arial" w:cs="Arial"/>
          <w:sz w:val="32"/>
        </w:rPr>
      </w:pPr>
      <w:bookmarkStart w:id="151" w:name="_Toc516488179"/>
      <w:bookmarkStart w:id="152" w:name="_Toc515457801"/>
      <w:bookmarkStart w:id="153" w:name="_Toc469066149"/>
      <w:bookmarkStart w:id="154" w:name="_Toc416783639"/>
      <w:bookmarkStart w:id="155" w:name="_Toc416783543"/>
      <w:bookmarkStart w:id="156" w:name="_Toc524335084"/>
      <w:bookmarkStart w:id="157" w:name="_Toc66929511"/>
      <w:bookmarkStart w:id="158" w:name="_Toc69393386"/>
      <w:r w:rsidRPr="00F631FB">
        <w:rPr>
          <w:rFonts w:ascii="Arial" w:hAnsi="Arial" w:cs="Arial"/>
          <w:b/>
          <w:sz w:val="32"/>
        </w:rPr>
        <w:t>第一部分</w:t>
      </w:r>
      <w:r w:rsidRPr="00F631FB">
        <w:rPr>
          <w:rFonts w:ascii="Arial" w:eastAsia="仿宋_GB2312" w:hAnsi="Arial" w:cs="Arial"/>
          <w:b/>
          <w:sz w:val="32"/>
        </w:rPr>
        <w:t xml:space="preserve">  </w:t>
      </w:r>
      <w:r w:rsidRPr="00F631FB">
        <w:rPr>
          <w:rFonts w:ascii="Arial" w:hAnsi="Arial" w:cs="Arial"/>
          <w:b/>
          <w:sz w:val="32"/>
        </w:rPr>
        <w:t>总</w:t>
      </w:r>
      <w:r w:rsidRPr="00F631FB">
        <w:rPr>
          <w:rFonts w:ascii="Arial" w:eastAsia="仿宋_GB2312" w:hAnsi="Arial" w:cs="Arial"/>
          <w:b/>
          <w:sz w:val="32"/>
        </w:rPr>
        <w:t xml:space="preserve">  </w:t>
      </w:r>
      <w:r w:rsidRPr="00F631FB">
        <w:rPr>
          <w:rFonts w:ascii="Arial" w:hAnsi="Arial" w:cs="Arial"/>
          <w:b/>
          <w:sz w:val="32"/>
        </w:rPr>
        <w:t>述</w:t>
      </w:r>
      <w:bookmarkEnd w:id="151"/>
      <w:bookmarkEnd w:id="152"/>
      <w:bookmarkEnd w:id="153"/>
      <w:bookmarkEnd w:id="154"/>
      <w:bookmarkEnd w:id="155"/>
      <w:bookmarkEnd w:id="156"/>
      <w:bookmarkEnd w:id="157"/>
      <w:bookmarkEnd w:id="158"/>
    </w:p>
    <w:p w14:paraId="5674615D" w14:textId="77777777" w:rsidR="002C3ABF" w:rsidRPr="00F631FB" w:rsidRDefault="002C3ABF" w:rsidP="002C3ABF">
      <w:pPr>
        <w:spacing w:line="360" w:lineRule="auto"/>
        <w:jc w:val="center"/>
        <w:rPr>
          <w:rFonts w:ascii="Arial" w:eastAsia="仿宋_GB2312" w:hAnsi="Arial" w:cs="Arial"/>
          <w:sz w:val="28"/>
        </w:rPr>
      </w:pPr>
    </w:p>
    <w:p w14:paraId="49C822DF" w14:textId="77777777" w:rsidR="002C3ABF" w:rsidRPr="00F631FB" w:rsidRDefault="002C3ABF" w:rsidP="002C3ABF">
      <w:pPr>
        <w:spacing w:line="360" w:lineRule="auto"/>
        <w:outlineLvl w:val="1"/>
        <w:rPr>
          <w:rFonts w:ascii="Arial" w:eastAsia="仿宋_GB2312" w:hAnsi="Arial" w:cs="Arial"/>
          <w:b/>
          <w:sz w:val="28"/>
        </w:rPr>
      </w:pPr>
      <w:bookmarkStart w:id="159" w:name="_Toc416783544"/>
      <w:bookmarkStart w:id="160" w:name="_Toc515457802"/>
      <w:bookmarkStart w:id="161" w:name="_Toc516488180"/>
      <w:bookmarkStart w:id="162" w:name="_Toc416783640"/>
      <w:bookmarkStart w:id="163" w:name="_Toc469066150"/>
      <w:bookmarkStart w:id="164" w:name="_Toc524335085"/>
      <w:bookmarkStart w:id="165" w:name="_Toc66929512"/>
      <w:bookmarkStart w:id="166" w:name="_Toc69393387"/>
      <w:r w:rsidRPr="00F631FB">
        <w:rPr>
          <w:rFonts w:ascii="Arial" w:eastAsia="仿宋_GB2312" w:hAnsi="Arial" w:cs="Arial"/>
          <w:b/>
          <w:sz w:val="28"/>
        </w:rPr>
        <w:t>一、估价项目名称</w:t>
      </w:r>
      <w:bookmarkEnd w:id="159"/>
      <w:bookmarkEnd w:id="160"/>
      <w:bookmarkEnd w:id="161"/>
      <w:bookmarkEnd w:id="162"/>
      <w:bookmarkEnd w:id="163"/>
      <w:bookmarkEnd w:id="164"/>
      <w:bookmarkEnd w:id="165"/>
      <w:bookmarkEnd w:id="166"/>
    </w:p>
    <w:p w14:paraId="1DEEA90B" w14:textId="4F8CECF2" w:rsidR="002C3ABF" w:rsidRPr="00F631FB" w:rsidRDefault="0002769D" w:rsidP="002C3ABF">
      <w:pPr>
        <w:spacing w:line="360" w:lineRule="auto"/>
        <w:ind w:firstLineChars="199" w:firstLine="557"/>
        <w:jc w:val="both"/>
        <w:rPr>
          <w:rFonts w:ascii="Arial" w:eastAsia="仿宋_GB2312" w:hAnsi="Arial" w:cs="Arial"/>
          <w:sz w:val="28"/>
        </w:rPr>
      </w:pPr>
      <w:r w:rsidRPr="003D6BCC">
        <w:rPr>
          <w:rFonts w:ascii="Arial" w:eastAsia="仿宋_GB2312" w:hAnsi="Arial" w:cs="Arial" w:hint="eastAsia"/>
          <w:sz w:val="28"/>
        </w:rPr>
        <w:t>北京市海淀区苏州街站一体化棚户区改造一次性招标项目国有建设用地使用权出让地价评估</w:t>
      </w:r>
    </w:p>
    <w:p w14:paraId="67D7D147" w14:textId="77777777" w:rsidR="002C3ABF" w:rsidRPr="00F631FB" w:rsidRDefault="002C3ABF" w:rsidP="002C3ABF">
      <w:pPr>
        <w:spacing w:line="360" w:lineRule="auto"/>
        <w:ind w:right="-327"/>
        <w:rPr>
          <w:rFonts w:ascii="Arial" w:eastAsia="仿宋_GB2312" w:hAnsi="Arial" w:cs="Arial"/>
          <w:sz w:val="28"/>
        </w:rPr>
      </w:pPr>
    </w:p>
    <w:p w14:paraId="5D84792B" w14:textId="77777777" w:rsidR="002C3ABF" w:rsidRPr="00F631FB" w:rsidRDefault="002C3ABF" w:rsidP="002C3ABF">
      <w:pPr>
        <w:spacing w:line="360" w:lineRule="auto"/>
        <w:outlineLvl w:val="1"/>
        <w:rPr>
          <w:rFonts w:ascii="Arial" w:eastAsia="仿宋_GB2312" w:hAnsi="Arial" w:cs="Arial"/>
          <w:b/>
          <w:sz w:val="28"/>
        </w:rPr>
      </w:pPr>
      <w:bookmarkStart w:id="167" w:name="_Toc515457803"/>
      <w:bookmarkStart w:id="168" w:name="_Toc516488181"/>
      <w:bookmarkStart w:id="169" w:name="_Toc416783546"/>
      <w:bookmarkStart w:id="170" w:name="_Toc416783642"/>
      <w:bookmarkStart w:id="171" w:name="_Toc469066151"/>
      <w:bookmarkStart w:id="172" w:name="_Toc524335086"/>
      <w:bookmarkStart w:id="173" w:name="_Toc66929513"/>
      <w:bookmarkStart w:id="174" w:name="_Toc69393388"/>
      <w:r w:rsidRPr="00F631FB">
        <w:rPr>
          <w:rFonts w:ascii="Arial" w:eastAsia="仿宋_GB2312" w:hAnsi="Arial" w:cs="Arial"/>
          <w:b/>
          <w:sz w:val="28"/>
        </w:rPr>
        <w:t>二、委托估价方</w:t>
      </w:r>
      <w:bookmarkEnd w:id="167"/>
      <w:bookmarkEnd w:id="168"/>
      <w:bookmarkEnd w:id="169"/>
      <w:bookmarkEnd w:id="170"/>
      <w:bookmarkEnd w:id="171"/>
      <w:bookmarkEnd w:id="172"/>
      <w:bookmarkEnd w:id="173"/>
      <w:bookmarkEnd w:id="174"/>
    </w:p>
    <w:p w14:paraId="3E29416F"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北京市土地利用事务中心</w:t>
      </w:r>
      <w:r w:rsidRPr="00F631FB">
        <w:rPr>
          <w:rFonts w:ascii="Arial" w:eastAsia="仿宋_GB2312" w:hAnsi="Arial" w:cs="Arial"/>
          <w:bCs/>
          <w:sz w:val="28"/>
        </w:rPr>
        <w:t xml:space="preserve"> </w:t>
      </w:r>
    </w:p>
    <w:p w14:paraId="4FC01EDB" w14:textId="77777777" w:rsidR="002C3ABF" w:rsidRPr="00F631FB" w:rsidRDefault="002C3ABF" w:rsidP="002C3ABF">
      <w:pPr>
        <w:spacing w:line="360" w:lineRule="auto"/>
        <w:rPr>
          <w:rFonts w:ascii="Arial" w:eastAsia="仿宋_GB2312" w:hAnsi="Arial" w:cs="Arial"/>
          <w:b/>
          <w:sz w:val="28"/>
        </w:rPr>
      </w:pPr>
    </w:p>
    <w:p w14:paraId="186CA81B" w14:textId="77777777" w:rsidR="002C3ABF" w:rsidRPr="00F631FB" w:rsidRDefault="002C3ABF" w:rsidP="002C3ABF">
      <w:pPr>
        <w:spacing w:line="360" w:lineRule="auto"/>
        <w:outlineLvl w:val="1"/>
        <w:rPr>
          <w:rFonts w:ascii="Arial" w:eastAsia="仿宋_GB2312" w:hAnsi="Arial" w:cs="Arial"/>
          <w:b/>
          <w:sz w:val="28"/>
        </w:rPr>
      </w:pPr>
      <w:bookmarkStart w:id="175" w:name="_Toc516488182"/>
      <w:bookmarkStart w:id="176" w:name="_Toc416783643"/>
      <w:bookmarkStart w:id="177" w:name="_Toc416783547"/>
      <w:bookmarkStart w:id="178" w:name="_Toc469066152"/>
      <w:bookmarkStart w:id="179" w:name="_Toc515457804"/>
      <w:bookmarkStart w:id="180" w:name="_Toc524335087"/>
      <w:bookmarkStart w:id="181" w:name="_Toc66929514"/>
      <w:bookmarkStart w:id="182" w:name="_Toc69393389"/>
      <w:r w:rsidRPr="00F631FB">
        <w:rPr>
          <w:rFonts w:ascii="Arial" w:eastAsia="仿宋_GB2312" w:hAnsi="Arial" w:cs="Arial"/>
          <w:b/>
          <w:sz w:val="28"/>
        </w:rPr>
        <w:t>三、受托估价方</w:t>
      </w:r>
      <w:bookmarkEnd w:id="175"/>
      <w:bookmarkEnd w:id="176"/>
      <w:bookmarkEnd w:id="177"/>
      <w:bookmarkEnd w:id="178"/>
      <w:bookmarkEnd w:id="179"/>
      <w:bookmarkEnd w:id="180"/>
      <w:bookmarkEnd w:id="181"/>
      <w:bookmarkEnd w:id="182"/>
    </w:p>
    <w:p w14:paraId="1B79C08B" w14:textId="77777777" w:rsidR="002C3ABF" w:rsidRPr="00F631FB" w:rsidRDefault="002C3ABF" w:rsidP="002C3ABF">
      <w:pPr>
        <w:spacing w:line="360" w:lineRule="auto"/>
        <w:ind w:firstLine="570"/>
        <w:jc w:val="both"/>
        <w:rPr>
          <w:rFonts w:ascii="Arial" w:eastAsia="仿宋_GB2312" w:hAnsi="Arial" w:cs="Arial"/>
          <w:sz w:val="28"/>
        </w:rPr>
      </w:pPr>
      <w:bookmarkStart w:id="183" w:name="_Toc416783548"/>
      <w:bookmarkStart w:id="184" w:name="_Toc416783644"/>
      <w:r w:rsidRPr="00F631FB">
        <w:rPr>
          <w:rFonts w:ascii="Arial" w:eastAsia="仿宋_GB2312" w:hAnsi="Arial" w:cs="Arial"/>
          <w:sz w:val="28"/>
        </w:rPr>
        <w:t>受托机构：</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w:t>
      </w:r>
      <w:bookmarkEnd w:id="183"/>
      <w:bookmarkEnd w:id="184"/>
    </w:p>
    <w:p w14:paraId="28DC58D5" w14:textId="77777777" w:rsidR="002C3ABF" w:rsidRPr="00F631FB" w:rsidRDefault="002C3ABF" w:rsidP="002C3ABF">
      <w:pPr>
        <w:spacing w:line="360" w:lineRule="auto"/>
        <w:ind w:left="1960" w:hangingChars="700" w:hanging="1960"/>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z w:val="28"/>
        </w:rPr>
        <w:t>地</w:t>
      </w:r>
      <w:r w:rsidRPr="00F631FB">
        <w:rPr>
          <w:rFonts w:ascii="Arial" w:eastAsia="仿宋_GB2312" w:hAnsi="Arial" w:cs="Arial"/>
          <w:sz w:val="28"/>
        </w:rPr>
        <w:t xml:space="preserve">    </w:t>
      </w:r>
      <w:r w:rsidRPr="00F631FB">
        <w:rPr>
          <w:rFonts w:ascii="Arial" w:eastAsia="仿宋_GB2312" w:hAnsi="Arial" w:cs="Arial"/>
          <w:sz w:val="28"/>
        </w:rPr>
        <w:t>址：北京市朝阳区裕民路</w:t>
      </w:r>
      <w:r w:rsidRPr="00F631FB">
        <w:rPr>
          <w:rFonts w:ascii="Arial" w:eastAsia="仿宋_GB2312" w:hAnsi="Arial" w:cs="Arial"/>
          <w:sz w:val="28"/>
        </w:rPr>
        <w:t>12</w:t>
      </w:r>
      <w:r w:rsidRPr="00F631FB">
        <w:rPr>
          <w:rFonts w:ascii="Arial" w:eastAsia="仿宋_GB2312" w:hAnsi="Arial" w:cs="Arial"/>
          <w:sz w:val="28"/>
        </w:rPr>
        <w:t>号中国国际科技会展中心</w:t>
      </w:r>
      <w:r w:rsidRPr="00F631FB">
        <w:rPr>
          <w:rFonts w:ascii="Arial" w:eastAsia="仿宋_GB2312" w:hAnsi="Arial" w:cs="Arial"/>
          <w:sz w:val="28"/>
        </w:rPr>
        <w:t xml:space="preserve">B </w:t>
      </w:r>
      <w:r w:rsidRPr="00F631FB">
        <w:rPr>
          <w:rFonts w:ascii="Arial" w:eastAsia="仿宋_GB2312" w:hAnsi="Arial" w:cs="Arial"/>
          <w:sz w:val="28"/>
        </w:rPr>
        <w:t>座</w:t>
      </w:r>
      <w:r w:rsidRPr="00F631FB">
        <w:rPr>
          <w:rFonts w:ascii="Arial" w:eastAsia="仿宋_GB2312" w:hAnsi="Arial" w:cs="Arial"/>
          <w:sz w:val="28"/>
        </w:rPr>
        <w:t>10</w:t>
      </w:r>
      <w:r w:rsidRPr="00F631FB">
        <w:rPr>
          <w:rFonts w:ascii="Arial" w:eastAsia="仿宋_GB2312" w:hAnsi="Arial" w:cs="Arial"/>
          <w:sz w:val="28"/>
        </w:rPr>
        <w:t>层</w:t>
      </w:r>
      <w:r w:rsidRPr="00F631FB">
        <w:rPr>
          <w:rFonts w:ascii="Arial" w:eastAsia="仿宋_GB2312" w:hAnsi="Arial" w:cs="Arial"/>
          <w:sz w:val="28"/>
        </w:rPr>
        <w:t>1003</w:t>
      </w:r>
      <w:r w:rsidRPr="00F631FB">
        <w:rPr>
          <w:rFonts w:ascii="Arial" w:eastAsia="仿宋_GB2312" w:hAnsi="Arial" w:cs="Arial"/>
          <w:sz w:val="28"/>
        </w:rPr>
        <w:t>室</w:t>
      </w:r>
    </w:p>
    <w:p w14:paraId="2848B008"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z w:val="28"/>
        </w:rPr>
        <w:t>资质级别：在全国范围内从事土地估价业务</w:t>
      </w:r>
    </w:p>
    <w:p w14:paraId="0795F5C8"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z w:val="28"/>
        </w:rPr>
        <w:t>资质证书号：</w:t>
      </w:r>
      <w:r w:rsidRPr="00F631FB">
        <w:rPr>
          <w:rFonts w:ascii="Arial" w:eastAsia="仿宋_GB2312" w:hAnsi="Arial" w:cs="Arial"/>
          <w:sz w:val="28"/>
        </w:rPr>
        <w:t>A201111009</w:t>
      </w:r>
    </w:p>
    <w:p w14:paraId="1F02A917"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z w:val="28"/>
        </w:rPr>
        <w:t>法人代表：齐</w:t>
      </w:r>
      <w:r w:rsidRPr="00F631FB">
        <w:rPr>
          <w:rFonts w:ascii="Arial" w:eastAsia="仿宋_GB2312" w:hAnsi="Arial" w:cs="Arial"/>
          <w:sz w:val="28"/>
        </w:rPr>
        <w:t xml:space="preserve">  </w:t>
      </w:r>
      <w:r w:rsidRPr="00F631FB">
        <w:rPr>
          <w:rFonts w:ascii="Arial" w:eastAsia="仿宋_GB2312" w:hAnsi="Arial" w:cs="Arial"/>
          <w:sz w:val="28"/>
        </w:rPr>
        <w:t>宏</w:t>
      </w:r>
    </w:p>
    <w:p w14:paraId="441D8A02"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pacing w:val="38"/>
          <w:sz w:val="28"/>
        </w:rPr>
        <w:t>联系人：</w:t>
      </w:r>
      <w:r w:rsidRPr="00F631FB">
        <w:rPr>
          <w:rFonts w:ascii="Arial" w:eastAsia="仿宋_GB2312" w:hAnsi="Arial" w:cs="Arial"/>
          <w:sz w:val="28"/>
        </w:rPr>
        <w:t>陈</w:t>
      </w:r>
      <w:r w:rsidRPr="00F631FB">
        <w:rPr>
          <w:rFonts w:ascii="Arial" w:eastAsia="仿宋_GB2312" w:hAnsi="Arial" w:cs="Arial"/>
          <w:sz w:val="28"/>
        </w:rPr>
        <w:t xml:space="preserve">  </w:t>
      </w:r>
      <w:proofErr w:type="gramStart"/>
      <w:r w:rsidRPr="00F631FB">
        <w:rPr>
          <w:rFonts w:ascii="Arial" w:eastAsia="仿宋_GB2312" w:hAnsi="Arial" w:cs="Arial"/>
          <w:sz w:val="28"/>
        </w:rPr>
        <w:t>颖</w:t>
      </w:r>
      <w:proofErr w:type="gramEnd"/>
    </w:p>
    <w:p w14:paraId="3C444079" w14:textId="77777777" w:rsidR="002C3ABF" w:rsidRPr="00F631FB" w:rsidRDefault="002C3ABF" w:rsidP="002C3ABF">
      <w:pPr>
        <w:spacing w:line="360" w:lineRule="auto"/>
        <w:ind w:firstLine="600"/>
        <w:jc w:val="both"/>
        <w:rPr>
          <w:rFonts w:ascii="Arial" w:eastAsia="仿宋_GB2312" w:hAnsi="Arial" w:cs="Arial"/>
          <w:sz w:val="28"/>
        </w:rPr>
      </w:pPr>
      <w:r w:rsidRPr="00F631FB">
        <w:rPr>
          <w:rFonts w:ascii="Arial" w:eastAsia="仿宋_GB2312" w:hAnsi="Arial" w:cs="Arial"/>
          <w:sz w:val="28"/>
        </w:rPr>
        <w:t>联系电话：</w:t>
      </w:r>
      <w:r w:rsidRPr="00F631FB">
        <w:rPr>
          <w:rFonts w:ascii="Arial" w:eastAsia="仿宋_GB2312" w:hAnsi="Arial" w:cs="Arial"/>
          <w:sz w:val="28"/>
        </w:rPr>
        <w:t>010-82253558-110</w:t>
      </w:r>
    </w:p>
    <w:p w14:paraId="216A4251" w14:textId="77777777" w:rsidR="002C3ABF" w:rsidRPr="00F631FB" w:rsidRDefault="002C3ABF" w:rsidP="002C3ABF">
      <w:pPr>
        <w:spacing w:line="360" w:lineRule="auto"/>
        <w:ind w:firstLine="600"/>
        <w:jc w:val="both"/>
        <w:rPr>
          <w:rFonts w:ascii="Arial" w:eastAsia="仿宋_GB2312" w:hAnsi="Arial" w:cs="Arial"/>
          <w:sz w:val="28"/>
        </w:rPr>
      </w:pPr>
    </w:p>
    <w:p w14:paraId="047EE789" w14:textId="77777777" w:rsidR="002C3ABF" w:rsidRPr="00F631FB" w:rsidRDefault="002C3ABF" w:rsidP="002C3ABF">
      <w:pPr>
        <w:spacing w:line="360" w:lineRule="auto"/>
        <w:outlineLvl w:val="1"/>
        <w:rPr>
          <w:rFonts w:ascii="Arial" w:eastAsia="仿宋_GB2312" w:hAnsi="Arial" w:cs="Arial"/>
          <w:b/>
          <w:sz w:val="28"/>
        </w:rPr>
      </w:pPr>
      <w:bookmarkStart w:id="185" w:name="_Toc515457805"/>
      <w:bookmarkStart w:id="186" w:name="_Toc416783549"/>
      <w:bookmarkStart w:id="187" w:name="_Toc516488183"/>
      <w:bookmarkStart w:id="188" w:name="_Toc416783645"/>
      <w:bookmarkStart w:id="189" w:name="_Toc469066153"/>
      <w:bookmarkStart w:id="190" w:name="_Toc524335088"/>
      <w:bookmarkStart w:id="191" w:name="_Toc66929515"/>
      <w:bookmarkStart w:id="192" w:name="_Toc69393390"/>
      <w:r w:rsidRPr="00F631FB">
        <w:rPr>
          <w:rFonts w:ascii="Arial" w:eastAsia="仿宋_GB2312" w:hAnsi="Arial" w:cs="Arial"/>
          <w:b/>
          <w:sz w:val="28"/>
        </w:rPr>
        <w:t>四、估价目的</w:t>
      </w:r>
      <w:bookmarkEnd w:id="185"/>
      <w:bookmarkEnd w:id="186"/>
      <w:bookmarkEnd w:id="187"/>
      <w:bookmarkEnd w:id="188"/>
      <w:bookmarkEnd w:id="189"/>
      <w:bookmarkEnd w:id="190"/>
      <w:bookmarkEnd w:id="191"/>
      <w:bookmarkEnd w:id="192"/>
    </w:p>
    <w:p w14:paraId="13851889" w14:textId="3ED5C151" w:rsidR="002C3ABF" w:rsidRPr="00F631FB" w:rsidRDefault="002347DA" w:rsidP="002C3ABF">
      <w:pPr>
        <w:snapToGrid w:val="0"/>
        <w:spacing w:line="360" w:lineRule="auto"/>
        <w:ind w:firstLine="556"/>
        <w:jc w:val="both"/>
        <w:rPr>
          <w:rFonts w:ascii="Arial" w:eastAsia="仿宋_GB2312" w:hAnsi="Arial" w:cs="Arial"/>
          <w:sz w:val="28"/>
        </w:rPr>
      </w:pPr>
      <w:r>
        <w:rPr>
          <w:rFonts w:ascii="Arial" w:eastAsia="仿宋_GB2312" w:hAnsi="Arial" w:cs="Arial" w:hint="eastAsia"/>
          <w:sz w:val="28"/>
        </w:rPr>
        <w:t>北京城投地下空间开发建设有限公司</w:t>
      </w:r>
      <w:r w:rsidRPr="00F631FB">
        <w:rPr>
          <w:rFonts w:ascii="Arial" w:eastAsia="仿宋_GB2312" w:hAnsi="Arial" w:cs="Arial"/>
          <w:sz w:val="28"/>
        </w:rPr>
        <w:t>向北京市规划和自然资源委员会申请办理</w:t>
      </w:r>
      <w:r w:rsidRPr="00927BB2">
        <w:rPr>
          <w:rFonts w:ascii="Arial" w:eastAsia="仿宋_GB2312" w:hAnsi="Arial" w:cs="Arial" w:hint="eastAsia"/>
          <w:sz w:val="28"/>
        </w:rPr>
        <w:t>北京市海淀区苏州街站一体化棚户区改造</w:t>
      </w:r>
      <w:r>
        <w:rPr>
          <w:rFonts w:ascii="Arial" w:eastAsia="仿宋_GB2312" w:hAnsi="Arial" w:cs="Arial" w:hint="eastAsia"/>
          <w:sz w:val="28"/>
        </w:rPr>
        <w:t>项目</w:t>
      </w:r>
      <w:r w:rsidRPr="00927BB2">
        <w:rPr>
          <w:rFonts w:ascii="Arial" w:eastAsia="仿宋_GB2312" w:hAnsi="Arial" w:cs="Arial" w:hint="eastAsia"/>
          <w:sz w:val="28"/>
        </w:rPr>
        <w:t>一次性招标</w:t>
      </w:r>
      <w:r>
        <w:rPr>
          <w:rFonts w:ascii="Arial" w:eastAsia="仿宋_GB2312" w:hAnsi="Arial" w:cs="Arial" w:hint="eastAsia"/>
          <w:sz w:val="28"/>
        </w:rPr>
        <w:t>出让手续</w:t>
      </w:r>
      <w:r w:rsidRPr="00F631FB">
        <w:rPr>
          <w:rFonts w:ascii="Arial" w:eastAsia="仿宋_GB2312" w:hAnsi="Arial" w:cs="Arial"/>
          <w:sz w:val="28"/>
          <w:szCs w:val="28"/>
        </w:rPr>
        <w:t>。</w:t>
      </w:r>
      <w:r w:rsidRPr="00F631FB">
        <w:rPr>
          <w:rFonts w:ascii="Arial" w:eastAsia="仿宋_GB2312" w:hAnsi="Arial" w:cs="Arial"/>
          <w:sz w:val="28"/>
        </w:rPr>
        <w:t>经北京市规划和自然资源委员会审查，该项目符合北京市国有建设用地使用</w:t>
      </w:r>
      <w:r w:rsidRPr="00F631FB">
        <w:rPr>
          <w:rFonts w:ascii="Arial" w:eastAsia="仿宋_GB2312" w:hAnsi="Arial" w:cs="Arial"/>
          <w:sz w:val="28"/>
        </w:rPr>
        <w:lastRenderedPageBreak/>
        <w:t>权</w:t>
      </w:r>
      <w:r w:rsidRPr="00927BB2">
        <w:rPr>
          <w:rFonts w:ascii="Arial" w:eastAsia="仿宋_GB2312" w:hAnsi="Arial" w:cs="Arial" w:hint="eastAsia"/>
          <w:sz w:val="28"/>
        </w:rPr>
        <w:t>招标</w:t>
      </w:r>
      <w:r>
        <w:rPr>
          <w:rFonts w:ascii="Arial" w:eastAsia="仿宋_GB2312" w:hAnsi="Arial" w:cs="Arial" w:hint="eastAsia"/>
          <w:sz w:val="28"/>
        </w:rPr>
        <w:t>出让</w:t>
      </w:r>
      <w:r w:rsidRPr="00F631FB">
        <w:rPr>
          <w:rFonts w:ascii="Arial" w:eastAsia="仿宋_GB2312" w:hAnsi="Arial" w:cs="Arial"/>
          <w:sz w:val="28"/>
        </w:rPr>
        <w:t>的条件，故由</w:t>
      </w:r>
      <w:r w:rsidRPr="00F631FB">
        <w:rPr>
          <w:rFonts w:ascii="Arial" w:eastAsia="仿宋_GB2312" w:hAnsi="Arial" w:cs="Arial"/>
          <w:bCs/>
          <w:sz w:val="28"/>
        </w:rPr>
        <w:t>北京市土地利用事务中心</w:t>
      </w:r>
      <w:r w:rsidRPr="00F631FB">
        <w:rPr>
          <w:rFonts w:ascii="Arial" w:eastAsia="仿宋_GB2312" w:hAnsi="Arial" w:cs="Arial"/>
          <w:sz w:val="28"/>
        </w:rPr>
        <w:t>委托</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sidRPr="00927BB2">
        <w:rPr>
          <w:rFonts w:ascii="Arial" w:eastAsia="仿宋_GB2312" w:hAnsi="Arial" w:cs="Arial" w:hint="eastAsia"/>
          <w:sz w:val="28"/>
        </w:rPr>
        <w:t>招标</w:t>
      </w:r>
      <w:r>
        <w:rPr>
          <w:rFonts w:ascii="Arial" w:eastAsia="仿宋_GB2312" w:hAnsi="Arial" w:cs="Arial" w:hint="eastAsia"/>
          <w:sz w:val="28"/>
        </w:rPr>
        <w:t>出让手续</w:t>
      </w:r>
      <w:r w:rsidRPr="00F631FB">
        <w:rPr>
          <w:rFonts w:ascii="Arial" w:eastAsia="仿宋_GB2312" w:hAnsi="Arial" w:cs="Arial"/>
          <w:sz w:val="28"/>
        </w:rPr>
        <w:t>提供参考</w:t>
      </w:r>
      <w:r w:rsidRPr="00F631FB">
        <w:rPr>
          <w:rFonts w:ascii="Arial" w:eastAsia="仿宋_GB2312" w:hAnsi="Arial" w:cs="Arial" w:hint="eastAsia"/>
          <w:sz w:val="28"/>
        </w:rPr>
        <w:t>依据</w:t>
      </w:r>
      <w:r w:rsidRPr="00F631FB">
        <w:rPr>
          <w:rFonts w:ascii="Arial" w:eastAsia="仿宋_GB2312" w:hAnsi="Arial" w:cs="Arial"/>
          <w:sz w:val="28"/>
        </w:rPr>
        <w:t>。</w:t>
      </w:r>
    </w:p>
    <w:p w14:paraId="740B0839" w14:textId="77777777" w:rsidR="002C3ABF" w:rsidRPr="00F631FB" w:rsidRDefault="002C3ABF" w:rsidP="002C3ABF">
      <w:pPr>
        <w:spacing w:line="360" w:lineRule="auto"/>
        <w:jc w:val="both"/>
        <w:rPr>
          <w:rFonts w:ascii="Arial" w:eastAsia="仿宋_GB2312" w:hAnsi="Arial" w:cs="Arial"/>
          <w:sz w:val="28"/>
        </w:rPr>
      </w:pPr>
    </w:p>
    <w:p w14:paraId="66476558" w14:textId="77777777" w:rsidR="002C3ABF" w:rsidRPr="00F631FB" w:rsidRDefault="002C3ABF" w:rsidP="002C3ABF">
      <w:pPr>
        <w:spacing w:line="360" w:lineRule="auto"/>
        <w:outlineLvl w:val="1"/>
        <w:rPr>
          <w:rFonts w:ascii="Arial" w:eastAsia="仿宋_GB2312" w:hAnsi="Arial" w:cs="Arial"/>
          <w:b/>
          <w:sz w:val="28"/>
        </w:rPr>
      </w:pPr>
      <w:bookmarkStart w:id="193" w:name="_Toc515457806"/>
      <w:bookmarkStart w:id="194" w:name="_Toc469066154"/>
      <w:bookmarkStart w:id="195" w:name="_Toc416783553"/>
      <w:bookmarkStart w:id="196" w:name="_Toc516488184"/>
      <w:bookmarkStart w:id="197" w:name="_Toc416783649"/>
      <w:bookmarkStart w:id="198" w:name="_Toc524335089"/>
      <w:bookmarkStart w:id="199" w:name="_Toc66929516"/>
      <w:bookmarkStart w:id="200" w:name="_Toc69393391"/>
      <w:r w:rsidRPr="00F631FB">
        <w:rPr>
          <w:rFonts w:ascii="Arial" w:eastAsia="仿宋_GB2312" w:hAnsi="Arial" w:cs="Arial"/>
          <w:b/>
          <w:sz w:val="28"/>
        </w:rPr>
        <w:t>五、估价依据</w:t>
      </w:r>
      <w:bookmarkEnd w:id="193"/>
      <w:bookmarkEnd w:id="194"/>
      <w:bookmarkEnd w:id="195"/>
      <w:bookmarkEnd w:id="196"/>
      <w:bookmarkEnd w:id="197"/>
      <w:bookmarkEnd w:id="198"/>
      <w:bookmarkEnd w:id="199"/>
      <w:bookmarkEnd w:id="200"/>
    </w:p>
    <w:p w14:paraId="0B0D0BFE" w14:textId="77777777" w:rsidR="00E651D3" w:rsidRDefault="00E651D3" w:rsidP="00E651D3">
      <w:pPr>
        <w:spacing w:line="360" w:lineRule="auto"/>
        <w:jc w:val="both"/>
        <w:rPr>
          <w:rFonts w:ascii="Arial" w:eastAsia="仿宋_GB2312" w:hAnsi="Arial" w:cs="Arial"/>
          <w:sz w:val="28"/>
        </w:rPr>
      </w:pPr>
      <w:r>
        <w:rPr>
          <w:rFonts w:ascii="Arial" w:eastAsia="仿宋_GB2312" w:hAnsi="Arial" w:cs="Arial" w:hint="eastAsia"/>
          <w:sz w:val="28"/>
        </w:rPr>
        <w:t>（一）有关的法律、法规、行政规章及估价对象所在省市的有关法律法规和政策</w:t>
      </w:r>
    </w:p>
    <w:p w14:paraId="0E91BAA9"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《中华人民共和国民法典》（</w:t>
      </w:r>
      <w:r>
        <w:rPr>
          <w:rFonts w:ascii="Arial" w:eastAsia="仿宋_GB2312" w:hAnsi="Arial" w:cs="Arial"/>
          <w:sz w:val="28"/>
        </w:rPr>
        <w:t>2020</w:t>
      </w:r>
      <w:r>
        <w:rPr>
          <w:rFonts w:ascii="Arial" w:eastAsia="仿宋_GB2312" w:hAnsi="Arial" w:cs="Arial" w:hint="eastAsia"/>
          <w:sz w:val="28"/>
        </w:rPr>
        <w:t>年</w:t>
      </w:r>
      <w:r>
        <w:rPr>
          <w:rFonts w:ascii="Arial" w:eastAsia="仿宋_GB2312" w:hAnsi="Arial" w:cs="Arial"/>
          <w:sz w:val="28"/>
        </w:rPr>
        <w:t>5</w:t>
      </w:r>
      <w:r>
        <w:rPr>
          <w:rFonts w:ascii="Arial" w:eastAsia="仿宋_GB2312" w:hAnsi="Arial" w:cs="Arial" w:hint="eastAsia"/>
          <w:sz w:val="28"/>
        </w:rPr>
        <w:t>月</w:t>
      </w:r>
      <w:r>
        <w:rPr>
          <w:rFonts w:ascii="Arial" w:eastAsia="仿宋_GB2312" w:hAnsi="Arial" w:cs="Arial"/>
          <w:sz w:val="28"/>
        </w:rPr>
        <w:t>28</w:t>
      </w:r>
      <w:r>
        <w:rPr>
          <w:rFonts w:ascii="Arial" w:eastAsia="仿宋_GB2312" w:hAnsi="Arial" w:cs="Arial" w:hint="eastAsia"/>
          <w:sz w:val="28"/>
        </w:rPr>
        <w:t>日第十三届全国人大三次会议表决通过，自</w:t>
      </w:r>
      <w:r>
        <w:rPr>
          <w:rFonts w:ascii="Arial" w:eastAsia="仿宋_GB2312" w:hAnsi="Arial" w:cs="Arial"/>
          <w:sz w:val="28"/>
        </w:rPr>
        <w:t>2021</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p>
    <w:p w14:paraId="07B29F65"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《中华人民共和国土地管理法》（</w:t>
      </w:r>
      <w:r>
        <w:rPr>
          <w:rFonts w:ascii="Arial" w:eastAsia="仿宋_GB2312" w:hAnsi="Arial" w:cs="Arial"/>
          <w:sz w:val="28"/>
        </w:rPr>
        <w:t>1986</w:t>
      </w:r>
      <w:r>
        <w:rPr>
          <w:rFonts w:ascii="Arial" w:eastAsia="仿宋_GB2312" w:hAnsi="Arial" w:cs="Arial" w:hint="eastAsia"/>
          <w:sz w:val="28"/>
        </w:rPr>
        <w:t>年</w:t>
      </w:r>
      <w:r>
        <w:rPr>
          <w:rFonts w:ascii="Arial" w:eastAsia="仿宋_GB2312" w:hAnsi="Arial" w:cs="Arial"/>
          <w:sz w:val="28"/>
        </w:rPr>
        <w:t>6</w:t>
      </w:r>
      <w:r>
        <w:rPr>
          <w:rFonts w:ascii="Arial" w:eastAsia="仿宋_GB2312" w:hAnsi="Arial" w:cs="Arial" w:hint="eastAsia"/>
          <w:sz w:val="28"/>
        </w:rPr>
        <w:t>月</w:t>
      </w:r>
      <w:r>
        <w:rPr>
          <w:rFonts w:ascii="Arial" w:eastAsia="仿宋_GB2312" w:hAnsi="Arial" w:cs="Arial"/>
          <w:sz w:val="28"/>
        </w:rPr>
        <w:t>25</w:t>
      </w:r>
      <w:r>
        <w:rPr>
          <w:rFonts w:ascii="Arial" w:eastAsia="仿宋_GB2312" w:hAnsi="Arial" w:cs="Arial" w:hint="eastAsia"/>
          <w:sz w:val="28"/>
        </w:rPr>
        <w:t>日第六届全国人民代表大会常务委员会第十六次会议通过，中华人民共和国主席令第</w:t>
      </w:r>
      <w:r>
        <w:rPr>
          <w:rFonts w:ascii="Arial" w:eastAsia="仿宋_GB2312" w:hAnsi="Arial" w:cs="Arial"/>
          <w:sz w:val="28"/>
        </w:rPr>
        <w:t>41</w:t>
      </w:r>
      <w:r>
        <w:rPr>
          <w:rFonts w:ascii="Arial" w:eastAsia="仿宋_GB2312" w:hAnsi="Arial" w:cs="Arial" w:hint="eastAsia"/>
          <w:sz w:val="28"/>
        </w:rPr>
        <w:t>号公布，</w:t>
      </w:r>
      <w:r>
        <w:rPr>
          <w:rFonts w:ascii="Arial" w:eastAsia="仿宋_GB2312" w:hAnsi="Arial" w:cs="Arial"/>
          <w:sz w:val="28"/>
        </w:rPr>
        <w:t>1987</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r>
        <w:rPr>
          <w:rFonts w:ascii="Arial" w:eastAsia="仿宋_GB2312" w:hAnsi="Arial" w:cs="Arial"/>
          <w:sz w:val="28"/>
        </w:rPr>
        <w:t>1988</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日第七届全国人民代表大会常务委员会第五次会议第一次修正通过，自</w:t>
      </w:r>
      <w:r>
        <w:rPr>
          <w:rFonts w:ascii="Arial" w:eastAsia="仿宋_GB2312" w:hAnsi="Arial" w:cs="Arial"/>
          <w:sz w:val="28"/>
        </w:rPr>
        <w:t>1988</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日起施行；</w:t>
      </w:r>
      <w:r>
        <w:rPr>
          <w:rFonts w:ascii="Arial" w:eastAsia="仿宋_GB2312" w:hAnsi="Arial" w:cs="Arial"/>
          <w:sz w:val="28"/>
        </w:rPr>
        <w:t>1998</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日第九届全国人民代表大会常务委员会第四次会议修订通过，中华人民共和国主席令第</w:t>
      </w:r>
      <w:r>
        <w:rPr>
          <w:rFonts w:ascii="Arial" w:eastAsia="仿宋_GB2312" w:hAnsi="Arial" w:cs="Arial"/>
          <w:sz w:val="28"/>
        </w:rPr>
        <w:t>8</w:t>
      </w:r>
      <w:r>
        <w:rPr>
          <w:rFonts w:ascii="Arial" w:eastAsia="仿宋_GB2312" w:hAnsi="Arial" w:cs="Arial" w:hint="eastAsia"/>
          <w:sz w:val="28"/>
        </w:rPr>
        <w:t>号公布，自</w:t>
      </w:r>
      <w:r>
        <w:rPr>
          <w:rFonts w:ascii="Arial" w:eastAsia="仿宋_GB2312" w:hAnsi="Arial" w:cs="Arial"/>
          <w:sz w:val="28"/>
        </w:rPr>
        <w:t>1999</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r>
        <w:rPr>
          <w:rFonts w:ascii="Arial" w:eastAsia="仿宋_GB2312" w:hAnsi="Arial" w:cs="Arial"/>
          <w:sz w:val="28"/>
        </w:rPr>
        <w:t>2004</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28</w:t>
      </w:r>
      <w:r>
        <w:rPr>
          <w:rFonts w:ascii="Arial" w:eastAsia="仿宋_GB2312" w:hAnsi="Arial" w:cs="Arial" w:hint="eastAsia"/>
          <w:sz w:val="28"/>
        </w:rPr>
        <w:t>日第十届全国人民代表大会常务委员会第十一次会议第二次修正通过，中华人民共和国主席令第</w:t>
      </w:r>
      <w:r>
        <w:rPr>
          <w:rFonts w:ascii="Arial" w:eastAsia="仿宋_GB2312" w:hAnsi="Arial" w:cs="Arial"/>
          <w:sz w:val="28"/>
        </w:rPr>
        <w:t>28</w:t>
      </w:r>
      <w:r>
        <w:rPr>
          <w:rFonts w:ascii="Arial" w:eastAsia="仿宋_GB2312" w:hAnsi="Arial" w:cs="Arial" w:hint="eastAsia"/>
          <w:sz w:val="28"/>
        </w:rPr>
        <w:t>号公布，自公布起日起施行；</w:t>
      </w:r>
      <w:r>
        <w:rPr>
          <w:rFonts w:ascii="Arial" w:eastAsia="仿宋_GB2312" w:hAnsi="Arial" w:cs="Arial"/>
          <w:sz w:val="28"/>
        </w:rPr>
        <w:t>2019</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26</w:t>
      </w:r>
      <w:r>
        <w:rPr>
          <w:rFonts w:ascii="Arial" w:eastAsia="仿宋_GB2312" w:hAnsi="Arial" w:cs="Arial" w:hint="eastAsia"/>
          <w:sz w:val="28"/>
        </w:rPr>
        <w:t>日第十三届全国人民代表大会常务委员会第十二次会议第三次修正通过，自</w:t>
      </w:r>
      <w:r>
        <w:rPr>
          <w:rFonts w:ascii="Arial" w:eastAsia="仿宋_GB2312" w:hAnsi="Arial" w:cs="Arial"/>
          <w:sz w:val="28"/>
        </w:rPr>
        <w:t>2020</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p>
    <w:p w14:paraId="6A99896E"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《中华人民共和国城市房地产管理法》（</w:t>
      </w:r>
      <w:r>
        <w:rPr>
          <w:rFonts w:ascii="Arial" w:eastAsia="仿宋_GB2312" w:hAnsi="Arial" w:cs="Arial"/>
          <w:sz w:val="28"/>
        </w:rPr>
        <w:t>1994</w:t>
      </w:r>
      <w:r>
        <w:rPr>
          <w:rFonts w:ascii="Arial" w:eastAsia="仿宋_GB2312" w:hAnsi="Arial" w:cs="Arial" w:hint="eastAsia"/>
          <w:sz w:val="28"/>
        </w:rPr>
        <w:t>年</w:t>
      </w:r>
      <w:r>
        <w:rPr>
          <w:rFonts w:ascii="Arial" w:eastAsia="仿宋_GB2312" w:hAnsi="Arial" w:cs="Arial"/>
          <w:sz w:val="28"/>
        </w:rPr>
        <w:t>7</w:t>
      </w:r>
      <w:r>
        <w:rPr>
          <w:rFonts w:ascii="Arial" w:eastAsia="仿宋_GB2312" w:hAnsi="Arial" w:cs="Arial" w:hint="eastAsia"/>
          <w:sz w:val="28"/>
        </w:rPr>
        <w:t>月</w:t>
      </w:r>
      <w:r>
        <w:rPr>
          <w:rFonts w:ascii="Arial" w:eastAsia="仿宋_GB2312" w:hAnsi="Arial" w:cs="Arial"/>
          <w:sz w:val="28"/>
        </w:rPr>
        <w:t>5</w:t>
      </w:r>
      <w:r>
        <w:rPr>
          <w:rFonts w:ascii="Arial" w:eastAsia="仿宋_GB2312" w:hAnsi="Arial" w:cs="Arial" w:hint="eastAsia"/>
          <w:sz w:val="28"/>
        </w:rPr>
        <w:t>日第八届全国人民代表大会常务委员会第八次会议通过，中华人民共和国主席令第</w:t>
      </w:r>
      <w:r>
        <w:rPr>
          <w:rFonts w:ascii="Arial" w:eastAsia="仿宋_GB2312" w:hAnsi="Arial" w:cs="Arial"/>
          <w:sz w:val="28"/>
        </w:rPr>
        <w:t>29</w:t>
      </w:r>
      <w:r>
        <w:rPr>
          <w:rFonts w:ascii="Arial" w:eastAsia="仿宋_GB2312" w:hAnsi="Arial" w:cs="Arial" w:hint="eastAsia"/>
          <w:sz w:val="28"/>
        </w:rPr>
        <w:t>号公布，自</w:t>
      </w:r>
      <w:r>
        <w:rPr>
          <w:rFonts w:ascii="Arial" w:eastAsia="仿宋_GB2312" w:hAnsi="Arial" w:cs="Arial"/>
          <w:sz w:val="28"/>
        </w:rPr>
        <w:t>1995</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r>
        <w:rPr>
          <w:rFonts w:ascii="Arial" w:eastAsia="仿宋_GB2312" w:hAnsi="Arial" w:cs="Arial"/>
          <w:sz w:val="28"/>
        </w:rPr>
        <w:t>2007</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30</w:t>
      </w:r>
      <w:r>
        <w:rPr>
          <w:rFonts w:ascii="Arial" w:eastAsia="仿宋_GB2312" w:hAnsi="Arial" w:cs="Arial" w:hint="eastAsia"/>
          <w:sz w:val="28"/>
        </w:rPr>
        <w:t>日第十届全国人民代表大会常务委员会第二十九次会议通过第一次修正通过，中华人民共和国主席令第</w:t>
      </w:r>
      <w:r>
        <w:rPr>
          <w:rFonts w:ascii="Arial" w:eastAsia="仿宋_GB2312" w:hAnsi="Arial" w:cs="Arial"/>
          <w:sz w:val="28"/>
        </w:rPr>
        <w:t>72</w:t>
      </w:r>
      <w:r>
        <w:rPr>
          <w:rFonts w:ascii="Arial" w:eastAsia="仿宋_GB2312" w:hAnsi="Arial" w:cs="Arial" w:hint="eastAsia"/>
          <w:sz w:val="28"/>
        </w:rPr>
        <w:t>号公布，自公布之日起施行；</w:t>
      </w:r>
      <w:r>
        <w:rPr>
          <w:rFonts w:ascii="Arial" w:eastAsia="仿宋_GB2312" w:hAnsi="Arial" w:cs="Arial"/>
          <w:sz w:val="28"/>
        </w:rPr>
        <w:t>2009</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27</w:t>
      </w:r>
      <w:r>
        <w:rPr>
          <w:rFonts w:ascii="Arial" w:eastAsia="仿宋_GB2312" w:hAnsi="Arial" w:cs="Arial" w:hint="eastAsia"/>
          <w:sz w:val="28"/>
        </w:rPr>
        <w:t>日第十一届全国人民代</w:t>
      </w:r>
      <w:r>
        <w:rPr>
          <w:rFonts w:ascii="Arial" w:eastAsia="仿宋_GB2312" w:hAnsi="Arial" w:cs="Arial" w:hint="eastAsia"/>
          <w:sz w:val="28"/>
        </w:rPr>
        <w:lastRenderedPageBreak/>
        <w:t>表大会常务委员会第十次会议第二次修正通过，中华人民共和国主席令第</w:t>
      </w:r>
      <w:r>
        <w:rPr>
          <w:rFonts w:ascii="Arial" w:eastAsia="仿宋_GB2312" w:hAnsi="Arial" w:cs="Arial"/>
          <w:sz w:val="28"/>
        </w:rPr>
        <w:t>18</w:t>
      </w:r>
      <w:r>
        <w:rPr>
          <w:rFonts w:ascii="Arial" w:eastAsia="仿宋_GB2312" w:hAnsi="Arial" w:cs="Arial" w:hint="eastAsia"/>
          <w:sz w:val="28"/>
        </w:rPr>
        <w:t>号公布，自公布之日起施行；</w:t>
      </w:r>
      <w:r>
        <w:rPr>
          <w:rFonts w:ascii="Arial" w:eastAsia="仿宋_GB2312" w:hAnsi="Arial" w:cs="Arial"/>
          <w:sz w:val="28"/>
        </w:rPr>
        <w:t>2019</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26</w:t>
      </w:r>
      <w:r>
        <w:rPr>
          <w:rFonts w:ascii="Arial" w:eastAsia="仿宋_GB2312" w:hAnsi="Arial" w:cs="Arial" w:hint="eastAsia"/>
          <w:sz w:val="28"/>
        </w:rPr>
        <w:t>日第十三届全国人大常委会第十二次会议通过第三次修正，自</w:t>
      </w:r>
      <w:r>
        <w:rPr>
          <w:rFonts w:ascii="Arial" w:eastAsia="仿宋_GB2312" w:hAnsi="Arial" w:cs="Arial"/>
          <w:sz w:val="28"/>
        </w:rPr>
        <w:t>2020</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p>
    <w:p w14:paraId="1F3A3374"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《中华人民共和国城乡规划法》（</w:t>
      </w:r>
      <w:r>
        <w:rPr>
          <w:rFonts w:ascii="Arial" w:eastAsia="仿宋_GB2312" w:hAnsi="Arial" w:cs="Arial"/>
          <w:sz w:val="28"/>
        </w:rPr>
        <w:t xml:space="preserve">2007 </w:t>
      </w:r>
      <w:r>
        <w:rPr>
          <w:rFonts w:ascii="Arial" w:eastAsia="仿宋_GB2312" w:hAnsi="Arial" w:cs="Arial" w:hint="eastAsia"/>
          <w:sz w:val="28"/>
        </w:rPr>
        <w:t>年</w:t>
      </w:r>
      <w:r>
        <w:rPr>
          <w:rFonts w:ascii="Arial" w:eastAsia="仿宋_GB2312" w:hAnsi="Arial" w:cs="Arial"/>
          <w:sz w:val="28"/>
        </w:rPr>
        <w:t xml:space="preserve"> 10 </w:t>
      </w:r>
      <w:r>
        <w:rPr>
          <w:rFonts w:ascii="Arial" w:eastAsia="仿宋_GB2312" w:hAnsi="Arial" w:cs="Arial" w:hint="eastAsia"/>
          <w:sz w:val="28"/>
        </w:rPr>
        <w:t>月</w:t>
      </w:r>
      <w:r>
        <w:rPr>
          <w:rFonts w:ascii="Arial" w:eastAsia="仿宋_GB2312" w:hAnsi="Arial" w:cs="Arial"/>
          <w:sz w:val="28"/>
        </w:rPr>
        <w:t xml:space="preserve"> 28 </w:t>
      </w:r>
      <w:r>
        <w:rPr>
          <w:rFonts w:ascii="Arial" w:eastAsia="仿宋_GB2312" w:hAnsi="Arial" w:cs="Arial" w:hint="eastAsia"/>
          <w:sz w:val="28"/>
        </w:rPr>
        <w:t>日第十届全国人民代表大会常务委员会第三十次会议通过，中华人民共和国主席令第</w:t>
      </w:r>
      <w:r>
        <w:rPr>
          <w:rFonts w:ascii="Arial" w:eastAsia="仿宋_GB2312" w:hAnsi="Arial" w:cs="Arial"/>
          <w:sz w:val="28"/>
        </w:rPr>
        <w:t>74</w:t>
      </w:r>
      <w:r>
        <w:rPr>
          <w:rFonts w:ascii="Arial" w:eastAsia="仿宋_GB2312" w:hAnsi="Arial" w:cs="Arial" w:hint="eastAsia"/>
          <w:sz w:val="28"/>
        </w:rPr>
        <w:t>号，自公布之日起施行；根据</w:t>
      </w:r>
      <w:r>
        <w:rPr>
          <w:rFonts w:ascii="Arial" w:eastAsia="仿宋_GB2312" w:hAnsi="Arial" w:cs="Arial"/>
          <w:sz w:val="28"/>
        </w:rPr>
        <w:t xml:space="preserve"> 2015 </w:t>
      </w:r>
      <w:r>
        <w:rPr>
          <w:rFonts w:ascii="Arial" w:eastAsia="仿宋_GB2312" w:hAnsi="Arial" w:cs="Arial" w:hint="eastAsia"/>
          <w:sz w:val="28"/>
        </w:rPr>
        <w:t>年</w:t>
      </w:r>
      <w:r>
        <w:rPr>
          <w:rFonts w:ascii="Arial" w:eastAsia="仿宋_GB2312" w:hAnsi="Arial" w:cs="Arial"/>
          <w:sz w:val="28"/>
        </w:rPr>
        <w:t xml:space="preserve"> 4 </w:t>
      </w:r>
      <w:r>
        <w:rPr>
          <w:rFonts w:ascii="Arial" w:eastAsia="仿宋_GB2312" w:hAnsi="Arial" w:cs="Arial" w:hint="eastAsia"/>
          <w:sz w:val="28"/>
        </w:rPr>
        <w:t>月</w:t>
      </w:r>
      <w:r>
        <w:rPr>
          <w:rFonts w:ascii="Arial" w:eastAsia="仿宋_GB2312" w:hAnsi="Arial" w:cs="Arial"/>
          <w:sz w:val="28"/>
        </w:rPr>
        <w:t xml:space="preserve"> 24 </w:t>
      </w:r>
      <w:r>
        <w:rPr>
          <w:rFonts w:ascii="Arial" w:eastAsia="仿宋_GB2312" w:hAnsi="Arial" w:cs="Arial" w:hint="eastAsia"/>
          <w:sz w:val="28"/>
        </w:rPr>
        <w:t>日第十二届全国人民代表大会常务委员会第十四次会议通过第一次修正，中华人民共和国主席令第</w:t>
      </w:r>
      <w:r>
        <w:rPr>
          <w:rFonts w:ascii="Arial" w:eastAsia="仿宋_GB2312" w:hAnsi="Arial" w:cs="Arial"/>
          <w:sz w:val="28"/>
        </w:rPr>
        <w:t>23</w:t>
      </w:r>
      <w:r>
        <w:rPr>
          <w:rFonts w:ascii="Arial" w:eastAsia="仿宋_GB2312" w:hAnsi="Arial" w:cs="Arial" w:hint="eastAsia"/>
          <w:sz w:val="28"/>
        </w:rPr>
        <w:t>号公布，自公布之日起施行）；</w:t>
      </w:r>
    </w:p>
    <w:p w14:paraId="16D4B199"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《中华人民共和国资产评估法》（</w:t>
      </w:r>
      <w:r>
        <w:rPr>
          <w:rFonts w:ascii="Arial" w:eastAsia="仿宋_GB2312" w:hAnsi="Arial" w:cs="Arial"/>
          <w:sz w:val="28"/>
        </w:rPr>
        <w:t>2016</w:t>
      </w:r>
      <w:r>
        <w:rPr>
          <w:rFonts w:ascii="Arial" w:eastAsia="仿宋_GB2312" w:hAnsi="Arial" w:cs="Arial" w:hint="eastAsia"/>
          <w:sz w:val="28"/>
        </w:rPr>
        <w:t>年</w:t>
      </w:r>
      <w:r>
        <w:rPr>
          <w:rFonts w:ascii="Arial" w:eastAsia="仿宋_GB2312" w:hAnsi="Arial" w:cs="Arial"/>
          <w:sz w:val="28"/>
        </w:rPr>
        <w:t>7</w:t>
      </w:r>
      <w:r>
        <w:rPr>
          <w:rFonts w:ascii="Arial" w:eastAsia="仿宋_GB2312" w:hAnsi="Arial" w:cs="Arial" w:hint="eastAsia"/>
          <w:sz w:val="28"/>
        </w:rPr>
        <w:t>月</w:t>
      </w:r>
      <w:r>
        <w:rPr>
          <w:rFonts w:ascii="Arial" w:eastAsia="仿宋_GB2312" w:hAnsi="Arial" w:cs="Arial"/>
          <w:sz w:val="28"/>
        </w:rPr>
        <w:t>2</w:t>
      </w:r>
      <w:r>
        <w:rPr>
          <w:rFonts w:ascii="Arial" w:eastAsia="仿宋_GB2312" w:hAnsi="Arial" w:cs="Arial" w:hint="eastAsia"/>
          <w:sz w:val="28"/>
        </w:rPr>
        <w:t>日第十二届全国人民代表大会常务委员会第二十一次会议通过</w:t>
      </w:r>
      <w:r>
        <w:rPr>
          <w:rFonts w:ascii="Arial" w:eastAsia="仿宋_GB2312" w:hAnsi="Arial" w:cs="Arial"/>
          <w:sz w:val="28"/>
        </w:rPr>
        <w:t xml:space="preserve"> 2016</w:t>
      </w:r>
      <w:r>
        <w:rPr>
          <w:rFonts w:ascii="Arial" w:eastAsia="仿宋_GB2312" w:hAnsi="Arial" w:cs="Arial" w:hint="eastAsia"/>
          <w:sz w:val="28"/>
        </w:rPr>
        <w:t>年</w:t>
      </w:r>
      <w:r>
        <w:rPr>
          <w:rFonts w:ascii="Arial" w:eastAsia="仿宋_GB2312" w:hAnsi="Arial" w:cs="Arial"/>
          <w:sz w:val="28"/>
        </w:rPr>
        <w:t>3</w:t>
      </w:r>
      <w:r>
        <w:rPr>
          <w:rFonts w:ascii="Arial" w:eastAsia="仿宋_GB2312" w:hAnsi="Arial" w:cs="Arial" w:hint="eastAsia"/>
          <w:sz w:val="28"/>
        </w:rPr>
        <w:t>月</w:t>
      </w:r>
      <w:r>
        <w:rPr>
          <w:rFonts w:ascii="Arial" w:eastAsia="仿宋_GB2312" w:hAnsi="Arial" w:cs="Arial"/>
          <w:sz w:val="28"/>
        </w:rPr>
        <w:t>16</w:t>
      </w:r>
      <w:r>
        <w:rPr>
          <w:rFonts w:ascii="Arial" w:eastAsia="仿宋_GB2312" w:hAnsi="Arial" w:cs="Arial" w:hint="eastAsia"/>
          <w:sz w:val="28"/>
        </w:rPr>
        <w:t>日中华人民共和国主席令第</w:t>
      </w:r>
      <w:r>
        <w:rPr>
          <w:rFonts w:ascii="Arial" w:eastAsia="仿宋_GB2312" w:hAnsi="Arial" w:cs="Arial"/>
          <w:sz w:val="28"/>
        </w:rPr>
        <w:t>46</w:t>
      </w:r>
      <w:r>
        <w:rPr>
          <w:rFonts w:ascii="Arial" w:eastAsia="仿宋_GB2312" w:hAnsi="Arial" w:cs="Arial" w:hint="eastAsia"/>
          <w:sz w:val="28"/>
        </w:rPr>
        <w:t>号公布</w:t>
      </w:r>
      <w:r>
        <w:rPr>
          <w:rFonts w:ascii="Arial" w:eastAsia="仿宋_GB2312" w:hAnsi="Arial" w:cs="Arial"/>
          <w:sz w:val="28"/>
        </w:rPr>
        <w:t xml:space="preserve"> </w:t>
      </w:r>
      <w:r>
        <w:rPr>
          <w:rFonts w:ascii="Arial" w:eastAsia="仿宋_GB2312" w:hAnsi="Arial" w:cs="Arial" w:hint="eastAsia"/>
          <w:sz w:val="28"/>
        </w:rPr>
        <w:t>自</w:t>
      </w:r>
      <w:r>
        <w:rPr>
          <w:rFonts w:ascii="Arial" w:eastAsia="仿宋_GB2312" w:hAnsi="Arial" w:cs="Arial"/>
          <w:sz w:val="28"/>
        </w:rPr>
        <w:t>2016</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p>
    <w:p w14:paraId="78AE06DB"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《中华人民共和国城镇国有土地使用权出让和转让暂行条例》（</w:t>
      </w:r>
      <w:r>
        <w:rPr>
          <w:rFonts w:ascii="Arial" w:eastAsia="仿宋_GB2312" w:hAnsi="Arial" w:cs="Arial"/>
          <w:sz w:val="28"/>
        </w:rPr>
        <w:t>1990</w:t>
      </w:r>
      <w:r>
        <w:rPr>
          <w:rFonts w:ascii="Arial" w:eastAsia="仿宋_GB2312" w:hAnsi="Arial" w:cs="Arial" w:hint="eastAsia"/>
          <w:sz w:val="28"/>
        </w:rPr>
        <w:t>年</w:t>
      </w:r>
      <w:r>
        <w:rPr>
          <w:rFonts w:ascii="Arial" w:eastAsia="仿宋_GB2312" w:hAnsi="Arial" w:cs="Arial"/>
          <w:sz w:val="28"/>
        </w:rPr>
        <w:t>5</w:t>
      </w:r>
      <w:r>
        <w:rPr>
          <w:rFonts w:ascii="Arial" w:eastAsia="仿宋_GB2312" w:hAnsi="Arial" w:cs="Arial" w:hint="eastAsia"/>
          <w:sz w:val="28"/>
        </w:rPr>
        <w:t>月</w:t>
      </w:r>
      <w:r>
        <w:rPr>
          <w:rFonts w:ascii="Arial" w:eastAsia="仿宋_GB2312" w:hAnsi="Arial" w:cs="Arial"/>
          <w:sz w:val="28"/>
        </w:rPr>
        <w:t>19</w:t>
      </w:r>
      <w:r>
        <w:rPr>
          <w:rFonts w:ascii="Arial" w:eastAsia="仿宋_GB2312" w:hAnsi="Arial" w:cs="Arial" w:hint="eastAsia"/>
          <w:sz w:val="28"/>
        </w:rPr>
        <w:t>日中华人民共和国国务院令第</w:t>
      </w:r>
      <w:r>
        <w:rPr>
          <w:rFonts w:ascii="Arial" w:eastAsia="仿宋_GB2312" w:hAnsi="Arial" w:cs="Arial"/>
          <w:sz w:val="28"/>
        </w:rPr>
        <w:t>55</w:t>
      </w:r>
      <w:r>
        <w:rPr>
          <w:rFonts w:ascii="Arial" w:eastAsia="仿宋_GB2312" w:hAnsi="Arial" w:cs="Arial" w:hint="eastAsia"/>
          <w:sz w:val="28"/>
        </w:rPr>
        <w:t>号发布，自发布之日起施行）；</w:t>
      </w:r>
    </w:p>
    <w:p w14:paraId="4749FC50"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《中华人民共和国土地管理法实施条例》（</w:t>
      </w:r>
      <w:r>
        <w:rPr>
          <w:rFonts w:ascii="Arial" w:eastAsia="仿宋_GB2312" w:hAnsi="Arial" w:cs="Arial"/>
          <w:sz w:val="28"/>
        </w:rPr>
        <w:t>1998</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24</w:t>
      </w:r>
      <w:r>
        <w:rPr>
          <w:rFonts w:ascii="Arial" w:eastAsia="仿宋_GB2312" w:hAnsi="Arial" w:cs="Arial" w:hint="eastAsia"/>
          <w:sz w:val="28"/>
        </w:rPr>
        <w:t>日国务院第</w:t>
      </w:r>
      <w:r>
        <w:rPr>
          <w:rFonts w:ascii="Arial" w:eastAsia="仿宋_GB2312" w:hAnsi="Arial" w:cs="Arial"/>
          <w:sz w:val="28"/>
        </w:rPr>
        <w:t>12</w:t>
      </w:r>
      <w:r>
        <w:rPr>
          <w:rFonts w:ascii="Arial" w:eastAsia="仿宋_GB2312" w:hAnsi="Arial" w:cs="Arial" w:hint="eastAsia"/>
          <w:sz w:val="28"/>
        </w:rPr>
        <w:t>次常务会议通过</w:t>
      </w:r>
      <w:r>
        <w:rPr>
          <w:rFonts w:ascii="Arial" w:eastAsia="仿宋_GB2312" w:hAnsi="Arial" w:cs="Arial"/>
          <w:sz w:val="28"/>
        </w:rPr>
        <w:t xml:space="preserve"> </w:t>
      </w:r>
      <w:r>
        <w:rPr>
          <w:rFonts w:ascii="Arial" w:eastAsia="仿宋_GB2312" w:hAnsi="Arial" w:cs="Arial" w:hint="eastAsia"/>
          <w:sz w:val="28"/>
        </w:rPr>
        <w:t>，</w:t>
      </w:r>
      <w:r>
        <w:rPr>
          <w:rFonts w:ascii="Arial" w:eastAsia="仿宋_GB2312" w:hAnsi="Arial" w:cs="Arial"/>
          <w:sz w:val="28"/>
        </w:rPr>
        <w:t>1998</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27</w:t>
      </w:r>
      <w:r>
        <w:rPr>
          <w:rFonts w:ascii="Arial" w:eastAsia="仿宋_GB2312" w:hAnsi="Arial" w:cs="Arial" w:hint="eastAsia"/>
          <w:sz w:val="28"/>
        </w:rPr>
        <w:t>日中华人民共和国国务院令第</w:t>
      </w:r>
      <w:r>
        <w:rPr>
          <w:rFonts w:ascii="Arial" w:eastAsia="仿宋_GB2312" w:hAnsi="Arial" w:cs="Arial"/>
          <w:sz w:val="28"/>
        </w:rPr>
        <w:t>256</w:t>
      </w:r>
      <w:r>
        <w:rPr>
          <w:rFonts w:ascii="Arial" w:eastAsia="仿宋_GB2312" w:hAnsi="Arial" w:cs="Arial" w:hint="eastAsia"/>
          <w:sz w:val="28"/>
        </w:rPr>
        <w:t>号发布，自</w:t>
      </w:r>
      <w:r>
        <w:rPr>
          <w:rFonts w:ascii="Arial" w:eastAsia="仿宋_GB2312" w:hAnsi="Arial" w:cs="Arial"/>
          <w:sz w:val="28"/>
        </w:rPr>
        <w:t>1999</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r>
        <w:rPr>
          <w:rFonts w:ascii="Arial" w:eastAsia="仿宋_GB2312" w:hAnsi="Arial" w:cs="Arial"/>
          <w:sz w:val="28"/>
        </w:rPr>
        <w:t>2010</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日国务院第</w:t>
      </w:r>
      <w:r>
        <w:rPr>
          <w:rFonts w:ascii="Arial" w:eastAsia="仿宋_GB2312" w:hAnsi="Arial" w:cs="Arial"/>
          <w:sz w:val="28"/>
        </w:rPr>
        <w:t>138</w:t>
      </w:r>
      <w:r>
        <w:rPr>
          <w:rFonts w:ascii="Arial" w:eastAsia="仿宋_GB2312" w:hAnsi="Arial" w:cs="Arial" w:hint="eastAsia"/>
          <w:sz w:val="28"/>
        </w:rPr>
        <w:t>次常务会议第一次修正通过，</w:t>
      </w:r>
      <w:r>
        <w:rPr>
          <w:rFonts w:ascii="Arial" w:eastAsia="仿宋_GB2312" w:hAnsi="Arial" w:cs="Arial"/>
          <w:sz w:val="28"/>
        </w:rPr>
        <w:t>2011</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8</w:t>
      </w:r>
      <w:r>
        <w:rPr>
          <w:rFonts w:ascii="Arial" w:eastAsia="仿宋_GB2312" w:hAnsi="Arial" w:cs="Arial" w:hint="eastAsia"/>
          <w:sz w:val="28"/>
        </w:rPr>
        <w:t>日中华人民共和国国务院令第</w:t>
      </w:r>
      <w:r>
        <w:rPr>
          <w:rFonts w:ascii="Arial" w:eastAsia="仿宋_GB2312" w:hAnsi="Arial" w:cs="Arial"/>
          <w:sz w:val="28"/>
        </w:rPr>
        <w:t>588</w:t>
      </w:r>
      <w:r>
        <w:rPr>
          <w:rFonts w:ascii="Arial" w:eastAsia="仿宋_GB2312" w:hAnsi="Arial" w:cs="Arial" w:hint="eastAsia"/>
          <w:sz w:val="28"/>
        </w:rPr>
        <w:t>号发布，自发布之日起施行；</w:t>
      </w:r>
      <w:r>
        <w:rPr>
          <w:rFonts w:ascii="Arial" w:eastAsia="仿宋_GB2312" w:hAnsi="Arial" w:cs="Arial"/>
          <w:sz w:val="28"/>
        </w:rPr>
        <w:t>2014</w:t>
      </w:r>
      <w:r>
        <w:rPr>
          <w:rFonts w:ascii="Arial" w:eastAsia="仿宋_GB2312" w:hAnsi="Arial" w:cs="Arial" w:hint="eastAsia"/>
          <w:sz w:val="28"/>
        </w:rPr>
        <w:t>年</w:t>
      </w:r>
      <w:r>
        <w:rPr>
          <w:rFonts w:ascii="Arial" w:eastAsia="仿宋_GB2312" w:hAnsi="Arial" w:cs="Arial"/>
          <w:sz w:val="28"/>
        </w:rPr>
        <w:t>7</w:t>
      </w:r>
      <w:r>
        <w:rPr>
          <w:rFonts w:ascii="Arial" w:eastAsia="仿宋_GB2312" w:hAnsi="Arial" w:cs="Arial" w:hint="eastAsia"/>
          <w:sz w:val="28"/>
        </w:rPr>
        <w:t>月</w:t>
      </w:r>
      <w:r>
        <w:rPr>
          <w:rFonts w:ascii="Arial" w:eastAsia="仿宋_GB2312" w:hAnsi="Arial" w:cs="Arial"/>
          <w:sz w:val="28"/>
        </w:rPr>
        <w:t>9</w:t>
      </w:r>
      <w:r>
        <w:rPr>
          <w:rFonts w:ascii="Arial" w:eastAsia="仿宋_GB2312" w:hAnsi="Arial" w:cs="Arial" w:hint="eastAsia"/>
          <w:sz w:val="28"/>
        </w:rPr>
        <w:t>日国务院第</w:t>
      </w:r>
      <w:r>
        <w:rPr>
          <w:rFonts w:ascii="Arial" w:eastAsia="仿宋_GB2312" w:hAnsi="Arial" w:cs="Arial"/>
          <w:sz w:val="28"/>
        </w:rPr>
        <w:t>54</w:t>
      </w:r>
      <w:r>
        <w:rPr>
          <w:rFonts w:ascii="Arial" w:eastAsia="仿宋_GB2312" w:hAnsi="Arial" w:cs="Arial" w:hint="eastAsia"/>
          <w:sz w:val="28"/>
        </w:rPr>
        <w:t>次常务会议第二次修正通过，中华人民共和国国务院令第</w:t>
      </w:r>
      <w:r>
        <w:rPr>
          <w:rFonts w:ascii="Arial" w:eastAsia="仿宋_GB2312" w:hAnsi="Arial" w:cs="Arial"/>
          <w:sz w:val="28"/>
        </w:rPr>
        <w:t>653</w:t>
      </w:r>
      <w:r>
        <w:rPr>
          <w:rFonts w:ascii="Arial" w:eastAsia="仿宋_GB2312" w:hAnsi="Arial" w:cs="Arial" w:hint="eastAsia"/>
          <w:sz w:val="28"/>
        </w:rPr>
        <w:t>号公布，自公布之日起施行）；</w:t>
      </w:r>
    </w:p>
    <w:p w14:paraId="7C617388"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rPr>
        <w:t>8.</w:t>
      </w:r>
      <w:r>
        <w:rPr>
          <w:rFonts w:ascii="Arial" w:eastAsia="仿宋_GB2312" w:hAnsi="Arial" w:cs="Arial" w:hint="eastAsia"/>
          <w:sz w:val="28"/>
          <w:szCs w:val="28"/>
        </w:rPr>
        <w:t>《不动产登记暂行条例》〔国务院令第</w:t>
      </w:r>
      <w:r>
        <w:rPr>
          <w:rFonts w:ascii="Arial" w:eastAsia="仿宋_GB2312" w:hAnsi="Arial" w:cs="Arial"/>
          <w:sz w:val="28"/>
          <w:szCs w:val="28"/>
        </w:rPr>
        <w:t>656</w:t>
      </w:r>
      <w:r>
        <w:rPr>
          <w:rFonts w:ascii="Arial" w:eastAsia="仿宋_GB2312" w:hAnsi="Arial" w:cs="Arial" w:hint="eastAsia"/>
          <w:sz w:val="28"/>
          <w:szCs w:val="28"/>
        </w:rPr>
        <w:t>号，自</w:t>
      </w:r>
      <w:r>
        <w:rPr>
          <w:rFonts w:ascii="Arial" w:eastAsia="仿宋_GB2312" w:hAnsi="Arial" w:cs="Arial"/>
          <w:sz w:val="28"/>
          <w:szCs w:val="28"/>
        </w:rPr>
        <w:t>2015</w:t>
      </w:r>
      <w:r>
        <w:rPr>
          <w:rFonts w:ascii="Arial" w:eastAsia="仿宋_GB2312" w:hAnsi="Arial" w:cs="Arial" w:hint="eastAsia"/>
          <w:sz w:val="28"/>
          <w:szCs w:val="28"/>
        </w:rPr>
        <w:t>年</w:t>
      </w:r>
      <w:r>
        <w:rPr>
          <w:rFonts w:ascii="Arial" w:eastAsia="仿宋_GB2312" w:hAnsi="Arial" w:cs="Arial"/>
          <w:sz w:val="28"/>
          <w:szCs w:val="28"/>
        </w:rPr>
        <w:t>3</w:t>
      </w:r>
      <w:r>
        <w:rPr>
          <w:rFonts w:ascii="Arial" w:eastAsia="仿宋_GB2312" w:hAnsi="Arial" w:cs="Arial" w:hint="eastAsia"/>
          <w:sz w:val="28"/>
          <w:szCs w:val="28"/>
        </w:rPr>
        <w:t>月</w:t>
      </w:r>
      <w:r>
        <w:rPr>
          <w:rFonts w:ascii="Arial" w:eastAsia="仿宋_GB2312" w:hAnsi="Arial" w:cs="Arial"/>
          <w:sz w:val="28"/>
          <w:szCs w:val="28"/>
        </w:rPr>
        <w:t>1</w:t>
      </w:r>
      <w:r>
        <w:rPr>
          <w:rFonts w:ascii="Arial" w:eastAsia="仿宋_GB2312" w:hAnsi="Arial" w:cs="Arial" w:hint="eastAsia"/>
          <w:sz w:val="28"/>
          <w:szCs w:val="28"/>
        </w:rPr>
        <w:t>日起施行〕；</w:t>
      </w:r>
    </w:p>
    <w:p w14:paraId="419A2CE1"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hint="eastAsia"/>
          <w:sz w:val="28"/>
          <w:szCs w:val="28"/>
        </w:rPr>
        <w:t>《国务院关于加强国有土地资产管理的通知》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2001</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15</w:t>
      </w:r>
      <w:r>
        <w:rPr>
          <w:rFonts w:ascii="Arial" w:eastAsia="仿宋_GB2312" w:hAnsi="Arial" w:cs="Arial" w:hint="eastAsia"/>
          <w:sz w:val="28"/>
          <w:szCs w:val="28"/>
        </w:rPr>
        <w:t>号，</w:t>
      </w:r>
      <w:r>
        <w:rPr>
          <w:rFonts w:ascii="Arial" w:eastAsia="仿宋_GB2312" w:hAnsi="Arial" w:cs="Arial"/>
          <w:sz w:val="28"/>
          <w:szCs w:val="28"/>
        </w:rPr>
        <w:t>2001</w:t>
      </w:r>
      <w:r>
        <w:rPr>
          <w:rFonts w:ascii="Arial" w:eastAsia="仿宋_GB2312" w:hAnsi="Arial" w:cs="Arial" w:hint="eastAsia"/>
          <w:sz w:val="28"/>
          <w:szCs w:val="28"/>
        </w:rPr>
        <w:t>年</w:t>
      </w:r>
      <w:r>
        <w:rPr>
          <w:rFonts w:ascii="Arial" w:eastAsia="仿宋_GB2312" w:hAnsi="Arial" w:cs="Arial"/>
          <w:sz w:val="28"/>
          <w:szCs w:val="28"/>
        </w:rPr>
        <w:t>4</w:t>
      </w:r>
      <w:r>
        <w:rPr>
          <w:rFonts w:ascii="Arial" w:eastAsia="仿宋_GB2312" w:hAnsi="Arial" w:cs="Arial" w:hint="eastAsia"/>
          <w:sz w:val="28"/>
          <w:szCs w:val="28"/>
        </w:rPr>
        <w:t>月</w:t>
      </w:r>
      <w:r>
        <w:rPr>
          <w:rFonts w:ascii="Arial" w:eastAsia="仿宋_GB2312" w:hAnsi="Arial" w:cs="Arial"/>
          <w:sz w:val="28"/>
          <w:szCs w:val="28"/>
        </w:rPr>
        <w:t>30</w:t>
      </w:r>
      <w:r>
        <w:rPr>
          <w:rFonts w:ascii="Arial" w:eastAsia="仿宋_GB2312" w:hAnsi="Arial" w:cs="Arial" w:hint="eastAsia"/>
          <w:sz w:val="28"/>
          <w:szCs w:val="28"/>
        </w:rPr>
        <w:t>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52B892F9"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hint="eastAsia"/>
          <w:sz w:val="28"/>
          <w:szCs w:val="28"/>
        </w:rPr>
        <w:t>《国务院关于深化改革严格土地管理的决定》</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2004</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28</w:t>
      </w:r>
      <w:r>
        <w:rPr>
          <w:rFonts w:ascii="Arial" w:eastAsia="仿宋_GB2312" w:hAnsi="Arial" w:cs="Arial" w:hint="eastAsia"/>
          <w:sz w:val="28"/>
          <w:szCs w:val="28"/>
        </w:rPr>
        <w:t>号，</w:t>
      </w:r>
      <w:r>
        <w:rPr>
          <w:rFonts w:ascii="Arial" w:eastAsia="仿宋_GB2312" w:hAnsi="Arial" w:cs="Arial"/>
          <w:sz w:val="28"/>
          <w:szCs w:val="28"/>
        </w:rPr>
        <w:t>2004</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21</w:t>
      </w:r>
      <w:r>
        <w:rPr>
          <w:rFonts w:ascii="Arial" w:eastAsia="仿宋_GB2312" w:hAnsi="Arial" w:cs="Arial" w:hint="eastAsia"/>
          <w:sz w:val="28"/>
          <w:szCs w:val="28"/>
        </w:rPr>
        <w:t>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0DEB2F21"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11.</w:t>
      </w:r>
      <w:r>
        <w:rPr>
          <w:rFonts w:ascii="Arial" w:eastAsia="仿宋_GB2312" w:hAnsi="Arial" w:cs="Arial" w:hint="eastAsia"/>
          <w:sz w:val="28"/>
          <w:szCs w:val="28"/>
        </w:rPr>
        <w:t>《国务院关于加强土地调控有关问题的通知》〔国发</w:t>
      </w:r>
      <w:r>
        <w:rPr>
          <w:rFonts w:ascii="Arial" w:eastAsia="仿宋_GB2312" w:hAnsi="Arial" w:cs="Arial"/>
          <w:sz w:val="28"/>
          <w:szCs w:val="28"/>
        </w:rPr>
        <w:t xml:space="preserve"> [2006] 31</w:t>
      </w:r>
      <w:r>
        <w:rPr>
          <w:rFonts w:ascii="Arial" w:eastAsia="仿宋_GB2312" w:hAnsi="Arial" w:cs="Arial" w:hint="eastAsia"/>
          <w:sz w:val="28"/>
          <w:szCs w:val="28"/>
        </w:rPr>
        <w:t>号，</w:t>
      </w:r>
      <w:r>
        <w:rPr>
          <w:rFonts w:ascii="Arial" w:eastAsia="仿宋_GB2312" w:hAnsi="Arial" w:cs="Arial"/>
          <w:sz w:val="28"/>
          <w:szCs w:val="28"/>
        </w:rPr>
        <w:t>2006</w:t>
      </w:r>
      <w:r>
        <w:rPr>
          <w:rFonts w:ascii="Arial" w:eastAsia="仿宋_GB2312" w:hAnsi="Arial" w:cs="Arial" w:hint="eastAsia"/>
          <w:sz w:val="28"/>
          <w:szCs w:val="28"/>
        </w:rPr>
        <w:t>年</w:t>
      </w:r>
      <w:r>
        <w:rPr>
          <w:rFonts w:ascii="Arial" w:eastAsia="仿宋_GB2312" w:hAnsi="Arial" w:cs="Arial"/>
          <w:sz w:val="28"/>
          <w:szCs w:val="28"/>
        </w:rPr>
        <w:t>8</w:t>
      </w:r>
      <w:r>
        <w:rPr>
          <w:rFonts w:ascii="Arial" w:eastAsia="仿宋_GB2312" w:hAnsi="Arial" w:cs="Arial" w:hint="eastAsia"/>
          <w:sz w:val="28"/>
          <w:szCs w:val="28"/>
        </w:rPr>
        <w:t>月</w:t>
      </w:r>
      <w:r>
        <w:rPr>
          <w:rFonts w:ascii="Arial" w:eastAsia="仿宋_GB2312" w:hAnsi="Arial" w:cs="Arial"/>
          <w:sz w:val="28"/>
          <w:szCs w:val="28"/>
        </w:rPr>
        <w:t>31</w:t>
      </w:r>
      <w:r>
        <w:rPr>
          <w:rFonts w:ascii="Arial" w:eastAsia="仿宋_GB2312" w:hAnsi="Arial" w:cs="Arial" w:hint="eastAsia"/>
          <w:sz w:val="28"/>
          <w:szCs w:val="28"/>
        </w:rPr>
        <w:t>日发布〕；</w:t>
      </w:r>
    </w:p>
    <w:p w14:paraId="127BC235"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12.</w:t>
      </w:r>
      <w:r>
        <w:rPr>
          <w:rFonts w:ascii="Arial" w:eastAsia="仿宋_GB2312" w:hAnsi="Arial" w:cs="Arial" w:hint="eastAsia"/>
          <w:sz w:val="28"/>
          <w:szCs w:val="28"/>
        </w:rPr>
        <w:t>《国务院关于促进节约集约用地的通知》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2008</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3</w:t>
      </w:r>
      <w:r>
        <w:rPr>
          <w:rFonts w:ascii="Arial" w:eastAsia="仿宋_GB2312" w:hAnsi="Arial" w:cs="Arial" w:hint="eastAsia"/>
          <w:sz w:val="28"/>
          <w:szCs w:val="28"/>
        </w:rPr>
        <w:t>号，</w:t>
      </w:r>
      <w:r>
        <w:rPr>
          <w:rFonts w:ascii="Arial" w:eastAsia="仿宋_GB2312" w:hAnsi="Arial" w:cs="Arial"/>
          <w:sz w:val="28"/>
          <w:szCs w:val="28"/>
        </w:rPr>
        <w:t>2008</w:t>
      </w:r>
      <w:r>
        <w:rPr>
          <w:rFonts w:ascii="Arial" w:eastAsia="仿宋_GB2312" w:hAnsi="Arial" w:cs="Arial" w:hint="eastAsia"/>
          <w:sz w:val="28"/>
          <w:szCs w:val="28"/>
        </w:rPr>
        <w:t>年</w:t>
      </w:r>
      <w:r>
        <w:rPr>
          <w:rFonts w:ascii="Arial" w:eastAsia="仿宋_GB2312" w:hAnsi="Arial" w:cs="Arial"/>
          <w:sz w:val="28"/>
          <w:szCs w:val="28"/>
        </w:rPr>
        <w:t>1</w:t>
      </w:r>
      <w:r>
        <w:rPr>
          <w:rFonts w:ascii="Arial" w:eastAsia="仿宋_GB2312" w:hAnsi="Arial" w:cs="Arial" w:hint="eastAsia"/>
          <w:sz w:val="28"/>
          <w:szCs w:val="28"/>
        </w:rPr>
        <w:t>月</w:t>
      </w:r>
      <w:r>
        <w:rPr>
          <w:rFonts w:ascii="Arial" w:eastAsia="仿宋_GB2312" w:hAnsi="Arial" w:cs="Arial"/>
          <w:sz w:val="28"/>
          <w:szCs w:val="28"/>
        </w:rPr>
        <w:t>3</w:t>
      </w:r>
      <w:r>
        <w:rPr>
          <w:rFonts w:ascii="Arial" w:eastAsia="仿宋_GB2312" w:hAnsi="Arial" w:cs="Arial" w:hint="eastAsia"/>
          <w:sz w:val="28"/>
          <w:szCs w:val="28"/>
        </w:rPr>
        <w:t>日发布</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30D62E17"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13.</w:t>
      </w:r>
      <w:r>
        <w:rPr>
          <w:rFonts w:ascii="Arial" w:eastAsia="仿宋_GB2312" w:hAnsi="Arial" w:cs="Arial" w:hint="eastAsia"/>
          <w:sz w:val="28"/>
          <w:szCs w:val="28"/>
        </w:rPr>
        <w:t>《协议出让国有土地使用权规定》〔国土资源部令第</w:t>
      </w:r>
      <w:r>
        <w:rPr>
          <w:rFonts w:ascii="Arial" w:eastAsia="仿宋_GB2312" w:hAnsi="Arial" w:cs="Arial"/>
          <w:sz w:val="28"/>
          <w:szCs w:val="28"/>
        </w:rPr>
        <w:t>21</w:t>
      </w:r>
      <w:r>
        <w:rPr>
          <w:rFonts w:ascii="Arial" w:eastAsia="仿宋_GB2312" w:hAnsi="Arial" w:cs="Arial" w:hint="eastAsia"/>
          <w:sz w:val="28"/>
          <w:szCs w:val="28"/>
        </w:rPr>
        <w:t>号，自</w:t>
      </w:r>
      <w:r>
        <w:rPr>
          <w:rFonts w:ascii="Arial" w:eastAsia="仿宋_GB2312" w:hAnsi="Arial" w:cs="Arial"/>
          <w:sz w:val="28"/>
          <w:szCs w:val="28"/>
        </w:rPr>
        <w:t>2003</w:t>
      </w:r>
      <w:r>
        <w:rPr>
          <w:rFonts w:ascii="Arial" w:eastAsia="仿宋_GB2312" w:hAnsi="Arial" w:cs="Arial" w:hint="eastAsia"/>
          <w:sz w:val="28"/>
          <w:szCs w:val="28"/>
        </w:rPr>
        <w:t>年</w:t>
      </w:r>
      <w:r>
        <w:rPr>
          <w:rFonts w:ascii="Arial" w:eastAsia="仿宋_GB2312" w:hAnsi="Arial" w:cs="Arial"/>
          <w:sz w:val="28"/>
          <w:szCs w:val="28"/>
        </w:rPr>
        <w:t>8</w:t>
      </w:r>
      <w:r>
        <w:rPr>
          <w:rFonts w:ascii="Arial" w:eastAsia="仿宋_GB2312" w:hAnsi="Arial" w:cs="Arial" w:hint="eastAsia"/>
          <w:sz w:val="28"/>
          <w:szCs w:val="28"/>
        </w:rPr>
        <w:t>月</w:t>
      </w:r>
      <w:r>
        <w:rPr>
          <w:rFonts w:ascii="Arial" w:eastAsia="仿宋_GB2312" w:hAnsi="Arial" w:cs="Arial"/>
          <w:sz w:val="28"/>
          <w:szCs w:val="28"/>
        </w:rPr>
        <w:t>1</w:t>
      </w:r>
      <w:r>
        <w:rPr>
          <w:rFonts w:ascii="Arial" w:eastAsia="仿宋_GB2312" w:hAnsi="Arial" w:cs="Arial" w:hint="eastAsia"/>
          <w:sz w:val="28"/>
          <w:szCs w:val="28"/>
        </w:rPr>
        <w:t>日起施行〕；</w:t>
      </w:r>
    </w:p>
    <w:p w14:paraId="23B30318"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14.</w:t>
      </w:r>
      <w:r>
        <w:rPr>
          <w:rFonts w:ascii="Arial" w:eastAsia="仿宋_GB2312" w:hAnsi="Arial" w:cs="Arial" w:hint="eastAsia"/>
          <w:sz w:val="28"/>
          <w:szCs w:val="28"/>
        </w:rPr>
        <w:t>《招标拍卖挂牌出让国有建设用地使用权规定》〔国土资源部令第</w:t>
      </w:r>
      <w:r>
        <w:rPr>
          <w:rFonts w:ascii="Arial" w:eastAsia="仿宋_GB2312" w:hAnsi="Arial" w:cs="Arial"/>
          <w:sz w:val="28"/>
          <w:szCs w:val="28"/>
        </w:rPr>
        <w:t>39</w:t>
      </w:r>
      <w:r>
        <w:rPr>
          <w:rFonts w:ascii="Arial" w:eastAsia="仿宋_GB2312" w:hAnsi="Arial" w:cs="Arial" w:hint="eastAsia"/>
          <w:sz w:val="28"/>
          <w:szCs w:val="28"/>
        </w:rPr>
        <w:t>号，</w:t>
      </w:r>
      <w:r>
        <w:rPr>
          <w:rFonts w:ascii="Arial" w:eastAsia="仿宋_GB2312" w:hAnsi="Arial" w:cs="Arial"/>
          <w:sz w:val="28"/>
          <w:szCs w:val="28"/>
        </w:rPr>
        <w:t>2007</w:t>
      </w:r>
      <w:r>
        <w:rPr>
          <w:rFonts w:ascii="Arial" w:eastAsia="仿宋_GB2312" w:hAnsi="Arial" w:cs="Arial" w:hint="eastAsia"/>
          <w:sz w:val="28"/>
          <w:szCs w:val="28"/>
        </w:rPr>
        <w:t>年</w:t>
      </w:r>
      <w:r>
        <w:rPr>
          <w:rFonts w:ascii="Arial" w:eastAsia="仿宋_GB2312" w:hAnsi="Arial" w:cs="Arial"/>
          <w:sz w:val="28"/>
          <w:szCs w:val="28"/>
        </w:rPr>
        <w:t>9</w:t>
      </w:r>
      <w:r>
        <w:rPr>
          <w:rFonts w:ascii="Arial" w:eastAsia="仿宋_GB2312" w:hAnsi="Arial" w:cs="Arial" w:hint="eastAsia"/>
          <w:sz w:val="28"/>
          <w:szCs w:val="28"/>
        </w:rPr>
        <w:t>月</w:t>
      </w:r>
      <w:r>
        <w:rPr>
          <w:rFonts w:ascii="Arial" w:eastAsia="仿宋_GB2312" w:hAnsi="Arial" w:cs="Arial"/>
          <w:sz w:val="28"/>
          <w:szCs w:val="28"/>
        </w:rPr>
        <w:t>21</w:t>
      </w:r>
      <w:r>
        <w:rPr>
          <w:rFonts w:ascii="Arial" w:eastAsia="仿宋_GB2312" w:hAnsi="Arial" w:cs="Arial" w:hint="eastAsia"/>
          <w:sz w:val="28"/>
          <w:szCs w:val="28"/>
        </w:rPr>
        <w:t>日国土资源部第</w:t>
      </w:r>
      <w:r>
        <w:rPr>
          <w:rFonts w:ascii="Arial" w:eastAsia="仿宋_GB2312" w:hAnsi="Arial" w:cs="Arial"/>
          <w:sz w:val="28"/>
          <w:szCs w:val="28"/>
        </w:rPr>
        <w:t>3</w:t>
      </w:r>
      <w:r>
        <w:rPr>
          <w:rFonts w:ascii="Arial" w:eastAsia="仿宋_GB2312" w:hAnsi="Arial" w:cs="Arial" w:hint="eastAsia"/>
          <w:sz w:val="28"/>
          <w:szCs w:val="28"/>
        </w:rPr>
        <w:t>次部务会议审议通过〕；</w:t>
      </w:r>
    </w:p>
    <w:p w14:paraId="258A8849"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15. </w:t>
      </w:r>
      <w:r>
        <w:rPr>
          <w:rFonts w:ascii="Arial" w:eastAsia="仿宋_GB2312" w:hAnsi="Arial" w:cs="Arial" w:hint="eastAsia"/>
          <w:sz w:val="28"/>
          <w:szCs w:val="28"/>
        </w:rPr>
        <w:t>国土资源部《关于坚持和完善土地招标拍卖挂牌出让制度的意见》</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国土资发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2011</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63</w:t>
      </w:r>
      <w:r>
        <w:rPr>
          <w:rFonts w:ascii="Arial" w:eastAsia="仿宋_GB2312" w:hAnsi="Arial" w:cs="Arial" w:hint="eastAsia"/>
          <w:sz w:val="28"/>
          <w:szCs w:val="28"/>
        </w:rPr>
        <w:t>号，</w:t>
      </w:r>
      <w:r>
        <w:rPr>
          <w:rFonts w:ascii="Arial" w:eastAsia="仿宋_GB2312" w:hAnsi="Arial" w:cs="Arial"/>
          <w:sz w:val="28"/>
          <w:szCs w:val="28"/>
        </w:rPr>
        <w:t>2011</w:t>
      </w:r>
      <w:r>
        <w:rPr>
          <w:rFonts w:ascii="Arial" w:eastAsia="仿宋_GB2312" w:hAnsi="Arial" w:cs="Arial" w:hint="eastAsia"/>
          <w:sz w:val="28"/>
          <w:szCs w:val="28"/>
        </w:rPr>
        <w:t>年</w:t>
      </w:r>
      <w:r>
        <w:rPr>
          <w:rFonts w:ascii="Arial" w:eastAsia="仿宋_GB2312" w:hAnsi="Arial" w:cs="Arial"/>
          <w:sz w:val="28"/>
          <w:szCs w:val="28"/>
        </w:rPr>
        <w:t>5</w:t>
      </w:r>
      <w:r>
        <w:rPr>
          <w:rFonts w:ascii="Arial" w:eastAsia="仿宋_GB2312" w:hAnsi="Arial" w:cs="Arial" w:hint="eastAsia"/>
          <w:sz w:val="28"/>
          <w:szCs w:val="28"/>
        </w:rPr>
        <w:t>月</w:t>
      </w:r>
      <w:r>
        <w:rPr>
          <w:rFonts w:ascii="Arial" w:eastAsia="仿宋_GB2312" w:hAnsi="Arial" w:cs="Arial"/>
          <w:sz w:val="28"/>
          <w:szCs w:val="28"/>
        </w:rPr>
        <w:t>13</w:t>
      </w:r>
      <w:r>
        <w:rPr>
          <w:rFonts w:ascii="Arial" w:eastAsia="仿宋_GB2312" w:hAnsi="Arial" w:cs="Arial" w:hint="eastAsia"/>
          <w:sz w:val="28"/>
          <w:szCs w:val="28"/>
        </w:rPr>
        <w:t>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4E9B26D2"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16. </w:t>
      </w:r>
      <w:r>
        <w:rPr>
          <w:rFonts w:ascii="Arial" w:eastAsia="仿宋_GB2312" w:hAnsi="Arial" w:cs="Arial" w:hint="eastAsia"/>
          <w:sz w:val="28"/>
          <w:szCs w:val="28"/>
        </w:rPr>
        <w:t>国土资源部办公厅《关于实行电子化备案完善土地估价报告备案制度的通知》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国土资厅发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2012</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35</w:t>
      </w:r>
      <w:r>
        <w:rPr>
          <w:rFonts w:ascii="Arial" w:eastAsia="仿宋_GB2312" w:hAnsi="Arial" w:cs="Arial" w:hint="eastAsia"/>
          <w:sz w:val="28"/>
          <w:szCs w:val="28"/>
        </w:rPr>
        <w:t>号，</w:t>
      </w:r>
      <w:r>
        <w:rPr>
          <w:rFonts w:ascii="Arial" w:eastAsia="仿宋_GB2312" w:hAnsi="Arial" w:cs="Arial"/>
          <w:sz w:val="28"/>
          <w:szCs w:val="28"/>
        </w:rPr>
        <w:t>2012</w:t>
      </w:r>
      <w:r>
        <w:rPr>
          <w:rFonts w:ascii="Arial" w:eastAsia="仿宋_GB2312" w:hAnsi="Arial" w:cs="Arial" w:hint="eastAsia"/>
          <w:sz w:val="28"/>
          <w:szCs w:val="28"/>
        </w:rPr>
        <w:t>年</w:t>
      </w:r>
      <w:r>
        <w:rPr>
          <w:rFonts w:ascii="Arial" w:eastAsia="仿宋_GB2312" w:hAnsi="Arial" w:cs="Arial"/>
          <w:sz w:val="28"/>
          <w:szCs w:val="28"/>
        </w:rPr>
        <w:t>6</w:t>
      </w:r>
      <w:r>
        <w:rPr>
          <w:rFonts w:ascii="Arial" w:eastAsia="仿宋_GB2312" w:hAnsi="Arial" w:cs="Arial" w:hint="eastAsia"/>
          <w:sz w:val="28"/>
          <w:szCs w:val="28"/>
        </w:rPr>
        <w:t>月</w:t>
      </w:r>
      <w:r>
        <w:rPr>
          <w:rFonts w:ascii="Arial" w:eastAsia="仿宋_GB2312" w:hAnsi="Arial" w:cs="Arial"/>
          <w:sz w:val="28"/>
          <w:szCs w:val="28"/>
        </w:rPr>
        <w:t>14</w:t>
      </w:r>
      <w:r>
        <w:rPr>
          <w:rFonts w:ascii="Arial" w:eastAsia="仿宋_GB2312" w:hAnsi="Arial" w:cs="Arial" w:hint="eastAsia"/>
          <w:sz w:val="28"/>
          <w:szCs w:val="28"/>
        </w:rPr>
        <w:t>日发布</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312D1903" w14:textId="77777777" w:rsidR="00E651D3" w:rsidRDefault="00E651D3" w:rsidP="00E651D3">
      <w:pPr>
        <w:spacing w:line="360" w:lineRule="auto"/>
        <w:jc w:val="both"/>
        <w:rPr>
          <w:rFonts w:ascii="Arial" w:eastAsia="仿宋_GB2312" w:hAnsi="Arial" w:cs="Arial"/>
          <w:sz w:val="28"/>
        </w:rPr>
      </w:pPr>
      <w:r>
        <w:rPr>
          <w:rFonts w:ascii="Arial" w:eastAsia="仿宋_GB2312" w:hAnsi="Arial" w:cs="Arial" w:hint="eastAsia"/>
          <w:sz w:val="28"/>
        </w:rPr>
        <w:t>（二）采用的技术标准</w:t>
      </w:r>
    </w:p>
    <w:p w14:paraId="2A254FF3"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《城镇土地估价规程》</w:t>
      </w:r>
      <w:r>
        <w:rPr>
          <w:rFonts w:ascii="Arial" w:eastAsia="仿宋_GB2312" w:hAnsi="Arial" w:cs="Arial"/>
          <w:sz w:val="28"/>
        </w:rPr>
        <w:t>[GB/T 18508-2014]</w:t>
      </w:r>
    </w:p>
    <w:p w14:paraId="7478D82B" w14:textId="77777777" w:rsidR="00E651D3" w:rsidRPr="006C1DB6"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《城镇土地</w:t>
      </w:r>
      <w:r w:rsidRPr="006C1DB6">
        <w:rPr>
          <w:rFonts w:ascii="Arial" w:eastAsia="仿宋_GB2312" w:hAnsi="Arial" w:cs="Arial" w:hint="eastAsia"/>
          <w:sz w:val="28"/>
        </w:rPr>
        <w:t>分等定级规程》</w:t>
      </w:r>
      <w:hyperlink r:id="rId58" w:tgtFrame="_blank" w:history="1">
        <w:r w:rsidRPr="006C1DB6">
          <w:rPr>
            <w:rStyle w:val="ad"/>
            <w:rFonts w:ascii="Arial" w:eastAsia="仿宋_GB2312" w:hAnsi="Arial" w:cs="Arial"/>
            <w:color w:val="auto"/>
            <w:sz w:val="28"/>
          </w:rPr>
          <w:t>[GB/T 18507-2014]</w:t>
        </w:r>
      </w:hyperlink>
    </w:p>
    <w:p w14:paraId="5B09E0FB"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《土地利用现状分类》</w:t>
      </w:r>
      <w:r>
        <w:rPr>
          <w:rFonts w:ascii="Arial" w:eastAsia="仿宋_GB2312" w:hAnsi="Arial" w:cs="Arial"/>
          <w:sz w:val="28"/>
        </w:rPr>
        <w:t>[ GB/T 21010-2017]</w:t>
      </w:r>
    </w:p>
    <w:p w14:paraId="2508E4A9"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《城市用地分类与规划建设用地标准》</w:t>
      </w:r>
      <w:r>
        <w:rPr>
          <w:rFonts w:ascii="Arial" w:eastAsia="仿宋_GB2312" w:hAnsi="Arial" w:cs="Arial"/>
          <w:sz w:val="28"/>
        </w:rPr>
        <w:t>[GB50137-2011]</w:t>
      </w:r>
    </w:p>
    <w:p w14:paraId="6138FB50"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hint="eastAsia"/>
          <w:sz w:val="28"/>
        </w:rPr>
        <w:t>《国土资源部办公厅关于印发〈国有建设用地使用权出让地价评估技术规范〉的通知》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w:t>
      </w:r>
      <w:r>
        <w:rPr>
          <w:rFonts w:ascii="Arial" w:eastAsia="仿宋_GB2312" w:hAnsi="Arial" w:cs="Arial"/>
          <w:sz w:val="28"/>
        </w:rPr>
        <w:t>2018</w:t>
      </w:r>
      <w:r>
        <w:rPr>
          <w:rFonts w:ascii="Arial" w:eastAsia="仿宋_GB2312" w:hAnsi="Arial" w:cs="Arial" w:hint="eastAsia"/>
          <w:sz w:val="28"/>
        </w:rPr>
        <w:t>）</w:t>
      </w:r>
      <w:r>
        <w:rPr>
          <w:rFonts w:ascii="Arial" w:eastAsia="仿宋_GB2312" w:hAnsi="Arial" w:cs="Arial"/>
          <w:sz w:val="28"/>
        </w:rPr>
        <w:t>4</w:t>
      </w:r>
      <w:r>
        <w:rPr>
          <w:rFonts w:ascii="Arial" w:eastAsia="仿宋_GB2312" w:hAnsi="Arial" w:cs="Arial" w:hint="eastAsia"/>
          <w:sz w:val="28"/>
        </w:rPr>
        <w:t>号</w:t>
      </w:r>
      <w:r>
        <w:rPr>
          <w:rFonts w:ascii="Arial" w:eastAsia="仿宋_GB2312" w:hAnsi="Arial" w:cs="Arial"/>
          <w:sz w:val="28"/>
        </w:rPr>
        <w:t>]</w:t>
      </w:r>
    </w:p>
    <w:p w14:paraId="620E16AF"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hint="eastAsia"/>
          <w:sz w:val="28"/>
          <w:szCs w:val="28"/>
        </w:rPr>
        <w:t>《城市地价动态监测技术规范》</w:t>
      </w:r>
      <w:r>
        <w:rPr>
          <w:rFonts w:ascii="Arial" w:eastAsia="仿宋_GB2312" w:hAnsi="Arial" w:cs="Arial"/>
          <w:sz w:val="28"/>
        </w:rPr>
        <w:t>[</w:t>
      </w:r>
      <w:r>
        <w:rPr>
          <w:rFonts w:ascii="Arial" w:eastAsia="仿宋_GB2312" w:hAnsi="Arial" w:cs="Arial"/>
          <w:sz w:val="28"/>
          <w:szCs w:val="28"/>
        </w:rPr>
        <w:t>TD/T1009-2007</w:t>
      </w:r>
      <w:r>
        <w:rPr>
          <w:rFonts w:ascii="Arial" w:eastAsia="仿宋_GB2312" w:hAnsi="Arial" w:cs="Arial"/>
          <w:sz w:val="28"/>
        </w:rPr>
        <w:t>]</w:t>
      </w:r>
    </w:p>
    <w:p w14:paraId="5189239F"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hint="eastAsia"/>
          <w:sz w:val="28"/>
          <w:szCs w:val="28"/>
        </w:rPr>
        <w:t>《北京市关于更新出让国有建设用地使用权基准地价的通知》</w:t>
      </w:r>
      <w:r>
        <w:rPr>
          <w:rFonts w:ascii="Arial" w:eastAsia="仿宋_GB2312" w:hAnsi="Arial" w:cs="Arial"/>
          <w:sz w:val="28"/>
        </w:rPr>
        <w:t>[</w:t>
      </w:r>
      <w:r>
        <w:rPr>
          <w:rFonts w:ascii="Arial" w:eastAsia="仿宋_GB2312" w:hAnsi="Arial" w:cs="Arial" w:hint="eastAsia"/>
          <w:sz w:val="28"/>
          <w:szCs w:val="28"/>
        </w:rPr>
        <w:t>京政发〔</w:t>
      </w:r>
      <w:r>
        <w:rPr>
          <w:rFonts w:ascii="Arial" w:eastAsia="仿宋_GB2312" w:hAnsi="Arial" w:cs="Arial"/>
          <w:sz w:val="28"/>
          <w:szCs w:val="28"/>
        </w:rPr>
        <w:t>2014</w:t>
      </w:r>
      <w:r>
        <w:rPr>
          <w:rFonts w:ascii="Arial" w:eastAsia="仿宋_GB2312" w:hAnsi="Arial" w:cs="Arial" w:hint="eastAsia"/>
          <w:sz w:val="28"/>
          <w:szCs w:val="28"/>
        </w:rPr>
        <w:t>〕</w:t>
      </w:r>
      <w:r>
        <w:rPr>
          <w:rFonts w:ascii="Arial" w:eastAsia="仿宋_GB2312" w:hAnsi="Arial" w:cs="Arial"/>
          <w:sz w:val="28"/>
          <w:szCs w:val="28"/>
        </w:rPr>
        <w:t>26</w:t>
      </w:r>
      <w:r>
        <w:rPr>
          <w:rFonts w:ascii="Arial" w:eastAsia="仿宋_GB2312" w:hAnsi="Arial" w:cs="Arial" w:hint="eastAsia"/>
          <w:sz w:val="28"/>
          <w:szCs w:val="28"/>
        </w:rPr>
        <w:t>号</w:t>
      </w:r>
      <w:r>
        <w:rPr>
          <w:rFonts w:ascii="Arial" w:eastAsia="仿宋_GB2312" w:hAnsi="Arial" w:cs="Arial"/>
          <w:sz w:val="28"/>
        </w:rPr>
        <w:t>]</w:t>
      </w:r>
    </w:p>
    <w:p w14:paraId="152861C2"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hint="eastAsia"/>
          <w:sz w:val="28"/>
          <w:szCs w:val="28"/>
        </w:rPr>
        <w:t>《北京市基准地价更新成果（二Ｏ一四年）》</w:t>
      </w:r>
    </w:p>
    <w:p w14:paraId="493AFE88"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hint="eastAsia"/>
          <w:sz w:val="28"/>
          <w:szCs w:val="28"/>
        </w:rPr>
        <w:t>《关于印发北京市国有建设用地使用权出让地价评审暂行规定的通知》</w:t>
      </w:r>
      <w:r>
        <w:rPr>
          <w:rFonts w:ascii="Arial" w:eastAsia="仿宋_GB2312" w:hAnsi="Arial" w:cs="Arial"/>
          <w:sz w:val="28"/>
        </w:rPr>
        <w:t>[</w:t>
      </w:r>
      <w:r>
        <w:rPr>
          <w:rFonts w:ascii="Arial" w:eastAsia="仿宋_GB2312" w:hAnsi="Arial" w:cs="Arial" w:hint="eastAsia"/>
          <w:sz w:val="28"/>
          <w:szCs w:val="28"/>
        </w:rPr>
        <w:t>京国土用</w:t>
      </w:r>
      <w:r>
        <w:rPr>
          <w:rFonts w:ascii="Arial" w:eastAsia="仿宋_GB2312" w:hAnsi="Arial" w:cs="Arial"/>
          <w:sz w:val="28"/>
          <w:szCs w:val="28"/>
        </w:rPr>
        <w:t>[2015]87</w:t>
      </w:r>
      <w:r>
        <w:rPr>
          <w:rFonts w:ascii="Arial" w:eastAsia="仿宋_GB2312" w:hAnsi="Arial" w:cs="Arial" w:hint="eastAsia"/>
          <w:sz w:val="28"/>
          <w:szCs w:val="28"/>
        </w:rPr>
        <w:t>号</w:t>
      </w:r>
      <w:r>
        <w:rPr>
          <w:rFonts w:ascii="Arial" w:eastAsia="仿宋_GB2312" w:hAnsi="Arial" w:cs="Arial"/>
          <w:sz w:val="28"/>
        </w:rPr>
        <w:t>]</w:t>
      </w:r>
    </w:p>
    <w:p w14:paraId="774383F1"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10.</w:t>
      </w:r>
      <w:r>
        <w:rPr>
          <w:rFonts w:ascii="Arial" w:eastAsia="仿宋_GB2312" w:hAnsi="Arial" w:cs="Arial" w:hint="eastAsia"/>
          <w:sz w:val="28"/>
          <w:szCs w:val="28"/>
        </w:rPr>
        <w:t>《北京市国土资源局关于出让国有建设用地使用权基准地价应用有关问题的公告》</w:t>
      </w:r>
    </w:p>
    <w:p w14:paraId="74299AE6" w14:textId="77777777" w:rsidR="00E651D3" w:rsidRDefault="00E651D3" w:rsidP="00E651D3">
      <w:pPr>
        <w:spacing w:line="360" w:lineRule="auto"/>
        <w:ind w:firstLineChars="200" w:firstLine="560"/>
        <w:rPr>
          <w:rFonts w:ascii="Arial" w:eastAsia="仿宋_GB2312" w:hAnsi="Arial" w:cs="Arial"/>
          <w:sz w:val="28"/>
        </w:rPr>
      </w:pPr>
      <w:r>
        <w:rPr>
          <w:rFonts w:ascii="Arial" w:eastAsia="仿宋_GB2312" w:hAnsi="Arial" w:cs="Arial"/>
          <w:sz w:val="28"/>
          <w:szCs w:val="28"/>
        </w:rPr>
        <w:t>11.</w:t>
      </w:r>
      <w:r>
        <w:rPr>
          <w:rFonts w:ascii="Arial" w:eastAsia="仿宋_GB2312" w:hAnsi="Arial" w:cs="Arial" w:hint="eastAsia"/>
          <w:sz w:val="28"/>
          <w:szCs w:val="28"/>
        </w:rPr>
        <w:t>《北京市</w:t>
      </w:r>
      <w:r>
        <w:rPr>
          <w:rFonts w:ascii="Arial" w:eastAsia="仿宋_GB2312" w:hAnsi="Arial" w:cs="Arial"/>
          <w:sz w:val="28"/>
          <w:szCs w:val="28"/>
        </w:rPr>
        <w:t>“</w:t>
      </w:r>
      <w:r>
        <w:rPr>
          <w:rFonts w:ascii="Arial" w:eastAsia="仿宋_GB2312" w:hAnsi="Arial" w:cs="Arial" w:hint="eastAsia"/>
          <w:sz w:val="28"/>
          <w:szCs w:val="28"/>
        </w:rPr>
        <w:t>地下空间</w:t>
      </w:r>
      <w:r>
        <w:rPr>
          <w:rFonts w:ascii="Arial" w:eastAsia="仿宋_GB2312" w:hAnsi="Arial" w:cs="Arial"/>
          <w:sz w:val="28"/>
          <w:szCs w:val="28"/>
        </w:rPr>
        <w:t>”</w:t>
      </w:r>
      <w:r>
        <w:rPr>
          <w:rFonts w:ascii="Arial" w:eastAsia="仿宋_GB2312" w:hAnsi="Arial" w:cs="Arial" w:hint="eastAsia"/>
          <w:sz w:val="28"/>
          <w:szCs w:val="28"/>
        </w:rPr>
        <w:t>使用权协议出让地价评估技术更新的说明》</w:t>
      </w:r>
      <w:r>
        <w:rPr>
          <w:rFonts w:ascii="Arial" w:eastAsia="仿宋_GB2312" w:hAnsi="Arial" w:cs="Arial"/>
          <w:sz w:val="28"/>
          <w:szCs w:val="28"/>
        </w:rPr>
        <w:t>[</w:t>
      </w:r>
      <w:proofErr w:type="gramStart"/>
      <w:r>
        <w:rPr>
          <w:rFonts w:ascii="Arial" w:eastAsia="仿宋_GB2312" w:hAnsi="Arial" w:cs="Arial" w:hint="eastAsia"/>
          <w:sz w:val="28"/>
          <w:szCs w:val="28"/>
        </w:rPr>
        <w:t>北估秘</w:t>
      </w:r>
      <w:proofErr w:type="gramEnd"/>
      <w:r>
        <w:rPr>
          <w:rFonts w:ascii="Arial" w:eastAsia="仿宋_GB2312" w:hAnsi="Arial" w:cs="Arial"/>
          <w:sz w:val="28"/>
          <w:szCs w:val="28"/>
        </w:rPr>
        <w:t>[2019]002</w:t>
      </w:r>
      <w:r>
        <w:rPr>
          <w:rFonts w:ascii="Arial" w:eastAsia="仿宋_GB2312" w:hAnsi="Arial" w:cs="Arial" w:hint="eastAsia"/>
          <w:sz w:val="28"/>
          <w:szCs w:val="28"/>
        </w:rPr>
        <w:t>号</w:t>
      </w:r>
      <w:r>
        <w:rPr>
          <w:rFonts w:ascii="Arial" w:eastAsia="仿宋_GB2312" w:hAnsi="Arial" w:cs="Arial"/>
          <w:sz w:val="28"/>
          <w:szCs w:val="28"/>
        </w:rPr>
        <w:t>]</w:t>
      </w:r>
    </w:p>
    <w:p w14:paraId="7B286E8D"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rPr>
        <w:t>12</w:t>
      </w:r>
      <w:r>
        <w:rPr>
          <w:rFonts w:ascii="Arial" w:eastAsia="仿宋_GB2312" w:hAnsi="Arial" w:cs="Arial"/>
          <w:sz w:val="28"/>
          <w:szCs w:val="28"/>
        </w:rPr>
        <w:t>.</w:t>
      </w:r>
      <w:r>
        <w:rPr>
          <w:rFonts w:ascii="Arial" w:eastAsia="仿宋_GB2312" w:hAnsi="Arial" w:cs="Arial" w:hint="eastAsia"/>
          <w:sz w:val="28"/>
          <w:szCs w:val="28"/>
        </w:rPr>
        <w:t>《北京市建设工程计价依据</w:t>
      </w:r>
      <w:r>
        <w:rPr>
          <w:rFonts w:ascii="Arial" w:eastAsia="仿宋_GB2312" w:hAnsi="Arial" w:cs="Arial"/>
          <w:sz w:val="28"/>
          <w:szCs w:val="28"/>
        </w:rPr>
        <w:t>-</w:t>
      </w:r>
      <w:r>
        <w:rPr>
          <w:rFonts w:ascii="Arial" w:eastAsia="仿宋_GB2312" w:hAnsi="Arial" w:cs="Arial" w:hint="eastAsia"/>
          <w:sz w:val="28"/>
          <w:szCs w:val="28"/>
        </w:rPr>
        <w:t>预算定额》（</w:t>
      </w:r>
      <w:r>
        <w:rPr>
          <w:rFonts w:ascii="Arial" w:eastAsia="仿宋_GB2312" w:hAnsi="Arial" w:cs="Arial"/>
          <w:sz w:val="28"/>
          <w:szCs w:val="28"/>
        </w:rPr>
        <w:t>2012</w:t>
      </w:r>
      <w:r>
        <w:rPr>
          <w:rFonts w:ascii="Arial" w:eastAsia="仿宋_GB2312" w:hAnsi="Arial" w:cs="Arial" w:hint="eastAsia"/>
          <w:sz w:val="28"/>
          <w:szCs w:val="28"/>
        </w:rPr>
        <w:t>）及动态调整</w:t>
      </w:r>
    </w:p>
    <w:p w14:paraId="592600F2"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13.</w:t>
      </w:r>
      <w:r>
        <w:rPr>
          <w:rFonts w:ascii="Arial" w:eastAsia="仿宋_GB2312" w:hAnsi="Arial" w:cs="Arial" w:hint="eastAsia"/>
          <w:sz w:val="28"/>
          <w:szCs w:val="28"/>
        </w:rPr>
        <w:t>《北京工程造价信息》〔北京市建设工程造价管理处定期发布〕</w:t>
      </w:r>
    </w:p>
    <w:p w14:paraId="21FF2925" w14:textId="77777777" w:rsidR="00E651D3" w:rsidRDefault="00E651D3" w:rsidP="00E651D3">
      <w:pPr>
        <w:spacing w:line="360" w:lineRule="auto"/>
        <w:ind w:firstLineChars="200" w:firstLine="560"/>
        <w:rPr>
          <w:rFonts w:ascii="Arial" w:eastAsia="仿宋_GB2312" w:hAnsi="Arial" w:cs="Arial"/>
          <w:sz w:val="28"/>
        </w:rPr>
      </w:pPr>
      <w:r>
        <w:rPr>
          <w:rFonts w:ascii="Arial" w:eastAsia="仿宋_GB2312" w:hAnsi="Arial" w:cs="Arial"/>
          <w:sz w:val="28"/>
          <w:szCs w:val="28"/>
        </w:rPr>
        <w:t>14.</w:t>
      </w:r>
      <w:r>
        <w:rPr>
          <w:rFonts w:ascii="Arial" w:eastAsia="仿宋_GB2312" w:hAnsi="Arial" w:cs="Arial" w:hint="eastAsia"/>
          <w:sz w:val="28"/>
          <w:szCs w:val="28"/>
        </w:rPr>
        <w:t>《北京市统计年鉴》</w:t>
      </w:r>
    </w:p>
    <w:p w14:paraId="54DA3320" w14:textId="77777777" w:rsidR="00E651D3" w:rsidRDefault="00E651D3" w:rsidP="00E651D3">
      <w:pPr>
        <w:spacing w:line="360" w:lineRule="auto"/>
        <w:jc w:val="both"/>
        <w:rPr>
          <w:rFonts w:ascii="Arial" w:eastAsia="仿宋_GB2312" w:hAnsi="Arial" w:cs="Arial"/>
          <w:sz w:val="28"/>
          <w:szCs w:val="18"/>
        </w:rPr>
      </w:pPr>
      <w:r>
        <w:rPr>
          <w:rFonts w:ascii="Arial" w:eastAsia="仿宋_GB2312" w:hAnsi="Arial" w:cs="Arial" w:hint="eastAsia"/>
          <w:sz w:val="28"/>
          <w:szCs w:val="18"/>
        </w:rPr>
        <w:t>（三）</w:t>
      </w:r>
      <w:r>
        <w:rPr>
          <w:rFonts w:ascii="Arial" w:eastAsia="仿宋_GB2312" w:hAnsi="Arial" w:cs="Arial"/>
          <w:sz w:val="28"/>
          <w:szCs w:val="18"/>
        </w:rPr>
        <w:t xml:space="preserve"> </w:t>
      </w:r>
      <w:r>
        <w:rPr>
          <w:rFonts w:ascii="Arial" w:eastAsia="仿宋_GB2312" w:hAnsi="Arial" w:cs="Arial" w:hint="eastAsia"/>
          <w:sz w:val="28"/>
          <w:szCs w:val="18"/>
        </w:rPr>
        <w:t>委托估价方提供的资料</w:t>
      </w:r>
    </w:p>
    <w:p w14:paraId="51E845CA"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《国有建设用地使用权出让地价评估委托书》</w:t>
      </w:r>
    </w:p>
    <w:p w14:paraId="56CA3730"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《建设工程规划用地测量成果报告书》</w:t>
      </w:r>
      <w:r>
        <w:rPr>
          <w:rFonts w:ascii="Arial" w:eastAsia="仿宋_GB2312" w:hAnsi="Arial" w:cs="Arial"/>
          <w:sz w:val="28"/>
        </w:rPr>
        <w:t>[2017</w:t>
      </w:r>
      <w:proofErr w:type="gramStart"/>
      <w:r>
        <w:rPr>
          <w:rFonts w:ascii="Arial" w:eastAsia="仿宋_GB2312" w:hAnsi="Arial" w:cs="Arial" w:hint="eastAsia"/>
          <w:sz w:val="28"/>
        </w:rPr>
        <w:t>规</w:t>
      </w:r>
      <w:proofErr w:type="gramEnd"/>
      <w:r>
        <w:rPr>
          <w:rFonts w:ascii="Arial" w:eastAsia="仿宋_GB2312" w:hAnsi="Arial" w:cs="Arial" w:hint="eastAsia"/>
          <w:sz w:val="28"/>
        </w:rPr>
        <w:t>（海）测字</w:t>
      </w:r>
      <w:r>
        <w:rPr>
          <w:rFonts w:ascii="Arial" w:eastAsia="仿宋_GB2312" w:hAnsi="Arial" w:cs="Arial"/>
          <w:sz w:val="28"/>
        </w:rPr>
        <w:t>0023</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w:t>
      </w:r>
    </w:p>
    <w:p w14:paraId="26B4205A"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《海淀区苏州街站一体化棚户区改造项目前期工作及拟改造土地使用权一次性招标方案》及其附件复印件</w:t>
      </w:r>
    </w:p>
    <w:p w14:paraId="6749F675"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w:t>
      </w:r>
    </w:p>
    <w:p w14:paraId="1B80D793"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《中标通知书》复印件</w:t>
      </w:r>
    </w:p>
    <w:p w14:paraId="38DAD98D"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w:t>
      </w:r>
    </w:p>
    <w:p w14:paraId="3ED8C413"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《北京市海淀区人民防空办公室建设项目修建人民防空防护工程标准审查意见书》</w:t>
      </w:r>
      <w:r>
        <w:rPr>
          <w:rFonts w:ascii="Arial" w:eastAsia="仿宋_GB2312" w:hAnsi="Arial" w:cs="Arial"/>
          <w:sz w:val="28"/>
        </w:rPr>
        <w:t>[2020</w:t>
      </w:r>
      <w:r>
        <w:rPr>
          <w:rFonts w:ascii="Arial" w:eastAsia="仿宋_GB2312" w:hAnsi="Arial" w:cs="Arial" w:hint="eastAsia"/>
          <w:sz w:val="28"/>
        </w:rPr>
        <w:t>（</w:t>
      </w:r>
      <w:r>
        <w:rPr>
          <w:rFonts w:ascii="Arial" w:eastAsia="仿宋_GB2312" w:hAnsi="Arial" w:cs="Arial"/>
          <w:sz w:val="28"/>
        </w:rPr>
        <w:t>DGHY</w:t>
      </w:r>
      <w:r>
        <w:rPr>
          <w:rFonts w:ascii="Arial" w:eastAsia="仿宋_GB2312" w:hAnsi="Arial" w:cs="Arial" w:hint="eastAsia"/>
          <w:sz w:val="28"/>
        </w:rPr>
        <w:t>）京防（海）工准字</w:t>
      </w:r>
      <w:r>
        <w:rPr>
          <w:rFonts w:ascii="Arial" w:eastAsia="仿宋_GB2312" w:hAnsi="Arial" w:cs="Arial"/>
          <w:sz w:val="28"/>
        </w:rPr>
        <w:t>0022</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w:t>
      </w:r>
    </w:p>
    <w:p w14:paraId="1CE6DC2E"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《北京市发展和改革委员会、北京市住房和城乡建设委员会关于海淀区苏州街站一体化棚户区改造项目重新核准的批复》</w:t>
      </w:r>
      <w:r>
        <w:rPr>
          <w:rFonts w:ascii="Arial" w:eastAsia="仿宋_GB2312" w:hAnsi="Arial" w:cs="Arial" w:hint="eastAsia"/>
          <w:sz w:val="28"/>
        </w:rPr>
        <w:t>[</w:t>
      </w:r>
      <w:r>
        <w:rPr>
          <w:rFonts w:ascii="Arial" w:eastAsia="仿宋_GB2312" w:hAnsi="Arial" w:cs="Arial" w:hint="eastAsia"/>
          <w:sz w:val="28"/>
        </w:rPr>
        <w:t>京发改（核）</w:t>
      </w:r>
      <w:r>
        <w:rPr>
          <w:rFonts w:ascii="Arial" w:eastAsia="仿宋_GB2312" w:hAnsi="Arial" w:cs="Arial" w:hint="eastAsia"/>
          <w:sz w:val="28"/>
        </w:rPr>
        <w:t>[2021]54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5F998AEE"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9.</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w:t>
      </w:r>
    </w:p>
    <w:p w14:paraId="2073AB79"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Pr>
          <w:rFonts w:ascii="Arial" w:eastAsia="仿宋_GB2312" w:hAnsi="Arial" w:cs="Arial" w:hint="eastAsia"/>
          <w:sz w:val="28"/>
        </w:rPr>
        <w:t>《名称变更通知》复印件</w:t>
      </w:r>
    </w:p>
    <w:p w14:paraId="108600B9"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11.</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编号：海权属审（</w:t>
      </w:r>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）字第</w:t>
      </w:r>
      <w:r>
        <w:rPr>
          <w:rFonts w:ascii="Arial" w:eastAsia="仿宋_GB2312" w:hAnsi="Arial" w:cs="Arial" w:hint="eastAsia"/>
          <w:sz w:val="28"/>
        </w:rPr>
        <w:t>1</w:t>
      </w:r>
      <w:r>
        <w:rPr>
          <w:rFonts w:ascii="Arial" w:eastAsia="仿宋_GB2312" w:hAnsi="Arial" w:cs="Arial"/>
          <w:sz w:val="28"/>
        </w:rPr>
        <w:t>268</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及其附表附图</w:t>
      </w:r>
      <w:r w:rsidRPr="00F631FB">
        <w:rPr>
          <w:rFonts w:ascii="Arial" w:eastAsia="仿宋_GB2312" w:hAnsi="Arial" w:cs="Arial" w:hint="eastAsia"/>
          <w:sz w:val="28"/>
        </w:rPr>
        <w:t>复印件</w:t>
      </w:r>
    </w:p>
    <w:p w14:paraId="7FD682C8"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12.</w:t>
      </w:r>
      <w:r>
        <w:rPr>
          <w:rFonts w:ascii="Arial" w:eastAsia="仿宋_GB2312" w:hAnsi="Arial" w:cs="Arial" w:hint="eastAsia"/>
          <w:sz w:val="28"/>
        </w:rPr>
        <w:t>《海淀区苏州街一体化棚户区改造项目建筑面积及用途的说明》及其附表复印件</w:t>
      </w:r>
    </w:p>
    <w:p w14:paraId="63644118"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13.</w:t>
      </w:r>
      <w:r>
        <w:rPr>
          <w:rFonts w:ascii="Arial" w:eastAsia="仿宋_GB2312" w:hAnsi="Arial" w:cs="Arial" w:hint="eastAsia"/>
          <w:sz w:val="28"/>
        </w:rPr>
        <w:t>《关于海淀区苏州街站一体化棚户区改造项目成本说明》复印件</w:t>
      </w:r>
    </w:p>
    <w:p w14:paraId="18221B19"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14.</w:t>
      </w:r>
      <w:r>
        <w:rPr>
          <w:rFonts w:ascii="Arial" w:eastAsia="仿宋_GB2312" w:hAnsi="Arial" w:cs="Arial" w:hint="eastAsia"/>
          <w:sz w:val="28"/>
        </w:rPr>
        <w:t>《关于海淀南路</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号院（飞达地块）拆迁安置情况说明》复印件</w:t>
      </w:r>
    </w:p>
    <w:p w14:paraId="6F765EB4"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15.</w:t>
      </w:r>
      <w:r w:rsidRPr="006C1DB6">
        <w:rPr>
          <w:rFonts w:ascii="Arial" w:eastAsia="仿宋_GB2312" w:hAnsi="Arial" w:cs="Arial" w:hint="eastAsia"/>
          <w:sz w:val="28"/>
        </w:rPr>
        <w:t xml:space="preserve"> </w:t>
      </w:r>
      <w:r w:rsidRPr="00F631FB">
        <w:rPr>
          <w:rFonts w:ascii="Arial" w:eastAsia="仿宋_GB2312" w:hAnsi="Arial" w:cs="Arial" w:hint="eastAsia"/>
          <w:sz w:val="28"/>
        </w:rPr>
        <w:t>土地使用权人《营业执照》复印件</w:t>
      </w:r>
    </w:p>
    <w:p w14:paraId="4CFF88D8" w14:textId="6DC480B1" w:rsidR="002C3ABF" w:rsidRDefault="00E651D3" w:rsidP="00E651D3">
      <w:pPr>
        <w:spacing w:line="360" w:lineRule="auto"/>
        <w:jc w:val="both"/>
        <w:rPr>
          <w:rFonts w:ascii="Arial" w:eastAsia="仿宋_GB2312" w:hAnsi="Arial" w:cs="Arial"/>
          <w:sz w:val="28"/>
        </w:rPr>
      </w:pPr>
      <w:r>
        <w:rPr>
          <w:rFonts w:ascii="Arial" w:eastAsia="仿宋_GB2312" w:hAnsi="Arial" w:cs="Arial" w:hint="eastAsia"/>
          <w:sz w:val="28"/>
          <w:szCs w:val="18"/>
        </w:rPr>
        <w:t>（四）受托估价方掌握的有关资料和评估专业人员实地勘察、调查所获取的资料实地勘查</w:t>
      </w:r>
      <w:r>
        <w:rPr>
          <w:rFonts w:ascii="Arial" w:eastAsia="仿宋_GB2312" w:hAnsi="Arial" w:cs="Arial" w:hint="eastAsia"/>
          <w:sz w:val="28"/>
        </w:rPr>
        <w:t>的有关资料</w:t>
      </w:r>
    </w:p>
    <w:p w14:paraId="2689FA24" w14:textId="77777777" w:rsidR="00E651D3" w:rsidRPr="00F631FB" w:rsidRDefault="00E651D3" w:rsidP="00E651D3">
      <w:pPr>
        <w:spacing w:line="360" w:lineRule="auto"/>
        <w:jc w:val="both"/>
        <w:rPr>
          <w:rFonts w:ascii="Arial" w:eastAsia="仿宋_GB2312" w:hAnsi="Arial" w:cs="Arial"/>
          <w:sz w:val="28"/>
        </w:rPr>
      </w:pPr>
    </w:p>
    <w:p w14:paraId="0231A269" w14:textId="77777777" w:rsidR="002C3ABF" w:rsidRPr="00F631FB" w:rsidRDefault="002C3ABF" w:rsidP="002C3ABF">
      <w:pPr>
        <w:spacing w:line="360" w:lineRule="auto"/>
        <w:outlineLvl w:val="1"/>
        <w:rPr>
          <w:rFonts w:ascii="Arial" w:eastAsia="仿宋_GB2312" w:hAnsi="Arial" w:cs="Arial"/>
          <w:b/>
          <w:sz w:val="28"/>
        </w:rPr>
      </w:pPr>
      <w:bookmarkStart w:id="201" w:name="_Toc469066155"/>
      <w:bookmarkStart w:id="202" w:name="_Toc515457807"/>
      <w:bookmarkStart w:id="203" w:name="_Toc516488185"/>
      <w:bookmarkStart w:id="204" w:name="_Toc524335090"/>
      <w:bookmarkStart w:id="205" w:name="_Toc66929517"/>
      <w:bookmarkStart w:id="206" w:name="_Toc69393392"/>
      <w:bookmarkStart w:id="207" w:name="_Toc416783574"/>
      <w:bookmarkStart w:id="208" w:name="_Toc416783670"/>
      <w:r w:rsidRPr="00F631FB">
        <w:rPr>
          <w:rFonts w:ascii="Arial" w:eastAsia="仿宋_GB2312" w:hAnsi="Arial" w:cs="Arial"/>
          <w:b/>
          <w:sz w:val="28"/>
        </w:rPr>
        <w:t>六、估价期日</w:t>
      </w:r>
      <w:bookmarkEnd w:id="201"/>
      <w:bookmarkEnd w:id="202"/>
      <w:bookmarkEnd w:id="203"/>
      <w:bookmarkEnd w:id="204"/>
      <w:bookmarkEnd w:id="205"/>
      <w:bookmarkEnd w:id="206"/>
    </w:p>
    <w:bookmarkEnd w:id="207"/>
    <w:bookmarkEnd w:id="208"/>
    <w:p w14:paraId="453044C0" w14:textId="66399241" w:rsidR="002C3ABF" w:rsidRPr="00F631FB" w:rsidRDefault="006650F1"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002C3ABF" w:rsidRPr="00F631FB">
        <w:rPr>
          <w:rFonts w:ascii="Arial" w:eastAsia="仿宋_GB2312" w:hAnsi="Arial" w:cs="Arial"/>
          <w:sz w:val="28"/>
        </w:rPr>
        <w:t>（</w:t>
      </w:r>
      <w:r w:rsidR="002C3ABF" w:rsidRPr="00F631FB">
        <w:rPr>
          <w:rFonts w:ascii="Arial" w:eastAsia="仿宋_GB2312" w:hAnsi="Arial" w:cs="Arial"/>
          <w:sz w:val="28"/>
          <w:szCs w:val="28"/>
        </w:rPr>
        <w:t>根据《国有建设用地使用权出让地价评估委托书》确定</w:t>
      </w:r>
      <w:r w:rsidR="002C3ABF" w:rsidRPr="00F631FB">
        <w:rPr>
          <w:rFonts w:ascii="Arial" w:eastAsia="仿宋_GB2312" w:hAnsi="Arial" w:cs="Arial"/>
          <w:sz w:val="28"/>
        </w:rPr>
        <w:t>）</w:t>
      </w:r>
    </w:p>
    <w:p w14:paraId="67CA52D7" w14:textId="77777777" w:rsidR="002C3ABF" w:rsidRPr="00F631FB" w:rsidRDefault="002C3ABF" w:rsidP="002C3ABF">
      <w:pPr>
        <w:spacing w:line="360" w:lineRule="auto"/>
        <w:rPr>
          <w:rFonts w:ascii="Arial" w:eastAsia="仿宋_GB2312" w:hAnsi="Arial" w:cs="Arial"/>
          <w:b/>
          <w:bCs/>
          <w:sz w:val="28"/>
        </w:rPr>
      </w:pPr>
    </w:p>
    <w:p w14:paraId="57D8F1D3" w14:textId="77777777" w:rsidR="002C3ABF" w:rsidRPr="00F631FB" w:rsidRDefault="002C3ABF" w:rsidP="002C3ABF">
      <w:pPr>
        <w:spacing w:line="360" w:lineRule="auto"/>
        <w:outlineLvl w:val="1"/>
        <w:rPr>
          <w:rFonts w:ascii="Arial" w:eastAsia="仿宋_GB2312" w:hAnsi="Arial" w:cs="Arial"/>
          <w:b/>
          <w:bCs/>
          <w:sz w:val="28"/>
        </w:rPr>
      </w:pPr>
      <w:bookmarkStart w:id="209" w:name="_Toc469066156"/>
      <w:bookmarkStart w:id="210" w:name="_Toc515457808"/>
      <w:bookmarkStart w:id="211" w:name="_Toc516488186"/>
      <w:bookmarkStart w:id="212" w:name="_Toc524335091"/>
      <w:bookmarkStart w:id="213" w:name="_Toc66929518"/>
      <w:bookmarkStart w:id="214" w:name="_Toc69393393"/>
      <w:bookmarkStart w:id="215" w:name="_Toc416783575"/>
      <w:bookmarkStart w:id="216" w:name="_Toc416783671"/>
      <w:r w:rsidRPr="00F631FB">
        <w:rPr>
          <w:rFonts w:ascii="Arial" w:eastAsia="仿宋_GB2312" w:hAnsi="Arial" w:cs="Arial"/>
          <w:b/>
          <w:bCs/>
          <w:sz w:val="28"/>
        </w:rPr>
        <w:t>七、估价日期</w:t>
      </w:r>
      <w:bookmarkEnd w:id="209"/>
      <w:bookmarkEnd w:id="210"/>
      <w:bookmarkEnd w:id="211"/>
      <w:bookmarkEnd w:id="212"/>
      <w:bookmarkEnd w:id="213"/>
      <w:bookmarkEnd w:id="214"/>
    </w:p>
    <w:bookmarkEnd w:id="215"/>
    <w:bookmarkEnd w:id="216"/>
    <w:p w14:paraId="38C1FED3" w14:textId="1E7FBAF2" w:rsidR="002C3ABF" w:rsidRPr="00F631FB" w:rsidRDefault="00831261" w:rsidP="002C3ABF">
      <w:pPr>
        <w:spacing w:line="360" w:lineRule="auto"/>
        <w:ind w:firstLineChars="200" w:firstLine="560"/>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29</w:t>
      </w:r>
      <w:r>
        <w:rPr>
          <w:rFonts w:ascii="Arial" w:eastAsia="仿宋_GB2312" w:hAnsi="Arial" w:cs="Arial"/>
          <w:sz w:val="28"/>
        </w:rPr>
        <w:t>日</w:t>
      </w:r>
      <w:r w:rsidR="00FD249C" w:rsidRPr="00F631FB">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12</w:t>
      </w:r>
      <w:r>
        <w:rPr>
          <w:rFonts w:ascii="Arial" w:eastAsia="仿宋_GB2312" w:hAnsi="Arial" w:cs="Arial"/>
          <w:sz w:val="28"/>
        </w:rPr>
        <w:t>月</w:t>
      </w:r>
      <w:r>
        <w:rPr>
          <w:rFonts w:ascii="Arial" w:eastAsia="仿宋_GB2312" w:hAnsi="Arial" w:cs="Arial"/>
          <w:sz w:val="28"/>
        </w:rPr>
        <w:t>1</w:t>
      </w:r>
      <w:r>
        <w:rPr>
          <w:rFonts w:ascii="Arial" w:eastAsia="仿宋_GB2312" w:hAnsi="Arial" w:cs="Arial"/>
          <w:sz w:val="28"/>
        </w:rPr>
        <w:t>日</w:t>
      </w:r>
    </w:p>
    <w:p w14:paraId="0559AFF6" w14:textId="77777777" w:rsidR="002C3ABF" w:rsidRPr="00F631FB" w:rsidRDefault="002C3ABF" w:rsidP="002C3ABF">
      <w:pPr>
        <w:pStyle w:val="31"/>
        <w:spacing w:line="360" w:lineRule="auto"/>
        <w:ind w:left="1405" w:hangingChars="500" w:hanging="1405"/>
        <w:jc w:val="left"/>
        <w:rPr>
          <w:rFonts w:ascii="Arial" w:eastAsia="仿宋_GB2312" w:cs="Arial"/>
          <w:b/>
          <w:bCs/>
          <w:sz w:val="28"/>
        </w:rPr>
      </w:pPr>
    </w:p>
    <w:p w14:paraId="5CC01288" w14:textId="77777777" w:rsidR="002C3ABF" w:rsidRPr="00F631FB" w:rsidRDefault="002C3ABF" w:rsidP="002C3ABF">
      <w:pPr>
        <w:pStyle w:val="31"/>
        <w:spacing w:line="360" w:lineRule="auto"/>
        <w:ind w:left="1405" w:hangingChars="500" w:hanging="1405"/>
        <w:jc w:val="left"/>
        <w:outlineLvl w:val="1"/>
        <w:rPr>
          <w:rFonts w:ascii="Arial" w:eastAsia="仿宋_GB2312" w:cs="Arial"/>
          <w:b/>
          <w:bCs/>
          <w:sz w:val="28"/>
        </w:rPr>
      </w:pPr>
      <w:bookmarkStart w:id="217" w:name="_Toc469066157"/>
      <w:bookmarkStart w:id="218" w:name="_Toc515457809"/>
      <w:bookmarkStart w:id="219" w:name="_Toc516488187"/>
      <w:bookmarkStart w:id="220" w:name="_Toc524335092"/>
      <w:bookmarkStart w:id="221" w:name="_Toc66929519"/>
      <w:bookmarkStart w:id="222" w:name="_Toc69393394"/>
      <w:r w:rsidRPr="00F631FB">
        <w:rPr>
          <w:rFonts w:ascii="Arial" w:eastAsia="仿宋_GB2312" w:cs="Arial"/>
          <w:b/>
          <w:bCs/>
          <w:sz w:val="28"/>
        </w:rPr>
        <w:t>八、地价定义</w:t>
      </w:r>
      <w:bookmarkEnd w:id="217"/>
      <w:bookmarkEnd w:id="218"/>
      <w:bookmarkEnd w:id="219"/>
      <w:bookmarkEnd w:id="220"/>
      <w:bookmarkEnd w:id="221"/>
      <w:bookmarkEnd w:id="222"/>
    </w:p>
    <w:p w14:paraId="3DEC1A0A" w14:textId="77777777" w:rsidR="00E651D3" w:rsidRDefault="00E651D3" w:rsidP="00E651D3">
      <w:pPr>
        <w:snapToGrid w:val="0"/>
        <w:spacing w:line="360" w:lineRule="auto"/>
        <w:ind w:firstLine="556"/>
        <w:jc w:val="both"/>
        <w:rPr>
          <w:rFonts w:ascii="Arial" w:eastAsia="仿宋_GB2312" w:hAnsi="Arial" w:cs="Arial"/>
          <w:sz w:val="28"/>
        </w:rPr>
      </w:pPr>
      <w:r>
        <w:rPr>
          <w:rFonts w:ascii="Arial" w:eastAsia="仿宋_GB2312" w:hAnsi="Arial" w:cs="Arial" w:hint="eastAsia"/>
          <w:sz w:val="28"/>
        </w:rPr>
        <w:t>核定本项目应该缴纳的地价款，需评估估价对象的熟地价（</w:t>
      </w:r>
      <w:r>
        <w:rPr>
          <w:rFonts w:ascii="Arial" w:eastAsia="仿宋_GB2312" w:hAnsi="Arial" w:cs="Arial" w:hint="eastAsia"/>
          <w:sz w:val="28"/>
          <w:szCs w:val="28"/>
        </w:rPr>
        <w:t>正常市场价格</w:t>
      </w:r>
      <w:r>
        <w:rPr>
          <w:rFonts w:ascii="Arial" w:eastAsia="仿宋_GB2312" w:hAnsi="Arial" w:cs="Arial" w:hint="eastAsia"/>
          <w:sz w:val="28"/>
        </w:rPr>
        <w:t>）、</w:t>
      </w:r>
      <w:r>
        <w:rPr>
          <w:rFonts w:ascii="Arial" w:eastAsia="仿宋_GB2312" w:hAnsi="Arial" w:cs="Arial" w:hint="eastAsia"/>
          <w:sz w:val="28"/>
          <w:szCs w:val="28"/>
        </w:rPr>
        <w:t>政府土地出让收益、土地开发总成本。</w:t>
      </w:r>
    </w:p>
    <w:p w14:paraId="25AFCA93" w14:textId="77777777" w:rsidR="00E651D3" w:rsidRDefault="00E651D3" w:rsidP="00E651D3">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（一）</w:t>
      </w:r>
      <w:r>
        <w:rPr>
          <w:rFonts w:ascii="Arial" w:eastAsia="仿宋_GB2312" w:hAnsi="Arial" w:cs="Arial" w:hint="eastAsia"/>
          <w:sz w:val="28"/>
        </w:rPr>
        <w:t>熟地价（</w:t>
      </w:r>
      <w:r>
        <w:rPr>
          <w:rFonts w:ascii="Arial" w:eastAsia="仿宋_GB2312" w:hAnsi="Arial" w:cs="Arial" w:hint="eastAsia"/>
          <w:sz w:val="28"/>
          <w:szCs w:val="28"/>
        </w:rPr>
        <w:t>正常市场价格</w:t>
      </w:r>
      <w:r>
        <w:rPr>
          <w:rFonts w:ascii="Arial" w:eastAsia="仿宋_GB2312" w:hAnsi="Arial" w:cs="Arial" w:hint="eastAsia"/>
          <w:sz w:val="28"/>
        </w:rPr>
        <w:t>）</w:t>
      </w:r>
    </w:p>
    <w:p w14:paraId="63FB342E" w14:textId="77777777" w:rsidR="00E651D3" w:rsidRDefault="00E651D3" w:rsidP="00E651D3">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lastRenderedPageBreak/>
        <w:t>出让土地正常市场价格为设定开发建设条件下的完整国有建设用地使用权价格（即熟地价），对有关事项做出的设定及地价内涵如下：</w:t>
      </w:r>
    </w:p>
    <w:p w14:paraId="370DAD31" w14:textId="77777777" w:rsidR="00E651D3" w:rsidRDefault="00E651D3" w:rsidP="00E651D3">
      <w:pPr>
        <w:pStyle w:val="ae"/>
        <w:numPr>
          <w:ilvl w:val="0"/>
          <w:numId w:val="39"/>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土地用途设定：</w:t>
      </w:r>
    </w:p>
    <w:p w14:paraId="22B9FA88" w14:textId="77777777" w:rsidR="00E651D3" w:rsidRDefault="00E651D3" w:rsidP="00E651D3">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及其附图复印件、《土地权属审查告知书》</w:t>
      </w:r>
      <w:r>
        <w:rPr>
          <w:rFonts w:ascii="Arial" w:eastAsia="仿宋_GB2312" w:hAnsi="Arial" w:cs="Arial"/>
          <w:sz w:val="28"/>
        </w:rPr>
        <w:t>[</w:t>
      </w:r>
      <w:r>
        <w:rPr>
          <w:rFonts w:ascii="Arial" w:eastAsia="仿宋_GB2312" w:hAnsi="Arial" w:cs="Arial" w:hint="eastAsia"/>
          <w:sz w:val="28"/>
        </w:rPr>
        <w:t>编号：海权属审（</w:t>
      </w:r>
      <w:r>
        <w:rPr>
          <w:rFonts w:ascii="Arial" w:eastAsia="仿宋_GB2312" w:hAnsi="Arial" w:cs="Arial"/>
          <w:sz w:val="28"/>
        </w:rPr>
        <w:t>2021</w:t>
      </w:r>
      <w:r>
        <w:rPr>
          <w:rFonts w:ascii="Arial" w:eastAsia="仿宋_GB2312" w:hAnsi="Arial" w:cs="Arial" w:hint="eastAsia"/>
          <w:sz w:val="28"/>
        </w:rPr>
        <w:t>）字第</w:t>
      </w:r>
      <w:r>
        <w:rPr>
          <w:rFonts w:ascii="Arial" w:eastAsia="仿宋_GB2312" w:hAnsi="Arial" w:cs="Arial"/>
          <w:sz w:val="28"/>
        </w:rPr>
        <w:t>1268</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及其附表附图复印件</w:t>
      </w:r>
      <w:r>
        <w:rPr>
          <w:rFonts w:ascii="Arial" w:eastAsia="仿宋_GB2312" w:hAnsi="Arial" w:cs="Arial" w:hint="eastAsia"/>
          <w:sz w:val="28"/>
          <w:szCs w:val="28"/>
        </w:rPr>
        <w:t>，</w:t>
      </w:r>
      <w:r>
        <w:rPr>
          <w:rFonts w:ascii="Arial" w:eastAsia="仿宋_GB2312" w:hAnsi="Arial" w:cs="Arial" w:hint="eastAsia"/>
          <w:sz w:val="28"/>
        </w:rPr>
        <w:t>北京市海淀区苏州街站一体化棚户区改造一次性招标项目</w:t>
      </w:r>
      <w:r>
        <w:rPr>
          <w:rFonts w:ascii="Arial" w:eastAsia="仿宋_GB2312" w:hAnsi="Arial" w:cs="Arial" w:hint="eastAsia"/>
          <w:sz w:val="28"/>
          <w:szCs w:val="28"/>
        </w:rPr>
        <w:t>规划用途为</w:t>
      </w:r>
      <w:r>
        <w:rPr>
          <w:rFonts w:ascii="Arial" w:eastAsia="仿宋_GB2312" w:hAnsi="Arial" w:cs="Arial"/>
          <w:sz w:val="28"/>
          <w:szCs w:val="28"/>
        </w:rPr>
        <w:t>R2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r>
        <w:rPr>
          <w:rFonts w:ascii="Arial" w:eastAsia="仿宋_GB2312" w:hAnsi="Arial" w:cs="Arial"/>
          <w:sz w:val="28"/>
          <w:szCs w:val="28"/>
        </w:rPr>
        <w:t xml:space="preserve"> </w:t>
      </w:r>
    </w:p>
    <w:p w14:paraId="53CD030E" w14:textId="77777777" w:rsidR="00E651D3" w:rsidRDefault="00E651D3" w:rsidP="00E651D3">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及其附件复印件、《海淀区苏州街一体化棚户区改造项目建筑面积及用途的说明》及其附表，以及委托估价方在《国有建设用地使用权出让地价评估委托书》中明确，估价对象土地用途为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GB/T21010-2007</w:t>
      </w:r>
      <w:r>
        <w:rPr>
          <w:rFonts w:ascii="Arial" w:eastAsia="仿宋_GB2312" w:hAnsi="Arial" w:cs="Arial"/>
          <w:sz w:val="28"/>
          <w:szCs w:val="28"/>
        </w:rPr>
        <w:t>]</w:t>
      </w:r>
      <w:r>
        <w:rPr>
          <w:rFonts w:ascii="Arial" w:eastAsia="仿宋_GB2312" w:hAnsi="Arial" w:cs="Arial" w:hint="eastAsia"/>
          <w:sz w:val="28"/>
        </w:rPr>
        <w:t>、《北京市关于更新出让国有建设用地使用权基准地价的通知》</w:t>
      </w:r>
      <w:r>
        <w:rPr>
          <w:rFonts w:ascii="Arial" w:eastAsia="仿宋_GB2312" w:hAnsi="Arial" w:cs="Arial"/>
          <w:sz w:val="28"/>
          <w:szCs w:val="28"/>
        </w:rPr>
        <w:t>[</w:t>
      </w:r>
      <w:r>
        <w:rPr>
          <w:rFonts w:ascii="Arial" w:eastAsia="仿宋_GB2312" w:hAnsi="Arial" w:cs="Arial" w:hint="eastAsia"/>
          <w:sz w:val="28"/>
        </w:rPr>
        <w:t>京政发（</w:t>
      </w:r>
      <w:r>
        <w:rPr>
          <w:rFonts w:ascii="Arial" w:eastAsia="仿宋_GB2312" w:hAnsi="Arial" w:cs="Arial"/>
          <w:sz w:val="28"/>
        </w:rPr>
        <w:t>2014</w:t>
      </w:r>
      <w:r>
        <w:rPr>
          <w:rFonts w:ascii="Arial" w:eastAsia="仿宋_GB2312" w:hAnsi="Arial" w:cs="Arial" w:hint="eastAsia"/>
          <w:sz w:val="28"/>
        </w:rPr>
        <w:t>）</w:t>
      </w:r>
      <w:r>
        <w:rPr>
          <w:rFonts w:ascii="Arial" w:eastAsia="仿宋_GB2312" w:hAnsi="Arial" w:cs="Arial"/>
          <w:sz w:val="28"/>
        </w:rPr>
        <w:t>26</w:t>
      </w:r>
      <w:r>
        <w:rPr>
          <w:rFonts w:ascii="Arial" w:eastAsia="仿宋_GB2312" w:hAnsi="Arial" w:cs="Arial" w:hint="eastAsia"/>
          <w:sz w:val="28"/>
        </w:rPr>
        <w:t>号</w:t>
      </w:r>
      <w:r>
        <w:rPr>
          <w:rFonts w:ascii="Arial" w:eastAsia="仿宋_GB2312" w:hAnsi="Arial" w:cs="Arial"/>
          <w:sz w:val="28"/>
          <w:szCs w:val="28"/>
        </w:rPr>
        <w:t>]</w:t>
      </w:r>
      <w:r>
        <w:rPr>
          <w:rFonts w:ascii="Arial" w:eastAsia="仿宋_GB2312" w:hAnsi="Arial" w:cs="Arial" w:hint="eastAsia"/>
          <w:sz w:val="28"/>
          <w:szCs w:val="28"/>
        </w:rPr>
        <w:t>内容</w:t>
      </w:r>
      <w:r>
        <w:rPr>
          <w:rFonts w:ascii="Arial" w:eastAsia="仿宋_GB2312" w:hAnsi="Arial" w:cs="Arial" w:hint="eastAsia"/>
          <w:sz w:val="28"/>
        </w:rPr>
        <w:t>，此次估价设定估价对象用途为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w:t>
      </w:r>
    </w:p>
    <w:p w14:paraId="7AFB0D25" w14:textId="77777777" w:rsidR="00E651D3" w:rsidRDefault="00E651D3" w:rsidP="00E651D3">
      <w:pPr>
        <w:pStyle w:val="ae"/>
        <w:numPr>
          <w:ilvl w:val="0"/>
          <w:numId w:val="39"/>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土地使用权类型：</w:t>
      </w:r>
    </w:p>
    <w:p w14:paraId="0C343536"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及其附件、《土地权属审查告知书》</w:t>
      </w:r>
      <w:r>
        <w:rPr>
          <w:rFonts w:ascii="Arial" w:eastAsia="仿宋_GB2312" w:hAnsi="Arial" w:cs="Arial"/>
          <w:sz w:val="28"/>
        </w:rPr>
        <w:t>[</w:t>
      </w:r>
      <w:r>
        <w:rPr>
          <w:rFonts w:ascii="Arial" w:eastAsia="仿宋_GB2312" w:hAnsi="Arial" w:cs="Arial" w:hint="eastAsia"/>
          <w:sz w:val="28"/>
        </w:rPr>
        <w:t>编号：海权属审（</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hint="eastAsia"/>
          <w:sz w:val="28"/>
        </w:rPr>
        <w:lastRenderedPageBreak/>
        <w:t>字第</w:t>
      </w:r>
      <w:r>
        <w:rPr>
          <w:rFonts w:ascii="Arial" w:eastAsia="仿宋_GB2312" w:hAnsi="Arial" w:cs="Arial"/>
          <w:sz w:val="28"/>
        </w:rPr>
        <w:t>1268</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及其附表附图及《国有建设用地使用权出让地价评估委托书》，本次评估是为北京市规划和自然资源委员会办理该项目一次性招标出让手续提供参考依据，结合</w:t>
      </w:r>
      <w:r>
        <w:rPr>
          <w:rFonts w:ascii="Arial" w:eastAsia="仿宋_GB2312" w:hAnsi="Arial" w:cs="Arial" w:hint="eastAsia"/>
          <w:sz w:val="28"/>
          <w:szCs w:val="28"/>
        </w:rPr>
        <w:t>估价目的，设定估价对象土地使用权类型为出让。</w:t>
      </w:r>
      <w:r>
        <w:rPr>
          <w:rFonts w:ascii="Arial" w:eastAsia="仿宋_GB2312" w:hAnsi="Arial" w:cs="Arial"/>
          <w:sz w:val="28"/>
          <w:szCs w:val="28"/>
        </w:rPr>
        <w:t xml:space="preserve">    </w:t>
      </w:r>
    </w:p>
    <w:p w14:paraId="49EA1A54" w14:textId="77777777" w:rsidR="00E651D3" w:rsidRDefault="00E651D3" w:rsidP="00E651D3">
      <w:pPr>
        <w:pStyle w:val="ae"/>
        <w:numPr>
          <w:ilvl w:val="0"/>
          <w:numId w:val="39"/>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土地开发程度设定：</w:t>
      </w:r>
    </w:p>
    <w:p w14:paraId="3500EDD2"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根据《海淀区苏州街站一体化棚户区改造项目前期工作及拟改造土地使用权一次性招标方案》及其附件，要求市政基础设施条件最终达到“七通”（</w:t>
      </w:r>
      <w:r>
        <w:rPr>
          <w:rFonts w:ascii="Arial" w:eastAsia="仿宋_GB2312" w:hAnsi="Arial" w:cs="Arial" w:hint="eastAsia"/>
          <w:sz w:val="28"/>
          <w:szCs w:val="28"/>
        </w:rPr>
        <w:t>即通路、通电（管沟和电缆）、通讯、通上水（自来水、中水）、通下水（雨水、污水）、通燃气、通热</w:t>
      </w:r>
      <w:r>
        <w:rPr>
          <w:rFonts w:ascii="Arial" w:eastAsia="仿宋_GB2312" w:hAnsi="Arial" w:cs="Arial" w:hint="eastAsia"/>
          <w:sz w:val="28"/>
        </w:rPr>
        <w:t>），截至价值时点，</w:t>
      </w:r>
      <w:r>
        <w:rPr>
          <w:rFonts w:ascii="Arial" w:eastAsia="仿宋_GB2312" w:hAnsi="Arial" w:cs="Arial" w:hint="eastAsia"/>
          <w:sz w:val="28"/>
          <w:szCs w:val="28"/>
        </w:rPr>
        <w:t>宗地内建筑物正在进行结构施工。</w:t>
      </w:r>
      <w:r>
        <w:rPr>
          <w:rFonts w:ascii="Arial" w:eastAsia="仿宋_GB2312" w:hAnsi="Arial" w:cs="Arial" w:hint="eastAsia"/>
          <w:sz w:val="28"/>
        </w:rPr>
        <w:t>本次评估是为北京市规划和自然资源委员会办理该项目一次性招标出让手续提供参考依据，结合</w:t>
      </w:r>
      <w:r>
        <w:rPr>
          <w:rFonts w:ascii="Arial" w:eastAsia="仿宋_GB2312" w:hAnsi="Arial" w:cs="Arial" w:hint="eastAsia"/>
          <w:sz w:val="28"/>
          <w:szCs w:val="28"/>
        </w:rPr>
        <w:t>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七通</w:t>
      </w:r>
      <w:r>
        <w:rPr>
          <w:rFonts w:ascii="Arial" w:eastAsia="仿宋_GB2312" w:hAnsi="Arial" w:cs="Arial"/>
          <w:sz w:val="28"/>
          <w:szCs w:val="28"/>
        </w:rPr>
        <w:t>”</w:t>
      </w:r>
      <w:r>
        <w:rPr>
          <w:rFonts w:ascii="Arial" w:eastAsia="仿宋_GB2312" w:hAnsi="Arial" w:cs="Arial" w:hint="eastAsia"/>
          <w:sz w:val="28"/>
          <w:szCs w:val="28"/>
        </w:rPr>
        <w:t>（即通路、通电（管沟和电缆）、通讯、通上水（自来水、中水）、通下水（雨水、污水）、通燃气、通热），宗地内</w:t>
      </w:r>
      <w:r>
        <w:rPr>
          <w:rFonts w:ascii="Arial" w:eastAsia="仿宋_GB2312" w:hAnsi="Arial" w:cs="Arial"/>
          <w:sz w:val="28"/>
          <w:szCs w:val="28"/>
        </w:rPr>
        <w:t>“</w:t>
      </w:r>
      <w:r>
        <w:rPr>
          <w:rFonts w:ascii="Arial" w:eastAsia="仿宋_GB2312" w:hAnsi="Arial" w:cs="Arial" w:hint="eastAsia"/>
          <w:sz w:val="28"/>
          <w:szCs w:val="28"/>
        </w:rPr>
        <w:t>场地平整</w:t>
      </w:r>
      <w:r>
        <w:rPr>
          <w:rFonts w:ascii="Arial" w:eastAsia="仿宋_GB2312" w:hAnsi="Arial" w:cs="Arial"/>
          <w:sz w:val="28"/>
          <w:szCs w:val="28"/>
        </w:rPr>
        <w:t>”</w:t>
      </w:r>
      <w:r>
        <w:rPr>
          <w:rFonts w:ascii="Arial" w:eastAsia="仿宋_GB2312" w:hAnsi="Arial" w:cs="Arial" w:hint="eastAsia"/>
          <w:sz w:val="28"/>
          <w:szCs w:val="28"/>
        </w:rPr>
        <w:t>。</w:t>
      </w:r>
    </w:p>
    <w:p w14:paraId="7FB05AF1" w14:textId="77777777" w:rsidR="00E651D3" w:rsidRDefault="00E651D3" w:rsidP="00E651D3">
      <w:pPr>
        <w:pStyle w:val="ae"/>
        <w:numPr>
          <w:ilvl w:val="0"/>
          <w:numId w:val="39"/>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土地使用权年限设定：</w:t>
      </w:r>
    </w:p>
    <w:p w14:paraId="2B9DBE99" w14:textId="77777777" w:rsidR="00E651D3" w:rsidRDefault="00E651D3" w:rsidP="00E651D3">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w:t>
      </w:r>
      <w:r>
        <w:rPr>
          <w:rFonts w:ascii="Arial" w:eastAsia="仿宋_GB2312" w:hAnsi="Arial" w:cs="Arial" w:hint="eastAsia"/>
          <w:sz w:val="28"/>
          <w:szCs w:val="28"/>
        </w:rPr>
        <w:t>考虑到本次估价目的，根据《中华人民共和国城镇国有土地使用权出让和转让暂行条例》</w:t>
      </w:r>
      <w:r>
        <w:rPr>
          <w:rFonts w:ascii="Arial" w:eastAsia="仿宋_GB2312" w:hAnsi="Arial" w:cs="Arial"/>
          <w:sz w:val="28"/>
          <w:szCs w:val="28"/>
        </w:rPr>
        <w:t>[</w:t>
      </w:r>
      <w:r>
        <w:rPr>
          <w:rFonts w:ascii="Arial" w:eastAsia="仿宋_GB2312" w:hAnsi="Arial" w:cs="Arial" w:hint="eastAsia"/>
          <w:sz w:val="28"/>
          <w:szCs w:val="28"/>
        </w:rPr>
        <w:t>国务院令第</w:t>
      </w:r>
      <w:r>
        <w:rPr>
          <w:rFonts w:ascii="Arial" w:eastAsia="仿宋_GB2312" w:hAnsi="Arial" w:cs="Arial"/>
          <w:sz w:val="28"/>
          <w:szCs w:val="28"/>
        </w:rPr>
        <w:t>55</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的有关规定，本次评估设定土地使用年限为居住用途法定最高使用年限</w:t>
      </w:r>
      <w:r>
        <w:rPr>
          <w:rFonts w:ascii="Arial" w:eastAsia="仿宋_GB2312" w:hAnsi="Arial" w:cs="Arial"/>
          <w:sz w:val="28"/>
          <w:szCs w:val="28"/>
        </w:rPr>
        <w:t>70</w:t>
      </w:r>
      <w:r>
        <w:rPr>
          <w:rFonts w:ascii="Arial" w:eastAsia="仿宋_GB2312" w:hAnsi="Arial" w:cs="Arial" w:hint="eastAsia"/>
          <w:sz w:val="28"/>
          <w:szCs w:val="28"/>
        </w:rPr>
        <w:t>年、商业用途法定最高使用年限</w:t>
      </w:r>
      <w:r>
        <w:rPr>
          <w:rFonts w:ascii="Arial" w:eastAsia="仿宋_GB2312" w:hAnsi="Arial" w:cs="Arial"/>
          <w:sz w:val="28"/>
          <w:szCs w:val="28"/>
        </w:rPr>
        <w:t>40</w:t>
      </w:r>
      <w:r>
        <w:rPr>
          <w:rFonts w:ascii="Arial" w:eastAsia="仿宋_GB2312" w:hAnsi="Arial" w:cs="Arial" w:hint="eastAsia"/>
          <w:sz w:val="28"/>
          <w:szCs w:val="28"/>
        </w:rPr>
        <w:t>年、办公用途法定最高使用年限</w:t>
      </w:r>
      <w:r>
        <w:rPr>
          <w:rFonts w:ascii="Arial" w:eastAsia="仿宋_GB2312" w:hAnsi="Arial" w:cs="Arial"/>
          <w:sz w:val="28"/>
          <w:szCs w:val="28"/>
        </w:rPr>
        <w:t>50</w:t>
      </w:r>
      <w:r>
        <w:rPr>
          <w:rFonts w:ascii="Arial" w:eastAsia="仿宋_GB2312" w:hAnsi="Arial" w:cs="Arial" w:hint="eastAsia"/>
          <w:sz w:val="28"/>
          <w:szCs w:val="28"/>
        </w:rPr>
        <w:t>年、地下办公用途法定最高使用年限</w:t>
      </w:r>
      <w:r>
        <w:rPr>
          <w:rFonts w:ascii="Arial" w:eastAsia="仿宋_GB2312" w:hAnsi="Arial" w:cs="Arial"/>
          <w:sz w:val="28"/>
          <w:szCs w:val="28"/>
        </w:rPr>
        <w:t>50</w:t>
      </w:r>
      <w:r>
        <w:rPr>
          <w:rFonts w:ascii="Arial" w:eastAsia="仿宋_GB2312" w:hAnsi="Arial" w:cs="Arial" w:hint="eastAsia"/>
          <w:sz w:val="28"/>
          <w:szCs w:val="28"/>
        </w:rPr>
        <w:t>年、地下车库用途法定最高使用年限</w:t>
      </w:r>
      <w:r>
        <w:rPr>
          <w:rFonts w:ascii="Arial" w:eastAsia="仿宋_GB2312" w:hAnsi="Arial" w:cs="Arial"/>
          <w:sz w:val="28"/>
          <w:szCs w:val="28"/>
        </w:rPr>
        <w:t>50</w:t>
      </w:r>
      <w:r>
        <w:rPr>
          <w:rFonts w:ascii="Arial" w:eastAsia="仿宋_GB2312" w:hAnsi="Arial" w:cs="Arial" w:hint="eastAsia"/>
          <w:sz w:val="28"/>
          <w:szCs w:val="28"/>
        </w:rPr>
        <w:t>年。</w:t>
      </w:r>
    </w:p>
    <w:p w14:paraId="5DA5AE8D" w14:textId="77777777" w:rsidR="00E651D3" w:rsidRDefault="00E651D3" w:rsidP="00E651D3">
      <w:pPr>
        <w:pStyle w:val="ae"/>
        <w:numPr>
          <w:ilvl w:val="0"/>
          <w:numId w:val="39"/>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容积率设定：</w:t>
      </w:r>
    </w:p>
    <w:p w14:paraId="38262F30" w14:textId="77777777" w:rsidR="00E651D3"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 xml:space="preserve"> </w:t>
      </w:r>
      <w:r>
        <w:rPr>
          <w:rFonts w:ascii="Arial" w:eastAsia="仿宋_GB2312" w:hAnsi="Arial" w:cs="Arial" w:hint="eastAsia"/>
          <w:sz w:val="28"/>
          <w:szCs w:val="28"/>
        </w:rPr>
        <w:t>根据</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及其附图复印件、《海淀区苏州街一体化棚户区改造项目建筑面积及用途的说明》及其附表记载，估价对象总用地</w:t>
      </w:r>
      <w:r>
        <w:rPr>
          <w:rFonts w:ascii="Arial" w:eastAsia="仿宋_GB2312" w:hAnsi="Arial" w:cs="Arial" w:hint="eastAsia"/>
          <w:sz w:val="28"/>
        </w:rPr>
        <w:lastRenderedPageBreak/>
        <w:t>面积</w:t>
      </w:r>
      <w:r>
        <w:rPr>
          <w:rFonts w:ascii="Arial" w:eastAsia="仿宋_GB2312" w:hAnsi="Arial" w:cs="Arial"/>
          <w:sz w:val="28"/>
        </w:rPr>
        <w:t>6180.978</w:t>
      </w:r>
      <w:r>
        <w:rPr>
          <w:rFonts w:ascii="Arial" w:eastAsia="仿宋_GB2312" w:hAnsi="Arial" w:cs="Arial" w:hint="eastAsia"/>
          <w:sz w:val="28"/>
        </w:rPr>
        <w:t>平方米，均为建设用地。总规划建筑面积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。详见下表：</w:t>
      </w:r>
    </w:p>
    <w:p w14:paraId="08F39BF1" w14:textId="3271DB6D" w:rsidR="00A42F66"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14:paraId="54FBAE07" w14:textId="5650282F" w:rsidR="00E651D3"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rPr>
      </w:pPr>
    </w:p>
    <w:p w14:paraId="5C2268F1" w14:textId="2F20C589" w:rsidR="00E651D3"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rPr>
      </w:pPr>
    </w:p>
    <w:p w14:paraId="73333EBF" w14:textId="77777777" w:rsidR="00E651D3" w:rsidRDefault="00E651D3" w:rsidP="00E651D3">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b/>
          <w:bCs/>
          <w:szCs w:val="18"/>
        </w:rPr>
        <w:br w:type="page"/>
      </w:r>
    </w:p>
    <w:p w14:paraId="1601916D" w14:textId="0CA6B9D1" w:rsidR="00E651D3" w:rsidRPr="00090D86" w:rsidRDefault="00E651D3" w:rsidP="00E651D3">
      <w:pPr>
        <w:autoSpaceDE w:val="0"/>
        <w:autoSpaceDN w:val="0"/>
        <w:snapToGrid w:val="0"/>
        <w:spacing w:line="240" w:lineRule="auto"/>
        <w:jc w:val="center"/>
        <w:textAlignment w:val="bottom"/>
        <w:rPr>
          <w:rFonts w:ascii="Arial" w:eastAsia="仿宋_GB2312" w:hAnsi="Arial" w:cs="Arial"/>
          <w:b/>
          <w:bCs/>
          <w:szCs w:val="18"/>
        </w:rPr>
      </w:pPr>
      <w:r w:rsidRPr="00090D86">
        <w:rPr>
          <w:rFonts w:ascii="Arial" w:eastAsia="仿宋_GB2312" w:hAnsi="Arial" w:cs="Arial" w:hint="eastAsia"/>
          <w:b/>
          <w:bCs/>
          <w:szCs w:val="18"/>
        </w:rPr>
        <w:lastRenderedPageBreak/>
        <w:t>土地用途及建筑面积表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06"/>
        <w:gridCol w:w="1308"/>
        <w:gridCol w:w="2943"/>
        <w:gridCol w:w="2636"/>
      </w:tblGrid>
      <w:tr w:rsidR="00E651D3" w:rsidRPr="00F86D61" w14:paraId="13B5204E" w14:textId="77777777" w:rsidTr="00E906EE">
        <w:trPr>
          <w:trHeight w:val="632"/>
          <w:tblHeader/>
        </w:trPr>
        <w:tc>
          <w:tcPr>
            <w:tcW w:w="1371" w:type="pct"/>
            <w:gridSpan w:val="2"/>
            <w:shd w:val="clear" w:color="auto" w:fill="auto"/>
            <w:noWrap/>
            <w:vAlign w:val="center"/>
          </w:tcPr>
          <w:p w14:paraId="5534C92E"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位置</w:t>
            </w:r>
          </w:p>
        </w:tc>
        <w:tc>
          <w:tcPr>
            <w:tcW w:w="782" w:type="pct"/>
            <w:shd w:val="clear" w:color="auto" w:fill="auto"/>
            <w:noWrap/>
            <w:vAlign w:val="center"/>
          </w:tcPr>
          <w:p w14:paraId="6516C798"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用途</w:t>
            </w:r>
          </w:p>
        </w:tc>
        <w:tc>
          <w:tcPr>
            <w:tcW w:w="1662" w:type="pct"/>
            <w:shd w:val="clear" w:color="auto" w:fill="auto"/>
            <w:noWrap/>
            <w:vAlign w:val="center"/>
          </w:tcPr>
          <w:p w14:paraId="35F402E9"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分类</w:t>
            </w:r>
          </w:p>
        </w:tc>
        <w:tc>
          <w:tcPr>
            <w:tcW w:w="1185" w:type="pct"/>
            <w:shd w:val="clear" w:color="auto" w:fill="auto"/>
            <w:noWrap/>
            <w:vAlign w:val="center"/>
          </w:tcPr>
          <w:p w14:paraId="6D2085AD"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规划</w:t>
            </w:r>
            <w:r w:rsidRPr="00F86D61">
              <w:rPr>
                <w:rFonts w:ascii="Arial" w:eastAsia="仿宋_GB2312" w:hAnsi="Arial" w:cs="Arial" w:hint="eastAsia"/>
                <w:sz w:val="22"/>
                <w:szCs w:val="16"/>
              </w:rPr>
              <w:t>建筑面积（平方米）</w:t>
            </w:r>
          </w:p>
        </w:tc>
      </w:tr>
      <w:tr w:rsidR="00E651D3" w:rsidRPr="00F86D61" w14:paraId="25503003" w14:textId="77777777" w:rsidTr="00E906EE">
        <w:trPr>
          <w:trHeight w:val="345"/>
        </w:trPr>
        <w:tc>
          <w:tcPr>
            <w:tcW w:w="590" w:type="pct"/>
            <w:vMerge w:val="restart"/>
            <w:shd w:val="clear" w:color="auto" w:fill="auto"/>
            <w:noWrap/>
            <w:vAlign w:val="center"/>
            <w:hideMark/>
          </w:tcPr>
          <w:p w14:paraId="26A51DE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地上</w:t>
            </w:r>
            <w:r>
              <w:rPr>
                <w:rFonts w:ascii="Arial" w:eastAsia="仿宋_GB2312" w:hAnsi="Arial" w:cs="Arial" w:hint="eastAsia"/>
                <w:sz w:val="22"/>
                <w:szCs w:val="16"/>
              </w:rPr>
              <w:t>部分</w:t>
            </w:r>
          </w:p>
        </w:tc>
        <w:tc>
          <w:tcPr>
            <w:tcW w:w="781" w:type="pct"/>
            <w:vMerge w:val="restart"/>
            <w:vAlign w:val="center"/>
          </w:tcPr>
          <w:p w14:paraId="2778673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vMerge w:val="restart"/>
            <w:shd w:val="clear" w:color="auto" w:fill="auto"/>
            <w:noWrap/>
            <w:vAlign w:val="center"/>
            <w:hideMark/>
          </w:tcPr>
          <w:p w14:paraId="511D0D2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住宅</w:t>
            </w:r>
          </w:p>
        </w:tc>
        <w:tc>
          <w:tcPr>
            <w:tcW w:w="1662" w:type="pct"/>
            <w:shd w:val="clear" w:color="auto" w:fill="auto"/>
            <w:noWrap/>
            <w:vAlign w:val="center"/>
            <w:hideMark/>
          </w:tcPr>
          <w:p w14:paraId="628DD53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回迁安置房</w:t>
            </w:r>
          </w:p>
        </w:tc>
        <w:tc>
          <w:tcPr>
            <w:tcW w:w="1185" w:type="pct"/>
            <w:shd w:val="clear" w:color="auto" w:fill="auto"/>
            <w:noWrap/>
            <w:vAlign w:val="center"/>
            <w:hideMark/>
          </w:tcPr>
          <w:p w14:paraId="7639DFE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13920.98</w:t>
            </w:r>
          </w:p>
        </w:tc>
      </w:tr>
      <w:tr w:rsidR="00E651D3" w:rsidRPr="001D4423" w14:paraId="58FDE0A2" w14:textId="77777777" w:rsidTr="00E906EE">
        <w:trPr>
          <w:trHeight w:val="345"/>
        </w:trPr>
        <w:tc>
          <w:tcPr>
            <w:tcW w:w="590" w:type="pct"/>
            <w:vMerge/>
            <w:shd w:val="clear" w:color="auto" w:fill="auto"/>
            <w:vAlign w:val="center"/>
            <w:hideMark/>
          </w:tcPr>
          <w:p w14:paraId="104E9D7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32FB7E7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52EDFA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247471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w:t>
            </w:r>
          </w:p>
        </w:tc>
        <w:tc>
          <w:tcPr>
            <w:tcW w:w="1185" w:type="pct"/>
            <w:shd w:val="clear" w:color="auto" w:fill="auto"/>
            <w:noWrap/>
            <w:vAlign w:val="center"/>
            <w:hideMark/>
          </w:tcPr>
          <w:p w14:paraId="237EF80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13794.02</w:t>
            </w:r>
          </w:p>
        </w:tc>
      </w:tr>
      <w:tr w:rsidR="00E651D3" w:rsidRPr="001D4423" w14:paraId="0B52EC64" w14:textId="77777777" w:rsidTr="00E906EE">
        <w:trPr>
          <w:trHeight w:val="345"/>
        </w:trPr>
        <w:tc>
          <w:tcPr>
            <w:tcW w:w="590" w:type="pct"/>
            <w:vMerge/>
            <w:shd w:val="clear" w:color="auto" w:fill="auto"/>
            <w:vAlign w:val="center"/>
            <w:hideMark/>
          </w:tcPr>
          <w:p w14:paraId="1E9F9A9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BFB6B3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74D630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5EDC6D4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人防室外出入口及其他</w:t>
            </w:r>
          </w:p>
        </w:tc>
        <w:tc>
          <w:tcPr>
            <w:tcW w:w="1185" w:type="pct"/>
            <w:shd w:val="clear" w:color="auto" w:fill="auto"/>
            <w:noWrap/>
            <w:vAlign w:val="center"/>
            <w:hideMark/>
          </w:tcPr>
          <w:p w14:paraId="49598BB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w:t>
            </w:r>
          </w:p>
        </w:tc>
      </w:tr>
      <w:tr w:rsidR="00E651D3" w:rsidRPr="00F86D61" w14:paraId="67EFCD81" w14:textId="77777777" w:rsidTr="00E906EE">
        <w:trPr>
          <w:trHeight w:val="345"/>
        </w:trPr>
        <w:tc>
          <w:tcPr>
            <w:tcW w:w="590" w:type="pct"/>
            <w:vMerge/>
            <w:shd w:val="clear" w:color="auto" w:fill="auto"/>
            <w:vAlign w:val="center"/>
            <w:hideMark/>
          </w:tcPr>
          <w:p w14:paraId="07436F2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10CE9B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76DE4B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3DEB5FC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09C50F7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28075</w:t>
            </w:r>
          </w:p>
        </w:tc>
      </w:tr>
      <w:tr w:rsidR="00E651D3" w:rsidRPr="00F86D61" w14:paraId="35F7AD9B" w14:textId="77777777" w:rsidTr="00E906EE">
        <w:trPr>
          <w:trHeight w:val="345"/>
        </w:trPr>
        <w:tc>
          <w:tcPr>
            <w:tcW w:w="590" w:type="pct"/>
            <w:vMerge/>
            <w:shd w:val="clear" w:color="auto" w:fill="auto"/>
            <w:vAlign w:val="center"/>
            <w:hideMark/>
          </w:tcPr>
          <w:p w14:paraId="75ABB64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77DFCD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1759C5F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商业</w:t>
            </w:r>
          </w:p>
        </w:tc>
        <w:tc>
          <w:tcPr>
            <w:tcW w:w="1662" w:type="pct"/>
            <w:shd w:val="clear" w:color="auto" w:fill="auto"/>
            <w:vAlign w:val="center"/>
            <w:hideMark/>
          </w:tcPr>
          <w:p w14:paraId="6A0C198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w:t>
            </w:r>
            <w:proofErr w:type="gramStart"/>
            <w:r w:rsidRPr="001D4423">
              <w:rPr>
                <w:rFonts w:ascii="Arial" w:eastAsia="仿宋_GB2312" w:hAnsi="Arial" w:cs="Arial" w:hint="eastAsia"/>
                <w:sz w:val="22"/>
                <w:szCs w:val="16"/>
              </w:rPr>
              <w:t>房配套</w:t>
            </w:r>
            <w:proofErr w:type="gramEnd"/>
            <w:r w:rsidRPr="001D4423">
              <w:rPr>
                <w:rFonts w:ascii="Arial" w:eastAsia="仿宋_GB2312" w:hAnsi="Arial" w:cs="Arial" w:hint="eastAsia"/>
                <w:sz w:val="22"/>
                <w:szCs w:val="16"/>
              </w:rPr>
              <w:t>商业</w:t>
            </w:r>
          </w:p>
        </w:tc>
        <w:tc>
          <w:tcPr>
            <w:tcW w:w="1185" w:type="pct"/>
            <w:shd w:val="clear" w:color="auto" w:fill="auto"/>
            <w:noWrap/>
            <w:vAlign w:val="center"/>
            <w:hideMark/>
          </w:tcPr>
          <w:p w14:paraId="6D3C1B7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260</w:t>
            </w:r>
          </w:p>
        </w:tc>
      </w:tr>
      <w:tr w:rsidR="00E651D3" w:rsidRPr="00F86D61" w14:paraId="4F6FCFED" w14:textId="77777777" w:rsidTr="00E906EE">
        <w:trPr>
          <w:trHeight w:val="345"/>
        </w:trPr>
        <w:tc>
          <w:tcPr>
            <w:tcW w:w="590" w:type="pct"/>
            <w:vMerge/>
            <w:shd w:val="clear" w:color="auto" w:fill="auto"/>
            <w:vAlign w:val="center"/>
            <w:hideMark/>
          </w:tcPr>
          <w:p w14:paraId="79CBDE7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D2235D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4477BB4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4058E55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平衡资金商品房配套商业</w:t>
            </w:r>
          </w:p>
        </w:tc>
        <w:tc>
          <w:tcPr>
            <w:tcW w:w="1185" w:type="pct"/>
            <w:shd w:val="clear" w:color="auto" w:fill="auto"/>
            <w:noWrap/>
            <w:vAlign w:val="center"/>
            <w:hideMark/>
          </w:tcPr>
          <w:p w14:paraId="2D63242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3045</w:t>
            </w:r>
          </w:p>
        </w:tc>
      </w:tr>
      <w:tr w:rsidR="00E651D3" w:rsidRPr="00F86D61" w14:paraId="343BE29C" w14:textId="77777777" w:rsidTr="00E906EE">
        <w:trPr>
          <w:trHeight w:val="345"/>
        </w:trPr>
        <w:tc>
          <w:tcPr>
            <w:tcW w:w="590" w:type="pct"/>
            <w:vMerge/>
            <w:shd w:val="clear" w:color="auto" w:fill="auto"/>
            <w:vAlign w:val="center"/>
            <w:hideMark/>
          </w:tcPr>
          <w:p w14:paraId="0F88A16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7A57C6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2A2894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60787CE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小型商服</w:t>
            </w:r>
          </w:p>
        </w:tc>
        <w:tc>
          <w:tcPr>
            <w:tcW w:w="1185" w:type="pct"/>
            <w:shd w:val="clear" w:color="auto" w:fill="auto"/>
            <w:noWrap/>
            <w:vAlign w:val="center"/>
            <w:hideMark/>
          </w:tcPr>
          <w:p w14:paraId="095C47D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w:t>
            </w:r>
          </w:p>
        </w:tc>
      </w:tr>
      <w:tr w:rsidR="00E651D3" w:rsidRPr="00F86D61" w14:paraId="0D3377D7" w14:textId="77777777" w:rsidTr="00E906EE">
        <w:trPr>
          <w:trHeight w:val="345"/>
        </w:trPr>
        <w:tc>
          <w:tcPr>
            <w:tcW w:w="590" w:type="pct"/>
            <w:vMerge/>
            <w:shd w:val="clear" w:color="auto" w:fill="auto"/>
            <w:vAlign w:val="center"/>
            <w:hideMark/>
          </w:tcPr>
          <w:p w14:paraId="787151A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E56BC2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07DE6E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090F527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2BDB0AA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3318</w:t>
            </w:r>
          </w:p>
        </w:tc>
      </w:tr>
      <w:tr w:rsidR="00E651D3" w:rsidRPr="00F86D61" w14:paraId="680C013A" w14:textId="77777777" w:rsidTr="00E906EE">
        <w:trPr>
          <w:trHeight w:val="345"/>
        </w:trPr>
        <w:tc>
          <w:tcPr>
            <w:tcW w:w="590" w:type="pct"/>
            <w:vMerge/>
            <w:shd w:val="clear" w:color="auto" w:fill="auto"/>
            <w:vAlign w:val="center"/>
            <w:hideMark/>
          </w:tcPr>
          <w:p w14:paraId="0A89332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C7CDE1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6D60567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办公</w:t>
            </w:r>
          </w:p>
        </w:tc>
        <w:tc>
          <w:tcPr>
            <w:tcW w:w="1662" w:type="pct"/>
            <w:shd w:val="clear" w:color="auto" w:fill="auto"/>
            <w:vAlign w:val="center"/>
            <w:hideMark/>
          </w:tcPr>
          <w:p w14:paraId="23E3069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5780175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E651D3" w:rsidRPr="00F86D61" w14:paraId="3208ED14" w14:textId="77777777" w:rsidTr="00E906EE">
        <w:trPr>
          <w:trHeight w:val="345"/>
        </w:trPr>
        <w:tc>
          <w:tcPr>
            <w:tcW w:w="590" w:type="pct"/>
            <w:vMerge/>
            <w:shd w:val="clear" w:color="auto" w:fill="auto"/>
            <w:vAlign w:val="center"/>
            <w:hideMark/>
          </w:tcPr>
          <w:p w14:paraId="2F97F6B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3E1CDB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89D8E2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0F63D36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03B0D5D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E651D3" w:rsidRPr="00F86D61" w14:paraId="7137D85B" w14:textId="77777777" w:rsidTr="00E906EE">
        <w:trPr>
          <w:trHeight w:val="345"/>
        </w:trPr>
        <w:tc>
          <w:tcPr>
            <w:tcW w:w="590" w:type="pct"/>
            <w:vMerge/>
            <w:shd w:val="clear" w:color="auto" w:fill="auto"/>
            <w:vAlign w:val="center"/>
            <w:hideMark/>
          </w:tcPr>
          <w:p w14:paraId="1B7BECC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C37B0A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7F8134D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1AD4CFE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31511</w:t>
            </w:r>
          </w:p>
        </w:tc>
      </w:tr>
      <w:tr w:rsidR="00E651D3" w:rsidRPr="00F86D61" w14:paraId="158C3229" w14:textId="77777777" w:rsidTr="00E906EE">
        <w:trPr>
          <w:trHeight w:val="345"/>
        </w:trPr>
        <w:tc>
          <w:tcPr>
            <w:tcW w:w="590" w:type="pct"/>
            <w:vMerge w:val="restart"/>
            <w:shd w:val="clear" w:color="auto" w:fill="auto"/>
            <w:noWrap/>
            <w:vAlign w:val="center"/>
            <w:hideMark/>
          </w:tcPr>
          <w:p w14:paraId="0674114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w:t>
            </w:r>
            <w:r>
              <w:rPr>
                <w:rFonts w:ascii="Arial" w:eastAsia="仿宋_GB2312" w:hAnsi="Arial" w:cs="Arial" w:hint="eastAsia"/>
                <w:sz w:val="22"/>
                <w:szCs w:val="16"/>
              </w:rPr>
              <w:t>部分</w:t>
            </w:r>
          </w:p>
        </w:tc>
        <w:tc>
          <w:tcPr>
            <w:tcW w:w="781" w:type="pct"/>
            <w:vMerge w:val="restart"/>
            <w:vAlign w:val="center"/>
          </w:tcPr>
          <w:p w14:paraId="2DC85C5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shd w:val="clear" w:color="auto" w:fill="auto"/>
            <w:vAlign w:val="center"/>
            <w:hideMark/>
          </w:tcPr>
          <w:p w14:paraId="7A8C27C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地下办公</w:t>
            </w:r>
          </w:p>
        </w:tc>
        <w:tc>
          <w:tcPr>
            <w:tcW w:w="1662" w:type="pct"/>
            <w:shd w:val="clear" w:color="auto" w:fill="auto"/>
            <w:vAlign w:val="center"/>
            <w:hideMark/>
          </w:tcPr>
          <w:p w14:paraId="6DDE44B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02FF41C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32</w:t>
            </w:r>
          </w:p>
        </w:tc>
      </w:tr>
      <w:tr w:rsidR="00E651D3" w:rsidRPr="00F86D61" w14:paraId="27C1DD1A" w14:textId="77777777" w:rsidTr="00E906EE">
        <w:trPr>
          <w:trHeight w:val="345"/>
        </w:trPr>
        <w:tc>
          <w:tcPr>
            <w:tcW w:w="590" w:type="pct"/>
            <w:vMerge/>
            <w:shd w:val="clear" w:color="auto" w:fill="auto"/>
            <w:vAlign w:val="center"/>
            <w:hideMark/>
          </w:tcPr>
          <w:p w14:paraId="3E6D1CD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AF7918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0697082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地下车库</w:t>
            </w:r>
          </w:p>
        </w:tc>
        <w:tc>
          <w:tcPr>
            <w:tcW w:w="1662" w:type="pct"/>
            <w:shd w:val="clear" w:color="auto" w:fill="auto"/>
            <w:vAlign w:val="center"/>
            <w:hideMark/>
          </w:tcPr>
          <w:p w14:paraId="6B21138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汽车库</w:t>
            </w:r>
          </w:p>
        </w:tc>
        <w:tc>
          <w:tcPr>
            <w:tcW w:w="1185" w:type="pct"/>
            <w:shd w:val="clear" w:color="auto" w:fill="auto"/>
            <w:noWrap/>
            <w:vAlign w:val="center"/>
            <w:hideMark/>
          </w:tcPr>
          <w:p w14:paraId="6EF77EA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10345.02</w:t>
            </w:r>
          </w:p>
        </w:tc>
      </w:tr>
      <w:tr w:rsidR="00E651D3" w:rsidRPr="00F86D61" w14:paraId="3D2D8EAB" w14:textId="77777777" w:rsidTr="00E906EE">
        <w:trPr>
          <w:trHeight w:val="345"/>
        </w:trPr>
        <w:tc>
          <w:tcPr>
            <w:tcW w:w="590" w:type="pct"/>
            <w:vMerge/>
            <w:shd w:val="clear" w:color="auto" w:fill="auto"/>
            <w:vAlign w:val="center"/>
            <w:hideMark/>
          </w:tcPr>
          <w:p w14:paraId="534BF69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restart"/>
            <w:vAlign w:val="center"/>
          </w:tcPr>
          <w:p w14:paraId="244048B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不出让</w:t>
            </w:r>
          </w:p>
        </w:tc>
        <w:tc>
          <w:tcPr>
            <w:tcW w:w="782" w:type="pct"/>
            <w:shd w:val="clear" w:color="auto" w:fill="auto"/>
            <w:vAlign w:val="center"/>
            <w:hideMark/>
          </w:tcPr>
          <w:p w14:paraId="513254F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662" w:type="pct"/>
            <w:shd w:val="clear" w:color="auto" w:fill="auto"/>
            <w:vAlign w:val="center"/>
            <w:hideMark/>
          </w:tcPr>
          <w:p w14:paraId="12F37D2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185" w:type="pct"/>
            <w:shd w:val="clear" w:color="auto" w:fill="auto"/>
            <w:noWrap/>
            <w:vAlign w:val="center"/>
            <w:hideMark/>
          </w:tcPr>
          <w:p w14:paraId="2215E63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227</w:t>
            </w:r>
          </w:p>
        </w:tc>
      </w:tr>
      <w:tr w:rsidR="00E651D3" w:rsidRPr="00F86D61" w14:paraId="2A10EA07" w14:textId="77777777" w:rsidTr="00E906EE">
        <w:trPr>
          <w:trHeight w:val="345"/>
        </w:trPr>
        <w:tc>
          <w:tcPr>
            <w:tcW w:w="590" w:type="pct"/>
            <w:vMerge/>
            <w:shd w:val="clear" w:color="auto" w:fill="auto"/>
            <w:vAlign w:val="center"/>
            <w:hideMark/>
          </w:tcPr>
          <w:p w14:paraId="17C702E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8C7F88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3A96BA0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662" w:type="pct"/>
            <w:shd w:val="clear" w:color="auto" w:fill="auto"/>
            <w:vAlign w:val="center"/>
            <w:hideMark/>
          </w:tcPr>
          <w:p w14:paraId="436C382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185" w:type="pct"/>
            <w:shd w:val="clear" w:color="auto" w:fill="auto"/>
            <w:noWrap/>
            <w:vAlign w:val="center"/>
            <w:hideMark/>
          </w:tcPr>
          <w:p w14:paraId="29B1EE5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3600.98</w:t>
            </w:r>
          </w:p>
        </w:tc>
      </w:tr>
      <w:tr w:rsidR="00E651D3" w:rsidRPr="00F86D61" w14:paraId="42E33EB3" w14:textId="77777777" w:rsidTr="00E906EE">
        <w:trPr>
          <w:trHeight w:val="345"/>
        </w:trPr>
        <w:tc>
          <w:tcPr>
            <w:tcW w:w="590" w:type="pct"/>
            <w:vMerge/>
            <w:shd w:val="clear" w:color="auto" w:fill="auto"/>
            <w:vAlign w:val="center"/>
            <w:hideMark/>
          </w:tcPr>
          <w:p w14:paraId="65EEDC6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789DDF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vAlign w:val="center"/>
            <w:hideMark/>
          </w:tcPr>
          <w:p w14:paraId="1F152D5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非经营性用途</w:t>
            </w:r>
          </w:p>
        </w:tc>
        <w:tc>
          <w:tcPr>
            <w:tcW w:w="1662" w:type="pct"/>
            <w:shd w:val="clear" w:color="auto" w:fill="auto"/>
            <w:vAlign w:val="center"/>
            <w:hideMark/>
          </w:tcPr>
          <w:p w14:paraId="0A78351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室内覆盖系统机房</w:t>
            </w:r>
          </w:p>
        </w:tc>
        <w:tc>
          <w:tcPr>
            <w:tcW w:w="1185" w:type="pct"/>
            <w:shd w:val="clear" w:color="auto" w:fill="auto"/>
            <w:noWrap/>
            <w:vAlign w:val="center"/>
            <w:hideMark/>
          </w:tcPr>
          <w:p w14:paraId="4098D9A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E651D3" w:rsidRPr="001D4423" w14:paraId="1D64BCD4" w14:textId="77777777" w:rsidTr="00E906EE">
        <w:trPr>
          <w:trHeight w:val="345"/>
        </w:trPr>
        <w:tc>
          <w:tcPr>
            <w:tcW w:w="590" w:type="pct"/>
            <w:vMerge/>
            <w:shd w:val="clear" w:color="auto" w:fill="auto"/>
            <w:vAlign w:val="center"/>
            <w:hideMark/>
          </w:tcPr>
          <w:p w14:paraId="22E9411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97367B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B5FFA6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7C16307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固定通信设备间</w:t>
            </w:r>
          </w:p>
        </w:tc>
        <w:tc>
          <w:tcPr>
            <w:tcW w:w="1185" w:type="pct"/>
            <w:shd w:val="clear" w:color="auto" w:fill="auto"/>
            <w:noWrap/>
            <w:vAlign w:val="center"/>
            <w:hideMark/>
          </w:tcPr>
          <w:p w14:paraId="7A4E000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E651D3" w:rsidRPr="001D4423" w14:paraId="4910A4C7" w14:textId="77777777" w:rsidTr="00E906EE">
        <w:trPr>
          <w:trHeight w:val="345"/>
        </w:trPr>
        <w:tc>
          <w:tcPr>
            <w:tcW w:w="590" w:type="pct"/>
            <w:vMerge/>
            <w:shd w:val="clear" w:color="auto" w:fill="auto"/>
            <w:vAlign w:val="center"/>
            <w:hideMark/>
          </w:tcPr>
          <w:p w14:paraId="3CACDD3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EAF7CC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D5259B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1B48E4F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有线电视光电转换间</w:t>
            </w:r>
          </w:p>
        </w:tc>
        <w:tc>
          <w:tcPr>
            <w:tcW w:w="1185" w:type="pct"/>
            <w:shd w:val="clear" w:color="auto" w:fill="auto"/>
            <w:noWrap/>
            <w:vAlign w:val="center"/>
            <w:hideMark/>
          </w:tcPr>
          <w:p w14:paraId="56850B5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w:t>
            </w:r>
          </w:p>
        </w:tc>
      </w:tr>
      <w:tr w:rsidR="00E651D3" w:rsidRPr="001D4423" w14:paraId="53FA0656" w14:textId="77777777" w:rsidTr="00E906EE">
        <w:trPr>
          <w:trHeight w:val="345"/>
        </w:trPr>
        <w:tc>
          <w:tcPr>
            <w:tcW w:w="590" w:type="pct"/>
            <w:vMerge/>
            <w:shd w:val="clear" w:color="auto" w:fill="auto"/>
            <w:vAlign w:val="center"/>
            <w:hideMark/>
          </w:tcPr>
          <w:p w14:paraId="1E8E4B8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3F4165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60AE0F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7A64AB1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配电室</w:t>
            </w:r>
          </w:p>
        </w:tc>
        <w:tc>
          <w:tcPr>
            <w:tcW w:w="1185" w:type="pct"/>
            <w:shd w:val="clear" w:color="auto" w:fill="auto"/>
            <w:noWrap/>
            <w:vAlign w:val="center"/>
            <w:hideMark/>
          </w:tcPr>
          <w:p w14:paraId="0304388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180</w:t>
            </w:r>
          </w:p>
        </w:tc>
      </w:tr>
      <w:tr w:rsidR="00E651D3" w:rsidRPr="001D4423" w14:paraId="49F3CCED" w14:textId="77777777" w:rsidTr="00E906EE">
        <w:trPr>
          <w:trHeight w:val="345"/>
        </w:trPr>
        <w:tc>
          <w:tcPr>
            <w:tcW w:w="590" w:type="pct"/>
            <w:vMerge/>
            <w:shd w:val="clear" w:color="auto" w:fill="auto"/>
            <w:vAlign w:val="center"/>
            <w:hideMark/>
          </w:tcPr>
          <w:p w14:paraId="39D1E2E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3FB1B6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357039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0C31115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热力站</w:t>
            </w:r>
          </w:p>
        </w:tc>
        <w:tc>
          <w:tcPr>
            <w:tcW w:w="1185" w:type="pct"/>
            <w:shd w:val="clear" w:color="auto" w:fill="auto"/>
            <w:noWrap/>
            <w:vAlign w:val="center"/>
            <w:hideMark/>
          </w:tcPr>
          <w:p w14:paraId="517328D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200</w:t>
            </w:r>
          </w:p>
        </w:tc>
      </w:tr>
      <w:tr w:rsidR="00E651D3" w:rsidRPr="001D4423" w14:paraId="09B05395" w14:textId="77777777" w:rsidTr="00E906EE">
        <w:trPr>
          <w:trHeight w:val="345"/>
        </w:trPr>
        <w:tc>
          <w:tcPr>
            <w:tcW w:w="590" w:type="pct"/>
            <w:vMerge/>
            <w:shd w:val="clear" w:color="auto" w:fill="auto"/>
            <w:vAlign w:val="center"/>
            <w:hideMark/>
          </w:tcPr>
          <w:p w14:paraId="290978B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B69BFE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2F4DC0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16AB1A1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设备用房</w:t>
            </w:r>
          </w:p>
        </w:tc>
        <w:tc>
          <w:tcPr>
            <w:tcW w:w="1185" w:type="pct"/>
            <w:shd w:val="clear" w:color="auto" w:fill="auto"/>
            <w:noWrap/>
            <w:vAlign w:val="center"/>
            <w:hideMark/>
          </w:tcPr>
          <w:p w14:paraId="3D15D59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661</w:t>
            </w:r>
          </w:p>
        </w:tc>
      </w:tr>
      <w:tr w:rsidR="00E651D3" w:rsidRPr="00F86D61" w14:paraId="3DADF3A2" w14:textId="77777777" w:rsidTr="00E906EE">
        <w:trPr>
          <w:trHeight w:val="345"/>
        </w:trPr>
        <w:tc>
          <w:tcPr>
            <w:tcW w:w="590" w:type="pct"/>
            <w:vMerge/>
            <w:shd w:val="clear" w:color="auto" w:fill="auto"/>
            <w:vAlign w:val="center"/>
            <w:hideMark/>
          </w:tcPr>
          <w:p w14:paraId="4C833E6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1FE46B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2EADA8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36CD576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7E9F3B2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1077</w:t>
            </w:r>
          </w:p>
        </w:tc>
      </w:tr>
      <w:tr w:rsidR="00E651D3" w:rsidRPr="00F86D61" w14:paraId="145F549A" w14:textId="77777777" w:rsidTr="00E906EE">
        <w:trPr>
          <w:trHeight w:val="345"/>
        </w:trPr>
        <w:tc>
          <w:tcPr>
            <w:tcW w:w="590" w:type="pct"/>
            <w:vMerge/>
            <w:shd w:val="clear" w:color="auto" w:fill="auto"/>
            <w:vAlign w:val="center"/>
            <w:hideMark/>
          </w:tcPr>
          <w:p w14:paraId="5568500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Align w:val="center"/>
          </w:tcPr>
          <w:p w14:paraId="1DD26BD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2C7FEE6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42E989F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15282</w:t>
            </w:r>
          </w:p>
        </w:tc>
      </w:tr>
      <w:tr w:rsidR="00E651D3" w:rsidRPr="00F86D61" w14:paraId="3EB4A7DF" w14:textId="77777777" w:rsidTr="00E906EE">
        <w:trPr>
          <w:trHeight w:val="345"/>
        </w:trPr>
        <w:tc>
          <w:tcPr>
            <w:tcW w:w="590" w:type="pct"/>
            <w:shd w:val="clear" w:color="auto" w:fill="auto"/>
            <w:noWrap/>
            <w:vAlign w:val="center"/>
            <w:hideMark/>
          </w:tcPr>
          <w:p w14:paraId="283D596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总计</w:t>
            </w:r>
          </w:p>
        </w:tc>
        <w:tc>
          <w:tcPr>
            <w:tcW w:w="781" w:type="pct"/>
            <w:vAlign w:val="center"/>
          </w:tcPr>
          <w:p w14:paraId="549CC7B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hideMark/>
          </w:tcPr>
          <w:p w14:paraId="1DA6DA3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w:t>
            </w:r>
          </w:p>
        </w:tc>
        <w:tc>
          <w:tcPr>
            <w:tcW w:w="1185" w:type="pct"/>
            <w:shd w:val="clear" w:color="auto" w:fill="auto"/>
            <w:noWrap/>
            <w:vAlign w:val="center"/>
            <w:hideMark/>
          </w:tcPr>
          <w:p w14:paraId="250EAAA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46793</w:t>
            </w:r>
          </w:p>
        </w:tc>
      </w:tr>
      <w:tr w:rsidR="00E651D3" w:rsidRPr="00F86D61" w14:paraId="4506A550" w14:textId="77777777" w:rsidTr="00E906EE">
        <w:trPr>
          <w:trHeight w:val="345"/>
        </w:trPr>
        <w:tc>
          <w:tcPr>
            <w:tcW w:w="590" w:type="pct"/>
            <w:shd w:val="clear" w:color="auto" w:fill="auto"/>
            <w:noWrap/>
            <w:vAlign w:val="center"/>
          </w:tcPr>
          <w:p w14:paraId="3398F77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0E5B82AE"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67B101E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总用地面积</w:t>
            </w:r>
          </w:p>
        </w:tc>
        <w:tc>
          <w:tcPr>
            <w:tcW w:w="1185" w:type="pct"/>
            <w:shd w:val="clear" w:color="auto" w:fill="auto"/>
            <w:noWrap/>
            <w:vAlign w:val="center"/>
          </w:tcPr>
          <w:p w14:paraId="0CA22F8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6180.978</w:t>
            </w:r>
          </w:p>
        </w:tc>
      </w:tr>
      <w:tr w:rsidR="00E651D3" w:rsidRPr="00F86D61" w14:paraId="33A65A9D" w14:textId="77777777" w:rsidTr="00E906EE">
        <w:trPr>
          <w:trHeight w:val="345"/>
        </w:trPr>
        <w:tc>
          <w:tcPr>
            <w:tcW w:w="590" w:type="pct"/>
            <w:shd w:val="clear" w:color="auto" w:fill="auto"/>
            <w:noWrap/>
            <w:vAlign w:val="center"/>
          </w:tcPr>
          <w:p w14:paraId="2B00C24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572A244A" w14:textId="77777777" w:rsidR="00E651D3"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06BF067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容积率</w:t>
            </w:r>
          </w:p>
        </w:tc>
        <w:tc>
          <w:tcPr>
            <w:tcW w:w="1185" w:type="pct"/>
            <w:shd w:val="clear" w:color="auto" w:fill="auto"/>
            <w:noWrap/>
            <w:vAlign w:val="center"/>
          </w:tcPr>
          <w:p w14:paraId="69671BE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5</w:t>
            </w:r>
            <w:r>
              <w:rPr>
                <w:rFonts w:ascii="Arial" w:eastAsia="仿宋_GB2312" w:hAnsi="Arial" w:cs="Arial"/>
                <w:sz w:val="22"/>
                <w:szCs w:val="16"/>
              </w:rPr>
              <w:t>.10</w:t>
            </w:r>
          </w:p>
        </w:tc>
      </w:tr>
    </w:tbl>
    <w:p w14:paraId="0FEF0FE1" w14:textId="77777777" w:rsidR="00E651D3" w:rsidRPr="00F631FB" w:rsidRDefault="00E651D3" w:rsidP="00E651D3">
      <w:pPr>
        <w:pStyle w:val="ae"/>
        <w:numPr>
          <w:ilvl w:val="0"/>
          <w:numId w:val="40"/>
        </w:numPr>
        <w:adjustRightInd/>
        <w:snapToGrid w:val="0"/>
        <w:spacing w:beforeLines="100" w:before="240"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地价内涵：</w:t>
      </w:r>
    </w:p>
    <w:p w14:paraId="6140F238" w14:textId="77777777" w:rsidR="00E651D3" w:rsidRPr="001D4423"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15</w:t>
      </w:r>
      <w:r>
        <w:rPr>
          <w:rFonts w:ascii="Arial" w:eastAsia="仿宋_GB2312" w:hAnsi="Arial" w:cs="Arial" w:hint="eastAsia"/>
          <w:sz w:val="28"/>
          <w:szCs w:val="28"/>
        </w:rPr>
        <w:t>日，在北京市基准地价居住类二级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区片、商业类三级</w:t>
      </w:r>
      <w:r>
        <w:rPr>
          <w:rFonts w:ascii="微软雅黑" w:eastAsia="微软雅黑" w:hAnsi="微软雅黑" w:cs="Arial" w:hint="eastAsia"/>
          <w:sz w:val="28"/>
          <w:szCs w:val="28"/>
        </w:rPr>
        <w:t>Ⅲ</w:t>
      </w:r>
      <w:r>
        <w:rPr>
          <w:rFonts w:ascii="Arial" w:eastAsia="仿宋_GB2312" w:hAnsi="Arial" w:cs="Arial"/>
          <w:sz w:val="28"/>
          <w:szCs w:val="28"/>
        </w:rPr>
        <w:t>-06</w:t>
      </w:r>
      <w:r>
        <w:rPr>
          <w:rFonts w:ascii="Arial" w:eastAsia="仿宋_GB2312" w:hAnsi="Arial" w:cs="Arial" w:hint="eastAsia"/>
          <w:sz w:val="28"/>
          <w:szCs w:val="28"/>
        </w:rPr>
        <w:t>区片、办公类二级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区片地价区内，评估设定土地使用权类型为出让；设定开发程度为宗地外</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七通</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（即通路、通电（管沟和电缆）、通讯、通上水（自来水、中水）、通下水（雨水、污水）、通燃气、通热），宗地内</w:t>
      </w:r>
      <w:r>
        <w:rPr>
          <w:rFonts w:ascii="Arial" w:eastAsia="仿宋_GB2312" w:hAnsi="Arial" w:cs="Arial"/>
          <w:sz w:val="28"/>
          <w:szCs w:val="28"/>
        </w:rPr>
        <w:t>“</w:t>
      </w:r>
      <w:r>
        <w:rPr>
          <w:rFonts w:ascii="Arial" w:eastAsia="仿宋_GB2312" w:hAnsi="Arial" w:cs="Arial" w:hint="eastAsia"/>
          <w:sz w:val="28"/>
          <w:szCs w:val="28"/>
        </w:rPr>
        <w:t>场地平整</w:t>
      </w:r>
      <w:r>
        <w:rPr>
          <w:rFonts w:ascii="Arial" w:eastAsia="仿宋_GB2312" w:hAnsi="Arial" w:cs="Arial"/>
          <w:sz w:val="28"/>
          <w:szCs w:val="28"/>
        </w:rPr>
        <w:t>”</w:t>
      </w:r>
      <w:r>
        <w:rPr>
          <w:rFonts w:ascii="Arial" w:eastAsia="仿宋_GB2312" w:hAnsi="Arial" w:cs="Arial" w:hint="eastAsia"/>
          <w:sz w:val="28"/>
          <w:szCs w:val="28"/>
        </w:rPr>
        <w:t>；设定土地用途为</w:t>
      </w:r>
      <w:r>
        <w:rPr>
          <w:rFonts w:ascii="Arial" w:eastAsia="仿宋_GB2312" w:hAnsi="Arial" w:cs="Arial" w:hint="eastAsia"/>
          <w:sz w:val="28"/>
          <w:szCs w:val="28"/>
        </w:rPr>
        <w:lastRenderedPageBreak/>
        <w:t>住宅、商业、办公、地下办公、地下车库；地上容积率为</w:t>
      </w:r>
      <w:r>
        <w:rPr>
          <w:rFonts w:ascii="Arial" w:eastAsia="仿宋_GB2312" w:hAnsi="Arial" w:cs="Arial"/>
          <w:sz w:val="28"/>
          <w:szCs w:val="28"/>
        </w:rPr>
        <w:t>5.10</w:t>
      </w:r>
      <w:r>
        <w:rPr>
          <w:rFonts w:ascii="Arial" w:eastAsia="仿宋_GB2312" w:hAnsi="Arial" w:cs="Arial" w:hint="eastAsia"/>
          <w:sz w:val="28"/>
          <w:szCs w:val="28"/>
        </w:rPr>
        <w:t>，地上住宅</w:t>
      </w:r>
      <w:r>
        <w:rPr>
          <w:rFonts w:ascii="Arial" w:eastAsia="仿宋_GB2312" w:hAnsi="Arial" w:cs="Arial"/>
          <w:sz w:val="28"/>
          <w:szCs w:val="28"/>
        </w:rPr>
        <w:t>70</w:t>
      </w:r>
      <w:r>
        <w:rPr>
          <w:rFonts w:ascii="Arial" w:eastAsia="仿宋_GB2312" w:hAnsi="Arial" w:cs="Arial" w:hint="eastAsia"/>
          <w:sz w:val="28"/>
          <w:szCs w:val="28"/>
        </w:rPr>
        <w:t>年，地上商业</w:t>
      </w:r>
      <w:r>
        <w:rPr>
          <w:rFonts w:ascii="Arial" w:eastAsia="仿宋_GB2312" w:hAnsi="Arial" w:cs="Arial"/>
          <w:sz w:val="28"/>
          <w:szCs w:val="28"/>
        </w:rPr>
        <w:t>40</w:t>
      </w:r>
      <w:r>
        <w:rPr>
          <w:rFonts w:ascii="Arial" w:eastAsia="仿宋_GB2312" w:hAnsi="Arial" w:cs="Arial" w:hint="eastAsia"/>
          <w:sz w:val="28"/>
          <w:szCs w:val="28"/>
        </w:rPr>
        <w:t>年，地上办公</w:t>
      </w:r>
      <w:r>
        <w:rPr>
          <w:rFonts w:ascii="Arial" w:eastAsia="仿宋_GB2312" w:hAnsi="Arial" w:cs="Arial"/>
          <w:sz w:val="28"/>
          <w:szCs w:val="28"/>
        </w:rPr>
        <w:t>50</w:t>
      </w:r>
      <w:r>
        <w:rPr>
          <w:rFonts w:ascii="Arial" w:eastAsia="仿宋_GB2312" w:hAnsi="Arial" w:cs="Arial" w:hint="eastAsia"/>
          <w:sz w:val="28"/>
          <w:szCs w:val="28"/>
        </w:rPr>
        <w:t>年、地下办公</w:t>
      </w:r>
      <w:r>
        <w:rPr>
          <w:rFonts w:ascii="Arial" w:eastAsia="仿宋_GB2312" w:hAnsi="Arial" w:cs="Arial"/>
          <w:sz w:val="28"/>
          <w:szCs w:val="28"/>
        </w:rPr>
        <w:t>50</w:t>
      </w:r>
      <w:r>
        <w:rPr>
          <w:rFonts w:ascii="Arial" w:eastAsia="仿宋_GB2312" w:hAnsi="Arial" w:cs="Arial" w:hint="eastAsia"/>
          <w:sz w:val="28"/>
          <w:szCs w:val="28"/>
        </w:rPr>
        <w:t>年、地下车库</w:t>
      </w:r>
      <w:r>
        <w:rPr>
          <w:rFonts w:ascii="Arial" w:eastAsia="仿宋_GB2312" w:hAnsi="Arial" w:cs="Arial"/>
          <w:sz w:val="28"/>
          <w:szCs w:val="28"/>
        </w:rPr>
        <w:t>50</w:t>
      </w:r>
      <w:r>
        <w:rPr>
          <w:rFonts w:ascii="Arial" w:eastAsia="仿宋_GB2312" w:hAnsi="Arial" w:cs="Arial" w:hint="eastAsia"/>
          <w:sz w:val="28"/>
          <w:szCs w:val="28"/>
        </w:rPr>
        <w:t>年于设定条件下完整的国有建设用地使用权价格，即出让土地使用权的正常市场价格。</w:t>
      </w:r>
    </w:p>
    <w:p w14:paraId="1746E666" w14:textId="77777777" w:rsidR="00E651D3" w:rsidRPr="00E651D3"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rPr>
      </w:pPr>
    </w:p>
    <w:p w14:paraId="752ED99C" w14:textId="77777777" w:rsidR="00503BBF" w:rsidRPr="00F631FB" w:rsidRDefault="00503BBF" w:rsidP="002C3ABF">
      <w:pPr>
        <w:pStyle w:val="11"/>
        <w:rPr>
          <w:rFonts w:ascii="Arial" w:hAnsi="Arial" w:cs="Arial"/>
        </w:rPr>
      </w:pPr>
    </w:p>
    <w:p w14:paraId="0864A561" w14:textId="77777777" w:rsidR="00FD249C" w:rsidRDefault="00FD249C" w:rsidP="002C3ABF">
      <w:pPr>
        <w:spacing w:line="360" w:lineRule="auto"/>
        <w:jc w:val="both"/>
        <w:outlineLvl w:val="1"/>
        <w:rPr>
          <w:rFonts w:ascii="Arial" w:eastAsia="仿宋_GB2312" w:hAnsi="Arial" w:cs="Arial"/>
          <w:b/>
          <w:sz w:val="28"/>
        </w:rPr>
      </w:pPr>
      <w:bookmarkStart w:id="223" w:name="_Toc516488188"/>
      <w:bookmarkStart w:id="224" w:name="_Toc469066158"/>
      <w:bookmarkStart w:id="225" w:name="_Toc515457810"/>
      <w:bookmarkStart w:id="226" w:name="_Toc416783672"/>
      <w:bookmarkStart w:id="227" w:name="_Toc416783576"/>
      <w:bookmarkStart w:id="228" w:name="_Toc524335093"/>
      <w:bookmarkStart w:id="229" w:name="_Toc66929520"/>
      <w:bookmarkStart w:id="230" w:name="_Toc69393395"/>
      <w:r>
        <w:rPr>
          <w:rFonts w:ascii="Arial" w:eastAsia="仿宋_GB2312" w:hAnsi="Arial" w:cs="Arial"/>
          <w:b/>
          <w:sz w:val="28"/>
        </w:rPr>
        <w:br w:type="page"/>
      </w:r>
    </w:p>
    <w:p w14:paraId="215F3A13" w14:textId="47CFC27A" w:rsidR="002C3ABF" w:rsidRPr="00F631FB" w:rsidRDefault="002C3ABF" w:rsidP="002C3ABF">
      <w:pPr>
        <w:spacing w:line="360" w:lineRule="auto"/>
        <w:jc w:val="both"/>
        <w:outlineLvl w:val="1"/>
        <w:rPr>
          <w:rFonts w:ascii="Arial" w:eastAsia="仿宋_GB2312" w:hAnsi="Arial" w:cs="Arial"/>
          <w:sz w:val="28"/>
        </w:rPr>
      </w:pPr>
      <w:r w:rsidRPr="00F631FB">
        <w:rPr>
          <w:rFonts w:ascii="Arial" w:eastAsia="仿宋_GB2312" w:hAnsi="Arial" w:cs="Arial"/>
          <w:b/>
          <w:sz w:val="28"/>
        </w:rPr>
        <w:lastRenderedPageBreak/>
        <w:t>九、估价结果</w:t>
      </w:r>
      <w:bookmarkEnd w:id="223"/>
      <w:bookmarkEnd w:id="224"/>
      <w:bookmarkEnd w:id="225"/>
      <w:bookmarkEnd w:id="226"/>
      <w:bookmarkEnd w:id="227"/>
      <w:bookmarkEnd w:id="228"/>
      <w:bookmarkEnd w:id="229"/>
      <w:bookmarkEnd w:id="230"/>
    </w:p>
    <w:p w14:paraId="4DB4BA92" w14:textId="77777777" w:rsidR="00E651D3" w:rsidRDefault="00E651D3" w:rsidP="00E651D3">
      <w:pPr>
        <w:spacing w:line="360" w:lineRule="auto"/>
        <w:ind w:firstLineChars="200" w:firstLine="560"/>
        <w:jc w:val="both"/>
        <w:rPr>
          <w:rFonts w:ascii="Arial" w:eastAsia="仿宋_GB2312" w:hAnsi="Arial" w:cs="Arial"/>
          <w:sz w:val="28"/>
        </w:rPr>
      </w:pPr>
      <w:bookmarkStart w:id="231" w:name="_Toc416783676"/>
      <w:bookmarkStart w:id="232" w:name="_Toc416783580"/>
      <w:r w:rsidRPr="00F631FB">
        <w:rPr>
          <w:rFonts w:ascii="Arial" w:eastAsia="仿宋_GB2312" w:hAnsi="Arial" w:cs="Arial"/>
          <w:kern w:val="2"/>
          <w:sz w:val="28"/>
        </w:rPr>
        <w:t>评估专业人员根据估价的目的，按照估价的程序，采用科学的估价方法（剩余法、基准地价系数修正法和</w:t>
      </w:r>
      <w:r w:rsidRPr="00F631FB">
        <w:rPr>
          <w:rFonts w:ascii="Arial" w:eastAsia="仿宋_GB2312" w:hAnsi="Arial" w:cs="Arial"/>
          <w:sz w:val="28"/>
        </w:rPr>
        <w:t>市场比较法</w:t>
      </w:r>
      <w:r w:rsidRPr="00F631FB">
        <w:rPr>
          <w:rFonts w:ascii="Arial" w:eastAsia="仿宋_GB2312" w:hAnsi="Arial" w:cs="Arial"/>
          <w:kern w:val="2"/>
          <w:sz w:val="28"/>
        </w:rPr>
        <w:t>），在认真分析现有资料的基础上，通过仔细测算和认真分析各种影响</w:t>
      </w:r>
      <w:r w:rsidRPr="00F631FB">
        <w:rPr>
          <w:rFonts w:ascii="Arial" w:eastAsia="仿宋_GB2312" w:hAnsi="Arial" w:cs="Arial"/>
          <w:sz w:val="28"/>
        </w:rPr>
        <w:t>土地</w:t>
      </w:r>
      <w:r w:rsidRPr="00F631FB">
        <w:rPr>
          <w:rFonts w:ascii="Arial" w:eastAsia="仿宋_GB2312" w:hAnsi="Arial" w:cs="Arial"/>
          <w:kern w:val="2"/>
          <w:sz w:val="28"/>
        </w:rPr>
        <w:t>价格的因素，确定</w:t>
      </w:r>
      <w:r w:rsidRPr="00F631FB">
        <w:rPr>
          <w:rFonts w:ascii="Arial" w:eastAsia="仿宋_GB2312" w:hAnsi="Arial" w:cs="Arial"/>
          <w:sz w:val="28"/>
        </w:rPr>
        <w:t>估价对象于估价期日的出让国有建设用地使用权评估价格为（币种：人民币）：</w:t>
      </w:r>
    </w:p>
    <w:p w14:paraId="29664CA8" w14:textId="77777777" w:rsidR="00E651D3" w:rsidRDefault="00E651D3" w:rsidP="00E651D3">
      <w:pPr>
        <w:snapToGrid w:val="0"/>
        <w:ind w:firstLine="556"/>
        <w:rPr>
          <w:rFonts w:ascii="Arial" w:eastAsia="仿宋_GB2312" w:hAnsi="Arial" w:cs="Arial"/>
          <w:b/>
          <w:sz w:val="28"/>
          <w:szCs w:val="28"/>
        </w:rPr>
      </w:pPr>
      <w:r w:rsidRPr="00AF4CFE">
        <w:rPr>
          <w:rFonts w:ascii="Arial" w:eastAsia="仿宋_GB2312" w:hAnsi="Arial" w:cs="Arial"/>
          <w:b/>
          <w:sz w:val="28"/>
          <w:szCs w:val="28"/>
        </w:rPr>
        <w:sym w:font="Wingdings 2" w:char="F0C3"/>
      </w:r>
      <w:r w:rsidRPr="00AF4CFE">
        <w:rPr>
          <w:rFonts w:ascii="Arial" w:eastAsia="仿宋_GB2312" w:hAnsi="Arial" w:cs="Arial"/>
          <w:b/>
          <w:sz w:val="28"/>
          <w:szCs w:val="28"/>
        </w:rPr>
        <w:t xml:space="preserve"> </w:t>
      </w:r>
      <w:r w:rsidRPr="00AF4CFE">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1123"/>
        <w:gridCol w:w="1844"/>
        <w:gridCol w:w="1844"/>
        <w:gridCol w:w="2124"/>
        <w:gridCol w:w="2349"/>
      </w:tblGrid>
      <w:tr w:rsidR="00E651D3" w:rsidRPr="006C526D" w14:paraId="468F111D" w14:textId="77777777" w:rsidTr="00E906EE">
        <w:trPr>
          <w:trHeight w:val="720"/>
          <w:jc w:val="center"/>
        </w:trPr>
        <w:tc>
          <w:tcPr>
            <w:tcW w:w="605"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549785CC"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部位</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4C8DC"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A9362"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出让建筑面积</w:t>
            </w:r>
          </w:p>
          <w:p w14:paraId="26851349" w14:textId="77777777" w:rsidR="00E651D3" w:rsidRPr="006C526D" w:rsidRDefault="00E651D3" w:rsidP="00E906EE">
            <w:pPr>
              <w:spacing w:line="240" w:lineRule="auto"/>
              <w:jc w:val="center"/>
              <w:rPr>
                <w:rFonts w:ascii="Arial" w:eastAsia="仿宋_GB2312" w:hAnsi="Arial" w:cs="Arial"/>
                <w:b/>
                <w:bCs/>
                <w:sz w:val="22"/>
                <w:szCs w:val="16"/>
              </w:rPr>
            </w:pPr>
            <w:r w:rsidRPr="006C526D">
              <w:rPr>
                <w:rFonts w:ascii="Arial" w:eastAsia="仿宋_GB2312" w:hAnsi="Arial" w:cs="Arial" w:hint="eastAsia"/>
                <w:b/>
                <w:bCs/>
                <w:sz w:val="22"/>
                <w:szCs w:val="16"/>
              </w:rPr>
              <w:t>（</w:t>
            </w:r>
            <w:r w:rsidRPr="006C526D">
              <w:rPr>
                <w:rFonts w:ascii="Segoe UI Emoji" w:eastAsia="Segoe UI Emoji" w:hAnsi="Segoe UI Emoji" w:cs="Segoe UI Emoji" w:hint="eastAsia"/>
                <w:b/>
                <w:bCs/>
                <w:sz w:val="22"/>
                <w:szCs w:val="16"/>
              </w:rPr>
              <w:t>㎡</w:t>
            </w:r>
            <w:r w:rsidRPr="006C526D">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19496"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楼面熟地单价</w:t>
            </w:r>
          </w:p>
          <w:p w14:paraId="20EE19C2" w14:textId="77777777" w:rsidR="00E651D3" w:rsidRPr="006C526D" w:rsidRDefault="00E651D3" w:rsidP="00E906EE">
            <w:pPr>
              <w:spacing w:line="240" w:lineRule="auto"/>
              <w:jc w:val="center"/>
              <w:rPr>
                <w:rFonts w:ascii="Arial" w:eastAsia="仿宋_GB2312" w:hAnsi="Arial" w:cs="Arial"/>
                <w:b/>
                <w:bCs/>
                <w:sz w:val="22"/>
                <w:szCs w:val="16"/>
              </w:rPr>
            </w:pPr>
            <w:r w:rsidRPr="006C526D">
              <w:rPr>
                <w:rFonts w:ascii="Arial" w:eastAsia="仿宋_GB2312" w:hAnsi="Arial" w:cs="Arial" w:hint="eastAsia"/>
                <w:b/>
                <w:bCs/>
                <w:sz w:val="22"/>
                <w:szCs w:val="16"/>
              </w:rPr>
              <w:t>（元</w:t>
            </w:r>
            <w:r w:rsidRPr="006C526D">
              <w:rPr>
                <w:rFonts w:ascii="Arial" w:eastAsia="仿宋_GB2312" w:hAnsi="Arial" w:cs="Arial" w:hint="eastAsia"/>
                <w:b/>
                <w:bCs/>
                <w:sz w:val="22"/>
                <w:szCs w:val="16"/>
              </w:rPr>
              <w:t>/</w:t>
            </w:r>
            <w:r w:rsidRPr="006C526D">
              <w:rPr>
                <w:rFonts w:ascii="Segoe UI Emoji" w:eastAsia="Segoe UI Emoji" w:hAnsi="Segoe UI Emoji" w:cs="Segoe UI Emoji" w:hint="eastAsia"/>
                <w:b/>
                <w:bCs/>
                <w:sz w:val="22"/>
                <w:szCs w:val="16"/>
              </w:rPr>
              <w:t>㎡</w:t>
            </w:r>
            <w:r w:rsidRPr="006C526D">
              <w:rPr>
                <w:rFonts w:ascii="Arial" w:eastAsia="仿宋_GB2312" w:hAnsi="Arial" w:cs="Arial"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EE417"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熟地总价</w:t>
            </w:r>
          </w:p>
          <w:p w14:paraId="78614488"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w:t>
            </w:r>
            <w:r w:rsidRPr="006C526D">
              <w:rPr>
                <w:rFonts w:ascii="Arial" w:eastAsia="仿宋_GB2312" w:hAnsi="Arial" w:cs="Arial" w:hint="eastAsia"/>
                <w:b/>
                <w:bCs/>
                <w:sz w:val="22"/>
                <w:szCs w:val="16"/>
              </w:rPr>
              <w:t>万元）</w:t>
            </w:r>
          </w:p>
        </w:tc>
      </w:tr>
      <w:tr w:rsidR="00E651D3" w:rsidRPr="006C526D" w14:paraId="5188BE86" w14:textId="77777777" w:rsidTr="00E906EE">
        <w:trPr>
          <w:trHeight w:val="420"/>
          <w:jc w:val="center"/>
        </w:trPr>
        <w:tc>
          <w:tcPr>
            <w:tcW w:w="605" w:type="pct"/>
            <w:vMerge w:val="restart"/>
            <w:tcBorders>
              <w:top w:val="nil"/>
              <w:left w:val="single" w:sz="8" w:space="0" w:color="auto"/>
              <w:bottom w:val="single" w:sz="8" w:space="0" w:color="auto"/>
              <w:right w:val="single" w:sz="8" w:space="0" w:color="auto"/>
            </w:tcBorders>
            <w:shd w:val="clear" w:color="auto" w:fill="auto"/>
            <w:vAlign w:val="center"/>
            <w:hideMark/>
          </w:tcPr>
          <w:p w14:paraId="79905B2D"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地上</w:t>
            </w:r>
          </w:p>
        </w:tc>
        <w:tc>
          <w:tcPr>
            <w:tcW w:w="993" w:type="pct"/>
            <w:tcBorders>
              <w:top w:val="single" w:sz="4" w:space="0" w:color="auto"/>
              <w:left w:val="nil"/>
              <w:bottom w:val="single" w:sz="8" w:space="0" w:color="auto"/>
              <w:right w:val="single" w:sz="8" w:space="0" w:color="auto"/>
            </w:tcBorders>
            <w:shd w:val="clear" w:color="auto" w:fill="auto"/>
            <w:vAlign w:val="center"/>
            <w:hideMark/>
          </w:tcPr>
          <w:p w14:paraId="3206BECA"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住宅</w:t>
            </w:r>
          </w:p>
        </w:tc>
        <w:tc>
          <w:tcPr>
            <w:tcW w:w="993" w:type="pct"/>
            <w:tcBorders>
              <w:top w:val="single" w:sz="4" w:space="0" w:color="auto"/>
              <w:left w:val="nil"/>
              <w:bottom w:val="single" w:sz="8" w:space="0" w:color="auto"/>
              <w:right w:val="single" w:sz="8" w:space="0" w:color="auto"/>
            </w:tcBorders>
            <w:shd w:val="clear" w:color="auto" w:fill="auto"/>
            <w:vAlign w:val="center"/>
            <w:hideMark/>
          </w:tcPr>
          <w:p w14:paraId="47D22585" w14:textId="77777777" w:rsidR="00E651D3" w:rsidRPr="006C526D" w:rsidRDefault="00E651D3"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28075</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63F64CDC" w14:textId="48C8A7C4" w:rsidR="00E651D3"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79598</w:t>
            </w:r>
            <w:r w:rsidR="00E651D3" w:rsidRPr="003C48EF">
              <w:rPr>
                <w:rFonts w:ascii="Arial" w:eastAsia="仿宋_GB2312" w:hAnsi="Arial" w:cs="Arial"/>
                <w:sz w:val="22"/>
                <w:szCs w:val="16"/>
              </w:rPr>
              <w:t xml:space="preserve"> </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7AEF8330" w14:textId="1B063B3F" w:rsidR="00E651D3"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223471.3850</w:t>
            </w:r>
          </w:p>
        </w:tc>
      </w:tr>
      <w:tr w:rsidR="00E651D3" w:rsidRPr="006C526D" w14:paraId="4A768B69"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0601FEB6"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15955267"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商业</w:t>
            </w:r>
          </w:p>
        </w:tc>
        <w:tc>
          <w:tcPr>
            <w:tcW w:w="993" w:type="pct"/>
            <w:tcBorders>
              <w:top w:val="nil"/>
              <w:left w:val="nil"/>
              <w:bottom w:val="single" w:sz="8" w:space="0" w:color="auto"/>
              <w:right w:val="single" w:sz="8" w:space="0" w:color="auto"/>
            </w:tcBorders>
            <w:shd w:val="clear" w:color="auto" w:fill="auto"/>
            <w:vAlign w:val="center"/>
            <w:hideMark/>
          </w:tcPr>
          <w:p w14:paraId="1C86FB6F" w14:textId="77777777" w:rsidR="00E651D3" w:rsidRPr="006C526D" w:rsidRDefault="00E651D3"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3318</w:t>
            </w:r>
          </w:p>
        </w:tc>
        <w:tc>
          <w:tcPr>
            <w:tcW w:w="1144" w:type="pct"/>
            <w:tcBorders>
              <w:top w:val="nil"/>
              <w:left w:val="nil"/>
              <w:bottom w:val="single" w:sz="8" w:space="0" w:color="auto"/>
              <w:right w:val="single" w:sz="8" w:space="0" w:color="auto"/>
            </w:tcBorders>
            <w:shd w:val="clear" w:color="auto" w:fill="auto"/>
            <w:vAlign w:val="center"/>
            <w:hideMark/>
          </w:tcPr>
          <w:p w14:paraId="016885C7" w14:textId="13990A43" w:rsidR="00E651D3"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30853</w:t>
            </w:r>
            <w:r w:rsidR="00E651D3"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21E0DC77" w14:textId="57679EAA" w:rsidR="00E651D3"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10237.0254</w:t>
            </w:r>
          </w:p>
        </w:tc>
      </w:tr>
      <w:tr w:rsidR="00E651D3" w:rsidRPr="006C526D" w14:paraId="2871768C"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40CF19BE"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641B610B"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办公</w:t>
            </w:r>
          </w:p>
        </w:tc>
        <w:tc>
          <w:tcPr>
            <w:tcW w:w="993" w:type="pct"/>
            <w:tcBorders>
              <w:top w:val="nil"/>
              <w:left w:val="nil"/>
              <w:bottom w:val="single" w:sz="8" w:space="0" w:color="auto"/>
              <w:right w:val="single" w:sz="8" w:space="0" w:color="auto"/>
            </w:tcBorders>
            <w:shd w:val="clear" w:color="auto" w:fill="auto"/>
            <w:vAlign w:val="center"/>
            <w:hideMark/>
          </w:tcPr>
          <w:p w14:paraId="0966C6BB" w14:textId="77777777" w:rsidR="00E651D3" w:rsidRPr="006C526D" w:rsidRDefault="00E651D3"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118</w:t>
            </w:r>
          </w:p>
        </w:tc>
        <w:tc>
          <w:tcPr>
            <w:tcW w:w="1144" w:type="pct"/>
            <w:tcBorders>
              <w:top w:val="nil"/>
              <w:left w:val="nil"/>
              <w:bottom w:val="single" w:sz="8" w:space="0" w:color="auto"/>
              <w:right w:val="single" w:sz="8" w:space="0" w:color="auto"/>
            </w:tcBorders>
            <w:shd w:val="clear" w:color="auto" w:fill="auto"/>
            <w:vAlign w:val="center"/>
            <w:hideMark/>
          </w:tcPr>
          <w:p w14:paraId="46E29E58" w14:textId="771C5758" w:rsidR="00E651D3"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30708</w:t>
            </w:r>
            <w:r w:rsidR="00E651D3"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7EE16876" w14:textId="1AA6A953" w:rsidR="00E651D3"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362.3544</w:t>
            </w:r>
          </w:p>
        </w:tc>
      </w:tr>
      <w:tr w:rsidR="00E651D3" w:rsidRPr="006C526D" w14:paraId="266F07ED"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23DDA01E"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08546EC7"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小计</w:t>
            </w:r>
          </w:p>
        </w:tc>
        <w:tc>
          <w:tcPr>
            <w:tcW w:w="993" w:type="pct"/>
            <w:tcBorders>
              <w:top w:val="nil"/>
              <w:left w:val="nil"/>
              <w:bottom w:val="single" w:sz="8" w:space="0" w:color="auto"/>
              <w:right w:val="single" w:sz="8" w:space="0" w:color="auto"/>
            </w:tcBorders>
            <w:shd w:val="clear" w:color="auto" w:fill="auto"/>
            <w:vAlign w:val="center"/>
            <w:hideMark/>
          </w:tcPr>
          <w:p w14:paraId="2A2A6D89" w14:textId="77777777" w:rsidR="00E651D3" w:rsidRPr="003C48EF" w:rsidRDefault="00E651D3"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31511</w:t>
            </w:r>
          </w:p>
        </w:tc>
        <w:tc>
          <w:tcPr>
            <w:tcW w:w="1144" w:type="pct"/>
            <w:tcBorders>
              <w:top w:val="nil"/>
              <w:left w:val="nil"/>
              <w:bottom w:val="single" w:sz="8" w:space="0" w:color="auto"/>
              <w:right w:val="single" w:sz="8" w:space="0" w:color="auto"/>
            </w:tcBorders>
            <w:shd w:val="clear" w:color="auto" w:fill="auto"/>
            <w:vAlign w:val="center"/>
            <w:hideMark/>
          </w:tcPr>
          <w:p w14:paraId="38B8DED0" w14:textId="77777777" w:rsidR="00E651D3" w:rsidRPr="003C48EF" w:rsidRDefault="00E651D3"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27489453" w14:textId="064A6A02" w:rsidR="00E651D3" w:rsidRPr="003C48EF" w:rsidRDefault="000B7D55"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234070.7648</w:t>
            </w:r>
          </w:p>
        </w:tc>
      </w:tr>
      <w:tr w:rsidR="00E651D3" w:rsidRPr="006C526D" w14:paraId="66E171D6" w14:textId="77777777" w:rsidTr="00E906EE">
        <w:trPr>
          <w:trHeight w:val="420"/>
          <w:jc w:val="center"/>
        </w:trPr>
        <w:tc>
          <w:tcPr>
            <w:tcW w:w="605" w:type="pct"/>
            <w:vMerge w:val="restart"/>
            <w:tcBorders>
              <w:top w:val="nil"/>
              <w:left w:val="single" w:sz="8" w:space="0" w:color="auto"/>
              <w:bottom w:val="single" w:sz="8" w:space="0" w:color="auto"/>
              <w:right w:val="single" w:sz="8" w:space="0" w:color="auto"/>
            </w:tcBorders>
            <w:shd w:val="clear" w:color="auto" w:fill="auto"/>
            <w:vAlign w:val="center"/>
            <w:hideMark/>
          </w:tcPr>
          <w:p w14:paraId="0C8FC56D"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w:t>
            </w:r>
          </w:p>
        </w:tc>
        <w:tc>
          <w:tcPr>
            <w:tcW w:w="993" w:type="pct"/>
            <w:tcBorders>
              <w:top w:val="nil"/>
              <w:left w:val="nil"/>
              <w:bottom w:val="single" w:sz="8" w:space="0" w:color="auto"/>
              <w:right w:val="single" w:sz="8" w:space="0" w:color="auto"/>
            </w:tcBorders>
            <w:shd w:val="clear" w:color="auto" w:fill="auto"/>
            <w:vAlign w:val="center"/>
            <w:hideMark/>
          </w:tcPr>
          <w:p w14:paraId="02958E2A"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地下办公</w:t>
            </w:r>
          </w:p>
        </w:tc>
        <w:tc>
          <w:tcPr>
            <w:tcW w:w="993" w:type="pct"/>
            <w:tcBorders>
              <w:top w:val="nil"/>
              <w:left w:val="nil"/>
              <w:bottom w:val="single" w:sz="8" w:space="0" w:color="auto"/>
              <w:right w:val="single" w:sz="8" w:space="0" w:color="auto"/>
            </w:tcBorders>
            <w:shd w:val="clear" w:color="auto" w:fill="auto"/>
            <w:vAlign w:val="center"/>
            <w:hideMark/>
          </w:tcPr>
          <w:p w14:paraId="3E7B9123" w14:textId="77777777" w:rsidR="00E651D3" w:rsidRPr="006C526D" w:rsidRDefault="00E651D3"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32</w:t>
            </w:r>
          </w:p>
        </w:tc>
        <w:tc>
          <w:tcPr>
            <w:tcW w:w="1144" w:type="pct"/>
            <w:tcBorders>
              <w:top w:val="nil"/>
              <w:left w:val="nil"/>
              <w:bottom w:val="single" w:sz="8" w:space="0" w:color="auto"/>
              <w:right w:val="single" w:sz="8" w:space="0" w:color="auto"/>
            </w:tcBorders>
            <w:shd w:val="clear" w:color="auto" w:fill="auto"/>
            <w:vAlign w:val="center"/>
            <w:hideMark/>
          </w:tcPr>
          <w:p w14:paraId="257BC82E" w14:textId="05DFE831" w:rsidR="00E651D3"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9538</w:t>
            </w:r>
            <w:r w:rsidR="00E651D3"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18BB5CBD" w14:textId="728BECD6" w:rsidR="00E651D3"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30.5216</w:t>
            </w:r>
          </w:p>
        </w:tc>
      </w:tr>
      <w:tr w:rsidR="00E651D3" w:rsidRPr="006C526D" w14:paraId="2BBBED40"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71D8FAE7"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2C1E59CB"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地下车库</w:t>
            </w:r>
          </w:p>
        </w:tc>
        <w:tc>
          <w:tcPr>
            <w:tcW w:w="993" w:type="pct"/>
            <w:tcBorders>
              <w:top w:val="nil"/>
              <w:left w:val="nil"/>
              <w:bottom w:val="single" w:sz="8" w:space="0" w:color="auto"/>
              <w:right w:val="single" w:sz="8" w:space="0" w:color="auto"/>
            </w:tcBorders>
            <w:shd w:val="clear" w:color="auto" w:fill="auto"/>
            <w:vAlign w:val="center"/>
            <w:hideMark/>
          </w:tcPr>
          <w:p w14:paraId="23678D8D" w14:textId="77777777" w:rsidR="00E651D3" w:rsidRPr="006C526D" w:rsidRDefault="00E651D3"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10345</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56AE14AA" w14:textId="4AFF1973" w:rsidR="00E651D3" w:rsidRPr="006C526D"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9922</w:t>
            </w:r>
            <w:r w:rsidR="00E651D3"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6F5BB1AB" w14:textId="00792C64" w:rsidR="00E651D3" w:rsidRPr="006C526D"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10264.3288</w:t>
            </w:r>
          </w:p>
        </w:tc>
      </w:tr>
      <w:tr w:rsidR="00E651D3" w:rsidRPr="006C526D" w14:paraId="27D76B03"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63897B1A"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2C447FE5"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小计</w:t>
            </w:r>
          </w:p>
        </w:tc>
        <w:tc>
          <w:tcPr>
            <w:tcW w:w="993" w:type="pct"/>
            <w:tcBorders>
              <w:top w:val="nil"/>
              <w:left w:val="nil"/>
              <w:bottom w:val="single" w:sz="8" w:space="0" w:color="auto"/>
              <w:right w:val="single" w:sz="8" w:space="0" w:color="auto"/>
            </w:tcBorders>
            <w:shd w:val="clear" w:color="auto" w:fill="auto"/>
            <w:vAlign w:val="center"/>
            <w:hideMark/>
          </w:tcPr>
          <w:p w14:paraId="5AEB39CC" w14:textId="77777777" w:rsidR="00E651D3" w:rsidRPr="003C48EF" w:rsidRDefault="00E651D3"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p>
        </w:tc>
        <w:tc>
          <w:tcPr>
            <w:tcW w:w="1144" w:type="pct"/>
            <w:tcBorders>
              <w:top w:val="nil"/>
              <w:left w:val="nil"/>
              <w:bottom w:val="single" w:sz="8" w:space="0" w:color="auto"/>
              <w:right w:val="single" w:sz="8" w:space="0" w:color="auto"/>
            </w:tcBorders>
            <w:shd w:val="clear" w:color="auto" w:fill="auto"/>
            <w:vAlign w:val="center"/>
            <w:hideMark/>
          </w:tcPr>
          <w:p w14:paraId="0D153D80" w14:textId="77777777" w:rsidR="00E651D3" w:rsidRPr="003C48EF" w:rsidRDefault="00E651D3"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02E50AAE" w14:textId="48755A5E" w:rsidR="00E651D3" w:rsidRPr="003C48EF" w:rsidRDefault="00443EF8"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10294.8504</w:t>
            </w:r>
          </w:p>
        </w:tc>
      </w:tr>
      <w:tr w:rsidR="00E651D3" w:rsidRPr="006C526D" w14:paraId="012F684C" w14:textId="77777777" w:rsidTr="00E906EE">
        <w:trPr>
          <w:trHeight w:val="420"/>
          <w:jc w:val="center"/>
        </w:trPr>
        <w:tc>
          <w:tcPr>
            <w:tcW w:w="1598"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E31159B"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合计</w:t>
            </w:r>
          </w:p>
        </w:tc>
        <w:tc>
          <w:tcPr>
            <w:tcW w:w="993" w:type="pct"/>
            <w:tcBorders>
              <w:top w:val="nil"/>
              <w:left w:val="nil"/>
              <w:bottom w:val="single" w:sz="8" w:space="0" w:color="auto"/>
              <w:right w:val="single" w:sz="8" w:space="0" w:color="auto"/>
            </w:tcBorders>
            <w:shd w:val="clear" w:color="auto" w:fill="auto"/>
            <w:vAlign w:val="center"/>
            <w:hideMark/>
          </w:tcPr>
          <w:p w14:paraId="0C1698AE" w14:textId="77777777" w:rsidR="00E651D3" w:rsidRPr="003C48EF" w:rsidRDefault="00E651D3"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p>
        </w:tc>
        <w:tc>
          <w:tcPr>
            <w:tcW w:w="1144" w:type="pct"/>
            <w:tcBorders>
              <w:top w:val="nil"/>
              <w:left w:val="nil"/>
              <w:bottom w:val="single" w:sz="8" w:space="0" w:color="auto"/>
              <w:right w:val="single" w:sz="8" w:space="0" w:color="auto"/>
            </w:tcBorders>
            <w:shd w:val="clear" w:color="auto" w:fill="auto"/>
            <w:vAlign w:val="center"/>
            <w:hideMark/>
          </w:tcPr>
          <w:p w14:paraId="59EBF59E" w14:textId="77777777" w:rsidR="00E651D3" w:rsidRPr="003C48EF" w:rsidRDefault="00E651D3"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4C3AA742" w14:textId="39ECF8C5" w:rsidR="00E651D3" w:rsidRPr="003C48EF" w:rsidRDefault="00443EF8"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244365.6152</w:t>
            </w:r>
          </w:p>
        </w:tc>
      </w:tr>
    </w:tbl>
    <w:p w14:paraId="12C0CC82" w14:textId="77777777" w:rsidR="00E651D3" w:rsidRDefault="00E651D3" w:rsidP="00E651D3">
      <w:pPr>
        <w:snapToGrid w:val="0"/>
        <w:spacing w:beforeLines="100" w:before="240"/>
        <w:ind w:firstLine="556"/>
        <w:rPr>
          <w:rFonts w:ascii="Arial" w:eastAsia="仿宋_GB2312" w:hAnsi="Arial" w:cs="Arial"/>
          <w:b/>
          <w:sz w:val="28"/>
          <w:szCs w:val="28"/>
        </w:rPr>
      </w:pPr>
      <w:r w:rsidRPr="00AF4CFE">
        <w:rPr>
          <w:rFonts w:ascii="Arial" w:eastAsia="仿宋_GB2312" w:hAnsi="Arial" w:cs="Arial"/>
          <w:b/>
          <w:sz w:val="28"/>
          <w:szCs w:val="28"/>
        </w:rPr>
        <w:sym w:font="Wingdings 2" w:char="F0C3"/>
      </w:r>
      <w:r w:rsidRPr="00AF4CFE">
        <w:rPr>
          <w:rFonts w:ascii="Arial" w:eastAsia="仿宋_GB2312" w:hAnsi="Arial" w:cs="Arial"/>
          <w:b/>
          <w:sz w:val="28"/>
          <w:szCs w:val="28"/>
        </w:rPr>
        <w:t>政府土地出让收益</w:t>
      </w:r>
    </w:p>
    <w:tbl>
      <w:tblPr>
        <w:tblW w:w="5000" w:type="pct"/>
        <w:tblLook w:val="04A0" w:firstRow="1" w:lastRow="0" w:firstColumn="1" w:lastColumn="0" w:noHBand="0" w:noVBand="1"/>
      </w:tblPr>
      <w:tblGrid>
        <w:gridCol w:w="1123"/>
        <w:gridCol w:w="1844"/>
        <w:gridCol w:w="1844"/>
        <w:gridCol w:w="2124"/>
        <w:gridCol w:w="2349"/>
      </w:tblGrid>
      <w:tr w:rsidR="00E651D3" w:rsidRPr="00666906" w14:paraId="647AA6CA" w14:textId="77777777" w:rsidTr="00E906EE">
        <w:trPr>
          <w:trHeight w:val="936"/>
        </w:trPr>
        <w:tc>
          <w:tcPr>
            <w:tcW w:w="60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097240BE"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部位</w:t>
            </w:r>
          </w:p>
        </w:tc>
        <w:tc>
          <w:tcPr>
            <w:tcW w:w="993"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7F2A69C3"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850E5"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出让建筑面积</w:t>
            </w:r>
          </w:p>
          <w:p w14:paraId="3AB42467" w14:textId="77777777" w:rsidR="00E651D3" w:rsidRPr="00666906" w:rsidRDefault="00E651D3" w:rsidP="00E906EE">
            <w:pPr>
              <w:spacing w:line="240" w:lineRule="auto"/>
              <w:jc w:val="center"/>
              <w:rPr>
                <w:rFonts w:ascii="Arial" w:eastAsia="仿宋_GB2312" w:hAnsi="Arial" w:cs="Arial"/>
                <w:b/>
                <w:bCs/>
                <w:sz w:val="22"/>
                <w:szCs w:val="16"/>
              </w:rPr>
            </w:pPr>
            <w:r w:rsidRPr="00666906">
              <w:rPr>
                <w:rFonts w:ascii="Arial" w:eastAsia="仿宋_GB2312" w:hAnsi="Arial" w:cs="Arial" w:hint="eastAsia"/>
                <w:b/>
                <w:bCs/>
                <w:sz w:val="22"/>
                <w:szCs w:val="16"/>
              </w:rPr>
              <w:t>（</w:t>
            </w:r>
            <w:r w:rsidRPr="00666906">
              <w:rPr>
                <w:rFonts w:ascii="Segoe UI Emoji" w:eastAsia="Segoe UI Emoji" w:hAnsi="Segoe UI Emoji" w:cs="Segoe UI Emoji" w:hint="eastAsia"/>
                <w:b/>
                <w:bCs/>
                <w:sz w:val="22"/>
                <w:szCs w:val="16"/>
              </w:rPr>
              <w:t>㎡</w:t>
            </w:r>
            <w:r w:rsidRPr="00666906">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55AA3" w14:textId="77777777" w:rsidR="00E651D3" w:rsidRPr="00666906" w:rsidRDefault="00E651D3" w:rsidP="00E906EE">
            <w:pPr>
              <w:widowControl/>
              <w:adjustRightInd/>
              <w:spacing w:line="240" w:lineRule="auto"/>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政府土地出让收益楼面单价（元</w:t>
            </w:r>
            <w:r w:rsidRPr="00666906">
              <w:rPr>
                <w:rFonts w:ascii="Arial" w:eastAsia="仿宋_GB2312" w:hAnsi="Arial" w:cs="Arial" w:hint="eastAsia"/>
                <w:b/>
                <w:bCs/>
                <w:sz w:val="22"/>
                <w:szCs w:val="16"/>
              </w:rPr>
              <w:t>/</w:t>
            </w:r>
            <w:r w:rsidRPr="00666906">
              <w:rPr>
                <w:rFonts w:ascii="Segoe UI Emoji" w:eastAsia="Segoe UI Emoji" w:hAnsi="Segoe UI Emoji" w:cs="Segoe UI Emoji" w:hint="eastAsia"/>
                <w:b/>
                <w:bCs/>
                <w:sz w:val="22"/>
                <w:szCs w:val="16"/>
              </w:rPr>
              <w:t>㎡</w:t>
            </w:r>
            <w:r w:rsidRPr="00666906">
              <w:rPr>
                <w:rFonts w:ascii="微软雅黑" w:eastAsia="微软雅黑" w:hAnsi="微软雅黑" w:cs="微软雅黑"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D2E32D" w14:textId="77777777" w:rsidR="00E651D3"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w:t>
            </w:r>
          </w:p>
          <w:p w14:paraId="6D620585"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收益总价</w:t>
            </w:r>
            <w:r w:rsidRPr="00666906">
              <w:rPr>
                <w:rFonts w:ascii="Arial" w:eastAsia="仿宋_GB2312" w:hAnsi="Arial" w:cs="Arial" w:hint="eastAsia"/>
                <w:b/>
                <w:bCs/>
                <w:sz w:val="22"/>
                <w:szCs w:val="16"/>
              </w:rPr>
              <w:t>(</w:t>
            </w:r>
            <w:r w:rsidRPr="00666906">
              <w:rPr>
                <w:rFonts w:ascii="Arial" w:eastAsia="仿宋_GB2312" w:hAnsi="Arial" w:cs="Arial" w:hint="eastAsia"/>
                <w:b/>
                <w:bCs/>
                <w:sz w:val="22"/>
                <w:szCs w:val="16"/>
              </w:rPr>
              <w:t>万元）</w:t>
            </w:r>
          </w:p>
        </w:tc>
      </w:tr>
      <w:tr w:rsidR="00E651D3" w:rsidRPr="00666906" w14:paraId="53311BE9"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505D8DBD"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地上</w:t>
            </w:r>
          </w:p>
        </w:tc>
        <w:tc>
          <w:tcPr>
            <w:tcW w:w="993" w:type="pct"/>
            <w:tcBorders>
              <w:top w:val="nil"/>
              <w:left w:val="nil"/>
              <w:bottom w:val="single" w:sz="8" w:space="0" w:color="auto"/>
              <w:right w:val="nil"/>
            </w:tcBorders>
            <w:shd w:val="clear" w:color="auto" w:fill="auto"/>
            <w:vAlign w:val="center"/>
            <w:hideMark/>
          </w:tcPr>
          <w:p w14:paraId="30137D41"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住宅</w:t>
            </w:r>
          </w:p>
        </w:tc>
        <w:tc>
          <w:tcPr>
            <w:tcW w:w="99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6B8E82C"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28075 </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2EAFDDB7" w14:textId="1A32EE31" w:rsidR="00E651D3"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19900</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2BD98787" w14:textId="034A81F3" w:rsidR="00E651D3"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55869.2500</w:t>
            </w:r>
          </w:p>
        </w:tc>
      </w:tr>
      <w:tr w:rsidR="00E651D3" w:rsidRPr="00666906" w14:paraId="62A4FD21"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1E0899A1"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4AFA831D"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商业</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0784D045"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3318 </w:t>
            </w:r>
          </w:p>
        </w:tc>
        <w:tc>
          <w:tcPr>
            <w:tcW w:w="1144" w:type="pct"/>
            <w:tcBorders>
              <w:top w:val="nil"/>
              <w:left w:val="nil"/>
              <w:bottom w:val="single" w:sz="8" w:space="0" w:color="auto"/>
              <w:right w:val="single" w:sz="8" w:space="0" w:color="auto"/>
            </w:tcBorders>
            <w:shd w:val="clear" w:color="auto" w:fill="auto"/>
            <w:vAlign w:val="center"/>
            <w:hideMark/>
          </w:tcPr>
          <w:p w14:paraId="0D36ADA7" w14:textId="2EA1BCD4" w:rsidR="00E651D3"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7713</w:t>
            </w:r>
          </w:p>
        </w:tc>
        <w:tc>
          <w:tcPr>
            <w:tcW w:w="1265" w:type="pct"/>
            <w:tcBorders>
              <w:top w:val="nil"/>
              <w:left w:val="nil"/>
              <w:bottom w:val="single" w:sz="8" w:space="0" w:color="auto"/>
              <w:right w:val="single" w:sz="8" w:space="0" w:color="auto"/>
            </w:tcBorders>
            <w:shd w:val="clear" w:color="auto" w:fill="auto"/>
            <w:vAlign w:val="center"/>
            <w:hideMark/>
          </w:tcPr>
          <w:p w14:paraId="05B09732" w14:textId="14E15262" w:rsidR="00E651D3"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2559.1734</w:t>
            </w:r>
          </w:p>
        </w:tc>
      </w:tr>
      <w:tr w:rsidR="00E651D3" w:rsidRPr="00666906" w14:paraId="2A3BC4C5"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6E8FBC05"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1B2CEE46"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5BDC0FB"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118 </w:t>
            </w:r>
          </w:p>
        </w:tc>
        <w:tc>
          <w:tcPr>
            <w:tcW w:w="1144" w:type="pct"/>
            <w:tcBorders>
              <w:top w:val="nil"/>
              <w:left w:val="nil"/>
              <w:bottom w:val="single" w:sz="8" w:space="0" w:color="auto"/>
              <w:right w:val="single" w:sz="8" w:space="0" w:color="auto"/>
            </w:tcBorders>
            <w:shd w:val="clear" w:color="auto" w:fill="auto"/>
            <w:vAlign w:val="center"/>
            <w:hideMark/>
          </w:tcPr>
          <w:p w14:paraId="7BA136F2" w14:textId="111AF5FC" w:rsidR="00E651D3"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7677</w:t>
            </w:r>
          </w:p>
        </w:tc>
        <w:tc>
          <w:tcPr>
            <w:tcW w:w="1265" w:type="pct"/>
            <w:tcBorders>
              <w:top w:val="nil"/>
              <w:left w:val="nil"/>
              <w:bottom w:val="single" w:sz="8" w:space="0" w:color="auto"/>
              <w:right w:val="single" w:sz="8" w:space="0" w:color="auto"/>
            </w:tcBorders>
            <w:shd w:val="clear" w:color="auto" w:fill="auto"/>
            <w:vAlign w:val="center"/>
            <w:hideMark/>
          </w:tcPr>
          <w:p w14:paraId="72C5D2FA" w14:textId="18CB1499" w:rsidR="00E651D3"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90.5886</w:t>
            </w:r>
          </w:p>
        </w:tc>
      </w:tr>
      <w:tr w:rsidR="00E651D3" w:rsidRPr="00666906" w14:paraId="3B0F8C76"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51F88E76"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477E16FD"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B44C4BF"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b/>
                <w:bCs/>
                <w:sz w:val="22"/>
                <w:szCs w:val="16"/>
              </w:rPr>
              <w:t xml:space="preserve">31511 </w:t>
            </w:r>
          </w:p>
        </w:tc>
        <w:tc>
          <w:tcPr>
            <w:tcW w:w="1144" w:type="pct"/>
            <w:tcBorders>
              <w:top w:val="nil"/>
              <w:left w:val="nil"/>
              <w:bottom w:val="single" w:sz="8" w:space="0" w:color="auto"/>
              <w:right w:val="single" w:sz="8" w:space="0" w:color="auto"/>
            </w:tcBorders>
            <w:shd w:val="clear" w:color="auto" w:fill="auto"/>
            <w:vAlign w:val="center"/>
            <w:hideMark/>
          </w:tcPr>
          <w:p w14:paraId="283CAF40" w14:textId="77777777" w:rsidR="00E651D3" w:rsidRPr="00826D24" w:rsidRDefault="00E651D3" w:rsidP="00E906EE">
            <w:pPr>
              <w:widowControl/>
              <w:adjustRightInd/>
              <w:spacing w:line="240" w:lineRule="auto"/>
              <w:jc w:val="center"/>
              <w:textAlignment w:val="auto"/>
              <w:rPr>
                <w:rFonts w:ascii="Arial" w:eastAsia="仿宋_GB2312" w:hAnsi="Arial" w:cs="Arial"/>
                <w:sz w:val="22"/>
                <w:szCs w:val="16"/>
              </w:rPr>
            </w:pPr>
            <w:r w:rsidRPr="00826D24">
              <w:rPr>
                <w:rFonts w:ascii="Arial" w:eastAsia="仿宋_GB2312" w:hAnsi="Arial" w:cs="Arial"/>
                <w:sz w:val="22"/>
                <w:szCs w:val="16"/>
              </w:rPr>
              <w:t>-</w:t>
            </w:r>
            <w:r>
              <w:rPr>
                <w:rFonts w:ascii="Arial" w:eastAsia="仿宋_GB2312" w:hAnsi="Arial" w:cs="Arial"/>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3B1BF840" w14:textId="418169D5" w:rsidR="00E651D3" w:rsidRPr="00826D24" w:rsidRDefault="000B7D55"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58519.0120</w:t>
            </w:r>
          </w:p>
        </w:tc>
      </w:tr>
      <w:tr w:rsidR="00E651D3" w:rsidRPr="00666906" w14:paraId="3F52E271"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5E8C6335"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w:t>
            </w:r>
          </w:p>
        </w:tc>
        <w:tc>
          <w:tcPr>
            <w:tcW w:w="993" w:type="pct"/>
            <w:tcBorders>
              <w:top w:val="nil"/>
              <w:left w:val="nil"/>
              <w:bottom w:val="single" w:sz="8" w:space="0" w:color="auto"/>
              <w:right w:val="nil"/>
            </w:tcBorders>
            <w:shd w:val="clear" w:color="auto" w:fill="auto"/>
            <w:vAlign w:val="center"/>
            <w:hideMark/>
          </w:tcPr>
          <w:p w14:paraId="4AC6C803"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6F3FA2C"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32 </w:t>
            </w:r>
          </w:p>
        </w:tc>
        <w:tc>
          <w:tcPr>
            <w:tcW w:w="1144" w:type="pct"/>
            <w:tcBorders>
              <w:top w:val="nil"/>
              <w:left w:val="nil"/>
              <w:bottom w:val="single" w:sz="8" w:space="0" w:color="auto"/>
              <w:right w:val="single" w:sz="8" w:space="0" w:color="auto"/>
            </w:tcBorders>
            <w:shd w:val="clear" w:color="auto" w:fill="auto"/>
            <w:vAlign w:val="center"/>
            <w:hideMark/>
          </w:tcPr>
          <w:p w14:paraId="18D15715" w14:textId="31D033E2" w:rsidR="00E651D3"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2385</w:t>
            </w:r>
          </w:p>
        </w:tc>
        <w:tc>
          <w:tcPr>
            <w:tcW w:w="1265" w:type="pct"/>
            <w:tcBorders>
              <w:top w:val="nil"/>
              <w:left w:val="nil"/>
              <w:bottom w:val="single" w:sz="8" w:space="0" w:color="auto"/>
              <w:right w:val="single" w:sz="8" w:space="0" w:color="auto"/>
            </w:tcBorders>
            <w:shd w:val="clear" w:color="auto" w:fill="auto"/>
            <w:vAlign w:val="center"/>
            <w:hideMark/>
          </w:tcPr>
          <w:p w14:paraId="32068617" w14:textId="620C6F05" w:rsidR="00E651D3"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7.6320</w:t>
            </w:r>
          </w:p>
        </w:tc>
      </w:tr>
      <w:tr w:rsidR="00E651D3" w:rsidRPr="00666906" w14:paraId="317E262B"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69C5EAD4"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68CEC8CA"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地下车库</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5FF9DE4C"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10345 </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0FD1FF8D" w14:textId="6319967F" w:rsidR="00E651D3" w:rsidRPr="00666906"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2481</w:t>
            </w:r>
          </w:p>
        </w:tc>
        <w:tc>
          <w:tcPr>
            <w:tcW w:w="1265" w:type="pct"/>
            <w:tcBorders>
              <w:top w:val="nil"/>
              <w:left w:val="nil"/>
              <w:bottom w:val="single" w:sz="8" w:space="0" w:color="auto"/>
              <w:right w:val="single" w:sz="8" w:space="0" w:color="auto"/>
            </w:tcBorders>
            <w:shd w:val="clear" w:color="auto" w:fill="auto"/>
            <w:vAlign w:val="center"/>
            <w:hideMark/>
          </w:tcPr>
          <w:p w14:paraId="064573F5" w14:textId="6D656B74" w:rsidR="00E651D3" w:rsidRPr="00666906"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2566.5995</w:t>
            </w:r>
          </w:p>
        </w:tc>
      </w:tr>
      <w:tr w:rsidR="00E651D3" w:rsidRPr="00666906" w14:paraId="290375F0"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4F8B00E2"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22ADBFF6"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7EA9FC62" w14:textId="77777777" w:rsidR="00E651D3" w:rsidRPr="00826D24" w:rsidRDefault="00E651D3"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5A442865" w14:textId="77777777" w:rsidR="00E651D3" w:rsidRPr="00826D24" w:rsidRDefault="00E651D3"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03CEA102" w14:textId="0F813700" w:rsidR="00E651D3" w:rsidRPr="00826D24" w:rsidRDefault="00443EF8"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2574.2315</w:t>
            </w:r>
          </w:p>
        </w:tc>
      </w:tr>
      <w:tr w:rsidR="00E651D3" w:rsidRPr="00666906" w14:paraId="5C0BB357" w14:textId="77777777" w:rsidTr="00E906EE">
        <w:trPr>
          <w:trHeight w:val="420"/>
        </w:trPr>
        <w:tc>
          <w:tcPr>
            <w:tcW w:w="1598" w:type="pct"/>
            <w:gridSpan w:val="2"/>
            <w:tcBorders>
              <w:top w:val="single" w:sz="8" w:space="0" w:color="auto"/>
              <w:left w:val="single" w:sz="8" w:space="0" w:color="auto"/>
              <w:bottom w:val="single" w:sz="8" w:space="0" w:color="auto"/>
              <w:right w:val="nil"/>
            </w:tcBorders>
            <w:shd w:val="clear" w:color="auto" w:fill="auto"/>
            <w:vAlign w:val="center"/>
            <w:hideMark/>
          </w:tcPr>
          <w:p w14:paraId="04D0321C"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合计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21F1F4F" w14:textId="77777777" w:rsidR="00E651D3" w:rsidRPr="00826D24" w:rsidRDefault="00E651D3"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3F00E9F3" w14:textId="77777777" w:rsidR="00E651D3" w:rsidRPr="00826D24" w:rsidRDefault="00E651D3"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4421B438" w14:textId="61F372AE" w:rsidR="00E651D3" w:rsidRPr="00826D24" w:rsidRDefault="00443EF8" w:rsidP="007F1FA0">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61093.2435</w:t>
            </w:r>
          </w:p>
        </w:tc>
      </w:tr>
    </w:tbl>
    <w:p w14:paraId="47EBF921" w14:textId="77777777" w:rsidR="00E651D3" w:rsidRDefault="00E651D3" w:rsidP="00E651D3">
      <w:pPr>
        <w:pStyle w:val="11"/>
        <w:ind w:firstLine="562"/>
        <w:rPr>
          <w:rFonts w:ascii="Arial" w:hAnsi="Arial" w:cs="Arial"/>
          <w:b/>
          <w:szCs w:val="28"/>
        </w:rPr>
      </w:pPr>
      <w:r>
        <w:rPr>
          <w:rFonts w:ascii="Arial" w:hAnsi="Arial" w:cs="Arial"/>
          <w:b/>
          <w:szCs w:val="28"/>
        </w:rPr>
        <w:sym w:font="Wingdings 2" w:char="F0C3"/>
      </w:r>
      <w:r>
        <w:rPr>
          <w:rFonts w:ascii="Arial" w:hAnsi="Arial" w:cs="Arial" w:hint="eastAsia"/>
          <w:b/>
          <w:szCs w:val="28"/>
        </w:rPr>
        <w:t>土地开发总成本</w:t>
      </w:r>
    </w:p>
    <w:p w14:paraId="34681FD8" w14:textId="77777777" w:rsidR="00B03551" w:rsidRPr="001C2131" w:rsidRDefault="00B03551" w:rsidP="00B03551">
      <w:pPr>
        <w:pStyle w:val="11"/>
        <w:jc w:val="both"/>
        <w:rPr>
          <w:rFonts w:ascii="Arial" w:hAnsi="Arial" w:cs="Arial"/>
          <w:bCs/>
          <w:szCs w:val="28"/>
        </w:rPr>
      </w:pPr>
      <w:r w:rsidRPr="001C2131">
        <w:rPr>
          <w:rFonts w:ascii="Arial" w:hAnsi="Arial" w:cs="Arial" w:hint="eastAsia"/>
          <w:bCs/>
          <w:szCs w:val="28"/>
        </w:rPr>
        <w:t>根据《北京市海淀区人民政府关于商请加快地铁</w:t>
      </w:r>
      <w:r w:rsidRPr="001C2131">
        <w:rPr>
          <w:rFonts w:ascii="Arial" w:hAnsi="Arial" w:cs="Arial" w:hint="eastAsia"/>
          <w:bCs/>
          <w:szCs w:val="28"/>
        </w:rPr>
        <w:t>16</w:t>
      </w:r>
      <w:r w:rsidRPr="001C2131">
        <w:rPr>
          <w:rFonts w:ascii="Arial" w:hAnsi="Arial" w:cs="Arial" w:hint="eastAsia"/>
          <w:bCs/>
          <w:szCs w:val="28"/>
        </w:rPr>
        <w:t>号线苏州街站一体化</w:t>
      </w:r>
      <w:r w:rsidRPr="001C2131">
        <w:rPr>
          <w:rFonts w:ascii="Arial" w:hAnsi="Arial" w:cs="Arial" w:hint="eastAsia"/>
          <w:bCs/>
          <w:szCs w:val="28"/>
        </w:rPr>
        <w:lastRenderedPageBreak/>
        <w:t>棚改项目国有建设用地使用权出让手续办理有关事宜的函》</w:t>
      </w:r>
      <w:r w:rsidRPr="001C2131">
        <w:rPr>
          <w:rFonts w:ascii="Arial" w:hAnsi="Arial" w:cs="Arial" w:hint="eastAsia"/>
          <w:bCs/>
          <w:szCs w:val="28"/>
        </w:rPr>
        <w:t>[</w:t>
      </w:r>
      <w:r w:rsidRPr="001C2131">
        <w:rPr>
          <w:rFonts w:ascii="Arial" w:hAnsi="Arial" w:cs="Arial" w:hint="eastAsia"/>
          <w:bCs/>
          <w:szCs w:val="28"/>
        </w:rPr>
        <w:t>海政函（</w:t>
      </w:r>
      <w:r w:rsidRPr="001C2131">
        <w:rPr>
          <w:rFonts w:ascii="Arial" w:hAnsi="Arial" w:cs="Arial" w:hint="eastAsia"/>
          <w:bCs/>
          <w:szCs w:val="28"/>
        </w:rPr>
        <w:t>2021</w:t>
      </w:r>
      <w:r w:rsidRPr="001C2131">
        <w:rPr>
          <w:rFonts w:ascii="Arial" w:hAnsi="Arial" w:cs="Arial" w:hint="eastAsia"/>
          <w:bCs/>
          <w:szCs w:val="28"/>
        </w:rPr>
        <w:t>）</w:t>
      </w:r>
      <w:r w:rsidRPr="001C2131">
        <w:rPr>
          <w:rFonts w:ascii="Arial" w:hAnsi="Arial" w:cs="Arial" w:hint="eastAsia"/>
          <w:bCs/>
          <w:szCs w:val="28"/>
        </w:rPr>
        <w:t>50</w:t>
      </w:r>
      <w:r w:rsidRPr="001C2131">
        <w:rPr>
          <w:rFonts w:ascii="Arial" w:hAnsi="Arial" w:cs="Arial" w:hint="eastAsia"/>
          <w:bCs/>
          <w:szCs w:val="28"/>
        </w:rPr>
        <w:t>号</w:t>
      </w:r>
      <w:r w:rsidRPr="001C2131">
        <w:rPr>
          <w:rFonts w:ascii="Arial" w:hAnsi="Arial" w:cs="Arial" w:hint="eastAsia"/>
          <w:bCs/>
          <w:szCs w:val="28"/>
        </w:rPr>
        <w:t>]</w:t>
      </w:r>
      <w:r w:rsidRPr="001C2131">
        <w:rPr>
          <w:rFonts w:ascii="Arial" w:hAnsi="Arial" w:cs="Arial" w:hint="eastAsia"/>
          <w:bCs/>
          <w:szCs w:val="28"/>
        </w:rPr>
        <w:t>及其附件。</w:t>
      </w:r>
      <w:r>
        <w:rPr>
          <w:rFonts w:ascii="Arial" w:hAnsi="Arial" w:cs="Arial" w:hint="eastAsia"/>
        </w:rPr>
        <w:t>该项目前期土地开发成本</w:t>
      </w:r>
      <w:r w:rsidRPr="00B03551">
        <w:rPr>
          <w:rFonts w:ascii="Arial" w:hAnsi="Arial" w:cs="Arial" w:hint="eastAsia"/>
        </w:rPr>
        <w:t>包括房屋拆迁补偿费等主要成本的实际发生额，以及未来计划发生成本和不可预见费（根据招标方案预估）</w:t>
      </w:r>
      <w:r>
        <w:rPr>
          <w:rFonts w:ascii="Arial" w:hAnsi="Arial" w:cs="Arial" w:hint="eastAsia"/>
        </w:rPr>
        <w:t>。</w:t>
      </w:r>
    </w:p>
    <w:p w14:paraId="199A6A87" w14:textId="77777777" w:rsidR="00B03551" w:rsidRDefault="00B03551" w:rsidP="00B03551">
      <w:pPr>
        <w:snapToGrid w:val="0"/>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土地开发总成本：</w:t>
      </w:r>
      <w:r>
        <w:rPr>
          <w:rFonts w:ascii="Arial" w:eastAsia="仿宋_GB2312" w:hAnsi="Arial" w:cs="Arial"/>
          <w:sz w:val="28"/>
        </w:rPr>
        <w:t>158379.13</w:t>
      </w:r>
      <w:r>
        <w:rPr>
          <w:rFonts w:ascii="Arial" w:eastAsia="仿宋_GB2312" w:hAnsi="Arial" w:cs="Arial" w:hint="eastAsia"/>
          <w:sz w:val="28"/>
        </w:rPr>
        <w:t>万元</w:t>
      </w:r>
    </w:p>
    <w:p w14:paraId="0D1CDCF4" w14:textId="53F57457" w:rsidR="00E651D3" w:rsidRDefault="00B03551" w:rsidP="00B03551">
      <w:pPr>
        <w:snapToGrid w:val="0"/>
        <w:spacing w:beforeLines="50" w:before="120" w:line="360" w:lineRule="auto"/>
        <w:ind w:firstLineChars="200" w:firstLine="560"/>
        <w:rPr>
          <w:rFonts w:ascii="Arial" w:eastAsia="仿宋_GB2312" w:hAnsi="Arial" w:cs="Arial"/>
          <w:sz w:val="28"/>
        </w:rPr>
      </w:pPr>
      <w:r>
        <w:rPr>
          <w:rFonts w:ascii="Arial" w:eastAsia="仿宋_GB2312" w:hAnsi="Arial" w:cs="Arial" w:hint="eastAsia"/>
          <w:sz w:val="28"/>
        </w:rPr>
        <w:t>大写金额：壹拾伍亿捌仟叁佰柒拾玖万壹仟叁佰元整</w:t>
      </w:r>
    </w:p>
    <w:p w14:paraId="27554792" w14:textId="77777777" w:rsidR="00E651D3" w:rsidRPr="00AF4CFE" w:rsidRDefault="00E651D3" w:rsidP="00E651D3">
      <w:pPr>
        <w:pStyle w:val="11"/>
        <w:ind w:firstLine="562"/>
        <w:rPr>
          <w:rFonts w:ascii="Arial" w:hAnsi="Arial" w:cs="Arial"/>
          <w:b/>
          <w:szCs w:val="28"/>
        </w:rPr>
      </w:pPr>
      <w:r>
        <w:rPr>
          <w:rFonts w:ascii="Arial" w:hAnsi="Arial" w:cs="Arial"/>
          <w:b/>
          <w:szCs w:val="28"/>
        </w:rPr>
        <w:sym w:font="Wingdings 2" w:char="F0C3"/>
      </w:r>
      <w:r>
        <w:rPr>
          <w:rFonts w:ascii="Arial" w:hAnsi="Arial" w:cs="Arial" w:hint="eastAsia"/>
          <w:b/>
          <w:szCs w:val="28"/>
        </w:rPr>
        <w:t>需缴纳地价款</w:t>
      </w:r>
    </w:p>
    <w:tbl>
      <w:tblPr>
        <w:tblW w:w="5000" w:type="pct"/>
        <w:tblLook w:val="04A0" w:firstRow="1" w:lastRow="0" w:firstColumn="1" w:lastColumn="0" w:noHBand="0" w:noVBand="1"/>
      </w:tblPr>
      <w:tblGrid>
        <w:gridCol w:w="1123"/>
        <w:gridCol w:w="1844"/>
        <w:gridCol w:w="1844"/>
        <w:gridCol w:w="2124"/>
        <w:gridCol w:w="2349"/>
      </w:tblGrid>
      <w:tr w:rsidR="00E651D3" w:rsidRPr="00666906" w14:paraId="39946188" w14:textId="77777777" w:rsidTr="00E906EE">
        <w:trPr>
          <w:trHeight w:val="936"/>
        </w:trPr>
        <w:tc>
          <w:tcPr>
            <w:tcW w:w="60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0DA77818"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部位</w:t>
            </w:r>
          </w:p>
        </w:tc>
        <w:tc>
          <w:tcPr>
            <w:tcW w:w="993"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6CB6F234"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6ABA7"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出让建筑面积</w:t>
            </w:r>
          </w:p>
          <w:p w14:paraId="00A3FBC4" w14:textId="77777777" w:rsidR="00E651D3" w:rsidRPr="00666906" w:rsidRDefault="00E651D3" w:rsidP="00E906EE">
            <w:pPr>
              <w:spacing w:line="240" w:lineRule="auto"/>
              <w:jc w:val="center"/>
              <w:rPr>
                <w:rFonts w:ascii="Arial" w:eastAsia="仿宋_GB2312" w:hAnsi="Arial" w:cs="Arial"/>
                <w:b/>
                <w:bCs/>
                <w:sz w:val="22"/>
                <w:szCs w:val="16"/>
              </w:rPr>
            </w:pP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E365E" w14:textId="77777777" w:rsidR="00E651D3" w:rsidRPr="00666906" w:rsidRDefault="00E651D3" w:rsidP="00E906EE">
            <w:pPr>
              <w:widowControl/>
              <w:adjustRightInd/>
              <w:spacing w:line="240" w:lineRule="auto"/>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政府土地出让收益楼面单价（元</w:t>
            </w: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微软雅黑" w:eastAsia="微软雅黑" w:hAnsi="微软雅黑" w:cs="微软雅黑"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8756A" w14:textId="77777777" w:rsidR="00E651D3"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w:t>
            </w:r>
          </w:p>
          <w:p w14:paraId="043D2A82"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收益总价</w:t>
            </w:r>
            <w:r w:rsidRPr="00666906">
              <w:rPr>
                <w:rFonts w:ascii="Arial" w:eastAsia="仿宋_GB2312" w:hAnsi="Arial" w:cs="Arial" w:hint="eastAsia"/>
                <w:b/>
                <w:bCs/>
                <w:sz w:val="22"/>
                <w:szCs w:val="16"/>
              </w:rPr>
              <w:t>(</w:t>
            </w:r>
            <w:r w:rsidRPr="00666906">
              <w:rPr>
                <w:rFonts w:ascii="Arial" w:eastAsia="仿宋_GB2312" w:hAnsi="Arial" w:cs="Arial" w:hint="eastAsia"/>
                <w:b/>
                <w:bCs/>
                <w:sz w:val="22"/>
                <w:szCs w:val="16"/>
              </w:rPr>
              <w:t>万元）</w:t>
            </w:r>
          </w:p>
        </w:tc>
      </w:tr>
      <w:tr w:rsidR="00E651D3" w:rsidRPr="00666906" w14:paraId="08A0572A"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0C6E6541"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地上</w:t>
            </w:r>
          </w:p>
        </w:tc>
        <w:tc>
          <w:tcPr>
            <w:tcW w:w="993" w:type="pct"/>
            <w:tcBorders>
              <w:top w:val="nil"/>
              <w:left w:val="nil"/>
              <w:bottom w:val="single" w:sz="8" w:space="0" w:color="auto"/>
              <w:right w:val="nil"/>
            </w:tcBorders>
            <w:shd w:val="clear" w:color="auto" w:fill="auto"/>
            <w:vAlign w:val="center"/>
            <w:hideMark/>
          </w:tcPr>
          <w:p w14:paraId="022F2B4F"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住宅</w:t>
            </w:r>
          </w:p>
        </w:tc>
        <w:tc>
          <w:tcPr>
            <w:tcW w:w="99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69D2E1E"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28075 </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36FF2C7D" w14:textId="29DF4504" w:rsidR="00E651D3"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19900</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765A7DFD" w14:textId="1A764206" w:rsidR="00E651D3"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55869.2500</w:t>
            </w:r>
          </w:p>
        </w:tc>
      </w:tr>
      <w:tr w:rsidR="00E651D3" w:rsidRPr="00666906" w14:paraId="4FDA8153"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0A3C8A4D"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4F926D9C"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商业</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3F83D802"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3318 </w:t>
            </w:r>
          </w:p>
        </w:tc>
        <w:tc>
          <w:tcPr>
            <w:tcW w:w="1144" w:type="pct"/>
            <w:tcBorders>
              <w:top w:val="nil"/>
              <w:left w:val="nil"/>
              <w:bottom w:val="single" w:sz="8" w:space="0" w:color="auto"/>
              <w:right w:val="single" w:sz="8" w:space="0" w:color="auto"/>
            </w:tcBorders>
            <w:shd w:val="clear" w:color="auto" w:fill="auto"/>
            <w:vAlign w:val="center"/>
            <w:hideMark/>
          </w:tcPr>
          <w:p w14:paraId="40029281" w14:textId="613295A7" w:rsidR="00E651D3"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7713</w:t>
            </w:r>
          </w:p>
        </w:tc>
        <w:tc>
          <w:tcPr>
            <w:tcW w:w="1265" w:type="pct"/>
            <w:tcBorders>
              <w:top w:val="nil"/>
              <w:left w:val="nil"/>
              <w:bottom w:val="single" w:sz="8" w:space="0" w:color="auto"/>
              <w:right w:val="single" w:sz="8" w:space="0" w:color="auto"/>
            </w:tcBorders>
            <w:shd w:val="clear" w:color="auto" w:fill="auto"/>
            <w:vAlign w:val="center"/>
            <w:hideMark/>
          </w:tcPr>
          <w:p w14:paraId="3DBB272B" w14:textId="73FC8958" w:rsidR="00E651D3"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2559.1734</w:t>
            </w:r>
          </w:p>
        </w:tc>
      </w:tr>
      <w:tr w:rsidR="00E651D3" w:rsidRPr="00666906" w14:paraId="30BDBA0F"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0CA02BCA"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77BCA7AA"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1B79294F"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118 </w:t>
            </w:r>
          </w:p>
        </w:tc>
        <w:tc>
          <w:tcPr>
            <w:tcW w:w="1144" w:type="pct"/>
            <w:tcBorders>
              <w:top w:val="nil"/>
              <w:left w:val="nil"/>
              <w:bottom w:val="single" w:sz="8" w:space="0" w:color="auto"/>
              <w:right w:val="single" w:sz="8" w:space="0" w:color="auto"/>
            </w:tcBorders>
            <w:shd w:val="clear" w:color="auto" w:fill="auto"/>
            <w:vAlign w:val="center"/>
            <w:hideMark/>
          </w:tcPr>
          <w:p w14:paraId="12327B9E" w14:textId="19A27528" w:rsidR="00E651D3"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7677</w:t>
            </w:r>
          </w:p>
        </w:tc>
        <w:tc>
          <w:tcPr>
            <w:tcW w:w="1265" w:type="pct"/>
            <w:tcBorders>
              <w:top w:val="nil"/>
              <w:left w:val="nil"/>
              <w:bottom w:val="single" w:sz="8" w:space="0" w:color="auto"/>
              <w:right w:val="single" w:sz="8" w:space="0" w:color="auto"/>
            </w:tcBorders>
            <w:shd w:val="clear" w:color="auto" w:fill="auto"/>
            <w:vAlign w:val="center"/>
            <w:hideMark/>
          </w:tcPr>
          <w:p w14:paraId="35BD0D8D" w14:textId="11D8453A" w:rsidR="00E651D3"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90.5886</w:t>
            </w:r>
          </w:p>
        </w:tc>
      </w:tr>
      <w:tr w:rsidR="00E651D3" w:rsidRPr="00666906" w14:paraId="56BEFA5E"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79979123"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46A7D4B0"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F975036"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b/>
                <w:bCs/>
                <w:sz w:val="22"/>
                <w:szCs w:val="16"/>
              </w:rPr>
              <w:t xml:space="preserve">31511 </w:t>
            </w:r>
          </w:p>
        </w:tc>
        <w:tc>
          <w:tcPr>
            <w:tcW w:w="1144" w:type="pct"/>
            <w:tcBorders>
              <w:top w:val="nil"/>
              <w:left w:val="nil"/>
              <w:bottom w:val="single" w:sz="8" w:space="0" w:color="auto"/>
              <w:right w:val="single" w:sz="8" w:space="0" w:color="auto"/>
            </w:tcBorders>
            <w:shd w:val="clear" w:color="auto" w:fill="auto"/>
            <w:vAlign w:val="center"/>
            <w:hideMark/>
          </w:tcPr>
          <w:p w14:paraId="5AECED26" w14:textId="77777777" w:rsidR="00E651D3" w:rsidRPr="00826D24" w:rsidRDefault="00E651D3" w:rsidP="00E906EE">
            <w:pPr>
              <w:widowControl/>
              <w:adjustRightInd/>
              <w:spacing w:line="240" w:lineRule="auto"/>
              <w:jc w:val="center"/>
              <w:textAlignment w:val="auto"/>
              <w:rPr>
                <w:rFonts w:ascii="Arial" w:eastAsia="仿宋_GB2312" w:hAnsi="Arial" w:cs="Arial"/>
                <w:sz w:val="22"/>
                <w:szCs w:val="16"/>
              </w:rPr>
            </w:pPr>
            <w:r w:rsidRPr="00826D24">
              <w:rPr>
                <w:rFonts w:ascii="Arial" w:eastAsia="仿宋_GB2312" w:hAnsi="Arial" w:cs="Arial"/>
                <w:sz w:val="22"/>
                <w:szCs w:val="16"/>
              </w:rPr>
              <w:t>-</w:t>
            </w:r>
            <w:r>
              <w:rPr>
                <w:rFonts w:ascii="Arial" w:eastAsia="仿宋_GB2312" w:hAnsi="Arial" w:cs="Arial"/>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4E52BA39" w14:textId="704411AD" w:rsidR="00E651D3" w:rsidRPr="00826D24" w:rsidRDefault="000B7D55"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58519.0120</w:t>
            </w:r>
          </w:p>
        </w:tc>
      </w:tr>
      <w:tr w:rsidR="00E651D3" w:rsidRPr="00666906" w14:paraId="78A923CB"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7797C3EF"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w:t>
            </w:r>
          </w:p>
        </w:tc>
        <w:tc>
          <w:tcPr>
            <w:tcW w:w="993" w:type="pct"/>
            <w:tcBorders>
              <w:top w:val="nil"/>
              <w:left w:val="nil"/>
              <w:bottom w:val="single" w:sz="8" w:space="0" w:color="auto"/>
              <w:right w:val="nil"/>
            </w:tcBorders>
            <w:shd w:val="clear" w:color="auto" w:fill="auto"/>
            <w:vAlign w:val="center"/>
            <w:hideMark/>
          </w:tcPr>
          <w:p w14:paraId="14449539"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61D66AD"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32 </w:t>
            </w:r>
          </w:p>
        </w:tc>
        <w:tc>
          <w:tcPr>
            <w:tcW w:w="1144" w:type="pct"/>
            <w:tcBorders>
              <w:top w:val="nil"/>
              <w:left w:val="nil"/>
              <w:bottom w:val="single" w:sz="8" w:space="0" w:color="auto"/>
              <w:right w:val="single" w:sz="8" w:space="0" w:color="auto"/>
            </w:tcBorders>
            <w:shd w:val="clear" w:color="auto" w:fill="auto"/>
            <w:vAlign w:val="center"/>
            <w:hideMark/>
          </w:tcPr>
          <w:p w14:paraId="50F8D2D0" w14:textId="44F1C915" w:rsidR="00E651D3"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2385</w:t>
            </w:r>
          </w:p>
        </w:tc>
        <w:tc>
          <w:tcPr>
            <w:tcW w:w="1265" w:type="pct"/>
            <w:tcBorders>
              <w:top w:val="nil"/>
              <w:left w:val="nil"/>
              <w:bottom w:val="single" w:sz="8" w:space="0" w:color="auto"/>
              <w:right w:val="single" w:sz="8" w:space="0" w:color="auto"/>
            </w:tcBorders>
            <w:shd w:val="clear" w:color="auto" w:fill="auto"/>
            <w:vAlign w:val="center"/>
            <w:hideMark/>
          </w:tcPr>
          <w:p w14:paraId="74BC58D7" w14:textId="6EC7B799" w:rsidR="00E651D3"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7.6320</w:t>
            </w:r>
          </w:p>
        </w:tc>
      </w:tr>
      <w:tr w:rsidR="00E651D3" w:rsidRPr="00666906" w14:paraId="34BB6D89"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0BCF0DF9"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2157BA3D"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地下车库</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3D907327"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10345 </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699E7376" w14:textId="6089AF08" w:rsidR="00E651D3" w:rsidRPr="00666906"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2481</w:t>
            </w:r>
          </w:p>
        </w:tc>
        <w:tc>
          <w:tcPr>
            <w:tcW w:w="1265" w:type="pct"/>
            <w:tcBorders>
              <w:top w:val="nil"/>
              <w:left w:val="nil"/>
              <w:bottom w:val="single" w:sz="8" w:space="0" w:color="auto"/>
              <w:right w:val="single" w:sz="8" w:space="0" w:color="auto"/>
            </w:tcBorders>
            <w:shd w:val="clear" w:color="auto" w:fill="auto"/>
            <w:vAlign w:val="center"/>
            <w:hideMark/>
          </w:tcPr>
          <w:p w14:paraId="7EC05CF7" w14:textId="0CEE9128" w:rsidR="00E651D3" w:rsidRPr="00666906"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2566.5995</w:t>
            </w:r>
          </w:p>
        </w:tc>
      </w:tr>
      <w:tr w:rsidR="00E651D3" w:rsidRPr="00666906" w14:paraId="1E0C648D"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1565F9B6"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042985E6"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80286AC" w14:textId="77777777" w:rsidR="00E651D3" w:rsidRPr="00826D24" w:rsidRDefault="00E651D3"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23F53E37" w14:textId="77777777" w:rsidR="00E651D3" w:rsidRPr="00826D24" w:rsidRDefault="00E651D3"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126093A2" w14:textId="6E76D7CE" w:rsidR="00E651D3" w:rsidRPr="00826D24" w:rsidRDefault="00443EF8"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2574.2315</w:t>
            </w:r>
          </w:p>
        </w:tc>
      </w:tr>
      <w:tr w:rsidR="00E651D3" w:rsidRPr="00666906" w14:paraId="573D102A" w14:textId="77777777" w:rsidTr="00E906EE">
        <w:trPr>
          <w:trHeight w:val="420"/>
        </w:trPr>
        <w:tc>
          <w:tcPr>
            <w:tcW w:w="1598" w:type="pct"/>
            <w:gridSpan w:val="2"/>
            <w:tcBorders>
              <w:top w:val="single" w:sz="8" w:space="0" w:color="auto"/>
              <w:left w:val="single" w:sz="8" w:space="0" w:color="auto"/>
              <w:bottom w:val="single" w:sz="8" w:space="0" w:color="auto"/>
              <w:right w:val="nil"/>
            </w:tcBorders>
            <w:shd w:val="clear" w:color="auto" w:fill="auto"/>
            <w:vAlign w:val="center"/>
            <w:hideMark/>
          </w:tcPr>
          <w:p w14:paraId="5C7A3FA0"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合计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58E7C520" w14:textId="77777777" w:rsidR="00E651D3" w:rsidRPr="00826D24" w:rsidRDefault="00E651D3"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4E823AF6" w14:textId="77777777" w:rsidR="00E651D3" w:rsidRPr="00826D24" w:rsidRDefault="00E651D3"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6A90FCBF" w14:textId="708A0113" w:rsidR="00E651D3" w:rsidRPr="00826D24" w:rsidRDefault="00443EF8" w:rsidP="007F1FA0">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61093.2435</w:t>
            </w:r>
          </w:p>
        </w:tc>
      </w:tr>
    </w:tbl>
    <w:p w14:paraId="5CA200DC" w14:textId="77777777" w:rsidR="00E651D3" w:rsidRDefault="00E651D3" w:rsidP="00E651D3">
      <w:pPr>
        <w:spacing w:beforeLines="100" w:before="240" w:line="360" w:lineRule="auto"/>
        <w:ind w:firstLineChars="200" w:firstLine="560"/>
        <w:jc w:val="both"/>
        <w:rPr>
          <w:rFonts w:ascii="Arial" w:eastAsia="仿宋_GB2312" w:hAnsi="Arial" w:cs="Arial"/>
          <w:sz w:val="28"/>
        </w:rPr>
      </w:pPr>
      <w:r w:rsidRPr="00666906">
        <w:rPr>
          <w:rFonts w:ascii="Arial" w:eastAsia="仿宋_GB2312" w:hAnsi="Arial" w:cs="Arial" w:hint="eastAsia"/>
          <w:sz w:val="28"/>
        </w:rPr>
        <w:t>具体结果详见《估价结果一览表》</w:t>
      </w:r>
    </w:p>
    <w:p w14:paraId="4E07DD73" w14:textId="77777777" w:rsidR="00E651D3" w:rsidRDefault="00E651D3" w:rsidP="00E651D3">
      <w:pPr>
        <w:snapToGrid w:val="0"/>
        <w:spacing w:line="360" w:lineRule="auto"/>
        <w:ind w:firstLine="556"/>
        <w:rPr>
          <w:rFonts w:ascii="Arial" w:hAnsi="Arial" w:cs="Arial"/>
          <w:b/>
          <w:szCs w:val="28"/>
        </w:rPr>
      </w:pPr>
      <w:r>
        <w:rPr>
          <w:rFonts w:ascii="Arial" w:hAnsi="Arial" w:cs="Arial"/>
          <w:b/>
          <w:szCs w:val="28"/>
        </w:rPr>
        <w:br w:type="page"/>
      </w:r>
    </w:p>
    <w:p w14:paraId="4DB1BA0E" w14:textId="77777777" w:rsidR="0087591C" w:rsidRPr="00AF4CFE" w:rsidRDefault="0087591C" w:rsidP="0087591C">
      <w:pPr>
        <w:snapToGrid w:val="0"/>
        <w:spacing w:line="360" w:lineRule="auto"/>
        <w:ind w:firstLine="556"/>
        <w:rPr>
          <w:rFonts w:ascii="Arial" w:eastAsia="仿宋_GB2312" w:hAnsi="Arial" w:cs="Arial"/>
          <w:b/>
          <w:kern w:val="2"/>
          <w:sz w:val="28"/>
          <w:szCs w:val="28"/>
        </w:rPr>
      </w:pPr>
      <w:r w:rsidRPr="00042468">
        <w:rPr>
          <w:rFonts w:ascii="Arial" w:hAnsi="Arial" w:cs="Arial"/>
          <w:b/>
          <w:szCs w:val="28"/>
        </w:rPr>
        <w:lastRenderedPageBreak/>
        <w:sym w:font="Wingdings 2" w:char="F0C3"/>
      </w:r>
      <w:r w:rsidRPr="00042468">
        <w:rPr>
          <w:rFonts w:ascii="Arial" w:eastAsia="仿宋_GB2312" w:hAnsi="Arial" w:cs="Arial"/>
          <w:b/>
          <w:kern w:val="2"/>
          <w:sz w:val="28"/>
          <w:szCs w:val="28"/>
        </w:rPr>
        <w:t>出让底价建议</w:t>
      </w:r>
    </w:p>
    <w:p w14:paraId="363B7CAF" w14:textId="77777777" w:rsidR="0087591C" w:rsidRDefault="0087591C" w:rsidP="0087591C">
      <w:pPr>
        <w:pStyle w:val="11"/>
        <w:jc w:val="both"/>
        <w:rPr>
          <w:rFonts w:ascii="Arial" w:hAnsi="Arial" w:cs="Arial"/>
          <w:szCs w:val="28"/>
        </w:rPr>
      </w:pPr>
      <w:r>
        <w:rPr>
          <w:rFonts w:ascii="Arial" w:hAnsi="Arial" w:cs="Arial" w:hint="eastAsia"/>
        </w:rPr>
        <w:t>本次评估是</w:t>
      </w:r>
      <w:r w:rsidRPr="00F631FB">
        <w:rPr>
          <w:rFonts w:ascii="Arial" w:hAnsi="Arial" w:cs="Arial"/>
        </w:rPr>
        <w:t>为北京市规划和自然资源委员会办理该项目</w:t>
      </w:r>
      <w:r w:rsidRPr="00927BB2">
        <w:rPr>
          <w:rFonts w:ascii="Arial" w:hAnsi="Arial" w:cs="Arial" w:hint="eastAsia"/>
        </w:rPr>
        <w:t>一次性招标</w:t>
      </w:r>
      <w:r>
        <w:rPr>
          <w:rFonts w:ascii="Arial" w:hAnsi="Arial" w:cs="Arial" w:hint="eastAsia"/>
        </w:rPr>
        <w:t>出让手续</w:t>
      </w:r>
      <w:r w:rsidRPr="00F631FB">
        <w:rPr>
          <w:rFonts w:ascii="Arial" w:hAnsi="Arial" w:cs="Arial"/>
        </w:rPr>
        <w:t>提供参考</w:t>
      </w:r>
      <w:r w:rsidRPr="00F631FB">
        <w:rPr>
          <w:rFonts w:ascii="Arial" w:hAnsi="Arial" w:cs="Arial" w:hint="eastAsia"/>
        </w:rPr>
        <w:t>依据</w:t>
      </w:r>
      <w:r w:rsidRPr="00F631FB">
        <w:rPr>
          <w:rFonts w:ascii="Arial" w:hAnsi="Arial" w:cs="Arial"/>
        </w:rPr>
        <w:t>。</w:t>
      </w:r>
      <w:r>
        <w:rPr>
          <w:rFonts w:ascii="Arial" w:hAnsi="Arial" w:cs="Arial" w:hint="eastAsia"/>
        </w:rPr>
        <w:t>估价对象非特</w:t>
      </w:r>
      <w:proofErr w:type="gramStart"/>
      <w:r>
        <w:rPr>
          <w:rFonts w:ascii="Arial" w:hAnsi="Arial" w:cs="Arial" w:hint="eastAsia"/>
        </w:rPr>
        <w:t>定条件下招拍挂</w:t>
      </w:r>
      <w:proofErr w:type="gramEnd"/>
      <w:r>
        <w:rPr>
          <w:rFonts w:ascii="Arial" w:hAnsi="Arial" w:cs="Arial" w:hint="eastAsia"/>
        </w:rPr>
        <w:t>出让方式，</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Pr>
          <w:rFonts w:ascii="Arial" w:hAnsi="Arial" w:cs="Arial" w:hint="eastAsia"/>
          <w:szCs w:val="28"/>
        </w:rPr>
        <w:t>中未对一次性招标出让底价进行特殊规定，</w:t>
      </w:r>
      <w:r>
        <w:rPr>
          <w:rFonts w:ascii="Arial" w:hAnsi="Arial" w:cs="Arial" w:hint="eastAsia"/>
        </w:rPr>
        <w:t>故本次出让底价建议参考</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sidRPr="00AF4CFE">
        <w:rPr>
          <w:rFonts w:ascii="Arial" w:hAnsi="Arial" w:cs="Arial"/>
          <w:szCs w:val="28"/>
        </w:rPr>
        <w:t>对于</w:t>
      </w:r>
      <w:r>
        <w:rPr>
          <w:rFonts w:ascii="Arial" w:hAnsi="Arial" w:cs="Arial" w:hint="eastAsia"/>
          <w:szCs w:val="28"/>
        </w:rPr>
        <w:t>协议</w:t>
      </w:r>
      <w:r w:rsidRPr="00AF4CFE">
        <w:rPr>
          <w:rFonts w:ascii="Arial" w:hAnsi="Arial" w:cs="Arial"/>
          <w:szCs w:val="28"/>
        </w:rPr>
        <w:t>出让项目</w:t>
      </w:r>
      <w:r>
        <w:rPr>
          <w:rFonts w:ascii="Arial" w:hAnsi="Arial" w:cs="Arial" w:hint="eastAsia"/>
          <w:szCs w:val="28"/>
        </w:rPr>
        <w:t>的规定：</w:t>
      </w:r>
      <w:r w:rsidRPr="00AF4CFE">
        <w:rPr>
          <w:rFonts w:ascii="Arial" w:hAnsi="Arial" w:cs="Arial"/>
          <w:szCs w:val="28"/>
        </w:rPr>
        <w:t>“</w:t>
      </w:r>
      <w:r w:rsidRPr="00AF4CFE">
        <w:rPr>
          <w:rFonts w:ascii="Arial" w:hAnsi="Arial" w:cs="Arial"/>
          <w:szCs w:val="28"/>
        </w:rPr>
        <w:t>确定估价结果，并根据当地市场情况、有关法律法规和政策规定，给出底价决策建议</w:t>
      </w:r>
      <w:r w:rsidRPr="00AF4CFE">
        <w:rPr>
          <w:rFonts w:ascii="Arial" w:hAnsi="Arial" w:cs="Arial"/>
          <w:szCs w:val="28"/>
        </w:rPr>
        <w:t>”</w:t>
      </w:r>
      <w:r w:rsidRPr="00AF4CFE">
        <w:rPr>
          <w:rFonts w:ascii="Arial" w:hAnsi="Arial" w:cs="Arial"/>
          <w:szCs w:val="28"/>
        </w:rPr>
        <w:t>，出让底价应不低于宗地所在级别基准地价低限修正后结果。</w:t>
      </w:r>
    </w:p>
    <w:p w14:paraId="232B17FF" w14:textId="77777777" w:rsidR="0087591C" w:rsidRPr="000B7D55" w:rsidRDefault="0087591C" w:rsidP="0087591C">
      <w:pPr>
        <w:spacing w:line="360" w:lineRule="auto"/>
        <w:ind w:firstLineChars="200" w:firstLine="560"/>
        <w:rPr>
          <w:rFonts w:ascii="Arial" w:eastAsia="仿宋_GB2312" w:hAnsi="Arial" w:cs="Arial"/>
          <w:sz w:val="28"/>
        </w:rPr>
      </w:pPr>
      <w:r w:rsidRPr="004B7002">
        <w:rPr>
          <w:rFonts w:ascii="Arial" w:eastAsia="仿宋_GB2312" w:hAnsi="Arial" w:cs="Arial"/>
          <w:sz w:val="28"/>
          <w:szCs w:val="28"/>
        </w:rPr>
        <w:t xml:space="preserve">1. </w:t>
      </w: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p>
    <w:p w14:paraId="474463FC" w14:textId="77777777" w:rsidR="0087591C" w:rsidRDefault="0087591C" w:rsidP="0087591C">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估价对象所在</w:t>
      </w:r>
      <w:r w:rsidRPr="000B7D55">
        <w:rPr>
          <w:rFonts w:ascii="Arial" w:eastAsia="仿宋_GB2312" w:hAnsi="Arial" w:cs="Arial"/>
          <w:sz w:val="28"/>
        </w:rPr>
        <w:t>居住类</w:t>
      </w:r>
      <w:r w:rsidRPr="000B7D55">
        <w:rPr>
          <w:rFonts w:ascii="Arial" w:eastAsia="仿宋_GB2312" w:hAnsi="Arial" w:cs="Arial" w:hint="eastAsia"/>
          <w:sz w:val="28"/>
        </w:rPr>
        <w:t>二</w:t>
      </w:r>
      <w:r w:rsidRPr="000B7D55">
        <w:rPr>
          <w:rFonts w:ascii="Arial" w:eastAsia="仿宋_GB2312" w:hAnsi="Arial" w:cs="Arial"/>
          <w:sz w:val="28"/>
        </w:rPr>
        <w:t>级</w:t>
      </w:r>
      <w:r w:rsidRPr="000B7D55">
        <w:rPr>
          <w:rFonts w:ascii="Arial" w:eastAsia="仿宋_GB2312" w:hAnsi="Arial" w:cs="Arial" w:hint="eastAsia"/>
          <w:sz w:val="28"/>
        </w:rPr>
        <w:t>Ⅱ</w:t>
      </w:r>
      <w:r w:rsidRPr="000B7D55">
        <w:rPr>
          <w:rFonts w:ascii="Arial" w:eastAsia="仿宋_GB2312" w:hAnsi="Arial" w:cs="Arial"/>
          <w:sz w:val="28"/>
        </w:rPr>
        <w:t>-0</w:t>
      </w:r>
      <w:r w:rsidRPr="000B7D55">
        <w:rPr>
          <w:rFonts w:ascii="Arial" w:eastAsia="仿宋_GB2312" w:hAnsi="Arial" w:cs="Arial" w:hint="eastAsia"/>
          <w:sz w:val="28"/>
        </w:rPr>
        <w:t>3</w:t>
      </w:r>
      <w:r w:rsidRPr="000B7D55">
        <w:rPr>
          <w:rFonts w:ascii="Arial" w:eastAsia="仿宋_GB2312" w:hAnsi="Arial" w:cs="Arial"/>
          <w:sz w:val="28"/>
        </w:rPr>
        <w:t>区片、商业类三级</w:t>
      </w:r>
      <w:r w:rsidRPr="000B7D55">
        <w:rPr>
          <w:rFonts w:ascii="Arial" w:eastAsia="仿宋_GB2312" w:hAnsi="Arial" w:cs="Arial" w:hint="eastAsia"/>
          <w:sz w:val="28"/>
        </w:rPr>
        <w:t>Ⅲ</w:t>
      </w:r>
      <w:r w:rsidRPr="000B7D55">
        <w:rPr>
          <w:rFonts w:ascii="Arial" w:eastAsia="仿宋_GB2312" w:hAnsi="Arial" w:cs="Arial"/>
          <w:sz w:val="28"/>
        </w:rPr>
        <w:t>-06</w:t>
      </w:r>
      <w:r w:rsidRPr="000B7D55">
        <w:rPr>
          <w:rFonts w:ascii="Arial" w:eastAsia="仿宋_GB2312" w:hAnsi="Arial" w:cs="Arial"/>
          <w:sz w:val="28"/>
        </w:rPr>
        <w:t>区片、办公类</w:t>
      </w:r>
      <w:r w:rsidRPr="000B7D55">
        <w:rPr>
          <w:rFonts w:ascii="Arial" w:eastAsia="仿宋_GB2312" w:hAnsi="Arial" w:cs="Arial" w:hint="eastAsia"/>
          <w:sz w:val="28"/>
        </w:rPr>
        <w:t>二</w:t>
      </w:r>
      <w:r w:rsidRPr="000B7D55">
        <w:rPr>
          <w:rFonts w:ascii="Arial" w:eastAsia="仿宋_GB2312" w:hAnsi="Arial" w:cs="Arial"/>
          <w:sz w:val="28"/>
        </w:rPr>
        <w:t>级</w:t>
      </w:r>
      <w:r w:rsidRPr="000B7D55">
        <w:rPr>
          <w:rFonts w:ascii="Arial" w:eastAsia="仿宋_GB2312" w:hAnsi="Arial" w:cs="Arial" w:hint="eastAsia"/>
          <w:sz w:val="28"/>
        </w:rPr>
        <w:t>Ⅱ</w:t>
      </w:r>
      <w:r w:rsidRPr="000B7D55">
        <w:rPr>
          <w:rFonts w:ascii="Arial" w:eastAsia="仿宋_GB2312" w:hAnsi="Arial" w:cs="Arial"/>
          <w:sz w:val="28"/>
        </w:rPr>
        <w:t>-0</w:t>
      </w:r>
      <w:r w:rsidRPr="000B7D55">
        <w:rPr>
          <w:rFonts w:ascii="Arial" w:eastAsia="仿宋_GB2312" w:hAnsi="Arial" w:cs="Arial" w:hint="eastAsia"/>
          <w:sz w:val="28"/>
        </w:rPr>
        <w:t>3</w:t>
      </w:r>
      <w:r w:rsidRPr="000B7D55">
        <w:rPr>
          <w:rFonts w:ascii="Arial" w:eastAsia="仿宋_GB2312" w:hAnsi="Arial" w:cs="Arial"/>
          <w:sz w:val="28"/>
        </w:rPr>
        <w:t>区片</w:t>
      </w:r>
      <w:r w:rsidRPr="000B7D55">
        <w:rPr>
          <w:rFonts w:ascii="Arial" w:eastAsia="仿宋_GB2312" w:hAnsi="Arial" w:cs="Arial" w:hint="eastAsia"/>
          <w:sz w:val="28"/>
        </w:rPr>
        <w:t>内</w:t>
      </w:r>
      <w:r>
        <w:rPr>
          <w:rFonts w:ascii="Arial" w:eastAsia="仿宋_GB2312" w:hAnsi="Arial" w:cs="Arial" w:hint="eastAsia"/>
          <w:sz w:val="28"/>
        </w:rPr>
        <w:t>；</w:t>
      </w:r>
      <w:r w:rsidRPr="000B7D55">
        <w:rPr>
          <w:rFonts w:ascii="Arial" w:eastAsia="仿宋_GB2312" w:hAnsi="Arial" w:cs="Arial"/>
          <w:sz w:val="28"/>
        </w:rPr>
        <w:t>居住类</w:t>
      </w:r>
      <w:r w:rsidRPr="000B7D55">
        <w:rPr>
          <w:rFonts w:ascii="Arial" w:eastAsia="仿宋_GB2312" w:hAnsi="Arial" w:cs="Arial" w:hint="eastAsia"/>
          <w:sz w:val="28"/>
        </w:rPr>
        <w:t>二</w:t>
      </w:r>
      <w:r w:rsidRPr="000B7D55">
        <w:rPr>
          <w:rFonts w:ascii="Arial" w:eastAsia="仿宋_GB2312" w:hAnsi="Arial" w:cs="Arial"/>
          <w:sz w:val="28"/>
        </w:rPr>
        <w:t>级</w:t>
      </w:r>
      <w:r w:rsidRPr="004B7002">
        <w:rPr>
          <w:rFonts w:ascii="Arial" w:eastAsia="仿宋_GB2312" w:hAnsi="Arial" w:cs="Arial"/>
          <w:sz w:val="28"/>
        </w:rPr>
        <w:t>区片价区间为</w:t>
      </w:r>
      <w:r>
        <w:rPr>
          <w:rFonts w:ascii="Arial" w:eastAsia="仿宋_GB2312" w:hAnsi="Arial" w:cs="Arial"/>
          <w:sz w:val="28"/>
        </w:rPr>
        <w:t>21250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27790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0B7D55">
        <w:rPr>
          <w:rFonts w:ascii="Arial" w:eastAsia="仿宋_GB2312" w:hAnsi="Arial" w:cs="Arial"/>
          <w:sz w:val="28"/>
        </w:rPr>
        <w:t>、商业类三级</w:t>
      </w:r>
      <w:r w:rsidRPr="004B7002">
        <w:rPr>
          <w:rFonts w:ascii="Arial" w:eastAsia="仿宋_GB2312" w:hAnsi="Arial" w:cs="Arial"/>
          <w:sz w:val="28"/>
        </w:rPr>
        <w:t>区片价区间为</w:t>
      </w:r>
      <w:r>
        <w:rPr>
          <w:rFonts w:ascii="Arial" w:eastAsia="仿宋_GB2312" w:hAnsi="Arial" w:cs="Arial"/>
          <w:sz w:val="28"/>
        </w:rPr>
        <w:t>17430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24410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0B7D55">
        <w:rPr>
          <w:rFonts w:ascii="Arial" w:eastAsia="仿宋_GB2312" w:hAnsi="Arial" w:cs="Arial"/>
          <w:sz w:val="28"/>
        </w:rPr>
        <w:t>、办公类</w:t>
      </w:r>
      <w:r w:rsidRPr="000B7D55">
        <w:rPr>
          <w:rFonts w:ascii="Arial" w:eastAsia="仿宋_GB2312" w:hAnsi="Arial" w:cs="Arial" w:hint="eastAsia"/>
          <w:sz w:val="28"/>
        </w:rPr>
        <w:t>二</w:t>
      </w:r>
      <w:r w:rsidRPr="000B7D55">
        <w:rPr>
          <w:rFonts w:ascii="Arial" w:eastAsia="仿宋_GB2312" w:hAnsi="Arial" w:cs="Arial"/>
          <w:sz w:val="28"/>
        </w:rPr>
        <w:t>级</w:t>
      </w:r>
      <w:r w:rsidRPr="004B7002">
        <w:rPr>
          <w:rFonts w:ascii="Arial" w:eastAsia="仿宋_GB2312" w:hAnsi="Arial" w:cs="Arial"/>
          <w:sz w:val="28"/>
        </w:rPr>
        <w:t>区片价区间为</w:t>
      </w:r>
      <w:r>
        <w:rPr>
          <w:rFonts w:ascii="Arial" w:eastAsia="仿宋_GB2312" w:hAnsi="Arial" w:cs="Arial"/>
          <w:sz w:val="28"/>
        </w:rPr>
        <w:t>21480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28080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Pr>
          <w:rFonts w:ascii="Arial" w:eastAsia="仿宋_GB2312" w:hAnsi="Arial" w:cs="Arial" w:hint="eastAsia"/>
          <w:sz w:val="28"/>
        </w:rPr>
        <w:t>，</w:t>
      </w:r>
      <w:r w:rsidRPr="004B7002">
        <w:rPr>
          <w:rFonts w:ascii="Arial" w:eastAsia="仿宋_GB2312" w:hAnsi="Arial" w:cs="Arial"/>
          <w:sz w:val="28"/>
        </w:rPr>
        <w:t>对其对应的各用途基准地价级别低限进行修正，过程和结果见下表：</w:t>
      </w:r>
    </w:p>
    <w:p w14:paraId="25BC85ED" w14:textId="77777777" w:rsidR="0087591C" w:rsidRPr="004B7002" w:rsidRDefault="0087591C" w:rsidP="0087591C">
      <w:pPr>
        <w:spacing w:line="360" w:lineRule="auto"/>
        <w:ind w:firstLineChars="200" w:firstLine="560"/>
        <w:jc w:val="both"/>
        <w:rPr>
          <w:rFonts w:ascii="Arial" w:eastAsia="仿宋_GB2312" w:hAnsi="Arial" w:cs="Arial"/>
          <w:sz w:val="28"/>
        </w:rPr>
      </w:pPr>
    </w:p>
    <w:tbl>
      <w:tblPr>
        <w:tblStyle w:val="aff5"/>
        <w:tblW w:w="9640" w:type="dxa"/>
        <w:jc w:val="center"/>
        <w:tblLook w:val="04A0" w:firstRow="1" w:lastRow="0" w:firstColumn="1" w:lastColumn="0" w:noHBand="0" w:noVBand="1"/>
      </w:tblPr>
      <w:tblGrid>
        <w:gridCol w:w="662"/>
        <w:gridCol w:w="703"/>
        <w:gridCol w:w="771"/>
        <w:gridCol w:w="767"/>
        <w:gridCol w:w="789"/>
        <w:gridCol w:w="767"/>
        <w:gridCol w:w="810"/>
        <w:gridCol w:w="808"/>
        <w:gridCol w:w="767"/>
        <w:gridCol w:w="662"/>
        <w:gridCol w:w="967"/>
        <w:gridCol w:w="1167"/>
      </w:tblGrid>
      <w:tr w:rsidR="0087591C" w:rsidRPr="004B7002" w14:paraId="2A7771CC" w14:textId="77777777" w:rsidTr="005D5BB3">
        <w:trPr>
          <w:jc w:val="center"/>
        </w:trPr>
        <w:tc>
          <w:tcPr>
            <w:tcW w:w="662" w:type="dxa"/>
            <w:vAlign w:val="center"/>
          </w:tcPr>
          <w:p w14:paraId="4C6AA499" w14:textId="77777777" w:rsidR="0087591C" w:rsidRPr="004B7002" w:rsidRDefault="0087591C" w:rsidP="005D5BB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lastRenderedPageBreak/>
              <w:t>用途</w:t>
            </w:r>
          </w:p>
        </w:tc>
        <w:tc>
          <w:tcPr>
            <w:tcW w:w="703" w:type="dxa"/>
            <w:vAlign w:val="center"/>
          </w:tcPr>
          <w:p w14:paraId="323950B5" w14:textId="77777777" w:rsidR="0087591C" w:rsidRPr="004B7002" w:rsidRDefault="0087591C" w:rsidP="005D5BB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土地级别</w:t>
            </w:r>
          </w:p>
        </w:tc>
        <w:tc>
          <w:tcPr>
            <w:tcW w:w="771" w:type="dxa"/>
            <w:vAlign w:val="center"/>
          </w:tcPr>
          <w:p w14:paraId="5BDA0266" w14:textId="77777777" w:rsidR="0087591C" w:rsidRPr="004B7002" w:rsidRDefault="0087591C" w:rsidP="005D5BB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所在级别低限基准地价</w:t>
            </w:r>
          </w:p>
        </w:tc>
        <w:tc>
          <w:tcPr>
            <w:tcW w:w="767" w:type="dxa"/>
            <w:vAlign w:val="center"/>
          </w:tcPr>
          <w:p w14:paraId="559AEA4E" w14:textId="77777777" w:rsidR="0087591C" w:rsidRPr="004B7002" w:rsidRDefault="0087591C" w:rsidP="005D5BB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期日修正系数</w:t>
            </w:r>
          </w:p>
        </w:tc>
        <w:tc>
          <w:tcPr>
            <w:tcW w:w="789" w:type="dxa"/>
            <w:vAlign w:val="center"/>
          </w:tcPr>
          <w:p w14:paraId="331B97B7" w14:textId="77777777" w:rsidR="0087591C" w:rsidRPr="004B7002" w:rsidRDefault="0087591C" w:rsidP="005D5BB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年期修正系数</w:t>
            </w:r>
          </w:p>
        </w:tc>
        <w:tc>
          <w:tcPr>
            <w:tcW w:w="767" w:type="dxa"/>
            <w:vAlign w:val="center"/>
          </w:tcPr>
          <w:p w14:paraId="4498181A" w14:textId="77777777" w:rsidR="0087591C" w:rsidRPr="004B7002" w:rsidRDefault="0087591C" w:rsidP="005D5BB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hint="eastAsia"/>
                <w:b/>
                <w:color w:val="000000"/>
                <w:sz w:val="18"/>
                <w:szCs w:val="18"/>
              </w:rPr>
              <w:t>容积率修正系数</w:t>
            </w:r>
          </w:p>
        </w:tc>
        <w:tc>
          <w:tcPr>
            <w:tcW w:w="810" w:type="dxa"/>
            <w:vAlign w:val="center"/>
          </w:tcPr>
          <w:p w14:paraId="19E1885F" w14:textId="77777777" w:rsidR="0087591C" w:rsidRPr="004B7002" w:rsidRDefault="0087591C" w:rsidP="005D5BB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因素修正系数</w:t>
            </w:r>
          </w:p>
        </w:tc>
        <w:tc>
          <w:tcPr>
            <w:tcW w:w="808" w:type="dxa"/>
            <w:vAlign w:val="center"/>
          </w:tcPr>
          <w:p w14:paraId="7C395FB4" w14:textId="77777777" w:rsidR="0087591C" w:rsidRPr="004B7002" w:rsidRDefault="0087591C" w:rsidP="005D5BB3">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r>
              <w:rPr>
                <w:rFonts w:ascii="Arial" w:eastAsia="仿宋_GB2312" w:hAnsi="Arial" w:cs="Arial"/>
                <w:b/>
                <w:color w:val="000000"/>
                <w:sz w:val="18"/>
                <w:szCs w:val="18"/>
              </w:rPr>
              <w:t>/</w:t>
            </w:r>
            <w:r>
              <w:rPr>
                <w:rFonts w:ascii="Arial" w:eastAsia="仿宋_GB2312" w:hAnsi="Arial" w:cs="Arial" w:hint="eastAsia"/>
                <w:b/>
                <w:color w:val="000000"/>
                <w:sz w:val="18"/>
                <w:szCs w:val="18"/>
              </w:rPr>
              <w:t>地下空间修正系数</w:t>
            </w:r>
          </w:p>
        </w:tc>
        <w:tc>
          <w:tcPr>
            <w:tcW w:w="767" w:type="dxa"/>
            <w:vAlign w:val="center"/>
          </w:tcPr>
          <w:p w14:paraId="40196943" w14:textId="77777777" w:rsidR="0087591C" w:rsidRPr="004B7002" w:rsidRDefault="0087591C" w:rsidP="005D5BB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楼面熟地价</w:t>
            </w:r>
          </w:p>
        </w:tc>
        <w:tc>
          <w:tcPr>
            <w:tcW w:w="662" w:type="dxa"/>
            <w:vAlign w:val="center"/>
          </w:tcPr>
          <w:p w14:paraId="29E80655" w14:textId="77777777" w:rsidR="0087591C" w:rsidRPr="004B7002" w:rsidRDefault="0087591C" w:rsidP="005D5BB3">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政府土地出让收益</w:t>
            </w:r>
          </w:p>
        </w:tc>
        <w:tc>
          <w:tcPr>
            <w:tcW w:w="967" w:type="dxa"/>
            <w:vAlign w:val="center"/>
          </w:tcPr>
          <w:p w14:paraId="4547C04C" w14:textId="77777777" w:rsidR="0087591C" w:rsidRPr="0063620D" w:rsidRDefault="0087591C" w:rsidP="005D5BB3">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建筑面积</w:t>
            </w:r>
          </w:p>
        </w:tc>
        <w:tc>
          <w:tcPr>
            <w:tcW w:w="1167" w:type="dxa"/>
            <w:vAlign w:val="center"/>
          </w:tcPr>
          <w:p w14:paraId="6CA90025" w14:textId="77777777" w:rsidR="0087591C" w:rsidRPr="0063620D" w:rsidRDefault="0087591C" w:rsidP="005D5BB3">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w:t>
            </w:r>
            <w:r>
              <w:rPr>
                <w:rFonts w:ascii="Arial" w:eastAsia="仿宋_GB2312" w:hAnsi="Arial" w:cs="Arial" w:hint="eastAsia"/>
                <w:b/>
                <w:color w:val="000000"/>
                <w:sz w:val="18"/>
                <w:szCs w:val="18"/>
              </w:rPr>
              <w:t>总</w:t>
            </w:r>
            <w:r w:rsidRPr="0063620D">
              <w:rPr>
                <w:rFonts w:ascii="Arial" w:eastAsia="仿宋_GB2312" w:hAnsi="Arial" w:cs="Arial" w:hint="eastAsia"/>
                <w:b/>
                <w:color w:val="000000"/>
                <w:sz w:val="18"/>
                <w:szCs w:val="18"/>
              </w:rPr>
              <w:t>收益</w:t>
            </w:r>
          </w:p>
        </w:tc>
      </w:tr>
      <w:tr w:rsidR="0087591C" w:rsidRPr="004B7002" w14:paraId="6AD98E2F" w14:textId="77777777" w:rsidTr="005D5BB3">
        <w:trPr>
          <w:jc w:val="center"/>
        </w:trPr>
        <w:tc>
          <w:tcPr>
            <w:tcW w:w="662" w:type="dxa"/>
            <w:vAlign w:val="center"/>
          </w:tcPr>
          <w:p w14:paraId="43555761"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住宅</w:t>
            </w:r>
          </w:p>
        </w:tc>
        <w:tc>
          <w:tcPr>
            <w:tcW w:w="703" w:type="dxa"/>
            <w:vAlign w:val="center"/>
          </w:tcPr>
          <w:p w14:paraId="3C060DE3"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4F4F9BA6"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3C131582"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432CECC6"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2D844BE3"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0.865</w:t>
            </w:r>
            <w:r>
              <w:rPr>
                <w:rFonts w:ascii="Arial" w:eastAsia="仿宋_GB2312" w:hAnsi="Arial" w:cs="Arial"/>
                <w:color w:val="000000"/>
                <w:sz w:val="18"/>
                <w:szCs w:val="18"/>
              </w:rPr>
              <w:t>2</w:t>
            </w:r>
          </w:p>
        </w:tc>
        <w:tc>
          <w:tcPr>
            <w:tcW w:w="810" w:type="dxa"/>
            <w:vAlign w:val="center"/>
          </w:tcPr>
          <w:p w14:paraId="476002C7"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495778CA" w14:textId="77777777" w:rsidR="0087591C" w:rsidRPr="0020403B" w:rsidRDefault="0087591C" w:rsidP="005D5BB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3BC1B7D2" w14:textId="77777777" w:rsidR="0087591C" w:rsidRPr="004B7002" w:rsidRDefault="0087591C" w:rsidP="005D5BB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3</w:t>
            </w:r>
            <w:r>
              <w:rPr>
                <w:rFonts w:ascii="Arial" w:eastAsia="仿宋_GB2312" w:hAnsi="Arial" w:cs="Arial"/>
                <w:b/>
                <w:bCs/>
                <w:color w:val="000000"/>
                <w:sz w:val="18"/>
                <w:szCs w:val="18"/>
              </w:rPr>
              <w:t>4471</w:t>
            </w:r>
          </w:p>
        </w:tc>
        <w:tc>
          <w:tcPr>
            <w:tcW w:w="662" w:type="dxa"/>
            <w:vAlign w:val="center"/>
          </w:tcPr>
          <w:p w14:paraId="11B5D659"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8</w:t>
            </w:r>
            <w:r>
              <w:rPr>
                <w:rFonts w:ascii="Arial" w:eastAsia="仿宋_GB2312" w:hAnsi="Arial" w:cs="Arial"/>
                <w:b/>
                <w:bCs/>
                <w:color w:val="000000"/>
                <w:sz w:val="18"/>
                <w:szCs w:val="18"/>
              </w:rPr>
              <w:t>618</w:t>
            </w:r>
          </w:p>
        </w:tc>
        <w:tc>
          <w:tcPr>
            <w:tcW w:w="967" w:type="dxa"/>
            <w:vAlign w:val="center"/>
          </w:tcPr>
          <w:p w14:paraId="07ECCCC2"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28075</w:t>
            </w:r>
          </w:p>
        </w:tc>
        <w:tc>
          <w:tcPr>
            <w:tcW w:w="1167" w:type="dxa"/>
            <w:vAlign w:val="center"/>
          </w:tcPr>
          <w:p w14:paraId="2277D956"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24195.035</w:t>
            </w:r>
            <w:r>
              <w:rPr>
                <w:rFonts w:ascii="Arial" w:eastAsia="仿宋_GB2312" w:hAnsi="Arial" w:cs="Arial"/>
                <w:b/>
                <w:bCs/>
                <w:color w:val="000000"/>
                <w:sz w:val="18"/>
                <w:szCs w:val="18"/>
              </w:rPr>
              <w:t>0</w:t>
            </w:r>
          </w:p>
        </w:tc>
      </w:tr>
      <w:tr w:rsidR="0087591C" w:rsidRPr="004B7002" w14:paraId="0920122E" w14:textId="77777777" w:rsidTr="005D5BB3">
        <w:trPr>
          <w:jc w:val="center"/>
        </w:trPr>
        <w:tc>
          <w:tcPr>
            <w:tcW w:w="662" w:type="dxa"/>
            <w:vAlign w:val="center"/>
          </w:tcPr>
          <w:p w14:paraId="37308807"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703" w:type="dxa"/>
            <w:vAlign w:val="center"/>
          </w:tcPr>
          <w:p w14:paraId="5BDF3E32"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Ⅲ</w:t>
            </w:r>
            <w:r w:rsidRPr="0063620D">
              <w:rPr>
                <w:rFonts w:ascii="Arial" w:eastAsia="仿宋_GB2312" w:hAnsi="Arial" w:cs="Arial" w:hint="eastAsia"/>
                <w:color w:val="000000"/>
                <w:sz w:val="18"/>
                <w:szCs w:val="18"/>
              </w:rPr>
              <w:t>-06</w:t>
            </w:r>
          </w:p>
        </w:tc>
        <w:tc>
          <w:tcPr>
            <w:tcW w:w="771" w:type="dxa"/>
            <w:vAlign w:val="center"/>
          </w:tcPr>
          <w:p w14:paraId="1E61F336"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767" w:type="dxa"/>
            <w:vAlign w:val="center"/>
          </w:tcPr>
          <w:p w14:paraId="2EBC1970"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0128A7B9"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0FB70301"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.8175</w:t>
            </w:r>
          </w:p>
        </w:tc>
        <w:tc>
          <w:tcPr>
            <w:tcW w:w="810" w:type="dxa"/>
            <w:vAlign w:val="center"/>
          </w:tcPr>
          <w:p w14:paraId="7AFB09F0"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.0535</w:t>
            </w:r>
          </w:p>
        </w:tc>
        <w:tc>
          <w:tcPr>
            <w:tcW w:w="808" w:type="dxa"/>
            <w:vAlign w:val="center"/>
          </w:tcPr>
          <w:p w14:paraId="0BB939F5" w14:textId="77777777" w:rsidR="0087591C" w:rsidRPr="0020403B" w:rsidRDefault="0087591C" w:rsidP="005D5BB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5BF12E50" w14:textId="77777777" w:rsidR="0087591C" w:rsidRPr="004B7002" w:rsidRDefault="0087591C" w:rsidP="005D5BB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0960</w:t>
            </w:r>
          </w:p>
        </w:tc>
        <w:tc>
          <w:tcPr>
            <w:tcW w:w="662" w:type="dxa"/>
            <w:vAlign w:val="center"/>
          </w:tcPr>
          <w:p w14:paraId="4E8AA9C0"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5</w:t>
            </w:r>
            <w:r>
              <w:rPr>
                <w:rFonts w:ascii="Arial" w:eastAsia="仿宋_GB2312" w:hAnsi="Arial" w:cs="Arial"/>
                <w:b/>
                <w:bCs/>
                <w:color w:val="000000"/>
                <w:sz w:val="18"/>
                <w:szCs w:val="18"/>
              </w:rPr>
              <w:t>240</w:t>
            </w:r>
          </w:p>
        </w:tc>
        <w:tc>
          <w:tcPr>
            <w:tcW w:w="967" w:type="dxa"/>
            <w:vAlign w:val="center"/>
          </w:tcPr>
          <w:p w14:paraId="389EF9CD"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3318</w:t>
            </w:r>
          </w:p>
        </w:tc>
        <w:tc>
          <w:tcPr>
            <w:tcW w:w="1167" w:type="dxa"/>
            <w:vAlign w:val="center"/>
          </w:tcPr>
          <w:p w14:paraId="45E1F926"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1738.632</w:t>
            </w:r>
            <w:r>
              <w:rPr>
                <w:rFonts w:ascii="Arial" w:eastAsia="仿宋_GB2312" w:hAnsi="Arial" w:cs="Arial"/>
                <w:b/>
                <w:bCs/>
                <w:color w:val="000000"/>
                <w:sz w:val="18"/>
                <w:szCs w:val="18"/>
              </w:rPr>
              <w:t>0</w:t>
            </w:r>
          </w:p>
        </w:tc>
      </w:tr>
      <w:tr w:rsidR="0087591C" w:rsidRPr="004B7002" w14:paraId="065BA90B" w14:textId="77777777" w:rsidTr="005D5BB3">
        <w:trPr>
          <w:jc w:val="center"/>
        </w:trPr>
        <w:tc>
          <w:tcPr>
            <w:tcW w:w="662" w:type="dxa"/>
            <w:vAlign w:val="center"/>
          </w:tcPr>
          <w:p w14:paraId="2E662D5A"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办公</w:t>
            </w:r>
          </w:p>
        </w:tc>
        <w:tc>
          <w:tcPr>
            <w:tcW w:w="703" w:type="dxa"/>
            <w:vAlign w:val="center"/>
          </w:tcPr>
          <w:p w14:paraId="20E6A9D8"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4C0E7645"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61DC14C0"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5314E1DD"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6329CC80"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.9151</w:t>
            </w:r>
          </w:p>
        </w:tc>
        <w:tc>
          <w:tcPr>
            <w:tcW w:w="810" w:type="dxa"/>
            <w:vAlign w:val="center"/>
          </w:tcPr>
          <w:p w14:paraId="559735F2"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24FD70E3" w14:textId="77777777" w:rsidR="0087591C" w:rsidRPr="0020403B" w:rsidRDefault="0087591C" w:rsidP="005D5BB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29E0847D" w14:textId="77777777" w:rsidR="0087591C" w:rsidRPr="004B7002" w:rsidRDefault="0087591C" w:rsidP="005D5BB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8536</w:t>
            </w:r>
          </w:p>
        </w:tc>
        <w:tc>
          <w:tcPr>
            <w:tcW w:w="662" w:type="dxa"/>
            <w:vAlign w:val="center"/>
          </w:tcPr>
          <w:p w14:paraId="254788F4"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7</w:t>
            </w:r>
            <w:r>
              <w:rPr>
                <w:rFonts w:ascii="Arial" w:eastAsia="仿宋_GB2312" w:hAnsi="Arial" w:cs="Arial"/>
                <w:b/>
                <w:bCs/>
                <w:color w:val="000000"/>
                <w:sz w:val="18"/>
                <w:szCs w:val="18"/>
              </w:rPr>
              <w:t>134</w:t>
            </w:r>
          </w:p>
        </w:tc>
        <w:tc>
          <w:tcPr>
            <w:tcW w:w="967" w:type="dxa"/>
            <w:vAlign w:val="center"/>
          </w:tcPr>
          <w:p w14:paraId="445DAE70"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118</w:t>
            </w:r>
          </w:p>
        </w:tc>
        <w:tc>
          <w:tcPr>
            <w:tcW w:w="1167" w:type="dxa"/>
            <w:vAlign w:val="center"/>
          </w:tcPr>
          <w:p w14:paraId="58F9E88F"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84.1812</w:t>
            </w:r>
          </w:p>
        </w:tc>
      </w:tr>
      <w:tr w:rsidR="0087591C" w:rsidRPr="004B7002" w14:paraId="14699A41" w14:textId="77777777" w:rsidTr="005D5BB3">
        <w:trPr>
          <w:jc w:val="center"/>
        </w:trPr>
        <w:tc>
          <w:tcPr>
            <w:tcW w:w="662" w:type="dxa"/>
            <w:vAlign w:val="center"/>
          </w:tcPr>
          <w:p w14:paraId="0570BE7A" w14:textId="77777777" w:rsidR="0087591C"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703" w:type="dxa"/>
            <w:vAlign w:val="center"/>
          </w:tcPr>
          <w:p w14:paraId="5147F9A1"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51406EE1"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2FEA7BF7"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51A27E7B"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61DB2706"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2F74F210"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34772455" w14:textId="77777777" w:rsidR="0087591C" w:rsidRPr="0020403B" w:rsidRDefault="0087591C" w:rsidP="005D5BB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0.3</w:t>
            </w:r>
          </w:p>
        </w:tc>
        <w:tc>
          <w:tcPr>
            <w:tcW w:w="767" w:type="dxa"/>
            <w:vAlign w:val="center"/>
          </w:tcPr>
          <w:p w14:paraId="59B9A685" w14:textId="77777777" w:rsidR="0087591C" w:rsidRPr="004B7002" w:rsidRDefault="0087591C" w:rsidP="005D5BB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355</w:t>
            </w:r>
          </w:p>
        </w:tc>
        <w:tc>
          <w:tcPr>
            <w:tcW w:w="662" w:type="dxa"/>
            <w:vAlign w:val="center"/>
          </w:tcPr>
          <w:p w14:paraId="42362DC2"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339</w:t>
            </w:r>
          </w:p>
        </w:tc>
        <w:tc>
          <w:tcPr>
            <w:tcW w:w="967" w:type="dxa"/>
            <w:vAlign w:val="center"/>
          </w:tcPr>
          <w:p w14:paraId="33864577"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32</w:t>
            </w:r>
          </w:p>
        </w:tc>
        <w:tc>
          <w:tcPr>
            <w:tcW w:w="1167" w:type="dxa"/>
            <w:vAlign w:val="center"/>
          </w:tcPr>
          <w:p w14:paraId="4123C5D7"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7.4848</w:t>
            </w:r>
          </w:p>
        </w:tc>
      </w:tr>
      <w:tr w:rsidR="0087591C" w:rsidRPr="004B7002" w14:paraId="04902F9D" w14:textId="77777777" w:rsidTr="005D5BB3">
        <w:trPr>
          <w:jc w:val="center"/>
        </w:trPr>
        <w:tc>
          <w:tcPr>
            <w:tcW w:w="662" w:type="dxa"/>
            <w:vAlign w:val="center"/>
          </w:tcPr>
          <w:p w14:paraId="324F7E97" w14:textId="77777777" w:rsidR="0087591C"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地下车库</w:t>
            </w:r>
          </w:p>
        </w:tc>
        <w:tc>
          <w:tcPr>
            <w:tcW w:w="703" w:type="dxa"/>
            <w:vAlign w:val="center"/>
          </w:tcPr>
          <w:p w14:paraId="2EB82B91"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6A6C22CE"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51801D77"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3AF735E6"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38DB7FF6"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10" w:type="dxa"/>
            <w:vAlign w:val="center"/>
          </w:tcPr>
          <w:p w14:paraId="57C8DE2D"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50004E12" w14:textId="77777777" w:rsidR="0087591C" w:rsidRPr="0020403B" w:rsidRDefault="0087591C" w:rsidP="005D5BB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0.25</w:t>
            </w:r>
          </w:p>
        </w:tc>
        <w:tc>
          <w:tcPr>
            <w:tcW w:w="767" w:type="dxa"/>
            <w:vAlign w:val="center"/>
          </w:tcPr>
          <w:p w14:paraId="36BFEDB1" w14:textId="77777777" w:rsidR="0087591C" w:rsidRPr="004B7002" w:rsidRDefault="0087591C" w:rsidP="005D5BB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960</w:t>
            </w:r>
          </w:p>
        </w:tc>
        <w:tc>
          <w:tcPr>
            <w:tcW w:w="662" w:type="dxa"/>
            <w:vAlign w:val="center"/>
          </w:tcPr>
          <w:p w14:paraId="7C0E8161"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490</w:t>
            </w:r>
          </w:p>
        </w:tc>
        <w:tc>
          <w:tcPr>
            <w:tcW w:w="967" w:type="dxa"/>
            <w:vAlign w:val="center"/>
          </w:tcPr>
          <w:p w14:paraId="53865D86"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10345.02</w:t>
            </w:r>
          </w:p>
        </w:tc>
        <w:tc>
          <w:tcPr>
            <w:tcW w:w="1167" w:type="dxa"/>
            <w:vAlign w:val="center"/>
          </w:tcPr>
          <w:p w14:paraId="64BEBE1C"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2575.91</w:t>
            </w:r>
            <w:r>
              <w:rPr>
                <w:rFonts w:ascii="Arial" w:eastAsia="仿宋_GB2312" w:hAnsi="Arial" w:cs="Arial"/>
                <w:b/>
                <w:bCs/>
                <w:color w:val="000000"/>
                <w:sz w:val="18"/>
                <w:szCs w:val="18"/>
              </w:rPr>
              <w:t>00</w:t>
            </w:r>
          </w:p>
        </w:tc>
      </w:tr>
      <w:tr w:rsidR="0087591C" w:rsidRPr="004B7002" w14:paraId="24AB7CD5" w14:textId="77777777" w:rsidTr="005D5BB3">
        <w:trPr>
          <w:jc w:val="center"/>
        </w:trPr>
        <w:tc>
          <w:tcPr>
            <w:tcW w:w="662" w:type="dxa"/>
            <w:vAlign w:val="center"/>
          </w:tcPr>
          <w:p w14:paraId="2A7F3BAE" w14:textId="77777777" w:rsidR="0087591C"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合计</w:t>
            </w:r>
          </w:p>
        </w:tc>
        <w:tc>
          <w:tcPr>
            <w:tcW w:w="703" w:type="dxa"/>
            <w:vAlign w:val="center"/>
          </w:tcPr>
          <w:p w14:paraId="6E214B0A" w14:textId="77777777" w:rsidR="0087591C"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0E48ADC1" w14:textId="77777777" w:rsidR="0087591C"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153E86FA"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89" w:type="dxa"/>
            <w:vAlign w:val="center"/>
          </w:tcPr>
          <w:p w14:paraId="1ACCF1B3"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43612171" w14:textId="77777777" w:rsidR="0087591C"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004CB57C"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08" w:type="dxa"/>
            <w:vAlign w:val="center"/>
          </w:tcPr>
          <w:p w14:paraId="19DB09D3"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767" w:type="dxa"/>
            <w:vAlign w:val="center"/>
          </w:tcPr>
          <w:p w14:paraId="0314AAD7" w14:textId="77777777" w:rsidR="0087591C" w:rsidRDefault="0087591C" w:rsidP="005D5BB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662" w:type="dxa"/>
            <w:vAlign w:val="center"/>
          </w:tcPr>
          <w:p w14:paraId="4AEAAB04"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967" w:type="dxa"/>
            <w:vAlign w:val="center"/>
          </w:tcPr>
          <w:p w14:paraId="27AF8B3C"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41888.02</w:t>
            </w:r>
          </w:p>
        </w:tc>
        <w:tc>
          <w:tcPr>
            <w:tcW w:w="1167" w:type="dxa"/>
            <w:vAlign w:val="center"/>
          </w:tcPr>
          <w:p w14:paraId="147D4422"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28601.243</w:t>
            </w:r>
            <w:r>
              <w:rPr>
                <w:rFonts w:ascii="Arial" w:eastAsia="仿宋_GB2312" w:hAnsi="Arial" w:cs="Arial"/>
                <w:b/>
                <w:bCs/>
                <w:color w:val="000000"/>
                <w:sz w:val="18"/>
                <w:szCs w:val="18"/>
              </w:rPr>
              <w:t>0</w:t>
            </w:r>
          </w:p>
        </w:tc>
      </w:tr>
    </w:tbl>
    <w:p w14:paraId="61E0BEDC" w14:textId="77777777" w:rsidR="0087591C" w:rsidRPr="004B7002" w:rsidRDefault="0087591C" w:rsidP="0087591C">
      <w:pPr>
        <w:pStyle w:val="11"/>
        <w:ind w:firstLine="361"/>
        <w:jc w:val="both"/>
        <w:rPr>
          <w:rFonts w:ascii="Arial" w:hAnsi="Arial" w:cs="Arial"/>
          <w:b/>
          <w:sz w:val="18"/>
          <w:szCs w:val="18"/>
        </w:rPr>
      </w:pPr>
      <w:r w:rsidRPr="004B7002">
        <w:rPr>
          <w:rFonts w:ascii="Arial" w:hAnsi="Arial" w:cs="Arial"/>
          <w:b/>
          <w:sz w:val="18"/>
          <w:szCs w:val="18"/>
        </w:rPr>
        <w:t>单位：元</w:t>
      </w:r>
      <w:r w:rsidRPr="004B7002">
        <w:rPr>
          <w:rFonts w:ascii="Arial" w:hAnsi="Arial" w:cs="Arial"/>
          <w:b/>
          <w:sz w:val="18"/>
          <w:szCs w:val="18"/>
        </w:rPr>
        <w:t>/</w:t>
      </w:r>
      <w:r w:rsidRPr="004B7002">
        <w:rPr>
          <w:rFonts w:ascii="Arial" w:hAnsi="Arial" w:cs="Arial"/>
          <w:b/>
          <w:sz w:val="18"/>
          <w:szCs w:val="18"/>
        </w:rPr>
        <w:t>平方米</w:t>
      </w:r>
      <w:r>
        <w:rPr>
          <w:rFonts w:ascii="Arial" w:hAnsi="Arial" w:cs="Arial" w:hint="eastAsia"/>
          <w:b/>
          <w:sz w:val="18"/>
          <w:szCs w:val="18"/>
        </w:rPr>
        <w:t>、平方米、万元</w:t>
      </w:r>
    </w:p>
    <w:p w14:paraId="0606E2B4" w14:textId="77777777" w:rsidR="0087591C" w:rsidRDefault="0087591C" w:rsidP="0087591C">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根据</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及其附件复印件、《关于海淀区苏州街站一体化棚户区改造项目成本说明》</w:t>
      </w:r>
      <w:r>
        <w:rPr>
          <w:rFonts w:ascii="Arial" w:eastAsia="仿宋_GB2312" w:hAnsi="Arial" w:cs="Arial" w:hint="eastAsia"/>
          <w:bCs/>
          <w:sz w:val="28"/>
        </w:rPr>
        <w:t>，估价对象前期土地开发成本约为</w:t>
      </w:r>
      <w:r>
        <w:rPr>
          <w:rFonts w:ascii="Arial" w:eastAsia="仿宋_GB2312" w:hAnsi="Arial" w:cs="Arial"/>
          <w:bCs/>
          <w:sz w:val="28"/>
        </w:rPr>
        <w:t>158379.13</w:t>
      </w:r>
      <w:r>
        <w:rPr>
          <w:rFonts w:ascii="Arial" w:eastAsia="仿宋_GB2312" w:hAnsi="Arial" w:cs="Arial" w:hint="eastAsia"/>
          <w:bCs/>
          <w:sz w:val="28"/>
        </w:rPr>
        <w:t>万元，本次评估测算政府土地出让收益总价为</w:t>
      </w:r>
      <w:r>
        <w:rPr>
          <w:rFonts w:ascii="Arial" w:eastAsia="仿宋_GB2312" w:hAnsi="Arial" w:cs="Arial"/>
          <w:bCs/>
          <w:color w:val="000000" w:themeColor="text1"/>
          <w:sz w:val="28"/>
        </w:rPr>
        <w:t>61093.2435</w:t>
      </w:r>
      <w:r w:rsidRPr="000B7D55">
        <w:rPr>
          <w:rFonts w:ascii="Arial" w:eastAsia="仿宋_GB2312" w:hAnsi="Arial" w:cs="Arial" w:hint="eastAsia"/>
          <w:bCs/>
          <w:color w:val="000000" w:themeColor="text1"/>
          <w:sz w:val="28"/>
        </w:rPr>
        <w:t>万元，</w:t>
      </w:r>
      <w:r w:rsidRPr="000B7D55">
        <w:rPr>
          <w:rFonts w:ascii="Arial" w:eastAsia="仿宋_GB2312" w:hAnsi="Arial" w:cs="Arial" w:hint="eastAsia"/>
          <w:color w:val="000000" w:themeColor="text1"/>
          <w:sz w:val="28"/>
        </w:rPr>
        <w:t>则政府土地收益与</w:t>
      </w:r>
      <w:r w:rsidRPr="000B7D55">
        <w:rPr>
          <w:rFonts w:ascii="Arial" w:eastAsia="仿宋_GB2312" w:hAnsi="Arial" w:cs="Arial" w:hint="eastAsia"/>
          <w:bCs/>
          <w:color w:val="000000" w:themeColor="text1"/>
          <w:sz w:val="28"/>
        </w:rPr>
        <w:t>土地开发成本</w:t>
      </w:r>
      <w:r w:rsidRPr="000B7D55">
        <w:rPr>
          <w:rFonts w:ascii="Arial" w:eastAsia="仿宋_GB2312" w:hAnsi="Arial" w:cs="Arial" w:hint="eastAsia"/>
          <w:color w:val="000000" w:themeColor="text1"/>
          <w:sz w:val="28"/>
        </w:rPr>
        <w:t>合计为</w:t>
      </w:r>
      <w:r w:rsidRPr="000B7D55">
        <w:rPr>
          <w:rFonts w:ascii="Arial" w:eastAsia="仿宋_GB2312" w:hAnsi="Arial" w:cs="Arial"/>
          <w:bCs/>
          <w:color w:val="000000" w:themeColor="text1"/>
          <w:sz w:val="28"/>
        </w:rPr>
        <w:t>219473.4080</w:t>
      </w:r>
      <w:r w:rsidRPr="000B7D55">
        <w:rPr>
          <w:rFonts w:ascii="Arial" w:eastAsia="仿宋_GB2312" w:hAnsi="Arial" w:cs="Arial" w:hint="eastAsia"/>
          <w:bCs/>
          <w:color w:val="000000" w:themeColor="text1"/>
          <w:sz w:val="28"/>
        </w:rPr>
        <w:t>万元，</w:t>
      </w:r>
      <w:r w:rsidRPr="000B7D55">
        <w:rPr>
          <w:rFonts w:ascii="Arial" w:eastAsia="仿宋_GB2312" w:hAnsi="Arial" w:cs="Arial"/>
          <w:bCs/>
          <w:color w:val="000000" w:themeColor="text1"/>
          <w:sz w:val="28"/>
        </w:rPr>
        <w:t xml:space="preserve"> </w:t>
      </w:r>
      <w:r>
        <w:rPr>
          <w:rFonts w:ascii="Arial" w:eastAsia="仿宋_GB2312" w:hAnsi="Arial" w:cs="Arial" w:hint="eastAsia"/>
          <w:sz w:val="28"/>
        </w:rPr>
        <w:t>与</w:t>
      </w:r>
      <w:r>
        <w:rPr>
          <w:rFonts w:ascii="Arial" w:eastAsia="仿宋_GB2312" w:hAnsi="Arial" w:cs="Arial" w:hint="eastAsia"/>
          <w:bCs/>
          <w:sz w:val="28"/>
        </w:rPr>
        <w:t>上表中级别地价低限对比</w:t>
      </w:r>
      <w:r>
        <w:rPr>
          <w:rFonts w:ascii="Arial" w:eastAsia="仿宋_GB2312" w:hAnsi="Arial" w:cs="Arial"/>
          <w:bCs/>
          <w:sz w:val="28"/>
        </w:rPr>
        <w:t>,</w:t>
      </w:r>
      <w:r>
        <w:rPr>
          <w:rFonts w:ascii="Arial" w:eastAsia="仿宋_GB2312" w:hAnsi="Arial" w:cs="Arial" w:hint="eastAsia"/>
          <w:sz w:val="28"/>
        </w:rPr>
        <w:t>政府土地出让收益与土地开发成本合计高于</w:t>
      </w:r>
      <w:r>
        <w:rPr>
          <w:rFonts w:ascii="Arial" w:eastAsia="仿宋_GB2312" w:hAnsi="Arial" w:cs="Arial" w:hint="eastAsia"/>
          <w:bCs/>
          <w:sz w:val="28"/>
        </w:rPr>
        <w:t>修正后基准地价级别地价低限，故评估结果符合相关文件规定。</w:t>
      </w:r>
    </w:p>
    <w:p w14:paraId="5133D2A1" w14:textId="77777777" w:rsidR="0087591C" w:rsidRPr="004B7002" w:rsidRDefault="0087591C" w:rsidP="0087591C">
      <w:pPr>
        <w:spacing w:line="360" w:lineRule="auto"/>
        <w:ind w:firstLineChars="200" w:firstLine="560"/>
        <w:rPr>
          <w:rFonts w:ascii="Arial" w:eastAsia="仿宋_GB2312" w:hAnsi="Arial" w:cs="Arial"/>
          <w:bCs/>
          <w:sz w:val="28"/>
        </w:rPr>
      </w:pPr>
      <w:r w:rsidRPr="004B7002">
        <w:rPr>
          <w:rFonts w:ascii="Arial" w:eastAsia="仿宋_GB2312" w:hAnsi="Arial" w:cs="Arial"/>
          <w:sz w:val="28"/>
          <w:szCs w:val="28"/>
        </w:rPr>
        <w:t>2</w:t>
      </w:r>
      <w:r w:rsidRPr="004B7002">
        <w:rPr>
          <w:rFonts w:ascii="Arial" w:eastAsia="仿宋_GB2312" w:hAnsi="Arial" w:cs="Arial"/>
          <w:bCs/>
          <w:sz w:val="28"/>
        </w:rPr>
        <w:t>.</w:t>
      </w:r>
      <w:r w:rsidRPr="004B7002">
        <w:rPr>
          <w:rFonts w:ascii="Arial" w:eastAsia="仿宋_GB2312" w:hAnsi="Arial" w:cs="Arial"/>
          <w:bCs/>
          <w:sz w:val="28"/>
        </w:rPr>
        <w:t>土地市场分析</w:t>
      </w:r>
    </w:p>
    <w:p w14:paraId="4C245004" w14:textId="77777777" w:rsidR="0087591C" w:rsidRDefault="0087591C" w:rsidP="0087591C">
      <w:pPr>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估价对象为住宅</w:t>
      </w:r>
      <w:r>
        <w:rPr>
          <w:rFonts w:ascii="Arial" w:eastAsia="仿宋_GB2312" w:hAnsi="Arial" w:cs="Arial" w:hint="eastAsia"/>
          <w:sz w:val="28"/>
          <w:szCs w:val="28"/>
        </w:rPr>
        <w:t>、商业、办公、地下办公、地下车库</w:t>
      </w:r>
      <w:r w:rsidRPr="004B7002">
        <w:rPr>
          <w:rFonts w:ascii="Arial" w:eastAsia="仿宋_GB2312" w:hAnsi="Arial" w:cs="Arial" w:hint="eastAsia"/>
          <w:sz w:val="28"/>
          <w:szCs w:val="28"/>
        </w:rPr>
        <w:t>用地，符合土地集约节约利用的政策要求。</w:t>
      </w:r>
    </w:p>
    <w:p w14:paraId="281E8804" w14:textId="77777777" w:rsidR="0087591C" w:rsidRPr="004B00B4" w:rsidRDefault="0087591C" w:rsidP="0087591C">
      <w:pPr>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目前海淀区尚未有充足的住宅用地土地使用权的交易案例，难以用市场价格判断评估价是否与市场吻合。</w:t>
      </w:r>
      <w:r>
        <w:rPr>
          <w:rFonts w:ascii="Arial" w:eastAsia="仿宋_GB2312" w:hAnsi="Arial" w:cs="Arial" w:hint="eastAsia"/>
          <w:sz w:val="28"/>
          <w:szCs w:val="28"/>
        </w:rPr>
        <w:t>但</w:t>
      </w:r>
      <w:r w:rsidRPr="007C07A4">
        <w:rPr>
          <w:rFonts w:ascii="Arial" w:eastAsia="仿宋_GB2312" w:hAnsi="Arial" w:cs="Arial" w:hint="eastAsia"/>
          <w:sz w:val="28"/>
          <w:szCs w:val="28"/>
        </w:rPr>
        <w:t>有充足的商业、办公用地土地使用权的交易案例，</w:t>
      </w:r>
      <w:r w:rsidRPr="004B7002">
        <w:rPr>
          <w:rFonts w:ascii="Arial" w:eastAsia="仿宋_GB2312" w:hAnsi="Arial" w:cs="Arial" w:hint="eastAsia"/>
          <w:sz w:val="28"/>
          <w:szCs w:val="28"/>
        </w:rPr>
        <w:t>北京市基准地价为出让地价的重要参考依据，可以参照基准地价判断评估结果的合理性。</w:t>
      </w:r>
    </w:p>
    <w:p w14:paraId="3654BDC5" w14:textId="77777777" w:rsidR="0087591C" w:rsidRPr="004B7002" w:rsidRDefault="0087591C" w:rsidP="0087591C">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经分析估价对象同区域内（海淀区）近三年（</w:t>
      </w:r>
      <w:r w:rsidRPr="004B7002">
        <w:rPr>
          <w:rFonts w:ascii="Arial" w:eastAsia="仿宋_GB2312" w:hAnsi="Arial" w:cs="Arial"/>
          <w:sz w:val="28"/>
          <w:szCs w:val="28"/>
        </w:rPr>
        <w:t>2018-2020</w:t>
      </w:r>
      <w:r w:rsidRPr="004B7002">
        <w:rPr>
          <w:rFonts w:ascii="Arial" w:eastAsia="仿宋_GB2312" w:hAnsi="Arial" w:cs="Arial"/>
          <w:sz w:val="28"/>
          <w:szCs w:val="28"/>
        </w:rPr>
        <w:t>年）已审定</w:t>
      </w:r>
      <w:r w:rsidRPr="004B7002">
        <w:rPr>
          <w:rFonts w:ascii="Arial" w:eastAsia="仿宋_GB2312" w:hAnsi="Arial" w:cs="Arial" w:hint="eastAsia"/>
          <w:sz w:val="28"/>
          <w:szCs w:val="28"/>
        </w:rPr>
        <w:t>住宅</w:t>
      </w:r>
      <w:r w:rsidRPr="004B7002">
        <w:rPr>
          <w:rFonts w:ascii="Arial" w:eastAsia="仿宋_GB2312" w:hAnsi="Arial" w:cs="Arial"/>
          <w:sz w:val="28"/>
          <w:szCs w:val="28"/>
        </w:rPr>
        <w:t>用途协议出让案例有</w:t>
      </w:r>
      <w:r>
        <w:rPr>
          <w:rFonts w:ascii="Arial" w:eastAsia="仿宋_GB2312" w:hAnsi="Arial" w:cs="Arial" w:hint="eastAsia"/>
          <w:sz w:val="28"/>
          <w:szCs w:val="28"/>
        </w:rPr>
        <w:t>1</w:t>
      </w:r>
      <w:r w:rsidRPr="004B7002">
        <w:rPr>
          <w:rFonts w:ascii="Arial" w:eastAsia="仿宋_GB2312" w:hAnsi="Arial" w:cs="Arial"/>
          <w:sz w:val="28"/>
          <w:szCs w:val="28"/>
        </w:rPr>
        <w:t>个，其中</w:t>
      </w:r>
      <w:r w:rsidRPr="004B7002">
        <w:rPr>
          <w:rFonts w:ascii="Arial" w:eastAsia="仿宋_GB2312" w:hAnsi="Arial" w:cs="Arial"/>
          <w:sz w:val="28"/>
          <w:szCs w:val="28"/>
        </w:rPr>
        <w:t>2018</w:t>
      </w:r>
      <w:r>
        <w:rPr>
          <w:rFonts w:ascii="Arial" w:eastAsia="仿宋_GB2312" w:hAnsi="Arial" w:cs="Arial" w:hint="eastAsia"/>
          <w:sz w:val="28"/>
          <w:szCs w:val="28"/>
        </w:rPr>
        <w:t>、</w:t>
      </w:r>
      <w:r w:rsidRPr="004B7002">
        <w:rPr>
          <w:rFonts w:ascii="Arial" w:eastAsia="仿宋_GB2312" w:hAnsi="Arial" w:cs="Arial" w:hint="eastAsia"/>
          <w:sz w:val="28"/>
          <w:szCs w:val="28"/>
        </w:rPr>
        <w:t>2</w:t>
      </w:r>
      <w:r w:rsidRPr="004B7002">
        <w:rPr>
          <w:rFonts w:ascii="Arial" w:eastAsia="仿宋_GB2312" w:hAnsi="Arial" w:cs="Arial"/>
          <w:sz w:val="28"/>
          <w:szCs w:val="28"/>
        </w:rPr>
        <w:t>019</w:t>
      </w:r>
      <w:r w:rsidRPr="004B7002">
        <w:rPr>
          <w:rFonts w:ascii="Arial" w:eastAsia="仿宋_GB2312" w:hAnsi="Arial" w:cs="Arial"/>
          <w:sz w:val="28"/>
          <w:szCs w:val="28"/>
        </w:rPr>
        <w:t>年</w:t>
      </w:r>
      <w:proofErr w:type="gramStart"/>
      <w:r w:rsidRPr="004B7002">
        <w:rPr>
          <w:rFonts w:ascii="Arial" w:eastAsia="仿宋_GB2312" w:hAnsi="Arial" w:cs="Arial" w:hint="eastAsia"/>
          <w:sz w:val="28"/>
          <w:szCs w:val="28"/>
        </w:rPr>
        <w:t>无住宅</w:t>
      </w:r>
      <w:proofErr w:type="gramEnd"/>
      <w:r w:rsidRPr="004B7002">
        <w:rPr>
          <w:rFonts w:ascii="Arial" w:eastAsia="仿宋_GB2312" w:hAnsi="Arial" w:cs="Arial" w:hint="eastAsia"/>
          <w:sz w:val="28"/>
          <w:szCs w:val="28"/>
        </w:rPr>
        <w:t>用途协议出让案例，</w:t>
      </w:r>
      <w:r w:rsidRPr="004B7002">
        <w:rPr>
          <w:rFonts w:ascii="Arial" w:eastAsia="仿宋_GB2312" w:hAnsi="Arial" w:cs="Arial"/>
          <w:sz w:val="28"/>
          <w:szCs w:val="28"/>
        </w:rPr>
        <w:t>2020</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sidRPr="004B7002">
        <w:rPr>
          <w:rFonts w:ascii="Arial" w:eastAsia="仿宋_GB2312" w:hAnsi="Arial" w:cs="Arial"/>
          <w:sz w:val="28"/>
          <w:szCs w:val="28"/>
        </w:rPr>
        <w:t>19622</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4B7002">
        <w:rPr>
          <w:rFonts w:ascii="Arial" w:eastAsia="仿宋_GB2312" w:hAnsi="Arial" w:cs="Arial" w:hint="eastAsia"/>
          <w:sz w:val="28"/>
          <w:szCs w:val="28"/>
        </w:rPr>
        <w:t>仅</w:t>
      </w:r>
      <w:r w:rsidRPr="004B7002">
        <w:rPr>
          <w:rFonts w:ascii="Arial" w:eastAsia="仿宋_GB2312" w:hAnsi="Arial" w:cs="Arial"/>
          <w:sz w:val="28"/>
          <w:szCs w:val="28"/>
        </w:rPr>
        <w:t>1</w:t>
      </w:r>
      <w:r w:rsidRPr="004B7002">
        <w:rPr>
          <w:rFonts w:ascii="Arial" w:eastAsia="仿宋_GB2312" w:hAnsi="Arial" w:cs="Arial"/>
          <w:sz w:val="28"/>
          <w:szCs w:val="28"/>
        </w:rPr>
        <w:t>宗，</w:t>
      </w:r>
      <w:r w:rsidRPr="004B7002">
        <w:rPr>
          <w:rFonts w:ascii="Arial" w:eastAsia="仿宋_GB2312" w:hAnsi="Arial" w:cs="Arial" w:hint="eastAsia"/>
          <w:sz w:val="28"/>
          <w:szCs w:val="28"/>
        </w:rPr>
        <w:t>位于</w:t>
      </w:r>
      <w:r w:rsidRPr="004B7002">
        <w:rPr>
          <w:rFonts w:ascii="Arial" w:eastAsia="仿宋_GB2312" w:hAnsi="Arial" w:cs="Arial"/>
          <w:sz w:val="28"/>
          <w:szCs w:val="28"/>
        </w:rPr>
        <w:t>七级</w:t>
      </w:r>
      <w:r w:rsidRPr="004B7002">
        <w:rPr>
          <w:rFonts w:ascii="Arial" w:eastAsia="仿宋_GB2312" w:hAnsi="Arial" w:cs="Arial"/>
          <w:sz w:val="28"/>
          <w:szCs w:val="28"/>
        </w:rPr>
        <w:lastRenderedPageBreak/>
        <w:t>地价区）</w:t>
      </w:r>
      <w:r w:rsidRPr="004B7002">
        <w:rPr>
          <w:rFonts w:ascii="Arial" w:eastAsia="仿宋_GB2312" w:hAnsi="Arial" w:cs="Arial" w:hint="eastAsia"/>
          <w:sz w:val="28"/>
          <w:szCs w:val="28"/>
        </w:rPr>
        <w:t>，估价对象位于</w:t>
      </w:r>
      <w:r>
        <w:rPr>
          <w:rFonts w:ascii="Arial" w:eastAsia="仿宋_GB2312" w:hAnsi="Arial" w:cs="Arial" w:hint="eastAsia"/>
          <w:sz w:val="28"/>
          <w:szCs w:val="28"/>
        </w:rPr>
        <w:t>二</w:t>
      </w:r>
      <w:r w:rsidRPr="004B7002">
        <w:rPr>
          <w:rFonts w:ascii="Arial" w:eastAsia="仿宋_GB2312" w:hAnsi="Arial" w:cs="Arial" w:hint="eastAsia"/>
          <w:sz w:val="28"/>
          <w:szCs w:val="28"/>
        </w:rPr>
        <w:t>级地价区，</w:t>
      </w:r>
      <w:r>
        <w:rPr>
          <w:rFonts w:ascii="Arial" w:eastAsia="仿宋_GB2312" w:hAnsi="Arial" w:cs="Arial" w:hint="eastAsia"/>
          <w:sz w:val="28"/>
          <w:szCs w:val="28"/>
        </w:rPr>
        <w:t>2020</w:t>
      </w:r>
      <w:r w:rsidRPr="004B7002">
        <w:rPr>
          <w:rFonts w:ascii="Arial" w:eastAsia="仿宋_GB2312" w:hAnsi="Arial" w:cs="Arial" w:hint="eastAsia"/>
          <w:sz w:val="28"/>
          <w:szCs w:val="28"/>
        </w:rPr>
        <w:t>年</w:t>
      </w:r>
      <w:r>
        <w:rPr>
          <w:rFonts w:ascii="Arial" w:eastAsia="仿宋_GB2312" w:hAnsi="Arial" w:cs="Arial" w:hint="eastAsia"/>
          <w:sz w:val="28"/>
          <w:szCs w:val="28"/>
        </w:rPr>
        <w:t>成交的</w:t>
      </w:r>
      <w:r w:rsidRPr="004B7002">
        <w:rPr>
          <w:rFonts w:ascii="Arial" w:eastAsia="仿宋_GB2312" w:hAnsi="Arial" w:cs="Arial" w:hint="eastAsia"/>
          <w:sz w:val="28"/>
          <w:szCs w:val="28"/>
        </w:rPr>
        <w:t>住宅用途协议出让案例</w:t>
      </w:r>
      <w:r>
        <w:rPr>
          <w:rFonts w:ascii="Arial" w:eastAsia="仿宋_GB2312" w:hAnsi="Arial" w:cs="Arial" w:hint="eastAsia"/>
          <w:sz w:val="28"/>
          <w:szCs w:val="28"/>
        </w:rPr>
        <w:t>土地级别较低，</w:t>
      </w:r>
      <w:r w:rsidRPr="004B7002">
        <w:rPr>
          <w:rFonts w:ascii="Arial" w:eastAsia="仿宋_GB2312" w:hAnsi="Arial" w:cs="Arial" w:hint="eastAsia"/>
          <w:sz w:val="28"/>
          <w:szCs w:val="28"/>
        </w:rPr>
        <w:t>不具有参考性</w:t>
      </w:r>
      <w:r w:rsidRPr="004B7002">
        <w:rPr>
          <w:rFonts w:ascii="Arial" w:eastAsia="仿宋_GB2312" w:hAnsi="Arial" w:cs="Arial"/>
          <w:sz w:val="28"/>
          <w:szCs w:val="28"/>
        </w:rPr>
        <w:t>。</w:t>
      </w:r>
    </w:p>
    <w:p w14:paraId="6C0110DF" w14:textId="77777777" w:rsidR="0087591C" w:rsidRDefault="0087591C" w:rsidP="0087591C">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近三年同区域内（海淀区）住宅</w:t>
      </w:r>
      <w:proofErr w:type="gramStart"/>
      <w:r>
        <w:rPr>
          <w:rFonts w:ascii="Arial" w:eastAsia="仿宋_GB2312" w:hAnsi="Arial" w:cs="Arial" w:hint="eastAsia"/>
          <w:sz w:val="28"/>
          <w:szCs w:val="28"/>
        </w:rPr>
        <w:t>类招拍挂成交</w:t>
      </w:r>
      <w:proofErr w:type="gramEnd"/>
      <w:r>
        <w:rPr>
          <w:rFonts w:ascii="Arial" w:eastAsia="仿宋_GB2312" w:hAnsi="Arial" w:cs="Arial" w:hint="eastAsia"/>
          <w:sz w:val="28"/>
          <w:szCs w:val="28"/>
        </w:rPr>
        <w:t>地块共</w:t>
      </w:r>
      <w:r>
        <w:rPr>
          <w:rFonts w:ascii="Arial" w:eastAsia="仿宋_GB2312" w:hAnsi="Arial" w:cs="Arial"/>
          <w:sz w:val="28"/>
          <w:szCs w:val="28"/>
        </w:rPr>
        <w:t>3</w:t>
      </w:r>
      <w:r>
        <w:rPr>
          <w:rFonts w:ascii="Arial" w:eastAsia="仿宋_GB2312" w:hAnsi="Arial" w:cs="Arial" w:hint="eastAsia"/>
          <w:sz w:val="28"/>
          <w:szCs w:val="28"/>
        </w:rPr>
        <w:t>宗，其中</w:t>
      </w:r>
      <w:r w:rsidRPr="004B7002">
        <w:rPr>
          <w:rFonts w:ascii="Arial" w:eastAsia="仿宋_GB2312" w:hAnsi="Arial" w:cs="Arial"/>
          <w:sz w:val="28"/>
          <w:szCs w:val="28"/>
        </w:rPr>
        <w:t>2018</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Pr>
          <w:rFonts w:ascii="Arial" w:eastAsia="仿宋_GB2312" w:hAnsi="Arial" w:cs="Arial"/>
          <w:sz w:val="28"/>
          <w:szCs w:val="28"/>
        </w:rPr>
        <w:t>40865</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7B3A83">
        <w:rPr>
          <w:rFonts w:ascii="Arial" w:eastAsia="仿宋_GB2312" w:hAnsi="Arial" w:cs="Arial" w:hint="eastAsia"/>
          <w:sz w:val="28"/>
          <w:szCs w:val="28"/>
        </w:rPr>
        <w:t>仅</w:t>
      </w:r>
      <w:r w:rsidRPr="007B3A83">
        <w:rPr>
          <w:rFonts w:ascii="Arial" w:eastAsia="仿宋_GB2312" w:hAnsi="Arial" w:cs="Arial" w:hint="eastAsia"/>
          <w:sz w:val="28"/>
          <w:szCs w:val="28"/>
        </w:rPr>
        <w:t>1</w:t>
      </w:r>
      <w:r w:rsidRPr="007B3A83">
        <w:rPr>
          <w:rFonts w:ascii="Arial" w:eastAsia="仿宋_GB2312" w:hAnsi="Arial" w:cs="Arial"/>
          <w:sz w:val="28"/>
          <w:szCs w:val="28"/>
        </w:rPr>
        <w:t>宗，</w:t>
      </w:r>
      <w:r w:rsidRPr="007B3A83">
        <w:rPr>
          <w:rFonts w:ascii="Arial" w:eastAsia="仿宋_GB2312" w:hAnsi="Arial" w:cs="Arial" w:hint="eastAsia"/>
          <w:sz w:val="28"/>
          <w:szCs w:val="28"/>
        </w:rPr>
        <w:t>位于八</w:t>
      </w:r>
      <w:r w:rsidRPr="007B3A83">
        <w:rPr>
          <w:rFonts w:ascii="Arial" w:eastAsia="仿宋_GB2312" w:hAnsi="Arial" w:cs="Arial"/>
          <w:sz w:val="28"/>
          <w:szCs w:val="28"/>
        </w:rPr>
        <w:t>级地价区）；</w:t>
      </w:r>
      <w:r w:rsidRPr="007B3A83">
        <w:rPr>
          <w:rFonts w:ascii="Arial" w:eastAsia="仿宋_GB2312" w:hAnsi="Arial" w:cs="Arial"/>
          <w:sz w:val="28"/>
          <w:szCs w:val="28"/>
        </w:rPr>
        <w:t>2019</w:t>
      </w:r>
      <w:r w:rsidRPr="007B3A83">
        <w:rPr>
          <w:rFonts w:ascii="Arial" w:eastAsia="仿宋_GB2312" w:hAnsi="Arial" w:cs="Arial" w:hint="eastAsia"/>
          <w:sz w:val="28"/>
          <w:szCs w:val="28"/>
        </w:rPr>
        <w:t>年</w:t>
      </w:r>
      <w:proofErr w:type="gramStart"/>
      <w:r w:rsidRPr="007B3A83">
        <w:rPr>
          <w:rFonts w:ascii="Arial" w:eastAsia="仿宋_GB2312" w:hAnsi="Arial" w:cs="Arial" w:hint="eastAsia"/>
          <w:sz w:val="28"/>
          <w:szCs w:val="28"/>
        </w:rPr>
        <w:t>无住宅类招拍挂成交</w:t>
      </w:r>
      <w:proofErr w:type="gramEnd"/>
      <w:r w:rsidRPr="007B3A83">
        <w:rPr>
          <w:rFonts w:ascii="Arial" w:eastAsia="仿宋_GB2312" w:hAnsi="Arial" w:cs="Arial" w:hint="eastAsia"/>
          <w:sz w:val="28"/>
          <w:szCs w:val="28"/>
        </w:rPr>
        <w:t>地块，</w:t>
      </w:r>
      <w:r w:rsidRPr="007B3A83">
        <w:rPr>
          <w:rFonts w:ascii="Arial" w:eastAsia="仿宋_GB2312" w:hAnsi="Arial" w:cs="Arial"/>
          <w:sz w:val="28"/>
          <w:szCs w:val="28"/>
        </w:rPr>
        <w:t>2020</w:t>
      </w:r>
      <w:r w:rsidRPr="007B3A83">
        <w:rPr>
          <w:rFonts w:ascii="Arial" w:eastAsia="仿宋_GB2312" w:hAnsi="Arial" w:cs="Arial" w:hint="eastAsia"/>
          <w:sz w:val="28"/>
          <w:szCs w:val="28"/>
        </w:rPr>
        <w:t>年成交均价为</w:t>
      </w:r>
      <w:r w:rsidRPr="007B3A83">
        <w:rPr>
          <w:rFonts w:ascii="Arial" w:eastAsia="仿宋_GB2312" w:hAnsi="Arial" w:cs="Arial"/>
          <w:sz w:val="28"/>
          <w:szCs w:val="28"/>
        </w:rPr>
        <w:t>70049</w:t>
      </w:r>
      <w:r w:rsidRPr="007B3A83">
        <w:rPr>
          <w:rFonts w:ascii="Arial" w:eastAsia="仿宋_GB2312" w:hAnsi="Arial" w:cs="Arial" w:hint="eastAsia"/>
          <w:sz w:val="28"/>
          <w:szCs w:val="28"/>
        </w:rPr>
        <w:t>元</w:t>
      </w:r>
      <w:r w:rsidRPr="007B3A83">
        <w:rPr>
          <w:rFonts w:ascii="Arial" w:eastAsia="仿宋_GB2312" w:hAnsi="Arial" w:cs="Arial"/>
          <w:sz w:val="28"/>
          <w:szCs w:val="28"/>
        </w:rPr>
        <w:t>/</w:t>
      </w:r>
      <w:r w:rsidRPr="007B3A83">
        <w:rPr>
          <w:rFonts w:ascii="Arial" w:eastAsia="仿宋_GB2312" w:hAnsi="Arial" w:cs="Arial" w:hint="eastAsia"/>
          <w:sz w:val="28"/>
          <w:szCs w:val="28"/>
        </w:rPr>
        <w:t>平方米（共</w:t>
      </w:r>
      <w:r w:rsidRPr="007B3A83">
        <w:rPr>
          <w:rFonts w:ascii="Arial" w:eastAsia="仿宋_GB2312" w:hAnsi="Arial" w:cs="Arial"/>
          <w:sz w:val="28"/>
          <w:szCs w:val="28"/>
        </w:rPr>
        <w:t>2</w:t>
      </w:r>
      <w:r w:rsidRPr="007B3A83">
        <w:rPr>
          <w:rFonts w:ascii="Arial" w:eastAsia="仿宋_GB2312" w:hAnsi="Arial" w:cs="Arial" w:hint="eastAsia"/>
          <w:sz w:val="28"/>
          <w:szCs w:val="28"/>
        </w:rPr>
        <w:t>宗，均为四级地价区），估价对象位于二级</w:t>
      </w:r>
      <w:r>
        <w:rPr>
          <w:rFonts w:ascii="Arial" w:eastAsia="仿宋_GB2312" w:hAnsi="Arial" w:cs="Arial" w:hint="eastAsia"/>
          <w:sz w:val="28"/>
          <w:szCs w:val="28"/>
        </w:rPr>
        <w:t>地价区。本次评估结果高于</w:t>
      </w:r>
      <w:r>
        <w:rPr>
          <w:rFonts w:ascii="Arial" w:eastAsia="仿宋_GB2312" w:hAnsi="Arial" w:cs="Arial" w:hint="eastAsia"/>
          <w:sz w:val="28"/>
          <w:szCs w:val="28"/>
        </w:rPr>
        <w:t>2</w:t>
      </w:r>
      <w:r>
        <w:rPr>
          <w:rFonts w:ascii="Arial" w:eastAsia="仿宋_GB2312" w:hAnsi="Arial" w:cs="Arial"/>
          <w:sz w:val="28"/>
          <w:szCs w:val="28"/>
        </w:rPr>
        <w:t>018</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sz w:val="28"/>
          <w:szCs w:val="28"/>
        </w:rPr>
        <w:t>020</w:t>
      </w:r>
      <w:r>
        <w:rPr>
          <w:rFonts w:ascii="Arial" w:eastAsia="仿宋_GB2312" w:hAnsi="Arial" w:cs="Arial" w:hint="eastAsia"/>
          <w:sz w:val="28"/>
          <w:szCs w:val="28"/>
        </w:rPr>
        <w:t>年的楼面熟地价在合理范围内。</w:t>
      </w:r>
    </w:p>
    <w:p w14:paraId="7FF120D6" w14:textId="77777777" w:rsidR="0087591C" w:rsidRDefault="0087591C" w:rsidP="0087591C">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估价对象的估价结果与近三年已审定（或成交）案例的平均价格水平相当，因受估价对象所在区域、估价期日、容积率等因素的影响，最终估价结果在合理范围之内。</w:t>
      </w:r>
    </w:p>
    <w:p w14:paraId="6085AC40" w14:textId="77777777" w:rsidR="0087591C" w:rsidRDefault="0087591C" w:rsidP="0087591C">
      <w:pPr>
        <w:spacing w:line="360" w:lineRule="auto"/>
        <w:jc w:val="center"/>
        <w:rPr>
          <w:rFonts w:ascii="Arial" w:eastAsia="仿宋_GB2312" w:hAnsi="Arial" w:cs="Arial"/>
          <w:sz w:val="28"/>
          <w:szCs w:val="28"/>
        </w:rPr>
      </w:pPr>
      <w:r w:rsidRPr="00193CEB">
        <w:rPr>
          <w:rFonts w:ascii="Arial" w:eastAsia="仿宋_GB2312" w:hAnsi="Arial" w:cs="Arial" w:hint="eastAsia"/>
          <w:sz w:val="28"/>
          <w:szCs w:val="28"/>
        </w:rPr>
        <w:t>住宅</w:t>
      </w:r>
      <w:r w:rsidRPr="00193CEB">
        <w:rPr>
          <w:rFonts w:ascii="Arial" w:eastAsia="仿宋_GB2312" w:hAnsi="Arial" w:cs="Arial"/>
          <w:sz w:val="28"/>
          <w:szCs w:val="28"/>
        </w:rPr>
        <w:t>用途案例分析</w:t>
      </w:r>
    </w:p>
    <w:p w14:paraId="032DEC7E" w14:textId="77777777" w:rsidR="0087591C" w:rsidRPr="00193CEB" w:rsidRDefault="0087591C" w:rsidP="0087591C">
      <w:pPr>
        <w:spacing w:line="360" w:lineRule="auto"/>
        <w:jc w:val="center"/>
        <w:rPr>
          <w:rFonts w:ascii="Arial" w:eastAsia="仿宋_GB2312" w:hAnsi="Arial" w:cs="Arial"/>
          <w:sz w:val="28"/>
          <w:szCs w:val="28"/>
        </w:rPr>
      </w:pPr>
      <w:r>
        <w:rPr>
          <w:noProof/>
        </w:rPr>
        <w:drawing>
          <wp:inline distT="0" distB="0" distL="0" distR="0" wp14:anchorId="47B7826A" wp14:editId="042436A0">
            <wp:extent cx="5422605" cy="3242930"/>
            <wp:effectExtent l="0" t="0" r="6985" b="15240"/>
            <wp:docPr id="34" name="图表 34">
              <a:extLst xmlns:a="http://schemas.openxmlformats.org/drawingml/2006/main">
                <a:ext uri="{FF2B5EF4-FFF2-40B4-BE49-F238E27FC236}">
                  <a16:creationId xmlns:a16="http://schemas.microsoft.com/office/drawing/2014/main" id="{C9AC4BE7-DBC3-4E8F-B115-ED87DC000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3D65E11" w14:textId="77777777" w:rsidR="0087591C" w:rsidRDefault="0087591C" w:rsidP="0087591C">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经分析同区域内（海淀区）近三年（</w:t>
      </w:r>
      <w:r>
        <w:rPr>
          <w:rFonts w:ascii="Arial" w:eastAsia="仿宋_GB2312" w:hAnsi="Arial" w:cs="Arial"/>
          <w:sz w:val="28"/>
          <w:szCs w:val="28"/>
        </w:rPr>
        <w:t>2018-2020</w:t>
      </w:r>
      <w:r>
        <w:rPr>
          <w:rFonts w:ascii="Arial" w:eastAsia="仿宋_GB2312" w:hAnsi="Arial" w:cs="Arial" w:hint="eastAsia"/>
          <w:sz w:val="28"/>
          <w:szCs w:val="28"/>
        </w:rPr>
        <w:t>年）估价对象周边已审定（或成交）商业用途协议出让案例有</w:t>
      </w:r>
      <w:r>
        <w:rPr>
          <w:rFonts w:ascii="Arial" w:eastAsia="仿宋_GB2312" w:hAnsi="Arial" w:cs="Arial" w:hint="eastAsia"/>
          <w:sz w:val="28"/>
          <w:szCs w:val="28"/>
        </w:rPr>
        <w:t>8</w:t>
      </w:r>
      <w:r>
        <w:rPr>
          <w:rFonts w:ascii="Arial" w:eastAsia="仿宋_GB2312" w:hAnsi="Arial" w:cs="Arial" w:hint="eastAsia"/>
          <w:sz w:val="28"/>
          <w:szCs w:val="28"/>
        </w:rPr>
        <w:t>个，其中</w:t>
      </w:r>
      <w:r>
        <w:rPr>
          <w:rFonts w:ascii="Arial" w:eastAsia="仿宋_GB2312" w:hAnsi="Arial" w:cs="Arial"/>
          <w:sz w:val="28"/>
          <w:szCs w:val="28"/>
        </w:rPr>
        <w:t>2018</w:t>
      </w:r>
      <w:r>
        <w:rPr>
          <w:rFonts w:ascii="Arial" w:eastAsia="仿宋_GB2312" w:hAnsi="Arial" w:cs="Arial" w:hint="eastAsia"/>
          <w:sz w:val="28"/>
          <w:szCs w:val="28"/>
        </w:rPr>
        <w:t>年楼面熟地价平均值为</w:t>
      </w:r>
      <w:r>
        <w:rPr>
          <w:rFonts w:ascii="Arial" w:eastAsia="仿宋_GB2312" w:hAnsi="Arial" w:cs="Arial"/>
          <w:sz w:val="28"/>
          <w:szCs w:val="28"/>
        </w:rPr>
        <w:t>20293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5</w:t>
      </w:r>
      <w:r>
        <w:rPr>
          <w:rFonts w:ascii="Arial" w:eastAsia="仿宋_GB2312" w:hAnsi="Arial" w:cs="Arial" w:hint="eastAsia"/>
          <w:sz w:val="28"/>
          <w:szCs w:val="28"/>
        </w:rPr>
        <w:t>宗，</w:t>
      </w:r>
      <w:r>
        <w:rPr>
          <w:rFonts w:ascii="Arial" w:eastAsia="仿宋_GB2312" w:hAnsi="Arial" w:cs="Arial"/>
          <w:sz w:val="28"/>
          <w:szCs w:val="28"/>
        </w:rPr>
        <w:t>1</w:t>
      </w:r>
      <w:r>
        <w:rPr>
          <w:rFonts w:ascii="Arial" w:eastAsia="仿宋_GB2312" w:hAnsi="Arial" w:cs="Arial" w:hint="eastAsia"/>
          <w:sz w:val="28"/>
          <w:szCs w:val="28"/>
        </w:rPr>
        <w:t>宗位于七级地价区，</w:t>
      </w:r>
      <w:r>
        <w:rPr>
          <w:rFonts w:ascii="Arial" w:eastAsia="仿宋_GB2312" w:hAnsi="Arial" w:cs="Arial"/>
          <w:sz w:val="28"/>
          <w:szCs w:val="28"/>
        </w:rPr>
        <w:t xml:space="preserve"> 1</w:t>
      </w:r>
      <w:r>
        <w:rPr>
          <w:rFonts w:ascii="Arial" w:eastAsia="仿宋_GB2312" w:hAnsi="Arial" w:cs="Arial" w:hint="eastAsia"/>
          <w:sz w:val="28"/>
          <w:szCs w:val="28"/>
        </w:rPr>
        <w:t>宗位于六级地价区，</w:t>
      </w:r>
      <w:r>
        <w:rPr>
          <w:rFonts w:ascii="Arial" w:eastAsia="仿宋_GB2312" w:hAnsi="Arial" w:cs="Arial" w:hint="eastAsia"/>
          <w:sz w:val="28"/>
          <w:szCs w:val="28"/>
        </w:rPr>
        <w:t>3</w:t>
      </w:r>
      <w:r>
        <w:rPr>
          <w:rFonts w:ascii="Arial" w:eastAsia="仿宋_GB2312" w:hAnsi="Arial" w:cs="Arial" w:hint="eastAsia"/>
          <w:sz w:val="28"/>
          <w:szCs w:val="28"/>
        </w:rPr>
        <w:t>宗位于五级地价区），</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23694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3</w:t>
      </w:r>
      <w:r>
        <w:rPr>
          <w:rFonts w:ascii="Arial" w:eastAsia="仿宋_GB2312" w:hAnsi="Arial" w:cs="Arial" w:hint="eastAsia"/>
          <w:sz w:val="28"/>
          <w:szCs w:val="28"/>
        </w:rPr>
        <w:lastRenderedPageBreak/>
        <w:t>宗，</w:t>
      </w:r>
      <w:r>
        <w:rPr>
          <w:rFonts w:ascii="Arial" w:eastAsia="仿宋_GB2312" w:hAnsi="Arial" w:cs="Arial"/>
          <w:sz w:val="28"/>
          <w:szCs w:val="28"/>
        </w:rPr>
        <w:t>2</w:t>
      </w:r>
      <w:r>
        <w:rPr>
          <w:rFonts w:ascii="Arial" w:eastAsia="仿宋_GB2312" w:hAnsi="Arial" w:cs="Arial" w:hint="eastAsia"/>
          <w:sz w:val="28"/>
          <w:szCs w:val="28"/>
        </w:rPr>
        <w:t>宗位于三级地价区（其中</w:t>
      </w:r>
      <w:r>
        <w:rPr>
          <w:rFonts w:ascii="Arial" w:eastAsia="仿宋_GB2312" w:hAnsi="Arial" w:cs="Arial" w:hint="eastAsia"/>
          <w:sz w:val="28"/>
          <w:szCs w:val="28"/>
        </w:rPr>
        <w:t>1</w:t>
      </w:r>
      <w:r>
        <w:rPr>
          <w:rFonts w:ascii="Arial" w:eastAsia="仿宋_GB2312" w:hAnsi="Arial" w:cs="Arial" w:hint="eastAsia"/>
          <w:sz w:val="28"/>
          <w:szCs w:val="28"/>
        </w:rPr>
        <w:t>宗楼面熟地价</w:t>
      </w:r>
      <w:r>
        <w:rPr>
          <w:rFonts w:ascii="Arial" w:eastAsia="仿宋_GB2312" w:hAnsi="Arial" w:cs="Arial" w:hint="eastAsia"/>
          <w:sz w:val="28"/>
          <w:szCs w:val="28"/>
        </w:rPr>
        <w:t>3</w:t>
      </w:r>
      <w:r>
        <w:rPr>
          <w:rFonts w:ascii="Arial" w:eastAsia="仿宋_GB2312" w:hAnsi="Arial" w:cs="Arial"/>
          <w:sz w:val="28"/>
          <w:szCs w:val="28"/>
        </w:rPr>
        <w:t>3464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平方米，另</w:t>
      </w:r>
      <w:r>
        <w:rPr>
          <w:rFonts w:ascii="Arial" w:eastAsia="仿宋_GB2312" w:hAnsi="Arial" w:cs="Arial" w:hint="eastAsia"/>
          <w:sz w:val="28"/>
          <w:szCs w:val="28"/>
        </w:rPr>
        <w:t>1</w:t>
      </w:r>
      <w:r>
        <w:rPr>
          <w:rFonts w:ascii="Arial" w:eastAsia="仿宋_GB2312" w:hAnsi="Arial" w:cs="Arial" w:hint="eastAsia"/>
          <w:sz w:val="28"/>
          <w:szCs w:val="28"/>
        </w:rPr>
        <w:t>宗楼面熟地价</w:t>
      </w:r>
      <w:r>
        <w:rPr>
          <w:rFonts w:ascii="Arial" w:eastAsia="仿宋_GB2312" w:hAnsi="Arial" w:cs="Arial" w:hint="eastAsia"/>
          <w:sz w:val="28"/>
          <w:szCs w:val="28"/>
        </w:rPr>
        <w:t>2</w:t>
      </w:r>
      <w:r>
        <w:rPr>
          <w:rFonts w:ascii="Arial" w:eastAsia="仿宋_GB2312" w:hAnsi="Arial" w:cs="Arial"/>
          <w:sz w:val="28"/>
          <w:szCs w:val="28"/>
        </w:rPr>
        <w:t>4975</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平方米，三级</w:t>
      </w:r>
      <w:proofErr w:type="gramStart"/>
      <w:r>
        <w:rPr>
          <w:rFonts w:ascii="Arial" w:eastAsia="仿宋_GB2312" w:hAnsi="Arial" w:cs="Arial" w:hint="eastAsia"/>
          <w:sz w:val="28"/>
          <w:szCs w:val="28"/>
        </w:rPr>
        <w:t>地价区楼面熟</w:t>
      </w:r>
      <w:proofErr w:type="gramEnd"/>
      <w:r>
        <w:rPr>
          <w:rFonts w:ascii="Arial" w:eastAsia="仿宋_GB2312" w:hAnsi="Arial" w:cs="Arial" w:hint="eastAsia"/>
          <w:sz w:val="28"/>
          <w:szCs w:val="28"/>
        </w:rPr>
        <w:t>地价平均值为</w:t>
      </w:r>
      <w:r>
        <w:rPr>
          <w:rFonts w:ascii="Arial" w:eastAsia="仿宋_GB2312" w:hAnsi="Arial" w:cs="Arial" w:hint="eastAsia"/>
          <w:sz w:val="28"/>
          <w:szCs w:val="28"/>
        </w:rPr>
        <w:t>2</w:t>
      </w:r>
      <w:r>
        <w:rPr>
          <w:rFonts w:ascii="Arial" w:eastAsia="仿宋_GB2312" w:hAnsi="Arial" w:cs="Arial"/>
          <w:sz w:val="28"/>
          <w:szCs w:val="28"/>
        </w:rPr>
        <w:t>9220</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w:t>
      </w:r>
      <w:r>
        <w:rPr>
          <w:rFonts w:ascii="Arial" w:eastAsia="仿宋_GB2312" w:hAnsi="Arial" w:cs="Arial"/>
          <w:sz w:val="28"/>
          <w:szCs w:val="28"/>
        </w:rPr>
        <w:t>1</w:t>
      </w:r>
      <w:r>
        <w:rPr>
          <w:rFonts w:ascii="Arial" w:eastAsia="仿宋_GB2312" w:hAnsi="Arial" w:cs="Arial" w:hint="eastAsia"/>
          <w:sz w:val="28"/>
          <w:szCs w:val="28"/>
        </w:rPr>
        <w:t>宗位于八级地价区），</w:t>
      </w:r>
      <w:r>
        <w:rPr>
          <w:rFonts w:ascii="Arial" w:eastAsia="仿宋_GB2312" w:hAnsi="Arial" w:cs="Arial"/>
          <w:sz w:val="28"/>
          <w:szCs w:val="28"/>
        </w:rPr>
        <w:t>2020</w:t>
      </w:r>
      <w:r>
        <w:rPr>
          <w:rFonts w:ascii="Arial" w:eastAsia="仿宋_GB2312" w:hAnsi="Arial" w:cs="Arial" w:hint="eastAsia"/>
          <w:sz w:val="28"/>
          <w:szCs w:val="28"/>
        </w:rPr>
        <w:t>年</w:t>
      </w:r>
      <w:proofErr w:type="gramStart"/>
      <w:r>
        <w:rPr>
          <w:rFonts w:ascii="Arial" w:eastAsia="仿宋_GB2312" w:hAnsi="Arial" w:cs="Arial" w:hint="eastAsia"/>
          <w:sz w:val="28"/>
          <w:szCs w:val="28"/>
        </w:rPr>
        <w:t>无商业</w:t>
      </w:r>
      <w:proofErr w:type="gramEnd"/>
      <w:r>
        <w:rPr>
          <w:rFonts w:ascii="Arial" w:eastAsia="仿宋_GB2312" w:hAnsi="Arial" w:cs="Arial" w:hint="eastAsia"/>
          <w:sz w:val="28"/>
          <w:szCs w:val="28"/>
        </w:rPr>
        <w:t>类协议出让成交地块，估价对象位于三级地价区，故估价对象商业</w:t>
      </w:r>
      <w:proofErr w:type="gramStart"/>
      <w:r>
        <w:rPr>
          <w:rFonts w:ascii="Arial" w:eastAsia="仿宋_GB2312" w:hAnsi="Arial" w:cs="Arial" w:hint="eastAsia"/>
          <w:sz w:val="28"/>
          <w:szCs w:val="28"/>
        </w:rPr>
        <w:t>用途楼</w:t>
      </w:r>
      <w:proofErr w:type="gramEnd"/>
      <w:r>
        <w:rPr>
          <w:rFonts w:ascii="Arial" w:eastAsia="仿宋_GB2312" w:hAnsi="Arial" w:cs="Arial" w:hint="eastAsia"/>
          <w:sz w:val="28"/>
          <w:szCs w:val="28"/>
        </w:rPr>
        <w:t>面熟地价同</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年成交的</w:t>
      </w:r>
      <w:r>
        <w:rPr>
          <w:rFonts w:ascii="Arial" w:eastAsia="仿宋_GB2312" w:hAnsi="Arial" w:cs="Arial" w:hint="eastAsia"/>
          <w:sz w:val="28"/>
          <w:szCs w:val="28"/>
        </w:rPr>
        <w:t>2</w:t>
      </w:r>
      <w:r>
        <w:rPr>
          <w:rFonts w:ascii="Arial" w:eastAsia="仿宋_GB2312" w:hAnsi="Arial" w:cs="Arial" w:hint="eastAsia"/>
          <w:sz w:val="28"/>
          <w:szCs w:val="28"/>
        </w:rPr>
        <w:t>宗三级地成交价格接近，较为合理。</w:t>
      </w:r>
    </w:p>
    <w:p w14:paraId="21E35FD0" w14:textId="77777777" w:rsidR="0087591C" w:rsidRDefault="0087591C" w:rsidP="0087591C">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经分析同区域内（海淀区）近三年（</w:t>
      </w:r>
      <w:r>
        <w:rPr>
          <w:rFonts w:ascii="Arial" w:eastAsia="仿宋_GB2312" w:hAnsi="Arial" w:cs="Arial"/>
          <w:sz w:val="28"/>
          <w:szCs w:val="28"/>
        </w:rPr>
        <w:t>2018-2020</w:t>
      </w:r>
      <w:r>
        <w:rPr>
          <w:rFonts w:ascii="Arial" w:eastAsia="仿宋_GB2312" w:hAnsi="Arial" w:cs="Arial" w:hint="eastAsia"/>
          <w:sz w:val="28"/>
          <w:szCs w:val="28"/>
        </w:rPr>
        <w:t>年）估价对象周边已审定（或成交）办公用途协议出让案例有</w:t>
      </w:r>
      <w:r>
        <w:rPr>
          <w:rFonts w:ascii="Arial" w:eastAsia="仿宋_GB2312" w:hAnsi="Arial" w:cs="Arial"/>
          <w:sz w:val="28"/>
          <w:szCs w:val="28"/>
        </w:rPr>
        <w:t>10</w:t>
      </w:r>
      <w:r>
        <w:rPr>
          <w:rFonts w:ascii="Arial" w:eastAsia="仿宋_GB2312" w:hAnsi="Arial" w:cs="Arial" w:hint="eastAsia"/>
          <w:sz w:val="28"/>
          <w:szCs w:val="28"/>
        </w:rPr>
        <w:t>个，其中</w:t>
      </w:r>
      <w:r>
        <w:rPr>
          <w:rFonts w:ascii="Arial" w:eastAsia="仿宋_GB2312" w:hAnsi="Arial" w:cs="Arial"/>
          <w:sz w:val="28"/>
          <w:szCs w:val="28"/>
        </w:rPr>
        <w:t>2018</w:t>
      </w:r>
      <w:r>
        <w:rPr>
          <w:rFonts w:ascii="Arial" w:eastAsia="仿宋_GB2312" w:hAnsi="Arial" w:cs="Arial" w:hint="eastAsia"/>
          <w:sz w:val="28"/>
          <w:szCs w:val="28"/>
        </w:rPr>
        <w:t>年楼面熟地价平均值为</w:t>
      </w:r>
      <w:r>
        <w:rPr>
          <w:rFonts w:ascii="Arial" w:eastAsia="仿宋_GB2312" w:hAnsi="Arial" w:cs="Arial"/>
          <w:sz w:val="28"/>
          <w:szCs w:val="28"/>
        </w:rPr>
        <w:t>16852</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6</w:t>
      </w:r>
      <w:r>
        <w:rPr>
          <w:rFonts w:ascii="Arial" w:eastAsia="仿宋_GB2312" w:hAnsi="Arial" w:cs="Arial" w:hint="eastAsia"/>
          <w:sz w:val="28"/>
          <w:szCs w:val="28"/>
        </w:rPr>
        <w:t>宗，</w:t>
      </w:r>
      <w:r>
        <w:rPr>
          <w:rFonts w:ascii="Arial" w:eastAsia="仿宋_GB2312" w:hAnsi="Arial" w:cs="Arial"/>
          <w:sz w:val="28"/>
          <w:szCs w:val="28"/>
        </w:rPr>
        <w:t>1</w:t>
      </w:r>
      <w:r>
        <w:rPr>
          <w:rFonts w:ascii="Arial" w:eastAsia="仿宋_GB2312" w:hAnsi="Arial" w:cs="Arial" w:hint="eastAsia"/>
          <w:sz w:val="28"/>
          <w:szCs w:val="28"/>
        </w:rPr>
        <w:t>宗位于七级地价区，</w:t>
      </w:r>
      <w:r>
        <w:rPr>
          <w:rFonts w:ascii="Arial" w:eastAsia="仿宋_GB2312" w:hAnsi="Arial" w:cs="Arial"/>
          <w:sz w:val="28"/>
          <w:szCs w:val="28"/>
        </w:rPr>
        <w:t xml:space="preserve"> 2</w:t>
      </w:r>
      <w:r>
        <w:rPr>
          <w:rFonts w:ascii="Arial" w:eastAsia="仿宋_GB2312" w:hAnsi="Arial" w:cs="Arial" w:hint="eastAsia"/>
          <w:sz w:val="28"/>
          <w:szCs w:val="28"/>
        </w:rPr>
        <w:t>宗位于六级地价区，</w:t>
      </w:r>
      <w:r>
        <w:rPr>
          <w:rFonts w:ascii="Arial" w:eastAsia="仿宋_GB2312" w:hAnsi="Arial" w:cs="Arial"/>
          <w:sz w:val="28"/>
          <w:szCs w:val="28"/>
        </w:rPr>
        <w:t>3</w:t>
      </w:r>
      <w:r>
        <w:rPr>
          <w:rFonts w:ascii="Arial" w:eastAsia="仿宋_GB2312" w:hAnsi="Arial" w:cs="Arial" w:hint="eastAsia"/>
          <w:sz w:val="28"/>
          <w:szCs w:val="28"/>
        </w:rPr>
        <w:t>宗位于五级地价区），</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19414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3</w:t>
      </w:r>
      <w:r>
        <w:rPr>
          <w:rFonts w:ascii="Arial" w:eastAsia="仿宋_GB2312" w:hAnsi="Arial" w:cs="Arial" w:hint="eastAsia"/>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宗位于八级地价区，</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2020</w:t>
      </w:r>
      <w:r>
        <w:rPr>
          <w:rFonts w:ascii="Arial" w:eastAsia="仿宋_GB2312" w:hAnsi="Arial" w:cs="Arial" w:hint="eastAsia"/>
          <w:sz w:val="28"/>
          <w:szCs w:val="28"/>
        </w:rPr>
        <w:t>年楼面熟地价平均值为</w:t>
      </w:r>
      <w:r>
        <w:rPr>
          <w:rFonts w:ascii="Arial" w:eastAsia="仿宋_GB2312" w:hAnsi="Arial" w:cs="Arial"/>
          <w:sz w:val="28"/>
          <w:szCs w:val="28"/>
        </w:rPr>
        <w:t>26293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平方米（仅</w:t>
      </w:r>
      <w:r>
        <w:rPr>
          <w:rFonts w:ascii="Arial" w:eastAsia="仿宋_GB2312" w:hAnsi="Arial" w:cs="Arial"/>
          <w:sz w:val="28"/>
          <w:szCs w:val="28"/>
        </w:rPr>
        <w:t>1</w:t>
      </w:r>
      <w:r>
        <w:rPr>
          <w:rFonts w:ascii="Arial" w:eastAsia="仿宋_GB2312" w:hAnsi="Arial" w:cs="Arial" w:hint="eastAsia"/>
          <w:sz w:val="28"/>
          <w:szCs w:val="28"/>
        </w:rPr>
        <w:t>宗，位于二级地价区，该</w:t>
      </w:r>
      <w:r>
        <w:rPr>
          <w:rFonts w:ascii="Arial" w:eastAsia="仿宋_GB2312" w:hAnsi="Arial" w:cs="Arial"/>
          <w:sz w:val="28"/>
          <w:szCs w:val="28"/>
        </w:rPr>
        <w:t>用途出让</w:t>
      </w:r>
      <w:r>
        <w:rPr>
          <w:rFonts w:ascii="Arial" w:eastAsia="仿宋_GB2312" w:hAnsi="Arial" w:cs="Arial" w:hint="eastAsia"/>
          <w:sz w:val="28"/>
          <w:szCs w:val="28"/>
        </w:rPr>
        <w:t>建设</w:t>
      </w:r>
      <w:r>
        <w:rPr>
          <w:rFonts w:ascii="Arial" w:eastAsia="仿宋_GB2312" w:hAnsi="Arial" w:cs="Arial"/>
          <w:sz w:val="28"/>
          <w:szCs w:val="28"/>
        </w:rPr>
        <w:t>规模</w:t>
      </w:r>
      <w:r>
        <w:rPr>
          <w:rFonts w:ascii="Arial" w:eastAsia="仿宋_GB2312" w:hAnsi="Arial" w:cs="Arial" w:hint="eastAsia"/>
          <w:sz w:val="28"/>
          <w:szCs w:val="28"/>
        </w:rPr>
        <w:t>超</w:t>
      </w:r>
      <w:r>
        <w:rPr>
          <w:rFonts w:ascii="Arial" w:eastAsia="仿宋_GB2312" w:hAnsi="Arial" w:cs="Arial" w:hint="eastAsia"/>
          <w:sz w:val="28"/>
          <w:szCs w:val="28"/>
        </w:rPr>
        <w:t>10000</w:t>
      </w:r>
      <w:r>
        <w:rPr>
          <w:rFonts w:ascii="Arial" w:eastAsia="仿宋_GB2312" w:hAnsi="Arial" w:cs="Arial" w:hint="eastAsia"/>
          <w:sz w:val="28"/>
          <w:szCs w:val="28"/>
        </w:rPr>
        <w:t>平方米），估价对象位于二级地价区，估价结果应高于</w:t>
      </w:r>
      <w:r>
        <w:rPr>
          <w:rFonts w:ascii="Arial" w:eastAsia="仿宋_GB2312" w:hAnsi="Arial" w:cs="Arial"/>
          <w:sz w:val="28"/>
          <w:szCs w:val="28"/>
        </w:rPr>
        <w:t>2018-2020</w:t>
      </w:r>
      <w:r>
        <w:rPr>
          <w:rFonts w:ascii="Arial" w:eastAsia="仿宋_GB2312" w:hAnsi="Arial" w:cs="Arial" w:hint="eastAsia"/>
          <w:sz w:val="28"/>
          <w:szCs w:val="28"/>
        </w:rPr>
        <w:t>年楼面熟地价。</w:t>
      </w:r>
    </w:p>
    <w:p w14:paraId="2ADF6A6F" w14:textId="77777777" w:rsidR="0087591C" w:rsidRDefault="0087591C" w:rsidP="0087591C">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近三年同区域内（海淀区）共成交</w:t>
      </w:r>
      <w:r>
        <w:rPr>
          <w:rFonts w:ascii="Arial" w:eastAsia="仿宋_GB2312" w:hAnsi="Arial" w:cs="Arial"/>
          <w:sz w:val="28"/>
          <w:szCs w:val="28"/>
        </w:rPr>
        <w:t>4</w:t>
      </w:r>
      <w:r>
        <w:rPr>
          <w:rFonts w:ascii="Arial" w:eastAsia="仿宋_GB2312" w:hAnsi="Arial" w:cs="Arial" w:hint="eastAsia"/>
          <w:sz w:val="28"/>
          <w:szCs w:val="28"/>
        </w:rPr>
        <w:t>个商办</w:t>
      </w:r>
      <w:proofErr w:type="gramStart"/>
      <w:r>
        <w:rPr>
          <w:rFonts w:ascii="Arial" w:eastAsia="仿宋_GB2312" w:hAnsi="Arial" w:cs="Arial" w:hint="eastAsia"/>
          <w:sz w:val="28"/>
          <w:szCs w:val="28"/>
        </w:rPr>
        <w:t>类招拍挂</w:t>
      </w:r>
      <w:proofErr w:type="gramEnd"/>
      <w:r>
        <w:rPr>
          <w:rFonts w:ascii="Arial" w:eastAsia="仿宋_GB2312" w:hAnsi="Arial" w:cs="Arial" w:hint="eastAsia"/>
          <w:sz w:val="28"/>
          <w:szCs w:val="28"/>
        </w:rPr>
        <w:t>出让项目，</w:t>
      </w:r>
      <w:r>
        <w:rPr>
          <w:rFonts w:ascii="Arial" w:eastAsia="仿宋_GB2312" w:hAnsi="Arial" w:cs="Arial"/>
          <w:sz w:val="28"/>
          <w:szCs w:val="28"/>
        </w:rPr>
        <w:t>2018</w:t>
      </w:r>
      <w:r>
        <w:rPr>
          <w:rFonts w:ascii="Arial" w:eastAsia="仿宋_GB2312" w:hAnsi="Arial" w:cs="Arial" w:hint="eastAsia"/>
          <w:sz w:val="28"/>
          <w:szCs w:val="28"/>
        </w:rPr>
        <w:t>年同区域无商办</w:t>
      </w:r>
      <w:proofErr w:type="gramStart"/>
      <w:r>
        <w:rPr>
          <w:rFonts w:ascii="Arial" w:eastAsia="仿宋_GB2312" w:hAnsi="Arial" w:cs="Arial" w:hint="eastAsia"/>
          <w:sz w:val="28"/>
          <w:szCs w:val="28"/>
        </w:rPr>
        <w:t>类招拍挂成交</w:t>
      </w:r>
      <w:proofErr w:type="gramEnd"/>
      <w:r>
        <w:rPr>
          <w:rFonts w:ascii="Arial" w:eastAsia="仿宋_GB2312" w:hAnsi="Arial" w:cs="Arial" w:hint="eastAsia"/>
          <w:sz w:val="28"/>
          <w:szCs w:val="28"/>
        </w:rPr>
        <w:t>地块；</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22423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3</w:t>
      </w:r>
      <w:r>
        <w:rPr>
          <w:rFonts w:ascii="Arial" w:eastAsia="仿宋_GB2312" w:hAnsi="Arial" w:cs="Arial" w:hint="eastAsia"/>
          <w:sz w:val="28"/>
          <w:szCs w:val="28"/>
        </w:rPr>
        <w:t>宗，其中</w:t>
      </w:r>
      <w:r>
        <w:rPr>
          <w:rFonts w:ascii="Arial" w:eastAsia="仿宋_GB2312" w:hAnsi="Arial" w:cs="Arial"/>
          <w:sz w:val="28"/>
          <w:szCs w:val="28"/>
        </w:rPr>
        <w:t>1</w:t>
      </w:r>
      <w:r>
        <w:rPr>
          <w:rFonts w:ascii="Arial" w:eastAsia="仿宋_GB2312" w:hAnsi="Arial" w:cs="Arial" w:hint="eastAsia"/>
          <w:sz w:val="28"/>
          <w:szCs w:val="28"/>
        </w:rPr>
        <w:t>宗位于五级地，</w:t>
      </w:r>
      <w:r>
        <w:rPr>
          <w:rFonts w:ascii="Arial" w:eastAsia="仿宋_GB2312" w:hAnsi="Arial" w:cs="Arial"/>
          <w:sz w:val="28"/>
          <w:szCs w:val="28"/>
        </w:rPr>
        <w:t>2</w:t>
      </w:r>
      <w:r>
        <w:rPr>
          <w:rFonts w:ascii="Arial" w:eastAsia="仿宋_GB2312" w:hAnsi="Arial" w:cs="Arial" w:hint="eastAsia"/>
          <w:sz w:val="28"/>
          <w:szCs w:val="28"/>
        </w:rPr>
        <w:t>宗位于六级地），结合</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案例用途及位置，故估价对象评估结果高于</w:t>
      </w:r>
      <w:r>
        <w:rPr>
          <w:rFonts w:ascii="Arial" w:eastAsia="仿宋_GB2312" w:hAnsi="Arial" w:cs="Arial"/>
          <w:sz w:val="28"/>
          <w:szCs w:val="28"/>
        </w:rPr>
        <w:t>2019</w:t>
      </w:r>
      <w:r>
        <w:rPr>
          <w:rFonts w:ascii="Arial" w:eastAsia="仿宋_GB2312" w:hAnsi="Arial" w:cs="Arial" w:hint="eastAsia"/>
          <w:sz w:val="28"/>
          <w:szCs w:val="28"/>
        </w:rPr>
        <w:t>年度</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地价均值是合理的；</w:t>
      </w:r>
      <w:r>
        <w:rPr>
          <w:rFonts w:ascii="Arial" w:eastAsia="仿宋_GB2312" w:hAnsi="Arial" w:cs="Arial"/>
          <w:sz w:val="28"/>
          <w:szCs w:val="28"/>
        </w:rPr>
        <w:t>2020</w:t>
      </w:r>
      <w:r>
        <w:rPr>
          <w:rFonts w:ascii="Arial" w:eastAsia="仿宋_GB2312" w:hAnsi="Arial" w:cs="Arial" w:hint="eastAsia"/>
          <w:sz w:val="28"/>
          <w:szCs w:val="28"/>
        </w:rPr>
        <w:t>年楼面熟地价（仅成交</w:t>
      </w:r>
      <w:r>
        <w:rPr>
          <w:rFonts w:ascii="Arial" w:eastAsia="仿宋_GB2312" w:hAnsi="Arial" w:cs="Arial"/>
          <w:sz w:val="28"/>
          <w:szCs w:val="28"/>
        </w:rPr>
        <w:t>1</w:t>
      </w:r>
      <w:r>
        <w:rPr>
          <w:rFonts w:ascii="Arial" w:eastAsia="仿宋_GB2312" w:hAnsi="Arial" w:cs="Arial" w:hint="eastAsia"/>
          <w:sz w:val="28"/>
          <w:szCs w:val="28"/>
        </w:rPr>
        <w:t>宗，位于西八里庄，三级地价区）为</w:t>
      </w:r>
      <w:r>
        <w:rPr>
          <w:rFonts w:ascii="Arial" w:eastAsia="仿宋_GB2312" w:hAnsi="Arial" w:cs="Arial"/>
          <w:sz w:val="28"/>
          <w:szCs w:val="28"/>
        </w:rPr>
        <w:t>31358</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平方米，估价对象位于二级地价区，估价对象</w:t>
      </w:r>
      <w:r>
        <w:rPr>
          <w:rFonts w:ascii="Arial" w:eastAsia="仿宋_GB2312" w:hAnsi="Arial" w:cs="Arial"/>
          <w:sz w:val="28"/>
          <w:szCs w:val="28"/>
        </w:rPr>
        <w:t>商办</w:t>
      </w:r>
      <w:r>
        <w:rPr>
          <w:rFonts w:ascii="Arial" w:eastAsia="仿宋_GB2312" w:hAnsi="Arial" w:cs="Arial" w:hint="eastAsia"/>
          <w:sz w:val="28"/>
          <w:szCs w:val="28"/>
        </w:rPr>
        <w:t>用途属于住宅</w:t>
      </w:r>
      <w:r>
        <w:rPr>
          <w:rFonts w:ascii="Arial" w:eastAsia="仿宋_GB2312" w:hAnsi="Arial" w:cs="Arial"/>
          <w:sz w:val="28"/>
          <w:szCs w:val="28"/>
        </w:rPr>
        <w:t>配套</w:t>
      </w:r>
      <w:r>
        <w:rPr>
          <w:rFonts w:ascii="Arial" w:eastAsia="仿宋_GB2312" w:hAnsi="Arial" w:cs="Arial" w:hint="eastAsia"/>
          <w:sz w:val="28"/>
          <w:szCs w:val="28"/>
        </w:rPr>
        <w:t>，与</w:t>
      </w:r>
      <w:r>
        <w:rPr>
          <w:rFonts w:ascii="Arial" w:eastAsia="仿宋_GB2312" w:hAnsi="Arial" w:cs="Arial"/>
          <w:sz w:val="28"/>
          <w:szCs w:val="28"/>
        </w:rPr>
        <w:t>西八里</w:t>
      </w:r>
      <w:proofErr w:type="gramStart"/>
      <w:r>
        <w:rPr>
          <w:rFonts w:ascii="Arial" w:eastAsia="仿宋_GB2312" w:hAnsi="Arial" w:cs="Arial"/>
          <w:sz w:val="28"/>
          <w:szCs w:val="28"/>
        </w:rPr>
        <w:t>庄项目</w:t>
      </w:r>
      <w:proofErr w:type="gramEnd"/>
      <w:r>
        <w:rPr>
          <w:rFonts w:ascii="Arial" w:eastAsia="仿宋_GB2312" w:hAnsi="Arial" w:cs="Arial"/>
          <w:sz w:val="28"/>
          <w:szCs w:val="28"/>
        </w:rPr>
        <w:t>产品类型不同</w:t>
      </w:r>
      <w:r>
        <w:rPr>
          <w:rFonts w:ascii="Arial" w:eastAsia="仿宋_GB2312" w:hAnsi="Arial" w:cs="Arial" w:hint="eastAsia"/>
          <w:sz w:val="28"/>
          <w:szCs w:val="28"/>
        </w:rPr>
        <w:t>，估价结果略低于西八里</w:t>
      </w:r>
      <w:proofErr w:type="gramStart"/>
      <w:r>
        <w:rPr>
          <w:rFonts w:ascii="Arial" w:eastAsia="仿宋_GB2312" w:hAnsi="Arial" w:cs="Arial" w:hint="eastAsia"/>
          <w:sz w:val="28"/>
          <w:szCs w:val="28"/>
        </w:rPr>
        <w:t>庄招拍挂成交</w:t>
      </w:r>
      <w:proofErr w:type="gramEnd"/>
      <w:r>
        <w:rPr>
          <w:rFonts w:ascii="Arial" w:eastAsia="仿宋_GB2312" w:hAnsi="Arial" w:cs="Arial" w:hint="eastAsia"/>
          <w:sz w:val="28"/>
          <w:szCs w:val="28"/>
        </w:rPr>
        <w:t>地价是合理的。</w:t>
      </w:r>
    </w:p>
    <w:p w14:paraId="5802DCD2" w14:textId="77777777" w:rsidR="0087591C" w:rsidRDefault="0087591C" w:rsidP="0087591C">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估价对象的估价结果与近三年已审定（或成交）案例的平均价格水平相当，因受估价对象所在区域、估价期日、容积率等因素的影响，最终估价结果在合理范围之内。</w:t>
      </w:r>
      <w:r w:rsidRPr="003A3E89">
        <w:rPr>
          <w:rFonts w:ascii="Arial" w:eastAsia="仿宋_GB2312" w:hAnsi="Arial" w:cs="Arial" w:hint="eastAsia"/>
          <w:sz w:val="28"/>
          <w:szCs w:val="28"/>
        </w:rPr>
        <w:t xml:space="preserve"> </w:t>
      </w:r>
    </w:p>
    <w:p w14:paraId="00DE3C7C" w14:textId="77777777" w:rsidR="0087591C" w:rsidRPr="00CB3EE5" w:rsidRDefault="0087591C" w:rsidP="0087591C">
      <w:pPr>
        <w:spacing w:line="360" w:lineRule="auto"/>
        <w:jc w:val="both"/>
        <w:rPr>
          <w:rFonts w:ascii="Arial" w:eastAsia="仿宋_GB2312" w:hAnsi="Arial" w:cs="Arial"/>
          <w:sz w:val="28"/>
          <w:szCs w:val="28"/>
        </w:rPr>
      </w:pPr>
    </w:p>
    <w:p w14:paraId="68C30C81" w14:textId="77777777" w:rsidR="0087591C" w:rsidRDefault="0087591C" w:rsidP="0087591C">
      <w:pPr>
        <w:adjustRightInd/>
        <w:spacing w:line="360" w:lineRule="auto"/>
        <w:jc w:val="center"/>
        <w:textAlignment w:val="auto"/>
        <w:rPr>
          <w:rFonts w:ascii="Arial" w:eastAsia="仿宋_GB2312" w:hAnsi="Arial" w:cs="Arial"/>
          <w:sz w:val="28"/>
          <w:szCs w:val="28"/>
        </w:rPr>
      </w:pPr>
      <w:r w:rsidRPr="00193CEB">
        <w:rPr>
          <w:rFonts w:ascii="Arial" w:eastAsia="仿宋_GB2312" w:hAnsi="Arial" w:cs="Arial" w:hint="eastAsia"/>
          <w:sz w:val="28"/>
          <w:szCs w:val="28"/>
        </w:rPr>
        <w:lastRenderedPageBreak/>
        <w:t>商业</w:t>
      </w:r>
      <w:r w:rsidRPr="00193CEB">
        <w:rPr>
          <w:rFonts w:ascii="Arial" w:eastAsia="仿宋_GB2312" w:hAnsi="Arial" w:cs="Arial"/>
          <w:sz w:val="28"/>
          <w:szCs w:val="28"/>
        </w:rPr>
        <w:t>用途案例分析</w:t>
      </w:r>
    </w:p>
    <w:p w14:paraId="1DC39831" w14:textId="77777777" w:rsidR="0087591C" w:rsidRPr="00640132" w:rsidRDefault="0087591C" w:rsidP="0087591C">
      <w:pPr>
        <w:adjustRightInd/>
        <w:spacing w:line="360" w:lineRule="auto"/>
        <w:jc w:val="center"/>
        <w:textAlignment w:val="auto"/>
        <w:rPr>
          <w:rFonts w:ascii="Arial" w:eastAsia="仿宋_GB2312" w:hAnsi="Arial" w:cs="Arial"/>
          <w:sz w:val="28"/>
          <w:szCs w:val="28"/>
        </w:rPr>
      </w:pPr>
      <w:r>
        <w:rPr>
          <w:noProof/>
        </w:rPr>
        <w:drawing>
          <wp:inline distT="0" distB="0" distL="0" distR="0" wp14:anchorId="7EEF181B" wp14:editId="357CC510">
            <wp:extent cx="4986669" cy="3721395"/>
            <wp:effectExtent l="0" t="0" r="4445" b="12700"/>
            <wp:docPr id="35" name="图表 35">
              <a:extLst xmlns:a="http://schemas.openxmlformats.org/drawingml/2006/main">
                <a:ext uri="{FF2B5EF4-FFF2-40B4-BE49-F238E27FC236}">
                  <a16:creationId xmlns:a16="http://schemas.microsoft.com/office/drawing/2014/main" id="{FEBD5C2B-F202-48C1-8753-64C5C7A5E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3B2613F" w14:textId="77777777" w:rsidR="0087591C" w:rsidRDefault="0087591C" w:rsidP="0087591C">
      <w:pPr>
        <w:adjustRightInd/>
        <w:spacing w:line="360" w:lineRule="auto"/>
        <w:jc w:val="center"/>
        <w:textAlignment w:val="auto"/>
        <w:rPr>
          <w:rFonts w:ascii="Arial" w:eastAsia="仿宋_GB2312" w:hAnsi="Arial" w:cs="Arial"/>
          <w:sz w:val="28"/>
          <w:szCs w:val="28"/>
        </w:rPr>
      </w:pPr>
      <w:r w:rsidRPr="00640132">
        <w:rPr>
          <w:rFonts w:ascii="Arial" w:eastAsia="仿宋_GB2312" w:hAnsi="Arial" w:cs="Arial" w:hint="eastAsia"/>
          <w:sz w:val="28"/>
          <w:szCs w:val="28"/>
        </w:rPr>
        <w:t>办公</w:t>
      </w:r>
      <w:r w:rsidRPr="00640132">
        <w:rPr>
          <w:rFonts w:ascii="Arial" w:eastAsia="仿宋_GB2312" w:hAnsi="Arial" w:cs="Arial"/>
          <w:sz w:val="28"/>
          <w:szCs w:val="28"/>
        </w:rPr>
        <w:t>用途案例分析</w:t>
      </w:r>
    </w:p>
    <w:p w14:paraId="1D4998BD" w14:textId="77777777" w:rsidR="0087591C" w:rsidRPr="00640132" w:rsidRDefault="0087591C" w:rsidP="0087591C">
      <w:pPr>
        <w:adjustRightInd/>
        <w:spacing w:line="360" w:lineRule="auto"/>
        <w:jc w:val="center"/>
        <w:textAlignment w:val="auto"/>
        <w:rPr>
          <w:rFonts w:ascii="Arial" w:eastAsia="仿宋_GB2312" w:hAnsi="Arial" w:cs="Arial"/>
          <w:sz w:val="28"/>
          <w:szCs w:val="28"/>
        </w:rPr>
      </w:pPr>
      <w:r>
        <w:rPr>
          <w:noProof/>
        </w:rPr>
        <w:drawing>
          <wp:inline distT="0" distB="0" distL="0" distR="0" wp14:anchorId="0EA0B708" wp14:editId="469A5492">
            <wp:extent cx="4972050" cy="3957638"/>
            <wp:effectExtent l="0" t="0" r="0" b="5080"/>
            <wp:docPr id="36" name="图表 36">
              <a:extLst xmlns:a="http://schemas.openxmlformats.org/drawingml/2006/main">
                <a:ext uri="{FF2B5EF4-FFF2-40B4-BE49-F238E27FC236}">
                  <a16:creationId xmlns:a16="http://schemas.microsoft.com/office/drawing/2014/main" id="{E7836004-ED6E-4C44-9ACC-0FB78E0C6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B753F09" w14:textId="77777777" w:rsidR="0087591C" w:rsidRDefault="0087591C" w:rsidP="0087591C">
      <w:pPr>
        <w:pStyle w:val="11"/>
        <w:jc w:val="both"/>
        <w:rPr>
          <w:rFonts w:ascii="Arial" w:hAnsi="Arial" w:cs="Arial"/>
          <w:szCs w:val="28"/>
        </w:rPr>
      </w:pPr>
      <w:r w:rsidRPr="004B7002">
        <w:rPr>
          <w:rFonts w:ascii="Arial" w:hAnsi="Arial" w:cs="Arial"/>
          <w:szCs w:val="28"/>
        </w:rPr>
        <w:lastRenderedPageBreak/>
        <w:t>3.</w:t>
      </w:r>
      <w:r>
        <w:rPr>
          <w:rFonts w:ascii="Arial" w:hAnsi="Arial" w:cs="Arial" w:hint="eastAsia"/>
        </w:rPr>
        <w:t>本次评估是</w:t>
      </w:r>
      <w:r w:rsidRPr="00F631FB">
        <w:rPr>
          <w:rFonts w:ascii="Arial" w:hAnsi="Arial" w:cs="Arial"/>
        </w:rPr>
        <w:t>为北京市规划和自然资源委员会办理该项目</w:t>
      </w:r>
      <w:r w:rsidRPr="00927BB2">
        <w:rPr>
          <w:rFonts w:ascii="Arial" w:hAnsi="Arial" w:cs="Arial" w:hint="eastAsia"/>
        </w:rPr>
        <w:t>一次性招标</w:t>
      </w:r>
      <w:r>
        <w:rPr>
          <w:rFonts w:ascii="Arial" w:hAnsi="Arial" w:cs="Arial" w:hint="eastAsia"/>
        </w:rPr>
        <w:t>出让手续</w:t>
      </w:r>
      <w:r w:rsidRPr="00F631FB">
        <w:rPr>
          <w:rFonts w:ascii="Arial" w:hAnsi="Arial" w:cs="Arial"/>
        </w:rPr>
        <w:t>提供参考</w:t>
      </w:r>
      <w:r w:rsidRPr="00F631FB">
        <w:rPr>
          <w:rFonts w:ascii="Arial" w:hAnsi="Arial" w:cs="Arial" w:hint="eastAsia"/>
        </w:rPr>
        <w:t>依据</w:t>
      </w:r>
      <w:r w:rsidRPr="00F631FB">
        <w:rPr>
          <w:rFonts w:ascii="Arial" w:hAnsi="Arial" w:cs="Arial"/>
        </w:rPr>
        <w:t>。</w:t>
      </w:r>
      <w:r>
        <w:rPr>
          <w:rFonts w:ascii="Arial" w:hAnsi="Arial" w:cs="Arial" w:hint="eastAsia"/>
        </w:rPr>
        <w:t>估价对象非特</w:t>
      </w:r>
      <w:proofErr w:type="gramStart"/>
      <w:r>
        <w:rPr>
          <w:rFonts w:ascii="Arial" w:hAnsi="Arial" w:cs="Arial" w:hint="eastAsia"/>
        </w:rPr>
        <w:t>定条件下招拍挂</w:t>
      </w:r>
      <w:proofErr w:type="gramEnd"/>
      <w:r>
        <w:rPr>
          <w:rFonts w:ascii="Arial" w:hAnsi="Arial" w:cs="Arial" w:hint="eastAsia"/>
        </w:rPr>
        <w:t>出让方式，</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Pr>
          <w:rFonts w:ascii="Arial" w:hAnsi="Arial" w:cs="Arial" w:hint="eastAsia"/>
          <w:szCs w:val="28"/>
        </w:rPr>
        <w:t>中未对一次性招标出让底价进行特殊规定，</w:t>
      </w:r>
      <w:r>
        <w:rPr>
          <w:rFonts w:ascii="Arial" w:hAnsi="Arial" w:cs="Arial" w:hint="eastAsia"/>
        </w:rPr>
        <w:t>故本次出让底价建议参考</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sidRPr="00AF4CFE">
        <w:rPr>
          <w:rFonts w:ascii="Arial" w:hAnsi="Arial" w:cs="Arial"/>
          <w:szCs w:val="28"/>
        </w:rPr>
        <w:t>对于</w:t>
      </w:r>
      <w:r>
        <w:rPr>
          <w:rFonts w:ascii="Arial" w:hAnsi="Arial" w:cs="Arial" w:hint="eastAsia"/>
          <w:szCs w:val="28"/>
        </w:rPr>
        <w:t>协议</w:t>
      </w:r>
      <w:r w:rsidRPr="00AF4CFE">
        <w:rPr>
          <w:rFonts w:ascii="Arial" w:hAnsi="Arial" w:cs="Arial"/>
          <w:szCs w:val="28"/>
        </w:rPr>
        <w:t>出让项目</w:t>
      </w:r>
      <w:r>
        <w:rPr>
          <w:rFonts w:ascii="Arial" w:hAnsi="Arial" w:cs="Arial" w:hint="eastAsia"/>
          <w:szCs w:val="28"/>
        </w:rPr>
        <w:t>的规定：</w:t>
      </w:r>
      <w:r w:rsidRPr="00AF4CFE">
        <w:rPr>
          <w:rFonts w:ascii="Arial" w:hAnsi="Arial" w:cs="Arial"/>
          <w:szCs w:val="28"/>
        </w:rPr>
        <w:t>“</w:t>
      </w:r>
      <w:r w:rsidRPr="00AF4CFE">
        <w:rPr>
          <w:rFonts w:ascii="Arial" w:hAnsi="Arial" w:cs="Arial"/>
          <w:szCs w:val="28"/>
        </w:rPr>
        <w:t>确定估价结果，并根据当地市场情况、有关法律法规和政策规定，给出底价决策建议</w:t>
      </w:r>
      <w:r w:rsidRPr="00AF4CFE">
        <w:rPr>
          <w:rFonts w:ascii="Arial" w:hAnsi="Arial" w:cs="Arial"/>
          <w:szCs w:val="28"/>
        </w:rPr>
        <w:t>”</w:t>
      </w:r>
      <w:r w:rsidRPr="00AF4CFE">
        <w:rPr>
          <w:rFonts w:ascii="Arial" w:hAnsi="Arial" w:cs="Arial"/>
          <w:szCs w:val="28"/>
        </w:rPr>
        <w:t>，出让底价应不低于宗地所在级别基准地价低限修正后结果。</w:t>
      </w:r>
    </w:p>
    <w:p w14:paraId="4C0014D6" w14:textId="77777777" w:rsidR="0087591C" w:rsidRPr="00A75B80" w:rsidRDefault="0087591C" w:rsidP="0087591C">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p>
    <w:p w14:paraId="3A2C240B" w14:textId="77777777" w:rsidR="0087591C" w:rsidRDefault="0087591C" w:rsidP="0087591C">
      <w:pPr>
        <w:autoSpaceDE w:val="0"/>
        <w:autoSpaceDN w:val="0"/>
        <w:snapToGrid w:val="0"/>
        <w:spacing w:line="360" w:lineRule="auto"/>
        <w:ind w:firstLine="540"/>
        <w:jc w:val="both"/>
        <w:textAlignment w:val="bottom"/>
        <w:rPr>
          <w:rFonts w:ascii="Arial" w:eastAsia="仿宋_GB2312" w:hAnsi="Arial" w:cs="Arial"/>
          <w:sz w:val="28"/>
          <w:szCs w:val="28"/>
        </w:rPr>
      </w:pPr>
      <w:r w:rsidRPr="004B7002">
        <w:rPr>
          <w:rFonts w:ascii="Arial" w:eastAsia="仿宋_GB2312" w:hAnsi="Arial" w:cs="Arial" w:hint="eastAsia"/>
          <w:sz w:val="28"/>
        </w:rPr>
        <w:t>依前述，估价对象住宅用途</w:t>
      </w:r>
      <w:r w:rsidRPr="004B7002">
        <w:rPr>
          <w:rFonts w:ascii="Arial" w:eastAsia="仿宋_GB2312" w:hAnsi="Arial" w:cs="Arial"/>
          <w:sz w:val="28"/>
          <w:szCs w:val="28"/>
        </w:rPr>
        <w:t>经评审的政府土地出让收益与应分摊成本合计</w:t>
      </w:r>
      <w:r w:rsidRPr="004B7002">
        <w:rPr>
          <w:rFonts w:ascii="Arial" w:eastAsia="仿宋_GB2312" w:hAnsi="Arial" w:cs="Arial" w:hint="eastAsia"/>
          <w:sz w:val="28"/>
          <w:szCs w:val="28"/>
        </w:rPr>
        <w:t>、</w:t>
      </w:r>
      <w:r w:rsidRPr="004B7002">
        <w:rPr>
          <w:rFonts w:ascii="Arial" w:eastAsia="仿宋_GB2312" w:hAnsi="Arial" w:cs="Arial"/>
          <w:sz w:val="28"/>
          <w:szCs w:val="28"/>
        </w:rPr>
        <w:t>所在基准地价级别低限价格</w:t>
      </w:r>
      <w:r w:rsidRPr="004B7002">
        <w:rPr>
          <w:rFonts w:ascii="Arial" w:eastAsia="仿宋_GB2312" w:hAnsi="Arial" w:cs="Arial" w:hint="eastAsia"/>
          <w:sz w:val="28"/>
          <w:szCs w:val="28"/>
        </w:rPr>
        <w:t>及其对应的政府土地出让收益如下表所示：</w:t>
      </w:r>
    </w:p>
    <w:tbl>
      <w:tblPr>
        <w:tblStyle w:val="aff5"/>
        <w:tblW w:w="9640" w:type="dxa"/>
        <w:jc w:val="center"/>
        <w:tblLook w:val="04A0" w:firstRow="1" w:lastRow="0" w:firstColumn="1" w:lastColumn="0" w:noHBand="0" w:noVBand="1"/>
      </w:tblPr>
      <w:tblGrid>
        <w:gridCol w:w="662"/>
        <w:gridCol w:w="703"/>
        <w:gridCol w:w="771"/>
        <w:gridCol w:w="767"/>
        <w:gridCol w:w="789"/>
        <w:gridCol w:w="767"/>
        <w:gridCol w:w="810"/>
        <w:gridCol w:w="808"/>
        <w:gridCol w:w="767"/>
        <w:gridCol w:w="662"/>
        <w:gridCol w:w="967"/>
        <w:gridCol w:w="1167"/>
      </w:tblGrid>
      <w:tr w:rsidR="0087591C" w:rsidRPr="004B7002" w14:paraId="2B632581" w14:textId="77777777" w:rsidTr="005D5BB3">
        <w:trPr>
          <w:jc w:val="center"/>
        </w:trPr>
        <w:tc>
          <w:tcPr>
            <w:tcW w:w="662" w:type="dxa"/>
            <w:vAlign w:val="center"/>
          </w:tcPr>
          <w:p w14:paraId="4A6F8CB7" w14:textId="77777777" w:rsidR="0087591C" w:rsidRPr="004B7002" w:rsidRDefault="0087591C" w:rsidP="005D5BB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用途</w:t>
            </w:r>
          </w:p>
        </w:tc>
        <w:tc>
          <w:tcPr>
            <w:tcW w:w="703" w:type="dxa"/>
            <w:vAlign w:val="center"/>
          </w:tcPr>
          <w:p w14:paraId="347636B3" w14:textId="77777777" w:rsidR="0087591C" w:rsidRPr="004B7002" w:rsidRDefault="0087591C" w:rsidP="005D5BB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土地级别</w:t>
            </w:r>
          </w:p>
        </w:tc>
        <w:tc>
          <w:tcPr>
            <w:tcW w:w="771" w:type="dxa"/>
            <w:vAlign w:val="center"/>
          </w:tcPr>
          <w:p w14:paraId="361D5249" w14:textId="77777777" w:rsidR="0087591C" w:rsidRPr="004B7002" w:rsidRDefault="0087591C" w:rsidP="005D5BB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所在级别低限基准地价</w:t>
            </w:r>
          </w:p>
        </w:tc>
        <w:tc>
          <w:tcPr>
            <w:tcW w:w="767" w:type="dxa"/>
            <w:vAlign w:val="center"/>
          </w:tcPr>
          <w:p w14:paraId="1DEA8B85" w14:textId="77777777" w:rsidR="0087591C" w:rsidRPr="004B7002" w:rsidRDefault="0087591C" w:rsidP="005D5BB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期日修正系数</w:t>
            </w:r>
          </w:p>
        </w:tc>
        <w:tc>
          <w:tcPr>
            <w:tcW w:w="789" w:type="dxa"/>
            <w:vAlign w:val="center"/>
          </w:tcPr>
          <w:p w14:paraId="49F72E5B" w14:textId="77777777" w:rsidR="0087591C" w:rsidRPr="004B7002" w:rsidRDefault="0087591C" w:rsidP="005D5BB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年期修正系数</w:t>
            </w:r>
          </w:p>
        </w:tc>
        <w:tc>
          <w:tcPr>
            <w:tcW w:w="767" w:type="dxa"/>
            <w:vAlign w:val="center"/>
          </w:tcPr>
          <w:p w14:paraId="2ABA2603" w14:textId="77777777" w:rsidR="0087591C" w:rsidRPr="004B7002" w:rsidRDefault="0087591C" w:rsidP="005D5BB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hint="eastAsia"/>
                <w:b/>
                <w:color w:val="000000"/>
                <w:sz w:val="18"/>
                <w:szCs w:val="18"/>
              </w:rPr>
              <w:t>容积率修正系数</w:t>
            </w:r>
          </w:p>
        </w:tc>
        <w:tc>
          <w:tcPr>
            <w:tcW w:w="810" w:type="dxa"/>
            <w:vAlign w:val="center"/>
          </w:tcPr>
          <w:p w14:paraId="42510979" w14:textId="77777777" w:rsidR="0087591C" w:rsidRPr="004B7002" w:rsidRDefault="0087591C" w:rsidP="005D5BB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因素修正系数</w:t>
            </w:r>
          </w:p>
        </w:tc>
        <w:tc>
          <w:tcPr>
            <w:tcW w:w="808" w:type="dxa"/>
            <w:vAlign w:val="center"/>
          </w:tcPr>
          <w:p w14:paraId="39E52C44" w14:textId="77777777" w:rsidR="0087591C" w:rsidRPr="004B7002" w:rsidRDefault="0087591C" w:rsidP="005D5BB3">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r>
              <w:rPr>
                <w:rFonts w:ascii="Arial" w:eastAsia="仿宋_GB2312" w:hAnsi="Arial" w:cs="Arial"/>
                <w:b/>
                <w:color w:val="000000"/>
                <w:sz w:val="18"/>
                <w:szCs w:val="18"/>
              </w:rPr>
              <w:t>/</w:t>
            </w:r>
            <w:r>
              <w:rPr>
                <w:rFonts w:ascii="Arial" w:eastAsia="仿宋_GB2312" w:hAnsi="Arial" w:cs="Arial" w:hint="eastAsia"/>
                <w:b/>
                <w:color w:val="000000"/>
                <w:sz w:val="18"/>
                <w:szCs w:val="18"/>
              </w:rPr>
              <w:t>地下空间修正系数</w:t>
            </w:r>
          </w:p>
        </w:tc>
        <w:tc>
          <w:tcPr>
            <w:tcW w:w="767" w:type="dxa"/>
            <w:vAlign w:val="center"/>
          </w:tcPr>
          <w:p w14:paraId="27E00738" w14:textId="77777777" w:rsidR="0087591C" w:rsidRPr="004B7002" w:rsidRDefault="0087591C" w:rsidP="005D5BB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楼面熟地价</w:t>
            </w:r>
          </w:p>
        </w:tc>
        <w:tc>
          <w:tcPr>
            <w:tcW w:w="662" w:type="dxa"/>
            <w:vAlign w:val="center"/>
          </w:tcPr>
          <w:p w14:paraId="5881B301" w14:textId="77777777" w:rsidR="0087591C" w:rsidRPr="004B7002" w:rsidRDefault="0087591C" w:rsidP="005D5BB3">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政府土地出让收益</w:t>
            </w:r>
          </w:p>
        </w:tc>
        <w:tc>
          <w:tcPr>
            <w:tcW w:w="967" w:type="dxa"/>
            <w:vAlign w:val="center"/>
          </w:tcPr>
          <w:p w14:paraId="02BD0808" w14:textId="77777777" w:rsidR="0087591C" w:rsidRPr="0063620D" w:rsidRDefault="0087591C" w:rsidP="005D5BB3">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建筑面积</w:t>
            </w:r>
          </w:p>
        </w:tc>
        <w:tc>
          <w:tcPr>
            <w:tcW w:w="1167" w:type="dxa"/>
            <w:vAlign w:val="center"/>
          </w:tcPr>
          <w:p w14:paraId="28E9C624" w14:textId="77777777" w:rsidR="0087591C" w:rsidRPr="0063620D" w:rsidRDefault="0087591C" w:rsidP="005D5BB3">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w:t>
            </w:r>
            <w:r>
              <w:rPr>
                <w:rFonts w:ascii="Arial" w:eastAsia="仿宋_GB2312" w:hAnsi="Arial" w:cs="Arial" w:hint="eastAsia"/>
                <w:b/>
                <w:color w:val="000000"/>
                <w:sz w:val="18"/>
                <w:szCs w:val="18"/>
              </w:rPr>
              <w:t>总</w:t>
            </w:r>
            <w:r w:rsidRPr="0063620D">
              <w:rPr>
                <w:rFonts w:ascii="Arial" w:eastAsia="仿宋_GB2312" w:hAnsi="Arial" w:cs="Arial" w:hint="eastAsia"/>
                <w:b/>
                <w:color w:val="000000"/>
                <w:sz w:val="18"/>
                <w:szCs w:val="18"/>
              </w:rPr>
              <w:t>收益</w:t>
            </w:r>
          </w:p>
        </w:tc>
      </w:tr>
      <w:tr w:rsidR="0087591C" w:rsidRPr="004B7002" w14:paraId="06F7D95C" w14:textId="77777777" w:rsidTr="005D5BB3">
        <w:trPr>
          <w:jc w:val="center"/>
        </w:trPr>
        <w:tc>
          <w:tcPr>
            <w:tcW w:w="662" w:type="dxa"/>
            <w:vAlign w:val="center"/>
          </w:tcPr>
          <w:p w14:paraId="15A288DA"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住宅</w:t>
            </w:r>
          </w:p>
        </w:tc>
        <w:tc>
          <w:tcPr>
            <w:tcW w:w="703" w:type="dxa"/>
            <w:vAlign w:val="center"/>
          </w:tcPr>
          <w:p w14:paraId="1768D582"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2BD3AC8D"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728F6C45"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0339851C"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50B44854"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0.865</w:t>
            </w:r>
            <w:r>
              <w:rPr>
                <w:rFonts w:ascii="Arial" w:eastAsia="仿宋_GB2312" w:hAnsi="Arial" w:cs="Arial"/>
                <w:color w:val="000000"/>
                <w:sz w:val="18"/>
                <w:szCs w:val="18"/>
              </w:rPr>
              <w:t>2</w:t>
            </w:r>
          </w:p>
        </w:tc>
        <w:tc>
          <w:tcPr>
            <w:tcW w:w="810" w:type="dxa"/>
            <w:vAlign w:val="center"/>
          </w:tcPr>
          <w:p w14:paraId="2F47B176"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6C6FB868" w14:textId="77777777" w:rsidR="0087591C" w:rsidRPr="0020403B" w:rsidRDefault="0087591C" w:rsidP="005D5BB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150264FF" w14:textId="77777777" w:rsidR="0087591C" w:rsidRPr="004B7002" w:rsidRDefault="0087591C" w:rsidP="005D5BB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3</w:t>
            </w:r>
            <w:r>
              <w:rPr>
                <w:rFonts w:ascii="Arial" w:eastAsia="仿宋_GB2312" w:hAnsi="Arial" w:cs="Arial"/>
                <w:b/>
                <w:bCs/>
                <w:color w:val="000000"/>
                <w:sz w:val="18"/>
                <w:szCs w:val="18"/>
              </w:rPr>
              <w:t>4471</w:t>
            </w:r>
          </w:p>
        </w:tc>
        <w:tc>
          <w:tcPr>
            <w:tcW w:w="662" w:type="dxa"/>
            <w:vAlign w:val="center"/>
          </w:tcPr>
          <w:p w14:paraId="17E93DD1"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8</w:t>
            </w:r>
            <w:r>
              <w:rPr>
                <w:rFonts w:ascii="Arial" w:eastAsia="仿宋_GB2312" w:hAnsi="Arial" w:cs="Arial"/>
                <w:b/>
                <w:bCs/>
                <w:color w:val="000000"/>
                <w:sz w:val="18"/>
                <w:szCs w:val="18"/>
              </w:rPr>
              <w:t>618</w:t>
            </w:r>
          </w:p>
        </w:tc>
        <w:tc>
          <w:tcPr>
            <w:tcW w:w="967" w:type="dxa"/>
            <w:vAlign w:val="center"/>
          </w:tcPr>
          <w:p w14:paraId="69F530B9"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28075</w:t>
            </w:r>
          </w:p>
        </w:tc>
        <w:tc>
          <w:tcPr>
            <w:tcW w:w="1167" w:type="dxa"/>
            <w:vAlign w:val="center"/>
          </w:tcPr>
          <w:p w14:paraId="7E5B1314"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24195.035</w:t>
            </w:r>
            <w:r>
              <w:rPr>
                <w:rFonts w:ascii="Arial" w:eastAsia="仿宋_GB2312" w:hAnsi="Arial" w:cs="Arial"/>
                <w:b/>
                <w:bCs/>
                <w:color w:val="000000"/>
                <w:sz w:val="18"/>
                <w:szCs w:val="18"/>
              </w:rPr>
              <w:t>0</w:t>
            </w:r>
          </w:p>
        </w:tc>
      </w:tr>
      <w:tr w:rsidR="0087591C" w:rsidRPr="004B7002" w14:paraId="74693BF9" w14:textId="77777777" w:rsidTr="005D5BB3">
        <w:trPr>
          <w:jc w:val="center"/>
        </w:trPr>
        <w:tc>
          <w:tcPr>
            <w:tcW w:w="662" w:type="dxa"/>
            <w:vAlign w:val="center"/>
          </w:tcPr>
          <w:p w14:paraId="6D5A51E5"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703" w:type="dxa"/>
            <w:vAlign w:val="center"/>
          </w:tcPr>
          <w:p w14:paraId="3D04B63A"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Ⅲ</w:t>
            </w:r>
            <w:r w:rsidRPr="0063620D">
              <w:rPr>
                <w:rFonts w:ascii="Arial" w:eastAsia="仿宋_GB2312" w:hAnsi="Arial" w:cs="Arial" w:hint="eastAsia"/>
                <w:color w:val="000000"/>
                <w:sz w:val="18"/>
                <w:szCs w:val="18"/>
              </w:rPr>
              <w:t>-06</w:t>
            </w:r>
          </w:p>
        </w:tc>
        <w:tc>
          <w:tcPr>
            <w:tcW w:w="771" w:type="dxa"/>
            <w:vAlign w:val="center"/>
          </w:tcPr>
          <w:p w14:paraId="78CFA89B"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767" w:type="dxa"/>
            <w:vAlign w:val="center"/>
          </w:tcPr>
          <w:p w14:paraId="518444D5"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5A518967"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05110F16"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.8175</w:t>
            </w:r>
          </w:p>
        </w:tc>
        <w:tc>
          <w:tcPr>
            <w:tcW w:w="810" w:type="dxa"/>
            <w:vAlign w:val="center"/>
          </w:tcPr>
          <w:p w14:paraId="7A7C6A39"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.0535</w:t>
            </w:r>
          </w:p>
        </w:tc>
        <w:tc>
          <w:tcPr>
            <w:tcW w:w="808" w:type="dxa"/>
            <w:vAlign w:val="center"/>
          </w:tcPr>
          <w:p w14:paraId="1204057F" w14:textId="77777777" w:rsidR="0087591C" w:rsidRPr="0020403B" w:rsidRDefault="0087591C" w:rsidP="005D5BB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3F53851F" w14:textId="77777777" w:rsidR="0087591C" w:rsidRPr="004B7002" w:rsidRDefault="0087591C" w:rsidP="005D5BB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0960</w:t>
            </w:r>
          </w:p>
        </w:tc>
        <w:tc>
          <w:tcPr>
            <w:tcW w:w="662" w:type="dxa"/>
            <w:vAlign w:val="center"/>
          </w:tcPr>
          <w:p w14:paraId="0226C1A5"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5</w:t>
            </w:r>
            <w:r>
              <w:rPr>
                <w:rFonts w:ascii="Arial" w:eastAsia="仿宋_GB2312" w:hAnsi="Arial" w:cs="Arial"/>
                <w:b/>
                <w:bCs/>
                <w:color w:val="000000"/>
                <w:sz w:val="18"/>
                <w:szCs w:val="18"/>
              </w:rPr>
              <w:t>240</w:t>
            </w:r>
          </w:p>
        </w:tc>
        <w:tc>
          <w:tcPr>
            <w:tcW w:w="967" w:type="dxa"/>
            <w:vAlign w:val="center"/>
          </w:tcPr>
          <w:p w14:paraId="23DF8014"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3318</w:t>
            </w:r>
          </w:p>
        </w:tc>
        <w:tc>
          <w:tcPr>
            <w:tcW w:w="1167" w:type="dxa"/>
            <w:vAlign w:val="center"/>
          </w:tcPr>
          <w:p w14:paraId="50414E64"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1738.632</w:t>
            </w:r>
            <w:r>
              <w:rPr>
                <w:rFonts w:ascii="Arial" w:eastAsia="仿宋_GB2312" w:hAnsi="Arial" w:cs="Arial"/>
                <w:b/>
                <w:bCs/>
                <w:color w:val="000000"/>
                <w:sz w:val="18"/>
                <w:szCs w:val="18"/>
              </w:rPr>
              <w:t>0</w:t>
            </w:r>
          </w:p>
        </w:tc>
      </w:tr>
      <w:tr w:rsidR="0087591C" w:rsidRPr="004B7002" w14:paraId="430153B0" w14:textId="77777777" w:rsidTr="005D5BB3">
        <w:trPr>
          <w:jc w:val="center"/>
        </w:trPr>
        <w:tc>
          <w:tcPr>
            <w:tcW w:w="662" w:type="dxa"/>
            <w:vAlign w:val="center"/>
          </w:tcPr>
          <w:p w14:paraId="042EC402"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办公</w:t>
            </w:r>
          </w:p>
        </w:tc>
        <w:tc>
          <w:tcPr>
            <w:tcW w:w="703" w:type="dxa"/>
            <w:vAlign w:val="center"/>
          </w:tcPr>
          <w:p w14:paraId="112240A5"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6A16AB18"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02AE978E"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7EF8E245"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2D0D8068"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.9151</w:t>
            </w:r>
          </w:p>
        </w:tc>
        <w:tc>
          <w:tcPr>
            <w:tcW w:w="810" w:type="dxa"/>
            <w:vAlign w:val="center"/>
          </w:tcPr>
          <w:p w14:paraId="7A03F29D"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047F7344" w14:textId="77777777" w:rsidR="0087591C" w:rsidRPr="0020403B" w:rsidRDefault="0087591C" w:rsidP="005D5BB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28759F7E" w14:textId="77777777" w:rsidR="0087591C" w:rsidRPr="004B7002" w:rsidRDefault="0087591C" w:rsidP="005D5BB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8536</w:t>
            </w:r>
          </w:p>
        </w:tc>
        <w:tc>
          <w:tcPr>
            <w:tcW w:w="662" w:type="dxa"/>
            <w:vAlign w:val="center"/>
          </w:tcPr>
          <w:p w14:paraId="4374698F"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7</w:t>
            </w:r>
            <w:r>
              <w:rPr>
                <w:rFonts w:ascii="Arial" w:eastAsia="仿宋_GB2312" w:hAnsi="Arial" w:cs="Arial"/>
                <w:b/>
                <w:bCs/>
                <w:color w:val="000000"/>
                <w:sz w:val="18"/>
                <w:szCs w:val="18"/>
              </w:rPr>
              <w:t>134</w:t>
            </w:r>
          </w:p>
        </w:tc>
        <w:tc>
          <w:tcPr>
            <w:tcW w:w="967" w:type="dxa"/>
            <w:vAlign w:val="center"/>
          </w:tcPr>
          <w:p w14:paraId="6402630C"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118</w:t>
            </w:r>
          </w:p>
        </w:tc>
        <w:tc>
          <w:tcPr>
            <w:tcW w:w="1167" w:type="dxa"/>
            <w:vAlign w:val="center"/>
          </w:tcPr>
          <w:p w14:paraId="4A9EA3DE"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84.1812</w:t>
            </w:r>
          </w:p>
        </w:tc>
      </w:tr>
      <w:tr w:rsidR="0087591C" w:rsidRPr="004B7002" w14:paraId="3B38E655" w14:textId="77777777" w:rsidTr="005D5BB3">
        <w:trPr>
          <w:jc w:val="center"/>
        </w:trPr>
        <w:tc>
          <w:tcPr>
            <w:tcW w:w="662" w:type="dxa"/>
            <w:vAlign w:val="center"/>
          </w:tcPr>
          <w:p w14:paraId="24F47130" w14:textId="77777777" w:rsidR="0087591C"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703" w:type="dxa"/>
            <w:vAlign w:val="center"/>
          </w:tcPr>
          <w:p w14:paraId="50A707A4"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32DD0A2D"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64DC33E4"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6EBF9FF8"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4868EDBF"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7C758D94"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44C554C3" w14:textId="77777777" w:rsidR="0087591C" w:rsidRPr="0020403B" w:rsidRDefault="0087591C" w:rsidP="005D5BB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0.3</w:t>
            </w:r>
          </w:p>
        </w:tc>
        <w:tc>
          <w:tcPr>
            <w:tcW w:w="767" w:type="dxa"/>
            <w:vAlign w:val="center"/>
          </w:tcPr>
          <w:p w14:paraId="61518931" w14:textId="77777777" w:rsidR="0087591C" w:rsidRPr="004B7002" w:rsidRDefault="0087591C" w:rsidP="005D5BB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355</w:t>
            </w:r>
          </w:p>
        </w:tc>
        <w:tc>
          <w:tcPr>
            <w:tcW w:w="662" w:type="dxa"/>
            <w:vAlign w:val="center"/>
          </w:tcPr>
          <w:p w14:paraId="1008FA2A"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339</w:t>
            </w:r>
          </w:p>
        </w:tc>
        <w:tc>
          <w:tcPr>
            <w:tcW w:w="967" w:type="dxa"/>
            <w:vAlign w:val="center"/>
          </w:tcPr>
          <w:p w14:paraId="4371DD2C"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32</w:t>
            </w:r>
          </w:p>
        </w:tc>
        <w:tc>
          <w:tcPr>
            <w:tcW w:w="1167" w:type="dxa"/>
            <w:vAlign w:val="center"/>
          </w:tcPr>
          <w:p w14:paraId="023EB881"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7.4848</w:t>
            </w:r>
          </w:p>
        </w:tc>
      </w:tr>
      <w:tr w:rsidR="0087591C" w:rsidRPr="004B7002" w14:paraId="2B7545B3" w14:textId="77777777" w:rsidTr="005D5BB3">
        <w:trPr>
          <w:jc w:val="center"/>
        </w:trPr>
        <w:tc>
          <w:tcPr>
            <w:tcW w:w="662" w:type="dxa"/>
            <w:vAlign w:val="center"/>
          </w:tcPr>
          <w:p w14:paraId="10E930F0" w14:textId="77777777" w:rsidR="0087591C"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地下车库</w:t>
            </w:r>
          </w:p>
        </w:tc>
        <w:tc>
          <w:tcPr>
            <w:tcW w:w="703" w:type="dxa"/>
            <w:vAlign w:val="center"/>
          </w:tcPr>
          <w:p w14:paraId="5D071A70"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748E1DD1"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0B1AC0AF"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1C5EA077"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753EB31E"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10" w:type="dxa"/>
            <w:vAlign w:val="center"/>
          </w:tcPr>
          <w:p w14:paraId="016A8774"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6EDB22DD" w14:textId="77777777" w:rsidR="0087591C" w:rsidRPr="0020403B" w:rsidRDefault="0087591C" w:rsidP="005D5BB3">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0.25</w:t>
            </w:r>
          </w:p>
        </w:tc>
        <w:tc>
          <w:tcPr>
            <w:tcW w:w="767" w:type="dxa"/>
            <w:vAlign w:val="center"/>
          </w:tcPr>
          <w:p w14:paraId="67D55B31" w14:textId="77777777" w:rsidR="0087591C" w:rsidRPr="004B7002" w:rsidRDefault="0087591C" w:rsidP="005D5BB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960</w:t>
            </w:r>
          </w:p>
        </w:tc>
        <w:tc>
          <w:tcPr>
            <w:tcW w:w="662" w:type="dxa"/>
            <w:vAlign w:val="center"/>
          </w:tcPr>
          <w:p w14:paraId="7F18432F"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490</w:t>
            </w:r>
          </w:p>
        </w:tc>
        <w:tc>
          <w:tcPr>
            <w:tcW w:w="967" w:type="dxa"/>
            <w:vAlign w:val="center"/>
          </w:tcPr>
          <w:p w14:paraId="60D660DA"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10345.02</w:t>
            </w:r>
          </w:p>
        </w:tc>
        <w:tc>
          <w:tcPr>
            <w:tcW w:w="1167" w:type="dxa"/>
            <w:vAlign w:val="center"/>
          </w:tcPr>
          <w:p w14:paraId="1B4E71ED"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2575.91</w:t>
            </w:r>
            <w:r>
              <w:rPr>
                <w:rFonts w:ascii="Arial" w:eastAsia="仿宋_GB2312" w:hAnsi="Arial" w:cs="Arial"/>
                <w:b/>
                <w:bCs/>
                <w:color w:val="000000"/>
                <w:sz w:val="18"/>
                <w:szCs w:val="18"/>
              </w:rPr>
              <w:t>00</w:t>
            </w:r>
          </w:p>
        </w:tc>
      </w:tr>
      <w:tr w:rsidR="0087591C" w:rsidRPr="004B7002" w14:paraId="0B1670AB" w14:textId="77777777" w:rsidTr="005D5BB3">
        <w:trPr>
          <w:jc w:val="center"/>
        </w:trPr>
        <w:tc>
          <w:tcPr>
            <w:tcW w:w="662" w:type="dxa"/>
            <w:vAlign w:val="center"/>
          </w:tcPr>
          <w:p w14:paraId="4CFFAB22" w14:textId="77777777" w:rsidR="0087591C"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合计</w:t>
            </w:r>
          </w:p>
        </w:tc>
        <w:tc>
          <w:tcPr>
            <w:tcW w:w="703" w:type="dxa"/>
            <w:vAlign w:val="center"/>
          </w:tcPr>
          <w:p w14:paraId="07551FA8" w14:textId="77777777" w:rsidR="0087591C"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67AC1D83" w14:textId="77777777" w:rsidR="0087591C"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50F50E3E"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89" w:type="dxa"/>
            <w:vAlign w:val="center"/>
          </w:tcPr>
          <w:p w14:paraId="643050B0"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2C946CEB" w14:textId="77777777" w:rsidR="0087591C"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55234C4F" w14:textId="77777777" w:rsidR="0087591C" w:rsidRPr="004B7002" w:rsidRDefault="0087591C" w:rsidP="005D5BB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08" w:type="dxa"/>
            <w:vAlign w:val="center"/>
          </w:tcPr>
          <w:p w14:paraId="463363D7"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767" w:type="dxa"/>
            <w:vAlign w:val="center"/>
          </w:tcPr>
          <w:p w14:paraId="3C8A1396" w14:textId="77777777" w:rsidR="0087591C" w:rsidRDefault="0087591C" w:rsidP="005D5BB3">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662" w:type="dxa"/>
            <w:vAlign w:val="center"/>
          </w:tcPr>
          <w:p w14:paraId="181E2B39"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967" w:type="dxa"/>
            <w:vAlign w:val="center"/>
          </w:tcPr>
          <w:p w14:paraId="586CF95B"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41888.02</w:t>
            </w:r>
          </w:p>
        </w:tc>
        <w:tc>
          <w:tcPr>
            <w:tcW w:w="1167" w:type="dxa"/>
            <w:vAlign w:val="center"/>
          </w:tcPr>
          <w:p w14:paraId="67A6F51E" w14:textId="77777777" w:rsidR="0087591C" w:rsidRDefault="0087591C" w:rsidP="005D5BB3">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28601.243</w:t>
            </w:r>
            <w:r>
              <w:rPr>
                <w:rFonts w:ascii="Arial" w:eastAsia="仿宋_GB2312" w:hAnsi="Arial" w:cs="Arial"/>
                <w:b/>
                <w:bCs/>
                <w:color w:val="000000"/>
                <w:sz w:val="18"/>
                <w:szCs w:val="18"/>
              </w:rPr>
              <w:t>0</w:t>
            </w:r>
          </w:p>
        </w:tc>
      </w:tr>
    </w:tbl>
    <w:p w14:paraId="76ED11C1" w14:textId="77777777" w:rsidR="0087591C" w:rsidRPr="004B7002" w:rsidRDefault="0087591C" w:rsidP="0087591C">
      <w:pPr>
        <w:widowControl/>
        <w:adjustRightInd/>
        <w:spacing w:line="240" w:lineRule="auto"/>
        <w:textAlignment w:val="auto"/>
        <w:rPr>
          <w:rFonts w:ascii="Arial" w:eastAsia="仿宋_GB2312" w:hAnsi="Arial" w:cs="Arial"/>
          <w:b/>
          <w:color w:val="000000"/>
          <w:sz w:val="21"/>
          <w:szCs w:val="21"/>
        </w:rPr>
      </w:pPr>
      <w:r w:rsidRPr="004B7002">
        <w:rPr>
          <w:rFonts w:ascii="Arial" w:eastAsia="仿宋_GB2312" w:hAnsi="Arial" w:cs="Arial"/>
          <w:b/>
          <w:color w:val="000000"/>
          <w:sz w:val="21"/>
          <w:szCs w:val="21"/>
        </w:rPr>
        <w:lastRenderedPageBreak/>
        <w:t>备注：依据</w:t>
      </w:r>
      <w:r w:rsidRPr="00BA7C99">
        <w:rPr>
          <w:rFonts w:ascii="Arial" w:eastAsia="仿宋_GB2312" w:hAnsi="Arial" w:cs="Arial" w:hint="eastAsia"/>
          <w:b/>
          <w:color w:val="000000"/>
          <w:sz w:val="21"/>
          <w:szCs w:val="21"/>
        </w:rPr>
        <w:t>《北京市海淀区人民政府关于商请加快地铁</w:t>
      </w:r>
      <w:r w:rsidRPr="00BA7C99">
        <w:rPr>
          <w:rFonts w:ascii="Arial" w:eastAsia="仿宋_GB2312" w:hAnsi="Arial" w:cs="Arial" w:hint="eastAsia"/>
          <w:b/>
          <w:color w:val="000000"/>
          <w:sz w:val="21"/>
          <w:szCs w:val="21"/>
        </w:rPr>
        <w:t>16</w:t>
      </w:r>
      <w:r w:rsidRPr="00BA7C99">
        <w:rPr>
          <w:rFonts w:ascii="Arial" w:eastAsia="仿宋_GB2312" w:hAnsi="Arial" w:cs="Arial" w:hint="eastAsia"/>
          <w:b/>
          <w:color w:val="000000"/>
          <w:sz w:val="21"/>
          <w:szCs w:val="21"/>
        </w:rPr>
        <w:t>号线苏州街站一体化棚改项目国有建设用地使用权出让手续办理有关事宜的函》</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海政函（</w:t>
      </w:r>
      <w:r w:rsidRPr="00BA7C99">
        <w:rPr>
          <w:rFonts w:ascii="Arial" w:eastAsia="仿宋_GB2312" w:hAnsi="Arial" w:cs="Arial" w:hint="eastAsia"/>
          <w:b/>
          <w:color w:val="000000"/>
          <w:sz w:val="21"/>
          <w:szCs w:val="21"/>
        </w:rPr>
        <w:t>2021</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50</w:t>
      </w:r>
      <w:r w:rsidRPr="00BA7C99">
        <w:rPr>
          <w:rFonts w:ascii="Arial" w:eastAsia="仿宋_GB2312" w:hAnsi="Arial" w:cs="Arial" w:hint="eastAsia"/>
          <w:b/>
          <w:color w:val="000000"/>
          <w:sz w:val="21"/>
          <w:szCs w:val="21"/>
        </w:rPr>
        <w:t>号</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及其附件、《关于海淀区苏州街站一体化棚户区改造项目成本说明》</w:t>
      </w:r>
      <w:r>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估价对象前期土地开发成本约为</w:t>
      </w:r>
      <w:r w:rsidRPr="00BA7C99">
        <w:rPr>
          <w:rFonts w:ascii="Arial" w:eastAsia="仿宋_GB2312" w:hAnsi="Arial" w:cs="Arial" w:hint="eastAsia"/>
          <w:b/>
          <w:color w:val="000000"/>
          <w:sz w:val="21"/>
          <w:szCs w:val="21"/>
        </w:rPr>
        <w:t>158379.13</w:t>
      </w:r>
      <w:r w:rsidRPr="00BA7C99">
        <w:rPr>
          <w:rFonts w:ascii="Arial" w:eastAsia="仿宋_GB2312" w:hAnsi="Arial" w:cs="Arial" w:hint="eastAsia"/>
          <w:b/>
          <w:color w:val="000000"/>
          <w:sz w:val="21"/>
          <w:szCs w:val="21"/>
        </w:rPr>
        <w:t>万元</w:t>
      </w:r>
    </w:p>
    <w:p w14:paraId="4575C184" w14:textId="40BD0133" w:rsidR="007B3A83" w:rsidRDefault="0087591C" w:rsidP="0087591C">
      <w:pPr>
        <w:spacing w:beforeLines="100" w:before="240" w:line="360" w:lineRule="auto"/>
        <w:ind w:firstLineChars="200" w:firstLine="560"/>
        <w:rPr>
          <w:rFonts w:ascii="Arial" w:eastAsia="仿宋_GB2312" w:hAnsi="Arial" w:cs="Arial"/>
          <w:bCs/>
          <w:sz w:val="28"/>
        </w:rPr>
      </w:pPr>
      <w:r>
        <w:rPr>
          <w:rFonts w:ascii="Arial" w:eastAsia="仿宋_GB2312" w:hAnsi="Arial" w:cs="Arial" w:hint="eastAsia"/>
          <w:sz w:val="28"/>
        </w:rPr>
        <w:t>通过上表可知，估价对象政府土地出让收益与土地开发成本合计不低于该宗地所在基准地价级别低限，故建议本项目出让底价按该宗地在新设定规划建设条件下的出让土地使用权正常市场价格计取</w:t>
      </w:r>
      <w:r w:rsidR="007B3A83">
        <w:rPr>
          <w:rFonts w:ascii="Arial" w:eastAsia="仿宋_GB2312" w:hAnsi="Arial" w:cs="Arial" w:hint="eastAsia"/>
          <w:sz w:val="28"/>
        </w:rPr>
        <w:t>。</w:t>
      </w:r>
    </w:p>
    <w:p w14:paraId="068F55AD" w14:textId="74BEF436" w:rsidR="002C3ABF" w:rsidRPr="007B3A83" w:rsidRDefault="002C3ABF" w:rsidP="00E651D3">
      <w:pPr>
        <w:spacing w:line="360" w:lineRule="auto"/>
        <w:rPr>
          <w:rFonts w:ascii="Arial" w:eastAsia="仿宋_GB2312" w:hAnsi="Arial" w:cs="Arial"/>
          <w:sz w:val="28"/>
        </w:rPr>
        <w:sectPr w:rsidR="002C3ABF" w:rsidRPr="007B3A83" w:rsidSect="004A2C77">
          <w:footerReference w:type="first" r:id="rId62"/>
          <w:pgSz w:w="11907" w:h="16840"/>
          <w:pgMar w:top="1843" w:right="1134" w:bottom="1134" w:left="1134" w:header="1134" w:footer="907" w:gutter="340"/>
          <w:pgNumType w:start="1"/>
          <w:cols w:space="720"/>
          <w:titlePg/>
          <w:docGrid w:linePitch="326"/>
        </w:sectPr>
      </w:pPr>
    </w:p>
    <w:p w14:paraId="175A1CC2" w14:textId="77777777" w:rsidR="002C3ABF" w:rsidRPr="00F631FB" w:rsidRDefault="002C3ABF" w:rsidP="002C3ABF">
      <w:pPr>
        <w:pStyle w:val="11"/>
        <w:ind w:firstLine="562"/>
        <w:rPr>
          <w:rFonts w:ascii="Arial" w:hAnsi="Arial" w:cs="Arial"/>
          <w:b/>
        </w:rPr>
      </w:pPr>
      <w:r w:rsidRPr="00F631FB">
        <w:rPr>
          <w:rFonts w:ascii="Arial" w:hAnsi="Arial" w:cs="Arial"/>
          <w:b/>
        </w:rPr>
        <w:lastRenderedPageBreak/>
        <w:t>附</w:t>
      </w:r>
      <w:r w:rsidRPr="00F631FB">
        <w:rPr>
          <w:rFonts w:ascii="Arial" w:hAnsi="Arial" w:cs="Arial"/>
          <w:b/>
        </w:rPr>
        <w:t xml:space="preserve">                                           </w:t>
      </w:r>
      <w:r w:rsidRPr="00F631FB">
        <w:rPr>
          <w:rFonts w:ascii="Arial" w:hAnsi="Arial" w:cs="Arial"/>
          <w:b/>
        </w:rPr>
        <w:t>估价结果一览表</w:t>
      </w:r>
    </w:p>
    <w:p w14:paraId="770DFC4A" w14:textId="45D00415" w:rsidR="002C3ABF" w:rsidRPr="00F631FB" w:rsidRDefault="002C3ABF" w:rsidP="002C3ABF">
      <w:pPr>
        <w:spacing w:line="240" w:lineRule="auto"/>
        <w:rPr>
          <w:rFonts w:ascii="Arial" w:eastAsia="仿宋_GB2312" w:hAnsi="Arial" w:cs="Arial"/>
          <w:bCs/>
          <w:sz w:val="18"/>
        </w:rPr>
      </w:pPr>
      <w:r w:rsidRPr="00F631FB">
        <w:rPr>
          <w:rFonts w:ascii="Arial" w:eastAsia="仿宋_GB2312" w:hAnsi="Arial" w:cs="Arial"/>
          <w:bCs/>
          <w:sz w:val="18"/>
        </w:rPr>
        <w:t>估价机构：</w:t>
      </w:r>
      <w:proofErr w:type="gramStart"/>
      <w:r w:rsidRPr="00F631FB">
        <w:rPr>
          <w:rFonts w:ascii="Arial" w:eastAsia="仿宋_GB2312" w:hAnsi="Arial" w:cs="Arial"/>
          <w:sz w:val="18"/>
        </w:rPr>
        <w:t>北京康正宏</w:t>
      </w:r>
      <w:proofErr w:type="gramEnd"/>
      <w:r w:rsidRPr="00F631FB">
        <w:rPr>
          <w:rFonts w:ascii="Arial" w:eastAsia="仿宋_GB2312" w:hAnsi="Arial" w:cs="Arial"/>
          <w:sz w:val="18"/>
        </w:rPr>
        <w:t>基房地产评估有限公司</w:t>
      </w:r>
      <w:r w:rsidRPr="00F631FB">
        <w:rPr>
          <w:rFonts w:ascii="Arial" w:eastAsia="仿宋_GB2312" w:hAnsi="Arial" w:cs="Arial"/>
          <w:sz w:val="18"/>
        </w:rPr>
        <w:t xml:space="preserve"> </w:t>
      </w:r>
      <w:r w:rsidRPr="00F631FB">
        <w:rPr>
          <w:rFonts w:ascii="Arial" w:eastAsia="仿宋_GB2312" w:hAnsi="Arial" w:cs="Arial"/>
          <w:bCs/>
          <w:sz w:val="18"/>
        </w:rPr>
        <w:t xml:space="preserve">  </w:t>
      </w:r>
      <w:r w:rsidRPr="00F631FB">
        <w:rPr>
          <w:rFonts w:ascii="Arial" w:eastAsia="仿宋_GB2312" w:hAnsi="Arial" w:cs="Arial"/>
          <w:bCs/>
          <w:sz w:val="18"/>
        </w:rPr>
        <w:t>估价报告编号：</w:t>
      </w:r>
      <w:r w:rsidR="008E4F13">
        <w:rPr>
          <w:rFonts w:ascii="Arial" w:eastAsia="仿宋_GB2312" w:hAnsi="Arial" w:cs="Arial"/>
          <w:bCs/>
          <w:sz w:val="18"/>
        </w:rPr>
        <w:t>2021-1-0606-</w:t>
      </w:r>
      <w:r w:rsidR="00831261">
        <w:rPr>
          <w:rFonts w:ascii="Arial" w:eastAsia="仿宋_GB2312" w:hAnsi="Arial" w:cs="Arial"/>
          <w:bCs/>
          <w:sz w:val="18"/>
        </w:rPr>
        <w:t>F02</w:t>
      </w:r>
      <w:r w:rsidR="008E4F13">
        <w:rPr>
          <w:rFonts w:ascii="Arial" w:eastAsia="仿宋_GB2312" w:hAnsi="Arial" w:cs="Arial"/>
          <w:bCs/>
          <w:sz w:val="18"/>
        </w:rPr>
        <w:t>TDCR6</w:t>
      </w:r>
      <w:r w:rsidRPr="00F631FB">
        <w:rPr>
          <w:rFonts w:ascii="Arial" w:eastAsia="仿宋_GB2312" w:hAnsi="Arial" w:cs="Arial"/>
          <w:bCs/>
          <w:sz w:val="18"/>
        </w:rPr>
        <w:t xml:space="preserve">    </w:t>
      </w:r>
      <w:r w:rsidRPr="00F631FB">
        <w:rPr>
          <w:rFonts w:ascii="Arial" w:eastAsia="仿宋_GB2312" w:hAnsi="Arial" w:cs="Arial"/>
          <w:bCs/>
          <w:sz w:val="18"/>
        </w:rPr>
        <w:t>估价期日：</w:t>
      </w:r>
      <w:r w:rsidR="006650F1">
        <w:rPr>
          <w:rFonts w:ascii="Arial" w:eastAsia="仿宋_GB2312" w:hAnsi="Arial" w:cs="Arial"/>
          <w:bCs/>
          <w:sz w:val="18"/>
        </w:rPr>
        <w:t>2021</w:t>
      </w:r>
      <w:r w:rsidR="006650F1">
        <w:rPr>
          <w:rFonts w:ascii="Arial" w:eastAsia="仿宋_GB2312" w:hAnsi="Arial" w:cs="Arial"/>
          <w:bCs/>
          <w:sz w:val="18"/>
        </w:rPr>
        <w:t>年</w:t>
      </w:r>
      <w:r w:rsidR="006650F1">
        <w:rPr>
          <w:rFonts w:ascii="Arial" w:eastAsia="仿宋_GB2312" w:hAnsi="Arial" w:cs="Arial"/>
          <w:bCs/>
          <w:sz w:val="18"/>
        </w:rPr>
        <w:t>10</w:t>
      </w:r>
      <w:r w:rsidR="006650F1">
        <w:rPr>
          <w:rFonts w:ascii="Arial" w:eastAsia="仿宋_GB2312" w:hAnsi="Arial" w:cs="Arial"/>
          <w:bCs/>
          <w:sz w:val="18"/>
        </w:rPr>
        <w:t>月</w:t>
      </w:r>
      <w:r w:rsidR="006650F1">
        <w:rPr>
          <w:rFonts w:ascii="Arial" w:eastAsia="仿宋_GB2312" w:hAnsi="Arial" w:cs="Arial"/>
          <w:bCs/>
          <w:sz w:val="18"/>
        </w:rPr>
        <w:t>15</w:t>
      </w:r>
      <w:r w:rsidR="006650F1">
        <w:rPr>
          <w:rFonts w:ascii="Arial" w:eastAsia="仿宋_GB2312" w:hAnsi="Arial" w:cs="Arial"/>
          <w:bCs/>
          <w:sz w:val="18"/>
        </w:rPr>
        <w:t>日</w:t>
      </w:r>
      <w:r w:rsidRPr="00F631FB">
        <w:rPr>
          <w:rFonts w:ascii="Arial" w:eastAsia="仿宋_GB2312" w:hAnsi="Arial" w:cs="Arial"/>
          <w:bCs/>
          <w:sz w:val="18"/>
        </w:rPr>
        <w:t xml:space="preserve">   </w:t>
      </w:r>
      <w:r w:rsidRPr="00F631FB">
        <w:rPr>
          <w:rFonts w:ascii="Arial" w:eastAsia="仿宋_GB2312" w:hAnsi="Arial" w:cs="Arial"/>
          <w:bCs/>
          <w:sz w:val="18"/>
        </w:rPr>
        <w:t>估价期日的国有建设用地使用权性质：出让</w:t>
      </w:r>
    </w:p>
    <w:tbl>
      <w:tblPr>
        <w:tblW w:w="5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25"/>
        <w:gridCol w:w="710"/>
        <w:gridCol w:w="425"/>
        <w:gridCol w:w="710"/>
        <w:gridCol w:w="707"/>
        <w:gridCol w:w="710"/>
        <w:gridCol w:w="425"/>
        <w:gridCol w:w="425"/>
        <w:gridCol w:w="425"/>
        <w:gridCol w:w="710"/>
        <w:gridCol w:w="579"/>
        <w:gridCol w:w="710"/>
        <w:gridCol w:w="992"/>
        <w:gridCol w:w="995"/>
        <w:gridCol w:w="849"/>
        <w:gridCol w:w="1274"/>
        <w:gridCol w:w="849"/>
        <w:gridCol w:w="1277"/>
        <w:gridCol w:w="1268"/>
      </w:tblGrid>
      <w:tr w:rsidR="0077205E" w:rsidRPr="006B33D2" w14:paraId="485D25A3" w14:textId="77777777" w:rsidTr="00E906EE">
        <w:trPr>
          <w:cantSplit/>
          <w:trHeight w:val="780"/>
          <w:jc w:val="center"/>
        </w:trPr>
        <w:tc>
          <w:tcPr>
            <w:tcW w:w="232" w:type="pct"/>
            <w:vMerge w:val="restart"/>
            <w:vAlign w:val="center"/>
          </w:tcPr>
          <w:p w14:paraId="3F95A28A"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估价期日土地使用者</w:t>
            </w:r>
          </w:p>
        </w:tc>
        <w:tc>
          <w:tcPr>
            <w:tcW w:w="140" w:type="pct"/>
            <w:vMerge w:val="restart"/>
            <w:vAlign w:val="center"/>
          </w:tcPr>
          <w:p w14:paraId="6A895EA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宗地编号</w:t>
            </w:r>
          </w:p>
        </w:tc>
        <w:tc>
          <w:tcPr>
            <w:tcW w:w="234" w:type="pct"/>
            <w:vMerge w:val="restart"/>
            <w:vAlign w:val="center"/>
          </w:tcPr>
          <w:p w14:paraId="3301E4D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宗地名称</w:t>
            </w:r>
          </w:p>
        </w:tc>
        <w:tc>
          <w:tcPr>
            <w:tcW w:w="140" w:type="pct"/>
            <w:vMerge w:val="restart"/>
            <w:vAlign w:val="center"/>
          </w:tcPr>
          <w:p w14:paraId="6AB41B3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土地使用证编号</w:t>
            </w:r>
          </w:p>
        </w:tc>
        <w:tc>
          <w:tcPr>
            <w:tcW w:w="701" w:type="pct"/>
            <w:gridSpan w:val="3"/>
            <w:tcBorders>
              <w:bottom w:val="single" w:sz="4" w:space="0" w:color="auto"/>
            </w:tcBorders>
            <w:vAlign w:val="center"/>
          </w:tcPr>
          <w:p w14:paraId="1A83E48B" w14:textId="77777777" w:rsidR="0077205E" w:rsidRPr="006B33D2" w:rsidRDefault="0077205E" w:rsidP="00E906EE">
            <w:pPr>
              <w:spacing w:line="240" w:lineRule="auto"/>
              <w:ind w:rightChars="-45" w:right="-108"/>
              <w:jc w:val="center"/>
              <w:rPr>
                <w:rFonts w:ascii="Arial" w:eastAsia="仿宋_GB2312" w:hAnsi="Arial" w:cs="Arial"/>
                <w:bCs/>
                <w:sz w:val="18"/>
                <w:szCs w:val="18"/>
              </w:rPr>
            </w:pPr>
            <w:r w:rsidRPr="006B33D2">
              <w:rPr>
                <w:rFonts w:ascii="Arial" w:eastAsia="仿宋_GB2312" w:hAnsi="Arial" w:cs="Arial"/>
                <w:bCs/>
                <w:sz w:val="18"/>
                <w:szCs w:val="18"/>
              </w:rPr>
              <w:t>估价期日的用途</w:t>
            </w:r>
          </w:p>
        </w:tc>
        <w:tc>
          <w:tcPr>
            <w:tcW w:w="420" w:type="pct"/>
            <w:gridSpan w:val="3"/>
            <w:vAlign w:val="center"/>
          </w:tcPr>
          <w:p w14:paraId="50E375B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容积率</w:t>
            </w:r>
          </w:p>
        </w:tc>
        <w:tc>
          <w:tcPr>
            <w:tcW w:w="234" w:type="pct"/>
            <w:vMerge w:val="restart"/>
            <w:vAlign w:val="center"/>
          </w:tcPr>
          <w:p w14:paraId="412904A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估价期日的实际土地开发程度</w:t>
            </w:r>
          </w:p>
        </w:tc>
        <w:tc>
          <w:tcPr>
            <w:tcW w:w="191" w:type="pct"/>
            <w:vMerge w:val="restart"/>
            <w:vAlign w:val="center"/>
          </w:tcPr>
          <w:p w14:paraId="5DA3E2C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估价设定的土地开发程度</w:t>
            </w:r>
          </w:p>
        </w:tc>
        <w:tc>
          <w:tcPr>
            <w:tcW w:w="234" w:type="pct"/>
            <w:vMerge w:val="restart"/>
            <w:vAlign w:val="center"/>
          </w:tcPr>
          <w:p w14:paraId="733F553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土地使用年限</w:t>
            </w:r>
            <w:r w:rsidRPr="006B33D2">
              <w:rPr>
                <w:rFonts w:ascii="Arial" w:eastAsia="仿宋_GB2312" w:hAnsi="Arial" w:cs="Arial"/>
                <w:bCs/>
                <w:sz w:val="18"/>
                <w:szCs w:val="18"/>
              </w:rPr>
              <w:t>/</w:t>
            </w:r>
            <w:r w:rsidRPr="006B33D2">
              <w:rPr>
                <w:rFonts w:ascii="Arial" w:eastAsia="仿宋_GB2312" w:hAnsi="Arial" w:cs="Arial"/>
                <w:bCs/>
                <w:sz w:val="18"/>
                <w:szCs w:val="18"/>
              </w:rPr>
              <w:t>年</w:t>
            </w:r>
          </w:p>
        </w:tc>
        <w:tc>
          <w:tcPr>
            <w:tcW w:w="327" w:type="pct"/>
            <w:vMerge w:val="restart"/>
            <w:vAlign w:val="center"/>
          </w:tcPr>
          <w:p w14:paraId="5FB4FAEA"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出让建设用地</w:t>
            </w:r>
            <w:r w:rsidRPr="006B33D2">
              <w:rPr>
                <w:rFonts w:ascii="Arial" w:eastAsia="仿宋_GB2312" w:hAnsi="Arial" w:cs="Arial"/>
                <w:bCs/>
                <w:sz w:val="18"/>
                <w:szCs w:val="18"/>
              </w:rPr>
              <w:t>面积</w:t>
            </w:r>
            <w:r w:rsidRPr="006B33D2">
              <w:rPr>
                <w:rFonts w:ascii="Arial" w:eastAsia="仿宋_GB2312" w:hAnsi="Arial" w:cs="Arial"/>
                <w:bCs/>
                <w:sz w:val="18"/>
                <w:szCs w:val="18"/>
              </w:rPr>
              <w:t>/</w:t>
            </w:r>
            <w:r w:rsidRPr="006B33D2">
              <w:rPr>
                <w:rFonts w:ascii="Arial" w:hAnsi="Arial" w:cs="Arial"/>
                <w:bCs/>
                <w:sz w:val="18"/>
                <w:szCs w:val="18"/>
              </w:rPr>
              <w:t>㎡</w:t>
            </w:r>
          </w:p>
        </w:tc>
        <w:tc>
          <w:tcPr>
            <w:tcW w:w="328" w:type="pct"/>
            <w:vMerge w:val="restart"/>
            <w:vAlign w:val="center"/>
          </w:tcPr>
          <w:p w14:paraId="3D0ADE6A"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出让</w:t>
            </w:r>
            <w:r w:rsidRPr="006B33D2">
              <w:rPr>
                <w:rFonts w:ascii="Arial" w:eastAsia="仿宋_GB2312" w:hAnsi="Arial" w:cs="Arial"/>
                <w:bCs/>
                <w:sz w:val="18"/>
                <w:szCs w:val="18"/>
              </w:rPr>
              <w:t>建筑面积</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p>
        </w:tc>
        <w:tc>
          <w:tcPr>
            <w:tcW w:w="280" w:type="pct"/>
            <w:vMerge w:val="restart"/>
            <w:vAlign w:val="center"/>
          </w:tcPr>
          <w:p w14:paraId="6503689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楼面地价</w:t>
            </w:r>
            <w:r w:rsidRPr="006B33D2">
              <w:rPr>
                <w:rFonts w:ascii="Arial" w:eastAsia="仿宋_GB2312" w:hAnsi="Arial" w:cs="Arial"/>
                <w:bCs/>
                <w:sz w:val="18"/>
                <w:szCs w:val="18"/>
              </w:rPr>
              <w:t>/</w:t>
            </w:r>
            <w:r w:rsidRPr="006B33D2">
              <w:rPr>
                <w:rFonts w:ascii="Arial" w:eastAsia="仿宋_GB2312" w:hAnsi="Arial" w:cs="Arial"/>
                <w:bCs/>
                <w:sz w:val="18"/>
                <w:szCs w:val="18"/>
              </w:rPr>
              <w:t>元</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p>
        </w:tc>
        <w:tc>
          <w:tcPr>
            <w:tcW w:w="420" w:type="pct"/>
            <w:vMerge w:val="restart"/>
            <w:vAlign w:val="center"/>
          </w:tcPr>
          <w:p w14:paraId="4ECF5745"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熟地总价（万元）</w:t>
            </w:r>
          </w:p>
        </w:tc>
        <w:tc>
          <w:tcPr>
            <w:tcW w:w="280" w:type="pct"/>
            <w:vMerge w:val="restart"/>
            <w:vAlign w:val="center"/>
          </w:tcPr>
          <w:p w14:paraId="0353CEA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政府土地出让收益单价（元</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r w:rsidRPr="006B33D2">
              <w:rPr>
                <w:rFonts w:ascii="Arial" w:eastAsia="仿宋_GB2312" w:hAnsi="Arial" w:cs="Arial"/>
                <w:bCs/>
                <w:sz w:val="18"/>
                <w:szCs w:val="18"/>
              </w:rPr>
              <w:t>）</w:t>
            </w:r>
          </w:p>
        </w:tc>
        <w:tc>
          <w:tcPr>
            <w:tcW w:w="421" w:type="pct"/>
            <w:vMerge w:val="restart"/>
            <w:vAlign w:val="center"/>
          </w:tcPr>
          <w:p w14:paraId="412CB02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政府土地出让收益总价（万元）</w:t>
            </w:r>
          </w:p>
        </w:tc>
        <w:tc>
          <w:tcPr>
            <w:tcW w:w="418" w:type="pct"/>
            <w:vMerge w:val="restart"/>
            <w:vAlign w:val="center"/>
          </w:tcPr>
          <w:p w14:paraId="6A6F3BFC" w14:textId="7E9BF086"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需</w:t>
            </w:r>
            <w:r w:rsidR="00546EFE">
              <w:rPr>
                <w:rFonts w:ascii="Arial" w:eastAsia="仿宋_GB2312" w:hAnsi="Arial" w:cs="Arial" w:hint="eastAsia"/>
                <w:bCs/>
                <w:sz w:val="18"/>
                <w:szCs w:val="18"/>
              </w:rPr>
              <w:t>缴纳</w:t>
            </w:r>
            <w:r w:rsidRPr="006B33D2">
              <w:rPr>
                <w:rFonts w:ascii="Arial" w:eastAsia="仿宋_GB2312" w:hAnsi="Arial" w:cs="Arial" w:hint="eastAsia"/>
                <w:bCs/>
                <w:sz w:val="18"/>
                <w:szCs w:val="18"/>
              </w:rPr>
              <w:t>地价款</w:t>
            </w:r>
            <w:r w:rsidRPr="006B33D2">
              <w:rPr>
                <w:rFonts w:ascii="Arial" w:eastAsia="仿宋_GB2312" w:hAnsi="Arial" w:cs="Arial"/>
                <w:bCs/>
                <w:sz w:val="18"/>
                <w:szCs w:val="18"/>
              </w:rPr>
              <w:t>（万元）</w:t>
            </w:r>
          </w:p>
        </w:tc>
      </w:tr>
      <w:tr w:rsidR="0077205E" w:rsidRPr="006B33D2" w14:paraId="77EFECF1" w14:textId="77777777" w:rsidTr="00E906EE">
        <w:trPr>
          <w:cantSplit/>
          <w:trHeight w:val="1369"/>
          <w:jc w:val="center"/>
        </w:trPr>
        <w:tc>
          <w:tcPr>
            <w:tcW w:w="232" w:type="pct"/>
            <w:vMerge/>
            <w:tcBorders>
              <w:bottom w:val="single" w:sz="4" w:space="0" w:color="auto"/>
            </w:tcBorders>
            <w:vAlign w:val="center"/>
          </w:tcPr>
          <w:p w14:paraId="3879B80E"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tcBorders>
              <w:bottom w:val="single" w:sz="4" w:space="0" w:color="auto"/>
            </w:tcBorders>
            <w:vAlign w:val="center"/>
          </w:tcPr>
          <w:p w14:paraId="3096C2C2"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tcBorders>
              <w:bottom w:val="single" w:sz="4" w:space="0" w:color="auto"/>
            </w:tcBorders>
            <w:vAlign w:val="center"/>
          </w:tcPr>
          <w:p w14:paraId="22BA65DE"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tcBorders>
              <w:bottom w:val="single" w:sz="4" w:space="0" w:color="auto"/>
            </w:tcBorders>
            <w:vAlign w:val="center"/>
          </w:tcPr>
          <w:p w14:paraId="63E2C3DF"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tcBorders>
              <w:bottom w:val="single" w:sz="4" w:space="0" w:color="auto"/>
            </w:tcBorders>
            <w:vAlign w:val="center"/>
          </w:tcPr>
          <w:p w14:paraId="0D81342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证载</w:t>
            </w:r>
          </w:p>
          <w:p w14:paraId="30B9A1F8"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（或批准）</w:t>
            </w:r>
          </w:p>
        </w:tc>
        <w:tc>
          <w:tcPr>
            <w:tcW w:w="233" w:type="pct"/>
            <w:tcBorders>
              <w:bottom w:val="single" w:sz="4" w:space="0" w:color="auto"/>
            </w:tcBorders>
            <w:vAlign w:val="center"/>
          </w:tcPr>
          <w:p w14:paraId="5C87619D"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实际</w:t>
            </w:r>
          </w:p>
        </w:tc>
        <w:tc>
          <w:tcPr>
            <w:tcW w:w="234" w:type="pct"/>
            <w:tcBorders>
              <w:bottom w:val="single" w:sz="4" w:space="0" w:color="auto"/>
            </w:tcBorders>
            <w:vAlign w:val="center"/>
          </w:tcPr>
          <w:p w14:paraId="50B8988E" w14:textId="77777777" w:rsidR="0077205E" w:rsidRPr="006B33D2" w:rsidRDefault="0077205E" w:rsidP="00E906EE">
            <w:pPr>
              <w:spacing w:line="240" w:lineRule="auto"/>
              <w:ind w:rightChars="-45" w:right="-108"/>
              <w:jc w:val="center"/>
              <w:rPr>
                <w:rFonts w:ascii="Arial" w:eastAsia="仿宋_GB2312" w:hAnsi="Arial" w:cs="Arial"/>
                <w:bCs/>
                <w:sz w:val="18"/>
                <w:szCs w:val="18"/>
              </w:rPr>
            </w:pPr>
            <w:r w:rsidRPr="006B33D2">
              <w:rPr>
                <w:rFonts w:ascii="Arial" w:eastAsia="仿宋_GB2312" w:hAnsi="Arial" w:cs="Arial"/>
                <w:bCs/>
                <w:sz w:val="18"/>
                <w:szCs w:val="18"/>
              </w:rPr>
              <w:t>设定</w:t>
            </w:r>
          </w:p>
        </w:tc>
        <w:tc>
          <w:tcPr>
            <w:tcW w:w="140" w:type="pct"/>
            <w:tcBorders>
              <w:bottom w:val="single" w:sz="4" w:space="0" w:color="auto"/>
            </w:tcBorders>
            <w:vAlign w:val="center"/>
          </w:tcPr>
          <w:p w14:paraId="54C1553A"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规划</w:t>
            </w:r>
          </w:p>
        </w:tc>
        <w:tc>
          <w:tcPr>
            <w:tcW w:w="140" w:type="pct"/>
            <w:tcBorders>
              <w:bottom w:val="single" w:sz="4" w:space="0" w:color="auto"/>
            </w:tcBorders>
            <w:vAlign w:val="center"/>
          </w:tcPr>
          <w:p w14:paraId="17EF838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实际</w:t>
            </w:r>
          </w:p>
        </w:tc>
        <w:tc>
          <w:tcPr>
            <w:tcW w:w="140" w:type="pct"/>
            <w:tcBorders>
              <w:bottom w:val="single" w:sz="4" w:space="0" w:color="auto"/>
            </w:tcBorders>
            <w:vAlign w:val="center"/>
          </w:tcPr>
          <w:p w14:paraId="5A95129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设定</w:t>
            </w:r>
          </w:p>
        </w:tc>
        <w:tc>
          <w:tcPr>
            <w:tcW w:w="234" w:type="pct"/>
            <w:vMerge/>
            <w:tcBorders>
              <w:bottom w:val="single" w:sz="4" w:space="0" w:color="auto"/>
            </w:tcBorders>
            <w:vAlign w:val="center"/>
          </w:tcPr>
          <w:p w14:paraId="23F69760"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tcBorders>
              <w:bottom w:val="single" w:sz="4" w:space="0" w:color="auto"/>
            </w:tcBorders>
            <w:vAlign w:val="center"/>
          </w:tcPr>
          <w:p w14:paraId="461A0F06"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tcBorders>
              <w:bottom w:val="single" w:sz="4" w:space="0" w:color="auto"/>
            </w:tcBorders>
            <w:vAlign w:val="center"/>
          </w:tcPr>
          <w:p w14:paraId="70BF2827" w14:textId="77777777" w:rsidR="0077205E" w:rsidRPr="006B33D2" w:rsidRDefault="0077205E" w:rsidP="00E906EE">
            <w:pPr>
              <w:spacing w:line="240" w:lineRule="auto"/>
              <w:jc w:val="center"/>
              <w:rPr>
                <w:rFonts w:ascii="Arial" w:eastAsia="仿宋_GB2312" w:hAnsi="Arial" w:cs="Arial"/>
                <w:bCs/>
                <w:sz w:val="18"/>
                <w:szCs w:val="18"/>
              </w:rPr>
            </w:pPr>
          </w:p>
        </w:tc>
        <w:tc>
          <w:tcPr>
            <w:tcW w:w="327" w:type="pct"/>
            <w:vMerge/>
            <w:tcBorders>
              <w:bottom w:val="single" w:sz="4" w:space="0" w:color="auto"/>
            </w:tcBorders>
            <w:vAlign w:val="center"/>
          </w:tcPr>
          <w:p w14:paraId="70744B3D"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vMerge/>
            <w:tcBorders>
              <w:bottom w:val="single" w:sz="4" w:space="0" w:color="auto"/>
            </w:tcBorders>
            <w:vAlign w:val="center"/>
          </w:tcPr>
          <w:p w14:paraId="387752BB" w14:textId="77777777" w:rsidR="0077205E" w:rsidRPr="006B33D2" w:rsidRDefault="0077205E" w:rsidP="00E906EE">
            <w:pPr>
              <w:spacing w:line="240" w:lineRule="auto"/>
              <w:jc w:val="center"/>
              <w:rPr>
                <w:rFonts w:ascii="Arial" w:eastAsia="仿宋_GB2312" w:hAnsi="Arial" w:cs="Arial"/>
                <w:bCs/>
                <w:sz w:val="18"/>
                <w:szCs w:val="18"/>
              </w:rPr>
            </w:pPr>
          </w:p>
        </w:tc>
        <w:tc>
          <w:tcPr>
            <w:tcW w:w="280" w:type="pct"/>
            <w:vMerge/>
            <w:tcBorders>
              <w:bottom w:val="single" w:sz="4" w:space="0" w:color="auto"/>
            </w:tcBorders>
            <w:vAlign w:val="center"/>
          </w:tcPr>
          <w:p w14:paraId="54AD953E" w14:textId="77777777" w:rsidR="0077205E" w:rsidRPr="006B33D2" w:rsidRDefault="0077205E" w:rsidP="00E906EE">
            <w:pPr>
              <w:spacing w:line="240" w:lineRule="auto"/>
              <w:jc w:val="center"/>
              <w:rPr>
                <w:rFonts w:ascii="Arial" w:eastAsia="仿宋_GB2312" w:hAnsi="Arial" w:cs="Arial"/>
                <w:bCs/>
                <w:sz w:val="18"/>
                <w:szCs w:val="18"/>
              </w:rPr>
            </w:pPr>
          </w:p>
        </w:tc>
        <w:tc>
          <w:tcPr>
            <w:tcW w:w="420" w:type="pct"/>
            <w:vMerge/>
            <w:tcBorders>
              <w:bottom w:val="single" w:sz="4" w:space="0" w:color="auto"/>
            </w:tcBorders>
            <w:vAlign w:val="center"/>
          </w:tcPr>
          <w:p w14:paraId="2243460A" w14:textId="77777777" w:rsidR="0077205E" w:rsidRPr="006B33D2" w:rsidRDefault="0077205E" w:rsidP="00E906EE">
            <w:pPr>
              <w:spacing w:line="240" w:lineRule="auto"/>
              <w:jc w:val="center"/>
              <w:rPr>
                <w:rFonts w:ascii="Arial" w:eastAsia="仿宋_GB2312" w:hAnsi="Arial" w:cs="Arial"/>
                <w:bCs/>
                <w:sz w:val="18"/>
                <w:szCs w:val="18"/>
              </w:rPr>
            </w:pPr>
          </w:p>
        </w:tc>
        <w:tc>
          <w:tcPr>
            <w:tcW w:w="280" w:type="pct"/>
            <w:vMerge/>
            <w:tcBorders>
              <w:bottom w:val="single" w:sz="4" w:space="0" w:color="auto"/>
            </w:tcBorders>
            <w:vAlign w:val="center"/>
          </w:tcPr>
          <w:p w14:paraId="09E2B14C" w14:textId="77777777" w:rsidR="0077205E" w:rsidRPr="006B33D2" w:rsidRDefault="0077205E" w:rsidP="00E906EE">
            <w:pPr>
              <w:spacing w:line="240" w:lineRule="auto"/>
              <w:jc w:val="center"/>
              <w:rPr>
                <w:rFonts w:ascii="Arial" w:eastAsia="仿宋_GB2312" w:hAnsi="Arial" w:cs="Arial"/>
                <w:bCs/>
                <w:sz w:val="18"/>
                <w:szCs w:val="18"/>
              </w:rPr>
            </w:pPr>
          </w:p>
        </w:tc>
        <w:tc>
          <w:tcPr>
            <w:tcW w:w="421" w:type="pct"/>
            <w:vMerge/>
            <w:tcBorders>
              <w:bottom w:val="single" w:sz="4" w:space="0" w:color="auto"/>
            </w:tcBorders>
            <w:vAlign w:val="center"/>
          </w:tcPr>
          <w:p w14:paraId="58B864E8" w14:textId="77777777" w:rsidR="0077205E" w:rsidRPr="006B33D2" w:rsidRDefault="0077205E" w:rsidP="00E906EE">
            <w:pPr>
              <w:spacing w:line="240" w:lineRule="auto"/>
              <w:jc w:val="center"/>
              <w:rPr>
                <w:rFonts w:ascii="Arial" w:eastAsia="仿宋_GB2312" w:hAnsi="Arial" w:cs="Arial"/>
                <w:bCs/>
                <w:sz w:val="18"/>
                <w:szCs w:val="18"/>
              </w:rPr>
            </w:pPr>
          </w:p>
        </w:tc>
        <w:tc>
          <w:tcPr>
            <w:tcW w:w="418" w:type="pct"/>
            <w:vMerge/>
            <w:tcBorders>
              <w:bottom w:val="single" w:sz="4" w:space="0" w:color="auto"/>
            </w:tcBorders>
            <w:vAlign w:val="center"/>
          </w:tcPr>
          <w:p w14:paraId="3504103E"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07918D9B" w14:textId="77777777" w:rsidTr="00E906EE">
        <w:trPr>
          <w:cantSplit/>
          <w:trHeight w:val="566"/>
          <w:jc w:val="center"/>
        </w:trPr>
        <w:tc>
          <w:tcPr>
            <w:tcW w:w="232" w:type="pct"/>
            <w:vMerge w:val="restart"/>
            <w:vAlign w:val="center"/>
          </w:tcPr>
          <w:p w14:paraId="4A61D243"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北京城投地下空间开发建设有限公司</w:t>
            </w:r>
          </w:p>
        </w:tc>
        <w:tc>
          <w:tcPr>
            <w:tcW w:w="140" w:type="pct"/>
            <w:vMerge w:val="restart"/>
            <w:vAlign w:val="center"/>
          </w:tcPr>
          <w:p w14:paraId="25CC1FC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Merge w:val="restart"/>
            <w:vAlign w:val="center"/>
          </w:tcPr>
          <w:p w14:paraId="22EC853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北京市海淀区苏州街站一体化棚户区改造一次性招标项目</w:t>
            </w:r>
          </w:p>
        </w:tc>
        <w:tc>
          <w:tcPr>
            <w:tcW w:w="140" w:type="pct"/>
            <w:vMerge w:val="restart"/>
            <w:vAlign w:val="center"/>
          </w:tcPr>
          <w:p w14:paraId="66BF59F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234" w:type="pct"/>
            <w:vMerge w:val="restart"/>
            <w:vAlign w:val="center"/>
          </w:tcPr>
          <w:p w14:paraId="55EBEB91"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R</w:t>
            </w:r>
            <w:r w:rsidRPr="006B33D2">
              <w:rPr>
                <w:rFonts w:ascii="Arial" w:eastAsia="仿宋_GB2312" w:hAnsi="Arial" w:cs="Arial"/>
                <w:bCs/>
                <w:sz w:val="18"/>
                <w:szCs w:val="18"/>
              </w:rPr>
              <w:t>2</w:t>
            </w:r>
            <w:proofErr w:type="gramStart"/>
            <w:r w:rsidRPr="006B33D2">
              <w:rPr>
                <w:rFonts w:ascii="Arial" w:eastAsia="仿宋_GB2312" w:hAnsi="Arial" w:cs="Arial" w:hint="eastAsia"/>
                <w:bCs/>
                <w:sz w:val="18"/>
                <w:szCs w:val="18"/>
              </w:rPr>
              <w:t>二</w:t>
            </w:r>
            <w:proofErr w:type="gramEnd"/>
            <w:r w:rsidRPr="006B33D2">
              <w:rPr>
                <w:rFonts w:ascii="Arial" w:eastAsia="仿宋_GB2312" w:hAnsi="Arial" w:cs="Arial" w:hint="eastAsia"/>
                <w:bCs/>
                <w:sz w:val="18"/>
                <w:szCs w:val="18"/>
              </w:rPr>
              <w:t>类居住用地</w:t>
            </w:r>
          </w:p>
        </w:tc>
        <w:tc>
          <w:tcPr>
            <w:tcW w:w="233" w:type="pct"/>
            <w:vAlign w:val="center"/>
          </w:tcPr>
          <w:p w14:paraId="56B8FD6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住宅</w:t>
            </w:r>
          </w:p>
        </w:tc>
        <w:tc>
          <w:tcPr>
            <w:tcW w:w="234" w:type="pct"/>
            <w:vAlign w:val="center"/>
          </w:tcPr>
          <w:p w14:paraId="11DE4F8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住宅</w:t>
            </w:r>
          </w:p>
        </w:tc>
        <w:tc>
          <w:tcPr>
            <w:tcW w:w="140" w:type="pct"/>
            <w:vMerge w:val="restart"/>
            <w:vAlign w:val="center"/>
          </w:tcPr>
          <w:p w14:paraId="189ECD1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140" w:type="pct"/>
            <w:vMerge w:val="restart"/>
            <w:vAlign w:val="center"/>
          </w:tcPr>
          <w:p w14:paraId="1F2E77F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140" w:type="pct"/>
            <w:vMerge w:val="restart"/>
            <w:vAlign w:val="center"/>
          </w:tcPr>
          <w:p w14:paraId="54BC462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234" w:type="pct"/>
            <w:vMerge w:val="restart"/>
            <w:vAlign w:val="center"/>
          </w:tcPr>
          <w:p w14:paraId="55DCD5D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宗地外</w:t>
            </w:r>
            <w:r w:rsidRPr="006B33D2">
              <w:rPr>
                <w:rFonts w:ascii="Arial" w:eastAsia="仿宋_GB2312" w:hAnsi="Arial" w:cs="Arial"/>
                <w:bCs/>
                <w:sz w:val="18"/>
                <w:szCs w:val="18"/>
              </w:rPr>
              <w:t>“</w:t>
            </w:r>
            <w:r w:rsidRPr="006B33D2">
              <w:rPr>
                <w:rFonts w:ascii="Arial" w:eastAsia="仿宋_GB2312" w:hAnsi="Arial" w:cs="Arial"/>
                <w:bCs/>
                <w:sz w:val="18"/>
                <w:szCs w:val="18"/>
              </w:rPr>
              <w:t>七通</w:t>
            </w:r>
            <w:r w:rsidRPr="006B33D2">
              <w:rPr>
                <w:rFonts w:ascii="Arial" w:eastAsia="仿宋_GB2312" w:hAnsi="Arial" w:cs="Arial"/>
                <w:bCs/>
                <w:sz w:val="18"/>
                <w:szCs w:val="18"/>
              </w:rPr>
              <w:t>”</w:t>
            </w:r>
            <w:r w:rsidRPr="006B33D2">
              <w:rPr>
                <w:rFonts w:ascii="Arial" w:eastAsia="仿宋_GB2312" w:hAnsi="Arial" w:cs="Arial"/>
                <w:bCs/>
                <w:sz w:val="18"/>
                <w:szCs w:val="18"/>
              </w:rPr>
              <w:t>，宗地内建筑物正在进行结构施工</w:t>
            </w:r>
          </w:p>
        </w:tc>
        <w:tc>
          <w:tcPr>
            <w:tcW w:w="191" w:type="pct"/>
            <w:vMerge w:val="restart"/>
            <w:vAlign w:val="center"/>
          </w:tcPr>
          <w:p w14:paraId="1405248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宗地外</w:t>
            </w:r>
            <w:r w:rsidRPr="006B33D2">
              <w:rPr>
                <w:rFonts w:ascii="Arial" w:eastAsia="仿宋_GB2312" w:hAnsi="Arial" w:cs="Arial"/>
                <w:bCs/>
                <w:sz w:val="18"/>
                <w:szCs w:val="18"/>
              </w:rPr>
              <w:t>“</w:t>
            </w:r>
            <w:r w:rsidRPr="006B33D2">
              <w:rPr>
                <w:rFonts w:ascii="Arial" w:eastAsia="仿宋_GB2312" w:hAnsi="Arial" w:cs="Arial"/>
                <w:bCs/>
                <w:sz w:val="18"/>
                <w:szCs w:val="18"/>
              </w:rPr>
              <w:t>七通</w:t>
            </w:r>
            <w:r w:rsidRPr="006B33D2">
              <w:rPr>
                <w:rFonts w:ascii="Arial" w:eastAsia="仿宋_GB2312" w:hAnsi="Arial" w:cs="Arial"/>
                <w:bCs/>
                <w:sz w:val="18"/>
                <w:szCs w:val="18"/>
              </w:rPr>
              <w:t>”</w:t>
            </w:r>
            <w:r w:rsidRPr="006B33D2">
              <w:rPr>
                <w:rFonts w:ascii="Arial" w:eastAsia="仿宋_GB2312" w:hAnsi="Arial" w:cs="Arial"/>
                <w:bCs/>
                <w:sz w:val="18"/>
                <w:szCs w:val="18"/>
              </w:rPr>
              <w:t>，宗地内</w:t>
            </w:r>
            <w:r w:rsidRPr="006B33D2">
              <w:rPr>
                <w:rFonts w:ascii="Arial" w:eastAsia="仿宋_GB2312" w:hAnsi="Arial" w:cs="Arial"/>
                <w:bCs/>
                <w:sz w:val="18"/>
                <w:szCs w:val="18"/>
              </w:rPr>
              <w:t>“</w:t>
            </w:r>
            <w:r w:rsidRPr="006B33D2">
              <w:rPr>
                <w:rFonts w:ascii="Arial" w:eastAsia="仿宋_GB2312" w:hAnsi="Arial" w:cs="Arial"/>
                <w:bCs/>
                <w:sz w:val="18"/>
                <w:szCs w:val="18"/>
              </w:rPr>
              <w:t>场地平整</w:t>
            </w:r>
            <w:r w:rsidRPr="006B33D2">
              <w:rPr>
                <w:rFonts w:ascii="Arial" w:eastAsia="仿宋_GB2312" w:hAnsi="Arial" w:cs="Arial"/>
                <w:bCs/>
                <w:sz w:val="18"/>
                <w:szCs w:val="18"/>
              </w:rPr>
              <w:t>”</w:t>
            </w:r>
          </w:p>
        </w:tc>
        <w:tc>
          <w:tcPr>
            <w:tcW w:w="234" w:type="pct"/>
            <w:vAlign w:val="center"/>
          </w:tcPr>
          <w:p w14:paraId="24570D1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7</w:t>
            </w:r>
            <w:r w:rsidRPr="006B33D2">
              <w:rPr>
                <w:rFonts w:ascii="Arial" w:eastAsia="仿宋_GB2312" w:hAnsi="Arial" w:cs="Arial"/>
                <w:bCs/>
                <w:sz w:val="18"/>
                <w:szCs w:val="18"/>
              </w:rPr>
              <w:t>0</w:t>
            </w:r>
          </w:p>
        </w:tc>
        <w:tc>
          <w:tcPr>
            <w:tcW w:w="327" w:type="pct"/>
            <w:vMerge w:val="restart"/>
            <w:vAlign w:val="center"/>
          </w:tcPr>
          <w:p w14:paraId="3A9DC7C1"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6180.978</w:t>
            </w:r>
          </w:p>
        </w:tc>
        <w:tc>
          <w:tcPr>
            <w:tcW w:w="328" w:type="pct"/>
            <w:tcBorders>
              <w:left w:val="single" w:sz="4" w:space="0" w:color="auto"/>
            </w:tcBorders>
            <w:vAlign w:val="center"/>
          </w:tcPr>
          <w:p w14:paraId="52050AE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28075 </w:t>
            </w:r>
          </w:p>
        </w:tc>
        <w:tc>
          <w:tcPr>
            <w:tcW w:w="280" w:type="pct"/>
            <w:tcBorders>
              <w:left w:val="single" w:sz="4" w:space="0" w:color="auto"/>
              <w:right w:val="single" w:sz="4" w:space="0" w:color="auto"/>
            </w:tcBorders>
            <w:vAlign w:val="center"/>
          </w:tcPr>
          <w:p w14:paraId="267F5CCA" w14:textId="1E77F9C4"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79598</w:t>
            </w:r>
            <w:r w:rsidR="0077205E"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7F177F4E" w14:textId="14A0298D"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223471.3850</w:t>
            </w:r>
          </w:p>
        </w:tc>
        <w:tc>
          <w:tcPr>
            <w:tcW w:w="280" w:type="pct"/>
            <w:tcBorders>
              <w:left w:val="single" w:sz="4" w:space="0" w:color="auto"/>
              <w:right w:val="single" w:sz="4" w:space="0" w:color="auto"/>
            </w:tcBorders>
            <w:vAlign w:val="center"/>
          </w:tcPr>
          <w:p w14:paraId="437BCFF1" w14:textId="1E3CCF14"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19900</w:t>
            </w:r>
          </w:p>
        </w:tc>
        <w:tc>
          <w:tcPr>
            <w:tcW w:w="421" w:type="pct"/>
            <w:tcBorders>
              <w:left w:val="single" w:sz="4" w:space="0" w:color="auto"/>
              <w:right w:val="single" w:sz="4" w:space="0" w:color="auto"/>
            </w:tcBorders>
            <w:vAlign w:val="center"/>
          </w:tcPr>
          <w:p w14:paraId="7FE52D15" w14:textId="4B993514"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55869.2500</w:t>
            </w:r>
          </w:p>
        </w:tc>
        <w:tc>
          <w:tcPr>
            <w:tcW w:w="418" w:type="pct"/>
            <w:vMerge w:val="restart"/>
            <w:tcBorders>
              <w:left w:val="single" w:sz="4" w:space="0" w:color="auto"/>
            </w:tcBorders>
            <w:vAlign w:val="center"/>
          </w:tcPr>
          <w:p w14:paraId="15FF8B59" w14:textId="6C889220" w:rsidR="0077205E" w:rsidRPr="006B33D2" w:rsidRDefault="00443EF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61093.2435</w:t>
            </w:r>
          </w:p>
        </w:tc>
      </w:tr>
      <w:tr w:rsidR="0077205E" w:rsidRPr="006B33D2" w14:paraId="0AC7DE64" w14:textId="77777777" w:rsidTr="00E906EE">
        <w:trPr>
          <w:cantSplit/>
          <w:trHeight w:val="546"/>
          <w:jc w:val="center"/>
        </w:trPr>
        <w:tc>
          <w:tcPr>
            <w:tcW w:w="232" w:type="pct"/>
            <w:vMerge/>
            <w:vAlign w:val="center"/>
          </w:tcPr>
          <w:p w14:paraId="75F23697"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68254367" w14:textId="77777777" w:rsidR="0077205E" w:rsidRPr="006B33D2" w:rsidRDefault="0077205E" w:rsidP="00E906EE">
            <w:pPr>
              <w:spacing w:line="240" w:lineRule="auto"/>
              <w:jc w:val="center"/>
              <w:rPr>
                <w:rFonts w:ascii="Arial" w:hAnsi="Arial" w:cs="Arial"/>
                <w:bCs/>
                <w:sz w:val="18"/>
                <w:szCs w:val="18"/>
              </w:rPr>
            </w:pPr>
          </w:p>
        </w:tc>
        <w:tc>
          <w:tcPr>
            <w:tcW w:w="234" w:type="pct"/>
            <w:vMerge/>
            <w:vAlign w:val="center"/>
          </w:tcPr>
          <w:p w14:paraId="7897ACB1"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6DC9002E"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5318C48B" w14:textId="77777777" w:rsidR="0077205E" w:rsidRPr="006B33D2" w:rsidRDefault="0077205E" w:rsidP="00E906EE">
            <w:pPr>
              <w:spacing w:line="240" w:lineRule="auto"/>
              <w:jc w:val="center"/>
              <w:rPr>
                <w:rFonts w:ascii="Arial" w:eastAsia="仿宋_GB2312" w:hAnsi="Arial" w:cs="Arial"/>
                <w:bCs/>
                <w:sz w:val="18"/>
                <w:szCs w:val="18"/>
              </w:rPr>
            </w:pPr>
          </w:p>
        </w:tc>
        <w:tc>
          <w:tcPr>
            <w:tcW w:w="233" w:type="pct"/>
            <w:vAlign w:val="center"/>
          </w:tcPr>
          <w:p w14:paraId="7838EE9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商业</w:t>
            </w:r>
          </w:p>
        </w:tc>
        <w:tc>
          <w:tcPr>
            <w:tcW w:w="234" w:type="pct"/>
            <w:vAlign w:val="center"/>
          </w:tcPr>
          <w:p w14:paraId="3B2739B5"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商业</w:t>
            </w:r>
          </w:p>
        </w:tc>
        <w:tc>
          <w:tcPr>
            <w:tcW w:w="140" w:type="pct"/>
            <w:vMerge/>
            <w:vAlign w:val="center"/>
          </w:tcPr>
          <w:p w14:paraId="6ADD969D"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51E7F846"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4B2C7D5B"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04D1E36E"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vAlign w:val="center"/>
          </w:tcPr>
          <w:p w14:paraId="030E9E80"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Align w:val="center"/>
          </w:tcPr>
          <w:p w14:paraId="62E33611"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4</w:t>
            </w:r>
            <w:r w:rsidRPr="006B33D2">
              <w:rPr>
                <w:rFonts w:ascii="Arial" w:eastAsia="仿宋_GB2312" w:hAnsi="Arial" w:cs="Arial"/>
                <w:bCs/>
                <w:sz w:val="18"/>
                <w:szCs w:val="18"/>
              </w:rPr>
              <w:t>0</w:t>
            </w:r>
          </w:p>
        </w:tc>
        <w:tc>
          <w:tcPr>
            <w:tcW w:w="327" w:type="pct"/>
            <w:vMerge/>
            <w:vAlign w:val="center"/>
          </w:tcPr>
          <w:p w14:paraId="419E1267"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6834DD4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3318 </w:t>
            </w:r>
          </w:p>
        </w:tc>
        <w:tc>
          <w:tcPr>
            <w:tcW w:w="280" w:type="pct"/>
            <w:tcBorders>
              <w:left w:val="single" w:sz="4" w:space="0" w:color="auto"/>
              <w:right w:val="single" w:sz="4" w:space="0" w:color="auto"/>
            </w:tcBorders>
            <w:vAlign w:val="center"/>
          </w:tcPr>
          <w:p w14:paraId="4F1A8B51" w14:textId="294F57DB"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30853</w:t>
            </w:r>
            <w:r w:rsidR="0077205E"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485F930B" w14:textId="2A5494E7"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10237.0254</w:t>
            </w:r>
          </w:p>
        </w:tc>
        <w:tc>
          <w:tcPr>
            <w:tcW w:w="280" w:type="pct"/>
            <w:tcBorders>
              <w:left w:val="single" w:sz="4" w:space="0" w:color="auto"/>
              <w:right w:val="single" w:sz="4" w:space="0" w:color="auto"/>
            </w:tcBorders>
            <w:vAlign w:val="center"/>
          </w:tcPr>
          <w:p w14:paraId="1598E710" w14:textId="6E7B2020"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7713</w:t>
            </w:r>
          </w:p>
        </w:tc>
        <w:tc>
          <w:tcPr>
            <w:tcW w:w="421" w:type="pct"/>
            <w:tcBorders>
              <w:left w:val="single" w:sz="4" w:space="0" w:color="auto"/>
              <w:right w:val="single" w:sz="4" w:space="0" w:color="auto"/>
            </w:tcBorders>
            <w:vAlign w:val="center"/>
          </w:tcPr>
          <w:p w14:paraId="25E51107" w14:textId="0FAAB02B"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2559.1734</w:t>
            </w:r>
          </w:p>
        </w:tc>
        <w:tc>
          <w:tcPr>
            <w:tcW w:w="418" w:type="pct"/>
            <w:vMerge/>
            <w:tcBorders>
              <w:left w:val="single" w:sz="4" w:space="0" w:color="auto"/>
            </w:tcBorders>
            <w:vAlign w:val="center"/>
          </w:tcPr>
          <w:p w14:paraId="5FCB0691"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0B8D26F6" w14:textId="77777777" w:rsidTr="00E906EE">
        <w:trPr>
          <w:cantSplit/>
          <w:trHeight w:val="568"/>
          <w:jc w:val="center"/>
        </w:trPr>
        <w:tc>
          <w:tcPr>
            <w:tcW w:w="232" w:type="pct"/>
            <w:vMerge/>
            <w:vAlign w:val="center"/>
          </w:tcPr>
          <w:p w14:paraId="30AB6384"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3A1599D8" w14:textId="77777777" w:rsidR="0077205E" w:rsidRPr="006B33D2" w:rsidRDefault="0077205E" w:rsidP="00E906EE">
            <w:pPr>
              <w:spacing w:line="240" w:lineRule="auto"/>
              <w:jc w:val="center"/>
              <w:rPr>
                <w:rFonts w:ascii="Arial" w:hAnsi="Arial" w:cs="Arial"/>
                <w:bCs/>
                <w:sz w:val="18"/>
                <w:szCs w:val="18"/>
              </w:rPr>
            </w:pPr>
          </w:p>
        </w:tc>
        <w:tc>
          <w:tcPr>
            <w:tcW w:w="234" w:type="pct"/>
            <w:vMerge/>
            <w:vAlign w:val="center"/>
          </w:tcPr>
          <w:p w14:paraId="69BBB39B"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60E62DBA"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79753267" w14:textId="77777777" w:rsidR="0077205E" w:rsidRPr="006B33D2" w:rsidRDefault="0077205E" w:rsidP="00E906EE">
            <w:pPr>
              <w:spacing w:line="240" w:lineRule="auto"/>
              <w:jc w:val="center"/>
              <w:rPr>
                <w:rFonts w:ascii="Arial" w:eastAsia="仿宋_GB2312" w:hAnsi="Arial" w:cs="Arial"/>
                <w:bCs/>
                <w:sz w:val="18"/>
                <w:szCs w:val="18"/>
              </w:rPr>
            </w:pPr>
          </w:p>
        </w:tc>
        <w:tc>
          <w:tcPr>
            <w:tcW w:w="233" w:type="pct"/>
            <w:vAlign w:val="center"/>
          </w:tcPr>
          <w:p w14:paraId="201B809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办公</w:t>
            </w:r>
          </w:p>
        </w:tc>
        <w:tc>
          <w:tcPr>
            <w:tcW w:w="234" w:type="pct"/>
            <w:vAlign w:val="center"/>
          </w:tcPr>
          <w:p w14:paraId="5A2125B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办公</w:t>
            </w:r>
          </w:p>
        </w:tc>
        <w:tc>
          <w:tcPr>
            <w:tcW w:w="140" w:type="pct"/>
            <w:vMerge/>
            <w:vAlign w:val="center"/>
          </w:tcPr>
          <w:p w14:paraId="44B0461A"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397E39DF"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3A7F0577"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36017DD3"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vAlign w:val="center"/>
          </w:tcPr>
          <w:p w14:paraId="7244C817"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Align w:val="center"/>
          </w:tcPr>
          <w:p w14:paraId="53BCFC4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142765F2"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467EBE3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118 </w:t>
            </w:r>
          </w:p>
        </w:tc>
        <w:tc>
          <w:tcPr>
            <w:tcW w:w="280" w:type="pct"/>
            <w:tcBorders>
              <w:left w:val="single" w:sz="4" w:space="0" w:color="auto"/>
              <w:right w:val="single" w:sz="4" w:space="0" w:color="auto"/>
            </w:tcBorders>
            <w:vAlign w:val="center"/>
          </w:tcPr>
          <w:p w14:paraId="0753505F" w14:textId="2F29E037"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30708</w:t>
            </w:r>
          </w:p>
        </w:tc>
        <w:tc>
          <w:tcPr>
            <w:tcW w:w="420" w:type="pct"/>
            <w:tcBorders>
              <w:left w:val="single" w:sz="4" w:space="0" w:color="auto"/>
              <w:right w:val="single" w:sz="4" w:space="0" w:color="auto"/>
            </w:tcBorders>
            <w:vAlign w:val="center"/>
          </w:tcPr>
          <w:p w14:paraId="223EF593" w14:textId="3C6BE1EC"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362.3544</w:t>
            </w:r>
          </w:p>
        </w:tc>
        <w:tc>
          <w:tcPr>
            <w:tcW w:w="280" w:type="pct"/>
            <w:tcBorders>
              <w:left w:val="single" w:sz="4" w:space="0" w:color="auto"/>
              <w:right w:val="single" w:sz="4" w:space="0" w:color="auto"/>
            </w:tcBorders>
            <w:vAlign w:val="center"/>
          </w:tcPr>
          <w:p w14:paraId="645FD08E" w14:textId="15746B68"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7677</w:t>
            </w:r>
          </w:p>
        </w:tc>
        <w:tc>
          <w:tcPr>
            <w:tcW w:w="421" w:type="pct"/>
            <w:tcBorders>
              <w:left w:val="single" w:sz="4" w:space="0" w:color="auto"/>
              <w:right w:val="single" w:sz="4" w:space="0" w:color="auto"/>
            </w:tcBorders>
            <w:vAlign w:val="center"/>
          </w:tcPr>
          <w:p w14:paraId="4AD0D4B7" w14:textId="4ABFE807"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90.5886</w:t>
            </w:r>
          </w:p>
        </w:tc>
        <w:tc>
          <w:tcPr>
            <w:tcW w:w="418" w:type="pct"/>
            <w:vMerge/>
            <w:tcBorders>
              <w:left w:val="single" w:sz="4" w:space="0" w:color="auto"/>
            </w:tcBorders>
            <w:vAlign w:val="center"/>
          </w:tcPr>
          <w:p w14:paraId="487D575B"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1E9D0CFF" w14:textId="77777777" w:rsidTr="00E906EE">
        <w:trPr>
          <w:cantSplit/>
          <w:trHeight w:val="846"/>
          <w:jc w:val="center"/>
        </w:trPr>
        <w:tc>
          <w:tcPr>
            <w:tcW w:w="232" w:type="pct"/>
            <w:vMerge/>
            <w:vAlign w:val="center"/>
          </w:tcPr>
          <w:p w14:paraId="411C6A3B"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7A24427B" w14:textId="77777777" w:rsidR="0077205E" w:rsidRPr="006B33D2" w:rsidRDefault="0077205E" w:rsidP="00E906EE">
            <w:pPr>
              <w:spacing w:line="240" w:lineRule="auto"/>
              <w:jc w:val="center"/>
              <w:rPr>
                <w:rFonts w:ascii="Arial" w:hAnsi="Arial" w:cs="Arial"/>
                <w:bCs/>
                <w:sz w:val="18"/>
                <w:szCs w:val="18"/>
              </w:rPr>
            </w:pPr>
          </w:p>
        </w:tc>
        <w:tc>
          <w:tcPr>
            <w:tcW w:w="234" w:type="pct"/>
            <w:vMerge/>
            <w:vAlign w:val="center"/>
          </w:tcPr>
          <w:p w14:paraId="5C175BD9"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072B74B8"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29296500" w14:textId="77777777" w:rsidR="0077205E" w:rsidRPr="006B33D2" w:rsidRDefault="0077205E" w:rsidP="00E906EE">
            <w:pPr>
              <w:spacing w:line="240" w:lineRule="auto"/>
              <w:jc w:val="center"/>
              <w:rPr>
                <w:rFonts w:ascii="Arial" w:eastAsia="仿宋_GB2312" w:hAnsi="Arial" w:cs="Arial"/>
                <w:bCs/>
                <w:sz w:val="18"/>
                <w:szCs w:val="18"/>
              </w:rPr>
            </w:pPr>
          </w:p>
        </w:tc>
        <w:tc>
          <w:tcPr>
            <w:tcW w:w="233" w:type="pct"/>
            <w:vAlign w:val="center"/>
          </w:tcPr>
          <w:p w14:paraId="341486A5"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地下办公</w:t>
            </w:r>
          </w:p>
        </w:tc>
        <w:tc>
          <w:tcPr>
            <w:tcW w:w="234" w:type="pct"/>
            <w:vAlign w:val="center"/>
          </w:tcPr>
          <w:p w14:paraId="127E330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地下办公</w:t>
            </w:r>
          </w:p>
        </w:tc>
        <w:tc>
          <w:tcPr>
            <w:tcW w:w="140" w:type="pct"/>
            <w:vMerge/>
            <w:vAlign w:val="center"/>
          </w:tcPr>
          <w:p w14:paraId="0E7820CF"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318F5E72"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64270C8F"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4919BF49"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vAlign w:val="center"/>
          </w:tcPr>
          <w:p w14:paraId="7BCC3E97"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Align w:val="center"/>
          </w:tcPr>
          <w:p w14:paraId="658A165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7D8838F5"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6DFE0D08"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32 </w:t>
            </w:r>
          </w:p>
        </w:tc>
        <w:tc>
          <w:tcPr>
            <w:tcW w:w="280" w:type="pct"/>
            <w:tcBorders>
              <w:left w:val="single" w:sz="4" w:space="0" w:color="auto"/>
              <w:right w:val="single" w:sz="4" w:space="0" w:color="auto"/>
            </w:tcBorders>
            <w:vAlign w:val="center"/>
          </w:tcPr>
          <w:p w14:paraId="4646D9D3" w14:textId="6DF13E25"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9538</w:t>
            </w:r>
          </w:p>
        </w:tc>
        <w:tc>
          <w:tcPr>
            <w:tcW w:w="420" w:type="pct"/>
            <w:tcBorders>
              <w:left w:val="single" w:sz="4" w:space="0" w:color="auto"/>
              <w:right w:val="single" w:sz="4" w:space="0" w:color="auto"/>
            </w:tcBorders>
            <w:vAlign w:val="center"/>
          </w:tcPr>
          <w:p w14:paraId="271F5F7A" w14:textId="797F8D7E"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30.5216</w:t>
            </w:r>
          </w:p>
        </w:tc>
        <w:tc>
          <w:tcPr>
            <w:tcW w:w="280" w:type="pct"/>
            <w:tcBorders>
              <w:left w:val="single" w:sz="4" w:space="0" w:color="auto"/>
              <w:right w:val="single" w:sz="4" w:space="0" w:color="auto"/>
            </w:tcBorders>
            <w:vAlign w:val="center"/>
          </w:tcPr>
          <w:p w14:paraId="799E8D67" w14:textId="6A631CFF"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2385</w:t>
            </w:r>
          </w:p>
        </w:tc>
        <w:tc>
          <w:tcPr>
            <w:tcW w:w="421" w:type="pct"/>
            <w:tcBorders>
              <w:left w:val="single" w:sz="4" w:space="0" w:color="auto"/>
              <w:right w:val="single" w:sz="4" w:space="0" w:color="auto"/>
            </w:tcBorders>
            <w:vAlign w:val="center"/>
          </w:tcPr>
          <w:p w14:paraId="52A3B090" w14:textId="3EEB9FD3"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7.6320</w:t>
            </w:r>
          </w:p>
        </w:tc>
        <w:tc>
          <w:tcPr>
            <w:tcW w:w="418" w:type="pct"/>
            <w:vMerge/>
            <w:tcBorders>
              <w:left w:val="single" w:sz="4" w:space="0" w:color="auto"/>
            </w:tcBorders>
            <w:vAlign w:val="center"/>
          </w:tcPr>
          <w:p w14:paraId="6CB95FCC"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69759A52" w14:textId="77777777" w:rsidTr="00E906EE">
        <w:trPr>
          <w:cantSplit/>
          <w:trHeight w:val="830"/>
          <w:jc w:val="center"/>
        </w:trPr>
        <w:tc>
          <w:tcPr>
            <w:tcW w:w="232" w:type="pct"/>
            <w:vMerge/>
            <w:vAlign w:val="center"/>
          </w:tcPr>
          <w:p w14:paraId="0A085E18"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7E0E6ED2" w14:textId="77777777" w:rsidR="0077205E" w:rsidRPr="006B33D2" w:rsidRDefault="0077205E" w:rsidP="00E906EE">
            <w:pPr>
              <w:spacing w:line="240" w:lineRule="auto"/>
              <w:jc w:val="center"/>
              <w:rPr>
                <w:rFonts w:ascii="Arial" w:hAnsi="Arial" w:cs="Arial"/>
                <w:bCs/>
                <w:sz w:val="18"/>
                <w:szCs w:val="18"/>
              </w:rPr>
            </w:pPr>
          </w:p>
        </w:tc>
        <w:tc>
          <w:tcPr>
            <w:tcW w:w="234" w:type="pct"/>
            <w:vMerge/>
            <w:vAlign w:val="center"/>
          </w:tcPr>
          <w:p w14:paraId="0ABE5FA9"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44688320"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787B4D52" w14:textId="77777777" w:rsidR="0077205E" w:rsidRPr="006B33D2" w:rsidRDefault="0077205E" w:rsidP="00E906EE">
            <w:pPr>
              <w:spacing w:line="240" w:lineRule="auto"/>
              <w:jc w:val="center"/>
              <w:rPr>
                <w:rFonts w:ascii="Arial" w:eastAsia="仿宋_GB2312" w:hAnsi="Arial" w:cs="Arial"/>
                <w:bCs/>
                <w:sz w:val="18"/>
                <w:szCs w:val="18"/>
              </w:rPr>
            </w:pPr>
          </w:p>
        </w:tc>
        <w:tc>
          <w:tcPr>
            <w:tcW w:w="233" w:type="pct"/>
            <w:vAlign w:val="center"/>
          </w:tcPr>
          <w:p w14:paraId="2D5235CE"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地下车库</w:t>
            </w:r>
          </w:p>
        </w:tc>
        <w:tc>
          <w:tcPr>
            <w:tcW w:w="234" w:type="pct"/>
            <w:vAlign w:val="center"/>
          </w:tcPr>
          <w:p w14:paraId="45E6F2C8"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地下车库</w:t>
            </w:r>
          </w:p>
        </w:tc>
        <w:tc>
          <w:tcPr>
            <w:tcW w:w="140" w:type="pct"/>
            <w:vMerge/>
            <w:vAlign w:val="center"/>
          </w:tcPr>
          <w:p w14:paraId="47FCBF6B"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464840C4"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5CE97153"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02AD59FE"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vAlign w:val="center"/>
          </w:tcPr>
          <w:p w14:paraId="4F621AC6"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Align w:val="center"/>
          </w:tcPr>
          <w:p w14:paraId="01A9EBF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6ECCFDAC"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492CA51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10345.02 </w:t>
            </w:r>
          </w:p>
        </w:tc>
        <w:tc>
          <w:tcPr>
            <w:tcW w:w="280" w:type="pct"/>
            <w:tcBorders>
              <w:left w:val="single" w:sz="4" w:space="0" w:color="auto"/>
              <w:right w:val="single" w:sz="4" w:space="0" w:color="auto"/>
            </w:tcBorders>
            <w:vAlign w:val="center"/>
          </w:tcPr>
          <w:p w14:paraId="50C78262" w14:textId="52F7A3B7" w:rsidR="0077205E" w:rsidRPr="006B33D2" w:rsidRDefault="00443EF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9922</w:t>
            </w:r>
            <w:r w:rsidR="0077205E"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10E1C791" w14:textId="360DCF74" w:rsidR="0077205E" w:rsidRPr="006B33D2" w:rsidRDefault="00443EF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10264.3288</w:t>
            </w:r>
          </w:p>
        </w:tc>
        <w:tc>
          <w:tcPr>
            <w:tcW w:w="280" w:type="pct"/>
            <w:tcBorders>
              <w:left w:val="single" w:sz="4" w:space="0" w:color="auto"/>
              <w:right w:val="single" w:sz="4" w:space="0" w:color="auto"/>
            </w:tcBorders>
            <w:vAlign w:val="center"/>
          </w:tcPr>
          <w:p w14:paraId="40B1B09C" w14:textId="6CDA16E1" w:rsidR="0077205E" w:rsidRPr="006B33D2" w:rsidRDefault="00443EF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2481</w:t>
            </w:r>
          </w:p>
        </w:tc>
        <w:tc>
          <w:tcPr>
            <w:tcW w:w="421" w:type="pct"/>
            <w:tcBorders>
              <w:left w:val="single" w:sz="4" w:space="0" w:color="auto"/>
              <w:right w:val="single" w:sz="4" w:space="0" w:color="auto"/>
            </w:tcBorders>
            <w:vAlign w:val="center"/>
          </w:tcPr>
          <w:p w14:paraId="7BD12D94" w14:textId="2EFF7D22" w:rsidR="0077205E" w:rsidRPr="006B33D2" w:rsidRDefault="00443EF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2566.5995</w:t>
            </w:r>
          </w:p>
        </w:tc>
        <w:tc>
          <w:tcPr>
            <w:tcW w:w="418" w:type="pct"/>
            <w:vMerge/>
            <w:tcBorders>
              <w:left w:val="single" w:sz="4" w:space="0" w:color="auto"/>
            </w:tcBorders>
            <w:vAlign w:val="center"/>
          </w:tcPr>
          <w:p w14:paraId="22CE8FF6"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412A5B6D" w14:textId="77777777" w:rsidTr="00E906EE">
        <w:trPr>
          <w:cantSplit/>
          <w:trHeight w:val="830"/>
          <w:jc w:val="center"/>
        </w:trPr>
        <w:tc>
          <w:tcPr>
            <w:tcW w:w="232" w:type="pct"/>
            <w:vAlign w:val="center"/>
          </w:tcPr>
          <w:p w14:paraId="5FAE205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合计</w:t>
            </w:r>
          </w:p>
        </w:tc>
        <w:tc>
          <w:tcPr>
            <w:tcW w:w="140" w:type="pct"/>
            <w:vAlign w:val="center"/>
          </w:tcPr>
          <w:p w14:paraId="361BA0AB" w14:textId="77777777" w:rsidR="0077205E" w:rsidRPr="006B33D2" w:rsidRDefault="0077205E" w:rsidP="00E906EE">
            <w:pPr>
              <w:spacing w:line="240" w:lineRule="auto"/>
              <w:jc w:val="center"/>
              <w:rPr>
                <w:rFonts w:ascii="Arial" w:hAnsi="Arial" w:cs="Arial"/>
                <w:bCs/>
                <w:sz w:val="18"/>
                <w:szCs w:val="18"/>
              </w:rPr>
            </w:pPr>
            <w:r w:rsidRPr="006B33D2">
              <w:rPr>
                <w:rFonts w:ascii="Arial" w:hAnsi="Arial" w:cs="Arial"/>
                <w:bCs/>
                <w:sz w:val="18"/>
                <w:szCs w:val="18"/>
              </w:rPr>
              <w:t>--</w:t>
            </w:r>
          </w:p>
        </w:tc>
        <w:tc>
          <w:tcPr>
            <w:tcW w:w="234" w:type="pct"/>
            <w:vAlign w:val="center"/>
          </w:tcPr>
          <w:p w14:paraId="5CEF8BA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6CCD3CBD"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18A00BE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3" w:type="pct"/>
            <w:vAlign w:val="center"/>
          </w:tcPr>
          <w:p w14:paraId="4EF596D3"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3EA80AC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4FB30E6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233C342D"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57AA630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3EA53A9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91" w:type="pct"/>
            <w:vAlign w:val="center"/>
          </w:tcPr>
          <w:p w14:paraId="63C4834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04EDE46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327" w:type="pct"/>
            <w:vAlign w:val="center"/>
          </w:tcPr>
          <w:p w14:paraId="356055E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6180.978</w:t>
            </w:r>
          </w:p>
        </w:tc>
        <w:tc>
          <w:tcPr>
            <w:tcW w:w="328" w:type="pct"/>
            <w:tcBorders>
              <w:left w:val="single" w:sz="4" w:space="0" w:color="auto"/>
            </w:tcBorders>
            <w:vAlign w:val="center"/>
          </w:tcPr>
          <w:p w14:paraId="4BCC5CE1"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41888.02</w:t>
            </w:r>
          </w:p>
        </w:tc>
        <w:tc>
          <w:tcPr>
            <w:tcW w:w="280" w:type="pct"/>
            <w:tcBorders>
              <w:left w:val="single" w:sz="4" w:space="0" w:color="auto"/>
              <w:right w:val="single" w:sz="4" w:space="0" w:color="auto"/>
            </w:tcBorders>
            <w:vAlign w:val="center"/>
          </w:tcPr>
          <w:p w14:paraId="7A13F508"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420" w:type="pct"/>
            <w:tcBorders>
              <w:left w:val="single" w:sz="4" w:space="0" w:color="auto"/>
              <w:right w:val="single" w:sz="4" w:space="0" w:color="auto"/>
            </w:tcBorders>
            <w:vAlign w:val="center"/>
          </w:tcPr>
          <w:p w14:paraId="6AAC372E" w14:textId="35F32E4C" w:rsidR="0077205E" w:rsidRPr="006B33D2" w:rsidRDefault="00443EF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244365.6152</w:t>
            </w:r>
          </w:p>
        </w:tc>
        <w:tc>
          <w:tcPr>
            <w:tcW w:w="280" w:type="pct"/>
            <w:tcBorders>
              <w:left w:val="single" w:sz="4" w:space="0" w:color="auto"/>
              <w:right w:val="single" w:sz="4" w:space="0" w:color="auto"/>
            </w:tcBorders>
            <w:vAlign w:val="center"/>
          </w:tcPr>
          <w:p w14:paraId="6BCDC28A"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421" w:type="pct"/>
            <w:tcBorders>
              <w:left w:val="single" w:sz="4" w:space="0" w:color="auto"/>
              <w:right w:val="single" w:sz="4" w:space="0" w:color="auto"/>
            </w:tcBorders>
            <w:vAlign w:val="center"/>
          </w:tcPr>
          <w:p w14:paraId="4FAD1860" w14:textId="0A999C7F" w:rsidR="0077205E" w:rsidRPr="006B33D2" w:rsidRDefault="00443EF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61093.2435</w:t>
            </w:r>
          </w:p>
        </w:tc>
        <w:tc>
          <w:tcPr>
            <w:tcW w:w="418" w:type="pct"/>
            <w:tcBorders>
              <w:left w:val="single" w:sz="4" w:space="0" w:color="auto"/>
            </w:tcBorders>
            <w:vAlign w:val="center"/>
          </w:tcPr>
          <w:p w14:paraId="3E8CF89C" w14:textId="485A790C" w:rsidR="0077205E" w:rsidRPr="006B33D2" w:rsidRDefault="00443EF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61093.2435</w:t>
            </w:r>
          </w:p>
        </w:tc>
      </w:tr>
    </w:tbl>
    <w:p w14:paraId="4C38EEBA" w14:textId="5F2421A3" w:rsidR="002C3ABF" w:rsidRPr="00FD249C" w:rsidRDefault="002C3ABF" w:rsidP="002C3ABF">
      <w:pPr>
        <w:spacing w:line="360" w:lineRule="auto"/>
        <w:rPr>
          <w:rFonts w:ascii="Arial" w:eastAsia="仿宋_GB2312" w:hAnsi="Arial" w:cs="Arial"/>
          <w:sz w:val="18"/>
          <w:szCs w:val="18"/>
        </w:rPr>
        <w:sectPr w:rsidR="002C3ABF" w:rsidRPr="00FD249C">
          <w:headerReference w:type="first" r:id="rId63"/>
          <w:pgSz w:w="16840" w:h="11907" w:orient="landscape"/>
          <w:pgMar w:top="1508" w:right="1134" w:bottom="1134" w:left="1134" w:header="1134" w:footer="907" w:gutter="340"/>
          <w:cols w:space="720"/>
          <w:titlePg/>
          <w:docGrid w:linePitch="326"/>
        </w:sectPr>
      </w:pPr>
      <w:r w:rsidRPr="00F631FB">
        <w:rPr>
          <w:rFonts w:ascii="Arial" w:eastAsia="仿宋_GB2312" w:hAnsi="Arial" w:cs="Arial"/>
          <w:sz w:val="18"/>
          <w:szCs w:val="18"/>
        </w:rPr>
        <w:t>币种：人民币</w:t>
      </w:r>
    </w:p>
    <w:p w14:paraId="5769930F" w14:textId="77777777" w:rsidR="002C3ABF" w:rsidRPr="00F631FB" w:rsidRDefault="002C3ABF" w:rsidP="002C3ABF">
      <w:pPr>
        <w:spacing w:line="360" w:lineRule="auto"/>
        <w:outlineLvl w:val="1"/>
        <w:rPr>
          <w:rFonts w:ascii="Arial" w:eastAsia="仿宋_GB2312" w:hAnsi="Arial" w:cs="Arial"/>
          <w:b/>
          <w:sz w:val="28"/>
        </w:rPr>
      </w:pPr>
      <w:bookmarkStart w:id="233" w:name="_Toc515457812"/>
      <w:bookmarkStart w:id="234" w:name="_Toc469066160"/>
      <w:bookmarkStart w:id="235" w:name="_Toc516488190"/>
      <w:bookmarkStart w:id="236" w:name="_Toc524335095"/>
      <w:bookmarkStart w:id="237" w:name="_Toc66929521"/>
      <w:bookmarkStart w:id="238" w:name="_Toc69393396"/>
      <w:r w:rsidRPr="00F631FB">
        <w:rPr>
          <w:rFonts w:ascii="Arial" w:eastAsia="仿宋_GB2312" w:hAnsi="Arial" w:cs="Arial"/>
          <w:b/>
          <w:sz w:val="28"/>
        </w:rPr>
        <w:lastRenderedPageBreak/>
        <w:t>十、需要特殊说明的事项</w:t>
      </w:r>
      <w:bookmarkEnd w:id="231"/>
      <w:bookmarkEnd w:id="232"/>
      <w:bookmarkEnd w:id="233"/>
      <w:bookmarkEnd w:id="234"/>
      <w:bookmarkEnd w:id="235"/>
      <w:bookmarkEnd w:id="236"/>
      <w:bookmarkEnd w:id="237"/>
      <w:bookmarkEnd w:id="238"/>
    </w:p>
    <w:p w14:paraId="359B0ED7" w14:textId="77777777" w:rsidR="00E651D3" w:rsidRPr="00F631FB" w:rsidRDefault="00E651D3" w:rsidP="00E651D3">
      <w:pPr>
        <w:snapToGrid w:val="0"/>
        <w:spacing w:line="360" w:lineRule="auto"/>
        <w:jc w:val="both"/>
        <w:textAlignment w:val="bottom"/>
        <w:rPr>
          <w:rFonts w:ascii="Arial" w:eastAsia="仿宋_GB2312" w:hAnsi="Arial" w:cs="Arial"/>
          <w:sz w:val="28"/>
        </w:rPr>
      </w:pPr>
      <w:bookmarkStart w:id="239" w:name="_Toc416783581"/>
      <w:bookmarkStart w:id="240" w:name="_Toc416783677"/>
      <w:bookmarkStart w:id="241" w:name="_Toc469066161"/>
      <w:r w:rsidRPr="00F631FB">
        <w:rPr>
          <w:rFonts w:ascii="Arial" w:eastAsia="仿宋_GB2312" w:hAnsi="Arial" w:cs="Arial"/>
          <w:sz w:val="28"/>
        </w:rPr>
        <w:t>（一）估价的前提条件和假设条件</w:t>
      </w:r>
    </w:p>
    <w:p w14:paraId="1895172A" w14:textId="77777777" w:rsidR="00E651D3" w:rsidRPr="00F631FB" w:rsidRDefault="00E651D3" w:rsidP="00E651D3">
      <w:pPr>
        <w:snapToGrid w:val="0"/>
        <w:spacing w:line="360" w:lineRule="auto"/>
        <w:ind w:firstLine="555"/>
        <w:jc w:val="both"/>
        <w:textAlignment w:val="bottom"/>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估价对象</w:t>
      </w:r>
      <w:r w:rsidRPr="00F631FB">
        <w:rPr>
          <w:rFonts w:ascii="Arial" w:eastAsia="仿宋_GB2312" w:hAnsi="Arial" w:cs="Arial" w:hint="eastAsia"/>
          <w:sz w:val="28"/>
        </w:rPr>
        <w:t>所属项目</w:t>
      </w:r>
      <w:r w:rsidRPr="00F631FB">
        <w:rPr>
          <w:rFonts w:ascii="Arial" w:eastAsia="仿宋_GB2312" w:hAnsi="Arial" w:cs="Arial"/>
          <w:sz w:val="28"/>
        </w:rPr>
        <w:t>作为</w:t>
      </w:r>
      <w:r>
        <w:rPr>
          <w:rFonts w:ascii="Arial" w:eastAsia="仿宋_GB2312" w:hAnsi="Arial" w:cs="Arial"/>
          <w:sz w:val="28"/>
        </w:rPr>
        <w:t>住宅、商业、办公、地下办公、地下车库</w:t>
      </w:r>
      <w:r w:rsidRPr="00F631FB">
        <w:rPr>
          <w:rFonts w:ascii="Arial" w:eastAsia="仿宋_GB2312" w:hAnsi="Arial" w:cs="Arial"/>
          <w:sz w:val="28"/>
        </w:rPr>
        <w:t>用地为最有效利用方式。</w:t>
      </w:r>
    </w:p>
    <w:p w14:paraId="2AA65D8E" w14:textId="77777777" w:rsidR="00E651D3" w:rsidRPr="00F631FB" w:rsidRDefault="00E651D3" w:rsidP="00E651D3">
      <w:pPr>
        <w:snapToGrid w:val="0"/>
        <w:spacing w:line="360" w:lineRule="auto"/>
        <w:ind w:firstLine="555"/>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委托估价方提供的资料属实，没有保留及隐瞒。</w:t>
      </w:r>
    </w:p>
    <w:p w14:paraId="4B5FEC5F" w14:textId="77777777" w:rsidR="00E651D3" w:rsidRPr="00F631FB" w:rsidRDefault="00E651D3" w:rsidP="00E651D3">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 xml:space="preserve">    3.</w:t>
      </w:r>
      <w:r w:rsidRPr="00F631FB">
        <w:rPr>
          <w:rFonts w:ascii="Arial" w:eastAsia="仿宋_GB2312" w:hAnsi="Arial" w:cs="Arial"/>
          <w:sz w:val="28"/>
        </w:rPr>
        <w:t>在估价期日的房地产市场为公开、平等、自愿的交易市场。</w:t>
      </w:r>
    </w:p>
    <w:p w14:paraId="39FBE5E8" w14:textId="77777777" w:rsidR="00E651D3" w:rsidRPr="00F631FB" w:rsidRDefault="00E651D3" w:rsidP="00E651D3">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 xml:space="preserve">    4.</w:t>
      </w:r>
      <w:r w:rsidRPr="00F631FB">
        <w:rPr>
          <w:rFonts w:ascii="Arial" w:eastAsia="仿宋_GB2312" w:hAnsi="Arial" w:cs="Arial"/>
          <w:sz w:val="28"/>
        </w:rPr>
        <w:t>任何有关估价对象的运作方式、程序符合国家、地方的有关法律、法规。</w:t>
      </w:r>
    </w:p>
    <w:p w14:paraId="0FAFD69E" w14:textId="77777777" w:rsidR="00E651D3" w:rsidRPr="00F631FB" w:rsidRDefault="00E651D3" w:rsidP="00E651D3">
      <w:pPr>
        <w:spacing w:line="360" w:lineRule="auto"/>
        <w:ind w:right="17"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土地使用权人合法取得估价对象出让国有建设用地使用权，并支付全部相关税费。</w:t>
      </w:r>
    </w:p>
    <w:p w14:paraId="67C91D00" w14:textId="77777777" w:rsidR="00E651D3" w:rsidRDefault="00E651D3" w:rsidP="00E651D3">
      <w:pPr>
        <w:snapToGrid w:val="0"/>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6.</w:t>
      </w:r>
      <w:r w:rsidRPr="00C70DD8">
        <w:rPr>
          <w:rFonts w:ascii="Arial" w:eastAsia="仿宋_GB2312" w:hAnsi="Arial" w:cs="Arial" w:hint="eastAsia"/>
          <w:sz w:val="28"/>
          <w:szCs w:val="28"/>
        </w:rPr>
        <w:t xml:space="preserve"> </w:t>
      </w:r>
      <w:r>
        <w:rPr>
          <w:rFonts w:ascii="Arial" w:eastAsia="仿宋_GB2312" w:hAnsi="Arial" w:cs="Arial" w:hint="eastAsia"/>
          <w:sz w:val="28"/>
          <w:szCs w:val="28"/>
        </w:rPr>
        <w:t>根据</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及其附图复印件、《土地权属审查告知书》</w:t>
      </w:r>
      <w:r>
        <w:rPr>
          <w:rFonts w:ascii="Arial" w:eastAsia="仿宋_GB2312" w:hAnsi="Arial" w:cs="Arial"/>
          <w:sz w:val="28"/>
        </w:rPr>
        <w:t>[</w:t>
      </w:r>
      <w:r>
        <w:rPr>
          <w:rFonts w:ascii="Arial" w:eastAsia="仿宋_GB2312" w:hAnsi="Arial" w:cs="Arial" w:hint="eastAsia"/>
          <w:sz w:val="28"/>
        </w:rPr>
        <w:t>编号：海权属审（</w:t>
      </w:r>
      <w:r>
        <w:rPr>
          <w:rFonts w:ascii="Arial" w:eastAsia="仿宋_GB2312" w:hAnsi="Arial" w:cs="Arial"/>
          <w:sz w:val="28"/>
        </w:rPr>
        <w:t>2021</w:t>
      </w:r>
      <w:r>
        <w:rPr>
          <w:rFonts w:ascii="Arial" w:eastAsia="仿宋_GB2312" w:hAnsi="Arial" w:cs="Arial" w:hint="eastAsia"/>
          <w:sz w:val="28"/>
        </w:rPr>
        <w:t>）字第</w:t>
      </w:r>
      <w:r>
        <w:rPr>
          <w:rFonts w:ascii="Arial" w:eastAsia="仿宋_GB2312" w:hAnsi="Arial" w:cs="Arial"/>
          <w:sz w:val="28"/>
        </w:rPr>
        <w:t>1268</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及其附表附图复印件</w:t>
      </w:r>
      <w:r>
        <w:rPr>
          <w:rFonts w:ascii="Arial" w:eastAsia="仿宋_GB2312" w:hAnsi="Arial" w:cs="Arial" w:hint="eastAsia"/>
          <w:sz w:val="28"/>
          <w:szCs w:val="28"/>
        </w:rPr>
        <w:t>，</w:t>
      </w:r>
      <w:r>
        <w:rPr>
          <w:rFonts w:ascii="Arial" w:eastAsia="仿宋_GB2312" w:hAnsi="Arial" w:cs="Arial" w:hint="eastAsia"/>
          <w:sz w:val="28"/>
        </w:rPr>
        <w:t>北京市海淀区苏州街站一体化棚户区改造一次性招标项目</w:t>
      </w:r>
      <w:r>
        <w:rPr>
          <w:rFonts w:ascii="Arial" w:eastAsia="仿宋_GB2312" w:hAnsi="Arial" w:cs="Arial" w:hint="eastAsia"/>
          <w:sz w:val="28"/>
          <w:szCs w:val="28"/>
        </w:rPr>
        <w:t>规划用途为</w:t>
      </w:r>
      <w:r>
        <w:rPr>
          <w:rFonts w:ascii="Arial" w:eastAsia="仿宋_GB2312" w:hAnsi="Arial" w:cs="Arial"/>
          <w:sz w:val="28"/>
          <w:szCs w:val="28"/>
        </w:rPr>
        <w:t>R2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r>
        <w:rPr>
          <w:rFonts w:ascii="Arial" w:eastAsia="仿宋_GB2312" w:hAnsi="Arial" w:cs="Arial"/>
          <w:sz w:val="28"/>
          <w:szCs w:val="28"/>
        </w:rPr>
        <w:t xml:space="preserve"> </w:t>
      </w:r>
    </w:p>
    <w:p w14:paraId="296A6C48" w14:textId="77777777" w:rsidR="00E651D3" w:rsidRPr="00F631FB" w:rsidRDefault="00E651D3" w:rsidP="00E651D3">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及其附件复印件、《海淀区苏州街一体化棚户区改造项目建筑面积及用途的说明》及其附表，以及委托估价方在《国有建设用地使用权出让地价评估委托书》中明确，估价对象土地用途为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GB/T21010-2007</w:t>
      </w:r>
      <w:r>
        <w:rPr>
          <w:rFonts w:ascii="Arial" w:eastAsia="仿宋_GB2312" w:hAnsi="Arial" w:cs="Arial"/>
          <w:sz w:val="28"/>
          <w:szCs w:val="28"/>
        </w:rPr>
        <w:t>]</w:t>
      </w:r>
      <w:r>
        <w:rPr>
          <w:rFonts w:ascii="Arial" w:eastAsia="仿宋_GB2312" w:hAnsi="Arial" w:cs="Arial" w:hint="eastAsia"/>
          <w:sz w:val="28"/>
        </w:rPr>
        <w:t>、《北京市关于更新出让国有建设用地使用权基准地价的通知》</w:t>
      </w:r>
      <w:r>
        <w:rPr>
          <w:rFonts w:ascii="Arial" w:eastAsia="仿宋_GB2312" w:hAnsi="Arial" w:cs="Arial"/>
          <w:sz w:val="28"/>
          <w:szCs w:val="28"/>
        </w:rPr>
        <w:t>[</w:t>
      </w:r>
      <w:r>
        <w:rPr>
          <w:rFonts w:ascii="Arial" w:eastAsia="仿宋_GB2312" w:hAnsi="Arial" w:cs="Arial" w:hint="eastAsia"/>
          <w:sz w:val="28"/>
        </w:rPr>
        <w:t>京政发（</w:t>
      </w:r>
      <w:r>
        <w:rPr>
          <w:rFonts w:ascii="Arial" w:eastAsia="仿宋_GB2312" w:hAnsi="Arial" w:cs="Arial"/>
          <w:sz w:val="28"/>
        </w:rPr>
        <w:t>2014</w:t>
      </w:r>
      <w:r>
        <w:rPr>
          <w:rFonts w:ascii="Arial" w:eastAsia="仿宋_GB2312" w:hAnsi="Arial" w:cs="Arial" w:hint="eastAsia"/>
          <w:sz w:val="28"/>
        </w:rPr>
        <w:t>）</w:t>
      </w:r>
      <w:r>
        <w:rPr>
          <w:rFonts w:ascii="Arial" w:eastAsia="仿宋_GB2312" w:hAnsi="Arial" w:cs="Arial"/>
          <w:sz w:val="28"/>
        </w:rPr>
        <w:t>26</w:t>
      </w:r>
      <w:r>
        <w:rPr>
          <w:rFonts w:ascii="Arial" w:eastAsia="仿宋_GB2312" w:hAnsi="Arial" w:cs="Arial" w:hint="eastAsia"/>
          <w:sz w:val="28"/>
        </w:rPr>
        <w:t>号</w:t>
      </w:r>
      <w:r>
        <w:rPr>
          <w:rFonts w:ascii="Arial" w:eastAsia="仿宋_GB2312" w:hAnsi="Arial" w:cs="Arial"/>
          <w:sz w:val="28"/>
          <w:szCs w:val="28"/>
        </w:rPr>
        <w:t>]</w:t>
      </w:r>
      <w:r>
        <w:rPr>
          <w:rFonts w:ascii="Arial" w:eastAsia="仿宋_GB2312" w:hAnsi="Arial" w:cs="Arial" w:hint="eastAsia"/>
          <w:sz w:val="28"/>
          <w:szCs w:val="28"/>
        </w:rPr>
        <w:t>内容</w:t>
      </w:r>
      <w:r>
        <w:rPr>
          <w:rFonts w:ascii="Arial" w:eastAsia="仿宋_GB2312" w:hAnsi="Arial" w:cs="Arial" w:hint="eastAsia"/>
          <w:sz w:val="28"/>
        </w:rPr>
        <w:t>，此次估价设定估价对象用途为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w:t>
      </w:r>
      <w:r w:rsidRPr="00F631FB">
        <w:rPr>
          <w:rFonts w:ascii="Arial" w:eastAsia="仿宋_GB2312" w:hAnsi="Arial" w:cs="Arial"/>
          <w:sz w:val="28"/>
        </w:rPr>
        <w:t xml:space="preserve"> </w:t>
      </w:r>
    </w:p>
    <w:p w14:paraId="72C8D37B" w14:textId="77777777" w:rsidR="00E651D3" w:rsidRPr="00C70DD8" w:rsidRDefault="00E651D3" w:rsidP="00E651D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7.</w:t>
      </w:r>
      <w:r w:rsidRPr="00C70DD8">
        <w:rPr>
          <w:rFonts w:ascii="Arial" w:eastAsia="仿宋_GB2312" w:hAnsi="Arial" w:cs="Arial" w:hint="eastAsia"/>
          <w:sz w:val="28"/>
        </w:rPr>
        <w:t xml:space="preserve"> </w:t>
      </w:r>
      <w:r>
        <w:rPr>
          <w:rFonts w:ascii="Arial" w:eastAsia="仿宋_GB2312" w:hAnsi="Arial" w:cs="Arial" w:hint="eastAsia"/>
          <w:sz w:val="28"/>
        </w:rPr>
        <w:t>根据《海淀区苏州街站一体化棚户区改造项目前期工作及拟改造土地使用权一次性招标方案》及其附件，要求市政基础设施条件最终达到“七通”（</w:t>
      </w:r>
      <w:r>
        <w:rPr>
          <w:rFonts w:ascii="Arial" w:eastAsia="仿宋_GB2312" w:hAnsi="Arial" w:cs="Arial" w:hint="eastAsia"/>
          <w:sz w:val="28"/>
          <w:szCs w:val="28"/>
        </w:rPr>
        <w:t>即通路、通电（管沟和电缆）、通讯、通上水（自来水、中水）、通下水（雨水、污水）、通燃气、通热</w:t>
      </w:r>
      <w:r>
        <w:rPr>
          <w:rFonts w:ascii="Arial" w:eastAsia="仿宋_GB2312" w:hAnsi="Arial" w:cs="Arial" w:hint="eastAsia"/>
          <w:sz w:val="28"/>
        </w:rPr>
        <w:t>），截至价值时点，</w:t>
      </w:r>
      <w:r>
        <w:rPr>
          <w:rFonts w:ascii="Arial" w:eastAsia="仿宋_GB2312" w:hAnsi="Arial" w:cs="Arial" w:hint="eastAsia"/>
          <w:sz w:val="28"/>
          <w:szCs w:val="28"/>
        </w:rPr>
        <w:t>宗地内建筑物正在进行结构施工。</w:t>
      </w:r>
      <w:r>
        <w:rPr>
          <w:rFonts w:ascii="Arial" w:eastAsia="仿宋_GB2312" w:hAnsi="Arial" w:cs="Arial" w:hint="eastAsia"/>
          <w:sz w:val="28"/>
        </w:rPr>
        <w:t>本次评估是为北京市规划和自然资源委员会办理该项目一次性招标出让手续提供参考依据，结合</w:t>
      </w:r>
      <w:r>
        <w:rPr>
          <w:rFonts w:ascii="Arial" w:eastAsia="仿宋_GB2312" w:hAnsi="Arial" w:cs="Arial" w:hint="eastAsia"/>
          <w:sz w:val="28"/>
          <w:szCs w:val="28"/>
        </w:rPr>
        <w:t>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七通</w:t>
      </w:r>
      <w:r>
        <w:rPr>
          <w:rFonts w:ascii="Arial" w:eastAsia="仿宋_GB2312" w:hAnsi="Arial" w:cs="Arial"/>
          <w:sz w:val="28"/>
          <w:szCs w:val="28"/>
        </w:rPr>
        <w:t>”</w:t>
      </w:r>
      <w:r>
        <w:rPr>
          <w:rFonts w:ascii="Arial" w:eastAsia="仿宋_GB2312" w:hAnsi="Arial" w:cs="Arial" w:hint="eastAsia"/>
          <w:sz w:val="28"/>
          <w:szCs w:val="28"/>
        </w:rPr>
        <w:t>（即通路、通电（管沟和电缆）、通讯、通上水（自来水、中水）、通下水（雨水、污水）、通燃气、通热），宗地内</w:t>
      </w:r>
      <w:r>
        <w:rPr>
          <w:rFonts w:ascii="Arial" w:eastAsia="仿宋_GB2312" w:hAnsi="Arial" w:cs="Arial"/>
          <w:sz w:val="28"/>
          <w:szCs w:val="28"/>
        </w:rPr>
        <w:t>“</w:t>
      </w:r>
      <w:r>
        <w:rPr>
          <w:rFonts w:ascii="Arial" w:eastAsia="仿宋_GB2312" w:hAnsi="Arial" w:cs="Arial" w:hint="eastAsia"/>
          <w:sz w:val="28"/>
          <w:szCs w:val="28"/>
        </w:rPr>
        <w:t>场地平整</w:t>
      </w:r>
      <w:r>
        <w:rPr>
          <w:rFonts w:ascii="Arial" w:eastAsia="仿宋_GB2312" w:hAnsi="Arial" w:cs="Arial"/>
          <w:sz w:val="28"/>
          <w:szCs w:val="28"/>
        </w:rPr>
        <w:t>”</w:t>
      </w:r>
      <w:r>
        <w:rPr>
          <w:rFonts w:ascii="Arial" w:eastAsia="仿宋_GB2312" w:hAnsi="Arial" w:cs="Arial" w:hint="eastAsia"/>
          <w:sz w:val="28"/>
          <w:szCs w:val="28"/>
        </w:rPr>
        <w:t>。</w:t>
      </w:r>
    </w:p>
    <w:p w14:paraId="1D6600E9" w14:textId="77777777" w:rsidR="00E651D3" w:rsidRPr="00F631FB" w:rsidRDefault="00E651D3" w:rsidP="00E651D3">
      <w:pPr>
        <w:adjustRightInd/>
        <w:snapToGrid w:val="0"/>
        <w:spacing w:line="360" w:lineRule="auto"/>
        <w:ind w:firstLineChars="250" w:firstLine="700"/>
        <w:jc w:val="both"/>
        <w:textAlignment w:val="auto"/>
        <w:rPr>
          <w:rFonts w:ascii="Arial" w:eastAsia="仿宋_GB2312" w:hAnsi="Arial" w:cs="Arial"/>
          <w:sz w:val="28"/>
          <w:szCs w:val="28"/>
        </w:rPr>
      </w:pPr>
      <w:r w:rsidRPr="00F631FB">
        <w:rPr>
          <w:rFonts w:ascii="Arial" w:eastAsia="仿宋_GB2312" w:hAnsi="Arial" w:cs="Arial"/>
          <w:sz w:val="28"/>
        </w:rPr>
        <w:t>8.</w:t>
      </w:r>
      <w:r w:rsidRPr="00F631FB">
        <w:rPr>
          <w:rFonts w:ascii="Arial" w:eastAsia="仿宋_GB2312" w:hAnsi="Arial" w:cs="Arial"/>
          <w:sz w:val="28"/>
          <w:szCs w:val="28"/>
        </w:rPr>
        <w:t xml:space="preserve"> </w:t>
      </w:r>
      <w:r w:rsidRPr="00F631FB">
        <w:rPr>
          <w:rFonts w:ascii="Arial" w:eastAsia="仿宋_GB2312" w:hAnsi="Arial" w:cs="Arial"/>
          <w:sz w:val="28"/>
          <w:szCs w:val="28"/>
        </w:rPr>
        <w:t>容积率设定：</w:t>
      </w:r>
    </w:p>
    <w:p w14:paraId="6D3D9B6C" w14:textId="77777777" w:rsidR="00E651D3"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及其附图复印件、《海淀区苏州街一体化棚户区改造项目建筑面积及用途的说明》及其附表记载，估价对象总用地面积</w:t>
      </w:r>
      <w:r>
        <w:rPr>
          <w:rFonts w:ascii="Arial" w:eastAsia="仿宋_GB2312" w:hAnsi="Arial" w:cs="Arial"/>
          <w:sz w:val="28"/>
        </w:rPr>
        <w:t>6180.978</w:t>
      </w:r>
      <w:r>
        <w:rPr>
          <w:rFonts w:ascii="Arial" w:eastAsia="仿宋_GB2312" w:hAnsi="Arial" w:cs="Arial" w:hint="eastAsia"/>
          <w:sz w:val="28"/>
        </w:rPr>
        <w:t>平方米，均为建设用地。总规划建筑面积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。详见下表：</w:t>
      </w:r>
    </w:p>
    <w:p w14:paraId="6F806196" w14:textId="77777777" w:rsidR="00E651D3"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14:paraId="2B2CB24D" w14:textId="77777777" w:rsidR="00E651D3" w:rsidRDefault="00E651D3" w:rsidP="00E651D3">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b/>
          <w:bCs/>
          <w:szCs w:val="18"/>
        </w:rPr>
        <w:br w:type="page"/>
      </w:r>
    </w:p>
    <w:p w14:paraId="6CC102B8" w14:textId="77777777" w:rsidR="00E651D3" w:rsidRPr="00090D86" w:rsidRDefault="00E651D3" w:rsidP="00E651D3">
      <w:pPr>
        <w:autoSpaceDE w:val="0"/>
        <w:autoSpaceDN w:val="0"/>
        <w:snapToGrid w:val="0"/>
        <w:spacing w:line="240" w:lineRule="auto"/>
        <w:jc w:val="center"/>
        <w:textAlignment w:val="bottom"/>
        <w:rPr>
          <w:rFonts w:ascii="Arial" w:eastAsia="仿宋_GB2312" w:hAnsi="Arial" w:cs="Arial"/>
          <w:b/>
          <w:bCs/>
          <w:szCs w:val="18"/>
        </w:rPr>
      </w:pPr>
      <w:r w:rsidRPr="00090D86">
        <w:rPr>
          <w:rFonts w:ascii="Arial" w:eastAsia="仿宋_GB2312" w:hAnsi="Arial" w:cs="Arial" w:hint="eastAsia"/>
          <w:b/>
          <w:bCs/>
          <w:szCs w:val="18"/>
        </w:rPr>
        <w:lastRenderedPageBreak/>
        <w:t>土地用途及建筑面积表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06"/>
        <w:gridCol w:w="1308"/>
        <w:gridCol w:w="2943"/>
        <w:gridCol w:w="2636"/>
      </w:tblGrid>
      <w:tr w:rsidR="00E651D3" w:rsidRPr="00F86D61" w14:paraId="311470D3" w14:textId="77777777" w:rsidTr="00E906EE">
        <w:trPr>
          <w:trHeight w:val="632"/>
          <w:tblHeader/>
        </w:trPr>
        <w:tc>
          <w:tcPr>
            <w:tcW w:w="1371" w:type="pct"/>
            <w:gridSpan w:val="2"/>
            <w:shd w:val="clear" w:color="auto" w:fill="auto"/>
            <w:noWrap/>
            <w:vAlign w:val="center"/>
          </w:tcPr>
          <w:p w14:paraId="43924960"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位置</w:t>
            </w:r>
          </w:p>
        </w:tc>
        <w:tc>
          <w:tcPr>
            <w:tcW w:w="782" w:type="pct"/>
            <w:shd w:val="clear" w:color="auto" w:fill="auto"/>
            <w:noWrap/>
            <w:vAlign w:val="center"/>
          </w:tcPr>
          <w:p w14:paraId="5E15BD84"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用途</w:t>
            </w:r>
          </w:p>
        </w:tc>
        <w:tc>
          <w:tcPr>
            <w:tcW w:w="1662" w:type="pct"/>
            <w:shd w:val="clear" w:color="auto" w:fill="auto"/>
            <w:noWrap/>
            <w:vAlign w:val="center"/>
          </w:tcPr>
          <w:p w14:paraId="03146266"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分类</w:t>
            </w:r>
          </w:p>
        </w:tc>
        <w:tc>
          <w:tcPr>
            <w:tcW w:w="1185" w:type="pct"/>
            <w:shd w:val="clear" w:color="auto" w:fill="auto"/>
            <w:noWrap/>
            <w:vAlign w:val="center"/>
          </w:tcPr>
          <w:p w14:paraId="400F96AE"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规划</w:t>
            </w:r>
            <w:r w:rsidRPr="00F86D61">
              <w:rPr>
                <w:rFonts w:ascii="Arial" w:eastAsia="仿宋_GB2312" w:hAnsi="Arial" w:cs="Arial" w:hint="eastAsia"/>
                <w:sz w:val="22"/>
                <w:szCs w:val="16"/>
              </w:rPr>
              <w:t>建筑面积（平方米）</w:t>
            </w:r>
          </w:p>
        </w:tc>
      </w:tr>
      <w:tr w:rsidR="00E651D3" w:rsidRPr="00F86D61" w14:paraId="62B964F6" w14:textId="77777777" w:rsidTr="00E906EE">
        <w:trPr>
          <w:trHeight w:val="345"/>
        </w:trPr>
        <w:tc>
          <w:tcPr>
            <w:tcW w:w="590" w:type="pct"/>
            <w:vMerge w:val="restart"/>
            <w:shd w:val="clear" w:color="auto" w:fill="auto"/>
            <w:noWrap/>
            <w:vAlign w:val="center"/>
            <w:hideMark/>
          </w:tcPr>
          <w:p w14:paraId="7839107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地上</w:t>
            </w:r>
            <w:r>
              <w:rPr>
                <w:rFonts w:ascii="Arial" w:eastAsia="仿宋_GB2312" w:hAnsi="Arial" w:cs="Arial" w:hint="eastAsia"/>
                <w:sz w:val="22"/>
                <w:szCs w:val="16"/>
              </w:rPr>
              <w:t>部分</w:t>
            </w:r>
          </w:p>
        </w:tc>
        <w:tc>
          <w:tcPr>
            <w:tcW w:w="781" w:type="pct"/>
            <w:vMerge w:val="restart"/>
            <w:vAlign w:val="center"/>
          </w:tcPr>
          <w:p w14:paraId="403884F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vMerge w:val="restart"/>
            <w:shd w:val="clear" w:color="auto" w:fill="auto"/>
            <w:noWrap/>
            <w:vAlign w:val="center"/>
            <w:hideMark/>
          </w:tcPr>
          <w:p w14:paraId="535196F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住宅</w:t>
            </w:r>
          </w:p>
        </w:tc>
        <w:tc>
          <w:tcPr>
            <w:tcW w:w="1662" w:type="pct"/>
            <w:shd w:val="clear" w:color="auto" w:fill="auto"/>
            <w:noWrap/>
            <w:vAlign w:val="center"/>
            <w:hideMark/>
          </w:tcPr>
          <w:p w14:paraId="7C19C4D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回迁安置房</w:t>
            </w:r>
          </w:p>
        </w:tc>
        <w:tc>
          <w:tcPr>
            <w:tcW w:w="1185" w:type="pct"/>
            <w:shd w:val="clear" w:color="auto" w:fill="auto"/>
            <w:noWrap/>
            <w:vAlign w:val="center"/>
            <w:hideMark/>
          </w:tcPr>
          <w:p w14:paraId="03A16C0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13920.98</w:t>
            </w:r>
          </w:p>
        </w:tc>
      </w:tr>
      <w:tr w:rsidR="00E651D3" w:rsidRPr="001D4423" w14:paraId="173CCD8E" w14:textId="77777777" w:rsidTr="00E906EE">
        <w:trPr>
          <w:trHeight w:val="345"/>
        </w:trPr>
        <w:tc>
          <w:tcPr>
            <w:tcW w:w="590" w:type="pct"/>
            <w:vMerge/>
            <w:shd w:val="clear" w:color="auto" w:fill="auto"/>
            <w:vAlign w:val="center"/>
            <w:hideMark/>
          </w:tcPr>
          <w:p w14:paraId="7D63223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F243A3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BDA770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5713E9C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w:t>
            </w:r>
          </w:p>
        </w:tc>
        <w:tc>
          <w:tcPr>
            <w:tcW w:w="1185" w:type="pct"/>
            <w:shd w:val="clear" w:color="auto" w:fill="auto"/>
            <w:noWrap/>
            <w:vAlign w:val="center"/>
            <w:hideMark/>
          </w:tcPr>
          <w:p w14:paraId="31FB782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13794.02</w:t>
            </w:r>
          </w:p>
        </w:tc>
      </w:tr>
      <w:tr w:rsidR="00E651D3" w:rsidRPr="001D4423" w14:paraId="325821E4" w14:textId="77777777" w:rsidTr="00E906EE">
        <w:trPr>
          <w:trHeight w:val="345"/>
        </w:trPr>
        <w:tc>
          <w:tcPr>
            <w:tcW w:w="590" w:type="pct"/>
            <w:vMerge/>
            <w:shd w:val="clear" w:color="auto" w:fill="auto"/>
            <w:vAlign w:val="center"/>
            <w:hideMark/>
          </w:tcPr>
          <w:p w14:paraId="12A6773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738160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DB2DCD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31CF286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人防室外出入口及其他</w:t>
            </w:r>
          </w:p>
        </w:tc>
        <w:tc>
          <w:tcPr>
            <w:tcW w:w="1185" w:type="pct"/>
            <w:shd w:val="clear" w:color="auto" w:fill="auto"/>
            <w:noWrap/>
            <w:vAlign w:val="center"/>
            <w:hideMark/>
          </w:tcPr>
          <w:p w14:paraId="734ED54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w:t>
            </w:r>
          </w:p>
        </w:tc>
      </w:tr>
      <w:tr w:rsidR="00E651D3" w:rsidRPr="00F86D61" w14:paraId="7AF84164" w14:textId="77777777" w:rsidTr="00E906EE">
        <w:trPr>
          <w:trHeight w:val="345"/>
        </w:trPr>
        <w:tc>
          <w:tcPr>
            <w:tcW w:w="590" w:type="pct"/>
            <w:vMerge/>
            <w:shd w:val="clear" w:color="auto" w:fill="auto"/>
            <w:vAlign w:val="center"/>
            <w:hideMark/>
          </w:tcPr>
          <w:p w14:paraId="7A18E44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7FB017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374F62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1913CC3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278D837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28075</w:t>
            </w:r>
          </w:p>
        </w:tc>
      </w:tr>
      <w:tr w:rsidR="00E651D3" w:rsidRPr="00F86D61" w14:paraId="32A1D1CC" w14:textId="77777777" w:rsidTr="00E906EE">
        <w:trPr>
          <w:trHeight w:val="345"/>
        </w:trPr>
        <w:tc>
          <w:tcPr>
            <w:tcW w:w="590" w:type="pct"/>
            <w:vMerge/>
            <w:shd w:val="clear" w:color="auto" w:fill="auto"/>
            <w:vAlign w:val="center"/>
            <w:hideMark/>
          </w:tcPr>
          <w:p w14:paraId="20F1942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ECCD17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428C986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商业</w:t>
            </w:r>
          </w:p>
        </w:tc>
        <w:tc>
          <w:tcPr>
            <w:tcW w:w="1662" w:type="pct"/>
            <w:shd w:val="clear" w:color="auto" w:fill="auto"/>
            <w:vAlign w:val="center"/>
            <w:hideMark/>
          </w:tcPr>
          <w:p w14:paraId="26BF56B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w:t>
            </w:r>
            <w:proofErr w:type="gramStart"/>
            <w:r w:rsidRPr="001D4423">
              <w:rPr>
                <w:rFonts w:ascii="Arial" w:eastAsia="仿宋_GB2312" w:hAnsi="Arial" w:cs="Arial" w:hint="eastAsia"/>
                <w:sz w:val="22"/>
                <w:szCs w:val="16"/>
              </w:rPr>
              <w:t>房配套</w:t>
            </w:r>
            <w:proofErr w:type="gramEnd"/>
            <w:r w:rsidRPr="001D4423">
              <w:rPr>
                <w:rFonts w:ascii="Arial" w:eastAsia="仿宋_GB2312" w:hAnsi="Arial" w:cs="Arial" w:hint="eastAsia"/>
                <w:sz w:val="22"/>
                <w:szCs w:val="16"/>
              </w:rPr>
              <w:t>商业</w:t>
            </w:r>
          </w:p>
        </w:tc>
        <w:tc>
          <w:tcPr>
            <w:tcW w:w="1185" w:type="pct"/>
            <w:shd w:val="clear" w:color="auto" w:fill="auto"/>
            <w:noWrap/>
            <w:vAlign w:val="center"/>
            <w:hideMark/>
          </w:tcPr>
          <w:p w14:paraId="156DDC1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260</w:t>
            </w:r>
          </w:p>
        </w:tc>
      </w:tr>
      <w:tr w:rsidR="00E651D3" w:rsidRPr="00F86D61" w14:paraId="415EE1C4" w14:textId="77777777" w:rsidTr="00E906EE">
        <w:trPr>
          <w:trHeight w:val="345"/>
        </w:trPr>
        <w:tc>
          <w:tcPr>
            <w:tcW w:w="590" w:type="pct"/>
            <w:vMerge/>
            <w:shd w:val="clear" w:color="auto" w:fill="auto"/>
            <w:vAlign w:val="center"/>
            <w:hideMark/>
          </w:tcPr>
          <w:p w14:paraId="04FA5EB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41089F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98AA43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36CBEFF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平衡资金商品房配套商业</w:t>
            </w:r>
          </w:p>
        </w:tc>
        <w:tc>
          <w:tcPr>
            <w:tcW w:w="1185" w:type="pct"/>
            <w:shd w:val="clear" w:color="auto" w:fill="auto"/>
            <w:noWrap/>
            <w:vAlign w:val="center"/>
            <w:hideMark/>
          </w:tcPr>
          <w:p w14:paraId="48C1797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3045</w:t>
            </w:r>
          </w:p>
        </w:tc>
      </w:tr>
      <w:tr w:rsidR="00E651D3" w:rsidRPr="00F86D61" w14:paraId="31E4D6DE" w14:textId="77777777" w:rsidTr="00E906EE">
        <w:trPr>
          <w:trHeight w:val="345"/>
        </w:trPr>
        <w:tc>
          <w:tcPr>
            <w:tcW w:w="590" w:type="pct"/>
            <w:vMerge/>
            <w:shd w:val="clear" w:color="auto" w:fill="auto"/>
            <w:vAlign w:val="center"/>
            <w:hideMark/>
          </w:tcPr>
          <w:p w14:paraId="7007F3D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C23796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7F5DBC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2DFC6BE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小型商服</w:t>
            </w:r>
          </w:p>
        </w:tc>
        <w:tc>
          <w:tcPr>
            <w:tcW w:w="1185" w:type="pct"/>
            <w:shd w:val="clear" w:color="auto" w:fill="auto"/>
            <w:noWrap/>
            <w:vAlign w:val="center"/>
            <w:hideMark/>
          </w:tcPr>
          <w:p w14:paraId="47C37ED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w:t>
            </w:r>
          </w:p>
        </w:tc>
      </w:tr>
      <w:tr w:rsidR="00E651D3" w:rsidRPr="00F86D61" w14:paraId="40587870" w14:textId="77777777" w:rsidTr="00E906EE">
        <w:trPr>
          <w:trHeight w:val="345"/>
        </w:trPr>
        <w:tc>
          <w:tcPr>
            <w:tcW w:w="590" w:type="pct"/>
            <w:vMerge/>
            <w:shd w:val="clear" w:color="auto" w:fill="auto"/>
            <w:vAlign w:val="center"/>
            <w:hideMark/>
          </w:tcPr>
          <w:p w14:paraId="3313CC4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991950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10E9BA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2875863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3FABE40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3318</w:t>
            </w:r>
          </w:p>
        </w:tc>
      </w:tr>
      <w:tr w:rsidR="00E651D3" w:rsidRPr="00F86D61" w14:paraId="07A4A226" w14:textId="77777777" w:rsidTr="00E906EE">
        <w:trPr>
          <w:trHeight w:val="345"/>
        </w:trPr>
        <w:tc>
          <w:tcPr>
            <w:tcW w:w="590" w:type="pct"/>
            <w:vMerge/>
            <w:shd w:val="clear" w:color="auto" w:fill="auto"/>
            <w:vAlign w:val="center"/>
            <w:hideMark/>
          </w:tcPr>
          <w:p w14:paraId="1D113B3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3918FD8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0EC3E4E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办公</w:t>
            </w:r>
          </w:p>
        </w:tc>
        <w:tc>
          <w:tcPr>
            <w:tcW w:w="1662" w:type="pct"/>
            <w:shd w:val="clear" w:color="auto" w:fill="auto"/>
            <w:vAlign w:val="center"/>
            <w:hideMark/>
          </w:tcPr>
          <w:p w14:paraId="0C30AA1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41F8FA3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E651D3" w:rsidRPr="00F86D61" w14:paraId="264FF9B8" w14:textId="77777777" w:rsidTr="00E906EE">
        <w:trPr>
          <w:trHeight w:val="345"/>
        </w:trPr>
        <w:tc>
          <w:tcPr>
            <w:tcW w:w="590" w:type="pct"/>
            <w:vMerge/>
            <w:shd w:val="clear" w:color="auto" w:fill="auto"/>
            <w:vAlign w:val="center"/>
            <w:hideMark/>
          </w:tcPr>
          <w:p w14:paraId="51ED30D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376B7C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4C758F8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550F40D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4538924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E651D3" w:rsidRPr="00F86D61" w14:paraId="270D7D42" w14:textId="77777777" w:rsidTr="00E906EE">
        <w:trPr>
          <w:trHeight w:val="345"/>
        </w:trPr>
        <w:tc>
          <w:tcPr>
            <w:tcW w:w="590" w:type="pct"/>
            <w:vMerge/>
            <w:shd w:val="clear" w:color="auto" w:fill="auto"/>
            <w:vAlign w:val="center"/>
            <w:hideMark/>
          </w:tcPr>
          <w:p w14:paraId="652BD87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E1C382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7BA311B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39EBD31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31511</w:t>
            </w:r>
          </w:p>
        </w:tc>
      </w:tr>
      <w:tr w:rsidR="00E651D3" w:rsidRPr="00F86D61" w14:paraId="412D0C04" w14:textId="77777777" w:rsidTr="00E906EE">
        <w:trPr>
          <w:trHeight w:val="345"/>
        </w:trPr>
        <w:tc>
          <w:tcPr>
            <w:tcW w:w="590" w:type="pct"/>
            <w:vMerge w:val="restart"/>
            <w:shd w:val="clear" w:color="auto" w:fill="auto"/>
            <w:noWrap/>
            <w:vAlign w:val="center"/>
            <w:hideMark/>
          </w:tcPr>
          <w:p w14:paraId="4B8B226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w:t>
            </w:r>
            <w:r>
              <w:rPr>
                <w:rFonts w:ascii="Arial" w:eastAsia="仿宋_GB2312" w:hAnsi="Arial" w:cs="Arial" w:hint="eastAsia"/>
                <w:sz w:val="22"/>
                <w:szCs w:val="16"/>
              </w:rPr>
              <w:t>部分</w:t>
            </w:r>
          </w:p>
        </w:tc>
        <w:tc>
          <w:tcPr>
            <w:tcW w:w="781" w:type="pct"/>
            <w:vMerge w:val="restart"/>
            <w:vAlign w:val="center"/>
          </w:tcPr>
          <w:p w14:paraId="33B3593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shd w:val="clear" w:color="auto" w:fill="auto"/>
            <w:vAlign w:val="center"/>
            <w:hideMark/>
          </w:tcPr>
          <w:p w14:paraId="0272EC6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地下办公</w:t>
            </w:r>
          </w:p>
        </w:tc>
        <w:tc>
          <w:tcPr>
            <w:tcW w:w="1662" w:type="pct"/>
            <w:shd w:val="clear" w:color="auto" w:fill="auto"/>
            <w:vAlign w:val="center"/>
            <w:hideMark/>
          </w:tcPr>
          <w:p w14:paraId="0DE4C9B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1D1B739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32</w:t>
            </w:r>
          </w:p>
        </w:tc>
      </w:tr>
      <w:tr w:rsidR="00E651D3" w:rsidRPr="00F86D61" w14:paraId="02359401" w14:textId="77777777" w:rsidTr="00E906EE">
        <w:trPr>
          <w:trHeight w:val="345"/>
        </w:trPr>
        <w:tc>
          <w:tcPr>
            <w:tcW w:w="590" w:type="pct"/>
            <w:vMerge/>
            <w:shd w:val="clear" w:color="auto" w:fill="auto"/>
            <w:vAlign w:val="center"/>
            <w:hideMark/>
          </w:tcPr>
          <w:p w14:paraId="7832D1D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0A8FD8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7E12BE0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地下车库</w:t>
            </w:r>
          </w:p>
        </w:tc>
        <w:tc>
          <w:tcPr>
            <w:tcW w:w="1662" w:type="pct"/>
            <w:shd w:val="clear" w:color="auto" w:fill="auto"/>
            <w:vAlign w:val="center"/>
            <w:hideMark/>
          </w:tcPr>
          <w:p w14:paraId="301186F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汽车库</w:t>
            </w:r>
          </w:p>
        </w:tc>
        <w:tc>
          <w:tcPr>
            <w:tcW w:w="1185" w:type="pct"/>
            <w:shd w:val="clear" w:color="auto" w:fill="auto"/>
            <w:noWrap/>
            <w:vAlign w:val="center"/>
            <w:hideMark/>
          </w:tcPr>
          <w:p w14:paraId="2B7352A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10345.02</w:t>
            </w:r>
          </w:p>
        </w:tc>
      </w:tr>
      <w:tr w:rsidR="00E651D3" w:rsidRPr="00F86D61" w14:paraId="5B777F12" w14:textId="77777777" w:rsidTr="00E906EE">
        <w:trPr>
          <w:trHeight w:val="345"/>
        </w:trPr>
        <w:tc>
          <w:tcPr>
            <w:tcW w:w="590" w:type="pct"/>
            <w:vMerge/>
            <w:shd w:val="clear" w:color="auto" w:fill="auto"/>
            <w:vAlign w:val="center"/>
            <w:hideMark/>
          </w:tcPr>
          <w:p w14:paraId="5C7B8F9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restart"/>
            <w:vAlign w:val="center"/>
          </w:tcPr>
          <w:p w14:paraId="0B40EB5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不出让</w:t>
            </w:r>
          </w:p>
        </w:tc>
        <w:tc>
          <w:tcPr>
            <w:tcW w:w="782" w:type="pct"/>
            <w:shd w:val="clear" w:color="auto" w:fill="auto"/>
            <w:vAlign w:val="center"/>
            <w:hideMark/>
          </w:tcPr>
          <w:p w14:paraId="5491B57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662" w:type="pct"/>
            <w:shd w:val="clear" w:color="auto" w:fill="auto"/>
            <w:vAlign w:val="center"/>
            <w:hideMark/>
          </w:tcPr>
          <w:p w14:paraId="74EB3A9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185" w:type="pct"/>
            <w:shd w:val="clear" w:color="auto" w:fill="auto"/>
            <w:noWrap/>
            <w:vAlign w:val="center"/>
            <w:hideMark/>
          </w:tcPr>
          <w:p w14:paraId="7F32D08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227</w:t>
            </w:r>
          </w:p>
        </w:tc>
      </w:tr>
      <w:tr w:rsidR="00E651D3" w:rsidRPr="00F86D61" w14:paraId="163AC701" w14:textId="77777777" w:rsidTr="00E906EE">
        <w:trPr>
          <w:trHeight w:val="345"/>
        </w:trPr>
        <w:tc>
          <w:tcPr>
            <w:tcW w:w="590" w:type="pct"/>
            <w:vMerge/>
            <w:shd w:val="clear" w:color="auto" w:fill="auto"/>
            <w:vAlign w:val="center"/>
            <w:hideMark/>
          </w:tcPr>
          <w:p w14:paraId="1252CB4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D4C3DC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40EBBC5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662" w:type="pct"/>
            <w:shd w:val="clear" w:color="auto" w:fill="auto"/>
            <w:vAlign w:val="center"/>
            <w:hideMark/>
          </w:tcPr>
          <w:p w14:paraId="2EA5FBE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185" w:type="pct"/>
            <w:shd w:val="clear" w:color="auto" w:fill="auto"/>
            <w:noWrap/>
            <w:vAlign w:val="center"/>
            <w:hideMark/>
          </w:tcPr>
          <w:p w14:paraId="30BE792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3600.98</w:t>
            </w:r>
          </w:p>
        </w:tc>
      </w:tr>
      <w:tr w:rsidR="00E651D3" w:rsidRPr="00F86D61" w14:paraId="26E57979" w14:textId="77777777" w:rsidTr="00E906EE">
        <w:trPr>
          <w:trHeight w:val="345"/>
        </w:trPr>
        <w:tc>
          <w:tcPr>
            <w:tcW w:w="590" w:type="pct"/>
            <w:vMerge/>
            <w:shd w:val="clear" w:color="auto" w:fill="auto"/>
            <w:vAlign w:val="center"/>
            <w:hideMark/>
          </w:tcPr>
          <w:p w14:paraId="67F1322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B1EC6C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vAlign w:val="center"/>
            <w:hideMark/>
          </w:tcPr>
          <w:p w14:paraId="56BBD53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非经营性用途</w:t>
            </w:r>
          </w:p>
        </w:tc>
        <w:tc>
          <w:tcPr>
            <w:tcW w:w="1662" w:type="pct"/>
            <w:shd w:val="clear" w:color="auto" w:fill="auto"/>
            <w:vAlign w:val="center"/>
            <w:hideMark/>
          </w:tcPr>
          <w:p w14:paraId="7EEFAFE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室内覆盖系统机房</w:t>
            </w:r>
          </w:p>
        </w:tc>
        <w:tc>
          <w:tcPr>
            <w:tcW w:w="1185" w:type="pct"/>
            <w:shd w:val="clear" w:color="auto" w:fill="auto"/>
            <w:noWrap/>
            <w:vAlign w:val="center"/>
            <w:hideMark/>
          </w:tcPr>
          <w:p w14:paraId="4C3BA2E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E651D3" w:rsidRPr="001D4423" w14:paraId="2D65760E" w14:textId="77777777" w:rsidTr="00E906EE">
        <w:trPr>
          <w:trHeight w:val="345"/>
        </w:trPr>
        <w:tc>
          <w:tcPr>
            <w:tcW w:w="590" w:type="pct"/>
            <w:vMerge/>
            <w:shd w:val="clear" w:color="auto" w:fill="auto"/>
            <w:vAlign w:val="center"/>
            <w:hideMark/>
          </w:tcPr>
          <w:p w14:paraId="4C71CC9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4C3323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F6B6FD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7AEFDA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固定通信设备间</w:t>
            </w:r>
          </w:p>
        </w:tc>
        <w:tc>
          <w:tcPr>
            <w:tcW w:w="1185" w:type="pct"/>
            <w:shd w:val="clear" w:color="auto" w:fill="auto"/>
            <w:noWrap/>
            <w:vAlign w:val="center"/>
            <w:hideMark/>
          </w:tcPr>
          <w:p w14:paraId="7F45A20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E651D3" w:rsidRPr="001D4423" w14:paraId="29FA1B81" w14:textId="77777777" w:rsidTr="00E906EE">
        <w:trPr>
          <w:trHeight w:val="345"/>
        </w:trPr>
        <w:tc>
          <w:tcPr>
            <w:tcW w:w="590" w:type="pct"/>
            <w:vMerge/>
            <w:shd w:val="clear" w:color="auto" w:fill="auto"/>
            <w:vAlign w:val="center"/>
            <w:hideMark/>
          </w:tcPr>
          <w:p w14:paraId="286EC1A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3C07802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6CC2E4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62178ED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有线电视光电转换间</w:t>
            </w:r>
          </w:p>
        </w:tc>
        <w:tc>
          <w:tcPr>
            <w:tcW w:w="1185" w:type="pct"/>
            <w:shd w:val="clear" w:color="auto" w:fill="auto"/>
            <w:noWrap/>
            <w:vAlign w:val="center"/>
            <w:hideMark/>
          </w:tcPr>
          <w:p w14:paraId="3CD09BE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w:t>
            </w:r>
          </w:p>
        </w:tc>
      </w:tr>
      <w:tr w:rsidR="00E651D3" w:rsidRPr="001D4423" w14:paraId="447269C6" w14:textId="77777777" w:rsidTr="00E906EE">
        <w:trPr>
          <w:trHeight w:val="345"/>
        </w:trPr>
        <w:tc>
          <w:tcPr>
            <w:tcW w:w="590" w:type="pct"/>
            <w:vMerge/>
            <w:shd w:val="clear" w:color="auto" w:fill="auto"/>
            <w:vAlign w:val="center"/>
            <w:hideMark/>
          </w:tcPr>
          <w:p w14:paraId="7AFDDFE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882A78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476202B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160F1F7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配电室</w:t>
            </w:r>
          </w:p>
        </w:tc>
        <w:tc>
          <w:tcPr>
            <w:tcW w:w="1185" w:type="pct"/>
            <w:shd w:val="clear" w:color="auto" w:fill="auto"/>
            <w:noWrap/>
            <w:vAlign w:val="center"/>
            <w:hideMark/>
          </w:tcPr>
          <w:p w14:paraId="5D37E5A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180</w:t>
            </w:r>
          </w:p>
        </w:tc>
      </w:tr>
      <w:tr w:rsidR="00E651D3" w:rsidRPr="001D4423" w14:paraId="1A88A3D7" w14:textId="77777777" w:rsidTr="00E906EE">
        <w:trPr>
          <w:trHeight w:val="345"/>
        </w:trPr>
        <w:tc>
          <w:tcPr>
            <w:tcW w:w="590" w:type="pct"/>
            <w:vMerge/>
            <w:shd w:val="clear" w:color="auto" w:fill="auto"/>
            <w:vAlign w:val="center"/>
            <w:hideMark/>
          </w:tcPr>
          <w:p w14:paraId="7450A18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452892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D64321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07E1D06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热力站</w:t>
            </w:r>
          </w:p>
        </w:tc>
        <w:tc>
          <w:tcPr>
            <w:tcW w:w="1185" w:type="pct"/>
            <w:shd w:val="clear" w:color="auto" w:fill="auto"/>
            <w:noWrap/>
            <w:vAlign w:val="center"/>
            <w:hideMark/>
          </w:tcPr>
          <w:p w14:paraId="7D03EC2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200</w:t>
            </w:r>
          </w:p>
        </w:tc>
      </w:tr>
      <w:tr w:rsidR="00E651D3" w:rsidRPr="001D4423" w14:paraId="16B714D4" w14:textId="77777777" w:rsidTr="00E906EE">
        <w:trPr>
          <w:trHeight w:val="345"/>
        </w:trPr>
        <w:tc>
          <w:tcPr>
            <w:tcW w:w="590" w:type="pct"/>
            <w:vMerge/>
            <w:shd w:val="clear" w:color="auto" w:fill="auto"/>
            <w:vAlign w:val="center"/>
            <w:hideMark/>
          </w:tcPr>
          <w:p w14:paraId="07021DC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73D881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E9A3BD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DF7439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设备用房</w:t>
            </w:r>
          </w:p>
        </w:tc>
        <w:tc>
          <w:tcPr>
            <w:tcW w:w="1185" w:type="pct"/>
            <w:shd w:val="clear" w:color="auto" w:fill="auto"/>
            <w:noWrap/>
            <w:vAlign w:val="center"/>
            <w:hideMark/>
          </w:tcPr>
          <w:p w14:paraId="21E9859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661</w:t>
            </w:r>
          </w:p>
        </w:tc>
      </w:tr>
      <w:tr w:rsidR="00E651D3" w:rsidRPr="00F86D61" w14:paraId="53C42387" w14:textId="77777777" w:rsidTr="00E906EE">
        <w:trPr>
          <w:trHeight w:val="345"/>
        </w:trPr>
        <w:tc>
          <w:tcPr>
            <w:tcW w:w="590" w:type="pct"/>
            <w:vMerge/>
            <w:shd w:val="clear" w:color="auto" w:fill="auto"/>
            <w:vAlign w:val="center"/>
            <w:hideMark/>
          </w:tcPr>
          <w:p w14:paraId="08A6BF1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FFE9AE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58A0BF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7BFA512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4D08557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1077</w:t>
            </w:r>
          </w:p>
        </w:tc>
      </w:tr>
      <w:tr w:rsidR="00E651D3" w:rsidRPr="00F86D61" w14:paraId="1793E58C" w14:textId="77777777" w:rsidTr="00E906EE">
        <w:trPr>
          <w:trHeight w:val="345"/>
        </w:trPr>
        <w:tc>
          <w:tcPr>
            <w:tcW w:w="590" w:type="pct"/>
            <w:vMerge/>
            <w:shd w:val="clear" w:color="auto" w:fill="auto"/>
            <w:vAlign w:val="center"/>
            <w:hideMark/>
          </w:tcPr>
          <w:p w14:paraId="2693D5B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Align w:val="center"/>
          </w:tcPr>
          <w:p w14:paraId="1079FDD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330BAAF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61ABD19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15282</w:t>
            </w:r>
          </w:p>
        </w:tc>
      </w:tr>
      <w:tr w:rsidR="00E651D3" w:rsidRPr="00F86D61" w14:paraId="1D06B44F" w14:textId="77777777" w:rsidTr="00E906EE">
        <w:trPr>
          <w:trHeight w:val="345"/>
        </w:trPr>
        <w:tc>
          <w:tcPr>
            <w:tcW w:w="590" w:type="pct"/>
            <w:shd w:val="clear" w:color="auto" w:fill="auto"/>
            <w:noWrap/>
            <w:vAlign w:val="center"/>
            <w:hideMark/>
          </w:tcPr>
          <w:p w14:paraId="1FD9E9F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总计</w:t>
            </w:r>
          </w:p>
        </w:tc>
        <w:tc>
          <w:tcPr>
            <w:tcW w:w="781" w:type="pct"/>
            <w:vAlign w:val="center"/>
          </w:tcPr>
          <w:p w14:paraId="05F1E58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hideMark/>
          </w:tcPr>
          <w:p w14:paraId="2C0021D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w:t>
            </w:r>
          </w:p>
        </w:tc>
        <w:tc>
          <w:tcPr>
            <w:tcW w:w="1185" w:type="pct"/>
            <w:shd w:val="clear" w:color="auto" w:fill="auto"/>
            <w:noWrap/>
            <w:vAlign w:val="center"/>
            <w:hideMark/>
          </w:tcPr>
          <w:p w14:paraId="1C20451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46793</w:t>
            </w:r>
          </w:p>
        </w:tc>
      </w:tr>
      <w:tr w:rsidR="00E651D3" w:rsidRPr="00F86D61" w14:paraId="3B38DD2D" w14:textId="77777777" w:rsidTr="00E906EE">
        <w:trPr>
          <w:trHeight w:val="345"/>
        </w:trPr>
        <w:tc>
          <w:tcPr>
            <w:tcW w:w="590" w:type="pct"/>
            <w:shd w:val="clear" w:color="auto" w:fill="auto"/>
            <w:noWrap/>
            <w:vAlign w:val="center"/>
          </w:tcPr>
          <w:p w14:paraId="253FFC5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22C04D94"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466CF48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总用地面积</w:t>
            </w:r>
          </w:p>
        </w:tc>
        <w:tc>
          <w:tcPr>
            <w:tcW w:w="1185" w:type="pct"/>
            <w:shd w:val="clear" w:color="auto" w:fill="auto"/>
            <w:noWrap/>
            <w:vAlign w:val="center"/>
          </w:tcPr>
          <w:p w14:paraId="5CEE40C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6180.978</w:t>
            </w:r>
          </w:p>
        </w:tc>
      </w:tr>
      <w:tr w:rsidR="00E651D3" w:rsidRPr="00F86D61" w14:paraId="2FB54E81" w14:textId="77777777" w:rsidTr="00E906EE">
        <w:trPr>
          <w:trHeight w:val="345"/>
        </w:trPr>
        <w:tc>
          <w:tcPr>
            <w:tcW w:w="590" w:type="pct"/>
            <w:shd w:val="clear" w:color="auto" w:fill="auto"/>
            <w:noWrap/>
            <w:vAlign w:val="center"/>
          </w:tcPr>
          <w:p w14:paraId="0F89E5F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3848B7D5" w14:textId="77777777" w:rsidR="00E651D3"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58C1449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容积率</w:t>
            </w:r>
          </w:p>
        </w:tc>
        <w:tc>
          <w:tcPr>
            <w:tcW w:w="1185" w:type="pct"/>
            <w:shd w:val="clear" w:color="auto" w:fill="auto"/>
            <w:noWrap/>
            <w:vAlign w:val="center"/>
          </w:tcPr>
          <w:p w14:paraId="09702E8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5</w:t>
            </w:r>
            <w:r>
              <w:rPr>
                <w:rFonts w:ascii="Arial" w:eastAsia="仿宋_GB2312" w:hAnsi="Arial" w:cs="Arial"/>
                <w:sz w:val="22"/>
                <w:szCs w:val="16"/>
              </w:rPr>
              <w:t>.10</w:t>
            </w:r>
          </w:p>
        </w:tc>
      </w:tr>
    </w:tbl>
    <w:p w14:paraId="59916874" w14:textId="77777777" w:rsidR="00E651D3" w:rsidRPr="00F631FB" w:rsidRDefault="00E651D3" w:rsidP="00E651D3">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9.</w:t>
      </w:r>
      <w:r w:rsidRPr="00F631FB">
        <w:rPr>
          <w:rFonts w:ascii="Arial" w:eastAsia="仿宋_GB2312" w:hAnsi="Arial" w:cs="Arial"/>
          <w:sz w:val="28"/>
          <w:szCs w:val="28"/>
        </w:rPr>
        <w:t>地价内涵：</w:t>
      </w:r>
    </w:p>
    <w:p w14:paraId="3A610FD2" w14:textId="77777777" w:rsidR="00E651D3" w:rsidRPr="00F631FB"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15</w:t>
      </w:r>
      <w:r>
        <w:rPr>
          <w:rFonts w:ascii="Arial" w:eastAsia="仿宋_GB2312" w:hAnsi="Arial" w:cs="Arial" w:hint="eastAsia"/>
          <w:sz w:val="28"/>
          <w:szCs w:val="28"/>
        </w:rPr>
        <w:t>日，在北京市基准地价居住类二级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区片、商业类三级</w:t>
      </w:r>
      <w:r>
        <w:rPr>
          <w:rFonts w:ascii="微软雅黑" w:eastAsia="微软雅黑" w:hAnsi="微软雅黑" w:cs="Arial" w:hint="eastAsia"/>
          <w:sz w:val="28"/>
          <w:szCs w:val="28"/>
        </w:rPr>
        <w:t>Ⅲ</w:t>
      </w:r>
      <w:r>
        <w:rPr>
          <w:rFonts w:ascii="Arial" w:eastAsia="仿宋_GB2312" w:hAnsi="Arial" w:cs="Arial"/>
          <w:sz w:val="28"/>
          <w:szCs w:val="28"/>
        </w:rPr>
        <w:t>-06</w:t>
      </w:r>
      <w:r>
        <w:rPr>
          <w:rFonts w:ascii="Arial" w:eastAsia="仿宋_GB2312" w:hAnsi="Arial" w:cs="Arial" w:hint="eastAsia"/>
          <w:sz w:val="28"/>
          <w:szCs w:val="28"/>
        </w:rPr>
        <w:t>区片、办公类二级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区片地价区内，评估设定土地使用权类型为出让；设定开发程度为宗地外</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七通</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（即通路、通电（管沟和电缆）、通讯、通上水（自来水、中水）、通下水（雨水、污水）、通燃气、通热），宗地内</w:t>
      </w:r>
      <w:r>
        <w:rPr>
          <w:rFonts w:ascii="Arial" w:eastAsia="仿宋_GB2312" w:hAnsi="Arial" w:cs="Arial"/>
          <w:sz w:val="28"/>
          <w:szCs w:val="28"/>
        </w:rPr>
        <w:t>“</w:t>
      </w:r>
      <w:r>
        <w:rPr>
          <w:rFonts w:ascii="Arial" w:eastAsia="仿宋_GB2312" w:hAnsi="Arial" w:cs="Arial" w:hint="eastAsia"/>
          <w:sz w:val="28"/>
          <w:szCs w:val="28"/>
        </w:rPr>
        <w:t>场地平整</w:t>
      </w:r>
      <w:r>
        <w:rPr>
          <w:rFonts w:ascii="Arial" w:eastAsia="仿宋_GB2312" w:hAnsi="Arial" w:cs="Arial"/>
          <w:sz w:val="28"/>
          <w:szCs w:val="28"/>
        </w:rPr>
        <w:t>”</w:t>
      </w:r>
      <w:r>
        <w:rPr>
          <w:rFonts w:ascii="Arial" w:eastAsia="仿宋_GB2312" w:hAnsi="Arial" w:cs="Arial" w:hint="eastAsia"/>
          <w:sz w:val="28"/>
          <w:szCs w:val="28"/>
        </w:rPr>
        <w:t>；设定土地用途为</w:t>
      </w:r>
      <w:r>
        <w:rPr>
          <w:rFonts w:ascii="Arial" w:eastAsia="仿宋_GB2312" w:hAnsi="Arial" w:cs="Arial" w:hint="eastAsia"/>
          <w:sz w:val="28"/>
          <w:szCs w:val="28"/>
        </w:rPr>
        <w:lastRenderedPageBreak/>
        <w:t>住宅、商业、办公、地下办公、地下车库；地上容积率为</w:t>
      </w:r>
      <w:r>
        <w:rPr>
          <w:rFonts w:ascii="Arial" w:eastAsia="仿宋_GB2312" w:hAnsi="Arial" w:cs="Arial"/>
          <w:sz w:val="28"/>
          <w:szCs w:val="28"/>
        </w:rPr>
        <w:t>5.10</w:t>
      </w:r>
      <w:r>
        <w:rPr>
          <w:rFonts w:ascii="Arial" w:eastAsia="仿宋_GB2312" w:hAnsi="Arial" w:cs="Arial" w:hint="eastAsia"/>
          <w:sz w:val="28"/>
          <w:szCs w:val="28"/>
        </w:rPr>
        <w:t>，地上住宅</w:t>
      </w:r>
      <w:r>
        <w:rPr>
          <w:rFonts w:ascii="Arial" w:eastAsia="仿宋_GB2312" w:hAnsi="Arial" w:cs="Arial"/>
          <w:sz w:val="28"/>
          <w:szCs w:val="28"/>
        </w:rPr>
        <w:t>70</w:t>
      </w:r>
      <w:r>
        <w:rPr>
          <w:rFonts w:ascii="Arial" w:eastAsia="仿宋_GB2312" w:hAnsi="Arial" w:cs="Arial" w:hint="eastAsia"/>
          <w:sz w:val="28"/>
          <w:szCs w:val="28"/>
        </w:rPr>
        <w:t>年，地上商业</w:t>
      </w:r>
      <w:r>
        <w:rPr>
          <w:rFonts w:ascii="Arial" w:eastAsia="仿宋_GB2312" w:hAnsi="Arial" w:cs="Arial"/>
          <w:sz w:val="28"/>
          <w:szCs w:val="28"/>
        </w:rPr>
        <w:t>40</w:t>
      </w:r>
      <w:r>
        <w:rPr>
          <w:rFonts w:ascii="Arial" w:eastAsia="仿宋_GB2312" w:hAnsi="Arial" w:cs="Arial" w:hint="eastAsia"/>
          <w:sz w:val="28"/>
          <w:szCs w:val="28"/>
        </w:rPr>
        <w:t>年，地上办公</w:t>
      </w:r>
      <w:r>
        <w:rPr>
          <w:rFonts w:ascii="Arial" w:eastAsia="仿宋_GB2312" w:hAnsi="Arial" w:cs="Arial"/>
          <w:sz w:val="28"/>
          <w:szCs w:val="28"/>
        </w:rPr>
        <w:t>50</w:t>
      </w:r>
      <w:r>
        <w:rPr>
          <w:rFonts w:ascii="Arial" w:eastAsia="仿宋_GB2312" w:hAnsi="Arial" w:cs="Arial" w:hint="eastAsia"/>
          <w:sz w:val="28"/>
          <w:szCs w:val="28"/>
        </w:rPr>
        <w:t>年、地下办公</w:t>
      </w:r>
      <w:r>
        <w:rPr>
          <w:rFonts w:ascii="Arial" w:eastAsia="仿宋_GB2312" w:hAnsi="Arial" w:cs="Arial"/>
          <w:sz w:val="28"/>
          <w:szCs w:val="28"/>
        </w:rPr>
        <w:t>50</w:t>
      </w:r>
      <w:r>
        <w:rPr>
          <w:rFonts w:ascii="Arial" w:eastAsia="仿宋_GB2312" w:hAnsi="Arial" w:cs="Arial" w:hint="eastAsia"/>
          <w:sz w:val="28"/>
          <w:szCs w:val="28"/>
        </w:rPr>
        <w:t>年、地下车库</w:t>
      </w:r>
      <w:r>
        <w:rPr>
          <w:rFonts w:ascii="Arial" w:eastAsia="仿宋_GB2312" w:hAnsi="Arial" w:cs="Arial"/>
          <w:sz w:val="28"/>
          <w:szCs w:val="28"/>
        </w:rPr>
        <w:t>50</w:t>
      </w:r>
      <w:r>
        <w:rPr>
          <w:rFonts w:ascii="Arial" w:eastAsia="仿宋_GB2312" w:hAnsi="Arial" w:cs="Arial" w:hint="eastAsia"/>
          <w:sz w:val="28"/>
          <w:szCs w:val="28"/>
        </w:rPr>
        <w:t>年于设定条件下完整的国有建设用地使用权价格，即出让土地使用权的正常市场价格</w:t>
      </w:r>
      <w:r w:rsidRPr="00F631FB">
        <w:rPr>
          <w:rFonts w:ascii="Arial" w:eastAsia="仿宋_GB2312" w:hAnsi="Arial" w:cs="Arial"/>
          <w:sz w:val="28"/>
          <w:szCs w:val="28"/>
        </w:rPr>
        <w:t>。</w:t>
      </w:r>
    </w:p>
    <w:p w14:paraId="38A8B16C" w14:textId="77777777" w:rsidR="00E651D3" w:rsidRPr="00F631FB"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10.</w:t>
      </w:r>
      <w:r w:rsidRPr="00F631FB">
        <w:rPr>
          <w:rFonts w:ascii="Arial" w:eastAsia="仿宋_GB2312" w:hAnsi="Arial" w:cs="Arial"/>
          <w:sz w:val="28"/>
        </w:rPr>
        <w:t>评估专业人员根据委托估价方所提供的资料，未发现有抵押、租赁的登记信息，本次评估设定估价对象不存在抵押、租赁等他项权利。</w:t>
      </w:r>
    </w:p>
    <w:p w14:paraId="3AAB56AC" w14:textId="77777777" w:rsidR="00E651D3" w:rsidRPr="00F631FB" w:rsidRDefault="00E651D3" w:rsidP="00E651D3">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（二）估价结果和估价报告的使用</w:t>
      </w:r>
    </w:p>
    <w:p w14:paraId="5A28E78A" w14:textId="77777777" w:rsidR="00E651D3" w:rsidRPr="00F631FB" w:rsidRDefault="00E651D3" w:rsidP="00E651D3">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6E4777EA" w14:textId="77777777" w:rsidR="00E651D3" w:rsidRPr="00F631FB" w:rsidRDefault="00E651D3" w:rsidP="00E651D3">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委托估价方</w:t>
      </w:r>
      <w:r w:rsidRPr="00F631FB">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46D04398" w14:textId="77777777" w:rsidR="00E651D3" w:rsidRPr="00F631FB" w:rsidRDefault="00E651D3" w:rsidP="00E651D3">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本报告估价结果为估价期日下的正常市场价格，随着时间的推移，该价格需要做相应的调整直至重新评估。</w:t>
      </w:r>
    </w:p>
    <w:p w14:paraId="3EBDF429" w14:textId="77777777" w:rsidR="00E651D3" w:rsidRPr="00F631FB" w:rsidRDefault="00E651D3" w:rsidP="00E651D3">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本估价报告在估价机构盖章和土地估价师签字的条件下有效。</w:t>
      </w:r>
    </w:p>
    <w:p w14:paraId="184CAFD9" w14:textId="77777777" w:rsidR="00E651D3" w:rsidRPr="00F631FB" w:rsidRDefault="00E651D3" w:rsidP="00E651D3">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本次评估估价报告分为</w:t>
      </w:r>
      <w:r w:rsidRPr="00F631FB">
        <w:rPr>
          <w:rFonts w:ascii="Arial" w:eastAsia="仿宋_GB2312" w:hAnsi="Arial" w:cs="Arial"/>
          <w:sz w:val="28"/>
        </w:rPr>
        <w:t>“</w:t>
      </w:r>
      <w:r w:rsidRPr="00F631FB">
        <w:rPr>
          <w:rFonts w:ascii="Arial" w:eastAsia="仿宋_GB2312" w:hAnsi="Arial" w:cs="Arial"/>
          <w:sz w:val="28"/>
        </w:rPr>
        <w:t>土地估价报告</w:t>
      </w:r>
      <w:r w:rsidRPr="00F631FB">
        <w:rPr>
          <w:rFonts w:ascii="Arial" w:eastAsia="仿宋_GB2312" w:hAnsi="Arial" w:cs="Arial"/>
          <w:sz w:val="28"/>
        </w:rPr>
        <w:t>”</w:t>
      </w:r>
      <w:r w:rsidRPr="00F631FB">
        <w:rPr>
          <w:rFonts w:ascii="Arial" w:eastAsia="仿宋_GB2312" w:hAnsi="Arial" w:cs="Arial"/>
          <w:sz w:val="28"/>
        </w:rPr>
        <w:t>和</w:t>
      </w:r>
      <w:r w:rsidRPr="00F631FB">
        <w:rPr>
          <w:rFonts w:ascii="Arial" w:eastAsia="仿宋_GB2312" w:hAnsi="Arial" w:cs="Arial"/>
          <w:sz w:val="28"/>
        </w:rPr>
        <w:t>“</w:t>
      </w:r>
      <w:r w:rsidRPr="00F631FB">
        <w:rPr>
          <w:rFonts w:ascii="Arial" w:eastAsia="仿宋_GB2312" w:hAnsi="Arial" w:cs="Arial"/>
          <w:sz w:val="28"/>
        </w:rPr>
        <w:t>土地估价技术报告</w:t>
      </w:r>
      <w:r w:rsidRPr="00F631FB">
        <w:rPr>
          <w:rFonts w:ascii="Arial" w:eastAsia="仿宋_GB2312" w:hAnsi="Arial" w:cs="Arial"/>
          <w:sz w:val="28"/>
        </w:rPr>
        <w:t>”</w:t>
      </w:r>
      <w:r w:rsidRPr="00F631FB">
        <w:rPr>
          <w:rFonts w:ascii="Arial" w:eastAsia="仿宋_GB2312" w:hAnsi="Arial" w:cs="Arial"/>
          <w:sz w:val="28"/>
        </w:rPr>
        <w:t>两部分，</w:t>
      </w:r>
      <w:r w:rsidRPr="00F631FB">
        <w:rPr>
          <w:rFonts w:ascii="Arial" w:eastAsia="仿宋_GB2312" w:hAnsi="Arial" w:cs="Arial"/>
          <w:sz w:val="28"/>
        </w:rPr>
        <w:t>“</w:t>
      </w:r>
      <w:r w:rsidRPr="00F631FB">
        <w:rPr>
          <w:rFonts w:ascii="Arial" w:eastAsia="仿宋_GB2312" w:hAnsi="Arial" w:cs="Arial"/>
          <w:sz w:val="28"/>
        </w:rPr>
        <w:t>土地估价报告</w:t>
      </w:r>
      <w:r w:rsidRPr="00F631FB">
        <w:rPr>
          <w:rFonts w:ascii="Arial" w:eastAsia="仿宋_GB2312" w:hAnsi="Arial" w:cs="Arial"/>
          <w:sz w:val="28"/>
        </w:rPr>
        <w:t>”</w:t>
      </w:r>
      <w:proofErr w:type="gramStart"/>
      <w:r w:rsidRPr="00F631FB">
        <w:rPr>
          <w:rFonts w:ascii="Arial" w:eastAsia="仿宋_GB2312" w:hAnsi="Arial" w:cs="Arial"/>
          <w:sz w:val="28"/>
        </w:rPr>
        <w:t>供委托</w:t>
      </w:r>
      <w:proofErr w:type="gramEnd"/>
      <w:r w:rsidRPr="00F631FB">
        <w:rPr>
          <w:rFonts w:ascii="Arial" w:eastAsia="仿宋_GB2312" w:hAnsi="Arial" w:cs="Arial"/>
          <w:sz w:val="28"/>
        </w:rPr>
        <w:t>估价方使用，</w:t>
      </w:r>
      <w:r w:rsidRPr="00F631FB">
        <w:rPr>
          <w:rFonts w:ascii="Arial" w:eastAsia="仿宋_GB2312" w:hAnsi="Arial" w:cs="Arial"/>
          <w:sz w:val="28"/>
        </w:rPr>
        <w:t>“</w:t>
      </w:r>
      <w:r w:rsidRPr="00F631FB">
        <w:rPr>
          <w:rFonts w:ascii="Arial" w:eastAsia="仿宋_GB2312" w:hAnsi="Arial" w:cs="Arial"/>
          <w:sz w:val="28"/>
        </w:rPr>
        <w:t>土地估价技术报告</w:t>
      </w:r>
      <w:r w:rsidRPr="00F631FB">
        <w:rPr>
          <w:rFonts w:ascii="Arial" w:eastAsia="仿宋_GB2312" w:hAnsi="Arial" w:cs="Arial"/>
          <w:sz w:val="28"/>
        </w:rPr>
        <w:t>”</w:t>
      </w:r>
      <w:r w:rsidRPr="00F631FB">
        <w:rPr>
          <w:rFonts w:ascii="Arial" w:eastAsia="仿宋_GB2312" w:hAnsi="Arial" w:cs="Arial"/>
          <w:sz w:val="28"/>
        </w:rPr>
        <w:t>仅供估价机构存档和作为估价结果提交房屋土地管理部门确认或备案时的附件。</w:t>
      </w:r>
    </w:p>
    <w:p w14:paraId="5102E156" w14:textId="77777777" w:rsidR="00E651D3" w:rsidRPr="00F631FB" w:rsidRDefault="00E651D3" w:rsidP="00E651D3">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6.</w:t>
      </w:r>
      <w:r w:rsidRPr="00F631FB">
        <w:rPr>
          <w:rFonts w:ascii="Arial" w:eastAsia="仿宋_GB2312" w:hAnsi="Arial" w:cs="Arial"/>
          <w:sz w:val="28"/>
        </w:rPr>
        <w:t>本估价报告只能由估价报告载明的报告使用者使用，且只能用于本报告载明的唯一估价目的和用途。</w:t>
      </w:r>
    </w:p>
    <w:p w14:paraId="768B8159" w14:textId="77777777" w:rsidR="00E651D3" w:rsidRPr="00F631FB" w:rsidRDefault="00E651D3" w:rsidP="00E651D3">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7.</w:t>
      </w:r>
      <w:r w:rsidRPr="00F631FB">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60EE1CC1" w14:textId="77777777" w:rsidR="00E651D3" w:rsidRPr="00F631FB" w:rsidRDefault="00E651D3" w:rsidP="00E651D3">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8.</w:t>
      </w:r>
      <w:r w:rsidRPr="00F631FB">
        <w:rPr>
          <w:rFonts w:ascii="Arial" w:eastAsia="仿宋_GB2312" w:hAnsi="Arial" w:cs="Arial"/>
          <w:sz w:val="28"/>
        </w:rPr>
        <w:t>除委托估价方、估价委托合同中约定的其他估价报告使用人和法律、行政法规规定的估价报告使用人之外，其他任何机构和个人不能成为估价报告</w:t>
      </w:r>
      <w:r w:rsidRPr="00F631FB">
        <w:rPr>
          <w:rFonts w:ascii="Arial" w:eastAsia="仿宋_GB2312" w:hAnsi="Arial" w:cs="Arial"/>
          <w:sz w:val="28"/>
        </w:rPr>
        <w:lastRenderedPageBreak/>
        <w:t>的使用人。</w:t>
      </w:r>
    </w:p>
    <w:p w14:paraId="29D207D5" w14:textId="77777777" w:rsidR="00E651D3" w:rsidRPr="00F631FB" w:rsidRDefault="00E651D3" w:rsidP="00E651D3">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9.</w:t>
      </w:r>
      <w:r w:rsidRPr="00F631FB">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7983498C" w14:textId="77777777" w:rsidR="00E651D3" w:rsidRPr="00F631FB" w:rsidRDefault="00E651D3" w:rsidP="00E651D3">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10.</w:t>
      </w:r>
      <w:r w:rsidRPr="00F631FB">
        <w:rPr>
          <w:rFonts w:ascii="Arial" w:eastAsia="仿宋_GB2312" w:hAnsi="Arial" w:cs="Arial"/>
          <w:sz w:val="28"/>
        </w:rPr>
        <w:t>本报告所确定的土地价格为北京市规划和自然资源委员会办理该项目</w:t>
      </w:r>
      <w:r w:rsidRPr="00927BB2">
        <w:rPr>
          <w:rFonts w:ascii="Arial" w:eastAsia="仿宋_GB2312" w:hAnsi="Arial" w:cs="Arial" w:hint="eastAsia"/>
          <w:sz w:val="28"/>
        </w:rPr>
        <w:t>一次性招标</w:t>
      </w:r>
      <w:r>
        <w:rPr>
          <w:rFonts w:ascii="Arial" w:eastAsia="仿宋_GB2312" w:hAnsi="Arial" w:cs="Arial" w:hint="eastAsia"/>
          <w:sz w:val="28"/>
        </w:rPr>
        <w:t>出让手续</w:t>
      </w:r>
      <w:r w:rsidRPr="00F631FB">
        <w:rPr>
          <w:rFonts w:ascii="Arial" w:eastAsia="仿宋_GB2312" w:hAnsi="Arial" w:cs="Arial"/>
          <w:sz w:val="28"/>
        </w:rPr>
        <w:t>提供参考</w:t>
      </w:r>
      <w:r w:rsidRPr="00F631FB">
        <w:rPr>
          <w:rFonts w:ascii="Arial" w:eastAsia="仿宋_GB2312" w:hAnsi="Arial" w:cs="Arial" w:hint="eastAsia"/>
          <w:sz w:val="28"/>
        </w:rPr>
        <w:t>依据</w:t>
      </w:r>
      <w:r w:rsidRPr="00F631FB">
        <w:rPr>
          <w:rFonts w:ascii="Arial" w:eastAsia="仿宋_GB2312" w:hAnsi="Arial" w:cs="Arial"/>
          <w:sz w:val="28"/>
          <w:szCs w:val="28"/>
        </w:rPr>
        <w:t>。土地出让属于政府行为，办理出让应缴纳的地价款以北京市规划和自然资源委员会最终审定结果为准。</w:t>
      </w:r>
      <w:r w:rsidRPr="00F631FB">
        <w:rPr>
          <w:rFonts w:ascii="Arial" w:eastAsia="仿宋_GB2312" w:hAnsi="Arial" w:cs="Arial"/>
          <w:sz w:val="28"/>
        </w:rPr>
        <w:t>若违反特定用途使用本土地评估报告和估价结果，由此引出的一切法律责任由使用者自负。</w:t>
      </w:r>
    </w:p>
    <w:p w14:paraId="3CA97187" w14:textId="5842B763" w:rsidR="00E651D3" w:rsidRPr="00F631FB" w:rsidRDefault="00E651D3" w:rsidP="00E651D3">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11.</w:t>
      </w:r>
      <w:r w:rsidRPr="00F631FB">
        <w:rPr>
          <w:rFonts w:ascii="Arial" w:eastAsia="仿宋_GB2312" w:hAnsi="Arial" w:cs="Arial"/>
          <w:kern w:val="2"/>
          <w:sz w:val="28"/>
        </w:rPr>
        <w:t>本估价</w:t>
      </w:r>
      <w:proofErr w:type="gramStart"/>
      <w:r w:rsidRPr="00F631FB">
        <w:rPr>
          <w:rFonts w:ascii="Arial" w:eastAsia="仿宋_GB2312" w:hAnsi="Arial" w:cs="Arial"/>
          <w:kern w:val="2"/>
          <w:sz w:val="28"/>
        </w:rPr>
        <w:t>报告自报告</w:t>
      </w:r>
      <w:proofErr w:type="gramEnd"/>
      <w:r w:rsidRPr="00F631FB">
        <w:rPr>
          <w:rFonts w:ascii="Arial" w:eastAsia="仿宋_GB2312" w:hAnsi="Arial" w:cs="Arial"/>
          <w:kern w:val="2"/>
          <w:sz w:val="28"/>
        </w:rPr>
        <w:t>出具日起计算，至</w:t>
      </w:r>
      <w:r w:rsidR="00F81F06">
        <w:rPr>
          <w:rFonts w:ascii="Arial" w:eastAsia="仿宋_GB2312" w:hAnsi="Arial" w:cs="Arial"/>
          <w:kern w:val="2"/>
          <w:sz w:val="28"/>
        </w:rPr>
        <w:t>2022</w:t>
      </w:r>
      <w:r w:rsidR="00F81F06">
        <w:rPr>
          <w:rFonts w:ascii="Arial" w:eastAsia="仿宋_GB2312" w:hAnsi="Arial" w:cs="Arial"/>
          <w:kern w:val="2"/>
          <w:sz w:val="28"/>
        </w:rPr>
        <w:t>年</w:t>
      </w:r>
      <w:r w:rsidR="00F81F06">
        <w:rPr>
          <w:rFonts w:ascii="Arial" w:eastAsia="仿宋_GB2312" w:hAnsi="Arial" w:cs="Arial"/>
          <w:kern w:val="2"/>
          <w:sz w:val="28"/>
        </w:rPr>
        <w:t>11</w:t>
      </w:r>
      <w:r w:rsidR="00F81F06">
        <w:rPr>
          <w:rFonts w:ascii="Arial" w:eastAsia="仿宋_GB2312" w:hAnsi="Arial" w:cs="Arial"/>
          <w:kern w:val="2"/>
          <w:sz w:val="28"/>
        </w:rPr>
        <w:t>月</w:t>
      </w:r>
      <w:r w:rsidR="00F81F06">
        <w:rPr>
          <w:rFonts w:ascii="Arial" w:eastAsia="仿宋_GB2312" w:hAnsi="Arial" w:cs="Arial"/>
          <w:kern w:val="2"/>
          <w:sz w:val="28"/>
        </w:rPr>
        <w:t>30</w:t>
      </w:r>
      <w:r w:rsidR="00F81F06">
        <w:rPr>
          <w:rFonts w:ascii="Arial" w:eastAsia="仿宋_GB2312" w:hAnsi="Arial" w:cs="Arial"/>
          <w:kern w:val="2"/>
          <w:sz w:val="28"/>
        </w:rPr>
        <w:t>日</w:t>
      </w:r>
      <w:r w:rsidRPr="00F631FB">
        <w:rPr>
          <w:rFonts w:ascii="Arial" w:eastAsia="仿宋_GB2312" w:hAnsi="Arial" w:cs="Arial"/>
          <w:kern w:val="2"/>
          <w:sz w:val="28"/>
        </w:rPr>
        <w:t>有效。</w:t>
      </w:r>
    </w:p>
    <w:p w14:paraId="4B7510A6" w14:textId="77777777" w:rsidR="00E651D3" w:rsidRPr="00F631FB" w:rsidRDefault="00E651D3" w:rsidP="00E651D3">
      <w:pPr>
        <w:snapToGrid w:val="0"/>
        <w:spacing w:line="360" w:lineRule="auto"/>
        <w:ind w:firstLine="570"/>
        <w:jc w:val="both"/>
        <w:rPr>
          <w:rFonts w:ascii="Arial" w:eastAsia="仿宋_GB2312" w:hAnsi="Arial" w:cs="Arial"/>
          <w:sz w:val="28"/>
        </w:rPr>
      </w:pPr>
      <w:r w:rsidRPr="00F631FB">
        <w:rPr>
          <w:rFonts w:ascii="Arial" w:eastAsia="楷体_GB2312" w:hAnsi="Arial" w:cs="Arial"/>
          <w:kern w:val="2"/>
          <w:sz w:val="28"/>
        </w:rPr>
        <w:t>12</w:t>
      </w:r>
      <w:r w:rsidRPr="00F631FB">
        <w:rPr>
          <w:rFonts w:ascii="Arial" w:eastAsia="仿宋_GB2312" w:hAnsi="Arial" w:cs="Arial"/>
          <w:sz w:val="28"/>
        </w:rPr>
        <w:t>.</w:t>
      </w:r>
      <w:r w:rsidRPr="00F631FB">
        <w:rPr>
          <w:rFonts w:ascii="Arial" w:eastAsia="仿宋_GB2312" w:hAnsi="Arial" w:cs="Arial"/>
          <w:sz w:val="28"/>
        </w:rPr>
        <w:t>本次土地估价报告的使用权归</w:t>
      </w:r>
      <w:r w:rsidRPr="00F631FB">
        <w:rPr>
          <w:rFonts w:ascii="Arial" w:eastAsia="仿宋_GB2312" w:hAnsi="Arial" w:cs="Arial"/>
          <w:sz w:val="28"/>
          <w:szCs w:val="28"/>
        </w:rPr>
        <w:t>北京市土地利用事务中心</w:t>
      </w:r>
      <w:r w:rsidRPr="00F631FB">
        <w:rPr>
          <w:rFonts w:ascii="Arial" w:eastAsia="仿宋_GB2312" w:hAnsi="Arial" w:cs="Arial"/>
          <w:sz w:val="28"/>
        </w:rPr>
        <w:t>，土地估价报告由</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基房地产评估有限公司负责解释。</w:t>
      </w:r>
    </w:p>
    <w:p w14:paraId="650C8A84" w14:textId="77777777" w:rsidR="00E651D3" w:rsidRPr="00F631FB" w:rsidRDefault="00E651D3" w:rsidP="00E651D3">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（三）需要特殊说明的事项</w:t>
      </w:r>
    </w:p>
    <w:p w14:paraId="2D2ADE78"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资料来源说明</w:t>
      </w:r>
    </w:p>
    <w:p w14:paraId="60A56660"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）估价对象的土地、房屋权属资料、土地利用状况、评估项目相关资料由委托估价方提供。</w:t>
      </w:r>
    </w:p>
    <w:p w14:paraId="44556756"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）土地区位条件、地产市场交易资料、土地利用现状照片等相关资料由评估专业人员实地调查取得。</w:t>
      </w:r>
    </w:p>
    <w:p w14:paraId="1B6A2EC1"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）区域经济发展状况、统计数据、城市规划资料、基准地价资料等由评估专业人员通过政府相关部门获取。</w:t>
      </w:r>
    </w:p>
    <w:p w14:paraId="539053CA"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）估价中的相关参数资料由评估专业人员通过政府部门相关文件规定、公开媒体等多种途径获取。</w:t>
      </w:r>
    </w:p>
    <w:p w14:paraId="62EB56A1"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79674E0E"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有关参数确定及使用说明</w:t>
      </w:r>
    </w:p>
    <w:p w14:paraId="0B2A5AB0"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lastRenderedPageBreak/>
        <w:t>（</w:t>
      </w:r>
      <w:r w:rsidRPr="00F631FB">
        <w:rPr>
          <w:rFonts w:ascii="Arial" w:eastAsia="仿宋_GB2312" w:hAnsi="Arial" w:cs="Arial"/>
          <w:sz w:val="28"/>
        </w:rPr>
        <w:t>1</w:t>
      </w:r>
      <w:r w:rsidRPr="00F631FB">
        <w:rPr>
          <w:rFonts w:ascii="Arial" w:eastAsia="仿宋_GB2312" w:hAnsi="Arial" w:cs="Arial"/>
          <w:sz w:val="28"/>
        </w:rPr>
        <w:t>）</w:t>
      </w:r>
      <w:r>
        <w:rPr>
          <w:rFonts w:ascii="Arial" w:eastAsia="仿宋_GB2312" w:hAnsi="Arial" w:cs="Arial" w:hint="eastAsia"/>
          <w:sz w:val="28"/>
        </w:rPr>
        <w:t>依据《北京市规划和自然资源委员会关于北京市海淀区苏州街站一体化棚户区改造项目用地相关意见及设计方案审查意见的函（城镇建筑工程）》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及其附图、《海淀区苏州街一体化棚户区改造项目建筑面积及用途的说明》及其附表记载，估价对象总用地面积</w:t>
      </w:r>
      <w:r>
        <w:rPr>
          <w:rFonts w:ascii="Arial" w:eastAsia="仿宋_GB2312" w:hAnsi="Arial" w:cs="Arial"/>
          <w:sz w:val="28"/>
        </w:rPr>
        <w:t>6180.978</w:t>
      </w:r>
      <w:r>
        <w:rPr>
          <w:rFonts w:ascii="Arial" w:eastAsia="仿宋_GB2312" w:hAnsi="Arial" w:cs="Arial" w:hint="eastAsia"/>
          <w:sz w:val="28"/>
        </w:rPr>
        <w:t>平方米，均为建设用地。总规划建筑面积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平方米）。若上述条件发生变化，评估结果作相应调整。</w:t>
      </w:r>
    </w:p>
    <w:p w14:paraId="72E5BF1E"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）本次需评估</w:t>
      </w:r>
      <w:r w:rsidRPr="00F631FB">
        <w:rPr>
          <w:rFonts w:ascii="Arial" w:eastAsia="仿宋_GB2312" w:hAnsi="Arial" w:cs="Arial" w:hint="eastAsia"/>
          <w:sz w:val="28"/>
        </w:rPr>
        <w:t>地下办公</w:t>
      </w:r>
      <w:r w:rsidRPr="00F631FB">
        <w:rPr>
          <w:rFonts w:ascii="Arial" w:eastAsia="仿宋_GB2312" w:hAnsi="Arial" w:cs="Arial"/>
          <w:sz w:val="28"/>
        </w:rPr>
        <w:t>地价，依据北京房地产估价师和土地估价师与不动产登记代理人协会下发的</w:t>
      </w:r>
      <w:r>
        <w:rPr>
          <w:rFonts w:ascii="Arial" w:eastAsia="仿宋_GB2312" w:hAnsi="Arial" w:cs="Arial"/>
          <w:sz w:val="28"/>
        </w:rPr>
        <w:t>关于发布《北京市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使用权协议出让地价评估技术更新的说明》的通知（</w:t>
      </w:r>
      <w:proofErr w:type="gramStart"/>
      <w:r>
        <w:rPr>
          <w:rFonts w:ascii="Arial" w:eastAsia="仿宋_GB2312" w:hAnsi="Arial" w:cs="Arial"/>
          <w:sz w:val="28"/>
        </w:rPr>
        <w:t>北估秘</w:t>
      </w:r>
      <w:proofErr w:type="gramEnd"/>
      <w:r>
        <w:rPr>
          <w:rFonts w:ascii="Arial" w:eastAsia="仿宋_GB2312" w:hAnsi="Arial" w:cs="Arial"/>
          <w:sz w:val="28"/>
        </w:rPr>
        <w:t>[2019]002</w:t>
      </w:r>
      <w:r>
        <w:rPr>
          <w:rFonts w:ascii="Arial" w:eastAsia="仿宋_GB2312" w:hAnsi="Arial" w:cs="Arial"/>
          <w:sz w:val="28"/>
        </w:rPr>
        <w:t>号）</w:t>
      </w:r>
      <w:r w:rsidRPr="00F631FB">
        <w:rPr>
          <w:rFonts w:ascii="Arial" w:eastAsia="仿宋_GB2312" w:hAnsi="Arial" w:cs="Arial"/>
          <w:sz w:val="28"/>
        </w:rPr>
        <w:t>技术文件，先评估地上</w:t>
      </w:r>
      <w:r w:rsidRPr="00F631FB">
        <w:rPr>
          <w:rFonts w:ascii="Arial" w:eastAsia="仿宋_GB2312" w:hAnsi="Arial" w:cs="Arial" w:hint="eastAsia"/>
          <w:sz w:val="28"/>
        </w:rPr>
        <w:t>办公</w:t>
      </w:r>
      <w:r w:rsidRPr="00F631FB">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确定。</w:t>
      </w:r>
    </w:p>
    <w:p w14:paraId="72E1D00A"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）本次需评估</w:t>
      </w:r>
      <w:r>
        <w:rPr>
          <w:rFonts w:ascii="Arial" w:eastAsia="仿宋_GB2312" w:hAnsi="Arial" w:cs="Arial" w:hint="eastAsia"/>
          <w:sz w:val="28"/>
        </w:rPr>
        <w:t>地下车库</w:t>
      </w:r>
      <w:r w:rsidRPr="00F631FB">
        <w:rPr>
          <w:rFonts w:ascii="Arial" w:eastAsia="仿宋_GB2312" w:hAnsi="Arial" w:cs="Arial"/>
          <w:sz w:val="28"/>
        </w:rPr>
        <w:t>用途地价，依据北京房地产估价师和土地估价师与不动产登记代理人协会下发的</w:t>
      </w:r>
      <w:r>
        <w:rPr>
          <w:rFonts w:ascii="Arial" w:eastAsia="仿宋_GB2312" w:hAnsi="Arial" w:cs="Arial"/>
          <w:sz w:val="28"/>
        </w:rPr>
        <w:t>关于发布《北京市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使用权协议出让地价评估技术更新的说明》的通知（</w:t>
      </w:r>
      <w:proofErr w:type="gramStart"/>
      <w:r>
        <w:rPr>
          <w:rFonts w:ascii="Arial" w:eastAsia="仿宋_GB2312" w:hAnsi="Arial" w:cs="Arial"/>
          <w:sz w:val="28"/>
        </w:rPr>
        <w:t>北估秘</w:t>
      </w:r>
      <w:proofErr w:type="gramEnd"/>
      <w:r>
        <w:rPr>
          <w:rFonts w:ascii="Arial" w:eastAsia="仿宋_GB2312" w:hAnsi="Arial" w:cs="Arial"/>
          <w:sz w:val="28"/>
        </w:rPr>
        <w:t>[2019]002</w:t>
      </w:r>
      <w:r>
        <w:rPr>
          <w:rFonts w:ascii="Arial" w:eastAsia="仿宋_GB2312" w:hAnsi="Arial" w:cs="Arial"/>
          <w:sz w:val="28"/>
        </w:rPr>
        <w:t>号）</w:t>
      </w:r>
      <w:r w:rsidRPr="00F631FB">
        <w:rPr>
          <w:rFonts w:ascii="Arial" w:eastAsia="仿宋_GB2312" w:hAnsi="Arial" w:cs="Arial"/>
          <w:sz w:val="28"/>
        </w:rPr>
        <w:t>技术文件，先评估</w:t>
      </w:r>
      <w:r w:rsidRPr="00F631FB">
        <w:rPr>
          <w:rFonts w:ascii="Arial" w:eastAsia="仿宋_GB2312" w:hAnsi="Arial" w:cs="Arial" w:hint="eastAsia"/>
          <w:sz w:val="28"/>
        </w:rPr>
        <w:t>地上住宅</w:t>
      </w:r>
      <w:r w:rsidRPr="00F631FB">
        <w:rPr>
          <w:rFonts w:ascii="Arial" w:eastAsia="仿宋_GB2312" w:hAnsi="Arial" w:cs="Arial"/>
          <w:sz w:val="28"/>
        </w:rPr>
        <w:t>楼面地价，然后进行地下空间修正后确定地下楼面熟地价。地下空间修正系数参照《北京市关于更新出让国有建设用地使用权基准地价的通</w:t>
      </w:r>
      <w:r w:rsidRPr="00F631FB">
        <w:rPr>
          <w:rFonts w:ascii="Arial" w:eastAsia="仿宋_GB2312" w:hAnsi="Arial" w:cs="Arial"/>
          <w:sz w:val="28"/>
        </w:rPr>
        <w:lastRenderedPageBreak/>
        <w:t>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确定。</w:t>
      </w:r>
    </w:p>
    <w:p w14:paraId="5BF7106F"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）根据</w:t>
      </w:r>
      <w:r w:rsidRPr="00F631FB">
        <w:rPr>
          <w:rFonts w:ascii="Arial" w:eastAsia="仿宋_GB2312" w:hAnsi="Arial" w:cs="Arial"/>
          <w:sz w:val="28"/>
        </w:rPr>
        <w:t>2014</w:t>
      </w:r>
      <w:r w:rsidRPr="00F631FB">
        <w:rPr>
          <w:rFonts w:ascii="Arial" w:eastAsia="仿宋_GB2312" w:hAnsi="Arial" w:cs="Arial"/>
          <w:sz w:val="28"/>
        </w:rPr>
        <w:t>年第</w:t>
      </w:r>
      <w:r w:rsidRPr="00F631FB">
        <w:rPr>
          <w:rFonts w:ascii="Arial" w:eastAsia="仿宋_GB2312" w:hAnsi="Arial" w:cs="Arial"/>
          <w:sz w:val="28"/>
        </w:rPr>
        <w:t>46</w:t>
      </w:r>
      <w:r w:rsidRPr="00F631FB">
        <w:rPr>
          <w:rFonts w:ascii="Arial" w:eastAsia="仿宋_GB2312" w:hAnsi="Arial" w:cs="Arial"/>
          <w:sz w:val="28"/>
        </w:rPr>
        <w:t>期北京市国土资源局局长专题会议纪要的具体要求，地下设备用房等非经营性用途暂不收取政府土地出让收益，</w:t>
      </w:r>
      <w:proofErr w:type="gramStart"/>
      <w:r w:rsidRPr="00F631FB">
        <w:rPr>
          <w:rFonts w:ascii="Arial" w:eastAsia="仿宋_GB2312" w:hAnsi="Arial" w:cs="Arial"/>
          <w:sz w:val="28"/>
        </w:rPr>
        <w:t>故委托</w:t>
      </w:r>
      <w:proofErr w:type="gramEnd"/>
      <w:r w:rsidRPr="00F631FB">
        <w:rPr>
          <w:rFonts w:ascii="Arial" w:eastAsia="仿宋_GB2312" w:hAnsi="Arial" w:cs="Arial"/>
          <w:sz w:val="28"/>
        </w:rPr>
        <w:t>估价对象不包含此部分内容。</w:t>
      </w:r>
    </w:p>
    <w:p w14:paraId="303E5575"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）根据《北京市关于更新出让国有建设用地使用权基准地价的通知》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的要求，评估专业人员以北京市地价动态监测成果公布的地价增长率为准，对基准地价中的熟地价进行期日修正。</w:t>
      </w:r>
    </w:p>
    <w:p w14:paraId="626128E4"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6</w:t>
      </w:r>
      <w:r w:rsidRPr="00F631FB">
        <w:rPr>
          <w:rFonts w:ascii="Arial" w:eastAsia="仿宋_GB2312" w:hAnsi="Arial" w:cs="Arial"/>
          <w:sz w:val="28"/>
        </w:rPr>
        <w:t>）依据现行的《关于全面推开营业税改征增值税试点的通知》，剩余法中房地产开发销售过程中的增值税，暂按</w:t>
      </w:r>
      <w:r w:rsidRPr="00F631FB">
        <w:rPr>
          <w:rFonts w:ascii="Arial" w:eastAsia="仿宋_GB2312" w:hAnsi="Arial" w:cs="Arial"/>
          <w:sz w:val="28"/>
        </w:rPr>
        <w:t>5%</w:t>
      </w:r>
      <w:r w:rsidRPr="00F631FB">
        <w:rPr>
          <w:rFonts w:ascii="Arial" w:eastAsia="仿宋_GB2312" w:hAnsi="Arial" w:cs="Arial"/>
          <w:sz w:val="28"/>
        </w:rPr>
        <w:t>的征收率计税。</w:t>
      </w:r>
    </w:p>
    <w:p w14:paraId="446AA64B"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7</w:t>
      </w:r>
      <w:r w:rsidRPr="00F631FB">
        <w:rPr>
          <w:rFonts w:ascii="Arial" w:eastAsia="仿宋_GB2312" w:hAnsi="Arial" w:cs="Arial"/>
          <w:sz w:val="28"/>
        </w:rPr>
        <w:t>）关于土地还原率的确定。</w:t>
      </w:r>
    </w:p>
    <w:p w14:paraId="4A7A6190"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kern w:val="2"/>
          <w:sz w:val="28"/>
        </w:rPr>
        <w:t>根据《北京市人民政府关于更新出让国有建设用地使用权基准地价的通知》</w:t>
      </w:r>
      <w:r w:rsidRPr="00F631FB">
        <w:rPr>
          <w:rFonts w:ascii="Arial" w:eastAsia="仿宋_GB2312" w:hAnsi="Arial" w:cs="Arial"/>
          <w:kern w:val="2"/>
          <w:sz w:val="28"/>
        </w:rPr>
        <w:t>[</w:t>
      </w:r>
      <w:r w:rsidRPr="00F631FB">
        <w:rPr>
          <w:rFonts w:ascii="Arial" w:eastAsia="仿宋_GB2312" w:hAnsi="Arial" w:cs="Arial"/>
          <w:kern w:val="2"/>
          <w:sz w:val="28"/>
        </w:rPr>
        <w:t>京政发</w:t>
      </w:r>
      <w:r w:rsidRPr="00F631FB">
        <w:rPr>
          <w:rFonts w:ascii="Arial" w:hAnsi="Arial" w:cs="Arial"/>
          <w:kern w:val="2"/>
          <w:sz w:val="28"/>
        </w:rPr>
        <w:t>﹝</w:t>
      </w:r>
      <w:r w:rsidRPr="00F631FB">
        <w:rPr>
          <w:rFonts w:ascii="Arial" w:eastAsia="仿宋_GB2312" w:hAnsi="Arial" w:cs="Arial"/>
          <w:kern w:val="2"/>
          <w:sz w:val="28"/>
        </w:rPr>
        <w:t>2014</w:t>
      </w:r>
      <w:r w:rsidRPr="00F631FB">
        <w:rPr>
          <w:rFonts w:ascii="Arial" w:hAnsi="Arial" w:cs="Arial"/>
          <w:kern w:val="2"/>
          <w:sz w:val="28"/>
        </w:rPr>
        <w:t>﹞</w:t>
      </w:r>
      <w:r w:rsidRPr="00F631FB">
        <w:rPr>
          <w:rFonts w:ascii="Arial" w:eastAsia="仿宋_GB2312" w:hAnsi="Arial" w:cs="Arial"/>
          <w:kern w:val="2"/>
          <w:sz w:val="28"/>
        </w:rPr>
        <w:t>26</w:t>
      </w:r>
      <w:r w:rsidRPr="00F631FB">
        <w:rPr>
          <w:rFonts w:ascii="Arial" w:eastAsia="仿宋_GB2312" w:hAnsi="Arial" w:cs="Arial"/>
          <w:kern w:val="2"/>
          <w:sz w:val="28"/>
        </w:rPr>
        <w:t>号</w:t>
      </w:r>
      <w:r w:rsidRPr="00F631FB">
        <w:rPr>
          <w:rFonts w:ascii="Arial" w:eastAsia="仿宋_GB2312" w:hAnsi="Arial" w:cs="Arial"/>
          <w:kern w:val="2"/>
          <w:sz w:val="28"/>
        </w:rPr>
        <w:t>]</w:t>
      </w:r>
      <w:r w:rsidRPr="00F631FB">
        <w:rPr>
          <w:rFonts w:ascii="Arial" w:eastAsia="仿宋_GB2312" w:hAnsi="Arial" w:cs="Arial"/>
          <w:kern w:val="2"/>
          <w:sz w:val="28"/>
        </w:rPr>
        <w:t>的规定确定，商业、办公、居住、工业用途的土地还原利率原则上按同期中国人民银行公布的一年</w:t>
      </w:r>
      <w:proofErr w:type="gramStart"/>
      <w:r w:rsidRPr="00F631FB">
        <w:rPr>
          <w:rFonts w:ascii="Arial" w:eastAsia="仿宋_GB2312" w:hAnsi="Arial" w:cs="Arial"/>
          <w:kern w:val="2"/>
          <w:sz w:val="28"/>
        </w:rPr>
        <w:t>期贷</w:t>
      </w:r>
      <w:proofErr w:type="gramEnd"/>
      <w:r w:rsidRPr="00F631FB">
        <w:rPr>
          <w:rFonts w:ascii="Arial" w:eastAsia="仿宋_GB2312" w:hAnsi="Arial" w:cs="Arial"/>
          <w:kern w:val="2"/>
          <w:sz w:val="28"/>
        </w:rPr>
        <w:t>款利率分别上浮</w:t>
      </w:r>
      <w:r w:rsidRPr="00F631FB">
        <w:rPr>
          <w:rFonts w:ascii="Arial" w:hAnsi="Arial" w:cs="Arial"/>
          <w:kern w:val="2"/>
          <w:sz w:val="28"/>
        </w:rPr>
        <w:t>25</w:t>
      </w:r>
      <w:r w:rsidRPr="00F631FB">
        <w:rPr>
          <w:rFonts w:ascii="Arial" w:hAnsi="Arial" w:cs="Arial"/>
          <w:kern w:val="2"/>
          <w:sz w:val="28"/>
        </w:rPr>
        <w:t>％、</w:t>
      </w:r>
      <w:r w:rsidRPr="00F631FB">
        <w:rPr>
          <w:rFonts w:ascii="Arial" w:hAnsi="Arial" w:cs="Arial"/>
          <w:kern w:val="2"/>
          <w:sz w:val="28"/>
        </w:rPr>
        <w:t>20</w:t>
      </w:r>
      <w:r w:rsidRPr="00F631FB">
        <w:rPr>
          <w:rFonts w:ascii="Arial" w:hAnsi="Arial" w:cs="Arial"/>
          <w:kern w:val="2"/>
          <w:sz w:val="28"/>
        </w:rPr>
        <w:t>％、</w:t>
      </w:r>
      <w:r w:rsidRPr="00F631FB">
        <w:rPr>
          <w:rFonts w:ascii="Arial" w:hAnsi="Arial" w:cs="Arial"/>
          <w:kern w:val="2"/>
          <w:sz w:val="28"/>
        </w:rPr>
        <w:t>15</w:t>
      </w:r>
      <w:r w:rsidRPr="00F631FB">
        <w:rPr>
          <w:rFonts w:ascii="Arial" w:hAnsi="Arial" w:cs="Arial"/>
          <w:kern w:val="2"/>
          <w:sz w:val="28"/>
        </w:rPr>
        <w:t>％、</w:t>
      </w:r>
      <w:r w:rsidRPr="00F631FB">
        <w:rPr>
          <w:rFonts w:ascii="Arial" w:hAnsi="Arial" w:cs="Arial"/>
          <w:kern w:val="2"/>
          <w:sz w:val="28"/>
        </w:rPr>
        <w:t>10</w:t>
      </w:r>
      <w:r w:rsidRPr="00F631FB">
        <w:rPr>
          <w:rFonts w:ascii="Arial" w:hAnsi="Arial" w:cs="Arial"/>
          <w:kern w:val="2"/>
          <w:sz w:val="28"/>
        </w:rPr>
        <w:t>％</w:t>
      </w:r>
      <w:r w:rsidRPr="00F631FB">
        <w:rPr>
          <w:rFonts w:ascii="Arial" w:eastAsia="仿宋_GB2312" w:hAnsi="Arial" w:cs="Arial"/>
          <w:kern w:val="2"/>
          <w:sz w:val="28"/>
        </w:rPr>
        <w:t>确定。估价对象所属项目地上用途为商业及办公，现行一年</w:t>
      </w:r>
      <w:proofErr w:type="gramStart"/>
      <w:r w:rsidRPr="00F631FB">
        <w:rPr>
          <w:rFonts w:ascii="Arial" w:eastAsia="仿宋_GB2312" w:hAnsi="Arial" w:cs="Arial"/>
          <w:kern w:val="2"/>
          <w:sz w:val="28"/>
        </w:rPr>
        <w:t>期贷</w:t>
      </w:r>
      <w:proofErr w:type="gramEnd"/>
      <w:r w:rsidRPr="00F631FB">
        <w:rPr>
          <w:rFonts w:ascii="Arial" w:eastAsia="仿宋_GB2312" w:hAnsi="Arial" w:cs="Arial"/>
          <w:kern w:val="2"/>
          <w:sz w:val="28"/>
        </w:rPr>
        <w:t>款利率（</w:t>
      </w:r>
      <w:r w:rsidRPr="00F631FB">
        <w:rPr>
          <w:rFonts w:ascii="Arial" w:eastAsia="仿宋_GB2312" w:hAnsi="Arial" w:cs="Arial"/>
          <w:kern w:val="2"/>
          <w:sz w:val="28"/>
        </w:rPr>
        <w:t>2015</w:t>
      </w:r>
      <w:r w:rsidRPr="00F631FB">
        <w:rPr>
          <w:rFonts w:ascii="Arial" w:eastAsia="仿宋_GB2312" w:hAnsi="Arial" w:cs="Arial"/>
          <w:kern w:val="2"/>
          <w:sz w:val="28"/>
        </w:rPr>
        <w:t>年</w:t>
      </w:r>
      <w:r w:rsidRPr="00F631FB">
        <w:rPr>
          <w:rFonts w:ascii="Arial" w:eastAsia="仿宋_GB2312" w:hAnsi="Arial" w:cs="Arial"/>
          <w:kern w:val="2"/>
          <w:sz w:val="28"/>
        </w:rPr>
        <w:t>10</w:t>
      </w:r>
      <w:r w:rsidRPr="00F631FB">
        <w:rPr>
          <w:rFonts w:ascii="Arial" w:eastAsia="仿宋_GB2312" w:hAnsi="Arial" w:cs="Arial"/>
          <w:kern w:val="2"/>
          <w:sz w:val="28"/>
        </w:rPr>
        <w:t>月</w:t>
      </w:r>
      <w:r w:rsidRPr="00F631FB">
        <w:rPr>
          <w:rFonts w:ascii="Arial" w:eastAsia="仿宋_GB2312" w:hAnsi="Arial" w:cs="Arial"/>
          <w:kern w:val="2"/>
          <w:sz w:val="28"/>
        </w:rPr>
        <w:t>24</w:t>
      </w:r>
      <w:r w:rsidRPr="00F631FB">
        <w:rPr>
          <w:rFonts w:ascii="Arial" w:eastAsia="仿宋_GB2312" w:hAnsi="Arial" w:cs="Arial"/>
          <w:kern w:val="2"/>
          <w:sz w:val="28"/>
        </w:rPr>
        <w:t>日公布）为</w:t>
      </w:r>
      <w:r w:rsidRPr="00F631FB">
        <w:rPr>
          <w:rFonts w:ascii="Arial" w:eastAsia="仿宋_GB2312" w:hAnsi="Arial" w:cs="Arial"/>
          <w:kern w:val="2"/>
          <w:sz w:val="28"/>
        </w:rPr>
        <w:t>4.35%</w:t>
      </w:r>
      <w:r w:rsidRPr="00F631FB">
        <w:rPr>
          <w:rFonts w:ascii="Arial" w:eastAsia="仿宋_GB2312" w:hAnsi="Arial" w:cs="Arial"/>
          <w:kern w:val="2"/>
          <w:sz w:val="28"/>
        </w:rPr>
        <w:t>。本次评估确定土地还原利率为商业</w:t>
      </w:r>
      <w:r w:rsidRPr="00F631FB">
        <w:rPr>
          <w:rFonts w:ascii="Arial" w:eastAsia="仿宋_GB2312" w:hAnsi="Arial" w:cs="Arial"/>
          <w:kern w:val="2"/>
          <w:sz w:val="28"/>
        </w:rPr>
        <w:t>5.4%</w:t>
      </w:r>
      <w:r w:rsidRPr="00F631FB">
        <w:rPr>
          <w:rFonts w:ascii="Arial" w:eastAsia="仿宋_GB2312" w:hAnsi="Arial" w:cs="Arial"/>
          <w:kern w:val="2"/>
          <w:sz w:val="28"/>
        </w:rPr>
        <w:t>、办公</w:t>
      </w:r>
      <w:r w:rsidRPr="00F631FB">
        <w:rPr>
          <w:rFonts w:ascii="Arial" w:eastAsia="仿宋_GB2312" w:hAnsi="Arial" w:cs="Arial"/>
          <w:kern w:val="2"/>
          <w:sz w:val="28"/>
        </w:rPr>
        <w:t>5.2%</w:t>
      </w:r>
      <w:r w:rsidRPr="00F631FB">
        <w:rPr>
          <w:rFonts w:ascii="Arial" w:eastAsia="仿宋_GB2312" w:hAnsi="Arial" w:cs="Arial" w:hint="eastAsia"/>
          <w:kern w:val="2"/>
          <w:sz w:val="28"/>
        </w:rPr>
        <w:t>、居住</w:t>
      </w:r>
      <w:r w:rsidRPr="00F631FB">
        <w:rPr>
          <w:rFonts w:ascii="Arial" w:eastAsia="仿宋_GB2312" w:hAnsi="Arial" w:cs="Arial" w:hint="eastAsia"/>
          <w:kern w:val="2"/>
          <w:sz w:val="28"/>
        </w:rPr>
        <w:t>5.0%</w:t>
      </w:r>
      <w:r w:rsidRPr="00F631FB">
        <w:rPr>
          <w:rFonts w:ascii="Arial" w:eastAsia="仿宋_GB2312" w:hAnsi="Arial" w:cs="Arial"/>
          <w:kern w:val="2"/>
          <w:sz w:val="28"/>
        </w:rPr>
        <w:t>。</w:t>
      </w:r>
    </w:p>
    <w:p w14:paraId="53FDB4BE"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8</w:t>
      </w:r>
      <w:r w:rsidRPr="00F631FB">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70BB849"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其他说明</w:t>
      </w:r>
    </w:p>
    <w:p w14:paraId="27A9AB80"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）估价对象房屋坐落根据</w:t>
      </w:r>
      <w:r w:rsidRPr="00F631FB">
        <w:rPr>
          <w:rFonts w:ascii="Arial" w:eastAsia="仿宋_GB2312" w:hAnsi="Arial" w:cs="Arial" w:hint="eastAsia"/>
          <w:sz w:val="28"/>
          <w:szCs w:val="28"/>
        </w:rPr>
        <w:t>《国有建设用地使用权出让地价评估委托书》</w:t>
      </w:r>
      <w:r w:rsidRPr="00F631FB">
        <w:rPr>
          <w:rFonts w:ascii="Arial" w:eastAsia="仿宋_GB2312" w:hAnsi="Arial" w:cs="Arial"/>
          <w:sz w:val="28"/>
        </w:rPr>
        <w:t>描述确定，项目坐落确定为</w:t>
      </w:r>
      <w:r w:rsidRPr="0073655F">
        <w:rPr>
          <w:rFonts w:ascii="Arial" w:eastAsia="仿宋_GB2312" w:hAnsi="Arial" w:cs="Arial" w:hint="eastAsia"/>
          <w:sz w:val="28"/>
        </w:rPr>
        <w:t>北京市海淀区苏州街站一体化棚户区改造一次性招标项目</w:t>
      </w:r>
      <w:r w:rsidRPr="00F631FB">
        <w:rPr>
          <w:rFonts w:ascii="Arial" w:eastAsia="仿宋_GB2312" w:hAnsi="Arial" w:cs="Arial"/>
          <w:sz w:val="28"/>
        </w:rPr>
        <w:t>。</w:t>
      </w:r>
    </w:p>
    <w:p w14:paraId="33252551"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）《国有建设用地使用权出让地价评估委托书》中估价目的为：对估价对象土地使用权出让价格进行评估，为北京市规划和自然资源委员会办理</w:t>
      </w:r>
      <w:r w:rsidRPr="00F631FB">
        <w:rPr>
          <w:rFonts w:ascii="Arial" w:eastAsia="仿宋_GB2312" w:hAnsi="Arial" w:cs="Arial"/>
          <w:sz w:val="28"/>
        </w:rPr>
        <w:lastRenderedPageBreak/>
        <w:t>该项目</w:t>
      </w:r>
      <w:r>
        <w:rPr>
          <w:rFonts w:ascii="Arial" w:eastAsia="仿宋_GB2312" w:hAnsi="Arial" w:cs="Arial" w:hint="eastAsia"/>
          <w:sz w:val="28"/>
        </w:rPr>
        <w:t>一次性招标出让手续</w:t>
      </w:r>
      <w:r w:rsidRPr="00F631FB">
        <w:rPr>
          <w:rFonts w:ascii="Arial" w:eastAsia="仿宋_GB2312" w:hAnsi="Arial" w:cs="Arial"/>
          <w:sz w:val="28"/>
        </w:rPr>
        <w:t>提供参考依据。</w:t>
      </w:r>
    </w:p>
    <w:p w14:paraId="331569C5" w14:textId="15176E46"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18</w:t>
      </w:r>
      <w:r>
        <w:rPr>
          <w:rFonts w:ascii="Arial" w:eastAsia="仿宋_GB2312" w:hAnsi="Arial" w:cs="Arial"/>
          <w:sz w:val="28"/>
        </w:rPr>
        <w:t>日</w:t>
      </w:r>
      <w:r w:rsidRPr="00F631FB">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F631FB">
        <w:rPr>
          <w:rFonts w:ascii="Arial" w:eastAsia="仿宋_GB2312" w:hAnsi="Arial" w:cs="Arial"/>
          <w:sz w:val="28"/>
        </w:rPr>
        <w:t>。评估专业人员于</w:t>
      </w:r>
      <w:r w:rsidR="00831261">
        <w:rPr>
          <w:rFonts w:ascii="Arial" w:eastAsia="仿宋_GB2312" w:hAnsi="Arial" w:cs="Arial"/>
          <w:sz w:val="28"/>
        </w:rPr>
        <w:t>2021</w:t>
      </w:r>
      <w:r w:rsidR="00831261">
        <w:rPr>
          <w:rFonts w:ascii="Arial" w:eastAsia="仿宋_GB2312" w:hAnsi="Arial" w:cs="Arial"/>
          <w:sz w:val="28"/>
        </w:rPr>
        <w:t>年</w:t>
      </w:r>
      <w:r w:rsidR="00831261">
        <w:rPr>
          <w:rFonts w:ascii="Arial" w:eastAsia="仿宋_GB2312" w:hAnsi="Arial" w:cs="Arial"/>
          <w:sz w:val="28"/>
        </w:rPr>
        <w:t>11</w:t>
      </w:r>
      <w:r w:rsidR="00831261">
        <w:rPr>
          <w:rFonts w:ascii="Arial" w:eastAsia="仿宋_GB2312" w:hAnsi="Arial" w:cs="Arial"/>
          <w:sz w:val="28"/>
        </w:rPr>
        <w:t>月</w:t>
      </w:r>
      <w:r w:rsidR="00831261">
        <w:rPr>
          <w:rFonts w:ascii="Arial" w:eastAsia="仿宋_GB2312" w:hAnsi="Arial" w:cs="Arial"/>
          <w:sz w:val="28"/>
        </w:rPr>
        <w:t>29</w:t>
      </w:r>
      <w:r w:rsidR="00831261">
        <w:rPr>
          <w:rFonts w:ascii="Arial" w:eastAsia="仿宋_GB2312" w:hAnsi="Arial" w:cs="Arial"/>
          <w:sz w:val="28"/>
        </w:rPr>
        <w:t>日</w:t>
      </w:r>
      <w:r w:rsidRPr="00F631FB">
        <w:rPr>
          <w:rFonts w:ascii="Arial" w:eastAsia="仿宋_GB2312" w:hAnsi="Arial" w:cs="Arial"/>
          <w:sz w:val="28"/>
        </w:rPr>
        <w:t>进行实地查勘，</w:t>
      </w:r>
      <w:r>
        <w:rPr>
          <w:rFonts w:ascii="Arial" w:eastAsia="仿宋_GB2312" w:hAnsi="Arial" w:cs="Arial" w:hint="eastAsia"/>
          <w:sz w:val="28"/>
        </w:rPr>
        <w:t>本次评估设定估价对象于估价期日的状况与实地查勘情况一致</w:t>
      </w:r>
      <w:r w:rsidRPr="00F631FB">
        <w:rPr>
          <w:rFonts w:ascii="Arial" w:eastAsia="仿宋_GB2312" w:hAnsi="Arial" w:cs="Arial"/>
          <w:sz w:val="28"/>
        </w:rPr>
        <w:t>。</w:t>
      </w:r>
    </w:p>
    <w:p w14:paraId="4EA12722" w14:textId="57878022" w:rsidR="00FD249C" w:rsidRPr="00F631FB" w:rsidRDefault="00E651D3" w:rsidP="00E651D3">
      <w:pPr>
        <w:snapToGrid w:val="0"/>
        <w:spacing w:line="360" w:lineRule="auto"/>
        <w:ind w:firstLineChars="200" w:firstLine="560"/>
        <w:jc w:val="both"/>
        <w:textAlignment w:val="bottom"/>
        <w:rPr>
          <w:rFonts w:ascii="Arial" w:eastAsia="仿宋_GB2312" w:hAnsi="Arial" w:cs="Arial"/>
          <w:sz w:val="28"/>
        </w:rPr>
        <w:sectPr w:rsidR="00FD249C" w:rsidRPr="00F631FB">
          <w:headerReference w:type="default" r:id="rId64"/>
          <w:footerReference w:type="first" r:id="rId65"/>
          <w:pgSz w:w="11907" w:h="16840"/>
          <w:pgMar w:top="1843" w:right="1134" w:bottom="1134" w:left="1134" w:header="1134" w:footer="907" w:gutter="340"/>
          <w:cols w:space="425"/>
          <w:docGrid w:linePitch="326"/>
        </w:sect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）根据估价目的，此次评估在符合《城镇土地估价规程》</w:t>
      </w:r>
      <w:r w:rsidRPr="00F631FB">
        <w:rPr>
          <w:rFonts w:ascii="Arial" w:eastAsia="仿宋_GB2312" w:hAnsi="Arial" w:cs="Arial"/>
          <w:sz w:val="28"/>
        </w:rPr>
        <w:t>[GB/T 18508-2014]</w:t>
      </w:r>
      <w:r w:rsidRPr="00F631FB">
        <w:rPr>
          <w:rFonts w:ascii="Arial" w:eastAsia="仿宋_GB2312" w:hAnsi="Arial" w:cs="Arial"/>
          <w:sz w:val="28"/>
        </w:rPr>
        <w:t>和《国土资源部办公厅关于印发〈国有建设用地使用权出让地价评估技术规范〉的通知》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原则性要求的基础上，还需满足《北京市关于更新出让国有建设用地使用权基准地价的通知》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、《关于印发北京市国有建设用地使用权出让地价评审暂行规定的通知》</w:t>
      </w:r>
      <w:r w:rsidRPr="00F631FB">
        <w:rPr>
          <w:rFonts w:ascii="Arial" w:eastAsia="仿宋_GB2312" w:hAnsi="Arial" w:cs="Arial"/>
          <w:sz w:val="28"/>
        </w:rPr>
        <w:t>[</w:t>
      </w:r>
      <w:r w:rsidRPr="00F631FB">
        <w:rPr>
          <w:rFonts w:ascii="Arial" w:eastAsia="仿宋_GB2312" w:hAnsi="Arial" w:cs="Arial"/>
          <w:sz w:val="28"/>
        </w:rPr>
        <w:t>京国土用</w:t>
      </w:r>
      <w:r w:rsidRPr="00F631FB">
        <w:rPr>
          <w:rFonts w:ascii="Arial" w:eastAsia="仿宋_GB2312" w:hAnsi="Arial" w:cs="Arial"/>
          <w:sz w:val="28"/>
        </w:rPr>
        <w:t>[2015]87</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和《北京市国土资源局关于出让国有建设用地使用权基准地价应用有关问题的公告》和</w:t>
      </w:r>
      <w:r>
        <w:rPr>
          <w:rFonts w:ascii="Arial" w:eastAsia="仿宋_GB2312" w:hAnsi="Arial" w:cs="Arial"/>
          <w:sz w:val="28"/>
        </w:rPr>
        <w:t>关于发布《北京市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使用权协议出让地价评估技术更新的说明》的通知（</w:t>
      </w:r>
      <w:proofErr w:type="gramStart"/>
      <w:r>
        <w:rPr>
          <w:rFonts w:ascii="Arial" w:eastAsia="仿宋_GB2312" w:hAnsi="Arial" w:cs="Arial"/>
          <w:sz w:val="28"/>
        </w:rPr>
        <w:t>北估秘</w:t>
      </w:r>
      <w:proofErr w:type="gramEnd"/>
      <w:r>
        <w:rPr>
          <w:rFonts w:ascii="Arial" w:eastAsia="仿宋_GB2312" w:hAnsi="Arial" w:cs="Arial"/>
          <w:sz w:val="28"/>
        </w:rPr>
        <w:t>[2019]002</w:t>
      </w:r>
      <w:r>
        <w:rPr>
          <w:rFonts w:ascii="Arial" w:eastAsia="仿宋_GB2312" w:hAnsi="Arial" w:cs="Arial"/>
          <w:sz w:val="28"/>
        </w:rPr>
        <w:t>号）</w:t>
      </w:r>
      <w:r w:rsidRPr="00F631FB">
        <w:rPr>
          <w:rFonts w:ascii="Arial" w:eastAsia="仿宋_GB2312" w:hAnsi="Arial" w:cs="Arial"/>
          <w:sz w:val="28"/>
        </w:rPr>
        <w:t>的要求，</w:t>
      </w:r>
      <w:proofErr w:type="gramStart"/>
      <w:r w:rsidRPr="00F631FB">
        <w:rPr>
          <w:rFonts w:ascii="Arial" w:eastAsia="仿宋_GB2312" w:hAnsi="Arial" w:cs="Arial"/>
          <w:sz w:val="28"/>
        </w:rPr>
        <w:t>故报告</w:t>
      </w:r>
      <w:proofErr w:type="gramEnd"/>
      <w:r w:rsidRPr="00F631FB">
        <w:rPr>
          <w:rFonts w:ascii="Arial" w:eastAsia="仿宋_GB2312" w:hAnsi="Arial" w:cs="Arial"/>
          <w:sz w:val="28"/>
        </w:rPr>
        <w:t>格式和具体表述在《城镇土地估价规程》</w:t>
      </w:r>
      <w:r w:rsidRPr="00F631FB">
        <w:rPr>
          <w:rFonts w:ascii="Arial" w:eastAsia="仿宋_GB2312" w:hAnsi="Arial" w:cs="Arial"/>
          <w:sz w:val="28"/>
        </w:rPr>
        <w:t>[GB/T 18508-2014]</w:t>
      </w:r>
      <w:r w:rsidRPr="00F631FB">
        <w:rPr>
          <w:rFonts w:ascii="Arial" w:eastAsia="仿宋_GB2312" w:hAnsi="Arial" w:cs="Arial"/>
          <w:sz w:val="28"/>
        </w:rPr>
        <w:t>规范格式基础上，有所拓展和补充</w:t>
      </w:r>
      <w:r w:rsidR="00FD249C">
        <w:rPr>
          <w:rFonts w:ascii="Arial" w:eastAsia="仿宋_GB2312" w:hAnsi="Arial" w:cs="Arial" w:hint="eastAsia"/>
          <w:sz w:val="28"/>
        </w:rPr>
        <w:t>。</w:t>
      </w:r>
    </w:p>
    <w:p w14:paraId="0E76C01B" w14:textId="77777777" w:rsidR="002C3ABF" w:rsidRPr="00F631FB" w:rsidRDefault="002C3ABF" w:rsidP="002C3ABF">
      <w:pPr>
        <w:spacing w:line="360" w:lineRule="auto"/>
        <w:outlineLvl w:val="1"/>
        <w:rPr>
          <w:rFonts w:ascii="Arial" w:eastAsia="仿宋_GB2312" w:hAnsi="Arial" w:cs="Arial"/>
          <w:sz w:val="28"/>
        </w:rPr>
      </w:pPr>
      <w:bookmarkStart w:id="242" w:name="_Toc516488192"/>
      <w:bookmarkStart w:id="243" w:name="_Toc515457814"/>
      <w:bookmarkStart w:id="244" w:name="_Toc524335096"/>
      <w:bookmarkStart w:id="245" w:name="_Toc66929522"/>
      <w:bookmarkStart w:id="246" w:name="_Toc69393397"/>
      <w:r w:rsidRPr="00F631FB">
        <w:rPr>
          <w:rFonts w:ascii="Arial" w:eastAsia="仿宋_GB2312" w:hAnsi="Arial" w:cs="Arial"/>
          <w:b/>
          <w:sz w:val="28"/>
        </w:rPr>
        <w:lastRenderedPageBreak/>
        <w:t>十一、评估专业人员签字</w:t>
      </w:r>
      <w:bookmarkEnd w:id="239"/>
      <w:bookmarkEnd w:id="240"/>
      <w:bookmarkEnd w:id="241"/>
      <w:bookmarkEnd w:id="242"/>
      <w:bookmarkEnd w:id="243"/>
      <w:bookmarkEnd w:id="244"/>
      <w:bookmarkEnd w:id="245"/>
      <w:bookmarkEnd w:id="246"/>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2C3ABF" w:rsidRPr="00F631FB" w14:paraId="336CE63A" w14:textId="77777777" w:rsidTr="004A2C77">
        <w:trPr>
          <w:trHeight w:val="70"/>
          <w:jc w:val="center"/>
        </w:trPr>
        <w:tc>
          <w:tcPr>
            <w:tcW w:w="9299" w:type="dxa"/>
            <w:gridSpan w:val="3"/>
            <w:shd w:val="clear" w:color="auto" w:fill="auto"/>
            <w:vAlign w:val="center"/>
          </w:tcPr>
          <w:p w14:paraId="7CB47EAE" w14:textId="77777777" w:rsidR="002C3ABF" w:rsidRPr="00F631FB" w:rsidRDefault="002C3ABF" w:rsidP="004A2C77">
            <w:pPr>
              <w:widowControl/>
              <w:adjustRightInd/>
              <w:spacing w:line="240" w:lineRule="auto"/>
              <w:jc w:val="both"/>
              <w:textAlignment w:val="auto"/>
              <w:rPr>
                <w:rFonts w:ascii="Arial" w:eastAsia="仿宋_GB2312" w:hAnsi="Arial" w:cs="Arial"/>
                <w:b/>
                <w:bCs/>
                <w:sz w:val="28"/>
                <w:szCs w:val="28"/>
              </w:rPr>
            </w:pPr>
            <w:r w:rsidRPr="00F631FB">
              <w:rPr>
                <w:rFonts w:ascii="Arial" w:eastAsia="仿宋_GB2312" w:hAnsi="Arial" w:cs="Arial"/>
                <w:b/>
                <w:bCs/>
                <w:sz w:val="28"/>
                <w:szCs w:val="28"/>
              </w:rPr>
              <w:t>土地估价师</w:t>
            </w:r>
          </w:p>
        </w:tc>
      </w:tr>
      <w:tr w:rsidR="002C3ABF" w:rsidRPr="00F631FB" w14:paraId="2DF9B07C" w14:textId="77777777" w:rsidTr="004A2C77">
        <w:trPr>
          <w:trHeight w:val="370"/>
          <w:jc w:val="center"/>
        </w:trPr>
        <w:tc>
          <w:tcPr>
            <w:tcW w:w="2603" w:type="dxa"/>
            <w:shd w:val="clear" w:color="auto" w:fill="auto"/>
            <w:vAlign w:val="center"/>
          </w:tcPr>
          <w:p w14:paraId="73C91336"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姓名</w:t>
            </w:r>
          </w:p>
        </w:tc>
        <w:tc>
          <w:tcPr>
            <w:tcW w:w="4031" w:type="dxa"/>
            <w:shd w:val="clear" w:color="auto" w:fill="auto"/>
            <w:vAlign w:val="center"/>
          </w:tcPr>
          <w:p w14:paraId="03F2FE26"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资格证号</w:t>
            </w:r>
          </w:p>
        </w:tc>
        <w:tc>
          <w:tcPr>
            <w:tcW w:w="2665" w:type="dxa"/>
            <w:shd w:val="clear" w:color="auto" w:fill="auto"/>
            <w:vAlign w:val="center"/>
          </w:tcPr>
          <w:p w14:paraId="1C0CB147"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签名</w:t>
            </w:r>
          </w:p>
        </w:tc>
      </w:tr>
      <w:tr w:rsidR="002C3ABF" w:rsidRPr="00F631FB" w14:paraId="75C44F2C" w14:textId="77777777" w:rsidTr="004A2C77">
        <w:trPr>
          <w:trHeight w:hRule="exact" w:val="1134"/>
          <w:jc w:val="center"/>
        </w:trPr>
        <w:tc>
          <w:tcPr>
            <w:tcW w:w="2603" w:type="dxa"/>
            <w:shd w:val="clear" w:color="auto" w:fill="auto"/>
            <w:vAlign w:val="center"/>
          </w:tcPr>
          <w:p w14:paraId="5EF447A8"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陈</w:t>
            </w:r>
            <w:r w:rsidRPr="00F631FB">
              <w:rPr>
                <w:rFonts w:ascii="Arial" w:eastAsia="仿宋_GB2312" w:hAnsi="Arial" w:cs="Arial"/>
                <w:sz w:val="28"/>
                <w:szCs w:val="28"/>
              </w:rPr>
              <w:t xml:space="preserve">  </w:t>
            </w:r>
            <w:r w:rsidRPr="00F631FB">
              <w:rPr>
                <w:rFonts w:ascii="Arial" w:eastAsia="仿宋_GB2312" w:hAnsi="Arial" w:cs="Arial"/>
                <w:sz w:val="28"/>
                <w:szCs w:val="28"/>
              </w:rPr>
              <w:t>颖</w:t>
            </w:r>
          </w:p>
        </w:tc>
        <w:tc>
          <w:tcPr>
            <w:tcW w:w="4031" w:type="dxa"/>
            <w:shd w:val="clear" w:color="auto" w:fill="auto"/>
            <w:vAlign w:val="center"/>
          </w:tcPr>
          <w:p w14:paraId="5C6DE43A"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2004110096</w:t>
            </w:r>
          </w:p>
        </w:tc>
        <w:tc>
          <w:tcPr>
            <w:tcW w:w="2665" w:type="dxa"/>
            <w:shd w:val="clear" w:color="auto" w:fill="auto"/>
            <w:vAlign w:val="center"/>
          </w:tcPr>
          <w:p w14:paraId="7ED969FF"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 xml:space="preserve">　</w:t>
            </w:r>
          </w:p>
        </w:tc>
      </w:tr>
      <w:tr w:rsidR="002C3ABF" w:rsidRPr="00F631FB" w14:paraId="69A7A729" w14:textId="77777777" w:rsidTr="004A2C77">
        <w:trPr>
          <w:trHeight w:hRule="exact" w:val="1134"/>
          <w:jc w:val="center"/>
        </w:trPr>
        <w:tc>
          <w:tcPr>
            <w:tcW w:w="2603" w:type="dxa"/>
            <w:shd w:val="clear" w:color="auto" w:fill="auto"/>
            <w:vAlign w:val="center"/>
          </w:tcPr>
          <w:p w14:paraId="071E4EC9" w14:textId="63AE4C5A" w:rsidR="002C3ABF" w:rsidRPr="00F631FB" w:rsidRDefault="00656C28" w:rsidP="004A2C77">
            <w:pPr>
              <w:widowControl/>
              <w:adjustRightInd/>
              <w:spacing w:line="240" w:lineRule="auto"/>
              <w:jc w:val="both"/>
              <w:textAlignment w:val="auto"/>
              <w:rPr>
                <w:rFonts w:ascii="Arial" w:eastAsia="仿宋_GB2312" w:hAnsi="Arial" w:cs="Arial"/>
                <w:sz w:val="28"/>
                <w:szCs w:val="28"/>
              </w:rPr>
            </w:pPr>
            <w:proofErr w:type="gramStart"/>
            <w:r>
              <w:rPr>
                <w:rFonts w:ascii="Arial" w:eastAsia="仿宋_GB2312" w:hAnsi="Arial" w:cs="Arial" w:hint="eastAsia"/>
                <w:sz w:val="28"/>
                <w:szCs w:val="28"/>
              </w:rPr>
              <w:t>崔</w:t>
            </w:r>
            <w:proofErr w:type="gramEnd"/>
            <w:r>
              <w:rPr>
                <w:rFonts w:ascii="Arial" w:eastAsia="仿宋_GB2312" w:hAnsi="Arial" w:cs="Arial" w:hint="eastAsia"/>
                <w:sz w:val="28"/>
                <w:szCs w:val="28"/>
              </w:rPr>
              <w:t xml:space="preserve"> </w:t>
            </w:r>
            <w:r>
              <w:rPr>
                <w:rFonts w:ascii="Arial" w:eastAsia="仿宋_GB2312" w:hAnsi="Arial" w:cs="Arial"/>
                <w:sz w:val="28"/>
                <w:szCs w:val="28"/>
              </w:rPr>
              <w:t xml:space="preserve"> </w:t>
            </w:r>
            <w:proofErr w:type="gramStart"/>
            <w:r>
              <w:rPr>
                <w:rFonts w:ascii="Arial" w:eastAsia="仿宋_GB2312" w:hAnsi="Arial" w:cs="Arial" w:hint="eastAsia"/>
                <w:sz w:val="28"/>
                <w:szCs w:val="28"/>
              </w:rPr>
              <w:t>锴</w:t>
            </w:r>
            <w:proofErr w:type="gramEnd"/>
          </w:p>
        </w:tc>
        <w:tc>
          <w:tcPr>
            <w:tcW w:w="4031" w:type="dxa"/>
            <w:shd w:val="clear" w:color="auto" w:fill="auto"/>
            <w:vAlign w:val="center"/>
          </w:tcPr>
          <w:p w14:paraId="30C13BFA" w14:textId="7CD2F7EA" w:rsidR="002C3ABF" w:rsidRPr="00F631FB" w:rsidRDefault="00656C28" w:rsidP="004A2C77">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2010110070</w:t>
            </w:r>
          </w:p>
        </w:tc>
        <w:tc>
          <w:tcPr>
            <w:tcW w:w="2665" w:type="dxa"/>
            <w:shd w:val="clear" w:color="auto" w:fill="auto"/>
            <w:vAlign w:val="center"/>
          </w:tcPr>
          <w:p w14:paraId="0026C030"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 xml:space="preserve">　</w:t>
            </w:r>
          </w:p>
        </w:tc>
      </w:tr>
      <w:tr w:rsidR="002C3ABF" w:rsidRPr="00F631FB" w14:paraId="180C41B6" w14:textId="77777777" w:rsidTr="004A2C77">
        <w:trPr>
          <w:trHeight w:val="194"/>
          <w:jc w:val="center"/>
        </w:trPr>
        <w:tc>
          <w:tcPr>
            <w:tcW w:w="9299" w:type="dxa"/>
            <w:gridSpan w:val="3"/>
            <w:shd w:val="clear" w:color="auto" w:fill="auto"/>
            <w:vAlign w:val="center"/>
          </w:tcPr>
          <w:p w14:paraId="5FC4B2CD" w14:textId="77777777" w:rsidR="002C3ABF" w:rsidRPr="00F631FB" w:rsidRDefault="002C3ABF" w:rsidP="004A2C77">
            <w:pPr>
              <w:widowControl/>
              <w:adjustRightInd/>
              <w:spacing w:line="240" w:lineRule="auto"/>
              <w:jc w:val="both"/>
              <w:textAlignment w:val="auto"/>
              <w:rPr>
                <w:rFonts w:ascii="Arial" w:eastAsia="仿宋_GB2312" w:hAnsi="Arial" w:cs="Arial"/>
                <w:b/>
                <w:bCs/>
                <w:sz w:val="28"/>
                <w:szCs w:val="28"/>
              </w:rPr>
            </w:pPr>
            <w:r w:rsidRPr="00F631FB">
              <w:rPr>
                <w:rFonts w:ascii="Arial" w:eastAsia="仿宋_GB2312" w:hAnsi="Arial" w:cs="Arial"/>
                <w:b/>
                <w:bCs/>
                <w:sz w:val="28"/>
                <w:szCs w:val="28"/>
              </w:rPr>
              <w:t>其他评估专业人员</w:t>
            </w:r>
            <w:r w:rsidRPr="00F631FB">
              <w:rPr>
                <w:rFonts w:ascii="Arial" w:eastAsia="仿宋_GB2312" w:hAnsi="Arial" w:cs="Arial"/>
                <w:b/>
                <w:bCs/>
                <w:sz w:val="28"/>
                <w:szCs w:val="28"/>
              </w:rPr>
              <w:t xml:space="preserve"> </w:t>
            </w:r>
          </w:p>
        </w:tc>
      </w:tr>
      <w:tr w:rsidR="002C3ABF" w:rsidRPr="00F631FB" w14:paraId="3DD24E94" w14:textId="77777777" w:rsidTr="004A2C77">
        <w:trPr>
          <w:trHeight w:val="119"/>
          <w:jc w:val="center"/>
        </w:trPr>
        <w:tc>
          <w:tcPr>
            <w:tcW w:w="2603" w:type="dxa"/>
            <w:shd w:val="clear" w:color="auto" w:fill="auto"/>
            <w:vAlign w:val="center"/>
          </w:tcPr>
          <w:p w14:paraId="2941916D"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姓名</w:t>
            </w:r>
          </w:p>
        </w:tc>
        <w:tc>
          <w:tcPr>
            <w:tcW w:w="4031" w:type="dxa"/>
            <w:shd w:val="clear" w:color="auto" w:fill="auto"/>
            <w:vAlign w:val="center"/>
          </w:tcPr>
          <w:p w14:paraId="5374BFD0"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相关资格或职称</w:t>
            </w:r>
          </w:p>
        </w:tc>
        <w:tc>
          <w:tcPr>
            <w:tcW w:w="2665" w:type="dxa"/>
            <w:shd w:val="clear" w:color="auto" w:fill="auto"/>
            <w:vAlign w:val="center"/>
          </w:tcPr>
          <w:p w14:paraId="40EF77C3"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签名</w:t>
            </w:r>
          </w:p>
        </w:tc>
      </w:tr>
      <w:tr w:rsidR="002C3ABF" w:rsidRPr="00F631FB" w14:paraId="6290D42E" w14:textId="77777777" w:rsidTr="004A2C77">
        <w:trPr>
          <w:trHeight w:hRule="exact" w:val="1134"/>
          <w:jc w:val="center"/>
        </w:trPr>
        <w:tc>
          <w:tcPr>
            <w:tcW w:w="2603" w:type="dxa"/>
            <w:shd w:val="clear" w:color="auto" w:fill="auto"/>
            <w:vAlign w:val="center"/>
          </w:tcPr>
          <w:p w14:paraId="481D5C55"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c>
          <w:tcPr>
            <w:tcW w:w="4031" w:type="dxa"/>
            <w:shd w:val="clear" w:color="auto" w:fill="auto"/>
            <w:vAlign w:val="center"/>
          </w:tcPr>
          <w:p w14:paraId="296BF72E"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c>
          <w:tcPr>
            <w:tcW w:w="2665" w:type="dxa"/>
            <w:shd w:val="clear" w:color="auto" w:fill="auto"/>
            <w:vAlign w:val="center"/>
          </w:tcPr>
          <w:p w14:paraId="2DF6726F"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r>
    </w:tbl>
    <w:p w14:paraId="6928C9F7" w14:textId="77777777" w:rsidR="002C3ABF" w:rsidRPr="00F631FB" w:rsidRDefault="002C3ABF" w:rsidP="002C3ABF">
      <w:pPr>
        <w:spacing w:line="360" w:lineRule="auto"/>
        <w:rPr>
          <w:rFonts w:ascii="Arial" w:eastAsia="仿宋_GB2312" w:hAnsi="Arial" w:cs="Arial"/>
          <w:sz w:val="28"/>
        </w:rPr>
      </w:pPr>
    </w:p>
    <w:p w14:paraId="5CD90017" w14:textId="77777777" w:rsidR="002C3ABF" w:rsidRPr="00F631FB" w:rsidRDefault="002C3ABF" w:rsidP="002C3ABF">
      <w:pPr>
        <w:spacing w:line="360" w:lineRule="auto"/>
        <w:outlineLvl w:val="1"/>
        <w:rPr>
          <w:rFonts w:ascii="Arial" w:eastAsia="仿宋_GB2312" w:hAnsi="Arial" w:cs="Arial"/>
          <w:b/>
          <w:sz w:val="28"/>
        </w:rPr>
      </w:pPr>
      <w:bookmarkStart w:id="247" w:name="_Toc516488193"/>
      <w:bookmarkStart w:id="248" w:name="_Toc515457815"/>
      <w:bookmarkStart w:id="249" w:name="_Toc524335097"/>
      <w:bookmarkStart w:id="250" w:name="_Toc66929523"/>
      <w:bookmarkStart w:id="251" w:name="_Toc69393398"/>
      <w:r w:rsidRPr="00F631FB">
        <w:rPr>
          <w:rFonts w:ascii="Arial" w:eastAsia="仿宋_GB2312" w:hAnsi="Arial" w:cs="Arial"/>
          <w:b/>
          <w:sz w:val="28"/>
        </w:rPr>
        <w:t>十二、土地估价机构</w:t>
      </w:r>
      <w:bookmarkEnd w:id="247"/>
      <w:bookmarkEnd w:id="248"/>
      <w:bookmarkEnd w:id="249"/>
      <w:bookmarkEnd w:id="250"/>
      <w:bookmarkEnd w:id="251"/>
    </w:p>
    <w:p w14:paraId="0BE559C3"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p>
    <w:p w14:paraId="78B1346D"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2C3ABF" w:rsidRPr="00F631FB" w14:paraId="2F597D6E" w14:textId="77777777" w:rsidTr="004A2C77">
        <w:trPr>
          <w:jc w:val="right"/>
        </w:trPr>
        <w:tc>
          <w:tcPr>
            <w:tcW w:w="4445" w:type="dxa"/>
            <w:shd w:val="clear" w:color="auto" w:fill="auto"/>
          </w:tcPr>
          <w:p w14:paraId="41352858" w14:textId="77777777" w:rsidR="002C3ABF" w:rsidRPr="00F631FB" w:rsidRDefault="002C3ABF" w:rsidP="004A2C77">
            <w:pPr>
              <w:spacing w:line="360" w:lineRule="auto"/>
              <w:rPr>
                <w:rFonts w:ascii="Arial" w:eastAsia="仿宋_GB2312" w:hAnsi="Arial" w:cs="Arial"/>
                <w:sz w:val="28"/>
                <w:szCs w:val="21"/>
              </w:rPr>
            </w:pPr>
            <w:proofErr w:type="gramStart"/>
            <w:r w:rsidRPr="00F631FB">
              <w:rPr>
                <w:rFonts w:ascii="Arial" w:eastAsia="仿宋_GB2312" w:hAnsi="Arial" w:cs="Arial"/>
                <w:sz w:val="28"/>
                <w:szCs w:val="21"/>
              </w:rPr>
              <w:t>北京康正宏</w:t>
            </w:r>
            <w:proofErr w:type="gramEnd"/>
            <w:r w:rsidRPr="00F631FB">
              <w:rPr>
                <w:rFonts w:ascii="Arial" w:eastAsia="仿宋_GB2312" w:hAnsi="Arial" w:cs="Arial"/>
                <w:sz w:val="28"/>
                <w:szCs w:val="21"/>
              </w:rPr>
              <w:t>基房地产评估有限公司</w:t>
            </w:r>
          </w:p>
        </w:tc>
      </w:tr>
      <w:tr w:rsidR="002C3ABF" w:rsidRPr="00F631FB" w14:paraId="4D6E5924" w14:textId="77777777" w:rsidTr="004A2C77">
        <w:trPr>
          <w:trHeight w:val="1431"/>
          <w:jc w:val="right"/>
        </w:trPr>
        <w:tc>
          <w:tcPr>
            <w:tcW w:w="4445" w:type="dxa"/>
            <w:shd w:val="clear" w:color="auto" w:fill="auto"/>
          </w:tcPr>
          <w:p w14:paraId="172DA70D" w14:textId="77777777" w:rsidR="002C3ABF" w:rsidRPr="00F631FB" w:rsidRDefault="002C3ABF" w:rsidP="004A2C77">
            <w:pPr>
              <w:spacing w:line="480" w:lineRule="auto"/>
              <w:rPr>
                <w:rFonts w:ascii="Arial" w:eastAsia="仿宋_GB2312" w:hAnsi="Arial" w:cs="Arial"/>
                <w:sz w:val="28"/>
                <w:szCs w:val="21"/>
              </w:rPr>
            </w:pPr>
            <w:r w:rsidRPr="00F631FB">
              <w:rPr>
                <w:rFonts w:ascii="Arial" w:eastAsia="仿宋_GB2312" w:hAnsi="Arial" w:cs="Arial"/>
                <w:sz w:val="28"/>
                <w:szCs w:val="21"/>
              </w:rPr>
              <w:t>法定代表人：</w:t>
            </w:r>
          </w:p>
        </w:tc>
      </w:tr>
      <w:tr w:rsidR="002C3ABF" w:rsidRPr="00F631FB" w14:paraId="5099CD54" w14:textId="77777777" w:rsidTr="004A2C77">
        <w:trPr>
          <w:cantSplit/>
          <w:jc w:val="right"/>
        </w:trPr>
        <w:tc>
          <w:tcPr>
            <w:tcW w:w="4445" w:type="dxa"/>
            <w:shd w:val="clear" w:color="auto" w:fill="auto"/>
          </w:tcPr>
          <w:p w14:paraId="1D5E957E" w14:textId="78AF4023" w:rsidR="002C3ABF" w:rsidRPr="00F631FB" w:rsidRDefault="00D22E0E" w:rsidP="004A2C77">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二一年十二月一日</w:t>
            </w:r>
          </w:p>
        </w:tc>
      </w:tr>
    </w:tbl>
    <w:p w14:paraId="3766DF17" w14:textId="77777777" w:rsidR="002C3ABF" w:rsidRPr="00F631FB" w:rsidRDefault="002C3ABF" w:rsidP="002C3ABF">
      <w:pPr>
        <w:spacing w:line="360" w:lineRule="auto"/>
        <w:jc w:val="center"/>
        <w:outlineLvl w:val="0"/>
        <w:rPr>
          <w:rFonts w:ascii="Arial" w:hAnsi="Arial" w:cs="Arial"/>
          <w:b/>
          <w:sz w:val="32"/>
        </w:rPr>
      </w:pPr>
      <w:r w:rsidRPr="00F631FB">
        <w:rPr>
          <w:rFonts w:ascii="Arial" w:eastAsia="仿宋_GB2312" w:hAnsi="Arial" w:cs="Arial"/>
          <w:sz w:val="28"/>
        </w:rPr>
        <w:br w:type="page"/>
      </w:r>
      <w:bookmarkStart w:id="252" w:name="_Toc416783586"/>
      <w:bookmarkStart w:id="253" w:name="_Toc416783682"/>
      <w:bookmarkStart w:id="254" w:name="_Toc515457816"/>
      <w:bookmarkStart w:id="255" w:name="_Toc469066164"/>
      <w:bookmarkStart w:id="256" w:name="_Toc516488194"/>
      <w:bookmarkStart w:id="257" w:name="_Toc524335098"/>
      <w:bookmarkStart w:id="258" w:name="_Toc66929524"/>
      <w:bookmarkStart w:id="259" w:name="_Toc69393399"/>
      <w:r w:rsidRPr="00F631FB">
        <w:rPr>
          <w:rFonts w:ascii="Arial" w:hAnsi="Arial" w:cs="Arial"/>
          <w:b/>
          <w:sz w:val="32"/>
        </w:rPr>
        <w:lastRenderedPageBreak/>
        <w:t>第二部分</w:t>
      </w:r>
      <w:r w:rsidRPr="00F631FB">
        <w:rPr>
          <w:rFonts w:ascii="Arial" w:eastAsia="仿宋_GB2312" w:hAnsi="Arial" w:cs="Arial"/>
          <w:b/>
          <w:sz w:val="32"/>
        </w:rPr>
        <w:t xml:space="preserve">  </w:t>
      </w:r>
      <w:r w:rsidRPr="00F631FB">
        <w:rPr>
          <w:rFonts w:ascii="Arial" w:hAnsi="Arial" w:cs="Arial"/>
          <w:b/>
          <w:sz w:val="32"/>
        </w:rPr>
        <w:t>估价对象描述及土地价格影响因素分析</w:t>
      </w:r>
      <w:bookmarkEnd w:id="252"/>
      <w:bookmarkEnd w:id="253"/>
      <w:bookmarkEnd w:id="254"/>
      <w:bookmarkEnd w:id="255"/>
      <w:bookmarkEnd w:id="256"/>
      <w:bookmarkEnd w:id="257"/>
      <w:bookmarkEnd w:id="258"/>
      <w:bookmarkEnd w:id="259"/>
    </w:p>
    <w:p w14:paraId="00894B74" w14:textId="77777777" w:rsidR="002C3ABF" w:rsidRPr="00F631FB" w:rsidRDefault="002C3ABF" w:rsidP="002C3ABF">
      <w:pPr>
        <w:spacing w:line="360" w:lineRule="auto"/>
        <w:rPr>
          <w:rFonts w:ascii="Arial" w:eastAsia="仿宋_GB2312" w:hAnsi="Arial" w:cs="Arial"/>
          <w:b/>
          <w:sz w:val="28"/>
        </w:rPr>
      </w:pPr>
    </w:p>
    <w:p w14:paraId="2E20494E" w14:textId="77777777" w:rsidR="002C3ABF" w:rsidRPr="00F631FB" w:rsidRDefault="002C3ABF" w:rsidP="002C3ABF">
      <w:pPr>
        <w:spacing w:line="360" w:lineRule="auto"/>
        <w:outlineLvl w:val="1"/>
        <w:rPr>
          <w:rFonts w:ascii="Arial" w:eastAsia="仿宋_GB2312" w:hAnsi="Arial" w:cs="Arial"/>
          <w:b/>
          <w:sz w:val="28"/>
        </w:rPr>
      </w:pPr>
      <w:bookmarkStart w:id="260" w:name="_Toc416783587"/>
      <w:bookmarkStart w:id="261" w:name="_Toc416783683"/>
      <w:bookmarkStart w:id="262" w:name="_Toc469066165"/>
      <w:bookmarkStart w:id="263" w:name="_Toc515457817"/>
      <w:bookmarkStart w:id="264" w:name="_Toc516488195"/>
      <w:bookmarkStart w:id="265" w:name="_Toc524335099"/>
      <w:bookmarkStart w:id="266" w:name="_Toc66929525"/>
      <w:bookmarkStart w:id="267" w:name="_Toc69393400"/>
      <w:r w:rsidRPr="00F631FB">
        <w:rPr>
          <w:rFonts w:ascii="Arial" w:eastAsia="仿宋_GB2312" w:hAnsi="Arial" w:cs="Arial"/>
          <w:b/>
          <w:sz w:val="28"/>
        </w:rPr>
        <w:t>一、估价对象描述</w:t>
      </w:r>
      <w:bookmarkEnd w:id="260"/>
      <w:bookmarkEnd w:id="261"/>
      <w:bookmarkEnd w:id="262"/>
      <w:bookmarkEnd w:id="263"/>
      <w:bookmarkEnd w:id="264"/>
      <w:bookmarkEnd w:id="265"/>
      <w:bookmarkEnd w:id="266"/>
      <w:bookmarkEnd w:id="267"/>
    </w:p>
    <w:p w14:paraId="1C6A0798" w14:textId="77777777" w:rsidR="00E651D3" w:rsidRPr="00F631FB" w:rsidRDefault="00E651D3" w:rsidP="00E651D3">
      <w:pPr>
        <w:spacing w:line="360" w:lineRule="auto"/>
        <w:jc w:val="both"/>
        <w:rPr>
          <w:rFonts w:ascii="Arial" w:eastAsia="仿宋_GB2312" w:hAnsi="Arial" w:cs="Arial"/>
          <w:sz w:val="28"/>
        </w:rPr>
      </w:pPr>
      <w:bookmarkStart w:id="268" w:name="_Toc416783594"/>
      <w:bookmarkStart w:id="269" w:name="_Toc469066166"/>
      <w:bookmarkStart w:id="270" w:name="_Toc416783690"/>
      <w:r w:rsidRPr="00F631FB">
        <w:rPr>
          <w:rFonts w:ascii="Arial" w:eastAsia="仿宋_GB2312" w:hAnsi="Arial" w:cs="Arial"/>
          <w:sz w:val="28"/>
        </w:rPr>
        <w:t>（一）土地登记状况</w:t>
      </w:r>
    </w:p>
    <w:p w14:paraId="2AB2082B"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bCs/>
          <w:sz w:val="28"/>
        </w:rPr>
        <w:t>土地来源：估价对象为</w:t>
      </w:r>
      <w:r>
        <w:rPr>
          <w:rFonts w:ascii="Arial" w:eastAsia="仿宋_GB2312" w:hAnsi="Arial" w:cs="Arial" w:hint="eastAsia"/>
          <w:sz w:val="28"/>
        </w:rPr>
        <w:t>北京市海淀区苏州街站一体化棚户区改造一次性招标项目国有建设用地</w:t>
      </w:r>
      <w:r>
        <w:rPr>
          <w:rFonts w:ascii="Arial" w:eastAsia="仿宋_GB2312" w:hAnsi="Arial" w:cs="Arial" w:hint="eastAsia"/>
          <w:bCs/>
          <w:sz w:val="28"/>
        </w:rPr>
        <w:t>，</w:t>
      </w:r>
      <w:r>
        <w:rPr>
          <w:rFonts w:ascii="Arial" w:eastAsia="仿宋_GB2312" w:hAnsi="Arial" w:cs="Arial" w:hint="eastAsia"/>
          <w:sz w:val="28"/>
        </w:rPr>
        <w:t>北京城投地下空间开发建设有限公司与</w:t>
      </w:r>
      <w:r>
        <w:rPr>
          <w:rFonts w:ascii="Arial" w:eastAsia="仿宋_GB2312" w:hAnsi="Arial" w:cs="Arial"/>
          <w:sz w:val="28"/>
        </w:rPr>
        <w:t>2017</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日通过招标方式取得估价对象</w:t>
      </w:r>
      <w:r>
        <w:rPr>
          <w:rFonts w:ascii="Arial" w:eastAsia="仿宋_GB2312" w:hAnsi="Arial" w:cs="Arial" w:hint="eastAsia"/>
          <w:bCs/>
          <w:sz w:val="28"/>
        </w:rPr>
        <w:t>国有建设用地使用权。</w:t>
      </w:r>
      <w:r>
        <w:rPr>
          <w:rFonts w:ascii="Arial" w:eastAsia="仿宋_GB2312" w:hAnsi="Arial" w:cs="Arial" w:hint="eastAsia"/>
          <w:sz w:val="28"/>
        </w:rPr>
        <w:t>根据《海淀区苏州街站一体化棚户区改造项目前期工作及拟改造土地使用权一次性招标方案》及其附件复印件、《北京市海淀区苏州街站一体化棚户区改造项目前期工作及拟改造土地使用权出让招标文件》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及其附件复印件、《中标通知书》复印件、《北京市规划和自然资源委员会关于北京市海淀区苏州街站一体化棚户区改造项目用地相关意见及设计方案审查意见的函（城镇建筑工程）》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及其附图复印件，现基本情况如下</w:t>
      </w:r>
      <w:r>
        <w:rPr>
          <w:rFonts w:ascii="Arial" w:eastAsia="仿宋_GB2312" w:hAnsi="Arial" w:cs="Arial"/>
          <w:sz w:val="28"/>
        </w:rPr>
        <w:t>:</w:t>
      </w:r>
    </w:p>
    <w:p w14:paraId="0AF02B12" w14:textId="77777777" w:rsidR="00E651D3" w:rsidRPr="00F631FB" w:rsidRDefault="00E651D3" w:rsidP="00E651D3">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土地使用权</w:t>
      </w:r>
      <w:r>
        <w:rPr>
          <w:rFonts w:ascii="Arial" w:eastAsia="仿宋_GB2312" w:hAnsi="Arial" w:cs="Arial" w:hint="eastAsia"/>
          <w:bCs/>
          <w:sz w:val="28"/>
        </w:rPr>
        <w:t>人</w:t>
      </w:r>
      <w:r w:rsidRPr="00F631FB">
        <w:rPr>
          <w:rFonts w:ascii="Arial" w:eastAsia="仿宋_GB2312" w:hAnsi="Arial" w:cs="Arial"/>
          <w:bCs/>
          <w:sz w:val="28"/>
        </w:rPr>
        <w:t>：</w:t>
      </w:r>
      <w:r w:rsidRPr="00F631FB">
        <w:rPr>
          <w:rFonts w:ascii="Arial" w:eastAsia="仿宋_GB2312" w:hAnsi="Arial" w:cs="Arial"/>
          <w:sz w:val="28"/>
        </w:rPr>
        <w:t xml:space="preserve"> </w:t>
      </w:r>
      <w:r>
        <w:rPr>
          <w:rFonts w:ascii="Arial" w:eastAsia="仿宋_GB2312" w:hAnsi="Arial" w:cs="Arial"/>
          <w:sz w:val="28"/>
        </w:rPr>
        <w:t>北京城投地下空间开发建设有限公司</w:t>
      </w:r>
    </w:p>
    <w:p w14:paraId="3AB11606" w14:textId="77777777" w:rsidR="00E651D3" w:rsidRPr="00F631FB" w:rsidRDefault="00E651D3" w:rsidP="00E651D3">
      <w:pPr>
        <w:spacing w:line="360" w:lineRule="auto"/>
        <w:ind w:firstLineChars="200" w:firstLine="560"/>
        <w:jc w:val="both"/>
        <w:rPr>
          <w:rFonts w:ascii="Arial" w:eastAsia="仿宋_GB2312" w:hAnsi="Arial" w:cs="Arial"/>
          <w:sz w:val="28"/>
        </w:rPr>
      </w:pPr>
      <w:r w:rsidRPr="00F631FB">
        <w:rPr>
          <w:rFonts w:ascii="Arial" w:eastAsia="仿宋_GB2312" w:hAnsi="Arial" w:cs="Arial"/>
          <w:bCs/>
          <w:sz w:val="28"/>
        </w:rPr>
        <w:t>坐落：</w:t>
      </w:r>
      <w:r>
        <w:rPr>
          <w:rFonts w:ascii="Arial" w:eastAsia="仿宋_GB2312" w:hAnsi="Arial" w:cs="Arial" w:hint="eastAsia"/>
          <w:bCs/>
          <w:sz w:val="28"/>
        </w:rPr>
        <w:t>北京市海淀区海淀南路</w:t>
      </w:r>
      <w:r>
        <w:rPr>
          <w:rFonts w:ascii="Arial" w:eastAsia="仿宋_GB2312" w:hAnsi="Arial" w:cs="Arial" w:hint="eastAsia"/>
          <w:bCs/>
          <w:sz w:val="28"/>
        </w:rPr>
        <w:t>1</w:t>
      </w:r>
      <w:r>
        <w:rPr>
          <w:rFonts w:ascii="Arial" w:eastAsia="仿宋_GB2312" w:hAnsi="Arial" w:cs="Arial"/>
          <w:bCs/>
          <w:sz w:val="28"/>
        </w:rPr>
        <w:t>2</w:t>
      </w:r>
      <w:r>
        <w:rPr>
          <w:rFonts w:ascii="Arial" w:eastAsia="仿宋_GB2312" w:hAnsi="Arial" w:cs="Arial" w:hint="eastAsia"/>
          <w:bCs/>
          <w:sz w:val="28"/>
        </w:rPr>
        <w:t>号院</w:t>
      </w:r>
    </w:p>
    <w:p w14:paraId="36A6BEC5" w14:textId="77777777" w:rsidR="00E651D3" w:rsidRPr="00F631FB" w:rsidRDefault="00E651D3" w:rsidP="00E651D3">
      <w:pPr>
        <w:spacing w:line="360" w:lineRule="auto"/>
        <w:ind w:firstLineChars="200" w:firstLine="560"/>
        <w:jc w:val="both"/>
        <w:rPr>
          <w:rFonts w:ascii="Arial" w:eastAsia="仿宋_GB2312" w:hAnsi="Arial" w:cs="Arial"/>
          <w:spacing w:val="-6"/>
          <w:sz w:val="28"/>
        </w:rPr>
      </w:pPr>
      <w:r w:rsidRPr="00F631FB">
        <w:rPr>
          <w:rFonts w:ascii="Arial" w:eastAsia="仿宋_GB2312" w:hAnsi="Arial" w:cs="Arial"/>
          <w:sz w:val="28"/>
        </w:rPr>
        <w:t>土地宗数：</w:t>
      </w:r>
      <w:r w:rsidRPr="00F631FB">
        <w:rPr>
          <w:rFonts w:ascii="Arial" w:eastAsia="仿宋_GB2312" w:hAnsi="Arial" w:cs="Arial"/>
          <w:sz w:val="28"/>
        </w:rPr>
        <w:t>1</w:t>
      </w:r>
      <w:r w:rsidRPr="00F631FB">
        <w:rPr>
          <w:rFonts w:ascii="Arial" w:eastAsia="仿宋_GB2312" w:hAnsi="Arial" w:cs="Arial"/>
          <w:sz w:val="28"/>
        </w:rPr>
        <w:t>宗</w:t>
      </w:r>
    </w:p>
    <w:p w14:paraId="35F15632" w14:textId="77777777" w:rsidR="00E651D3" w:rsidRPr="00F631FB"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用地性质</w:t>
      </w:r>
      <w:r w:rsidRPr="00F631FB">
        <w:rPr>
          <w:rFonts w:ascii="Arial" w:eastAsia="仿宋_GB2312" w:hAnsi="Arial" w:cs="Arial"/>
          <w:sz w:val="28"/>
        </w:rPr>
        <w:t>：</w:t>
      </w:r>
      <w:r>
        <w:rPr>
          <w:rFonts w:ascii="Arial" w:eastAsia="仿宋_GB2312" w:hAnsi="Arial" w:cs="Arial" w:hint="eastAsia"/>
          <w:sz w:val="28"/>
        </w:rPr>
        <w:t>R</w:t>
      </w:r>
      <w:r>
        <w:rPr>
          <w:rFonts w:ascii="Arial" w:eastAsia="仿宋_GB2312" w:hAnsi="Arial" w:cs="Arial"/>
          <w:sz w:val="28"/>
        </w:rPr>
        <w:t>2</w:t>
      </w:r>
      <w:proofErr w:type="gramStart"/>
      <w:r>
        <w:rPr>
          <w:rFonts w:ascii="Arial" w:eastAsia="仿宋_GB2312" w:hAnsi="Arial" w:cs="Arial" w:hint="eastAsia"/>
          <w:sz w:val="28"/>
        </w:rPr>
        <w:t>二</w:t>
      </w:r>
      <w:proofErr w:type="gramEnd"/>
      <w:r>
        <w:rPr>
          <w:rFonts w:ascii="Arial" w:eastAsia="仿宋_GB2312" w:hAnsi="Arial" w:cs="Arial" w:hint="eastAsia"/>
          <w:sz w:val="28"/>
        </w:rPr>
        <w:t>类居住用地</w:t>
      </w:r>
    </w:p>
    <w:p w14:paraId="068492B6" w14:textId="77777777" w:rsidR="00E651D3" w:rsidRPr="00F631FB" w:rsidRDefault="00E651D3" w:rsidP="00E651D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土地面积：</w:t>
      </w:r>
      <w:r>
        <w:rPr>
          <w:rFonts w:ascii="Arial" w:eastAsia="仿宋_GB2312" w:hAnsi="Arial" w:cs="Arial" w:hint="eastAsia"/>
          <w:sz w:val="28"/>
        </w:rPr>
        <w:t>6</w:t>
      </w:r>
      <w:r>
        <w:rPr>
          <w:rFonts w:ascii="Arial" w:eastAsia="仿宋_GB2312" w:hAnsi="Arial" w:cs="Arial"/>
          <w:sz w:val="28"/>
        </w:rPr>
        <w:t>180.978</w:t>
      </w:r>
      <w:r w:rsidRPr="00F631FB">
        <w:rPr>
          <w:rFonts w:ascii="Arial" w:eastAsia="仿宋_GB2312" w:hAnsi="Arial" w:cs="Arial"/>
          <w:sz w:val="28"/>
        </w:rPr>
        <w:t>平方米</w:t>
      </w:r>
    </w:p>
    <w:p w14:paraId="26FCFBBA" w14:textId="77777777" w:rsidR="00E651D3" w:rsidRPr="00F631FB" w:rsidRDefault="00E651D3" w:rsidP="00E651D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估价对象四至：</w:t>
      </w:r>
    </w:p>
    <w:p w14:paraId="5251DD78" w14:textId="77777777" w:rsidR="00E651D3" w:rsidRPr="00F631FB" w:rsidRDefault="00E651D3" w:rsidP="00E651D3">
      <w:pPr>
        <w:spacing w:line="360" w:lineRule="auto"/>
        <w:ind w:firstLineChars="200" w:firstLine="560"/>
        <w:jc w:val="both"/>
        <w:rPr>
          <w:rFonts w:ascii="Arial" w:eastAsia="仿宋_GB2312" w:hAnsi="Arial" w:cs="Arial"/>
          <w:sz w:val="28"/>
        </w:rPr>
      </w:pPr>
      <w:proofErr w:type="gramStart"/>
      <w:r w:rsidRPr="00F631FB">
        <w:rPr>
          <w:rFonts w:ascii="Arial" w:eastAsia="仿宋_GB2312" w:hAnsi="Arial" w:cs="Arial"/>
          <w:sz w:val="28"/>
        </w:rPr>
        <w:t>证载四</w:t>
      </w:r>
      <w:proofErr w:type="gramEnd"/>
      <w:r w:rsidRPr="00F631FB">
        <w:rPr>
          <w:rFonts w:ascii="Arial" w:eastAsia="仿宋_GB2312" w:hAnsi="Arial" w:cs="Arial"/>
          <w:sz w:val="28"/>
        </w:rPr>
        <w:t>至：东至</w:t>
      </w:r>
      <w:r>
        <w:rPr>
          <w:rFonts w:ascii="Arial" w:eastAsia="仿宋_GB2312" w:hAnsi="Arial" w:cs="Arial" w:hint="eastAsia"/>
          <w:sz w:val="28"/>
        </w:rPr>
        <w:t>海淀区供电局宿舍</w:t>
      </w:r>
      <w:r w:rsidRPr="00F631FB">
        <w:rPr>
          <w:rFonts w:ascii="Arial" w:eastAsia="仿宋_GB2312" w:hAnsi="Arial" w:cs="Arial"/>
          <w:sz w:val="28"/>
        </w:rPr>
        <w:t>，南至</w:t>
      </w:r>
      <w:r>
        <w:rPr>
          <w:rFonts w:ascii="Arial" w:eastAsia="仿宋_GB2312" w:hAnsi="Arial" w:cs="Arial" w:hint="eastAsia"/>
          <w:sz w:val="28"/>
        </w:rPr>
        <w:t>市工商总局</w:t>
      </w:r>
      <w:r w:rsidRPr="00F631FB">
        <w:rPr>
          <w:rFonts w:ascii="Arial" w:eastAsia="仿宋_GB2312" w:hAnsi="Arial" w:cs="Arial"/>
          <w:sz w:val="28"/>
        </w:rPr>
        <w:t>，西至</w:t>
      </w:r>
      <w:r>
        <w:rPr>
          <w:rFonts w:ascii="Arial" w:eastAsia="仿宋_GB2312" w:hAnsi="Arial" w:cs="Arial" w:hint="eastAsia"/>
          <w:sz w:val="28"/>
        </w:rPr>
        <w:t>苏州街</w:t>
      </w:r>
      <w:r w:rsidRPr="00F631FB">
        <w:rPr>
          <w:rFonts w:ascii="Arial" w:eastAsia="仿宋_GB2312" w:hAnsi="Arial" w:cs="Arial"/>
          <w:sz w:val="28"/>
        </w:rPr>
        <w:t>，北至</w:t>
      </w:r>
      <w:r>
        <w:rPr>
          <w:rFonts w:ascii="Arial" w:eastAsia="仿宋_GB2312" w:hAnsi="Arial" w:cs="Arial" w:hint="eastAsia"/>
          <w:sz w:val="28"/>
        </w:rPr>
        <w:lastRenderedPageBreak/>
        <w:t>海淀南路</w:t>
      </w:r>
      <w:r w:rsidRPr="00F631FB">
        <w:rPr>
          <w:rFonts w:ascii="Arial" w:eastAsia="仿宋_GB2312" w:hAnsi="Arial" w:cs="Arial"/>
          <w:sz w:val="28"/>
        </w:rPr>
        <w:t>；</w:t>
      </w:r>
    </w:p>
    <w:p w14:paraId="29AA28B3" w14:textId="77777777" w:rsidR="00E651D3" w:rsidRPr="00F631FB" w:rsidRDefault="00E651D3" w:rsidP="00E651D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现状四至：东至</w:t>
      </w:r>
      <w:r>
        <w:rPr>
          <w:rFonts w:ascii="Arial" w:eastAsia="仿宋_GB2312" w:hAnsi="Arial" w:cs="Arial" w:hint="eastAsia"/>
          <w:sz w:val="28"/>
        </w:rPr>
        <w:t>海淀区供电局宿舍</w:t>
      </w:r>
      <w:r w:rsidRPr="00F631FB">
        <w:rPr>
          <w:rFonts w:ascii="Arial" w:eastAsia="仿宋_GB2312" w:hAnsi="Arial" w:cs="Arial"/>
          <w:sz w:val="28"/>
        </w:rPr>
        <w:t>，南至</w:t>
      </w:r>
      <w:r>
        <w:rPr>
          <w:rFonts w:ascii="Arial" w:eastAsia="仿宋_GB2312" w:hAnsi="Arial" w:cs="Arial" w:hint="eastAsia"/>
          <w:sz w:val="28"/>
        </w:rPr>
        <w:t>市工商总局</w:t>
      </w:r>
      <w:r w:rsidRPr="00F631FB">
        <w:rPr>
          <w:rFonts w:ascii="Arial" w:eastAsia="仿宋_GB2312" w:hAnsi="Arial" w:cs="Arial"/>
          <w:sz w:val="28"/>
        </w:rPr>
        <w:t>，西至</w:t>
      </w:r>
      <w:r>
        <w:rPr>
          <w:rFonts w:ascii="Arial" w:eastAsia="仿宋_GB2312" w:hAnsi="Arial" w:cs="Arial" w:hint="eastAsia"/>
          <w:sz w:val="28"/>
        </w:rPr>
        <w:t>苏州街</w:t>
      </w:r>
      <w:r w:rsidRPr="00F631FB">
        <w:rPr>
          <w:rFonts w:ascii="Arial" w:eastAsia="仿宋_GB2312" w:hAnsi="Arial" w:cs="Arial"/>
          <w:sz w:val="28"/>
        </w:rPr>
        <w:t>，北至</w:t>
      </w:r>
      <w:r>
        <w:rPr>
          <w:rFonts w:ascii="Arial" w:eastAsia="仿宋_GB2312" w:hAnsi="Arial" w:cs="Arial" w:hint="eastAsia"/>
          <w:sz w:val="28"/>
        </w:rPr>
        <w:t>海淀南路</w:t>
      </w:r>
      <w:r w:rsidRPr="00F631FB">
        <w:rPr>
          <w:rFonts w:ascii="Arial" w:eastAsia="仿宋_GB2312" w:hAnsi="Arial" w:cs="Arial"/>
          <w:sz w:val="28"/>
        </w:rPr>
        <w:t>。</w:t>
      </w:r>
    </w:p>
    <w:p w14:paraId="7FE82846" w14:textId="77777777" w:rsidR="00E651D3" w:rsidRPr="00F631FB" w:rsidRDefault="00E651D3" w:rsidP="00E651D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土地级别：根据《北京市人民政府关于更新出让国有建设用地使用权基准地价的通知》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的规定，估价对象属于</w:t>
      </w:r>
      <w:r w:rsidRPr="00F631FB">
        <w:rPr>
          <w:rFonts w:ascii="Arial" w:eastAsia="仿宋_GB2312" w:hAnsi="Arial" w:cs="Arial"/>
          <w:sz w:val="28"/>
          <w:szCs w:val="28"/>
        </w:rPr>
        <w:t>居住类</w:t>
      </w:r>
      <w:r>
        <w:rPr>
          <w:rFonts w:ascii="Arial" w:eastAsia="仿宋_GB2312" w:hAnsi="Arial" w:cs="Arial" w:hint="eastAsia"/>
          <w:sz w:val="28"/>
          <w:szCs w:val="28"/>
        </w:rPr>
        <w:t>二</w:t>
      </w:r>
      <w:r w:rsidRPr="00F631FB">
        <w:rPr>
          <w:rFonts w:ascii="Arial" w:eastAsia="仿宋_GB2312" w:hAnsi="Arial" w:cs="Arial"/>
          <w:sz w:val="28"/>
          <w:szCs w:val="28"/>
        </w:rPr>
        <w:t>级</w:t>
      </w:r>
      <w:r>
        <w:rPr>
          <w:rFonts w:ascii="微软雅黑" w:eastAsia="微软雅黑" w:hAnsi="微软雅黑" w:cs="Arial" w:hint="eastAsia"/>
          <w:sz w:val="28"/>
          <w:szCs w:val="28"/>
        </w:rPr>
        <w:t>Ⅱ</w:t>
      </w:r>
      <w:r w:rsidRPr="00F631FB">
        <w:rPr>
          <w:rFonts w:ascii="Arial" w:eastAsia="仿宋_GB2312" w:hAnsi="Arial" w:cs="Arial"/>
          <w:sz w:val="28"/>
          <w:szCs w:val="28"/>
        </w:rPr>
        <w:t>-0</w:t>
      </w:r>
      <w:r w:rsidRPr="00F631FB">
        <w:rPr>
          <w:rFonts w:ascii="Arial" w:eastAsia="仿宋_GB2312" w:hAnsi="Arial" w:cs="Arial" w:hint="eastAsia"/>
          <w:sz w:val="28"/>
          <w:szCs w:val="28"/>
        </w:rPr>
        <w:t>3</w:t>
      </w:r>
      <w:r w:rsidRPr="00F631FB">
        <w:rPr>
          <w:rFonts w:ascii="Arial" w:eastAsia="仿宋_GB2312" w:hAnsi="Arial" w:cs="Arial"/>
          <w:sz w:val="28"/>
          <w:szCs w:val="28"/>
        </w:rPr>
        <w:t>区片、</w:t>
      </w:r>
      <w:r>
        <w:rPr>
          <w:rFonts w:ascii="Arial" w:eastAsia="仿宋_GB2312" w:hAnsi="Arial" w:cs="Arial"/>
          <w:sz w:val="28"/>
          <w:szCs w:val="28"/>
        </w:rPr>
        <w:t>商业类三级</w:t>
      </w:r>
      <w:r>
        <w:rPr>
          <w:rFonts w:ascii="微软雅黑" w:eastAsia="微软雅黑" w:hAnsi="微软雅黑" w:cs="Arial" w:hint="eastAsia"/>
          <w:sz w:val="28"/>
          <w:szCs w:val="28"/>
        </w:rPr>
        <w:t>Ⅲ</w:t>
      </w:r>
      <w:r w:rsidRPr="00F631FB">
        <w:rPr>
          <w:rFonts w:ascii="Arial" w:eastAsia="仿宋_GB2312" w:hAnsi="Arial" w:cs="Arial"/>
          <w:sz w:val="28"/>
          <w:szCs w:val="28"/>
        </w:rPr>
        <w:t>-0</w:t>
      </w:r>
      <w:r>
        <w:rPr>
          <w:rFonts w:ascii="Arial" w:eastAsia="仿宋_GB2312" w:hAnsi="Arial" w:cs="Arial"/>
          <w:sz w:val="28"/>
          <w:szCs w:val="28"/>
        </w:rPr>
        <w:t>6</w:t>
      </w:r>
      <w:r w:rsidRPr="00F631FB">
        <w:rPr>
          <w:rFonts w:ascii="Arial" w:eastAsia="仿宋_GB2312" w:hAnsi="Arial" w:cs="Arial"/>
          <w:sz w:val="28"/>
          <w:szCs w:val="28"/>
        </w:rPr>
        <w:t>区片、办公类</w:t>
      </w:r>
      <w:r>
        <w:rPr>
          <w:rFonts w:ascii="Arial" w:eastAsia="仿宋_GB2312" w:hAnsi="Arial" w:cs="Arial" w:hint="eastAsia"/>
          <w:sz w:val="28"/>
          <w:szCs w:val="28"/>
        </w:rPr>
        <w:t>二</w:t>
      </w:r>
      <w:r w:rsidRPr="00F631FB">
        <w:rPr>
          <w:rFonts w:ascii="Arial" w:eastAsia="仿宋_GB2312" w:hAnsi="Arial" w:cs="Arial"/>
          <w:sz w:val="28"/>
          <w:szCs w:val="28"/>
        </w:rPr>
        <w:t>级</w:t>
      </w:r>
      <w:r>
        <w:rPr>
          <w:rFonts w:ascii="微软雅黑" w:eastAsia="微软雅黑" w:hAnsi="微软雅黑" w:cs="Arial" w:hint="eastAsia"/>
          <w:sz w:val="28"/>
          <w:szCs w:val="28"/>
        </w:rPr>
        <w:t>Ⅱ</w:t>
      </w:r>
      <w:r w:rsidRPr="00F631FB">
        <w:rPr>
          <w:rFonts w:ascii="Arial" w:eastAsia="仿宋_GB2312" w:hAnsi="Arial" w:cs="Arial"/>
          <w:sz w:val="28"/>
          <w:szCs w:val="28"/>
        </w:rPr>
        <w:t>-0</w:t>
      </w:r>
      <w:r w:rsidRPr="00F631FB">
        <w:rPr>
          <w:rFonts w:ascii="Arial" w:eastAsia="仿宋_GB2312" w:hAnsi="Arial" w:cs="Arial" w:hint="eastAsia"/>
          <w:sz w:val="28"/>
          <w:szCs w:val="28"/>
        </w:rPr>
        <w:t>3</w:t>
      </w:r>
      <w:r w:rsidRPr="00F631FB">
        <w:rPr>
          <w:rFonts w:ascii="Arial" w:eastAsia="仿宋_GB2312" w:hAnsi="Arial" w:cs="Arial"/>
          <w:sz w:val="28"/>
          <w:szCs w:val="28"/>
        </w:rPr>
        <w:t>区片地价区</w:t>
      </w:r>
      <w:r w:rsidRPr="00F631FB">
        <w:rPr>
          <w:rFonts w:ascii="Arial" w:eastAsia="仿宋_GB2312" w:hAnsi="Arial" w:cs="Arial"/>
          <w:sz w:val="28"/>
        </w:rPr>
        <w:t>。</w:t>
      </w:r>
    </w:p>
    <w:p w14:paraId="085E100D" w14:textId="77777777" w:rsidR="00E651D3" w:rsidRPr="00F631FB" w:rsidRDefault="00E651D3" w:rsidP="00E651D3">
      <w:pPr>
        <w:spacing w:line="360" w:lineRule="auto"/>
        <w:jc w:val="both"/>
        <w:rPr>
          <w:rFonts w:ascii="Arial" w:eastAsia="仿宋_GB2312" w:hAnsi="Arial" w:cs="Arial"/>
          <w:sz w:val="28"/>
        </w:rPr>
      </w:pPr>
      <w:r w:rsidRPr="00F631FB">
        <w:rPr>
          <w:rFonts w:ascii="Arial" w:eastAsia="仿宋_GB2312" w:hAnsi="Arial" w:cs="Arial"/>
          <w:sz w:val="28"/>
        </w:rPr>
        <w:t>（二）土地权利状况</w:t>
      </w:r>
    </w:p>
    <w:p w14:paraId="1B9A77B3" w14:textId="77777777" w:rsidR="00E651D3" w:rsidRDefault="00E651D3" w:rsidP="00E651D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估价对象为国有土地，土地所有权为国家所有，土地使用权人为</w:t>
      </w:r>
      <w:r>
        <w:rPr>
          <w:rFonts w:ascii="Arial" w:eastAsia="仿宋_GB2312" w:hAnsi="Arial" w:cs="Arial"/>
          <w:sz w:val="28"/>
        </w:rPr>
        <w:t>北京城投地下空间开发建设有限公司</w:t>
      </w:r>
      <w:r w:rsidRPr="00F631FB">
        <w:rPr>
          <w:rFonts w:ascii="Arial" w:eastAsia="仿宋_GB2312" w:hAnsi="Arial" w:cs="Arial"/>
          <w:sz w:val="28"/>
        </w:rPr>
        <w:t>。根据《国有建设用地使用权出让地价评估委托书》，土地用途为</w:t>
      </w:r>
      <w:r w:rsidRPr="00F631FB">
        <w:rPr>
          <w:rFonts w:ascii="Arial" w:eastAsia="仿宋_GB2312" w:hAnsi="Arial" w:cs="Arial" w:hint="eastAsia"/>
          <w:sz w:val="28"/>
          <w:szCs w:val="28"/>
        </w:rPr>
        <w:t>住宅、商业、</w:t>
      </w:r>
      <w:r w:rsidRPr="00F631FB">
        <w:rPr>
          <w:rFonts w:ascii="Arial" w:eastAsia="仿宋_GB2312" w:hAnsi="Arial" w:cs="Arial"/>
          <w:sz w:val="28"/>
          <w:szCs w:val="28"/>
        </w:rPr>
        <w:t>办公、地下办公</w:t>
      </w:r>
      <w:r>
        <w:rPr>
          <w:rFonts w:ascii="Arial" w:eastAsia="仿宋_GB2312" w:hAnsi="Arial" w:cs="Arial" w:hint="eastAsia"/>
          <w:sz w:val="28"/>
          <w:szCs w:val="28"/>
        </w:rPr>
        <w:t>、地下车库</w:t>
      </w:r>
      <w:r w:rsidRPr="00F631FB">
        <w:rPr>
          <w:rFonts w:ascii="Arial" w:eastAsia="仿宋_GB2312" w:hAnsi="Arial" w:cs="Arial"/>
          <w:sz w:val="28"/>
        </w:rPr>
        <w:t>，批准使用年限为</w:t>
      </w:r>
      <w:r w:rsidRPr="00F631FB">
        <w:rPr>
          <w:rFonts w:ascii="Arial" w:eastAsia="仿宋_GB2312" w:hAnsi="Arial" w:cs="Arial" w:hint="eastAsia"/>
          <w:sz w:val="28"/>
        </w:rPr>
        <w:t>住宅</w:t>
      </w:r>
      <w:r w:rsidRPr="00F631FB">
        <w:rPr>
          <w:rFonts w:ascii="Arial" w:eastAsia="仿宋_GB2312" w:hAnsi="Arial" w:cs="Arial" w:hint="eastAsia"/>
          <w:sz w:val="28"/>
        </w:rPr>
        <w:t>70</w:t>
      </w:r>
      <w:r w:rsidRPr="00F631FB">
        <w:rPr>
          <w:rFonts w:ascii="Arial" w:eastAsia="仿宋_GB2312" w:hAnsi="Arial" w:cs="Arial" w:hint="eastAsia"/>
          <w:sz w:val="28"/>
        </w:rPr>
        <w:t>年、</w:t>
      </w:r>
      <w:r w:rsidRPr="00F631FB">
        <w:rPr>
          <w:rFonts w:ascii="Arial" w:eastAsia="仿宋_GB2312" w:hAnsi="Arial" w:cs="Arial"/>
          <w:sz w:val="28"/>
        </w:rPr>
        <w:t>商业</w:t>
      </w:r>
      <w:r w:rsidRPr="00F631FB">
        <w:rPr>
          <w:rFonts w:ascii="Arial" w:eastAsia="仿宋_GB2312" w:hAnsi="Arial" w:cs="Arial"/>
          <w:sz w:val="28"/>
        </w:rPr>
        <w:t>40</w:t>
      </w:r>
      <w:r w:rsidRPr="00F631FB">
        <w:rPr>
          <w:rFonts w:ascii="Arial" w:eastAsia="仿宋_GB2312" w:hAnsi="Arial" w:cs="Arial"/>
          <w:sz w:val="28"/>
        </w:rPr>
        <w:t>年，</w:t>
      </w:r>
      <w:r>
        <w:rPr>
          <w:rFonts w:ascii="Arial" w:eastAsia="仿宋_GB2312" w:hAnsi="Arial" w:cs="Arial" w:hint="eastAsia"/>
          <w:bCs/>
          <w:sz w:val="28"/>
        </w:rPr>
        <w:t>办公</w:t>
      </w:r>
      <w:r w:rsidRPr="00F631FB">
        <w:rPr>
          <w:rFonts w:ascii="Arial" w:eastAsia="仿宋_GB2312" w:hAnsi="Arial" w:cs="Arial"/>
          <w:sz w:val="28"/>
        </w:rPr>
        <w:t>50</w:t>
      </w:r>
      <w:r w:rsidRPr="00F631FB">
        <w:rPr>
          <w:rFonts w:ascii="Arial" w:eastAsia="仿宋_GB2312" w:hAnsi="Arial" w:cs="Arial"/>
          <w:sz w:val="28"/>
        </w:rPr>
        <w:t>年</w:t>
      </w:r>
      <w:r>
        <w:rPr>
          <w:rFonts w:ascii="Arial" w:eastAsia="仿宋_GB2312" w:hAnsi="Arial" w:cs="Arial" w:hint="eastAsia"/>
          <w:sz w:val="28"/>
        </w:rPr>
        <w:t>，地下办公</w:t>
      </w:r>
      <w:r>
        <w:rPr>
          <w:rFonts w:ascii="Arial" w:eastAsia="仿宋_GB2312" w:hAnsi="Arial" w:cs="Arial" w:hint="eastAsia"/>
          <w:sz w:val="28"/>
        </w:rPr>
        <w:t>5</w:t>
      </w:r>
      <w:r>
        <w:rPr>
          <w:rFonts w:ascii="Arial" w:eastAsia="仿宋_GB2312" w:hAnsi="Arial" w:cs="Arial"/>
          <w:sz w:val="28"/>
        </w:rPr>
        <w:t>0</w:t>
      </w:r>
      <w:r>
        <w:rPr>
          <w:rFonts w:ascii="Arial" w:eastAsia="仿宋_GB2312" w:hAnsi="Arial" w:cs="Arial" w:hint="eastAsia"/>
          <w:sz w:val="28"/>
        </w:rPr>
        <w:t>年、地下车库</w:t>
      </w:r>
      <w:r>
        <w:rPr>
          <w:rFonts w:ascii="Arial" w:eastAsia="仿宋_GB2312" w:hAnsi="Arial" w:cs="Arial" w:hint="eastAsia"/>
          <w:sz w:val="28"/>
        </w:rPr>
        <w:t>5</w:t>
      </w:r>
      <w:r>
        <w:rPr>
          <w:rFonts w:ascii="Arial" w:eastAsia="仿宋_GB2312" w:hAnsi="Arial" w:cs="Arial"/>
          <w:sz w:val="28"/>
        </w:rPr>
        <w:t>0</w:t>
      </w:r>
      <w:r>
        <w:rPr>
          <w:rFonts w:ascii="Arial" w:eastAsia="仿宋_GB2312" w:hAnsi="Arial" w:cs="Arial" w:hint="eastAsia"/>
          <w:sz w:val="28"/>
        </w:rPr>
        <w:t>年。</w:t>
      </w:r>
      <w:r w:rsidRPr="00F631FB">
        <w:rPr>
          <w:rFonts w:ascii="Arial" w:eastAsia="仿宋_GB2312" w:hAnsi="Arial" w:cs="Arial" w:hint="eastAsia"/>
          <w:sz w:val="28"/>
        </w:rPr>
        <w:t>根据估价目的，</w:t>
      </w:r>
      <w:r w:rsidRPr="00F631FB">
        <w:rPr>
          <w:rFonts w:ascii="Arial" w:eastAsia="仿宋_GB2312" w:hAnsi="Arial" w:cs="Arial"/>
          <w:sz w:val="28"/>
        </w:rPr>
        <w:t>本次评估设定</w:t>
      </w:r>
      <w:r w:rsidRPr="00F631FB">
        <w:rPr>
          <w:rFonts w:ascii="Arial" w:eastAsia="仿宋_GB2312" w:hAnsi="Arial" w:cs="Arial" w:hint="eastAsia"/>
          <w:sz w:val="28"/>
        </w:rPr>
        <w:t>地上住宅</w:t>
      </w:r>
      <w:r w:rsidRPr="00F631FB">
        <w:rPr>
          <w:rFonts w:ascii="Arial" w:eastAsia="仿宋_GB2312" w:hAnsi="Arial" w:cs="Arial" w:hint="eastAsia"/>
          <w:sz w:val="28"/>
          <w:szCs w:val="28"/>
        </w:rPr>
        <w:t>土地剩余使用年限为</w:t>
      </w:r>
      <w:r w:rsidRPr="00F631FB">
        <w:rPr>
          <w:rFonts w:ascii="Arial" w:eastAsia="仿宋_GB2312" w:hAnsi="Arial" w:cs="Arial" w:hint="eastAsia"/>
          <w:sz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szCs w:val="28"/>
        </w:rPr>
        <w:t>土地剩余使用年限为</w:t>
      </w:r>
      <w:r w:rsidRPr="00F631FB">
        <w:rPr>
          <w:rFonts w:ascii="Arial" w:eastAsia="仿宋_GB2312" w:hAnsi="Arial" w:cs="Arial" w:hint="eastAsia"/>
          <w:sz w:val="28"/>
        </w:rPr>
        <w:t>40</w:t>
      </w:r>
      <w:r w:rsidRPr="00F631FB">
        <w:rPr>
          <w:rFonts w:ascii="Arial" w:eastAsia="仿宋_GB2312" w:hAnsi="Arial" w:cs="Arial"/>
          <w:sz w:val="28"/>
        </w:rPr>
        <w:t>年</w:t>
      </w:r>
      <w:r w:rsidRPr="00F631FB">
        <w:rPr>
          <w:rFonts w:ascii="Arial" w:eastAsia="仿宋_GB2312" w:hAnsi="Arial" w:cs="Arial" w:hint="eastAsia"/>
          <w:sz w:val="28"/>
        </w:rPr>
        <w:t>，</w:t>
      </w:r>
      <w:r w:rsidRPr="00F631FB">
        <w:rPr>
          <w:rFonts w:ascii="Arial" w:eastAsia="仿宋_GB2312" w:hAnsi="Arial" w:cs="Arial" w:hint="eastAsia"/>
          <w:sz w:val="28"/>
          <w:szCs w:val="28"/>
        </w:rPr>
        <w:t>地上办公土地剩余使用年限为</w:t>
      </w:r>
      <w:r w:rsidRPr="00F631FB">
        <w:rPr>
          <w:rFonts w:ascii="Arial" w:eastAsia="仿宋_GB2312" w:hAnsi="Arial" w:cs="Arial" w:hint="eastAsia"/>
          <w:sz w:val="28"/>
          <w:szCs w:val="28"/>
        </w:rPr>
        <w:t>50</w:t>
      </w:r>
      <w:r w:rsidRPr="00F631FB">
        <w:rPr>
          <w:rFonts w:ascii="Arial" w:eastAsia="仿宋_GB2312" w:hAnsi="Arial" w:cs="Arial" w:hint="eastAsia"/>
          <w:sz w:val="28"/>
          <w:szCs w:val="28"/>
        </w:rPr>
        <w:t>年、</w:t>
      </w:r>
      <w:r w:rsidRPr="00F631FB">
        <w:rPr>
          <w:rFonts w:ascii="Arial" w:eastAsia="仿宋_GB2312" w:hAnsi="Arial" w:cs="Arial"/>
          <w:sz w:val="28"/>
          <w:szCs w:val="28"/>
        </w:rPr>
        <w:t>地下</w:t>
      </w:r>
      <w:r w:rsidRPr="00F631FB">
        <w:rPr>
          <w:rFonts w:ascii="Arial" w:eastAsia="仿宋_GB2312" w:hAnsi="Arial" w:cs="Arial" w:hint="eastAsia"/>
          <w:sz w:val="28"/>
          <w:szCs w:val="28"/>
        </w:rPr>
        <w:t>办公土地剩余使用年限为</w:t>
      </w:r>
      <w:r>
        <w:rPr>
          <w:rFonts w:ascii="Arial" w:eastAsia="仿宋_GB2312" w:hAnsi="Arial" w:cs="Arial"/>
          <w:sz w:val="28"/>
          <w:szCs w:val="28"/>
        </w:rPr>
        <w:t>50</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w:t>
      </w:r>
      <w:r>
        <w:rPr>
          <w:rFonts w:ascii="Arial" w:eastAsia="仿宋_GB2312" w:hAnsi="Arial" w:cs="Arial" w:hint="eastAsia"/>
          <w:sz w:val="28"/>
          <w:szCs w:val="28"/>
        </w:rPr>
        <w:t>车库</w:t>
      </w:r>
      <w:r w:rsidRPr="00F631FB">
        <w:rPr>
          <w:rFonts w:ascii="Arial" w:eastAsia="仿宋_GB2312" w:hAnsi="Arial" w:cs="Arial" w:hint="eastAsia"/>
          <w:sz w:val="28"/>
          <w:szCs w:val="28"/>
        </w:rPr>
        <w:t>土地剩余使用年限为</w:t>
      </w:r>
      <w:r>
        <w:rPr>
          <w:rFonts w:ascii="Arial" w:eastAsia="仿宋_GB2312" w:hAnsi="Arial" w:cs="Arial"/>
          <w:sz w:val="28"/>
          <w:szCs w:val="28"/>
        </w:rPr>
        <w:t>50</w:t>
      </w:r>
      <w:r w:rsidRPr="00F631FB">
        <w:rPr>
          <w:rFonts w:ascii="Arial" w:eastAsia="仿宋_GB2312" w:hAnsi="Arial" w:cs="Arial" w:hint="eastAsia"/>
          <w:sz w:val="28"/>
          <w:szCs w:val="28"/>
        </w:rPr>
        <w:t>年</w:t>
      </w:r>
      <w:r w:rsidRPr="00F631FB">
        <w:rPr>
          <w:rFonts w:ascii="Arial" w:eastAsia="仿宋_GB2312" w:hAnsi="Arial" w:cs="Arial"/>
          <w:sz w:val="28"/>
        </w:rPr>
        <w:t>。</w:t>
      </w:r>
    </w:p>
    <w:p w14:paraId="0FEED19E"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及其附图、《海淀区苏州街一体化棚户区改造项目建筑面积及用途的说明》及其附表记载，估价对象总用地面积</w:t>
      </w:r>
      <w:r>
        <w:rPr>
          <w:rFonts w:ascii="Arial" w:eastAsia="仿宋_GB2312" w:hAnsi="Arial" w:cs="Arial"/>
          <w:sz w:val="28"/>
        </w:rPr>
        <w:t>6180.978</w:t>
      </w:r>
      <w:r>
        <w:rPr>
          <w:rFonts w:ascii="Arial" w:eastAsia="仿宋_GB2312" w:hAnsi="Arial" w:cs="Arial" w:hint="eastAsia"/>
          <w:sz w:val="28"/>
        </w:rPr>
        <w:t>平方米，均为建设用地。总规划建筑面积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w:t>
      </w:r>
      <w:r>
        <w:rPr>
          <w:rFonts w:ascii="Arial" w:eastAsia="仿宋_GB2312" w:hAnsi="Arial" w:cs="Arial" w:hint="eastAsia"/>
          <w:sz w:val="28"/>
        </w:rPr>
        <w:lastRenderedPageBreak/>
        <w:t>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w:t>
      </w:r>
    </w:p>
    <w:p w14:paraId="57EC47BB" w14:textId="77777777" w:rsidR="00E651D3" w:rsidRPr="00F631FB" w:rsidRDefault="00E651D3" w:rsidP="00E651D3">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评估专业人员根据委托估价方所提供的资料，未发现有抵押、租赁的登记信息，本次评估设定估价对象不存在抵押、租赁等他项权利。</w:t>
      </w:r>
    </w:p>
    <w:p w14:paraId="1E88A6A7" w14:textId="77777777" w:rsidR="00E651D3" w:rsidRPr="00F631FB" w:rsidRDefault="00E651D3" w:rsidP="00E651D3">
      <w:pPr>
        <w:spacing w:line="360" w:lineRule="auto"/>
        <w:jc w:val="both"/>
        <w:rPr>
          <w:rFonts w:ascii="Arial" w:eastAsia="仿宋_GB2312" w:hAnsi="Arial" w:cs="Arial"/>
          <w:sz w:val="28"/>
        </w:rPr>
      </w:pPr>
      <w:r w:rsidRPr="00F631FB">
        <w:rPr>
          <w:rFonts w:ascii="Arial" w:eastAsia="仿宋_GB2312" w:hAnsi="Arial" w:cs="Arial"/>
          <w:sz w:val="28"/>
        </w:rPr>
        <w:t>（三）土地利用状况</w:t>
      </w:r>
    </w:p>
    <w:p w14:paraId="7B6E26B6"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土地规划设计条件</w:t>
      </w:r>
    </w:p>
    <w:p w14:paraId="4BD01059"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2019</w:t>
      </w:r>
      <w:r>
        <w:rPr>
          <w:rFonts w:ascii="Arial" w:eastAsia="仿宋_GB2312" w:hAnsi="Arial" w:cs="Arial" w:hint="eastAsia"/>
          <w:sz w:val="28"/>
          <w:szCs w:val="28"/>
        </w:rPr>
        <w:t>年</w:t>
      </w:r>
      <w:r>
        <w:rPr>
          <w:rFonts w:ascii="Arial" w:eastAsia="仿宋_GB2312" w:hAnsi="Arial" w:cs="Arial"/>
          <w:sz w:val="28"/>
          <w:szCs w:val="28"/>
        </w:rPr>
        <w:t>3</w:t>
      </w:r>
      <w:r>
        <w:rPr>
          <w:rFonts w:ascii="Arial" w:eastAsia="仿宋_GB2312" w:hAnsi="Arial" w:cs="Arial" w:hint="eastAsia"/>
          <w:sz w:val="28"/>
          <w:szCs w:val="28"/>
        </w:rPr>
        <w:t>月</w:t>
      </w:r>
      <w:r>
        <w:rPr>
          <w:rFonts w:ascii="Arial" w:eastAsia="仿宋_GB2312" w:hAnsi="Arial" w:cs="Arial"/>
          <w:sz w:val="28"/>
          <w:szCs w:val="28"/>
        </w:rPr>
        <w:t>29</w:t>
      </w:r>
      <w:r>
        <w:rPr>
          <w:rFonts w:ascii="Arial" w:eastAsia="仿宋_GB2312" w:hAnsi="Arial" w:cs="Arial" w:hint="eastAsia"/>
          <w:sz w:val="28"/>
          <w:szCs w:val="28"/>
        </w:rPr>
        <w:t>日，北京城投地下空间开发建设有限公司取得北京市规划和国土资源管理委员会颁发的</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w:t>
      </w:r>
      <w:r>
        <w:rPr>
          <w:rFonts w:ascii="Arial" w:eastAsia="仿宋_GB2312" w:hAnsi="Arial" w:cs="Arial" w:hint="eastAsia"/>
          <w:sz w:val="28"/>
          <w:szCs w:val="28"/>
        </w:rPr>
        <w:t>：</w:t>
      </w:r>
    </w:p>
    <w:p w14:paraId="08100678"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该项目位于：海淀南路</w:t>
      </w:r>
      <w:r>
        <w:rPr>
          <w:rFonts w:ascii="Arial" w:eastAsia="仿宋_GB2312" w:hAnsi="Arial" w:cs="Arial"/>
          <w:sz w:val="28"/>
          <w:szCs w:val="28"/>
        </w:rPr>
        <w:t>12</w:t>
      </w:r>
      <w:r>
        <w:rPr>
          <w:rFonts w:ascii="Arial" w:eastAsia="仿宋_GB2312" w:hAnsi="Arial" w:cs="Arial" w:hint="eastAsia"/>
          <w:sz w:val="28"/>
          <w:szCs w:val="28"/>
        </w:rPr>
        <w:t>号院</w:t>
      </w:r>
    </w:p>
    <w:p w14:paraId="69D4DECA"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建设用地性质：</w:t>
      </w:r>
      <w:r>
        <w:rPr>
          <w:rFonts w:ascii="Arial" w:eastAsia="仿宋_GB2312" w:hAnsi="Arial" w:cs="Arial"/>
          <w:sz w:val="28"/>
          <w:szCs w:val="28"/>
        </w:rPr>
        <w:t>R2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p>
    <w:p w14:paraId="2673EA3D"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建筑使用性质：安置用房及配套设施</w:t>
      </w:r>
    </w:p>
    <w:p w14:paraId="47EDED7E"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sz w:val="28"/>
          <w:szCs w:val="28"/>
        </w:rPr>
        <w:t>6180.978</w:t>
      </w:r>
      <w:r>
        <w:rPr>
          <w:rFonts w:ascii="Arial" w:eastAsia="仿宋_GB2312" w:hAnsi="Arial" w:cs="Arial" w:hint="eastAsia"/>
          <w:sz w:val="28"/>
          <w:szCs w:val="28"/>
        </w:rPr>
        <w:t>平方米</w:t>
      </w:r>
    </w:p>
    <w:p w14:paraId="0DBCD19E"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总建筑面积：</w:t>
      </w:r>
      <w:r>
        <w:rPr>
          <w:rFonts w:ascii="Arial" w:eastAsia="仿宋_GB2312" w:hAnsi="Arial" w:cs="Arial"/>
          <w:sz w:val="28"/>
          <w:szCs w:val="28"/>
        </w:rPr>
        <w:t>46793</w:t>
      </w:r>
      <w:r>
        <w:rPr>
          <w:rFonts w:ascii="Arial" w:eastAsia="仿宋_GB2312" w:hAnsi="Arial" w:cs="Arial" w:hint="eastAsia"/>
          <w:sz w:val="28"/>
          <w:szCs w:val="28"/>
        </w:rPr>
        <w:t>平方米</w:t>
      </w:r>
    </w:p>
    <w:p w14:paraId="1FC261E2"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hint="eastAsia"/>
          <w:sz w:val="28"/>
          <w:szCs w:val="28"/>
        </w:rPr>
        <w:t>地上建筑面积：</w:t>
      </w:r>
      <w:r>
        <w:rPr>
          <w:rFonts w:ascii="Arial" w:eastAsia="仿宋_GB2312" w:hAnsi="Arial" w:cs="Arial"/>
          <w:sz w:val="28"/>
          <w:szCs w:val="28"/>
        </w:rPr>
        <w:t>31511</w:t>
      </w:r>
      <w:r>
        <w:rPr>
          <w:rFonts w:ascii="Arial" w:eastAsia="仿宋_GB2312" w:hAnsi="Arial" w:cs="Arial" w:hint="eastAsia"/>
          <w:sz w:val="28"/>
          <w:szCs w:val="28"/>
        </w:rPr>
        <w:t>平方米</w:t>
      </w:r>
    </w:p>
    <w:p w14:paraId="7F31D983"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hint="eastAsia"/>
          <w:sz w:val="28"/>
          <w:szCs w:val="28"/>
        </w:rPr>
        <w:t>地下建筑面积：</w:t>
      </w:r>
      <w:r>
        <w:rPr>
          <w:rFonts w:ascii="Arial" w:eastAsia="仿宋_GB2312" w:hAnsi="Arial" w:cs="Arial"/>
          <w:sz w:val="28"/>
          <w:szCs w:val="28"/>
        </w:rPr>
        <w:t>15282</w:t>
      </w:r>
      <w:r>
        <w:rPr>
          <w:rFonts w:ascii="Arial" w:eastAsia="仿宋_GB2312" w:hAnsi="Arial" w:cs="Arial" w:hint="eastAsia"/>
          <w:sz w:val="28"/>
          <w:szCs w:val="28"/>
        </w:rPr>
        <w:t>平方米</w:t>
      </w:r>
    </w:p>
    <w:p w14:paraId="3672828F"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sz w:val="28"/>
          <w:szCs w:val="28"/>
        </w:rPr>
        <w:t>5.10</w:t>
      </w:r>
    </w:p>
    <w:p w14:paraId="6207671D"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根据《国有建设用地使用权出让地价评估委托书》，本次土地利用情况</w:t>
      </w:r>
      <w:r>
        <w:rPr>
          <w:rFonts w:ascii="Arial" w:eastAsia="仿宋_GB2312" w:hAnsi="Arial" w:cs="Arial" w:hint="eastAsia"/>
          <w:sz w:val="28"/>
          <w:szCs w:val="28"/>
        </w:rPr>
        <w:lastRenderedPageBreak/>
        <w:t>如下：</w:t>
      </w:r>
    </w:p>
    <w:p w14:paraId="510BA218"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该项目位于：北京市海淀区苏州街站一体化棚户区改造一次性招标项目</w:t>
      </w:r>
    </w:p>
    <w:p w14:paraId="46565566"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规划土地用途：住宅、商业、办公、地下办公、地下车库</w:t>
      </w:r>
    </w:p>
    <w:p w14:paraId="79170C5C"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sz w:val="28"/>
          <w:szCs w:val="28"/>
        </w:rPr>
        <w:t>6180.978</w:t>
      </w:r>
      <w:r>
        <w:rPr>
          <w:rFonts w:ascii="Arial" w:eastAsia="仿宋_GB2312" w:hAnsi="Arial" w:cs="Arial" w:hint="eastAsia"/>
          <w:sz w:val="28"/>
          <w:szCs w:val="28"/>
        </w:rPr>
        <w:t>平方米</w:t>
      </w:r>
    </w:p>
    <w:p w14:paraId="04420B41"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总建筑面积：</w:t>
      </w:r>
      <w:r>
        <w:rPr>
          <w:rFonts w:ascii="Arial" w:eastAsia="仿宋_GB2312" w:hAnsi="Arial" w:cs="Arial"/>
          <w:sz w:val="28"/>
          <w:szCs w:val="28"/>
        </w:rPr>
        <w:t>46793</w:t>
      </w:r>
      <w:r>
        <w:rPr>
          <w:rFonts w:ascii="Arial" w:eastAsia="仿宋_GB2312" w:hAnsi="Arial" w:cs="Arial" w:hint="eastAsia"/>
          <w:sz w:val="28"/>
          <w:szCs w:val="28"/>
        </w:rPr>
        <w:t>平方米</w:t>
      </w:r>
    </w:p>
    <w:p w14:paraId="74B66A64"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hint="eastAsia"/>
          <w:sz w:val="28"/>
          <w:szCs w:val="28"/>
        </w:rPr>
        <w:t>地上建筑面积：</w:t>
      </w:r>
      <w:r>
        <w:rPr>
          <w:rFonts w:ascii="Arial" w:eastAsia="仿宋_GB2312" w:hAnsi="Arial" w:cs="Arial"/>
          <w:sz w:val="28"/>
          <w:szCs w:val="28"/>
        </w:rPr>
        <w:t>31511</w:t>
      </w:r>
      <w:r>
        <w:rPr>
          <w:rFonts w:ascii="Arial" w:eastAsia="仿宋_GB2312" w:hAnsi="Arial" w:cs="Arial" w:hint="eastAsia"/>
          <w:sz w:val="28"/>
          <w:szCs w:val="28"/>
        </w:rPr>
        <w:t>平方米</w:t>
      </w:r>
    </w:p>
    <w:p w14:paraId="151C7DDC"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hint="eastAsia"/>
          <w:sz w:val="28"/>
          <w:szCs w:val="28"/>
        </w:rPr>
        <w:t>地下建筑面积：</w:t>
      </w:r>
      <w:r>
        <w:rPr>
          <w:rFonts w:ascii="Arial" w:eastAsia="仿宋_GB2312" w:hAnsi="Arial" w:cs="Arial"/>
          <w:sz w:val="28"/>
          <w:szCs w:val="28"/>
        </w:rPr>
        <w:t>15282</w:t>
      </w:r>
      <w:r>
        <w:rPr>
          <w:rFonts w:ascii="Arial" w:eastAsia="仿宋_GB2312" w:hAnsi="Arial" w:cs="Arial" w:hint="eastAsia"/>
          <w:sz w:val="28"/>
          <w:szCs w:val="28"/>
        </w:rPr>
        <w:t>平方米</w:t>
      </w:r>
    </w:p>
    <w:p w14:paraId="01151A65"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sz w:val="28"/>
          <w:szCs w:val="28"/>
        </w:rPr>
        <w:t>5.10</w:t>
      </w:r>
    </w:p>
    <w:p w14:paraId="21A25462" w14:textId="77777777" w:rsidR="00E651D3" w:rsidRDefault="00E651D3" w:rsidP="00E651D3">
      <w:pPr>
        <w:spacing w:line="36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hint="eastAsia"/>
          <w:spacing w:val="-12"/>
          <w:sz w:val="28"/>
        </w:rPr>
        <w:t>土地利用现状</w:t>
      </w:r>
    </w:p>
    <w:p w14:paraId="1B9151B1" w14:textId="2C16D2BE" w:rsidR="002C3ABF" w:rsidRPr="00F631FB" w:rsidRDefault="00831261" w:rsidP="00E651D3">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29</w:t>
      </w:r>
      <w:r>
        <w:rPr>
          <w:rFonts w:ascii="Arial" w:eastAsia="仿宋_GB2312" w:hAnsi="Arial" w:cs="Arial"/>
          <w:sz w:val="28"/>
          <w:szCs w:val="28"/>
        </w:rPr>
        <w:t>日</w:t>
      </w:r>
      <w:r w:rsidR="00E651D3">
        <w:rPr>
          <w:rFonts w:ascii="Arial" w:eastAsia="仿宋_GB2312" w:hAnsi="Arial" w:cs="Arial" w:hint="eastAsia"/>
          <w:sz w:val="28"/>
          <w:szCs w:val="28"/>
        </w:rPr>
        <w:t>评估专业人员对该项目现场查勘，北京市海淀区苏州街站一体化棚户区改造一次性招标项目正在进行结构施工。根据联系人介绍，宗地红线外基础设施已达到</w:t>
      </w:r>
      <w:proofErr w:type="gramStart"/>
      <w:r w:rsidR="00E651D3">
        <w:rPr>
          <w:rFonts w:ascii="Arial" w:eastAsia="仿宋_GB2312" w:hAnsi="Arial" w:cs="Arial"/>
          <w:sz w:val="28"/>
          <w:szCs w:val="28"/>
        </w:rPr>
        <w:t>”</w:t>
      </w:r>
      <w:proofErr w:type="gramEnd"/>
      <w:r w:rsidR="00E651D3">
        <w:rPr>
          <w:rFonts w:ascii="Arial" w:eastAsia="仿宋_GB2312" w:hAnsi="Arial" w:cs="Arial" w:hint="eastAsia"/>
          <w:sz w:val="28"/>
          <w:szCs w:val="28"/>
        </w:rPr>
        <w:t>七通</w:t>
      </w:r>
      <w:proofErr w:type="gramStart"/>
      <w:r w:rsidR="00E651D3">
        <w:rPr>
          <w:rFonts w:ascii="Arial" w:eastAsia="仿宋_GB2312" w:hAnsi="Arial" w:cs="Arial"/>
          <w:sz w:val="28"/>
          <w:szCs w:val="28"/>
        </w:rPr>
        <w:t>”</w:t>
      </w:r>
      <w:proofErr w:type="gramEnd"/>
      <w:r w:rsidR="00E651D3">
        <w:rPr>
          <w:rFonts w:ascii="Arial" w:eastAsia="仿宋_GB2312" w:hAnsi="Arial" w:cs="Arial" w:hint="eastAsia"/>
          <w:sz w:val="28"/>
          <w:szCs w:val="28"/>
        </w:rPr>
        <w:t>（即通路、通电（管沟和电缆）、通讯、通上水（自来水、中水）、通下水（雨水、污水）、通燃气、通热）</w:t>
      </w:r>
      <w:r w:rsidR="00A145B3" w:rsidRPr="00F631FB">
        <w:rPr>
          <w:rFonts w:ascii="Arial" w:eastAsia="仿宋_GB2312" w:hAnsi="Arial" w:cs="Arial"/>
          <w:sz w:val="28"/>
          <w:szCs w:val="28"/>
        </w:rPr>
        <w:t>。</w:t>
      </w:r>
    </w:p>
    <w:p w14:paraId="30F7B431" w14:textId="77777777" w:rsidR="00503BBF" w:rsidRPr="00F631FB" w:rsidRDefault="00503BBF" w:rsidP="002C3ABF">
      <w:pPr>
        <w:snapToGrid w:val="0"/>
        <w:spacing w:line="360" w:lineRule="auto"/>
        <w:ind w:firstLineChars="200" w:firstLine="560"/>
        <w:jc w:val="both"/>
        <w:rPr>
          <w:rFonts w:ascii="Arial" w:eastAsia="仿宋_GB2312" w:hAnsi="Arial" w:cs="Arial"/>
          <w:sz w:val="28"/>
          <w:szCs w:val="28"/>
        </w:rPr>
      </w:pPr>
    </w:p>
    <w:p w14:paraId="4878C2E4" w14:textId="77777777" w:rsidR="00A42F66" w:rsidRDefault="00A42F66" w:rsidP="002C3ABF">
      <w:pPr>
        <w:spacing w:line="360" w:lineRule="auto"/>
        <w:outlineLvl w:val="1"/>
        <w:rPr>
          <w:rFonts w:ascii="Arial" w:eastAsia="仿宋_GB2312" w:hAnsi="Arial" w:cs="Arial"/>
          <w:b/>
          <w:sz w:val="28"/>
        </w:rPr>
      </w:pPr>
      <w:bookmarkStart w:id="271" w:name="_Toc516488196"/>
      <w:bookmarkStart w:id="272" w:name="_Toc515457818"/>
      <w:bookmarkStart w:id="273" w:name="_Toc524335100"/>
      <w:bookmarkStart w:id="274" w:name="_Toc66929526"/>
      <w:bookmarkStart w:id="275" w:name="_Toc69393401"/>
      <w:r>
        <w:rPr>
          <w:rFonts w:ascii="Arial" w:eastAsia="仿宋_GB2312" w:hAnsi="Arial" w:cs="Arial"/>
          <w:b/>
          <w:sz w:val="28"/>
        </w:rPr>
        <w:br w:type="page"/>
      </w:r>
    </w:p>
    <w:p w14:paraId="29C87AD1" w14:textId="3137E5D4" w:rsidR="002C3ABF" w:rsidRPr="00F631FB" w:rsidRDefault="002C3ABF" w:rsidP="002C3ABF">
      <w:pPr>
        <w:spacing w:line="360" w:lineRule="auto"/>
        <w:outlineLvl w:val="1"/>
        <w:rPr>
          <w:rFonts w:ascii="Arial" w:eastAsia="仿宋_GB2312" w:hAnsi="Arial" w:cs="Arial"/>
          <w:b/>
          <w:sz w:val="28"/>
        </w:rPr>
      </w:pPr>
      <w:r w:rsidRPr="00F631FB">
        <w:rPr>
          <w:rFonts w:ascii="Arial" w:eastAsia="仿宋_GB2312" w:hAnsi="Arial" w:cs="Arial"/>
          <w:b/>
          <w:sz w:val="28"/>
        </w:rPr>
        <w:lastRenderedPageBreak/>
        <w:t>二、地价影响因素分析</w:t>
      </w:r>
      <w:bookmarkEnd w:id="268"/>
      <w:bookmarkEnd w:id="269"/>
      <w:bookmarkEnd w:id="270"/>
      <w:bookmarkEnd w:id="271"/>
      <w:bookmarkEnd w:id="272"/>
      <w:bookmarkEnd w:id="273"/>
      <w:bookmarkEnd w:id="274"/>
      <w:bookmarkEnd w:id="275"/>
    </w:p>
    <w:p w14:paraId="762F4D2C" w14:textId="77777777" w:rsidR="00A145B3" w:rsidRPr="008258E2" w:rsidRDefault="00A145B3" w:rsidP="00A145B3">
      <w:pPr>
        <w:spacing w:line="360" w:lineRule="auto"/>
        <w:jc w:val="both"/>
        <w:rPr>
          <w:rFonts w:ascii="Arial" w:eastAsia="仿宋_GB2312" w:hAnsi="Arial"/>
          <w:sz w:val="28"/>
        </w:rPr>
      </w:pPr>
      <w:bookmarkStart w:id="276" w:name="_Toc516488204"/>
      <w:bookmarkStart w:id="277" w:name="_Toc515457822"/>
      <w:bookmarkStart w:id="278" w:name="_Toc469066168"/>
      <w:bookmarkStart w:id="279" w:name="_Toc416783695"/>
      <w:bookmarkStart w:id="280" w:name="_Toc416783599"/>
      <w:bookmarkStart w:id="281" w:name="_Toc524335110"/>
      <w:bookmarkStart w:id="282" w:name="_Toc66929527"/>
      <w:bookmarkStart w:id="283" w:name="_Toc69393402"/>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0FB0899F" w14:textId="77777777" w:rsidR="00A145B3" w:rsidRPr="008258E2" w:rsidRDefault="00A145B3" w:rsidP="00A145B3">
      <w:pPr>
        <w:spacing w:line="360" w:lineRule="auto"/>
        <w:ind w:right="205" w:firstLineChars="200" w:firstLine="560"/>
        <w:jc w:val="both"/>
        <w:outlineLvl w:val="0"/>
        <w:rPr>
          <w:rFonts w:ascii="Arial" w:eastAsia="仿宋_GB2312" w:hAnsi="Arial"/>
          <w:bCs/>
          <w:i/>
          <w:sz w:val="28"/>
          <w:szCs w:val="28"/>
        </w:rPr>
      </w:pPr>
      <w:r w:rsidRPr="00671BFF">
        <w:rPr>
          <w:rFonts w:ascii="Arial" w:eastAsia="仿宋_GB2312" w:hAnsi="Arial" w:hint="eastAsia"/>
          <w:bCs/>
          <w:sz w:val="28"/>
          <w:szCs w:val="28"/>
        </w:rPr>
        <w:t>1</w:t>
      </w:r>
      <w:r w:rsidRPr="008258E2">
        <w:rPr>
          <w:rFonts w:ascii="Arial" w:eastAsia="仿宋_GB2312" w:hAnsi="Arial" w:hint="eastAsia"/>
          <w:bCs/>
          <w:sz w:val="28"/>
          <w:szCs w:val="28"/>
        </w:rPr>
        <w:t>.</w:t>
      </w:r>
      <w:r w:rsidRPr="008258E2">
        <w:rPr>
          <w:rFonts w:ascii="Arial" w:eastAsia="仿宋_GB2312" w:hAnsi="Arial" w:hint="eastAsia"/>
          <w:bCs/>
          <w:sz w:val="28"/>
          <w:szCs w:val="28"/>
        </w:rPr>
        <w:t>城市资源状况</w:t>
      </w:r>
    </w:p>
    <w:p w14:paraId="029C5D53" w14:textId="77777777" w:rsidR="00A145B3" w:rsidRPr="008258E2" w:rsidRDefault="00A145B3" w:rsidP="00A145B3">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14:paraId="43B4F459" w14:textId="77777777" w:rsidR="00A145B3" w:rsidRPr="001D2A49" w:rsidRDefault="00A145B3" w:rsidP="00A145B3">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100EC0D8" w14:textId="77777777" w:rsidR="00A145B3" w:rsidRPr="00390823" w:rsidRDefault="00A145B3" w:rsidP="00A145B3">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2108E607" w14:textId="77777777" w:rsidR="00A145B3" w:rsidRPr="001B37A1" w:rsidRDefault="00A145B3" w:rsidP="00A145B3">
      <w:pPr>
        <w:widowControl/>
        <w:adjustRightInd/>
        <w:spacing w:line="375" w:lineRule="atLeast"/>
        <w:jc w:val="center"/>
        <w:textAlignment w:val="auto"/>
        <w:rPr>
          <w:rFonts w:ascii="宋体" w:hAnsi="宋体" w:cs="宋体"/>
          <w:sz w:val="21"/>
          <w:szCs w:val="21"/>
        </w:rPr>
      </w:pPr>
      <w:r w:rsidRPr="00467B97">
        <w:rPr>
          <w:noProof/>
        </w:rPr>
        <w:drawing>
          <wp:inline distT="0" distB="0" distL="0" distR="0" wp14:anchorId="6F4E9BA3" wp14:editId="35B5AF75">
            <wp:extent cx="4821382" cy="2161309"/>
            <wp:effectExtent l="0" t="0" r="17780" b="10795"/>
            <wp:docPr id="72" name="图表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D6D5FED" w14:textId="77777777" w:rsidR="00A145B3" w:rsidRPr="00042364" w:rsidRDefault="00A145B3" w:rsidP="00A145B3">
      <w:pPr>
        <w:spacing w:line="360" w:lineRule="auto"/>
        <w:ind w:right="205" w:firstLineChars="200" w:firstLine="560"/>
        <w:jc w:val="both"/>
        <w:rPr>
          <w:rFonts w:ascii="Arial" w:eastAsia="仿宋_GB2312" w:hAnsi="Arial" w:cs="Arial"/>
          <w:bCs/>
          <w:color w:val="000000"/>
          <w:sz w:val="28"/>
          <w:szCs w:val="28"/>
        </w:rPr>
      </w:pPr>
      <w:r w:rsidRPr="00042364">
        <w:rPr>
          <w:rFonts w:ascii="Arial" w:eastAsia="仿宋_GB2312" w:hAnsi="Arial" w:cs="Arial"/>
          <w:bCs/>
          <w:color w:val="000000"/>
          <w:sz w:val="28"/>
          <w:szCs w:val="28"/>
        </w:rPr>
        <w:t>2.</w:t>
      </w:r>
      <w:r w:rsidRPr="00042364">
        <w:rPr>
          <w:rFonts w:ascii="Arial" w:eastAsia="仿宋_GB2312" w:hAnsi="Arial" w:cs="Arial"/>
          <w:bCs/>
          <w:color w:val="000000"/>
          <w:sz w:val="28"/>
          <w:szCs w:val="28"/>
        </w:rPr>
        <w:t>房地产市场状况</w:t>
      </w:r>
    </w:p>
    <w:p w14:paraId="1805E895"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bCs/>
          <w:color w:val="000000"/>
          <w:sz w:val="28"/>
          <w:szCs w:val="28"/>
        </w:rPr>
        <w:t>（</w:t>
      </w:r>
      <w:r w:rsidRPr="00042364">
        <w:rPr>
          <w:rFonts w:ascii="Arial" w:eastAsia="仿宋_GB2312" w:hAnsi="Arial" w:cs="Arial"/>
          <w:bCs/>
          <w:color w:val="000000"/>
          <w:sz w:val="28"/>
          <w:szCs w:val="28"/>
        </w:rPr>
        <w:t>1</w:t>
      </w:r>
      <w:r w:rsidRPr="00042364">
        <w:rPr>
          <w:rFonts w:ascii="Arial" w:eastAsia="仿宋_GB2312" w:hAnsi="Arial" w:cs="Arial"/>
          <w:bCs/>
          <w:color w:val="000000"/>
          <w:sz w:val="28"/>
          <w:szCs w:val="28"/>
        </w:rPr>
        <w:t>）土地市场</w:t>
      </w:r>
    </w:p>
    <w:p w14:paraId="35B85BBE" w14:textId="77777777" w:rsidR="00A145B3" w:rsidRPr="00042364" w:rsidRDefault="00A145B3" w:rsidP="00A145B3">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lastRenderedPageBreak/>
        <w:t>1</w:t>
      </w:r>
      <w:r w:rsidRPr="00042364">
        <w:rPr>
          <w:rFonts w:ascii="Arial" w:eastAsia="仿宋_GB2312" w:hAnsi="Arial" w:hint="eastAsia"/>
          <w:bCs/>
          <w:color w:val="000000"/>
          <w:sz w:val="28"/>
          <w:szCs w:val="28"/>
        </w:rPr>
        <w:t>）土地供求情况</w:t>
      </w:r>
    </w:p>
    <w:p w14:paraId="7CA46A07" w14:textId="77777777" w:rsidR="00A145B3" w:rsidRPr="00042364" w:rsidRDefault="00A145B3" w:rsidP="00A145B3">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年前三季度北京商品住宅用地（含共有产权房）共推出</w:t>
      </w:r>
      <w:r w:rsidRPr="00042364">
        <w:rPr>
          <w:rFonts w:ascii="Arial" w:eastAsia="仿宋_GB2312" w:hAnsi="Arial" w:hint="eastAsia"/>
          <w:bCs/>
          <w:color w:val="000000"/>
          <w:sz w:val="28"/>
          <w:szCs w:val="28"/>
        </w:rPr>
        <w:t>80</w:t>
      </w:r>
      <w:r w:rsidRPr="00042364">
        <w:rPr>
          <w:rFonts w:ascii="Arial" w:eastAsia="仿宋_GB2312" w:hAnsi="Arial" w:hint="eastAsia"/>
          <w:bCs/>
          <w:color w:val="000000"/>
          <w:sz w:val="28"/>
          <w:szCs w:val="28"/>
        </w:rPr>
        <w:t>宗，累计供应</w:t>
      </w:r>
      <w:proofErr w:type="gramStart"/>
      <w:r w:rsidRPr="00042364">
        <w:rPr>
          <w:rFonts w:ascii="Arial" w:eastAsia="仿宋_GB2312" w:hAnsi="Arial" w:hint="eastAsia"/>
          <w:bCs/>
          <w:color w:val="000000"/>
          <w:sz w:val="28"/>
          <w:szCs w:val="28"/>
        </w:rPr>
        <w:t>规划建面</w:t>
      </w:r>
      <w:proofErr w:type="gramEnd"/>
      <w:r w:rsidRPr="00042364">
        <w:rPr>
          <w:rFonts w:ascii="Arial" w:eastAsia="仿宋_GB2312" w:hAnsi="Arial" w:hint="eastAsia"/>
          <w:bCs/>
          <w:color w:val="000000"/>
          <w:sz w:val="28"/>
          <w:szCs w:val="28"/>
        </w:rPr>
        <w:t>934.22</w:t>
      </w:r>
      <w:r w:rsidRPr="00042364">
        <w:rPr>
          <w:rFonts w:ascii="Arial" w:eastAsia="仿宋_GB2312" w:hAnsi="Arial" w:hint="eastAsia"/>
          <w:bCs/>
          <w:color w:val="000000"/>
          <w:sz w:val="28"/>
          <w:szCs w:val="28"/>
        </w:rPr>
        <w:t>万平方米，同比增长</w:t>
      </w:r>
      <w:r w:rsidRPr="00042364">
        <w:rPr>
          <w:rFonts w:ascii="Arial" w:eastAsia="仿宋_GB2312" w:hAnsi="Arial" w:hint="eastAsia"/>
          <w:bCs/>
          <w:color w:val="000000"/>
          <w:sz w:val="28"/>
          <w:szCs w:val="28"/>
        </w:rPr>
        <w:t>73%</w:t>
      </w:r>
      <w:r w:rsidRPr="00042364">
        <w:rPr>
          <w:rFonts w:ascii="Arial" w:eastAsia="仿宋_GB2312" w:hAnsi="Arial" w:hint="eastAsia"/>
          <w:bCs/>
          <w:color w:val="000000"/>
          <w:sz w:val="28"/>
          <w:szCs w:val="28"/>
        </w:rPr>
        <w:t>，供应总量已达近五年次高位的水平；受二批集中供地入市节点影响，前三季度北京宅地成交规模不及去年同期，累计成交</w:t>
      </w:r>
      <w:r w:rsidRPr="00042364">
        <w:rPr>
          <w:rFonts w:ascii="Arial" w:eastAsia="仿宋_GB2312" w:hAnsi="Arial" w:hint="eastAsia"/>
          <w:bCs/>
          <w:color w:val="000000"/>
          <w:sz w:val="28"/>
          <w:szCs w:val="28"/>
        </w:rPr>
        <w:t>37</w:t>
      </w:r>
      <w:r w:rsidRPr="00042364">
        <w:rPr>
          <w:rFonts w:ascii="Arial" w:eastAsia="仿宋_GB2312" w:hAnsi="Arial" w:hint="eastAsia"/>
          <w:bCs/>
          <w:color w:val="000000"/>
          <w:sz w:val="28"/>
          <w:szCs w:val="28"/>
        </w:rPr>
        <w:t>宗商品住宅用地（含共有产权房），成交</w:t>
      </w:r>
      <w:proofErr w:type="gramStart"/>
      <w:r w:rsidRPr="00042364">
        <w:rPr>
          <w:rFonts w:ascii="Arial" w:eastAsia="仿宋_GB2312" w:hAnsi="Arial" w:hint="eastAsia"/>
          <w:bCs/>
          <w:color w:val="000000"/>
          <w:sz w:val="28"/>
          <w:szCs w:val="28"/>
        </w:rPr>
        <w:t>规划建面</w:t>
      </w:r>
      <w:proofErr w:type="gramEnd"/>
      <w:r w:rsidRPr="00042364">
        <w:rPr>
          <w:rFonts w:ascii="Arial" w:eastAsia="仿宋_GB2312" w:hAnsi="Arial" w:hint="eastAsia"/>
          <w:bCs/>
          <w:color w:val="000000"/>
          <w:sz w:val="28"/>
          <w:szCs w:val="28"/>
        </w:rPr>
        <w:t>436.88</w:t>
      </w:r>
      <w:r w:rsidRPr="00042364">
        <w:rPr>
          <w:rFonts w:ascii="Arial" w:eastAsia="仿宋_GB2312" w:hAnsi="Arial" w:hint="eastAsia"/>
          <w:bCs/>
          <w:color w:val="000000"/>
          <w:sz w:val="28"/>
          <w:szCs w:val="28"/>
        </w:rPr>
        <w:t>万平方米，同比减少</w:t>
      </w:r>
      <w:r w:rsidRPr="00042364">
        <w:rPr>
          <w:rFonts w:ascii="Arial" w:eastAsia="仿宋_GB2312" w:hAnsi="Arial" w:hint="eastAsia"/>
          <w:bCs/>
          <w:color w:val="000000"/>
          <w:sz w:val="28"/>
          <w:szCs w:val="28"/>
        </w:rPr>
        <w:t>16%</w:t>
      </w:r>
      <w:r w:rsidRPr="00042364">
        <w:rPr>
          <w:rFonts w:ascii="Arial" w:eastAsia="仿宋_GB2312" w:hAnsi="Arial" w:hint="eastAsia"/>
          <w:bCs/>
          <w:color w:val="000000"/>
          <w:sz w:val="28"/>
          <w:szCs w:val="28"/>
        </w:rPr>
        <w:t>，但成交总量已达</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年成交规模的</w:t>
      </w:r>
      <w:r w:rsidRPr="00042364">
        <w:rPr>
          <w:rFonts w:ascii="Arial" w:eastAsia="仿宋_GB2312" w:hAnsi="Arial" w:hint="eastAsia"/>
          <w:bCs/>
          <w:color w:val="000000"/>
          <w:sz w:val="28"/>
          <w:szCs w:val="28"/>
        </w:rPr>
        <w:t>72%</w:t>
      </w:r>
      <w:r w:rsidRPr="00042364">
        <w:rPr>
          <w:rFonts w:ascii="Arial" w:eastAsia="仿宋_GB2312" w:hAnsi="Arial" w:hint="eastAsia"/>
          <w:bCs/>
          <w:color w:val="000000"/>
          <w:sz w:val="28"/>
          <w:szCs w:val="28"/>
        </w:rPr>
        <w:t>。</w:t>
      </w:r>
    </w:p>
    <w:p w14:paraId="4A847EDC" w14:textId="77777777" w:rsidR="00A145B3" w:rsidRPr="00042364" w:rsidRDefault="00A145B3" w:rsidP="00A145B3">
      <w:pPr>
        <w:widowControl/>
        <w:overflowPunct w:val="0"/>
        <w:adjustRightInd/>
        <w:spacing w:line="480" w:lineRule="auto"/>
        <w:jc w:val="center"/>
        <w:textAlignment w:val="auto"/>
        <w:rPr>
          <w:rFonts w:ascii="Arial" w:hAnsi="Arial"/>
          <w:color w:val="984806"/>
          <w:sz w:val="21"/>
          <w:szCs w:val="21"/>
          <w:highlight w:val="lightGray"/>
        </w:rPr>
      </w:pPr>
      <w:r w:rsidRPr="00E00F1E">
        <w:rPr>
          <w:noProof/>
        </w:rPr>
        <w:drawing>
          <wp:inline distT="0" distB="0" distL="0" distR="0" wp14:anchorId="1618DD12" wp14:editId="52E5AC8B">
            <wp:extent cx="5902325" cy="1496060"/>
            <wp:effectExtent l="0" t="0" r="3175" b="889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2325" cy="1496060"/>
                    </a:xfrm>
                    <a:prstGeom prst="rect">
                      <a:avLst/>
                    </a:prstGeom>
                    <a:noFill/>
                    <a:ln>
                      <a:noFill/>
                    </a:ln>
                  </pic:spPr>
                </pic:pic>
              </a:graphicData>
            </a:graphic>
          </wp:inline>
        </w:drawing>
      </w:r>
    </w:p>
    <w:p w14:paraId="5803A28D" w14:textId="77777777" w:rsidR="00A145B3" w:rsidRPr="00042364" w:rsidRDefault="00A145B3" w:rsidP="00A145B3">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）土地成交价格</w:t>
      </w:r>
    </w:p>
    <w:p w14:paraId="1E7FD2E4" w14:textId="77777777" w:rsidR="00A145B3" w:rsidRPr="00042364" w:rsidRDefault="00A145B3" w:rsidP="00A145B3">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近两年，北京住宅用地成交楼面均价明显上涨，主要原因是</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年为提</w:t>
      </w:r>
      <w:proofErr w:type="gramStart"/>
      <w:r w:rsidRPr="00042364">
        <w:rPr>
          <w:rFonts w:ascii="Arial" w:eastAsia="仿宋_GB2312" w:hAnsi="Arial" w:hint="eastAsia"/>
          <w:bCs/>
          <w:color w:val="000000"/>
          <w:sz w:val="28"/>
          <w:szCs w:val="28"/>
        </w:rPr>
        <w:t>振市场</w:t>
      </w:r>
      <w:proofErr w:type="gramEnd"/>
      <w:r w:rsidRPr="00042364">
        <w:rPr>
          <w:rFonts w:ascii="Arial" w:eastAsia="仿宋_GB2312" w:hAnsi="Arial" w:hint="eastAsia"/>
          <w:bCs/>
          <w:color w:val="000000"/>
          <w:sz w:val="28"/>
          <w:szCs w:val="28"/>
        </w:rPr>
        <w:t>情绪，北京推出了多宗</w:t>
      </w:r>
      <w:proofErr w:type="gramStart"/>
      <w:r w:rsidRPr="00042364">
        <w:rPr>
          <w:rFonts w:ascii="Arial" w:eastAsia="仿宋_GB2312" w:hAnsi="Arial" w:hint="eastAsia"/>
          <w:bCs/>
          <w:color w:val="000000"/>
          <w:sz w:val="28"/>
          <w:szCs w:val="28"/>
        </w:rPr>
        <w:t>不</w:t>
      </w:r>
      <w:proofErr w:type="gramEnd"/>
      <w:r w:rsidRPr="00042364">
        <w:rPr>
          <w:rFonts w:ascii="Arial" w:eastAsia="仿宋_GB2312" w:hAnsi="Arial" w:hint="eastAsia"/>
          <w:bCs/>
          <w:color w:val="000000"/>
          <w:sz w:val="28"/>
          <w:szCs w:val="28"/>
        </w:rPr>
        <w:t>限价、优质地块，带动整体成交楼面均价上涨，同时今年首批集中供地大多为主城区，区位优势明显，楼面</w:t>
      </w:r>
      <w:proofErr w:type="gramStart"/>
      <w:r w:rsidRPr="00042364">
        <w:rPr>
          <w:rFonts w:ascii="Arial" w:eastAsia="仿宋_GB2312" w:hAnsi="Arial" w:hint="eastAsia"/>
          <w:bCs/>
          <w:color w:val="000000"/>
          <w:sz w:val="28"/>
          <w:szCs w:val="28"/>
        </w:rPr>
        <w:t>均价居</w:t>
      </w:r>
      <w:proofErr w:type="gramEnd"/>
      <w:r w:rsidRPr="00042364">
        <w:rPr>
          <w:rFonts w:ascii="Arial" w:eastAsia="仿宋_GB2312" w:hAnsi="Arial" w:hint="eastAsia"/>
          <w:bCs/>
          <w:color w:val="000000"/>
          <w:sz w:val="28"/>
          <w:szCs w:val="28"/>
        </w:rPr>
        <w:t>高位，前三季度北京住宅用地整体成交楼面均价</w:t>
      </w:r>
      <w:r w:rsidRPr="00042364">
        <w:rPr>
          <w:rFonts w:ascii="Arial" w:eastAsia="仿宋_GB2312" w:hAnsi="Arial" w:hint="eastAsia"/>
          <w:bCs/>
          <w:color w:val="000000"/>
          <w:sz w:val="28"/>
          <w:szCs w:val="28"/>
        </w:rPr>
        <w:t>30324</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平方米，同比微增</w:t>
      </w:r>
      <w:r w:rsidRPr="00042364">
        <w:rPr>
          <w:rFonts w:ascii="Arial" w:eastAsia="仿宋_GB2312" w:hAnsi="Arial" w:hint="eastAsia"/>
          <w:bCs/>
          <w:color w:val="000000"/>
          <w:sz w:val="28"/>
          <w:szCs w:val="28"/>
        </w:rPr>
        <w:t>0.1%</w:t>
      </w:r>
      <w:r w:rsidRPr="00042364">
        <w:rPr>
          <w:rFonts w:ascii="Arial" w:eastAsia="仿宋_GB2312" w:hAnsi="Arial" w:hint="eastAsia"/>
          <w:bCs/>
          <w:color w:val="000000"/>
          <w:sz w:val="28"/>
          <w:szCs w:val="28"/>
        </w:rPr>
        <w:t>。成交溢价率方面，前三季度住宅用地成交溢价率约</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，同比减少</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个百分点，主要是因为北京严格落实“房地联动、一地</w:t>
      </w:r>
      <w:proofErr w:type="gramStart"/>
      <w:r w:rsidRPr="00042364">
        <w:rPr>
          <w:rFonts w:ascii="Arial" w:eastAsia="仿宋_GB2312" w:hAnsi="Arial" w:hint="eastAsia"/>
          <w:bCs/>
          <w:color w:val="000000"/>
          <w:sz w:val="28"/>
          <w:szCs w:val="28"/>
        </w:rPr>
        <w:t>一</w:t>
      </w:r>
      <w:proofErr w:type="gramEnd"/>
      <w:r w:rsidRPr="00042364">
        <w:rPr>
          <w:rFonts w:ascii="Arial" w:eastAsia="仿宋_GB2312" w:hAnsi="Arial" w:hint="eastAsia"/>
          <w:bCs/>
          <w:color w:val="000000"/>
          <w:sz w:val="28"/>
          <w:szCs w:val="28"/>
        </w:rPr>
        <w:t>策”机制，并通过两集中</w:t>
      </w:r>
      <w:proofErr w:type="gramStart"/>
      <w:r w:rsidRPr="00042364">
        <w:rPr>
          <w:rFonts w:ascii="Arial" w:eastAsia="仿宋_GB2312" w:hAnsi="Arial" w:hint="eastAsia"/>
          <w:bCs/>
          <w:color w:val="000000"/>
          <w:sz w:val="28"/>
          <w:szCs w:val="28"/>
        </w:rPr>
        <w:t>多元土拍规则</w:t>
      </w:r>
      <w:proofErr w:type="gramEnd"/>
      <w:r w:rsidRPr="00042364">
        <w:rPr>
          <w:rFonts w:ascii="Arial" w:eastAsia="仿宋_GB2312" w:hAnsi="Arial" w:hint="eastAsia"/>
          <w:bCs/>
          <w:color w:val="000000"/>
          <w:sz w:val="28"/>
          <w:szCs w:val="28"/>
        </w:rPr>
        <w:t>对地价进行严控，使得整体溢价率保持低位。</w:t>
      </w:r>
      <w:r w:rsidRPr="00042364">
        <w:rPr>
          <w:rFonts w:ascii="Arial" w:eastAsia="仿宋_GB2312" w:hAnsi="Arial" w:hint="eastAsia"/>
          <w:bCs/>
          <w:color w:val="000000"/>
          <w:sz w:val="28"/>
          <w:szCs w:val="28"/>
        </w:rPr>
        <w:t xml:space="preserve"> </w:t>
      </w:r>
    </w:p>
    <w:p w14:paraId="28CA3C3D" w14:textId="77777777" w:rsidR="00A145B3" w:rsidRPr="00042364" w:rsidRDefault="00A145B3" w:rsidP="00A145B3">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）区域成交情况</w:t>
      </w:r>
    </w:p>
    <w:p w14:paraId="7175A79B" w14:textId="77777777" w:rsidR="00A145B3" w:rsidRPr="00042364" w:rsidRDefault="00A145B3" w:rsidP="00A145B3">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年前三季度近郊六区仍为北京住宅用地成交主力区域，累计成交规模</w:t>
      </w:r>
      <w:r w:rsidRPr="00042364">
        <w:rPr>
          <w:rFonts w:ascii="Arial" w:eastAsia="仿宋_GB2312" w:hAnsi="Arial" w:hint="eastAsia"/>
          <w:bCs/>
          <w:color w:val="000000"/>
          <w:sz w:val="28"/>
          <w:szCs w:val="28"/>
        </w:rPr>
        <w:t>236.01</w:t>
      </w:r>
      <w:r w:rsidRPr="00042364">
        <w:rPr>
          <w:rFonts w:ascii="Arial" w:eastAsia="仿宋_GB2312" w:hAnsi="Arial" w:hint="eastAsia"/>
          <w:bCs/>
          <w:color w:val="000000"/>
          <w:sz w:val="28"/>
          <w:szCs w:val="28"/>
        </w:rPr>
        <w:t>万平方米，占比</w:t>
      </w:r>
      <w:r w:rsidRPr="00042364">
        <w:rPr>
          <w:rFonts w:ascii="Arial" w:eastAsia="仿宋_GB2312" w:hAnsi="Arial" w:hint="eastAsia"/>
          <w:bCs/>
          <w:color w:val="000000"/>
          <w:sz w:val="28"/>
          <w:szCs w:val="28"/>
        </w:rPr>
        <w:t>54%</w:t>
      </w:r>
      <w:r w:rsidRPr="00042364">
        <w:rPr>
          <w:rFonts w:ascii="Arial" w:eastAsia="仿宋_GB2312" w:hAnsi="Arial" w:hint="eastAsia"/>
          <w:bCs/>
          <w:color w:val="000000"/>
          <w:sz w:val="28"/>
          <w:szCs w:val="28"/>
        </w:rPr>
        <w:t>，其中大兴、顺义、通州为成交主力区域，累</w:t>
      </w:r>
      <w:r w:rsidRPr="00042364">
        <w:rPr>
          <w:rFonts w:ascii="Arial" w:eastAsia="仿宋_GB2312" w:hAnsi="Arial" w:hint="eastAsia"/>
          <w:bCs/>
          <w:color w:val="000000"/>
          <w:sz w:val="28"/>
          <w:szCs w:val="28"/>
        </w:rPr>
        <w:lastRenderedPageBreak/>
        <w:t>计成交规模均超</w:t>
      </w:r>
      <w:r w:rsidRPr="00042364">
        <w:rPr>
          <w:rFonts w:ascii="Arial" w:eastAsia="仿宋_GB2312" w:hAnsi="Arial" w:hint="eastAsia"/>
          <w:bCs/>
          <w:color w:val="000000"/>
          <w:sz w:val="28"/>
          <w:szCs w:val="28"/>
        </w:rPr>
        <w:t>50</w:t>
      </w:r>
      <w:r w:rsidRPr="00042364">
        <w:rPr>
          <w:rFonts w:ascii="Arial" w:eastAsia="仿宋_GB2312" w:hAnsi="Arial" w:hint="eastAsia"/>
          <w:bCs/>
          <w:color w:val="000000"/>
          <w:sz w:val="28"/>
          <w:szCs w:val="28"/>
        </w:rPr>
        <w:t>万平方米；中心城区成交规模</w:t>
      </w:r>
      <w:r w:rsidRPr="00042364">
        <w:rPr>
          <w:rFonts w:ascii="Arial" w:eastAsia="仿宋_GB2312" w:hAnsi="Arial" w:hint="eastAsia"/>
          <w:bCs/>
          <w:color w:val="000000"/>
          <w:sz w:val="28"/>
          <w:szCs w:val="28"/>
        </w:rPr>
        <w:t>157.16</w:t>
      </w:r>
      <w:r w:rsidRPr="00042364">
        <w:rPr>
          <w:rFonts w:ascii="Arial" w:eastAsia="仿宋_GB2312" w:hAnsi="Arial" w:hint="eastAsia"/>
          <w:bCs/>
          <w:color w:val="000000"/>
          <w:sz w:val="28"/>
          <w:szCs w:val="28"/>
        </w:rPr>
        <w:t>万平方米，朝阳为成交主力区，累计成交规模</w:t>
      </w:r>
      <w:r w:rsidRPr="00042364">
        <w:rPr>
          <w:rFonts w:ascii="Arial" w:eastAsia="仿宋_GB2312" w:hAnsi="Arial" w:hint="eastAsia"/>
          <w:bCs/>
          <w:color w:val="000000"/>
          <w:sz w:val="28"/>
          <w:szCs w:val="28"/>
        </w:rPr>
        <w:t>94.97</w:t>
      </w:r>
      <w:r w:rsidRPr="00042364">
        <w:rPr>
          <w:rFonts w:ascii="Arial" w:eastAsia="仿宋_GB2312" w:hAnsi="Arial" w:hint="eastAsia"/>
          <w:bCs/>
          <w:color w:val="000000"/>
          <w:sz w:val="28"/>
          <w:szCs w:val="28"/>
        </w:rPr>
        <w:t>万平方米；远郊四</w:t>
      </w:r>
      <w:proofErr w:type="gramStart"/>
      <w:r w:rsidRPr="00042364">
        <w:rPr>
          <w:rFonts w:ascii="Arial" w:eastAsia="仿宋_GB2312" w:hAnsi="Arial" w:hint="eastAsia"/>
          <w:bCs/>
          <w:color w:val="000000"/>
          <w:sz w:val="28"/>
          <w:szCs w:val="28"/>
        </w:rPr>
        <w:t>区成交</w:t>
      </w:r>
      <w:proofErr w:type="gramEnd"/>
      <w:r w:rsidRPr="00042364">
        <w:rPr>
          <w:rFonts w:ascii="Arial" w:eastAsia="仿宋_GB2312" w:hAnsi="Arial" w:hint="eastAsia"/>
          <w:bCs/>
          <w:color w:val="000000"/>
          <w:sz w:val="28"/>
          <w:szCs w:val="28"/>
        </w:rPr>
        <w:t>规模</w:t>
      </w:r>
      <w:r w:rsidRPr="00042364">
        <w:rPr>
          <w:rFonts w:ascii="Arial" w:eastAsia="仿宋_GB2312" w:hAnsi="Arial" w:hint="eastAsia"/>
          <w:bCs/>
          <w:color w:val="000000"/>
          <w:sz w:val="28"/>
          <w:szCs w:val="28"/>
        </w:rPr>
        <w:t>43.72</w:t>
      </w:r>
      <w:r w:rsidRPr="00042364">
        <w:rPr>
          <w:rFonts w:ascii="Arial" w:eastAsia="仿宋_GB2312" w:hAnsi="Arial" w:hint="eastAsia"/>
          <w:bCs/>
          <w:color w:val="000000"/>
          <w:sz w:val="28"/>
          <w:szCs w:val="28"/>
        </w:rPr>
        <w:t>万平方米，其中怀柔成交规模</w:t>
      </w:r>
      <w:r w:rsidRPr="00042364">
        <w:rPr>
          <w:rFonts w:ascii="Arial" w:eastAsia="仿宋_GB2312" w:hAnsi="Arial" w:hint="eastAsia"/>
          <w:bCs/>
          <w:color w:val="000000"/>
          <w:sz w:val="28"/>
          <w:szCs w:val="28"/>
        </w:rPr>
        <w:t>21.17</w:t>
      </w:r>
      <w:r w:rsidRPr="00042364">
        <w:rPr>
          <w:rFonts w:ascii="Arial" w:eastAsia="仿宋_GB2312" w:hAnsi="Arial" w:hint="eastAsia"/>
          <w:bCs/>
          <w:color w:val="000000"/>
          <w:sz w:val="28"/>
          <w:szCs w:val="28"/>
        </w:rPr>
        <w:t>万平方米，为远郊成交最多区域。另外，</w:t>
      </w:r>
      <w:proofErr w:type="gramStart"/>
      <w:r w:rsidRPr="00042364">
        <w:rPr>
          <w:rFonts w:ascii="Arial" w:eastAsia="仿宋_GB2312" w:hAnsi="Arial" w:hint="eastAsia"/>
          <w:bCs/>
          <w:color w:val="000000"/>
          <w:sz w:val="28"/>
          <w:szCs w:val="28"/>
        </w:rPr>
        <w:t>受集中</w:t>
      </w:r>
      <w:proofErr w:type="gramEnd"/>
      <w:r w:rsidRPr="00042364">
        <w:rPr>
          <w:rFonts w:ascii="Arial" w:eastAsia="仿宋_GB2312" w:hAnsi="Arial" w:hint="eastAsia"/>
          <w:bCs/>
          <w:color w:val="000000"/>
          <w:sz w:val="28"/>
          <w:szCs w:val="28"/>
        </w:rPr>
        <w:t>供地节点影响，</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季度北京仅</w:t>
      </w:r>
      <w:proofErr w:type="gramStart"/>
      <w:r w:rsidRPr="00042364">
        <w:rPr>
          <w:rFonts w:ascii="Arial" w:eastAsia="仿宋_GB2312" w:hAnsi="Arial" w:hint="eastAsia"/>
          <w:bCs/>
          <w:color w:val="000000"/>
          <w:sz w:val="28"/>
          <w:szCs w:val="28"/>
        </w:rPr>
        <w:t>平谷区成交</w:t>
      </w:r>
      <w:proofErr w:type="gramEnd"/>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宗住宅用地。</w:t>
      </w:r>
    </w:p>
    <w:p w14:paraId="49ABCF08" w14:textId="77777777" w:rsidR="00A145B3" w:rsidRPr="00042364" w:rsidRDefault="00A145B3" w:rsidP="00A145B3">
      <w:pPr>
        <w:spacing w:line="360" w:lineRule="auto"/>
        <w:jc w:val="center"/>
        <w:rPr>
          <w:rFonts w:ascii="Arial" w:eastAsia="仿宋_GB2312" w:hAnsi="Arial"/>
          <w:bCs/>
          <w:color w:val="984806"/>
          <w:sz w:val="28"/>
          <w:szCs w:val="28"/>
          <w:highlight w:val="lightGray"/>
        </w:rPr>
      </w:pPr>
      <w:r w:rsidRPr="00E00F1E">
        <w:rPr>
          <w:noProof/>
        </w:rPr>
        <w:drawing>
          <wp:inline distT="0" distB="0" distL="0" distR="0" wp14:anchorId="50192264" wp14:editId="6F49449F">
            <wp:extent cx="5904865" cy="190881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4865" cy="1908810"/>
                    </a:xfrm>
                    <a:prstGeom prst="rect">
                      <a:avLst/>
                    </a:prstGeom>
                    <a:noFill/>
                    <a:ln>
                      <a:noFill/>
                    </a:ln>
                  </pic:spPr>
                </pic:pic>
              </a:graphicData>
            </a:graphic>
          </wp:inline>
        </w:drawing>
      </w:r>
    </w:p>
    <w:p w14:paraId="5F324B22" w14:textId="77777777" w:rsidR="00A145B3" w:rsidRPr="00042364" w:rsidRDefault="00A145B3" w:rsidP="00A145B3">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成交楼面均价方面，中心城区楼面均价相对较高，海淀、石景山、朝阳成交楼面均价在</w:t>
      </w: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万元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平方米以上，且高于北京整体楼面均价，其中海淀树村成交的</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宗宅地楼面价超过</w:t>
      </w:r>
      <w:r w:rsidRPr="00042364">
        <w:rPr>
          <w:rFonts w:ascii="Arial" w:eastAsia="仿宋_GB2312" w:hAnsi="Arial" w:hint="eastAsia"/>
          <w:bCs/>
          <w:color w:val="000000"/>
          <w:sz w:val="28"/>
          <w:szCs w:val="28"/>
        </w:rPr>
        <w:t>6</w:t>
      </w:r>
      <w:r w:rsidRPr="00042364">
        <w:rPr>
          <w:rFonts w:ascii="Arial" w:eastAsia="仿宋_GB2312" w:hAnsi="Arial" w:hint="eastAsia"/>
          <w:bCs/>
          <w:color w:val="000000"/>
          <w:sz w:val="28"/>
          <w:szCs w:val="28"/>
        </w:rPr>
        <w:t>万</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平方米。石景山衙门口</w:t>
      </w:r>
      <w:proofErr w:type="gramStart"/>
      <w:r w:rsidRPr="00042364">
        <w:rPr>
          <w:rFonts w:ascii="Arial" w:eastAsia="仿宋_GB2312" w:hAnsi="Arial" w:hint="eastAsia"/>
          <w:bCs/>
          <w:color w:val="000000"/>
          <w:sz w:val="28"/>
          <w:szCs w:val="28"/>
        </w:rPr>
        <w:t>及北辛安</w:t>
      </w:r>
      <w:proofErr w:type="gramEnd"/>
      <w:r w:rsidRPr="00042364">
        <w:rPr>
          <w:rFonts w:ascii="Arial" w:eastAsia="仿宋_GB2312" w:hAnsi="Arial" w:hint="eastAsia"/>
          <w:bCs/>
          <w:color w:val="000000"/>
          <w:sz w:val="28"/>
          <w:szCs w:val="28"/>
        </w:rPr>
        <w:t>地块，朝阳东坝、金盏、</w:t>
      </w:r>
      <w:proofErr w:type="gramStart"/>
      <w:r w:rsidRPr="00042364">
        <w:rPr>
          <w:rFonts w:ascii="Arial" w:eastAsia="仿宋_GB2312" w:hAnsi="Arial" w:hint="eastAsia"/>
          <w:bCs/>
          <w:color w:val="000000"/>
          <w:sz w:val="28"/>
          <w:szCs w:val="28"/>
        </w:rPr>
        <w:t>崔</w:t>
      </w:r>
      <w:proofErr w:type="gramEnd"/>
      <w:r w:rsidRPr="00042364">
        <w:rPr>
          <w:rFonts w:ascii="Arial" w:eastAsia="仿宋_GB2312" w:hAnsi="Arial" w:hint="eastAsia"/>
          <w:bCs/>
          <w:color w:val="000000"/>
          <w:sz w:val="28"/>
          <w:szCs w:val="28"/>
        </w:rPr>
        <w:t>各庄宅地，成交楼面均价突破</w:t>
      </w: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万元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平方米。从楼面均价变化来看，中心城区的海淀、石景山成交楼面价同比涨幅较大，涨幅均超过</w:t>
      </w:r>
      <w:r w:rsidRPr="00042364">
        <w:rPr>
          <w:rFonts w:ascii="Arial" w:eastAsia="仿宋_GB2312" w:hAnsi="Arial" w:hint="eastAsia"/>
          <w:bCs/>
          <w:color w:val="000000"/>
          <w:sz w:val="28"/>
          <w:szCs w:val="28"/>
        </w:rPr>
        <w:t>40%</w:t>
      </w:r>
      <w:r w:rsidRPr="00042364">
        <w:rPr>
          <w:rFonts w:ascii="Arial" w:eastAsia="仿宋_GB2312" w:hAnsi="Arial" w:hint="eastAsia"/>
          <w:bCs/>
          <w:color w:val="000000"/>
          <w:sz w:val="28"/>
          <w:szCs w:val="28"/>
        </w:rPr>
        <w:t>，丰台成交楼面价同比领跌，跌幅达</w:t>
      </w:r>
      <w:r w:rsidRPr="00042364">
        <w:rPr>
          <w:rFonts w:ascii="Arial" w:eastAsia="仿宋_GB2312" w:hAnsi="Arial" w:hint="eastAsia"/>
          <w:bCs/>
          <w:color w:val="000000"/>
          <w:sz w:val="28"/>
          <w:szCs w:val="28"/>
        </w:rPr>
        <w:t>39%</w:t>
      </w:r>
      <w:r w:rsidRPr="00042364">
        <w:rPr>
          <w:rFonts w:ascii="Arial" w:eastAsia="仿宋_GB2312" w:hAnsi="Arial" w:hint="eastAsia"/>
          <w:bCs/>
          <w:color w:val="000000"/>
          <w:sz w:val="28"/>
          <w:szCs w:val="28"/>
        </w:rPr>
        <w:t>。</w:t>
      </w:r>
    </w:p>
    <w:p w14:paraId="27794067" w14:textId="77777777" w:rsidR="00A145B3" w:rsidRPr="00042364" w:rsidRDefault="00A145B3" w:rsidP="00A145B3">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溢价率方面，受首批集中供地多重竞拍规则限制，北京住宅用地成交整体溢价率保持低位运行。近郊中顺义平均溢价率达</w:t>
      </w:r>
      <w:r w:rsidRPr="00042364">
        <w:rPr>
          <w:rFonts w:ascii="Arial" w:eastAsia="仿宋_GB2312" w:hAnsi="Arial" w:hint="eastAsia"/>
          <w:bCs/>
          <w:color w:val="000000"/>
          <w:sz w:val="28"/>
          <w:szCs w:val="28"/>
        </w:rPr>
        <w:t>19%</w:t>
      </w:r>
      <w:r w:rsidRPr="00042364">
        <w:rPr>
          <w:rFonts w:ascii="Arial" w:eastAsia="仿宋_GB2312" w:hAnsi="Arial" w:hint="eastAsia"/>
          <w:bCs/>
          <w:color w:val="000000"/>
          <w:sz w:val="28"/>
          <w:szCs w:val="28"/>
        </w:rPr>
        <w:t>，为北京今年以来住宅用地市场竞争最激烈区域，其次为远郊区密云，平均溢价率达</w:t>
      </w:r>
      <w:r w:rsidRPr="00042364">
        <w:rPr>
          <w:rFonts w:ascii="Arial" w:eastAsia="仿宋_GB2312" w:hAnsi="Arial" w:hint="eastAsia"/>
          <w:bCs/>
          <w:color w:val="000000"/>
          <w:sz w:val="28"/>
          <w:szCs w:val="28"/>
        </w:rPr>
        <w:t>15%</w:t>
      </w:r>
      <w:r w:rsidRPr="00042364">
        <w:rPr>
          <w:rFonts w:ascii="Arial" w:eastAsia="仿宋_GB2312" w:hAnsi="Arial" w:hint="eastAsia"/>
          <w:bCs/>
          <w:color w:val="000000"/>
          <w:sz w:val="28"/>
          <w:szCs w:val="28"/>
        </w:rPr>
        <w:t>，但顺义和密云成交总数较少，分别成交</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宗和</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宗地块。</w:t>
      </w:r>
    </w:p>
    <w:p w14:paraId="71A87C37" w14:textId="77777777" w:rsidR="00A145B3" w:rsidRPr="00042364" w:rsidRDefault="00A145B3" w:rsidP="00A145B3">
      <w:pPr>
        <w:spacing w:line="360" w:lineRule="auto"/>
        <w:jc w:val="center"/>
        <w:rPr>
          <w:rFonts w:ascii="Arial" w:eastAsia="仿宋_GB2312" w:hAnsi="Arial"/>
          <w:bCs/>
          <w:color w:val="984806"/>
          <w:sz w:val="28"/>
          <w:szCs w:val="28"/>
        </w:rPr>
      </w:pPr>
      <w:r w:rsidRPr="00E00F1E">
        <w:rPr>
          <w:noProof/>
        </w:rPr>
        <w:lastRenderedPageBreak/>
        <w:drawing>
          <wp:inline distT="0" distB="0" distL="0" distR="0" wp14:anchorId="68DA6FFC" wp14:editId="1F0709DD">
            <wp:extent cx="5902325" cy="1852295"/>
            <wp:effectExtent l="0" t="0" r="317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2325" cy="1852295"/>
                    </a:xfrm>
                    <a:prstGeom prst="rect">
                      <a:avLst/>
                    </a:prstGeom>
                    <a:noFill/>
                    <a:ln>
                      <a:noFill/>
                    </a:ln>
                  </pic:spPr>
                </pic:pic>
              </a:graphicData>
            </a:graphic>
          </wp:inline>
        </w:drawing>
      </w:r>
    </w:p>
    <w:p w14:paraId="67B25126" w14:textId="77777777" w:rsidR="00A145B3" w:rsidRPr="00042364" w:rsidRDefault="00A145B3" w:rsidP="00A145B3">
      <w:pPr>
        <w:spacing w:line="360" w:lineRule="auto"/>
        <w:ind w:firstLineChars="200" w:firstLine="560"/>
        <w:rPr>
          <w:rFonts w:ascii="Arial" w:eastAsia="仿宋_GB2312" w:hAnsi="Arial"/>
          <w:bCs/>
          <w:color w:val="000000"/>
          <w:sz w:val="28"/>
          <w:szCs w:val="28"/>
        </w:rPr>
      </w:pP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）集中供地</w:t>
      </w:r>
    </w:p>
    <w:p w14:paraId="3EE012B8"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截至目前，</w:t>
      </w: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年北京一</w:t>
      </w:r>
      <w:r>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二批次已累计供应</w:t>
      </w:r>
      <w:r w:rsidRPr="00042364">
        <w:rPr>
          <w:rFonts w:ascii="Arial" w:eastAsia="仿宋_GB2312" w:hAnsi="Arial" w:cs="Arial" w:hint="eastAsia"/>
          <w:bCs/>
          <w:color w:val="000000"/>
          <w:sz w:val="28"/>
          <w:szCs w:val="28"/>
        </w:rPr>
        <w:t>73</w:t>
      </w:r>
      <w:r w:rsidRPr="00042364">
        <w:rPr>
          <w:rFonts w:ascii="Arial" w:eastAsia="仿宋_GB2312" w:hAnsi="Arial" w:cs="Arial" w:hint="eastAsia"/>
          <w:bCs/>
          <w:color w:val="000000"/>
          <w:sz w:val="28"/>
          <w:szCs w:val="28"/>
        </w:rPr>
        <w:t>宗宅地，累计推出</w:t>
      </w:r>
      <w:proofErr w:type="gramStart"/>
      <w:r w:rsidRPr="00042364">
        <w:rPr>
          <w:rFonts w:ascii="Arial" w:eastAsia="仿宋_GB2312" w:hAnsi="Arial" w:cs="Arial" w:hint="eastAsia"/>
          <w:bCs/>
          <w:color w:val="000000"/>
          <w:sz w:val="28"/>
          <w:szCs w:val="28"/>
        </w:rPr>
        <w:t>规划建面</w:t>
      </w:r>
      <w:proofErr w:type="gramEnd"/>
      <w:r w:rsidRPr="00042364">
        <w:rPr>
          <w:rFonts w:ascii="Arial" w:eastAsia="仿宋_GB2312" w:hAnsi="Arial" w:cs="Arial" w:hint="eastAsia"/>
          <w:bCs/>
          <w:color w:val="000000"/>
          <w:sz w:val="28"/>
          <w:szCs w:val="28"/>
        </w:rPr>
        <w:t>840.94</w:t>
      </w:r>
      <w:r w:rsidRPr="00042364">
        <w:rPr>
          <w:rFonts w:ascii="Arial" w:eastAsia="仿宋_GB2312" w:hAnsi="Arial" w:cs="Arial" w:hint="eastAsia"/>
          <w:bCs/>
          <w:color w:val="000000"/>
          <w:sz w:val="28"/>
          <w:szCs w:val="28"/>
        </w:rPr>
        <w:t>万平方米，已超</w:t>
      </w:r>
      <w:r w:rsidRPr="00042364">
        <w:rPr>
          <w:rFonts w:ascii="Arial" w:eastAsia="仿宋_GB2312" w:hAnsi="Arial" w:cs="Arial" w:hint="eastAsia"/>
          <w:bCs/>
          <w:color w:val="000000"/>
          <w:sz w:val="28"/>
          <w:szCs w:val="28"/>
        </w:rPr>
        <w:t>2020</w:t>
      </w:r>
      <w:r w:rsidRPr="00042364">
        <w:rPr>
          <w:rFonts w:ascii="Arial" w:eastAsia="仿宋_GB2312" w:hAnsi="Arial" w:cs="Arial" w:hint="eastAsia"/>
          <w:bCs/>
          <w:color w:val="000000"/>
          <w:sz w:val="28"/>
          <w:szCs w:val="28"/>
        </w:rPr>
        <w:t>年全年供应量（</w:t>
      </w:r>
      <w:r w:rsidRPr="00042364">
        <w:rPr>
          <w:rFonts w:ascii="Arial" w:eastAsia="仿宋_GB2312" w:hAnsi="Arial" w:cs="Arial" w:hint="eastAsia"/>
          <w:bCs/>
          <w:color w:val="000000"/>
          <w:sz w:val="28"/>
          <w:szCs w:val="28"/>
        </w:rPr>
        <w:t>648.23</w:t>
      </w:r>
      <w:r w:rsidRPr="00042364">
        <w:rPr>
          <w:rFonts w:ascii="Arial" w:eastAsia="仿宋_GB2312" w:hAnsi="Arial" w:cs="Arial" w:hint="eastAsia"/>
          <w:bCs/>
          <w:color w:val="000000"/>
          <w:sz w:val="28"/>
          <w:szCs w:val="28"/>
        </w:rPr>
        <w:t>万平方米）的</w:t>
      </w:r>
      <w:r w:rsidRPr="00042364">
        <w:rPr>
          <w:rFonts w:ascii="Arial" w:eastAsia="仿宋_GB2312" w:hAnsi="Arial" w:cs="Arial" w:hint="eastAsia"/>
          <w:bCs/>
          <w:color w:val="000000"/>
          <w:sz w:val="28"/>
          <w:szCs w:val="28"/>
        </w:rPr>
        <w:t>30%</w:t>
      </w:r>
      <w:r w:rsidRPr="00042364">
        <w:rPr>
          <w:rFonts w:ascii="Arial" w:eastAsia="仿宋_GB2312" w:hAnsi="Arial" w:cs="Arial" w:hint="eastAsia"/>
          <w:bCs/>
          <w:color w:val="000000"/>
          <w:sz w:val="28"/>
          <w:szCs w:val="28"/>
        </w:rPr>
        <w:t>，合计推出总用地面积约</w:t>
      </w:r>
      <w:r w:rsidRPr="00042364">
        <w:rPr>
          <w:rFonts w:ascii="Arial" w:eastAsia="仿宋_GB2312" w:hAnsi="Arial" w:cs="Arial" w:hint="eastAsia"/>
          <w:bCs/>
          <w:color w:val="000000"/>
          <w:sz w:val="28"/>
          <w:szCs w:val="28"/>
        </w:rPr>
        <w:t>414</w:t>
      </w:r>
      <w:r w:rsidRPr="00042364">
        <w:rPr>
          <w:rFonts w:ascii="Arial" w:eastAsia="仿宋_GB2312" w:hAnsi="Arial" w:cs="Arial" w:hint="eastAsia"/>
          <w:bCs/>
          <w:color w:val="000000"/>
          <w:sz w:val="28"/>
          <w:szCs w:val="28"/>
        </w:rPr>
        <w:t>公顷，已完成</w:t>
      </w: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年北京全年土地供应计划（</w:t>
      </w:r>
      <w:r w:rsidRPr="00042364">
        <w:rPr>
          <w:rFonts w:ascii="Arial" w:eastAsia="仿宋_GB2312" w:hAnsi="Arial" w:cs="Arial" w:hint="eastAsia"/>
          <w:bCs/>
          <w:color w:val="000000"/>
          <w:sz w:val="28"/>
          <w:szCs w:val="28"/>
        </w:rPr>
        <w:t>1060</w:t>
      </w:r>
      <w:r w:rsidRPr="00042364">
        <w:rPr>
          <w:rFonts w:ascii="Arial" w:eastAsia="仿宋_GB2312" w:hAnsi="Arial" w:cs="Arial" w:hint="eastAsia"/>
          <w:bCs/>
          <w:color w:val="000000"/>
          <w:sz w:val="28"/>
          <w:szCs w:val="28"/>
        </w:rPr>
        <w:t>公顷）的</w:t>
      </w:r>
      <w:r w:rsidRPr="00042364">
        <w:rPr>
          <w:rFonts w:ascii="Arial" w:eastAsia="仿宋_GB2312" w:hAnsi="Arial" w:cs="Arial" w:hint="eastAsia"/>
          <w:bCs/>
          <w:color w:val="000000"/>
          <w:sz w:val="28"/>
          <w:szCs w:val="28"/>
        </w:rPr>
        <w:t>39%</w:t>
      </w:r>
      <w:r w:rsidRPr="00042364">
        <w:rPr>
          <w:rFonts w:ascii="Arial" w:eastAsia="仿宋_GB2312" w:hAnsi="Arial" w:cs="Arial" w:hint="eastAsia"/>
          <w:bCs/>
          <w:color w:val="000000"/>
          <w:sz w:val="28"/>
          <w:szCs w:val="28"/>
        </w:rPr>
        <w:t>。</w:t>
      </w:r>
    </w:p>
    <w:p w14:paraId="353AF69C"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从供应宗数来看，二批次供应数量由首批供应的</w:t>
      </w:r>
      <w:r w:rsidRPr="00042364">
        <w:rPr>
          <w:rFonts w:ascii="Arial" w:eastAsia="仿宋_GB2312" w:hAnsi="Arial" w:cs="Arial" w:hint="eastAsia"/>
          <w:bCs/>
          <w:color w:val="000000"/>
          <w:sz w:val="28"/>
          <w:szCs w:val="28"/>
        </w:rPr>
        <w:t>30</w:t>
      </w:r>
      <w:r w:rsidRPr="00042364">
        <w:rPr>
          <w:rFonts w:ascii="Arial" w:eastAsia="仿宋_GB2312" w:hAnsi="Arial" w:cs="Arial" w:hint="eastAsia"/>
          <w:bCs/>
          <w:color w:val="000000"/>
          <w:sz w:val="28"/>
          <w:szCs w:val="28"/>
        </w:rPr>
        <w:t>宗上升到此次</w:t>
      </w:r>
      <w:r w:rsidRPr="00042364">
        <w:rPr>
          <w:rFonts w:ascii="Arial" w:eastAsia="仿宋_GB2312" w:hAnsi="Arial" w:cs="Arial" w:hint="eastAsia"/>
          <w:bCs/>
          <w:color w:val="000000"/>
          <w:sz w:val="28"/>
          <w:szCs w:val="28"/>
        </w:rPr>
        <w:t>43</w:t>
      </w:r>
      <w:r w:rsidRPr="00042364">
        <w:rPr>
          <w:rFonts w:ascii="Arial" w:eastAsia="仿宋_GB2312" w:hAnsi="Arial" w:cs="Arial" w:hint="eastAsia"/>
          <w:bCs/>
          <w:color w:val="000000"/>
          <w:sz w:val="28"/>
          <w:szCs w:val="28"/>
        </w:rPr>
        <w:t>宗，环比增长</w:t>
      </w:r>
      <w:r w:rsidRPr="00042364">
        <w:rPr>
          <w:rFonts w:ascii="Arial" w:eastAsia="仿宋_GB2312" w:hAnsi="Arial" w:cs="Arial" w:hint="eastAsia"/>
          <w:bCs/>
          <w:color w:val="000000"/>
          <w:sz w:val="28"/>
          <w:szCs w:val="28"/>
        </w:rPr>
        <w:t>43%</w:t>
      </w:r>
      <w:r w:rsidRPr="00042364">
        <w:rPr>
          <w:rFonts w:ascii="Arial" w:eastAsia="仿宋_GB2312" w:hAnsi="Arial" w:cs="Arial" w:hint="eastAsia"/>
          <w:bCs/>
          <w:color w:val="000000"/>
          <w:sz w:val="28"/>
          <w:szCs w:val="28"/>
        </w:rPr>
        <w:t>；从供应规模来看，二批次供应总量由首批供应的约</w:t>
      </w:r>
      <w:r w:rsidRPr="00042364">
        <w:rPr>
          <w:rFonts w:ascii="Arial" w:eastAsia="仿宋_GB2312" w:hAnsi="Arial" w:cs="Arial" w:hint="eastAsia"/>
          <w:bCs/>
          <w:color w:val="000000"/>
          <w:sz w:val="28"/>
          <w:szCs w:val="28"/>
        </w:rPr>
        <w:t>345</w:t>
      </w:r>
      <w:r w:rsidRPr="00042364">
        <w:rPr>
          <w:rFonts w:ascii="Arial" w:eastAsia="仿宋_GB2312" w:hAnsi="Arial" w:cs="Arial" w:hint="eastAsia"/>
          <w:bCs/>
          <w:color w:val="000000"/>
          <w:sz w:val="28"/>
          <w:szCs w:val="28"/>
        </w:rPr>
        <w:t>万平方米到此次约</w:t>
      </w:r>
      <w:r w:rsidRPr="00042364">
        <w:rPr>
          <w:rFonts w:ascii="Arial" w:eastAsia="仿宋_GB2312" w:hAnsi="Arial" w:cs="Arial" w:hint="eastAsia"/>
          <w:bCs/>
          <w:color w:val="000000"/>
          <w:sz w:val="28"/>
          <w:szCs w:val="28"/>
        </w:rPr>
        <w:t>496</w:t>
      </w:r>
      <w:r w:rsidRPr="00042364">
        <w:rPr>
          <w:rFonts w:ascii="Arial" w:eastAsia="仿宋_GB2312" w:hAnsi="Arial" w:cs="Arial" w:hint="eastAsia"/>
          <w:bCs/>
          <w:color w:val="000000"/>
          <w:sz w:val="28"/>
          <w:szCs w:val="28"/>
        </w:rPr>
        <w:t>万平方米，环比增长约</w:t>
      </w:r>
      <w:r w:rsidRPr="00042364">
        <w:rPr>
          <w:rFonts w:ascii="Arial" w:eastAsia="仿宋_GB2312" w:hAnsi="Arial" w:cs="Arial" w:hint="eastAsia"/>
          <w:bCs/>
          <w:color w:val="000000"/>
          <w:sz w:val="28"/>
          <w:szCs w:val="28"/>
        </w:rPr>
        <w:t>44%</w:t>
      </w:r>
      <w:r w:rsidRPr="00042364">
        <w:rPr>
          <w:rFonts w:ascii="Arial" w:eastAsia="仿宋_GB2312" w:hAnsi="Arial" w:cs="Arial" w:hint="eastAsia"/>
          <w:bCs/>
          <w:color w:val="000000"/>
          <w:sz w:val="28"/>
          <w:szCs w:val="28"/>
        </w:rPr>
        <w:t>，整体供应节奏较首批</w:t>
      </w:r>
      <w:proofErr w:type="gramStart"/>
      <w:r w:rsidRPr="00042364">
        <w:rPr>
          <w:rFonts w:ascii="Arial" w:eastAsia="仿宋_GB2312" w:hAnsi="Arial" w:cs="Arial" w:hint="eastAsia"/>
          <w:bCs/>
          <w:color w:val="000000"/>
          <w:sz w:val="28"/>
          <w:szCs w:val="28"/>
        </w:rPr>
        <w:t>次明显</w:t>
      </w:r>
      <w:proofErr w:type="gramEnd"/>
      <w:r w:rsidRPr="00042364">
        <w:rPr>
          <w:rFonts w:ascii="Arial" w:eastAsia="仿宋_GB2312" w:hAnsi="Arial" w:cs="Arial" w:hint="eastAsia"/>
          <w:bCs/>
          <w:color w:val="000000"/>
          <w:sz w:val="28"/>
          <w:szCs w:val="28"/>
        </w:rPr>
        <w:t>加快。与首批供地相比，中心城区供地比例下降</w:t>
      </w:r>
      <w:r w:rsidRPr="00042364">
        <w:rPr>
          <w:rFonts w:ascii="Arial" w:eastAsia="仿宋_GB2312" w:hAnsi="Arial" w:cs="Arial" w:hint="eastAsia"/>
          <w:bCs/>
          <w:color w:val="000000"/>
          <w:sz w:val="28"/>
          <w:szCs w:val="28"/>
        </w:rPr>
        <w:t>7</w:t>
      </w:r>
      <w:r w:rsidRPr="00042364">
        <w:rPr>
          <w:rFonts w:ascii="Arial" w:eastAsia="仿宋_GB2312" w:hAnsi="Arial" w:cs="Arial" w:hint="eastAsia"/>
          <w:bCs/>
          <w:color w:val="000000"/>
          <w:sz w:val="28"/>
          <w:szCs w:val="28"/>
        </w:rPr>
        <w:t>个百分点至</w:t>
      </w:r>
      <w:r w:rsidRPr="00042364">
        <w:rPr>
          <w:rFonts w:ascii="Arial" w:eastAsia="仿宋_GB2312" w:hAnsi="Arial" w:cs="Arial" w:hint="eastAsia"/>
          <w:bCs/>
          <w:color w:val="000000"/>
          <w:sz w:val="28"/>
          <w:szCs w:val="28"/>
        </w:rPr>
        <w:t>37%</w:t>
      </w:r>
      <w:r w:rsidRPr="00042364">
        <w:rPr>
          <w:rFonts w:ascii="Arial" w:eastAsia="仿宋_GB2312" w:hAnsi="Arial" w:cs="Arial" w:hint="eastAsia"/>
          <w:bCs/>
          <w:color w:val="000000"/>
          <w:sz w:val="28"/>
          <w:szCs w:val="28"/>
        </w:rPr>
        <w:t>；多点及副中心地区供地比例仍为</w:t>
      </w:r>
      <w:r w:rsidRPr="00042364">
        <w:rPr>
          <w:rFonts w:ascii="Arial" w:eastAsia="仿宋_GB2312" w:hAnsi="Arial" w:cs="Arial" w:hint="eastAsia"/>
          <w:bCs/>
          <w:color w:val="000000"/>
          <w:sz w:val="28"/>
          <w:szCs w:val="28"/>
        </w:rPr>
        <w:t>44%</w:t>
      </w:r>
      <w:r w:rsidRPr="00042364">
        <w:rPr>
          <w:rFonts w:ascii="Arial" w:eastAsia="仿宋_GB2312" w:hAnsi="Arial" w:cs="Arial" w:hint="eastAsia"/>
          <w:bCs/>
          <w:color w:val="000000"/>
          <w:sz w:val="28"/>
          <w:szCs w:val="28"/>
        </w:rPr>
        <w:t>，成为此次集中供地主力区域；远郊生态涵养区供地增多，供应比例较首批土地供应增加</w:t>
      </w:r>
      <w:r w:rsidRPr="00042364">
        <w:rPr>
          <w:rFonts w:ascii="Arial" w:eastAsia="仿宋_GB2312" w:hAnsi="Arial" w:cs="Arial" w:hint="eastAsia"/>
          <w:bCs/>
          <w:color w:val="000000"/>
          <w:sz w:val="28"/>
          <w:szCs w:val="28"/>
        </w:rPr>
        <w:t>7</w:t>
      </w:r>
      <w:r w:rsidRPr="00042364">
        <w:rPr>
          <w:rFonts w:ascii="Arial" w:eastAsia="仿宋_GB2312" w:hAnsi="Arial" w:cs="Arial" w:hint="eastAsia"/>
          <w:bCs/>
          <w:color w:val="000000"/>
          <w:sz w:val="28"/>
          <w:szCs w:val="28"/>
        </w:rPr>
        <w:t>个百分点至</w:t>
      </w:r>
      <w:r w:rsidRPr="00042364">
        <w:rPr>
          <w:rFonts w:ascii="Arial" w:eastAsia="仿宋_GB2312" w:hAnsi="Arial" w:cs="Arial" w:hint="eastAsia"/>
          <w:bCs/>
          <w:color w:val="000000"/>
          <w:sz w:val="28"/>
          <w:szCs w:val="28"/>
        </w:rPr>
        <w:t>19%</w:t>
      </w:r>
      <w:r w:rsidRPr="00042364">
        <w:rPr>
          <w:rFonts w:ascii="Arial" w:eastAsia="仿宋_GB2312" w:hAnsi="Arial" w:cs="Arial" w:hint="eastAsia"/>
          <w:bCs/>
          <w:color w:val="000000"/>
          <w:sz w:val="28"/>
          <w:szCs w:val="28"/>
        </w:rPr>
        <w:t>。</w:t>
      </w:r>
    </w:p>
    <w:p w14:paraId="32138960"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二批集中供地延续首批竞拍规则，并进行相应的升级，新增了地价上限后“防马甲”摇号限制产权转让，并以</w:t>
      </w:r>
      <w:proofErr w:type="gramStart"/>
      <w:r w:rsidRPr="00042364">
        <w:rPr>
          <w:rFonts w:ascii="Arial" w:eastAsia="仿宋_GB2312" w:hAnsi="Arial" w:cs="Arial" w:hint="eastAsia"/>
          <w:bCs/>
          <w:color w:val="000000"/>
          <w:sz w:val="28"/>
          <w:szCs w:val="28"/>
        </w:rPr>
        <w:t>大兴区</w:t>
      </w:r>
      <w:proofErr w:type="gramEnd"/>
      <w:r w:rsidRPr="00042364">
        <w:rPr>
          <w:rFonts w:ascii="Arial" w:eastAsia="仿宋_GB2312" w:hAnsi="Arial" w:cs="Arial" w:hint="eastAsia"/>
          <w:bCs/>
          <w:color w:val="000000"/>
          <w:sz w:val="28"/>
          <w:szCs w:val="28"/>
        </w:rPr>
        <w:t>黄村镇地块探索创新试点地价</w:t>
      </w:r>
      <w:proofErr w:type="gramStart"/>
      <w:r w:rsidRPr="00042364">
        <w:rPr>
          <w:rFonts w:ascii="Arial" w:eastAsia="仿宋_GB2312" w:hAnsi="Arial" w:cs="Arial" w:hint="eastAsia"/>
          <w:bCs/>
          <w:color w:val="000000"/>
          <w:sz w:val="28"/>
          <w:szCs w:val="28"/>
        </w:rPr>
        <w:t>上限后竞现房</w:t>
      </w:r>
      <w:proofErr w:type="gramEnd"/>
      <w:r w:rsidRPr="00042364">
        <w:rPr>
          <w:rFonts w:ascii="Arial" w:eastAsia="仿宋_GB2312" w:hAnsi="Arial" w:cs="Arial" w:hint="eastAsia"/>
          <w:bCs/>
          <w:color w:val="000000"/>
          <w:sz w:val="28"/>
          <w:szCs w:val="28"/>
        </w:rPr>
        <w:t>销售高标准建设方案机制，进一步完善了土地出让竞拍规则。二批次土地供应继续实施商品住宅销售价格承诺制，并严控整体宅地成交溢价率，二批次地块的整体溢价率控制在</w:t>
      </w:r>
      <w:r w:rsidRPr="00042364">
        <w:rPr>
          <w:rFonts w:ascii="Arial" w:eastAsia="仿宋_GB2312" w:hAnsi="Arial" w:cs="Arial" w:hint="eastAsia"/>
          <w:bCs/>
          <w:color w:val="000000"/>
          <w:sz w:val="28"/>
          <w:szCs w:val="28"/>
        </w:rPr>
        <w:t>10%</w:t>
      </w:r>
      <w:r w:rsidRPr="00042364">
        <w:rPr>
          <w:rFonts w:ascii="Arial" w:eastAsia="仿宋_GB2312" w:hAnsi="Arial" w:cs="Arial" w:hint="eastAsia"/>
          <w:bCs/>
          <w:color w:val="000000"/>
          <w:sz w:val="28"/>
          <w:szCs w:val="28"/>
        </w:rPr>
        <w:t>以内，单宗溢价率不高于</w:t>
      </w:r>
      <w:r w:rsidRPr="00042364">
        <w:rPr>
          <w:rFonts w:ascii="Arial" w:eastAsia="仿宋_GB2312" w:hAnsi="Arial" w:cs="Arial" w:hint="eastAsia"/>
          <w:bCs/>
          <w:color w:val="000000"/>
          <w:sz w:val="28"/>
          <w:szCs w:val="28"/>
        </w:rPr>
        <w:t>15%</w:t>
      </w: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lastRenderedPageBreak/>
        <w:t>同时，土地竞拍参拍前需提交关于购地资金合法、合</w:t>
      </w:r>
      <w:proofErr w:type="gramStart"/>
      <w:r w:rsidRPr="00042364">
        <w:rPr>
          <w:rFonts w:ascii="Arial" w:eastAsia="仿宋_GB2312" w:hAnsi="Arial" w:cs="Arial" w:hint="eastAsia"/>
          <w:bCs/>
          <w:color w:val="000000"/>
          <w:sz w:val="28"/>
          <w:szCs w:val="28"/>
        </w:rPr>
        <w:t>规</w:t>
      </w:r>
      <w:proofErr w:type="gramEnd"/>
      <w:r w:rsidRPr="00042364">
        <w:rPr>
          <w:rFonts w:ascii="Arial" w:eastAsia="仿宋_GB2312" w:hAnsi="Arial" w:cs="Arial" w:hint="eastAsia"/>
          <w:bCs/>
          <w:color w:val="000000"/>
          <w:sz w:val="28"/>
          <w:szCs w:val="28"/>
        </w:rPr>
        <w:t>的承诺书；土地成交后，土地竞得人需说明购地资金来源、提供相应的证明文件。</w:t>
      </w:r>
    </w:p>
    <w:p w14:paraId="328A0563"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bCs/>
          <w:color w:val="000000"/>
          <w:sz w:val="28"/>
          <w:szCs w:val="28"/>
        </w:rPr>
        <w:t>（</w:t>
      </w:r>
      <w:r w:rsidRPr="00042364">
        <w:rPr>
          <w:rFonts w:ascii="Arial" w:eastAsia="仿宋_GB2312" w:hAnsi="Arial" w:cs="Arial"/>
          <w:bCs/>
          <w:color w:val="000000"/>
          <w:sz w:val="28"/>
          <w:szCs w:val="28"/>
        </w:rPr>
        <w:t>2</w:t>
      </w:r>
      <w:r w:rsidRPr="00042364">
        <w:rPr>
          <w:rFonts w:ascii="Arial" w:eastAsia="仿宋_GB2312" w:hAnsi="Arial" w:cs="Arial"/>
          <w:bCs/>
          <w:color w:val="000000"/>
          <w:sz w:val="28"/>
          <w:szCs w:val="28"/>
        </w:rPr>
        <w:t>）商品房住宅市场</w:t>
      </w:r>
    </w:p>
    <w:p w14:paraId="73FD74D0"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）商品住宅供给状况</w:t>
      </w:r>
    </w:p>
    <w:p w14:paraId="5D774533"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季度北京商品住宅供应规模同比</w:t>
      </w:r>
      <w:proofErr w:type="gramStart"/>
      <w:r w:rsidRPr="00042364">
        <w:rPr>
          <w:rFonts w:ascii="Arial" w:eastAsia="仿宋_GB2312" w:hAnsi="Arial" w:hint="eastAsia"/>
          <w:bCs/>
          <w:color w:val="000000"/>
          <w:sz w:val="28"/>
          <w:szCs w:val="28"/>
        </w:rPr>
        <w:t>增幅超</w:t>
      </w:r>
      <w:proofErr w:type="gramEnd"/>
      <w:r w:rsidRPr="00042364">
        <w:rPr>
          <w:rFonts w:ascii="Arial" w:eastAsia="仿宋_GB2312" w:hAnsi="Arial" w:hint="eastAsia"/>
          <w:bCs/>
          <w:color w:val="000000"/>
          <w:sz w:val="28"/>
          <w:szCs w:val="28"/>
        </w:rPr>
        <w:t>一成，为年内单季度供应规模最高季度。</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季度初期，北京新房供应保持供应节奏明显放缓，</w:t>
      </w:r>
      <w:r w:rsidRPr="00042364">
        <w:rPr>
          <w:rFonts w:ascii="Arial" w:eastAsia="仿宋_GB2312" w:hAnsi="Arial" w:hint="eastAsia"/>
          <w:bCs/>
          <w:color w:val="000000"/>
          <w:sz w:val="28"/>
          <w:szCs w:val="28"/>
        </w:rPr>
        <w:t>7</w:t>
      </w:r>
      <w:r w:rsidRPr="00042364">
        <w:rPr>
          <w:rFonts w:ascii="Arial" w:eastAsia="仿宋_GB2312" w:hAnsi="Arial" w:hint="eastAsia"/>
          <w:bCs/>
          <w:color w:val="000000"/>
          <w:sz w:val="28"/>
          <w:szCs w:val="28"/>
        </w:rPr>
        <w:t>月新增供应规模不足</w:t>
      </w:r>
      <w:r w:rsidRPr="00042364">
        <w:rPr>
          <w:rFonts w:ascii="Arial" w:eastAsia="仿宋_GB2312" w:hAnsi="Arial" w:hint="eastAsia"/>
          <w:bCs/>
          <w:color w:val="000000"/>
          <w:sz w:val="28"/>
          <w:szCs w:val="28"/>
        </w:rPr>
        <w:t>60</w:t>
      </w:r>
      <w:r w:rsidRPr="00042364">
        <w:rPr>
          <w:rFonts w:ascii="Arial" w:eastAsia="仿宋_GB2312" w:hAnsi="Arial" w:hint="eastAsia"/>
          <w:bCs/>
          <w:color w:val="000000"/>
          <w:sz w:val="28"/>
          <w:szCs w:val="28"/>
        </w:rPr>
        <w:t>万平方米，</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月供应节奏明显加快，新取证</w:t>
      </w:r>
      <w:r w:rsidRPr="00042364">
        <w:rPr>
          <w:rFonts w:ascii="Arial" w:eastAsia="仿宋_GB2312" w:hAnsi="Arial" w:hint="eastAsia"/>
          <w:bCs/>
          <w:color w:val="000000"/>
          <w:sz w:val="28"/>
          <w:szCs w:val="28"/>
        </w:rPr>
        <w:t>30</w:t>
      </w:r>
      <w:r w:rsidRPr="00042364">
        <w:rPr>
          <w:rFonts w:ascii="Arial" w:eastAsia="仿宋_GB2312" w:hAnsi="Arial" w:hint="eastAsia"/>
          <w:bCs/>
          <w:color w:val="000000"/>
          <w:sz w:val="28"/>
          <w:szCs w:val="28"/>
        </w:rPr>
        <w:t>个项目，累计供应</w:t>
      </w:r>
      <w:r w:rsidRPr="00042364">
        <w:rPr>
          <w:rFonts w:ascii="Arial" w:eastAsia="仿宋_GB2312" w:hAnsi="Arial" w:hint="eastAsia"/>
          <w:bCs/>
          <w:color w:val="000000"/>
          <w:sz w:val="28"/>
          <w:szCs w:val="28"/>
        </w:rPr>
        <w:t>154.27</w:t>
      </w:r>
      <w:r w:rsidRPr="00042364">
        <w:rPr>
          <w:rFonts w:ascii="Arial" w:eastAsia="仿宋_GB2312" w:hAnsi="Arial" w:hint="eastAsia"/>
          <w:bCs/>
          <w:color w:val="000000"/>
          <w:sz w:val="28"/>
          <w:szCs w:val="28"/>
        </w:rPr>
        <w:t>万平方米，创年内单月供应规模新高。整体来看，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季度累计供应</w:t>
      </w:r>
      <w:r w:rsidRPr="00042364">
        <w:rPr>
          <w:rFonts w:ascii="Arial" w:eastAsia="仿宋_GB2312" w:hAnsi="Arial" w:hint="eastAsia"/>
          <w:bCs/>
          <w:color w:val="000000"/>
          <w:sz w:val="28"/>
          <w:szCs w:val="28"/>
        </w:rPr>
        <w:t>280.54</w:t>
      </w:r>
      <w:r w:rsidRPr="00042364">
        <w:rPr>
          <w:rFonts w:ascii="Arial" w:eastAsia="仿宋_GB2312" w:hAnsi="Arial" w:hint="eastAsia"/>
          <w:bCs/>
          <w:color w:val="000000"/>
          <w:sz w:val="28"/>
          <w:szCs w:val="28"/>
        </w:rPr>
        <w:t>万平，为年内单季度供应规模最高值，同比增长</w:t>
      </w:r>
      <w:r w:rsidRPr="00042364">
        <w:rPr>
          <w:rFonts w:ascii="Arial" w:eastAsia="仿宋_GB2312" w:hAnsi="Arial" w:hint="eastAsia"/>
          <w:bCs/>
          <w:color w:val="000000"/>
          <w:sz w:val="28"/>
          <w:szCs w:val="28"/>
        </w:rPr>
        <w:t>15%</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季度商品住宅市场</w:t>
      </w:r>
      <w:proofErr w:type="gramStart"/>
      <w:r w:rsidRPr="00042364">
        <w:rPr>
          <w:rFonts w:ascii="Arial" w:eastAsia="仿宋_GB2312" w:hAnsi="Arial" w:hint="eastAsia"/>
          <w:bCs/>
          <w:color w:val="000000"/>
          <w:sz w:val="28"/>
          <w:szCs w:val="28"/>
        </w:rPr>
        <w:t>销供比</w:t>
      </w:r>
      <w:proofErr w:type="gramEnd"/>
      <w:r w:rsidRPr="00042364">
        <w:rPr>
          <w:rFonts w:ascii="Arial" w:eastAsia="仿宋_GB2312" w:hAnsi="Arial" w:hint="eastAsia"/>
          <w:bCs/>
          <w:color w:val="000000"/>
          <w:sz w:val="28"/>
          <w:szCs w:val="28"/>
        </w:rPr>
        <w:t>为</w:t>
      </w:r>
      <w:r w:rsidRPr="00042364">
        <w:rPr>
          <w:rFonts w:ascii="Arial" w:eastAsia="仿宋_GB2312" w:hAnsi="Arial" w:hint="eastAsia"/>
          <w:bCs/>
          <w:color w:val="000000"/>
          <w:sz w:val="28"/>
          <w:szCs w:val="28"/>
        </w:rPr>
        <w:t>0.92</w:t>
      </w:r>
      <w:r w:rsidRPr="00042364">
        <w:rPr>
          <w:rFonts w:ascii="Arial" w:eastAsia="仿宋_GB2312" w:hAnsi="Arial" w:hint="eastAsia"/>
          <w:bCs/>
          <w:color w:val="000000"/>
          <w:sz w:val="28"/>
          <w:szCs w:val="28"/>
        </w:rPr>
        <w:t>，同比上升</w:t>
      </w:r>
      <w:r w:rsidRPr="00042364">
        <w:rPr>
          <w:rFonts w:ascii="Arial" w:eastAsia="仿宋_GB2312" w:hAnsi="Arial" w:hint="eastAsia"/>
          <w:bCs/>
          <w:color w:val="000000"/>
          <w:sz w:val="28"/>
          <w:szCs w:val="28"/>
        </w:rPr>
        <w:t>0.04</w:t>
      </w:r>
      <w:r w:rsidRPr="00042364">
        <w:rPr>
          <w:rFonts w:ascii="Arial" w:eastAsia="仿宋_GB2312" w:hAnsi="Arial" w:hint="eastAsia"/>
          <w:bCs/>
          <w:color w:val="000000"/>
          <w:sz w:val="28"/>
          <w:szCs w:val="28"/>
        </w:rPr>
        <w:t>个点，整体处于供求弱平衡状态。</w:t>
      </w:r>
    </w:p>
    <w:p w14:paraId="43A69643" w14:textId="77777777" w:rsidR="00A145B3" w:rsidRPr="00042364" w:rsidRDefault="00A145B3" w:rsidP="00A145B3">
      <w:pPr>
        <w:overflowPunct w:val="0"/>
        <w:spacing w:line="360" w:lineRule="auto"/>
        <w:jc w:val="both"/>
        <w:textAlignment w:val="auto"/>
        <w:rPr>
          <w:noProof/>
          <w:color w:val="984806"/>
        </w:rPr>
      </w:pPr>
      <w:r w:rsidRPr="00E00F1E">
        <w:rPr>
          <w:noProof/>
        </w:rPr>
        <w:drawing>
          <wp:inline distT="0" distB="0" distL="0" distR="0" wp14:anchorId="6C122BAA" wp14:editId="1022046F">
            <wp:extent cx="5902325" cy="1840865"/>
            <wp:effectExtent l="0" t="0" r="3175" b="698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68DF4EEC"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截至</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月底，北京商品住宅（不含保障房）库存量为</w:t>
      </w:r>
      <w:r w:rsidRPr="00042364">
        <w:rPr>
          <w:rFonts w:ascii="Arial" w:eastAsia="仿宋_GB2312" w:hAnsi="Arial" w:hint="eastAsia"/>
          <w:bCs/>
          <w:color w:val="000000"/>
          <w:sz w:val="28"/>
          <w:szCs w:val="28"/>
        </w:rPr>
        <w:t>1141.45</w:t>
      </w:r>
      <w:r w:rsidRPr="00042364">
        <w:rPr>
          <w:rFonts w:ascii="Arial" w:eastAsia="仿宋_GB2312" w:hAnsi="Arial" w:hint="eastAsia"/>
          <w:bCs/>
          <w:color w:val="000000"/>
          <w:sz w:val="28"/>
          <w:szCs w:val="28"/>
        </w:rPr>
        <w:t>万平方米，较去年同期微降</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，降幅较</w:t>
      </w:r>
      <w:r>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季度扩大</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个百分点；</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季度商品住宅库存规模相对平稳，库存出清周期维持在</w:t>
      </w:r>
      <w:r w:rsidRPr="00042364">
        <w:rPr>
          <w:rFonts w:ascii="Arial" w:eastAsia="仿宋_GB2312" w:hAnsi="Arial" w:hint="eastAsia"/>
          <w:bCs/>
          <w:color w:val="000000"/>
          <w:sz w:val="28"/>
          <w:szCs w:val="28"/>
        </w:rPr>
        <w:t>12.7</w:t>
      </w:r>
      <w:r w:rsidRPr="00042364">
        <w:rPr>
          <w:rFonts w:ascii="Arial" w:eastAsia="仿宋_GB2312" w:hAnsi="Arial" w:hint="eastAsia"/>
          <w:bCs/>
          <w:color w:val="000000"/>
          <w:sz w:val="28"/>
          <w:szCs w:val="28"/>
        </w:rPr>
        <w:t>个月（</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月底出清周期），结构性库存风险仍存在。</w:t>
      </w:r>
    </w:p>
    <w:p w14:paraId="59E3919E" w14:textId="77777777" w:rsidR="00A145B3" w:rsidRPr="00042364" w:rsidRDefault="00A145B3" w:rsidP="00A145B3">
      <w:pPr>
        <w:overflowPunct w:val="0"/>
        <w:spacing w:line="360" w:lineRule="auto"/>
        <w:jc w:val="center"/>
        <w:textAlignment w:val="auto"/>
        <w:rPr>
          <w:rFonts w:ascii="Arial" w:eastAsia="仿宋_GB2312" w:hAnsi="Arial"/>
          <w:bCs/>
          <w:color w:val="984806"/>
          <w:sz w:val="28"/>
          <w:szCs w:val="28"/>
          <w:highlight w:val="lightGray"/>
        </w:rPr>
      </w:pPr>
      <w:r w:rsidRPr="00E00F1E">
        <w:rPr>
          <w:noProof/>
        </w:rPr>
        <w:lastRenderedPageBreak/>
        <w:drawing>
          <wp:inline distT="0" distB="0" distL="0" distR="0" wp14:anchorId="0410CA8E" wp14:editId="13374DDB">
            <wp:extent cx="5902325" cy="1816735"/>
            <wp:effectExtent l="0" t="0" r="317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2325" cy="1816735"/>
                    </a:xfrm>
                    <a:prstGeom prst="rect">
                      <a:avLst/>
                    </a:prstGeom>
                    <a:noFill/>
                    <a:ln>
                      <a:noFill/>
                    </a:ln>
                  </pic:spPr>
                </pic:pic>
              </a:graphicData>
            </a:graphic>
          </wp:inline>
        </w:drawing>
      </w:r>
    </w:p>
    <w:p w14:paraId="0A564B18"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）商品住宅成交情况</w:t>
      </w:r>
    </w:p>
    <w:p w14:paraId="2B8B9264"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A.</w:t>
      </w:r>
      <w:r w:rsidRPr="00042364">
        <w:rPr>
          <w:rFonts w:ascii="Arial" w:eastAsia="仿宋_GB2312" w:hAnsi="Arial" w:hint="eastAsia"/>
          <w:bCs/>
          <w:color w:val="000000"/>
          <w:sz w:val="28"/>
          <w:szCs w:val="28"/>
        </w:rPr>
        <w:t>成交量</w:t>
      </w:r>
    </w:p>
    <w:p w14:paraId="247BC26C"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季度北京市</w:t>
      </w:r>
      <w:proofErr w:type="gramStart"/>
      <w:r w:rsidRPr="00042364">
        <w:rPr>
          <w:rFonts w:ascii="Arial" w:eastAsia="仿宋_GB2312" w:hAnsi="Arial" w:hint="eastAsia"/>
          <w:bCs/>
          <w:color w:val="000000"/>
          <w:sz w:val="28"/>
          <w:szCs w:val="28"/>
        </w:rPr>
        <w:t>山品住宅</w:t>
      </w:r>
      <w:proofErr w:type="gramEnd"/>
      <w:r w:rsidRPr="00042364">
        <w:rPr>
          <w:rFonts w:ascii="Arial" w:eastAsia="仿宋_GB2312" w:hAnsi="Arial" w:hint="eastAsia"/>
          <w:bCs/>
          <w:color w:val="000000"/>
          <w:sz w:val="28"/>
          <w:szCs w:val="28"/>
        </w:rPr>
        <w:t>成交规模保持高位运行，同比增速进一步收窄。</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经济化调控政策进一步推进，在严禁炒作学区房、严格规范市场销售行为、限定离婚购房资格、房贷放款时间延长等多举措共同推动影响下，新房市场情绪逐步回归理性，月度商品住宅成交规模逐步回调，</w:t>
      </w:r>
      <w:r w:rsidRPr="00042364">
        <w:rPr>
          <w:rFonts w:ascii="Arial" w:eastAsia="仿宋_GB2312" w:hAnsi="Arial" w:hint="eastAsia"/>
          <w:bCs/>
          <w:color w:val="000000"/>
          <w:sz w:val="28"/>
          <w:szCs w:val="28"/>
        </w:rPr>
        <w:t>7</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月单月成交</w:t>
      </w:r>
      <w:proofErr w:type="gramStart"/>
      <w:r w:rsidRPr="00042364">
        <w:rPr>
          <w:rFonts w:ascii="Arial" w:eastAsia="仿宋_GB2312" w:hAnsi="Arial" w:hint="eastAsia"/>
          <w:bCs/>
          <w:color w:val="000000"/>
          <w:sz w:val="28"/>
          <w:szCs w:val="28"/>
        </w:rPr>
        <w:t>规模环</w:t>
      </w:r>
      <w:proofErr w:type="gramEnd"/>
      <w:r w:rsidRPr="00042364">
        <w:rPr>
          <w:rFonts w:ascii="Arial" w:eastAsia="仿宋_GB2312" w:hAnsi="Arial" w:hint="eastAsia"/>
          <w:bCs/>
          <w:color w:val="000000"/>
          <w:sz w:val="28"/>
          <w:szCs w:val="28"/>
        </w:rPr>
        <w:t>比两连降，</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季度累计成交</w:t>
      </w:r>
      <w:r w:rsidRPr="00042364">
        <w:rPr>
          <w:rFonts w:ascii="Arial" w:eastAsia="仿宋_GB2312" w:hAnsi="Arial" w:hint="eastAsia"/>
          <w:bCs/>
          <w:color w:val="000000"/>
          <w:sz w:val="28"/>
          <w:szCs w:val="28"/>
        </w:rPr>
        <w:t>266.07</w:t>
      </w:r>
      <w:r w:rsidRPr="00042364">
        <w:rPr>
          <w:rFonts w:ascii="Arial" w:eastAsia="仿宋_GB2312" w:hAnsi="Arial" w:hint="eastAsia"/>
          <w:bCs/>
          <w:color w:val="000000"/>
          <w:sz w:val="28"/>
          <w:szCs w:val="28"/>
        </w:rPr>
        <w:t>万平，同比增长</w:t>
      </w:r>
      <w:r w:rsidRPr="00042364">
        <w:rPr>
          <w:rFonts w:ascii="Arial" w:eastAsia="仿宋_GB2312" w:hAnsi="Arial" w:hint="eastAsia"/>
          <w:bCs/>
          <w:color w:val="000000"/>
          <w:sz w:val="28"/>
          <w:szCs w:val="28"/>
        </w:rPr>
        <w:t>20%</w:t>
      </w:r>
      <w:r w:rsidRPr="00042364">
        <w:rPr>
          <w:rFonts w:ascii="Arial" w:eastAsia="仿宋_GB2312" w:hAnsi="Arial" w:hint="eastAsia"/>
          <w:bCs/>
          <w:color w:val="000000"/>
          <w:sz w:val="28"/>
          <w:szCs w:val="28"/>
        </w:rPr>
        <w:t>，较上季度收窄</w:t>
      </w:r>
      <w:r w:rsidRPr="00042364">
        <w:rPr>
          <w:rFonts w:ascii="Arial" w:eastAsia="仿宋_GB2312" w:hAnsi="Arial" w:hint="eastAsia"/>
          <w:bCs/>
          <w:color w:val="000000"/>
          <w:sz w:val="28"/>
          <w:szCs w:val="28"/>
        </w:rPr>
        <w:t>69</w:t>
      </w:r>
      <w:r w:rsidRPr="00042364">
        <w:rPr>
          <w:rFonts w:ascii="Arial" w:eastAsia="仿宋_GB2312" w:hAnsi="Arial" w:hint="eastAsia"/>
          <w:bCs/>
          <w:color w:val="000000"/>
          <w:sz w:val="28"/>
          <w:szCs w:val="28"/>
        </w:rPr>
        <w:t>个百分点。</w:t>
      </w:r>
    </w:p>
    <w:p w14:paraId="3ADE76A3" w14:textId="77777777" w:rsidR="00A145B3" w:rsidRPr="00042364" w:rsidRDefault="00A145B3" w:rsidP="00A145B3">
      <w:pPr>
        <w:widowControl/>
        <w:overflowPunct w:val="0"/>
        <w:adjustRightInd/>
        <w:spacing w:line="480" w:lineRule="auto"/>
        <w:jc w:val="center"/>
        <w:textAlignment w:val="auto"/>
        <w:rPr>
          <w:rFonts w:ascii="Arial" w:hAnsi="Arial"/>
          <w:bCs/>
          <w:color w:val="984806"/>
          <w:sz w:val="21"/>
          <w:szCs w:val="28"/>
          <w:highlight w:val="lightGray"/>
        </w:rPr>
      </w:pPr>
      <w:r w:rsidRPr="00E00F1E">
        <w:rPr>
          <w:noProof/>
        </w:rPr>
        <w:drawing>
          <wp:inline distT="0" distB="0" distL="0" distR="0" wp14:anchorId="4BB27ABD" wp14:editId="191B76A2">
            <wp:extent cx="5902325" cy="1924050"/>
            <wp:effectExtent l="0" t="0" r="317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2325" cy="1924050"/>
                    </a:xfrm>
                    <a:prstGeom prst="rect">
                      <a:avLst/>
                    </a:prstGeom>
                    <a:noFill/>
                    <a:ln>
                      <a:noFill/>
                    </a:ln>
                  </pic:spPr>
                </pic:pic>
              </a:graphicData>
            </a:graphic>
          </wp:inline>
        </w:drawing>
      </w:r>
    </w:p>
    <w:p w14:paraId="037A170C" w14:textId="77777777" w:rsidR="00A145B3" w:rsidRPr="00042364" w:rsidRDefault="00A145B3" w:rsidP="00A145B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B.</w:t>
      </w:r>
      <w:r w:rsidRPr="00042364">
        <w:rPr>
          <w:rFonts w:hint="eastAsia"/>
          <w:color w:val="000000"/>
        </w:rPr>
        <w:t xml:space="preserve"> </w:t>
      </w:r>
      <w:r w:rsidRPr="00042364">
        <w:rPr>
          <w:rFonts w:ascii="Arial" w:eastAsia="仿宋_GB2312" w:hAnsi="Arial" w:hint="eastAsia"/>
          <w:bCs/>
          <w:color w:val="000000"/>
          <w:sz w:val="28"/>
          <w:szCs w:val="28"/>
        </w:rPr>
        <w:t>成交价格</w:t>
      </w:r>
    </w:p>
    <w:p w14:paraId="7DD2D3F0"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a.</w:t>
      </w:r>
      <w:r w:rsidRPr="00042364">
        <w:rPr>
          <w:rFonts w:ascii="Arial" w:eastAsia="仿宋_GB2312" w:hAnsi="Arial" w:hint="eastAsia"/>
          <w:bCs/>
          <w:color w:val="000000"/>
          <w:sz w:val="28"/>
          <w:szCs w:val="28"/>
        </w:rPr>
        <w:t>成交价格</w:t>
      </w:r>
    </w:p>
    <w:p w14:paraId="1C19A151"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季度商品住宅价格涨幅明显收窄，处近三年同期低位。伴随</w:t>
      </w:r>
      <w:proofErr w:type="gramStart"/>
      <w:r w:rsidRPr="00042364">
        <w:rPr>
          <w:rFonts w:ascii="Arial" w:eastAsia="仿宋_GB2312" w:hAnsi="Arial" w:hint="eastAsia"/>
          <w:bCs/>
          <w:color w:val="000000"/>
          <w:sz w:val="28"/>
          <w:szCs w:val="28"/>
        </w:rPr>
        <w:t>不</w:t>
      </w:r>
      <w:proofErr w:type="gramEnd"/>
      <w:r w:rsidRPr="00042364">
        <w:rPr>
          <w:rFonts w:ascii="Arial" w:eastAsia="仿宋_GB2312" w:hAnsi="Arial" w:hint="eastAsia"/>
          <w:bCs/>
          <w:color w:val="000000"/>
          <w:sz w:val="28"/>
          <w:szCs w:val="28"/>
        </w:rPr>
        <w:lastRenderedPageBreak/>
        <w:t>限价地块项目逐步入市、改善型项目成交不断增加，新建商品住宅价格结构性小幅上涨。整体来看，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季度北京新建商品住宅价格为</w:t>
      </w:r>
      <w:r w:rsidRPr="00042364">
        <w:rPr>
          <w:rFonts w:ascii="Arial" w:eastAsia="仿宋_GB2312" w:hAnsi="Arial" w:hint="eastAsia"/>
          <w:bCs/>
          <w:color w:val="000000"/>
          <w:sz w:val="28"/>
          <w:szCs w:val="28"/>
        </w:rPr>
        <w:t>44168</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平方米，累计上涨</w:t>
      </w:r>
      <w:r w:rsidRPr="00042364">
        <w:rPr>
          <w:rFonts w:ascii="Arial" w:eastAsia="仿宋_GB2312" w:hAnsi="Arial" w:hint="eastAsia"/>
          <w:bCs/>
          <w:color w:val="000000"/>
          <w:sz w:val="28"/>
          <w:szCs w:val="28"/>
        </w:rPr>
        <w:t>0.52%</w:t>
      </w:r>
      <w:r w:rsidRPr="00042364">
        <w:rPr>
          <w:rFonts w:ascii="Arial" w:eastAsia="仿宋_GB2312" w:hAnsi="Arial" w:hint="eastAsia"/>
          <w:bCs/>
          <w:color w:val="000000"/>
          <w:sz w:val="28"/>
          <w:szCs w:val="28"/>
        </w:rPr>
        <w:t>，但在政策严控、房地联动、设置上限指导价格等多因素综合影响下，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季度价格涨幅明显收窄，较</w:t>
      </w:r>
      <w:r>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季度收窄</w:t>
      </w:r>
      <w:r w:rsidRPr="00042364">
        <w:rPr>
          <w:rFonts w:ascii="Arial" w:eastAsia="仿宋_GB2312" w:hAnsi="Arial" w:hint="eastAsia"/>
          <w:bCs/>
          <w:color w:val="000000"/>
          <w:sz w:val="28"/>
          <w:szCs w:val="28"/>
        </w:rPr>
        <w:t>0.21</w:t>
      </w:r>
      <w:r w:rsidRPr="00042364">
        <w:rPr>
          <w:rFonts w:ascii="Arial" w:eastAsia="仿宋_GB2312" w:hAnsi="Arial" w:hint="eastAsia"/>
          <w:bCs/>
          <w:color w:val="000000"/>
          <w:sz w:val="28"/>
          <w:szCs w:val="28"/>
        </w:rPr>
        <w:t>个百分点，累计涨幅处近三年同期低位。</w:t>
      </w:r>
    </w:p>
    <w:p w14:paraId="1E4E4F1C" w14:textId="77777777" w:rsidR="00A145B3" w:rsidRPr="00042364" w:rsidRDefault="00A145B3" w:rsidP="00A145B3">
      <w:pPr>
        <w:overflowPunct w:val="0"/>
        <w:spacing w:line="480" w:lineRule="auto"/>
        <w:jc w:val="center"/>
        <w:textAlignment w:val="auto"/>
        <w:rPr>
          <w:rFonts w:ascii="Arial" w:hAnsi="Arial"/>
          <w:color w:val="984806"/>
          <w:sz w:val="21"/>
          <w:szCs w:val="28"/>
          <w:highlight w:val="lightGray"/>
        </w:rPr>
      </w:pPr>
      <w:r w:rsidRPr="00E00F1E">
        <w:rPr>
          <w:noProof/>
        </w:rPr>
        <w:drawing>
          <wp:inline distT="0" distB="0" distL="0" distR="0" wp14:anchorId="4DA2F3C0" wp14:editId="7F6DF0DA">
            <wp:extent cx="5902325" cy="1722120"/>
            <wp:effectExtent l="0" t="0" r="317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2325" cy="1722120"/>
                    </a:xfrm>
                    <a:prstGeom prst="rect">
                      <a:avLst/>
                    </a:prstGeom>
                    <a:noFill/>
                    <a:ln>
                      <a:noFill/>
                    </a:ln>
                  </pic:spPr>
                </pic:pic>
              </a:graphicData>
            </a:graphic>
          </wp:inline>
        </w:drawing>
      </w:r>
    </w:p>
    <w:p w14:paraId="3D3D9EDE"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b.</w:t>
      </w:r>
      <w:r w:rsidRPr="00042364">
        <w:rPr>
          <w:rFonts w:ascii="Arial" w:eastAsia="仿宋_GB2312" w:hAnsi="Arial" w:hint="eastAsia"/>
          <w:bCs/>
          <w:color w:val="000000"/>
          <w:sz w:val="28"/>
          <w:szCs w:val="28"/>
        </w:rPr>
        <w:t>成交结构</w:t>
      </w:r>
    </w:p>
    <w:p w14:paraId="00047F3F"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季度商品住宅成交面积段主要集中在</w:t>
      </w:r>
      <w:r w:rsidRPr="00042364">
        <w:rPr>
          <w:rFonts w:ascii="Arial" w:eastAsia="仿宋_GB2312" w:hAnsi="Arial" w:hint="eastAsia"/>
          <w:bCs/>
          <w:color w:val="000000"/>
          <w:sz w:val="28"/>
          <w:szCs w:val="28"/>
        </w:rPr>
        <w:t>80-90</w:t>
      </w:r>
      <w:r w:rsidRPr="00042364">
        <w:rPr>
          <w:rFonts w:ascii="Arial" w:eastAsia="仿宋_GB2312" w:hAnsi="Arial" w:hint="eastAsia"/>
          <w:bCs/>
          <w:color w:val="000000"/>
          <w:sz w:val="28"/>
          <w:szCs w:val="28"/>
        </w:rPr>
        <w:t>平方米，成交套数占比</w:t>
      </w:r>
      <w:r w:rsidRPr="00042364">
        <w:rPr>
          <w:rFonts w:ascii="Arial" w:eastAsia="仿宋_GB2312" w:hAnsi="Arial" w:hint="eastAsia"/>
          <w:bCs/>
          <w:color w:val="000000"/>
          <w:sz w:val="28"/>
          <w:szCs w:val="28"/>
        </w:rPr>
        <w:t>30%</w:t>
      </w:r>
      <w:r w:rsidRPr="00042364">
        <w:rPr>
          <w:rFonts w:ascii="Arial" w:eastAsia="仿宋_GB2312" w:hAnsi="Arial" w:hint="eastAsia"/>
          <w:bCs/>
          <w:color w:val="000000"/>
          <w:sz w:val="28"/>
          <w:szCs w:val="28"/>
        </w:rPr>
        <w:t>，市场成交整体仍以</w:t>
      </w:r>
      <w:r w:rsidRPr="00042364">
        <w:rPr>
          <w:rFonts w:ascii="Arial" w:eastAsia="仿宋_GB2312" w:hAnsi="Arial" w:hint="eastAsia"/>
          <w:bCs/>
          <w:color w:val="000000"/>
          <w:sz w:val="28"/>
          <w:szCs w:val="28"/>
        </w:rPr>
        <w:t>90</w:t>
      </w:r>
      <w:r w:rsidRPr="00042364">
        <w:rPr>
          <w:rFonts w:ascii="Arial" w:eastAsia="仿宋_GB2312" w:hAnsi="Arial" w:hint="eastAsia"/>
          <w:bCs/>
          <w:color w:val="000000"/>
          <w:sz w:val="28"/>
          <w:szCs w:val="28"/>
        </w:rPr>
        <w:t>平方米</w:t>
      </w:r>
      <w:proofErr w:type="gramStart"/>
      <w:r w:rsidRPr="00042364">
        <w:rPr>
          <w:rFonts w:ascii="Arial" w:eastAsia="仿宋_GB2312" w:hAnsi="Arial" w:hint="eastAsia"/>
          <w:bCs/>
          <w:color w:val="000000"/>
          <w:sz w:val="28"/>
          <w:szCs w:val="28"/>
        </w:rPr>
        <w:t>以下刚需产品</w:t>
      </w:r>
      <w:proofErr w:type="gramEnd"/>
      <w:r w:rsidRPr="00042364">
        <w:rPr>
          <w:rFonts w:ascii="Arial" w:eastAsia="仿宋_GB2312" w:hAnsi="Arial" w:hint="eastAsia"/>
          <w:bCs/>
          <w:color w:val="000000"/>
          <w:sz w:val="28"/>
          <w:szCs w:val="28"/>
        </w:rPr>
        <w:t>为主；成交总价段主要集中在</w:t>
      </w:r>
      <w:r w:rsidRPr="00042364">
        <w:rPr>
          <w:rFonts w:ascii="Arial" w:eastAsia="仿宋_GB2312" w:hAnsi="Arial" w:hint="eastAsia"/>
          <w:bCs/>
          <w:color w:val="000000"/>
          <w:sz w:val="28"/>
          <w:szCs w:val="28"/>
        </w:rPr>
        <w:t>300-500</w:t>
      </w:r>
      <w:r w:rsidRPr="00042364">
        <w:rPr>
          <w:rFonts w:ascii="Arial" w:eastAsia="仿宋_GB2312" w:hAnsi="Arial" w:hint="eastAsia"/>
          <w:bCs/>
          <w:color w:val="000000"/>
          <w:sz w:val="28"/>
          <w:szCs w:val="28"/>
        </w:rPr>
        <w:t>万总价段，成交套数占比</w:t>
      </w:r>
      <w:r w:rsidRPr="00042364">
        <w:rPr>
          <w:rFonts w:ascii="Arial" w:eastAsia="仿宋_GB2312" w:hAnsi="Arial" w:hint="eastAsia"/>
          <w:bCs/>
          <w:color w:val="000000"/>
          <w:sz w:val="28"/>
          <w:szCs w:val="28"/>
        </w:rPr>
        <w:t>34%</w:t>
      </w:r>
      <w:r w:rsidRPr="00042364">
        <w:rPr>
          <w:rFonts w:ascii="Arial" w:eastAsia="仿宋_GB2312" w:hAnsi="Arial" w:hint="eastAsia"/>
          <w:bCs/>
          <w:color w:val="000000"/>
          <w:sz w:val="28"/>
          <w:szCs w:val="28"/>
        </w:rPr>
        <w:t>，整体仍以总价</w:t>
      </w:r>
      <w:r w:rsidRPr="00042364">
        <w:rPr>
          <w:rFonts w:ascii="Arial" w:eastAsia="仿宋_GB2312" w:hAnsi="Arial" w:hint="eastAsia"/>
          <w:bCs/>
          <w:color w:val="000000"/>
          <w:sz w:val="28"/>
          <w:szCs w:val="28"/>
        </w:rPr>
        <w:t>500</w:t>
      </w:r>
      <w:r w:rsidRPr="00042364">
        <w:rPr>
          <w:rFonts w:ascii="Arial" w:eastAsia="仿宋_GB2312" w:hAnsi="Arial" w:hint="eastAsia"/>
          <w:bCs/>
          <w:color w:val="000000"/>
          <w:sz w:val="28"/>
          <w:szCs w:val="28"/>
        </w:rPr>
        <w:t>万以下产品为主。改善型需求逐步释放，叠加</w:t>
      </w:r>
      <w:proofErr w:type="gramStart"/>
      <w:r w:rsidRPr="00042364">
        <w:rPr>
          <w:rFonts w:ascii="Arial" w:eastAsia="仿宋_GB2312" w:hAnsi="Arial" w:hint="eastAsia"/>
          <w:bCs/>
          <w:color w:val="000000"/>
          <w:sz w:val="28"/>
          <w:szCs w:val="28"/>
        </w:rPr>
        <w:t>不</w:t>
      </w:r>
      <w:proofErr w:type="gramEnd"/>
      <w:r w:rsidRPr="00042364">
        <w:rPr>
          <w:rFonts w:ascii="Arial" w:eastAsia="仿宋_GB2312" w:hAnsi="Arial" w:hint="eastAsia"/>
          <w:bCs/>
          <w:color w:val="000000"/>
          <w:sz w:val="28"/>
          <w:szCs w:val="28"/>
        </w:rPr>
        <w:t>限价地块项目入市、改善型产品供应改善影响，新房成交逐步向中</w:t>
      </w:r>
      <w:proofErr w:type="gramStart"/>
      <w:r w:rsidRPr="00042364">
        <w:rPr>
          <w:rFonts w:ascii="Arial" w:eastAsia="仿宋_GB2312" w:hAnsi="Arial" w:hint="eastAsia"/>
          <w:bCs/>
          <w:color w:val="000000"/>
          <w:sz w:val="28"/>
          <w:szCs w:val="28"/>
        </w:rPr>
        <w:t>高面积段</w:t>
      </w:r>
      <w:proofErr w:type="gramEnd"/>
      <w:r w:rsidRPr="00042364">
        <w:rPr>
          <w:rFonts w:ascii="Arial" w:eastAsia="仿宋_GB2312" w:hAnsi="Arial" w:hint="eastAsia"/>
          <w:bCs/>
          <w:color w:val="000000"/>
          <w:sz w:val="28"/>
          <w:szCs w:val="28"/>
        </w:rPr>
        <w:t>转移，中</w:t>
      </w:r>
      <w:proofErr w:type="gramStart"/>
      <w:r w:rsidRPr="00042364">
        <w:rPr>
          <w:rFonts w:ascii="Arial" w:eastAsia="仿宋_GB2312" w:hAnsi="Arial" w:hint="eastAsia"/>
          <w:bCs/>
          <w:color w:val="000000"/>
          <w:sz w:val="28"/>
          <w:szCs w:val="28"/>
        </w:rPr>
        <w:t>高面积段产品</w:t>
      </w:r>
      <w:proofErr w:type="gramEnd"/>
      <w:r w:rsidRPr="00042364">
        <w:rPr>
          <w:rFonts w:ascii="Arial" w:eastAsia="仿宋_GB2312" w:hAnsi="Arial" w:hint="eastAsia"/>
          <w:bCs/>
          <w:color w:val="000000"/>
          <w:sz w:val="28"/>
          <w:szCs w:val="28"/>
        </w:rPr>
        <w:t>成交占比提升</w:t>
      </w:r>
      <w:r w:rsidRPr="00042364">
        <w:rPr>
          <w:rFonts w:ascii="Arial" w:eastAsia="仿宋_GB2312" w:hAnsi="Arial" w:hint="eastAsia"/>
          <w:bCs/>
          <w:color w:val="000000"/>
          <w:sz w:val="28"/>
          <w:szCs w:val="28"/>
        </w:rPr>
        <w:t>5.7</w:t>
      </w:r>
      <w:r w:rsidRPr="00042364">
        <w:rPr>
          <w:rFonts w:ascii="Arial" w:eastAsia="仿宋_GB2312" w:hAnsi="Arial" w:hint="eastAsia"/>
          <w:bCs/>
          <w:color w:val="000000"/>
          <w:sz w:val="28"/>
          <w:szCs w:val="28"/>
        </w:rPr>
        <w:t>个百分点；成交总价段向高价位产品上移，成交套数占比提升</w:t>
      </w:r>
      <w:r w:rsidRPr="00042364">
        <w:rPr>
          <w:rFonts w:ascii="Arial" w:eastAsia="仿宋_GB2312" w:hAnsi="Arial" w:hint="eastAsia"/>
          <w:bCs/>
          <w:color w:val="000000"/>
          <w:sz w:val="28"/>
          <w:szCs w:val="28"/>
        </w:rPr>
        <w:t>2.9</w:t>
      </w:r>
      <w:r w:rsidRPr="00042364">
        <w:rPr>
          <w:rFonts w:ascii="Arial" w:eastAsia="仿宋_GB2312" w:hAnsi="Arial" w:hint="eastAsia"/>
          <w:bCs/>
          <w:color w:val="000000"/>
          <w:sz w:val="28"/>
          <w:szCs w:val="28"/>
        </w:rPr>
        <w:t>个百分点。</w:t>
      </w:r>
    </w:p>
    <w:p w14:paraId="47924A22" w14:textId="77777777" w:rsidR="00A145B3" w:rsidRPr="00042364" w:rsidRDefault="00A145B3" w:rsidP="00A145B3">
      <w:pPr>
        <w:tabs>
          <w:tab w:val="left" w:pos="426"/>
        </w:tabs>
        <w:overflowPunct w:val="0"/>
        <w:spacing w:line="360" w:lineRule="auto"/>
        <w:jc w:val="center"/>
        <w:textAlignment w:val="auto"/>
        <w:rPr>
          <w:rFonts w:ascii="Arial" w:eastAsia="仿宋_GB2312" w:hAnsi="Arial"/>
          <w:bCs/>
          <w:color w:val="984806"/>
          <w:sz w:val="28"/>
          <w:szCs w:val="28"/>
          <w:highlight w:val="lightGray"/>
        </w:rPr>
      </w:pPr>
      <w:r w:rsidRPr="00E00F1E">
        <w:rPr>
          <w:noProof/>
        </w:rPr>
        <w:lastRenderedPageBreak/>
        <w:drawing>
          <wp:inline distT="0" distB="0" distL="0" distR="0" wp14:anchorId="37BDCECF" wp14:editId="07B3BF88">
            <wp:extent cx="5904865" cy="1849755"/>
            <wp:effectExtent l="0" t="0" r="63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1849755"/>
                    </a:xfrm>
                    <a:prstGeom prst="rect">
                      <a:avLst/>
                    </a:prstGeom>
                    <a:noFill/>
                    <a:ln>
                      <a:noFill/>
                    </a:ln>
                  </pic:spPr>
                </pic:pic>
              </a:graphicData>
            </a:graphic>
          </wp:inline>
        </w:drawing>
      </w:r>
    </w:p>
    <w:p w14:paraId="5232E7AC"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C.</w:t>
      </w:r>
      <w:r w:rsidRPr="00042364">
        <w:rPr>
          <w:rFonts w:ascii="Arial" w:eastAsia="仿宋_GB2312" w:hAnsi="Arial" w:cs="Arial" w:hint="eastAsia"/>
          <w:bCs/>
          <w:color w:val="000000"/>
          <w:sz w:val="28"/>
          <w:szCs w:val="28"/>
        </w:rPr>
        <w:t>区域成交</w:t>
      </w:r>
    </w:p>
    <w:p w14:paraId="05EE99B7"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从成交规模来看，近郊六区已成为北京商品住宅（不含保障房）成交主力区域。</w:t>
      </w: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3</w:t>
      </w:r>
      <w:r w:rsidRPr="00042364">
        <w:rPr>
          <w:rFonts w:ascii="Arial" w:eastAsia="仿宋_GB2312" w:hAnsi="Arial" w:cs="Arial" w:hint="eastAsia"/>
          <w:bCs/>
          <w:color w:val="000000"/>
          <w:sz w:val="28"/>
          <w:szCs w:val="28"/>
        </w:rPr>
        <w:t>季度近郊六区累计成交</w:t>
      </w:r>
      <w:r w:rsidRPr="00042364">
        <w:rPr>
          <w:rFonts w:ascii="Arial" w:eastAsia="仿宋_GB2312" w:hAnsi="Arial" w:cs="Arial" w:hint="eastAsia"/>
          <w:bCs/>
          <w:color w:val="000000"/>
          <w:sz w:val="28"/>
          <w:szCs w:val="28"/>
        </w:rPr>
        <w:t>161.61</w:t>
      </w:r>
      <w:r w:rsidRPr="00042364">
        <w:rPr>
          <w:rFonts w:ascii="Arial" w:eastAsia="仿宋_GB2312" w:hAnsi="Arial" w:cs="Arial" w:hint="eastAsia"/>
          <w:bCs/>
          <w:color w:val="000000"/>
          <w:sz w:val="28"/>
          <w:szCs w:val="28"/>
        </w:rPr>
        <w:t>万平方米，占比达</w:t>
      </w:r>
      <w:r w:rsidRPr="00042364">
        <w:rPr>
          <w:rFonts w:ascii="Arial" w:eastAsia="仿宋_GB2312" w:hAnsi="Arial" w:cs="Arial" w:hint="eastAsia"/>
          <w:bCs/>
          <w:color w:val="000000"/>
          <w:sz w:val="28"/>
          <w:szCs w:val="28"/>
        </w:rPr>
        <w:t>58.7%</w:t>
      </w:r>
      <w:r w:rsidRPr="00042364">
        <w:rPr>
          <w:rFonts w:ascii="Arial" w:eastAsia="仿宋_GB2312" w:hAnsi="Arial" w:cs="Arial" w:hint="eastAsia"/>
          <w:bCs/>
          <w:color w:val="000000"/>
          <w:sz w:val="28"/>
          <w:szCs w:val="28"/>
        </w:rPr>
        <w:t>；其中，顺义、大兴等区域累计成交均超过</w:t>
      </w:r>
      <w:r w:rsidRPr="00042364">
        <w:rPr>
          <w:rFonts w:ascii="Arial" w:eastAsia="仿宋_GB2312" w:hAnsi="Arial" w:cs="Arial" w:hint="eastAsia"/>
          <w:bCs/>
          <w:color w:val="000000"/>
          <w:sz w:val="28"/>
          <w:szCs w:val="28"/>
        </w:rPr>
        <w:t>40</w:t>
      </w:r>
      <w:r w:rsidRPr="00042364">
        <w:rPr>
          <w:rFonts w:ascii="Arial" w:eastAsia="仿宋_GB2312" w:hAnsi="Arial" w:cs="Arial" w:hint="eastAsia"/>
          <w:bCs/>
          <w:color w:val="000000"/>
          <w:sz w:val="28"/>
          <w:szCs w:val="28"/>
        </w:rPr>
        <w:t>万平方米，分列北京各区销售规模第一、第二位。</w:t>
      </w:r>
    </w:p>
    <w:p w14:paraId="2D8BA7FF"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季度</w:t>
      </w:r>
      <w:r w:rsidRPr="00042364">
        <w:rPr>
          <w:rFonts w:ascii="Arial" w:eastAsia="仿宋_GB2312" w:hAnsi="Arial" w:cs="Arial" w:hint="eastAsia"/>
          <w:bCs/>
          <w:color w:val="000000"/>
          <w:sz w:val="28"/>
          <w:szCs w:val="28"/>
        </w:rPr>
        <w:t>中心城区商品住宅（不含保障房）成交均价最高，其中东、西城成交均价最高，均超</w:t>
      </w:r>
      <w:r w:rsidRPr="00042364">
        <w:rPr>
          <w:rFonts w:ascii="Arial" w:eastAsia="仿宋_GB2312" w:hAnsi="Arial" w:cs="Arial" w:hint="eastAsia"/>
          <w:bCs/>
          <w:color w:val="000000"/>
          <w:sz w:val="28"/>
          <w:szCs w:val="28"/>
        </w:rPr>
        <w:t>100000</w:t>
      </w:r>
      <w:r w:rsidRPr="00042364">
        <w:rPr>
          <w:rFonts w:ascii="Arial" w:eastAsia="仿宋_GB2312" w:hAnsi="Arial" w:cs="Arial" w:hint="eastAsia"/>
          <w:bCs/>
          <w:color w:val="000000"/>
          <w:sz w:val="28"/>
          <w:szCs w:val="28"/>
        </w:rPr>
        <w:t>元</w:t>
      </w: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平方米，远郊</w:t>
      </w:r>
      <w:proofErr w:type="gramStart"/>
      <w:r w:rsidRPr="00042364">
        <w:rPr>
          <w:rFonts w:ascii="Arial" w:eastAsia="仿宋_GB2312" w:hAnsi="Arial" w:cs="Arial" w:hint="eastAsia"/>
          <w:bCs/>
          <w:color w:val="000000"/>
          <w:sz w:val="28"/>
          <w:szCs w:val="28"/>
        </w:rPr>
        <w:t>区整体</w:t>
      </w:r>
      <w:proofErr w:type="gramEnd"/>
      <w:r w:rsidRPr="00042364">
        <w:rPr>
          <w:rFonts w:ascii="Arial" w:eastAsia="仿宋_GB2312" w:hAnsi="Arial" w:cs="Arial" w:hint="eastAsia"/>
          <w:bCs/>
          <w:color w:val="000000"/>
          <w:sz w:val="28"/>
          <w:szCs w:val="28"/>
        </w:rPr>
        <w:t>成交均价最低，其中密云成交均价最低，</w:t>
      </w:r>
      <w:r>
        <w:rPr>
          <w:rFonts w:ascii="Arial" w:eastAsia="仿宋_GB2312" w:hAnsi="Arial" w:cs="Arial" w:hint="eastAsia"/>
          <w:bCs/>
          <w:color w:val="000000"/>
          <w:sz w:val="28"/>
          <w:szCs w:val="28"/>
        </w:rPr>
        <w:t>3</w:t>
      </w:r>
      <w:r w:rsidRPr="00042364">
        <w:rPr>
          <w:rFonts w:ascii="Arial" w:eastAsia="仿宋_GB2312" w:hAnsi="Arial" w:cs="Arial" w:hint="eastAsia"/>
          <w:bCs/>
          <w:color w:val="000000"/>
          <w:sz w:val="28"/>
          <w:szCs w:val="28"/>
        </w:rPr>
        <w:t>季度成交均价不足</w:t>
      </w:r>
      <w:r w:rsidRPr="00042364">
        <w:rPr>
          <w:rFonts w:ascii="Arial" w:eastAsia="仿宋_GB2312" w:hAnsi="Arial" w:cs="Arial" w:hint="eastAsia"/>
          <w:bCs/>
          <w:color w:val="000000"/>
          <w:sz w:val="28"/>
          <w:szCs w:val="28"/>
        </w:rPr>
        <w:t>15000</w:t>
      </w:r>
      <w:r w:rsidRPr="00042364">
        <w:rPr>
          <w:rFonts w:ascii="Arial" w:eastAsia="仿宋_GB2312" w:hAnsi="Arial" w:cs="Arial" w:hint="eastAsia"/>
          <w:bCs/>
          <w:color w:val="000000"/>
          <w:sz w:val="28"/>
          <w:szCs w:val="28"/>
        </w:rPr>
        <w:t>元</w:t>
      </w: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平方米。</w:t>
      </w: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3</w:t>
      </w:r>
      <w:r w:rsidRPr="00042364">
        <w:rPr>
          <w:rFonts w:ascii="Arial" w:eastAsia="仿宋_GB2312" w:hAnsi="Arial" w:cs="Arial" w:hint="eastAsia"/>
          <w:bCs/>
          <w:color w:val="000000"/>
          <w:sz w:val="28"/>
          <w:szCs w:val="28"/>
        </w:rPr>
        <w:t>季度中心城区商品住宅成交均价同比涨幅最大，其中东、西城成交价格同比涨幅均超过</w:t>
      </w:r>
      <w:r w:rsidRPr="00042364">
        <w:rPr>
          <w:rFonts w:ascii="Arial" w:eastAsia="仿宋_GB2312" w:hAnsi="Arial" w:cs="Arial" w:hint="eastAsia"/>
          <w:bCs/>
          <w:color w:val="000000"/>
          <w:sz w:val="28"/>
          <w:szCs w:val="28"/>
        </w:rPr>
        <w:t>70%</w:t>
      </w:r>
      <w:r w:rsidRPr="00042364">
        <w:rPr>
          <w:rFonts w:ascii="Arial" w:eastAsia="仿宋_GB2312" w:hAnsi="Arial" w:cs="Arial" w:hint="eastAsia"/>
          <w:bCs/>
          <w:color w:val="000000"/>
          <w:sz w:val="28"/>
          <w:szCs w:val="28"/>
        </w:rPr>
        <w:t>，涨幅居全市前二；近郊</w:t>
      </w:r>
      <w:proofErr w:type="gramStart"/>
      <w:r w:rsidRPr="00042364">
        <w:rPr>
          <w:rFonts w:ascii="Arial" w:eastAsia="仿宋_GB2312" w:hAnsi="Arial" w:cs="Arial" w:hint="eastAsia"/>
          <w:bCs/>
          <w:color w:val="000000"/>
          <w:sz w:val="28"/>
          <w:szCs w:val="28"/>
        </w:rPr>
        <w:t>区成交</w:t>
      </w:r>
      <w:proofErr w:type="gramEnd"/>
      <w:r w:rsidRPr="00042364">
        <w:rPr>
          <w:rFonts w:ascii="Arial" w:eastAsia="仿宋_GB2312" w:hAnsi="Arial" w:cs="Arial" w:hint="eastAsia"/>
          <w:bCs/>
          <w:color w:val="000000"/>
          <w:sz w:val="28"/>
          <w:szCs w:val="28"/>
        </w:rPr>
        <w:t>均价同比增长</w:t>
      </w:r>
      <w:r w:rsidRPr="00042364">
        <w:rPr>
          <w:rFonts w:ascii="Arial" w:eastAsia="仿宋_GB2312" w:hAnsi="Arial" w:cs="Arial" w:hint="eastAsia"/>
          <w:bCs/>
          <w:color w:val="000000"/>
          <w:sz w:val="28"/>
          <w:szCs w:val="28"/>
        </w:rPr>
        <w:t>5%</w:t>
      </w:r>
      <w:r w:rsidRPr="00042364">
        <w:rPr>
          <w:rFonts w:ascii="Arial" w:eastAsia="仿宋_GB2312" w:hAnsi="Arial" w:cs="Arial" w:hint="eastAsia"/>
          <w:bCs/>
          <w:color w:val="000000"/>
          <w:sz w:val="28"/>
          <w:szCs w:val="28"/>
        </w:rPr>
        <w:t>，其中，大兴、顺义成交均价同比降幅较大，均在</w:t>
      </w:r>
      <w:r w:rsidRPr="00042364">
        <w:rPr>
          <w:rFonts w:ascii="Arial" w:eastAsia="仿宋_GB2312" w:hAnsi="Arial" w:cs="Arial" w:hint="eastAsia"/>
          <w:bCs/>
          <w:color w:val="000000"/>
          <w:sz w:val="28"/>
          <w:szCs w:val="28"/>
        </w:rPr>
        <w:t>15%</w:t>
      </w:r>
      <w:r w:rsidRPr="00042364">
        <w:rPr>
          <w:rFonts w:ascii="Arial" w:eastAsia="仿宋_GB2312" w:hAnsi="Arial" w:cs="Arial" w:hint="eastAsia"/>
          <w:bCs/>
          <w:color w:val="000000"/>
          <w:sz w:val="28"/>
          <w:szCs w:val="28"/>
        </w:rPr>
        <w:t>及以上。</w:t>
      </w:r>
    </w:p>
    <w:p w14:paraId="61B8A30C" w14:textId="77777777" w:rsidR="00A145B3" w:rsidRPr="00042364" w:rsidRDefault="00A145B3" w:rsidP="00A145B3">
      <w:pPr>
        <w:widowControl/>
        <w:adjustRightInd/>
        <w:spacing w:line="360" w:lineRule="auto"/>
        <w:jc w:val="both"/>
        <w:textAlignment w:val="auto"/>
        <w:rPr>
          <w:rFonts w:ascii="Arial" w:eastAsia="仿宋_GB2312" w:hAnsi="Arial" w:cs="Arial"/>
          <w:bCs/>
          <w:color w:val="984806"/>
          <w:sz w:val="28"/>
          <w:szCs w:val="28"/>
        </w:rPr>
      </w:pPr>
      <w:r w:rsidRPr="00E00F1E">
        <w:rPr>
          <w:noProof/>
        </w:rPr>
        <w:drawing>
          <wp:inline distT="0" distB="0" distL="0" distR="0" wp14:anchorId="15C78034" wp14:editId="218DFC6C">
            <wp:extent cx="5902325" cy="2007235"/>
            <wp:effectExtent l="0" t="0" r="317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2325" cy="2007235"/>
                    </a:xfrm>
                    <a:prstGeom prst="rect">
                      <a:avLst/>
                    </a:prstGeom>
                    <a:noFill/>
                    <a:ln>
                      <a:noFill/>
                    </a:ln>
                  </pic:spPr>
                </pic:pic>
              </a:graphicData>
            </a:graphic>
          </wp:inline>
        </w:drawing>
      </w:r>
    </w:p>
    <w:p w14:paraId="0353F328"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lastRenderedPageBreak/>
        <w:t>（</w:t>
      </w:r>
      <w:r w:rsidRPr="00042364">
        <w:rPr>
          <w:rFonts w:ascii="Arial" w:eastAsia="仿宋_GB2312" w:hAnsi="Arial" w:cs="Arial" w:hint="eastAsia"/>
          <w:bCs/>
          <w:color w:val="000000"/>
          <w:sz w:val="28"/>
          <w:szCs w:val="28"/>
        </w:rPr>
        <w:t>3</w:t>
      </w:r>
      <w:r w:rsidRPr="00042364">
        <w:rPr>
          <w:rFonts w:ascii="Arial" w:eastAsia="仿宋_GB2312" w:hAnsi="Arial" w:cs="Arial" w:hint="eastAsia"/>
          <w:bCs/>
          <w:color w:val="000000"/>
          <w:sz w:val="28"/>
          <w:szCs w:val="28"/>
        </w:rPr>
        <w:t>）存量房住宅市场</w:t>
      </w:r>
    </w:p>
    <w:p w14:paraId="46A3F94E"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）市场运行状况</w:t>
      </w:r>
    </w:p>
    <w:p w14:paraId="1BA012E3" w14:textId="77777777" w:rsidR="00A145B3" w:rsidRPr="00042364" w:rsidRDefault="00A145B3" w:rsidP="00A145B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季度北京严格落实</w:t>
      </w:r>
      <w:proofErr w:type="gramStart"/>
      <w:r w:rsidRPr="00042364">
        <w:rPr>
          <w:rFonts w:ascii="Arial" w:eastAsia="仿宋_GB2312" w:hAnsi="Arial" w:hint="eastAsia"/>
          <w:bCs/>
          <w:color w:val="000000"/>
          <w:sz w:val="28"/>
          <w:szCs w:val="28"/>
        </w:rPr>
        <w:t>学区房</w:t>
      </w:r>
      <w:proofErr w:type="gramEnd"/>
      <w:r w:rsidRPr="00042364">
        <w:rPr>
          <w:rFonts w:ascii="Arial" w:eastAsia="仿宋_GB2312" w:hAnsi="Arial" w:hint="eastAsia"/>
          <w:bCs/>
          <w:color w:val="000000"/>
          <w:sz w:val="28"/>
          <w:szCs w:val="28"/>
        </w:rPr>
        <w:t>政策，并严禁</w:t>
      </w:r>
      <w:proofErr w:type="gramStart"/>
      <w:r w:rsidRPr="00042364">
        <w:rPr>
          <w:rFonts w:ascii="Arial" w:eastAsia="仿宋_GB2312" w:hAnsi="Arial" w:hint="eastAsia"/>
          <w:bCs/>
          <w:color w:val="000000"/>
          <w:sz w:val="28"/>
          <w:szCs w:val="28"/>
        </w:rPr>
        <w:t>学区房</w:t>
      </w:r>
      <w:proofErr w:type="gramEnd"/>
      <w:r w:rsidRPr="00042364">
        <w:rPr>
          <w:rFonts w:ascii="Arial" w:eastAsia="仿宋_GB2312" w:hAnsi="Arial" w:hint="eastAsia"/>
          <w:bCs/>
          <w:color w:val="000000"/>
          <w:sz w:val="28"/>
          <w:szCs w:val="28"/>
        </w:rPr>
        <w:t>炒作，加上二手房贷款审批相对新房更为严苛、放款周期延长、二套首付</w:t>
      </w:r>
      <w:r w:rsidRPr="00042364">
        <w:rPr>
          <w:rFonts w:ascii="Arial" w:eastAsia="仿宋_GB2312" w:hAnsi="Arial" w:hint="eastAsia"/>
          <w:bCs/>
          <w:color w:val="000000"/>
          <w:sz w:val="28"/>
          <w:szCs w:val="28"/>
        </w:rPr>
        <w:t>60%</w:t>
      </w:r>
      <w:r w:rsidRPr="00042364">
        <w:rPr>
          <w:rFonts w:ascii="Arial" w:eastAsia="仿宋_GB2312" w:hAnsi="Arial" w:hint="eastAsia"/>
          <w:bCs/>
          <w:color w:val="000000"/>
          <w:sz w:val="28"/>
          <w:szCs w:val="28"/>
        </w:rPr>
        <w:t>或</w:t>
      </w:r>
      <w:r w:rsidRPr="00042364">
        <w:rPr>
          <w:rFonts w:ascii="Arial" w:eastAsia="仿宋_GB2312" w:hAnsi="Arial" w:hint="eastAsia"/>
          <w:bCs/>
          <w:color w:val="000000"/>
          <w:sz w:val="28"/>
          <w:szCs w:val="28"/>
        </w:rPr>
        <w:t>80%</w:t>
      </w:r>
      <w:r w:rsidRPr="00042364">
        <w:rPr>
          <w:rFonts w:ascii="Arial" w:eastAsia="仿宋_GB2312" w:hAnsi="Arial" w:hint="eastAsia"/>
          <w:bCs/>
          <w:color w:val="000000"/>
          <w:sz w:val="28"/>
          <w:szCs w:val="28"/>
        </w:rPr>
        <w:t>等因素影响，二手房市场观望情绪增加，整体市场成交规模明显回调。整体来看，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季度二手房累计成交</w:t>
      </w:r>
      <w:r w:rsidRPr="00042364">
        <w:rPr>
          <w:rFonts w:ascii="Arial" w:eastAsia="仿宋_GB2312" w:hAnsi="Arial" w:hint="eastAsia"/>
          <w:bCs/>
          <w:color w:val="000000"/>
          <w:sz w:val="28"/>
          <w:szCs w:val="28"/>
        </w:rPr>
        <w:t>4.59</w:t>
      </w:r>
      <w:r w:rsidRPr="00042364">
        <w:rPr>
          <w:rFonts w:ascii="Arial" w:eastAsia="仿宋_GB2312" w:hAnsi="Arial" w:hint="eastAsia"/>
          <w:bCs/>
          <w:color w:val="000000"/>
          <w:sz w:val="28"/>
          <w:szCs w:val="28"/>
        </w:rPr>
        <w:t>万套，环比下降</w:t>
      </w:r>
      <w:r w:rsidRPr="00042364">
        <w:rPr>
          <w:rFonts w:ascii="Arial" w:eastAsia="仿宋_GB2312" w:hAnsi="Arial" w:hint="eastAsia"/>
          <w:bCs/>
          <w:color w:val="000000"/>
          <w:sz w:val="28"/>
          <w:szCs w:val="28"/>
        </w:rPr>
        <w:t>19%</w:t>
      </w:r>
      <w:r w:rsidRPr="00042364">
        <w:rPr>
          <w:rFonts w:ascii="Arial" w:eastAsia="仿宋_GB2312" w:hAnsi="Arial" w:hint="eastAsia"/>
          <w:bCs/>
          <w:color w:val="000000"/>
          <w:sz w:val="28"/>
          <w:szCs w:val="28"/>
        </w:rPr>
        <w:t>，同比下降</w:t>
      </w:r>
      <w:r w:rsidRPr="00042364">
        <w:rPr>
          <w:rFonts w:ascii="Arial" w:eastAsia="仿宋_GB2312" w:hAnsi="Arial" w:hint="eastAsia"/>
          <w:bCs/>
          <w:color w:val="000000"/>
          <w:sz w:val="28"/>
          <w:szCs w:val="28"/>
        </w:rPr>
        <w:t>7%</w:t>
      </w:r>
      <w:r w:rsidRPr="00042364">
        <w:rPr>
          <w:rFonts w:ascii="Arial" w:eastAsia="仿宋_GB2312" w:hAnsi="Arial" w:hint="eastAsia"/>
          <w:bCs/>
          <w:color w:val="000000"/>
          <w:sz w:val="28"/>
          <w:szCs w:val="28"/>
        </w:rPr>
        <w:t>。</w:t>
      </w:r>
    </w:p>
    <w:p w14:paraId="67014802" w14:textId="77777777" w:rsidR="00A145B3" w:rsidRPr="00042364" w:rsidRDefault="00A145B3" w:rsidP="00A145B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季度北京二手房成交均价约为</w:t>
      </w:r>
      <w:r w:rsidRPr="00042364">
        <w:rPr>
          <w:rFonts w:ascii="Arial" w:eastAsia="仿宋_GB2312" w:hAnsi="Arial" w:hint="eastAsia"/>
          <w:bCs/>
          <w:color w:val="000000"/>
          <w:sz w:val="28"/>
          <w:szCs w:val="28"/>
        </w:rPr>
        <w:t>73009</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平方米，同比增长</w:t>
      </w:r>
      <w:r w:rsidRPr="00042364">
        <w:rPr>
          <w:rFonts w:ascii="Arial" w:eastAsia="仿宋_GB2312" w:hAnsi="Arial" w:hint="eastAsia"/>
          <w:bCs/>
          <w:color w:val="000000"/>
          <w:sz w:val="28"/>
          <w:szCs w:val="28"/>
        </w:rPr>
        <w:t>2.81%</w:t>
      </w:r>
      <w:r w:rsidRPr="00042364">
        <w:rPr>
          <w:rFonts w:ascii="Arial" w:eastAsia="仿宋_GB2312" w:hAnsi="Arial" w:hint="eastAsia"/>
          <w:bCs/>
          <w:color w:val="000000"/>
          <w:sz w:val="28"/>
          <w:szCs w:val="28"/>
        </w:rPr>
        <w:t>，较</w:t>
      </w:r>
      <w:r>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季度涨幅收窄</w:t>
      </w:r>
      <w:r w:rsidRPr="00042364">
        <w:rPr>
          <w:rFonts w:ascii="Arial" w:eastAsia="仿宋_GB2312" w:hAnsi="Arial" w:hint="eastAsia"/>
          <w:bCs/>
          <w:color w:val="000000"/>
          <w:sz w:val="28"/>
          <w:szCs w:val="28"/>
        </w:rPr>
        <w:t>0.62</w:t>
      </w:r>
      <w:r w:rsidRPr="00042364">
        <w:rPr>
          <w:rFonts w:ascii="Arial" w:eastAsia="仿宋_GB2312" w:hAnsi="Arial" w:hint="eastAsia"/>
          <w:bCs/>
          <w:color w:val="000000"/>
          <w:sz w:val="28"/>
          <w:szCs w:val="28"/>
        </w:rPr>
        <w:t>个百分点。单月来看，在信贷收紧、监管趋严、新房增加等综合影响下，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季度单月二手房价格环比涨幅持续收窄，</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月环比涨幅</w:t>
      </w:r>
      <w:r w:rsidRPr="00042364">
        <w:rPr>
          <w:rFonts w:ascii="Arial" w:eastAsia="仿宋_GB2312" w:hAnsi="Arial" w:hint="eastAsia"/>
          <w:bCs/>
          <w:color w:val="000000"/>
          <w:sz w:val="28"/>
          <w:szCs w:val="28"/>
        </w:rPr>
        <w:t>0.79%</w:t>
      </w:r>
      <w:r w:rsidRPr="00042364">
        <w:rPr>
          <w:rFonts w:ascii="Arial" w:eastAsia="仿宋_GB2312" w:hAnsi="Arial" w:hint="eastAsia"/>
          <w:bCs/>
          <w:color w:val="000000"/>
          <w:sz w:val="28"/>
          <w:szCs w:val="28"/>
        </w:rPr>
        <w:t>，较上月收窄</w:t>
      </w:r>
      <w:r w:rsidRPr="00042364">
        <w:rPr>
          <w:rFonts w:ascii="Arial" w:eastAsia="仿宋_GB2312" w:hAnsi="Arial" w:hint="eastAsia"/>
          <w:bCs/>
          <w:color w:val="000000"/>
          <w:sz w:val="28"/>
          <w:szCs w:val="28"/>
        </w:rPr>
        <w:t>0.2</w:t>
      </w:r>
      <w:r w:rsidRPr="00042364">
        <w:rPr>
          <w:rFonts w:ascii="Arial" w:eastAsia="仿宋_GB2312" w:hAnsi="Arial" w:hint="eastAsia"/>
          <w:bCs/>
          <w:color w:val="000000"/>
          <w:sz w:val="28"/>
          <w:szCs w:val="28"/>
        </w:rPr>
        <w:t>个百分点。</w:t>
      </w:r>
    </w:p>
    <w:p w14:paraId="373461C0" w14:textId="77777777" w:rsidR="00A145B3" w:rsidRPr="00042364" w:rsidRDefault="00A145B3" w:rsidP="00A145B3">
      <w:pPr>
        <w:tabs>
          <w:tab w:val="left" w:pos="426"/>
        </w:tabs>
        <w:overflowPunct w:val="0"/>
        <w:spacing w:line="360" w:lineRule="auto"/>
        <w:jc w:val="both"/>
        <w:textAlignment w:val="auto"/>
        <w:rPr>
          <w:rFonts w:ascii="Arial" w:eastAsia="仿宋_GB2312" w:hAnsi="Arial"/>
          <w:bCs/>
          <w:color w:val="984806"/>
          <w:sz w:val="28"/>
          <w:szCs w:val="28"/>
          <w:highlight w:val="lightGray"/>
        </w:rPr>
      </w:pPr>
      <w:r w:rsidRPr="00E00F1E">
        <w:rPr>
          <w:noProof/>
        </w:rPr>
        <w:drawing>
          <wp:inline distT="0" distB="0" distL="0" distR="0" wp14:anchorId="5F19712E" wp14:editId="6E17E985">
            <wp:extent cx="5904865" cy="1565275"/>
            <wp:effectExtent l="0" t="0" r="63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4865" cy="1565275"/>
                    </a:xfrm>
                    <a:prstGeom prst="rect">
                      <a:avLst/>
                    </a:prstGeom>
                    <a:noFill/>
                    <a:ln>
                      <a:noFill/>
                    </a:ln>
                  </pic:spPr>
                </pic:pic>
              </a:graphicData>
            </a:graphic>
          </wp:inline>
        </w:drawing>
      </w:r>
    </w:p>
    <w:p w14:paraId="6F96C13D"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）各区县统计</w:t>
      </w:r>
    </w:p>
    <w:p w14:paraId="05802DBC" w14:textId="77777777" w:rsidR="00A145B3" w:rsidRPr="00042364" w:rsidRDefault="00A145B3" w:rsidP="00A145B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分区域来看，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季度西城成交价格最高，达</w:t>
      </w:r>
      <w:r w:rsidRPr="00042364">
        <w:rPr>
          <w:rFonts w:ascii="Arial" w:eastAsia="仿宋_GB2312" w:hAnsi="Arial" w:hint="eastAsia"/>
          <w:bCs/>
          <w:color w:val="000000"/>
          <w:sz w:val="28"/>
          <w:szCs w:val="28"/>
        </w:rPr>
        <w:t>116668</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平方米，其次为东城区，为</w:t>
      </w:r>
      <w:r w:rsidRPr="00042364">
        <w:rPr>
          <w:rFonts w:ascii="Arial" w:eastAsia="仿宋_GB2312" w:hAnsi="Arial" w:hint="eastAsia"/>
          <w:bCs/>
          <w:color w:val="000000"/>
          <w:sz w:val="28"/>
          <w:szCs w:val="28"/>
        </w:rPr>
        <w:t>100346</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平方米；朝阳二手房成交规模较大，成交面积超过</w:t>
      </w:r>
      <w:r w:rsidRPr="00042364">
        <w:rPr>
          <w:rFonts w:ascii="Arial" w:eastAsia="仿宋_GB2312" w:hAnsi="Arial" w:hint="eastAsia"/>
          <w:bCs/>
          <w:color w:val="000000"/>
          <w:sz w:val="28"/>
          <w:szCs w:val="28"/>
        </w:rPr>
        <w:t>110</w:t>
      </w:r>
      <w:r w:rsidRPr="00042364">
        <w:rPr>
          <w:rFonts w:ascii="Arial" w:eastAsia="仿宋_GB2312" w:hAnsi="Arial" w:hint="eastAsia"/>
          <w:bCs/>
          <w:color w:val="000000"/>
          <w:sz w:val="28"/>
          <w:szCs w:val="28"/>
        </w:rPr>
        <w:t>万平方米，居各区第一位；</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季度除丰台、东城、大兴外，其余各区县二手房成交规模同比均呈下降态势，密云成交规模同比领跌，</w:t>
      </w:r>
      <w:proofErr w:type="gramStart"/>
      <w:r w:rsidRPr="00042364">
        <w:rPr>
          <w:rFonts w:ascii="Arial" w:eastAsia="仿宋_GB2312" w:hAnsi="Arial" w:hint="eastAsia"/>
          <w:bCs/>
          <w:color w:val="000000"/>
          <w:sz w:val="28"/>
          <w:szCs w:val="28"/>
        </w:rPr>
        <w:t>跌幅超</w:t>
      </w:r>
      <w:proofErr w:type="gramEnd"/>
      <w:r w:rsidRPr="00042364">
        <w:rPr>
          <w:rFonts w:ascii="Arial" w:eastAsia="仿宋_GB2312" w:hAnsi="Arial" w:hint="eastAsia"/>
          <w:bCs/>
          <w:color w:val="000000"/>
          <w:sz w:val="28"/>
          <w:szCs w:val="28"/>
        </w:rPr>
        <w:t>50%</w:t>
      </w:r>
      <w:r w:rsidRPr="00042364">
        <w:rPr>
          <w:rFonts w:ascii="Arial" w:eastAsia="仿宋_GB2312" w:hAnsi="Arial" w:hint="eastAsia"/>
          <w:bCs/>
          <w:color w:val="000000"/>
          <w:sz w:val="28"/>
          <w:szCs w:val="28"/>
        </w:rPr>
        <w:t>。</w:t>
      </w:r>
    </w:p>
    <w:p w14:paraId="2167406B" w14:textId="77777777" w:rsidR="00A145B3" w:rsidRPr="00042364" w:rsidRDefault="00A145B3" w:rsidP="00A145B3">
      <w:pPr>
        <w:tabs>
          <w:tab w:val="left" w:pos="426"/>
        </w:tabs>
        <w:overflowPunct w:val="0"/>
        <w:spacing w:line="360" w:lineRule="auto"/>
        <w:jc w:val="center"/>
        <w:textAlignment w:val="auto"/>
        <w:rPr>
          <w:noProof/>
          <w:color w:val="984806"/>
        </w:rPr>
      </w:pPr>
      <w:r w:rsidRPr="00E00F1E">
        <w:rPr>
          <w:noProof/>
        </w:rPr>
        <w:lastRenderedPageBreak/>
        <w:drawing>
          <wp:inline distT="0" distB="0" distL="0" distR="0" wp14:anchorId="26667E2B" wp14:editId="4502EBFF">
            <wp:extent cx="5902325" cy="2268220"/>
            <wp:effectExtent l="0" t="0" r="317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2325" cy="2268220"/>
                    </a:xfrm>
                    <a:prstGeom prst="rect">
                      <a:avLst/>
                    </a:prstGeom>
                    <a:noFill/>
                    <a:ln>
                      <a:noFill/>
                    </a:ln>
                  </pic:spPr>
                </pic:pic>
              </a:graphicData>
            </a:graphic>
          </wp:inline>
        </w:drawing>
      </w:r>
    </w:p>
    <w:p w14:paraId="111F086A"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4</w:t>
      </w:r>
      <w:r w:rsidRPr="00042364">
        <w:rPr>
          <w:rFonts w:ascii="Arial" w:eastAsia="仿宋_GB2312" w:hAnsi="Arial" w:cs="Arial" w:hint="eastAsia"/>
          <w:bCs/>
          <w:color w:val="000000"/>
          <w:sz w:val="28"/>
          <w:szCs w:val="28"/>
        </w:rPr>
        <w:t>）产业政策</w:t>
      </w:r>
    </w:p>
    <w:p w14:paraId="6E927F2E" w14:textId="77777777" w:rsidR="00A145B3" w:rsidRPr="00042364" w:rsidRDefault="00A145B3" w:rsidP="00A145B3">
      <w:pPr>
        <w:overflowPunct w:val="0"/>
        <w:spacing w:line="360" w:lineRule="auto"/>
        <w:ind w:firstLineChars="250" w:firstLine="703"/>
        <w:jc w:val="both"/>
        <w:textAlignment w:val="auto"/>
        <w:rPr>
          <w:rFonts w:ascii="Arial" w:eastAsia="仿宋_GB2312" w:hAnsi="Arial"/>
          <w:b/>
          <w:bCs/>
          <w:color w:val="000000"/>
          <w:sz w:val="28"/>
          <w:szCs w:val="28"/>
        </w:rPr>
      </w:pPr>
      <w:r w:rsidRPr="00042364">
        <w:rPr>
          <w:rFonts w:ascii="Arial" w:eastAsia="仿宋_GB2312" w:hAnsi="Arial" w:hint="eastAsia"/>
          <w:b/>
          <w:bCs/>
          <w:color w:val="000000"/>
          <w:sz w:val="28"/>
          <w:szCs w:val="28"/>
        </w:rPr>
        <w:t>全国政策：</w:t>
      </w:r>
    </w:p>
    <w:p w14:paraId="0525FC27"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年政府工作报告中，关于房地产调控内容整体延续了往年提法，除了“房住不炒”外，“稳地价、稳房价、稳预期”目标亦写入政府工作报告，</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年“房住不炒”总基调不变，短期调控政策仍将保持连续性和稳定性，整个政策环境的松紧程度仍将体现在因城施策方面。</w:t>
      </w:r>
    </w:p>
    <w:p w14:paraId="1D472223"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月底，按照自然资源</w:t>
      </w:r>
      <w:proofErr w:type="gramStart"/>
      <w:r w:rsidRPr="00042364">
        <w:rPr>
          <w:rFonts w:ascii="Arial" w:eastAsia="仿宋_GB2312" w:hAnsi="Arial" w:hint="eastAsia"/>
          <w:bCs/>
          <w:color w:val="000000"/>
          <w:sz w:val="28"/>
          <w:szCs w:val="28"/>
        </w:rPr>
        <w:t>部住宅</w:t>
      </w:r>
      <w:proofErr w:type="gramEnd"/>
      <w:r w:rsidRPr="00042364">
        <w:rPr>
          <w:rFonts w:ascii="Arial" w:eastAsia="仿宋_GB2312" w:hAnsi="Arial" w:hint="eastAsia"/>
          <w:bCs/>
          <w:color w:val="000000"/>
          <w:sz w:val="28"/>
          <w:szCs w:val="28"/>
        </w:rPr>
        <w:t>用地分类调控文件要求，</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个重点城市实现“两集中”，</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年发布住宅用地公告不能超过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次。</w:t>
      </w:r>
    </w:p>
    <w:p w14:paraId="4CF55482"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日，全国人大通过《中华人民共和国国民经济和社会发展第十四个五年规划和</w:t>
      </w:r>
      <w:r w:rsidRPr="00042364">
        <w:rPr>
          <w:rFonts w:ascii="Arial" w:eastAsia="仿宋_GB2312" w:hAnsi="Arial" w:hint="eastAsia"/>
          <w:bCs/>
          <w:color w:val="000000"/>
          <w:sz w:val="28"/>
          <w:szCs w:val="28"/>
        </w:rPr>
        <w:t>2035</w:t>
      </w:r>
      <w:r w:rsidRPr="00042364">
        <w:rPr>
          <w:rFonts w:ascii="Arial" w:eastAsia="仿宋_GB2312" w:hAnsi="Arial" w:hint="eastAsia"/>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w:t>
      </w:r>
      <w:r w:rsidRPr="00042364">
        <w:rPr>
          <w:rFonts w:ascii="Arial" w:eastAsia="仿宋_GB2312" w:hAnsi="Arial" w:hint="eastAsia"/>
          <w:bCs/>
          <w:color w:val="000000"/>
          <w:sz w:val="28"/>
          <w:szCs w:val="28"/>
        </w:rPr>
        <w:lastRenderedPageBreak/>
        <w:t>自</w:t>
      </w:r>
      <w:r w:rsidRPr="00042364">
        <w:rPr>
          <w:rFonts w:ascii="Arial" w:eastAsia="仿宋_GB2312" w:hAnsi="Arial" w:hint="eastAsia"/>
          <w:bCs/>
          <w:color w:val="000000"/>
          <w:sz w:val="28"/>
          <w:szCs w:val="28"/>
        </w:rPr>
        <w:t>2016</w:t>
      </w:r>
      <w:r w:rsidRPr="00042364">
        <w:rPr>
          <w:rFonts w:ascii="Arial" w:eastAsia="仿宋_GB2312" w:hAnsi="Arial" w:hint="eastAsia"/>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7AB7D71D"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26</w:t>
      </w:r>
      <w:r w:rsidRPr="00042364">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w:t>
      </w:r>
      <w:r w:rsidRPr="00042364">
        <w:rPr>
          <w:rFonts w:ascii="Arial" w:eastAsia="仿宋_GB2312" w:hAnsi="Arial" w:hint="eastAsia"/>
          <w:bCs/>
          <w:color w:val="000000"/>
          <w:sz w:val="28"/>
          <w:szCs w:val="28"/>
        </w:rPr>
        <w:lastRenderedPageBreak/>
        <w:t>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042364">
        <w:rPr>
          <w:rFonts w:ascii="Arial" w:eastAsia="仿宋_GB2312" w:hAnsi="Arial" w:hint="eastAsia"/>
          <w:bCs/>
          <w:color w:val="000000"/>
          <w:sz w:val="28"/>
          <w:szCs w:val="28"/>
        </w:rPr>
        <w:t>房抵经营贷</w:t>
      </w:r>
      <w:proofErr w:type="gramEnd"/>
      <w:r w:rsidRPr="00042364">
        <w:rPr>
          <w:rFonts w:ascii="Arial" w:eastAsia="仿宋_GB2312" w:hAnsi="Arial" w:hint="eastAsia"/>
          <w:bCs/>
          <w:color w:val="000000"/>
          <w:sz w:val="28"/>
          <w:szCs w:val="28"/>
        </w:rPr>
        <w:t>等金融产品的咨询和服务，不得诱导购房人违规使用经营用途资金。</w:t>
      </w:r>
    </w:p>
    <w:p w14:paraId="79C47635"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6</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日中国银保监会召开新闻发布会，在回答记者提问环节中强调，在银行业金融机构房地产贷款集中</w:t>
      </w:r>
      <w:proofErr w:type="gramStart"/>
      <w:r w:rsidRPr="00042364">
        <w:rPr>
          <w:rFonts w:ascii="Arial" w:eastAsia="仿宋_GB2312" w:hAnsi="Arial" w:hint="eastAsia"/>
          <w:bCs/>
          <w:color w:val="000000"/>
          <w:sz w:val="28"/>
          <w:szCs w:val="28"/>
        </w:rPr>
        <w:t>度管理</w:t>
      </w:r>
      <w:proofErr w:type="gramEnd"/>
      <w:r w:rsidRPr="00042364">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042364">
        <w:rPr>
          <w:rFonts w:ascii="Arial" w:eastAsia="仿宋_GB2312" w:hAnsi="Arial" w:hint="eastAsia"/>
          <w:bCs/>
          <w:color w:val="000000"/>
          <w:sz w:val="28"/>
          <w:szCs w:val="28"/>
        </w:rPr>
        <w:t>占比较</w:t>
      </w:r>
      <w:proofErr w:type="gramEnd"/>
      <w:r w:rsidRPr="00042364">
        <w:rPr>
          <w:rFonts w:ascii="Arial" w:eastAsia="仿宋_GB2312" w:hAnsi="Arial" w:hint="eastAsia"/>
          <w:bCs/>
          <w:color w:val="000000"/>
          <w:sz w:val="28"/>
          <w:szCs w:val="28"/>
        </w:rPr>
        <w:t>高的银行实施名单制管理，督促这些银行落实房地产金融调控要求，合理控制房地产贷款增速。</w:t>
      </w:r>
    </w:p>
    <w:p w14:paraId="00F7C712"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24</w:t>
      </w:r>
      <w:r w:rsidRPr="00042364">
        <w:rPr>
          <w:rFonts w:ascii="Arial" w:eastAsia="仿宋_GB2312" w:hAnsi="Arial" w:hint="eastAsia"/>
          <w:bCs/>
          <w:color w:val="000000"/>
          <w:sz w:val="28"/>
          <w:szCs w:val="28"/>
        </w:rPr>
        <w:t>日，中国人民银行货币政策委员会召开</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年第三季度例会。会议指出，维护房地产市场的健康发展，维护住房消费者的合法权益。</w:t>
      </w:r>
    </w:p>
    <w:p w14:paraId="3C9C9BBC" w14:textId="77777777" w:rsidR="00A145B3" w:rsidRPr="00042364" w:rsidRDefault="00A145B3" w:rsidP="00A145B3">
      <w:pPr>
        <w:overflowPunct w:val="0"/>
        <w:spacing w:line="360" w:lineRule="auto"/>
        <w:ind w:firstLineChars="250" w:firstLine="703"/>
        <w:jc w:val="both"/>
        <w:textAlignment w:val="auto"/>
        <w:rPr>
          <w:rFonts w:ascii="Arial" w:eastAsia="仿宋_GB2312" w:hAnsi="Arial"/>
          <w:b/>
          <w:bCs/>
          <w:color w:val="000000"/>
          <w:sz w:val="28"/>
          <w:szCs w:val="28"/>
        </w:rPr>
      </w:pPr>
      <w:r w:rsidRPr="00042364">
        <w:rPr>
          <w:rFonts w:ascii="Arial" w:eastAsia="仿宋_GB2312" w:hAnsi="Arial" w:hint="eastAsia"/>
          <w:b/>
          <w:bCs/>
          <w:color w:val="000000"/>
          <w:sz w:val="28"/>
          <w:szCs w:val="28"/>
        </w:rPr>
        <w:t>地方政策：</w:t>
      </w:r>
    </w:p>
    <w:p w14:paraId="5F0F5CDA"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5</w:t>
      </w:r>
      <w:r w:rsidRPr="00042364">
        <w:rPr>
          <w:rFonts w:ascii="Arial" w:eastAsia="仿宋_GB2312" w:hAnsi="Arial" w:hint="eastAsia"/>
          <w:bCs/>
          <w:color w:val="000000"/>
          <w:sz w:val="28"/>
          <w:szCs w:val="28"/>
        </w:rPr>
        <w:t>日，北京市住建委等部门联合印发了《关于进一步加强全市集体土地租赁住房规划建设管理的意见》。</w:t>
      </w:r>
    </w:p>
    <w:p w14:paraId="6B6A0F87"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042364">
        <w:rPr>
          <w:rFonts w:ascii="Arial" w:eastAsia="仿宋_GB2312" w:hAnsi="Arial" w:hint="eastAsia"/>
          <w:bCs/>
          <w:color w:val="000000"/>
          <w:sz w:val="28"/>
          <w:szCs w:val="28"/>
        </w:rPr>
        <w:t>稿发布</w:t>
      </w:r>
      <w:proofErr w:type="gramEnd"/>
      <w:r w:rsidRPr="00042364">
        <w:rPr>
          <w:rFonts w:ascii="Arial" w:eastAsia="仿宋_GB2312" w:hAnsi="Arial" w:hint="eastAsia"/>
          <w:bCs/>
          <w:color w:val="000000"/>
          <w:sz w:val="28"/>
          <w:szCs w:val="28"/>
        </w:rPr>
        <w:t>后，将</w:t>
      </w:r>
      <w:r w:rsidRPr="00042364">
        <w:rPr>
          <w:rFonts w:ascii="Arial" w:eastAsia="仿宋_GB2312" w:hAnsi="Arial" w:hint="eastAsia"/>
          <w:bCs/>
          <w:color w:val="000000"/>
          <w:sz w:val="28"/>
          <w:szCs w:val="28"/>
        </w:rPr>
        <w:lastRenderedPageBreak/>
        <w:t>有助于政治集中式租赁住房的市场乱象，规范行业的建设标准，更好地满足不同租赁群体的租住需求。</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20</w:t>
      </w:r>
      <w:r w:rsidRPr="00042364">
        <w:rPr>
          <w:rFonts w:ascii="Arial" w:eastAsia="仿宋_GB2312" w:hAnsi="Arial" w:hint="eastAsia"/>
          <w:bCs/>
          <w:color w:val="000000"/>
          <w:sz w:val="28"/>
          <w:szCs w:val="28"/>
        </w:rPr>
        <w:t>日，北京市住房和城乡建设委员会就《导则》</w:t>
      </w:r>
      <w:proofErr w:type="gramStart"/>
      <w:r w:rsidRPr="00042364">
        <w:rPr>
          <w:rFonts w:ascii="Arial" w:eastAsia="仿宋_GB2312" w:hAnsi="Arial" w:hint="eastAsia"/>
          <w:bCs/>
          <w:color w:val="000000"/>
          <w:sz w:val="28"/>
          <w:szCs w:val="28"/>
        </w:rPr>
        <w:t>意见稿向社会</w:t>
      </w:r>
      <w:proofErr w:type="gramEnd"/>
      <w:r w:rsidRPr="00042364">
        <w:rPr>
          <w:rFonts w:ascii="Arial" w:eastAsia="仿宋_GB2312" w:hAnsi="Arial" w:hint="eastAsia"/>
          <w:bCs/>
          <w:color w:val="000000"/>
          <w:sz w:val="28"/>
          <w:szCs w:val="28"/>
        </w:rPr>
        <w:t>公开征集的意见进行反馈，采纳了部分意见建议并对《导则》进行了相应的调整。</w:t>
      </w:r>
    </w:p>
    <w:p w14:paraId="5EE2A34E"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日，北京发布《关于规范本市住房租赁企业经营活动的通知》，住房租赁企业向承租人预收的租金数额原则上不得超过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个月租金，收、付租金的周期应当匹配；住房租赁企业向承租人收取的押金应当通过北京房地产中介行业协会建立的专用账户托管，收取的押金数额不得超过</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个月租金；银行业金融机构、小额贷款公司等机构不得将承租人申请的“租金贷”资金拨付给住房租赁企业。这三条内容</w:t>
      </w:r>
      <w:proofErr w:type="gramStart"/>
      <w:r w:rsidRPr="00042364">
        <w:rPr>
          <w:rFonts w:ascii="Arial" w:eastAsia="仿宋_GB2312" w:hAnsi="Arial" w:hint="eastAsia"/>
          <w:bCs/>
          <w:color w:val="000000"/>
          <w:sz w:val="28"/>
          <w:szCs w:val="28"/>
        </w:rPr>
        <w:t>管控了三种</w:t>
      </w:r>
      <w:proofErr w:type="gramEnd"/>
      <w:r w:rsidRPr="00042364">
        <w:rPr>
          <w:rFonts w:ascii="Arial" w:eastAsia="仿宋_GB2312" w:hAnsi="Arial" w:hint="eastAsia"/>
          <w:bCs/>
          <w:color w:val="000000"/>
          <w:sz w:val="28"/>
          <w:szCs w:val="28"/>
        </w:rPr>
        <w:t>资金，包括租金、押金和首付贷资金。</w:t>
      </w:r>
    </w:p>
    <w:p w14:paraId="379FCB84"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10</w:t>
      </w:r>
      <w:r w:rsidRPr="00042364">
        <w:rPr>
          <w:rFonts w:ascii="Arial" w:eastAsia="仿宋_GB2312" w:hAnsi="Arial" w:hint="eastAsia"/>
          <w:bCs/>
          <w:color w:val="000000"/>
          <w:sz w:val="28"/>
          <w:szCs w:val="28"/>
        </w:rPr>
        <w:t>日，北京银保监局、人行营业管理部发布《关于加强个人经营性贷款管理</w:t>
      </w:r>
      <w:r w:rsidRPr="00042364">
        <w:rPr>
          <w:rFonts w:ascii="Arial" w:eastAsia="仿宋_GB2312" w:hAnsi="Arial" w:hint="eastAsia"/>
          <w:bCs/>
          <w:color w:val="000000"/>
          <w:sz w:val="28"/>
          <w:szCs w:val="28"/>
        </w:rPr>
        <w:t xml:space="preserve"> </w:t>
      </w:r>
      <w:r w:rsidRPr="00042364">
        <w:rPr>
          <w:rFonts w:ascii="Arial" w:eastAsia="仿宋_GB2312" w:hAnsi="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042364">
        <w:rPr>
          <w:rFonts w:ascii="Arial" w:eastAsia="仿宋_GB2312" w:hAnsi="Arial" w:hint="eastAsia"/>
          <w:bCs/>
          <w:color w:val="000000"/>
          <w:sz w:val="28"/>
          <w:szCs w:val="28"/>
        </w:rPr>
        <w:t>审慎向</w:t>
      </w:r>
      <w:proofErr w:type="gramEnd"/>
      <w:r w:rsidRPr="00042364">
        <w:rPr>
          <w:rFonts w:ascii="Arial" w:eastAsia="仿宋_GB2312" w:hAnsi="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084F5B2D"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日，北京市住建委发布《北京市共有产权住房规划设计</w:t>
      </w:r>
      <w:r w:rsidRPr="00042364">
        <w:rPr>
          <w:rFonts w:ascii="Arial" w:eastAsia="仿宋_GB2312" w:hAnsi="Arial" w:hint="eastAsia"/>
          <w:bCs/>
          <w:color w:val="000000"/>
          <w:sz w:val="28"/>
          <w:szCs w:val="28"/>
        </w:rPr>
        <w:lastRenderedPageBreak/>
        <w:t>宜居建设导则（</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年修订版）》（征求意见稿），对共有产权房的项目选址和套型面积等</w:t>
      </w:r>
      <w:r w:rsidRPr="00042364">
        <w:rPr>
          <w:rFonts w:ascii="Arial" w:eastAsia="仿宋_GB2312" w:hAnsi="Arial" w:hint="eastAsia"/>
          <w:bCs/>
          <w:color w:val="000000"/>
          <w:sz w:val="28"/>
          <w:szCs w:val="28"/>
        </w:rPr>
        <w:t>11</w:t>
      </w:r>
      <w:r w:rsidRPr="00042364">
        <w:rPr>
          <w:rFonts w:ascii="Arial" w:eastAsia="仿宋_GB2312" w:hAnsi="Arial" w:hint="eastAsia"/>
          <w:bCs/>
          <w:color w:val="000000"/>
          <w:sz w:val="28"/>
          <w:szCs w:val="28"/>
        </w:rPr>
        <w:t>个方面</w:t>
      </w:r>
      <w:proofErr w:type="gramStart"/>
      <w:r w:rsidRPr="00042364">
        <w:rPr>
          <w:rFonts w:ascii="Arial" w:eastAsia="仿宋_GB2312" w:hAnsi="Arial" w:hint="eastAsia"/>
          <w:bCs/>
          <w:color w:val="000000"/>
          <w:sz w:val="28"/>
          <w:szCs w:val="28"/>
        </w:rPr>
        <w:t>作出</w:t>
      </w:r>
      <w:proofErr w:type="gramEnd"/>
      <w:r w:rsidRPr="00042364">
        <w:rPr>
          <w:rFonts w:ascii="Arial" w:eastAsia="仿宋_GB2312" w:hAnsi="Arial" w:hint="eastAsia"/>
          <w:bCs/>
          <w:color w:val="000000"/>
          <w:sz w:val="28"/>
          <w:szCs w:val="28"/>
        </w:rPr>
        <w:t>新的修订。与原文件相比，修订版不仅放宽了中心城区共有产权房的套型面积上限，且</w:t>
      </w:r>
      <w:proofErr w:type="gramStart"/>
      <w:r w:rsidRPr="00042364">
        <w:rPr>
          <w:rFonts w:ascii="Arial" w:eastAsia="仿宋_GB2312" w:hAnsi="Arial" w:hint="eastAsia"/>
          <w:bCs/>
          <w:color w:val="000000"/>
          <w:sz w:val="28"/>
          <w:szCs w:val="28"/>
        </w:rPr>
        <w:t>对于城六区</w:t>
      </w:r>
      <w:proofErr w:type="gramEnd"/>
      <w:r w:rsidRPr="00042364">
        <w:rPr>
          <w:rFonts w:ascii="Arial" w:eastAsia="仿宋_GB2312" w:hAnsi="Arial" w:hint="eastAsia"/>
          <w:bCs/>
          <w:color w:val="000000"/>
          <w:sz w:val="28"/>
          <w:szCs w:val="28"/>
        </w:rPr>
        <w:t>以外的其他区，允许开发建设单位按市场调查合理确定共有产权房项目中大套型的比例。此次层数</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套型建筑面积双重控制设计标准的修订，有利于</w:t>
      </w:r>
      <w:proofErr w:type="gramStart"/>
      <w:r w:rsidRPr="00042364">
        <w:rPr>
          <w:rFonts w:ascii="Arial" w:eastAsia="仿宋_GB2312" w:hAnsi="Arial" w:hint="eastAsia"/>
          <w:bCs/>
          <w:color w:val="000000"/>
          <w:sz w:val="28"/>
          <w:szCs w:val="28"/>
        </w:rPr>
        <w:t>不</w:t>
      </w:r>
      <w:proofErr w:type="gramEnd"/>
      <w:r w:rsidRPr="00042364">
        <w:rPr>
          <w:rFonts w:ascii="Arial" w:eastAsia="仿宋_GB2312" w:hAnsi="Arial" w:hint="eastAsia"/>
          <w:bCs/>
          <w:color w:val="000000"/>
          <w:sz w:val="28"/>
          <w:szCs w:val="28"/>
        </w:rPr>
        <w:t>同楼栋户型品质的改善和提升，将进一步提高共有产权房的舒适度、宜居性，同时也有利于满足不同家庭结构、不同生活阶段的多样化需求，将进一步扩大职业者群体范围。</w:t>
      </w:r>
    </w:p>
    <w:p w14:paraId="6769871E"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日，</w:t>
      </w:r>
      <w:proofErr w:type="gramStart"/>
      <w:r w:rsidRPr="00042364">
        <w:rPr>
          <w:rFonts w:ascii="Arial" w:eastAsia="仿宋_GB2312" w:hAnsi="Arial" w:hint="eastAsia"/>
          <w:bCs/>
          <w:color w:val="000000"/>
          <w:sz w:val="28"/>
          <w:szCs w:val="28"/>
        </w:rPr>
        <w:t>北京发改委</w:t>
      </w:r>
      <w:proofErr w:type="gramEnd"/>
      <w:r w:rsidRPr="00042364">
        <w:rPr>
          <w:rFonts w:ascii="Arial" w:eastAsia="仿宋_GB2312" w:hAnsi="Arial" w:hint="eastAsia"/>
          <w:bCs/>
          <w:color w:val="000000"/>
          <w:sz w:val="28"/>
          <w:szCs w:val="28"/>
        </w:rPr>
        <w:t>及</w:t>
      </w:r>
      <w:proofErr w:type="gramStart"/>
      <w:r w:rsidRPr="00042364">
        <w:rPr>
          <w:rFonts w:ascii="Arial" w:eastAsia="仿宋_GB2312" w:hAnsi="Arial" w:hint="eastAsia"/>
          <w:bCs/>
          <w:color w:val="000000"/>
          <w:sz w:val="28"/>
          <w:szCs w:val="28"/>
        </w:rPr>
        <w:t>规自委</w:t>
      </w:r>
      <w:proofErr w:type="gramEnd"/>
      <w:r w:rsidRPr="00042364">
        <w:rPr>
          <w:rFonts w:ascii="Arial" w:eastAsia="仿宋_GB2312" w:hAnsi="Arial" w:hint="eastAsia"/>
          <w:bCs/>
          <w:color w:val="000000"/>
          <w:sz w:val="28"/>
          <w:szCs w:val="28"/>
        </w:rPr>
        <w:t>联合发布《北京市</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年度建设用地供地计划》。</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年度安排建设用地供应总量与</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年持平，住宅用地计划供应量较</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年供应计划增加</w:t>
      </w:r>
      <w:r w:rsidRPr="00042364">
        <w:rPr>
          <w:rFonts w:ascii="Arial" w:eastAsia="仿宋_GB2312" w:hAnsi="Arial" w:hint="eastAsia"/>
          <w:bCs/>
          <w:color w:val="000000"/>
          <w:sz w:val="28"/>
          <w:szCs w:val="28"/>
        </w:rPr>
        <w:t>60</w:t>
      </w:r>
      <w:r w:rsidRPr="00042364">
        <w:rPr>
          <w:rFonts w:ascii="Arial" w:eastAsia="仿宋_GB2312" w:hAnsi="Arial" w:hint="eastAsia"/>
          <w:bCs/>
          <w:color w:val="000000"/>
          <w:sz w:val="28"/>
          <w:szCs w:val="28"/>
        </w:rPr>
        <w:t>公顷，并且土地供应更像租赁住宅倾斜，占比由</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年的</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提高到</w:t>
      </w:r>
      <w:r w:rsidRPr="00042364">
        <w:rPr>
          <w:rFonts w:ascii="Arial" w:eastAsia="仿宋_GB2312" w:hAnsi="Arial" w:hint="eastAsia"/>
          <w:bCs/>
          <w:color w:val="000000"/>
          <w:sz w:val="28"/>
          <w:szCs w:val="28"/>
        </w:rPr>
        <w:t>30%</w:t>
      </w:r>
      <w:r w:rsidRPr="00042364">
        <w:rPr>
          <w:rFonts w:ascii="Arial" w:eastAsia="仿宋_GB2312" w:hAnsi="Arial" w:hint="eastAsia"/>
          <w:bCs/>
          <w:color w:val="000000"/>
          <w:sz w:val="28"/>
          <w:szCs w:val="28"/>
        </w:rPr>
        <w:t>。未来北京将继续大力发展租赁住房，积极解决来京人员的租住问题。</w:t>
      </w:r>
    </w:p>
    <w:p w14:paraId="56716576"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23</w:t>
      </w:r>
      <w:r w:rsidRPr="00042364">
        <w:rPr>
          <w:rFonts w:ascii="Arial" w:eastAsia="仿宋_GB2312" w:hAnsi="Arial" w:hint="eastAsia"/>
          <w:bCs/>
          <w:color w:val="000000"/>
          <w:sz w:val="28"/>
          <w:szCs w:val="28"/>
        </w:rPr>
        <w:t>日，北京银保监局发布消息称，涉嫌违规流入北京房地产市场的个人经营性贷款金额约</w:t>
      </w:r>
      <w:r w:rsidRPr="00042364">
        <w:rPr>
          <w:rFonts w:ascii="Arial" w:eastAsia="仿宋_GB2312" w:hAnsi="Arial" w:hint="eastAsia"/>
          <w:bCs/>
          <w:color w:val="000000"/>
          <w:sz w:val="28"/>
          <w:szCs w:val="28"/>
        </w:rPr>
        <w:t>3.4</w:t>
      </w:r>
      <w:r w:rsidRPr="00042364">
        <w:rPr>
          <w:rFonts w:ascii="Arial" w:eastAsia="仿宋_GB2312" w:hAnsi="Arial" w:hint="eastAsia"/>
          <w:bCs/>
          <w:color w:val="000000"/>
          <w:sz w:val="28"/>
          <w:szCs w:val="28"/>
        </w:rPr>
        <w:t>亿元，约占经营贷自查业务总量的</w:t>
      </w:r>
      <w:r w:rsidRPr="00042364">
        <w:rPr>
          <w:rFonts w:ascii="Arial" w:eastAsia="仿宋_GB2312" w:hAnsi="Arial" w:hint="eastAsia"/>
          <w:bCs/>
          <w:color w:val="000000"/>
          <w:sz w:val="28"/>
          <w:szCs w:val="28"/>
        </w:rPr>
        <w:t>0.35%</w:t>
      </w:r>
      <w:r w:rsidRPr="00042364">
        <w:rPr>
          <w:rFonts w:ascii="Arial" w:eastAsia="仿宋_GB2312" w:hAnsi="Arial" w:hint="eastAsia"/>
          <w:bCs/>
          <w:color w:val="000000"/>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家银行的行政处罚立案程序和调查取证工作。</w:t>
      </w:r>
    </w:p>
    <w:p w14:paraId="574E385B"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日，北京市住房和城乡建设委员会发布《关于进一步加</w:t>
      </w:r>
      <w:r w:rsidRPr="00042364">
        <w:rPr>
          <w:rFonts w:ascii="Arial" w:eastAsia="仿宋_GB2312" w:hAnsi="Arial" w:hint="eastAsia"/>
          <w:bCs/>
          <w:color w:val="000000"/>
          <w:sz w:val="28"/>
          <w:szCs w:val="28"/>
        </w:rPr>
        <w:lastRenderedPageBreak/>
        <w:t>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042364">
        <w:rPr>
          <w:rFonts w:ascii="Arial" w:eastAsia="仿宋_GB2312" w:hAnsi="Arial" w:hint="eastAsia"/>
          <w:bCs/>
          <w:color w:val="000000"/>
          <w:sz w:val="28"/>
          <w:szCs w:val="28"/>
        </w:rPr>
        <w:t>规</w:t>
      </w:r>
      <w:proofErr w:type="gramEnd"/>
      <w:r w:rsidRPr="00042364">
        <w:rPr>
          <w:rFonts w:ascii="Arial" w:eastAsia="仿宋_GB2312" w:hAnsi="Arial" w:hint="eastAsia"/>
          <w:bCs/>
          <w:color w:val="000000"/>
          <w:sz w:val="28"/>
          <w:szCs w:val="28"/>
        </w:rPr>
        <w:t>经营，共同营造良好市场环境；切实解决群众关切的问题，推动解决重点民生诉求，研究形成巩固成果、防止问题反弹的日常管理长效工作机制，确保房地产市场平稳健康发展。</w:t>
      </w:r>
    </w:p>
    <w:p w14:paraId="6ED4E8C0"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5</w:t>
      </w:r>
      <w:r w:rsidRPr="00042364">
        <w:rPr>
          <w:rFonts w:ascii="Arial" w:eastAsia="仿宋_GB2312" w:hAnsi="Arial" w:hint="eastAsia"/>
          <w:bCs/>
          <w:color w:val="000000"/>
          <w:sz w:val="28"/>
          <w:szCs w:val="28"/>
        </w:rPr>
        <w:t>日，北京市住建委发布《关于进一步完善商品住房限购政策的公告》，明确自</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5</w:t>
      </w:r>
      <w:r w:rsidRPr="00042364">
        <w:rPr>
          <w:rFonts w:ascii="Arial" w:eastAsia="仿宋_GB2312" w:hAnsi="Arial" w:hint="eastAsia"/>
          <w:bCs/>
          <w:color w:val="000000"/>
          <w:sz w:val="28"/>
          <w:szCs w:val="28"/>
        </w:rPr>
        <w:t>日起，夫妻离异的，</w:t>
      </w:r>
      <w:proofErr w:type="gramStart"/>
      <w:r w:rsidRPr="00042364">
        <w:rPr>
          <w:rFonts w:ascii="Arial" w:eastAsia="仿宋_GB2312" w:hAnsi="Arial" w:hint="eastAsia"/>
          <w:bCs/>
          <w:color w:val="000000"/>
          <w:sz w:val="28"/>
          <w:szCs w:val="28"/>
        </w:rPr>
        <w:t>原家庭</w:t>
      </w:r>
      <w:proofErr w:type="gramEnd"/>
      <w:r w:rsidRPr="00042364">
        <w:rPr>
          <w:rFonts w:ascii="Arial" w:eastAsia="仿宋_GB2312" w:hAnsi="Arial" w:hint="eastAsia"/>
          <w:bCs/>
          <w:color w:val="000000"/>
          <w:sz w:val="28"/>
          <w:szCs w:val="28"/>
        </w:rPr>
        <w:t>在离异前拥有住房套数不符合本市商品住房限购政策规定的，自离异之日起</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年内，任何一方均不得在本市购买商品住房。</w:t>
      </w:r>
    </w:p>
    <w:p w14:paraId="78F20AF4" w14:textId="77777777" w:rsidR="00A145B3" w:rsidRPr="00042364" w:rsidRDefault="00A145B3" w:rsidP="00A145B3">
      <w:pPr>
        <w:spacing w:line="360" w:lineRule="auto"/>
        <w:ind w:firstLineChars="200" w:firstLine="560"/>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16</w:t>
      </w:r>
      <w:r w:rsidRPr="00042364">
        <w:rPr>
          <w:rFonts w:ascii="Arial" w:eastAsia="仿宋_GB2312" w:hAnsi="Arial" w:hint="eastAsia"/>
          <w:bCs/>
          <w:color w:val="000000"/>
          <w:sz w:val="28"/>
          <w:szCs w:val="28"/>
        </w:rPr>
        <w:t>日，北京住建委印发《关于进一步规范新建商品住房销售行为的通知》。《通知》设置了规范设置交付样板间、规范新建商品住房销售推广、落实交付前房屋质量查验制度、压实开发企业主体责任、其他等五部分内容，进一步规范商品住房销售行为。</w:t>
      </w:r>
    </w:p>
    <w:p w14:paraId="789B208F"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5</w:t>
      </w:r>
      <w:r w:rsidRPr="00042364">
        <w:rPr>
          <w:rFonts w:ascii="Arial" w:eastAsia="仿宋_GB2312" w:hAnsi="Arial" w:cs="Arial" w:hint="eastAsia"/>
          <w:bCs/>
          <w:color w:val="000000"/>
          <w:sz w:val="28"/>
          <w:szCs w:val="28"/>
        </w:rPr>
        <w:t>）未来市场预期</w:t>
      </w:r>
    </w:p>
    <w:p w14:paraId="723CF9C5" w14:textId="77777777" w:rsidR="00A145B3" w:rsidRPr="00042364" w:rsidRDefault="00A145B3" w:rsidP="00A145B3">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月底，央行等多部门三天内两次</w:t>
      </w:r>
      <w:proofErr w:type="gramStart"/>
      <w:r w:rsidRPr="00042364">
        <w:rPr>
          <w:rFonts w:ascii="Arial" w:eastAsia="仿宋_GB2312" w:hAnsi="Arial" w:hint="eastAsia"/>
          <w:bCs/>
          <w:color w:val="000000"/>
          <w:sz w:val="28"/>
          <w:szCs w:val="28"/>
        </w:rPr>
        <w:t>释放维稳信号</w:t>
      </w:r>
      <w:proofErr w:type="gramEnd"/>
      <w:r w:rsidRPr="00042364">
        <w:rPr>
          <w:rFonts w:ascii="Arial" w:eastAsia="仿宋_GB2312" w:hAnsi="Arial" w:hint="eastAsia"/>
          <w:bCs/>
          <w:color w:val="000000"/>
          <w:sz w:val="28"/>
          <w:szCs w:val="28"/>
        </w:rPr>
        <w:t>，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14:paraId="2846E318" w14:textId="77777777" w:rsidR="00A145B3" w:rsidRPr="004A328E" w:rsidRDefault="00A145B3" w:rsidP="00A145B3">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14:paraId="4282D22E" w14:textId="77777777" w:rsidR="00A145B3" w:rsidRPr="004A328E" w:rsidRDefault="00A145B3" w:rsidP="00A145B3">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2FC60CF9" w14:textId="77777777" w:rsidR="00A145B3" w:rsidRDefault="00A145B3" w:rsidP="00A145B3">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w:t>
      </w:r>
      <w:r w:rsidRPr="00B62C1A">
        <w:rPr>
          <w:rFonts w:ascii="Arial" w:eastAsia="仿宋_GB2312" w:hAnsi="Arial"/>
          <w:bCs/>
          <w:sz w:val="28"/>
          <w:szCs w:val="28"/>
        </w:rPr>
        <w:lastRenderedPageBreak/>
        <w:t>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三期建设，进一步拓展居住、产业和商业配套空间。</w:t>
      </w:r>
    </w:p>
    <w:p w14:paraId="5BEC7343" w14:textId="77777777" w:rsidR="00A145B3" w:rsidRDefault="00A145B3" w:rsidP="00A145B3">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190EC422" w14:textId="77777777" w:rsidR="00A145B3" w:rsidRDefault="00A145B3" w:rsidP="00A145B3">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66870A51" w14:textId="77777777" w:rsidR="00A145B3" w:rsidRDefault="00A145B3" w:rsidP="00A145B3">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65A3A794" w14:textId="77777777" w:rsidR="00A145B3" w:rsidRPr="00B62C1A" w:rsidRDefault="00A145B3" w:rsidP="00A145B3">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w:t>
      </w:r>
      <w:r>
        <w:rPr>
          <w:rFonts w:ascii="Arial" w:eastAsia="仿宋_GB2312" w:hAnsi="Arial" w:hint="eastAsia"/>
          <w:bCs/>
          <w:sz w:val="28"/>
          <w:szCs w:val="28"/>
        </w:rPr>
        <w:lastRenderedPageBreak/>
        <w:t>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5260D705" w14:textId="77777777" w:rsidR="00A145B3" w:rsidRPr="00ED59DA" w:rsidRDefault="00A145B3" w:rsidP="00A145B3">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w:t>
      </w:r>
      <w:r w:rsidRPr="00B62C1A">
        <w:rPr>
          <w:rFonts w:ascii="Arial" w:eastAsia="仿宋_GB2312" w:hAnsi="Arial"/>
          <w:bCs/>
          <w:sz w:val="28"/>
          <w:szCs w:val="28"/>
        </w:rPr>
        <w:t xml:space="preserve"> </w:t>
      </w:r>
      <w:r w:rsidRPr="00B62C1A">
        <w:rPr>
          <w:rFonts w:ascii="Arial" w:eastAsia="仿宋_GB2312" w:hAnsi="Arial"/>
          <w:bCs/>
          <w:sz w:val="28"/>
          <w:szCs w:val="28"/>
        </w:rPr>
        <w:t>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w:t>
      </w:r>
      <w:r w:rsidRPr="00B62C1A">
        <w:rPr>
          <w:rFonts w:ascii="Arial" w:eastAsia="仿宋_GB2312" w:hAnsi="Arial"/>
          <w:bCs/>
          <w:sz w:val="28"/>
          <w:szCs w:val="28"/>
        </w:rPr>
        <w:lastRenderedPageBreak/>
        <w:t>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6825B720" w14:textId="77777777" w:rsidR="00A145B3" w:rsidRDefault="00A145B3" w:rsidP="00A145B3">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14:paraId="09EF3E70"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cs="Arial" w:hint="eastAsia"/>
          <w:bCs/>
          <w:sz w:val="28"/>
          <w:szCs w:val="28"/>
        </w:rPr>
        <w:t>根据</w:t>
      </w:r>
      <w:r>
        <w:rPr>
          <w:rFonts w:ascii="Arial" w:eastAsia="仿宋_GB2312" w:hAnsi="Arial" w:cs="Arial" w:hint="eastAsia"/>
          <w:bCs/>
          <w:sz w:val="28"/>
          <w:szCs w:val="28"/>
        </w:rPr>
        <w:t>北京市统计局</w:t>
      </w:r>
      <w:r w:rsidRPr="00A30AB7">
        <w:rPr>
          <w:rFonts w:ascii="Arial" w:eastAsia="仿宋_GB2312" w:hAnsi="Arial" w:cs="Arial" w:hint="eastAsia"/>
          <w:bCs/>
          <w:sz w:val="28"/>
          <w:szCs w:val="28"/>
        </w:rPr>
        <w:t>地区生产总值统一核算结果，</w:t>
      </w:r>
      <w:r w:rsidRPr="00A30AB7">
        <w:rPr>
          <w:rFonts w:ascii="Arial" w:eastAsia="仿宋_GB2312" w:hAnsi="Arial" w:cs="Arial" w:hint="eastAsia"/>
          <w:bCs/>
          <w:sz w:val="28"/>
          <w:szCs w:val="28"/>
        </w:rPr>
        <w:t>1-3</w:t>
      </w:r>
      <w:r w:rsidRPr="00A30AB7">
        <w:rPr>
          <w:rFonts w:ascii="Arial" w:eastAsia="仿宋_GB2312" w:hAnsi="Arial" w:cs="Arial" w:hint="eastAsia"/>
          <w:bCs/>
          <w:sz w:val="28"/>
          <w:szCs w:val="28"/>
        </w:rPr>
        <w:t>季度</w:t>
      </w:r>
      <w:r>
        <w:rPr>
          <w:rFonts w:ascii="Arial" w:eastAsia="仿宋_GB2312" w:hAnsi="Arial" w:cs="Arial" w:hint="eastAsia"/>
          <w:bCs/>
          <w:sz w:val="28"/>
          <w:szCs w:val="28"/>
        </w:rPr>
        <w:t>北京</w:t>
      </w:r>
      <w:r w:rsidRPr="00A30AB7">
        <w:rPr>
          <w:rFonts w:ascii="Arial" w:eastAsia="仿宋_GB2312" w:hAnsi="Arial" w:cs="Arial" w:hint="eastAsia"/>
          <w:bCs/>
          <w:sz w:val="28"/>
          <w:szCs w:val="28"/>
        </w:rPr>
        <w:t>市实现地区生产总值</w:t>
      </w:r>
      <w:r w:rsidRPr="00A30AB7">
        <w:rPr>
          <w:rFonts w:ascii="Arial" w:eastAsia="仿宋_GB2312" w:hAnsi="Arial" w:cs="Arial" w:hint="eastAsia"/>
          <w:bCs/>
          <w:sz w:val="28"/>
          <w:szCs w:val="28"/>
        </w:rPr>
        <w:t>29753.0</w:t>
      </w:r>
      <w:r w:rsidRPr="00A30AB7">
        <w:rPr>
          <w:rFonts w:ascii="Arial" w:eastAsia="仿宋_GB2312" w:hAnsi="Arial" w:cs="Arial" w:hint="eastAsia"/>
          <w:bCs/>
          <w:sz w:val="28"/>
          <w:szCs w:val="28"/>
        </w:rPr>
        <w:t>亿元，按可比价格计算，同比增长</w:t>
      </w:r>
      <w:r w:rsidRPr="00A30AB7">
        <w:rPr>
          <w:rFonts w:ascii="Arial" w:eastAsia="仿宋_GB2312" w:hAnsi="Arial" w:cs="Arial" w:hint="eastAsia"/>
          <w:bCs/>
          <w:sz w:val="28"/>
          <w:szCs w:val="28"/>
        </w:rPr>
        <w:t>10.7%</w:t>
      </w:r>
      <w:r w:rsidRPr="00A30AB7">
        <w:rPr>
          <w:rFonts w:ascii="Arial" w:eastAsia="仿宋_GB2312" w:hAnsi="Arial" w:cs="Arial" w:hint="eastAsia"/>
          <w:bCs/>
          <w:sz w:val="28"/>
          <w:szCs w:val="28"/>
        </w:rPr>
        <w:t>，比上半年回落</w:t>
      </w:r>
      <w:r w:rsidRPr="00A30AB7">
        <w:rPr>
          <w:rFonts w:ascii="Arial" w:eastAsia="仿宋_GB2312" w:hAnsi="Arial" w:cs="Arial" w:hint="eastAsia"/>
          <w:bCs/>
          <w:sz w:val="28"/>
          <w:szCs w:val="28"/>
        </w:rPr>
        <w:t>2.7</w:t>
      </w:r>
      <w:r w:rsidRPr="00A30AB7">
        <w:rPr>
          <w:rFonts w:ascii="Arial" w:eastAsia="仿宋_GB2312" w:hAnsi="Arial" w:cs="Arial" w:hint="eastAsia"/>
          <w:bCs/>
          <w:sz w:val="28"/>
          <w:szCs w:val="28"/>
        </w:rPr>
        <w:t>个百分点，与</w:t>
      </w:r>
      <w:r w:rsidRPr="00A30AB7">
        <w:rPr>
          <w:rFonts w:ascii="Arial" w:eastAsia="仿宋_GB2312" w:hAnsi="Arial" w:cs="Arial" w:hint="eastAsia"/>
          <w:bCs/>
          <w:sz w:val="28"/>
          <w:szCs w:val="28"/>
        </w:rPr>
        <w:t>2019</w:t>
      </w:r>
      <w:r w:rsidRPr="00A30AB7">
        <w:rPr>
          <w:rFonts w:ascii="Arial" w:eastAsia="仿宋_GB2312" w:hAnsi="Arial" w:cs="Arial" w:hint="eastAsia"/>
          <w:bCs/>
          <w:sz w:val="28"/>
          <w:szCs w:val="28"/>
        </w:rPr>
        <w:t>年同期相比，两年平均增长</w:t>
      </w:r>
      <w:r w:rsidRPr="00A30AB7">
        <w:rPr>
          <w:rFonts w:ascii="Arial" w:eastAsia="仿宋_GB2312" w:hAnsi="Arial" w:cs="Arial" w:hint="eastAsia"/>
          <w:bCs/>
          <w:sz w:val="28"/>
          <w:szCs w:val="28"/>
        </w:rPr>
        <w:t>5.3%</w:t>
      </w:r>
      <w:r w:rsidRPr="00A30AB7">
        <w:rPr>
          <w:rFonts w:ascii="Arial" w:eastAsia="仿宋_GB2312" w:hAnsi="Arial" w:cs="Arial" w:hint="eastAsia"/>
          <w:bCs/>
          <w:sz w:val="28"/>
          <w:szCs w:val="28"/>
        </w:rPr>
        <w:t>，高于上半年</w:t>
      </w:r>
      <w:r w:rsidRPr="00A30AB7">
        <w:rPr>
          <w:rFonts w:ascii="Arial" w:eastAsia="仿宋_GB2312" w:hAnsi="Arial" w:cs="Arial" w:hint="eastAsia"/>
          <w:bCs/>
          <w:sz w:val="28"/>
          <w:szCs w:val="28"/>
        </w:rPr>
        <w:t>0.5</w:t>
      </w:r>
      <w:r w:rsidRPr="00A30AB7">
        <w:rPr>
          <w:rFonts w:ascii="Arial" w:eastAsia="仿宋_GB2312" w:hAnsi="Arial" w:cs="Arial" w:hint="eastAsia"/>
          <w:bCs/>
          <w:sz w:val="28"/>
          <w:szCs w:val="28"/>
        </w:rPr>
        <w:t>个百分点。分产业看，第一产业实现增加值</w:t>
      </w:r>
      <w:r w:rsidRPr="00A30AB7">
        <w:rPr>
          <w:rFonts w:ascii="Arial" w:eastAsia="仿宋_GB2312" w:hAnsi="Arial" w:cs="Arial" w:hint="eastAsia"/>
          <w:bCs/>
          <w:sz w:val="28"/>
          <w:szCs w:val="28"/>
        </w:rPr>
        <w:t>71.3</w:t>
      </w:r>
      <w:r w:rsidRPr="00A30AB7">
        <w:rPr>
          <w:rFonts w:ascii="Arial" w:eastAsia="仿宋_GB2312" w:hAnsi="Arial" w:cs="Arial" w:hint="eastAsia"/>
          <w:bCs/>
          <w:sz w:val="28"/>
          <w:szCs w:val="28"/>
        </w:rPr>
        <w:t>亿元，同比增长</w:t>
      </w:r>
      <w:r w:rsidRPr="00A30AB7">
        <w:rPr>
          <w:rFonts w:ascii="Arial" w:eastAsia="仿宋_GB2312" w:hAnsi="Arial" w:cs="Arial" w:hint="eastAsia"/>
          <w:bCs/>
          <w:sz w:val="28"/>
          <w:szCs w:val="28"/>
        </w:rPr>
        <w:t>0.2%</w:t>
      </w:r>
      <w:r w:rsidRPr="00A30AB7">
        <w:rPr>
          <w:rFonts w:ascii="Arial" w:eastAsia="仿宋_GB2312" w:hAnsi="Arial" w:cs="Arial" w:hint="eastAsia"/>
          <w:bCs/>
          <w:sz w:val="28"/>
          <w:szCs w:val="28"/>
        </w:rPr>
        <w:t>，两年平均下降</w:t>
      </w:r>
      <w:r w:rsidRPr="00A30AB7">
        <w:rPr>
          <w:rFonts w:ascii="Arial" w:eastAsia="仿宋_GB2312" w:hAnsi="Arial" w:cs="Arial" w:hint="eastAsia"/>
          <w:bCs/>
          <w:sz w:val="28"/>
          <w:szCs w:val="28"/>
        </w:rPr>
        <w:t>5.6%</w:t>
      </w:r>
      <w:r w:rsidRPr="00A30AB7">
        <w:rPr>
          <w:rFonts w:ascii="Arial" w:eastAsia="仿宋_GB2312" w:hAnsi="Arial" w:cs="Arial" w:hint="eastAsia"/>
          <w:bCs/>
          <w:sz w:val="28"/>
          <w:szCs w:val="28"/>
        </w:rPr>
        <w:t>；第二产业实现增加值</w:t>
      </w:r>
      <w:r w:rsidRPr="00A30AB7">
        <w:rPr>
          <w:rFonts w:ascii="Arial" w:eastAsia="仿宋_GB2312" w:hAnsi="Arial" w:cs="Arial" w:hint="eastAsia"/>
          <w:bCs/>
          <w:sz w:val="28"/>
          <w:szCs w:val="28"/>
        </w:rPr>
        <w:t>5206.6</w:t>
      </w:r>
      <w:r w:rsidRPr="00A30AB7">
        <w:rPr>
          <w:rFonts w:ascii="Arial" w:eastAsia="仿宋_GB2312" w:hAnsi="Arial" w:cs="Arial" w:hint="eastAsia"/>
          <w:bCs/>
          <w:sz w:val="28"/>
          <w:szCs w:val="28"/>
        </w:rPr>
        <w:t>亿元，同比增长</w:t>
      </w:r>
      <w:r w:rsidRPr="00A30AB7">
        <w:rPr>
          <w:rFonts w:ascii="Arial" w:eastAsia="仿宋_GB2312" w:hAnsi="Arial" w:cs="Arial" w:hint="eastAsia"/>
          <w:bCs/>
          <w:sz w:val="28"/>
          <w:szCs w:val="28"/>
        </w:rPr>
        <w:t>29.4%</w:t>
      </w:r>
      <w:r w:rsidRPr="00A30AB7">
        <w:rPr>
          <w:rFonts w:ascii="Arial" w:eastAsia="仿宋_GB2312" w:hAnsi="Arial" w:cs="Arial" w:hint="eastAsia"/>
          <w:bCs/>
          <w:sz w:val="28"/>
          <w:szCs w:val="28"/>
        </w:rPr>
        <w:t>，两年平均增长</w:t>
      </w:r>
      <w:r w:rsidRPr="00A30AB7">
        <w:rPr>
          <w:rFonts w:ascii="Arial" w:eastAsia="仿宋_GB2312" w:hAnsi="Arial" w:cs="Arial" w:hint="eastAsia"/>
          <w:bCs/>
          <w:sz w:val="28"/>
          <w:szCs w:val="28"/>
        </w:rPr>
        <w:t>13.8%</w:t>
      </w:r>
      <w:r w:rsidRPr="00A30AB7">
        <w:rPr>
          <w:rFonts w:ascii="Arial" w:eastAsia="仿宋_GB2312" w:hAnsi="Arial" w:cs="Arial" w:hint="eastAsia"/>
          <w:bCs/>
          <w:sz w:val="28"/>
          <w:szCs w:val="28"/>
        </w:rPr>
        <w:t>；第三产业实现增加值</w:t>
      </w:r>
      <w:r w:rsidRPr="00A30AB7">
        <w:rPr>
          <w:rFonts w:ascii="Arial" w:eastAsia="仿宋_GB2312" w:hAnsi="Arial" w:cs="Arial" w:hint="eastAsia"/>
          <w:bCs/>
          <w:sz w:val="28"/>
          <w:szCs w:val="28"/>
        </w:rPr>
        <w:t>24475.1</w:t>
      </w:r>
      <w:r w:rsidRPr="00A30AB7">
        <w:rPr>
          <w:rFonts w:ascii="Arial" w:eastAsia="仿宋_GB2312" w:hAnsi="Arial" w:cs="Arial" w:hint="eastAsia"/>
          <w:bCs/>
          <w:sz w:val="28"/>
          <w:szCs w:val="28"/>
        </w:rPr>
        <w:t>亿元，同比增长</w:t>
      </w:r>
      <w:r w:rsidRPr="00A30AB7">
        <w:rPr>
          <w:rFonts w:ascii="Arial" w:eastAsia="仿宋_GB2312" w:hAnsi="Arial" w:cs="Arial" w:hint="eastAsia"/>
          <w:bCs/>
          <w:sz w:val="28"/>
          <w:szCs w:val="28"/>
        </w:rPr>
        <w:t>7.4%</w:t>
      </w:r>
      <w:r w:rsidRPr="00A30AB7">
        <w:rPr>
          <w:rFonts w:ascii="Arial" w:eastAsia="仿宋_GB2312" w:hAnsi="Arial" w:cs="Arial" w:hint="eastAsia"/>
          <w:bCs/>
          <w:sz w:val="28"/>
          <w:szCs w:val="28"/>
        </w:rPr>
        <w:t>，两年平均增长</w:t>
      </w:r>
      <w:r w:rsidRPr="00A30AB7">
        <w:rPr>
          <w:rFonts w:ascii="Arial" w:eastAsia="仿宋_GB2312" w:hAnsi="Arial" w:cs="Arial" w:hint="eastAsia"/>
          <w:bCs/>
          <w:sz w:val="28"/>
          <w:szCs w:val="28"/>
        </w:rPr>
        <w:t>3.7%</w:t>
      </w:r>
      <w:r w:rsidRPr="00A30AB7">
        <w:rPr>
          <w:rFonts w:ascii="Arial" w:eastAsia="仿宋_GB2312" w:hAnsi="Arial" w:cs="Arial" w:hint="eastAsia"/>
          <w:bCs/>
          <w:sz w:val="28"/>
          <w:szCs w:val="28"/>
        </w:rPr>
        <w:t>。</w:t>
      </w:r>
    </w:p>
    <w:p w14:paraId="3A3B132C"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0AB7">
        <w:rPr>
          <w:rFonts w:ascii="Arial" w:eastAsia="仿宋_GB2312" w:hAnsi="Arial" w:cs="Arial" w:hint="eastAsia"/>
          <w:bCs/>
          <w:sz w:val="28"/>
          <w:szCs w:val="28"/>
        </w:rPr>
        <w:t>农业生产稳步发展，休闲农业和乡村旅游持续向好</w:t>
      </w:r>
    </w:p>
    <w:p w14:paraId="075B5994"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市实现农林牧渔业总产值</w:t>
      </w:r>
      <w:r w:rsidRPr="00A30AB7">
        <w:rPr>
          <w:rFonts w:ascii="Arial" w:eastAsia="仿宋_GB2312" w:hAnsi="Arial" w:hint="eastAsia"/>
          <w:bCs/>
          <w:sz w:val="28"/>
          <w:szCs w:val="28"/>
        </w:rPr>
        <w:t>171.3</w:t>
      </w:r>
      <w:r w:rsidRPr="00A30AB7">
        <w:rPr>
          <w:rFonts w:ascii="Arial" w:eastAsia="仿宋_GB2312" w:hAnsi="Arial" w:hint="eastAsia"/>
          <w:bCs/>
          <w:sz w:val="28"/>
          <w:szCs w:val="28"/>
        </w:rPr>
        <w:t>亿元，按可比价格计算，同比下降</w:t>
      </w:r>
      <w:r w:rsidRPr="00A30AB7">
        <w:rPr>
          <w:rFonts w:ascii="Arial" w:eastAsia="仿宋_GB2312" w:hAnsi="Arial" w:hint="eastAsia"/>
          <w:bCs/>
          <w:sz w:val="28"/>
          <w:szCs w:val="28"/>
        </w:rPr>
        <w:t>0.6%</w:t>
      </w:r>
      <w:r w:rsidRPr="00A30AB7">
        <w:rPr>
          <w:rFonts w:ascii="Arial" w:eastAsia="仿宋_GB2312" w:hAnsi="Arial" w:hint="eastAsia"/>
          <w:bCs/>
          <w:sz w:val="28"/>
          <w:szCs w:val="28"/>
        </w:rPr>
        <w:t>；其中，农业和牧业产值较快增长。实现农业（种植业）产值</w:t>
      </w:r>
      <w:r w:rsidRPr="00A30AB7">
        <w:rPr>
          <w:rFonts w:ascii="Arial" w:eastAsia="仿宋_GB2312" w:hAnsi="Arial" w:hint="eastAsia"/>
          <w:bCs/>
          <w:sz w:val="28"/>
          <w:szCs w:val="28"/>
        </w:rPr>
        <w:t>82.0</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13.8%</w:t>
      </w:r>
      <w:r w:rsidRPr="00A30AB7">
        <w:rPr>
          <w:rFonts w:ascii="Arial" w:eastAsia="仿宋_GB2312" w:hAnsi="Arial" w:hint="eastAsia"/>
          <w:bCs/>
          <w:sz w:val="28"/>
          <w:szCs w:val="28"/>
        </w:rPr>
        <w:t>，蔬菜及食用菌产量</w:t>
      </w:r>
      <w:r w:rsidRPr="00A30AB7">
        <w:rPr>
          <w:rFonts w:ascii="Arial" w:eastAsia="仿宋_GB2312" w:hAnsi="Arial" w:hint="eastAsia"/>
          <w:bCs/>
          <w:sz w:val="28"/>
          <w:szCs w:val="28"/>
        </w:rPr>
        <w:t>104.2</w:t>
      </w:r>
      <w:r w:rsidRPr="00A30AB7">
        <w:rPr>
          <w:rFonts w:ascii="Arial" w:eastAsia="仿宋_GB2312" w:hAnsi="Arial" w:hint="eastAsia"/>
          <w:bCs/>
          <w:sz w:val="28"/>
          <w:szCs w:val="28"/>
        </w:rPr>
        <w:t>万吨，增长</w:t>
      </w:r>
      <w:r w:rsidRPr="00A30AB7">
        <w:rPr>
          <w:rFonts w:ascii="Arial" w:eastAsia="仿宋_GB2312" w:hAnsi="Arial" w:hint="eastAsia"/>
          <w:bCs/>
          <w:sz w:val="28"/>
          <w:szCs w:val="28"/>
        </w:rPr>
        <w:t>27.3%</w:t>
      </w:r>
      <w:r w:rsidRPr="00A30AB7">
        <w:rPr>
          <w:rFonts w:ascii="Arial" w:eastAsia="仿宋_GB2312" w:hAnsi="Arial" w:hint="eastAsia"/>
          <w:bCs/>
          <w:sz w:val="28"/>
          <w:szCs w:val="28"/>
        </w:rPr>
        <w:t>；实现牧业产值</w:t>
      </w:r>
      <w:r w:rsidRPr="00A30AB7">
        <w:rPr>
          <w:rFonts w:ascii="Arial" w:eastAsia="仿宋_GB2312" w:hAnsi="Arial" w:hint="eastAsia"/>
          <w:bCs/>
          <w:sz w:val="28"/>
          <w:szCs w:val="28"/>
        </w:rPr>
        <w:t>34.6</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13.4%</w:t>
      </w:r>
      <w:r w:rsidRPr="00A30AB7">
        <w:rPr>
          <w:rFonts w:ascii="Arial" w:eastAsia="仿宋_GB2312" w:hAnsi="Arial" w:hint="eastAsia"/>
          <w:bCs/>
          <w:sz w:val="28"/>
          <w:szCs w:val="28"/>
        </w:rPr>
        <w:t>，生猪出栏</w:t>
      </w:r>
      <w:r w:rsidRPr="00A30AB7">
        <w:rPr>
          <w:rFonts w:ascii="Arial" w:eastAsia="仿宋_GB2312" w:hAnsi="Arial" w:hint="eastAsia"/>
          <w:bCs/>
          <w:sz w:val="28"/>
          <w:szCs w:val="28"/>
        </w:rPr>
        <w:t>22.0</w:t>
      </w:r>
      <w:r w:rsidRPr="00A30AB7">
        <w:rPr>
          <w:rFonts w:ascii="Arial" w:eastAsia="仿宋_GB2312" w:hAnsi="Arial" w:hint="eastAsia"/>
          <w:bCs/>
          <w:sz w:val="28"/>
          <w:szCs w:val="28"/>
        </w:rPr>
        <w:t>万头、存栏</w:t>
      </w:r>
      <w:r w:rsidRPr="00A30AB7">
        <w:rPr>
          <w:rFonts w:ascii="Arial" w:eastAsia="仿宋_GB2312" w:hAnsi="Arial" w:hint="eastAsia"/>
          <w:bCs/>
          <w:sz w:val="28"/>
          <w:szCs w:val="28"/>
        </w:rPr>
        <w:t>34.2</w:t>
      </w:r>
      <w:r w:rsidRPr="00A30AB7">
        <w:rPr>
          <w:rFonts w:ascii="Arial" w:eastAsia="仿宋_GB2312" w:hAnsi="Arial" w:hint="eastAsia"/>
          <w:bCs/>
          <w:sz w:val="28"/>
          <w:szCs w:val="28"/>
        </w:rPr>
        <w:lastRenderedPageBreak/>
        <w:t>万头，分别增长</w:t>
      </w:r>
      <w:r w:rsidRPr="00A30AB7">
        <w:rPr>
          <w:rFonts w:ascii="Arial" w:eastAsia="仿宋_GB2312" w:hAnsi="Arial" w:hint="eastAsia"/>
          <w:bCs/>
          <w:sz w:val="28"/>
          <w:szCs w:val="28"/>
        </w:rPr>
        <w:t>87.3%</w:t>
      </w:r>
      <w:r w:rsidRPr="00A30AB7">
        <w:rPr>
          <w:rFonts w:ascii="Arial" w:eastAsia="仿宋_GB2312" w:hAnsi="Arial" w:hint="eastAsia"/>
          <w:bCs/>
          <w:sz w:val="28"/>
          <w:szCs w:val="28"/>
        </w:rPr>
        <w:t>和</w:t>
      </w:r>
      <w:r w:rsidRPr="00A30AB7">
        <w:rPr>
          <w:rFonts w:ascii="Arial" w:eastAsia="仿宋_GB2312" w:hAnsi="Arial" w:hint="eastAsia"/>
          <w:bCs/>
          <w:sz w:val="28"/>
          <w:szCs w:val="28"/>
        </w:rPr>
        <w:t>1.1</w:t>
      </w:r>
      <w:r w:rsidRPr="00A30AB7">
        <w:rPr>
          <w:rFonts w:ascii="Arial" w:eastAsia="仿宋_GB2312" w:hAnsi="Arial" w:hint="eastAsia"/>
          <w:bCs/>
          <w:sz w:val="28"/>
          <w:szCs w:val="28"/>
        </w:rPr>
        <w:t>倍。休闲农业和乡村旅游接待人次为</w:t>
      </w:r>
      <w:r w:rsidRPr="00A30AB7">
        <w:rPr>
          <w:rFonts w:ascii="Arial" w:eastAsia="仿宋_GB2312" w:hAnsi="Arial" w:hint="eastAsia"/>
          <w:bCs/>
          <w:sz w:val="28"/>
          <w:szCs w:val="28"/>
        </w:rPr>
        <w:t>1790.4</w:t>
      </w:r>
      <w:r w:rsidRPr="00A30AB7">
        <w:rPr>
          <w:rFonts w:ascii="Arial" w:eastAsia="仿宋_GB2312" w:hAnsi="Arial" w:hint="eastAsia"/>
          <w:bCs/>
          <w:sz w:val="28"/>
          <w:szCs w:val="28"/>
        </w:rPr>
        <w:t>万人次，恢复到</w:t>
      </w:r>
      <w:r w:rsidRPr="00A30AB7">
        <w:rPr>
          <w:rFonts w:ascii="Arial" w:eastAsia="仿宋_GB2312" w:hAnsi="Arial" w:hint="eastAsia"/>
          <w:bCs/>
          <w:sz w:val="28"/>
          <w:szCs w:val="28"/>
        </w:rPr>
        <w:t>2019</w:t>
      </w:r>
      <w:r w:rsidRPr="00A30AB7">
        <w:rPr>
          <w:rFonts w:ascii="Arial" w:eastAsia="仿宋_GB2312" w:hAnsi="Arial" w:hint="eastAsia"/>
          <w:bCs/>
          <w:sz w:val="28"/>
          <w:szCs w:val="28"/>
        </w:rPr>
        <w:t>年同期的</w:t>
      </w:r>
      <w:r w:rsidRPr="00A30AB7">
        <w:rPr>
          <w:rFonts w:ascii="Arial" w:eastAsia="仿宋_GB2312" w:hAnsi="Arial" w:hint="eastAsia"/>
          <w:bCs/>
          <w:sz w:val="28"/>
          <w:szCs w:val="28"/>
        </w:rPr>
        <w:t>68.8%</w:t>
      </w:r>
      <w:r w:rsidRPr="00A30AB7">
        <w:rPr>
          <w:rFonts w:ascii="Arial" w:eastAsia="仿宋_GB2312" w:hAnsi="Arial" w:hint="eastAsia"/>
          <w:bCs/>
          <w:sz w:val="28"/>
          <w:szCs w:val="28"/>
        </w:rPr>
        <w:t>，高于上半年</w:t>
      </w:r>
      <w:r w:rsidRPr="00A30AB7">
        <w:rPr>
          <w:rFonts w:ascii="Arial" w:eastAsia="仿宋_GB2312" w:hAnsi="Arial" w:hint="eastAsia"/>
          <w:bCs/>
          <w:sz w:val="28"/>
          <w:szCs w:val="28"/>
        </w:rPr>
        <w:t>2.7</w:t>
      </w:r>
      <w:r w:rsidRPr="00A30AB7">
        <w:rPr>
          <w:rFonts w:ascii="Arial" w:eastAsia="仿宋_GB2312" w:hAnsi="Arial" w:hint="eastAsia"/>
          <w:bCs/>
          <w:sz w:val="28"/>
          <w:szCs w:val="28"/>
        </w:rPr>
        <w:t>个百分点，实现收入</w:t>
      </w:r>
      <w:r w:rsidRPr="00A30AB7">
        <w:rPr>
          <w:rFonts w:ascii="Arial" w:eastAsia="仿宋_GB2312" w:hAnsi="Arial" w:hint="eastAsia"/>
          <w:bCs/>
          <w:sz w:val="28"/>
          <w:szCs w:val="28"/>
        </w:rPr>
        <w:t>24.0</w:t>
      </w:r>
      <w:r w:rsidRPr="00A30AB7">
        <w:rPr>
          <w:rFonts w:ascii="Arial" w:eastAsia="仿宋_GB2312" w:hAnsi="Arial" w:hint="eastAsia"/>
          <w:bCs/>
          <w:sz w:val="28"/>
          <w:szCs w:val="28"/>
        </w:rPr>
        <w:t>亿元，恢复到</w:t>
      </w:r>
      <w:r w:rsidRPr="00A30AB7">
        <w:rPr>
          <w:rFonts w:ascii="Arial" w:eastAsia="仿宋_GB2312" w:hAnsi="Arial" w:hint="eastAsia"/>
          <w:bCs/>
          <w:sz w:val="28"/>
          <w:szCs w:val="28"/>
        </w:rPr>
        <w:t>2019</w:t>
      </w:r>
      <w:r w:rsidRPr="00A30AB7">
        <w:rPr>
          <w:rFonts w:ascii="Arial" w:eastAsia="仿宋_GB2312" w:hAnsi="Arial" w:hint="eastAsia"/>
          <w:bCs/>
          <w:sz w:val="28"/>
          <w:szCs w:val="28"/>
        </w:rPr>
        <w:t>年同期的近</w:t>
      </w:r>
      <w:r w:rsidRPr="00A30AB7">
        <w:rPr>
          <w:rFonts w:ascii="Arial" w:eastAsia="仿宋_GB2312" w:hAnsi="Arial" w:hint="eastAsia"/>
          <w:bCs/>
          <w:sz w:val="28"/>
          <w:szCs w:val="28"/>
        </w:rPr>
        <w:t>9</w:t>
      </w:r>
      <w:r w:rsidRPr="00A30AB7">
        <w:rPr>
          <w:rFonts w:ascii="Arial" w:eastAsia="仿宋_GB2312" w:hAnsi="Arial" w:hint="eastAsia"/>
          <w:bCs/>
          <w:sz w:val="28"/>
          <w:szCs w:val="28"/>
        </w:rPr>
        <w:t>成。</w:t>
      </w:r>
    </w:p>
    <w:p w14:paraId="56882708"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A30AB7">
        <w:rPr>
          <w:rFonts w:ascii="Arial" w:eastAsia="仿宋_GB2312" w:hAnsi="Arial" w:hint="eastAsia"/>
          <w:bCs/>
          <w:sz w:val="28"/>
          <w:szCs w:val="28"/>
        </w:rPr>
        <w:t>工业生产增势良好，高端产业发挥引领作用</w:t>
      </w:r>
    </w:p>
    <w:p w14:paraId="404E3473"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市规模以上工业增加值按可比价格计算，同比增长</w:t>
      </w:r>
      <w:r w:rsidRPr="00A30AB7">
        <w:rPr>
          <w:rFonts w:ascii="Arial" w:eastAsia="仿宋_GB2312" w:hAnsi="Arial" w:hint="eastAsia"/>
          <w:bCs/>
          <w:sz w:val="28"/>
          <w:szCs w:val="28"/>
        </w:rPr>
        <w:t>38.7%</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17.7%</w:t>
      </w:r>
      <w:r w:rsidRPr="00A30AB7">
        <w:rPr>
          <w:rFonts w:ascii="Arial" w:eastAsia="仿宋_GB2312" w:hAnsi="Arial" w:hint="eastAsia"/>
          <w:bCs/>
          <w:sz w:val="28"/>
          <w:szCs w:val="28"/>
        </w:rPr>
        <w:t>。重点行业中，医药制造业同比增长</w:t>
      </w:r>
      <w:r w:rsidRPr="00A30AB7">
        <w:rPr>
          <w:rFonts w:ascii="Arial" w:eastAsia="仿宋_GB2312" w:hAnsi="Arial" w:hint="eastAsia"/>
          <w:bCs/>
          <w:sz w:val="28"/>
          <w:szCs w:val="28"/>
        </w:rPr>
        <w:t>3.3</w:t>
      </w:r>
      <w:r w:rsidRPr="00A30AB7">
        <w:rPr>
          <w:rFonts w:ascii="Arial" w:eastAsia="仿宋_GB2312" w:hAnsi="Arial" w:hint="eastAsia"/>
          <w:bCs/>
          <w:sz w:val="28"/>
          <w:szCs w:val="28"/>
        </w:rPr>
        <w:t>倍，两年平均增长</w:t>
      </w:r>
      <w:r w:rsidRPr="00A30AB7">
        <w:rPr>
          <w:rFonts w:ascii="Arial" w:eastAsia="仿宋_GB2312" w:hAnsi="Arial" w:hint="eastAsia"/>
          <w:bCs/>
          <w:sz w:val="28"/>
          <w:szCs w:val="28"/>
        </w:rPr>
        <w:t>1</w:t>
      </w:r>
      <w:r w:rsidRPr="00A30AB7">
        <w:rPr>
          <w:rFonts w:ascii="Arial" w:eastAsia="仿宋_GB2312" w:hAnsi="Arial" w:hint="eastAsia"/>
          <w:bCs/>
          <w:sz w:val="28"/>
          <w:szCs w:val="28"/>
        </w:rPr>
        <w:t>倍；计算机、通信和其他电子设备制造业同比增长</w:t>
      </w:r>
      <w:r w:rsidRPr="00A30AB7">
        <w:rPr>
          <w:rFonts w:ascii="Arial" w:eastAsia="仿宋_GB2312" w:hAnsi="Arial" w:hint="eastAsia"/>
          <w:bCs/>
          <w:sz w:val="28"/>
          <w:szCs w:val="28"/>
        </w:rPr>
        <w:t>21.1%</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18.9%</w:t>
      </w:r>
      <w:r w:rsidRPr="00A30AB7">
        <w:rPr>
          <w:rFonts w:ascii="Arial" w:eastAsia="仿宋_GB2312" w:hAnsi="Arial" w:hint="eastAsia"/>
          <w:bCs/>
          <w:sz w:val="28"/>
          <w:szCs w:val="28"/>
        </w:rPr>
        <w:t>；电力、热力生产和供应业同比增长</w:t>
      </w:r>
      <w:r w:rsidRPr="00A30AB7">
        <w:rPr>
          <w:rFonts w:ascii="Arial" w:eastAsia="仿宋_GB2312" w:hAnsi="Arial" w:hint="eastAsia"/>
          <w:bCs/>
          <w:sz w:val="28"/>
          <w:szCs w:val="28"/>
        </w:rPr>
        <w:t>5.6%</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5.5%</w:t>
      </w:r>
      <w:r w:rsidRPr="00A30AB7">
        <w:rPr>
          <w:rFonts w:ascii="Arial" w:eastAsia="仿宋_GB2312" w:hAnsi="Arial" w:hint="eastAsia"/>
          <w:bCs/>
          <w:sz w:val="28"/>
          <w:szCs w:val="28"/>
        </w:rPr>
        <w:t>；汽车制造业同比下降</w:t>
      </w:r>
      <w:r w:rsidRPr="00A30AB7">
        <w:rPr>
          <w:rFonts w:ascii="Arial" w:eastAsia="仿宋_GB2312" w:hAnsi="Arial" w:hint="eastAsia"/>
          <w:bCs/>
          <w:sz w:val="28"/>
          <w:szCs w:val="28"/>
        </w:rPr>
        <w:t>6.7%</w:t>
      </w:r>
      <w:r w:rsidRPr="00A30AB7">
        <w:rPr>
          <w:rFonts w:ascii="Arial" w:eastAsia="仿宋_GB2312" w:hAnsi="Arial" w:hint="eastAsia"/>
          <w:bCs/>
          <w:sz w:val="28"/>
          <w:szCs w:val="28"/>
        </w:rPr>
        <w:t>，两年平均下降</w:t>
      </w:r>
      <w:r w:rsidRPr="00A30AB7">
        <w:rPr>
          <w:rFonts w:ascii="Arial" w:eastAsia="仿宋_GB2312" w:hAnsi="Arial" w:hint="eastAsia"/>
          <w:bCs/>
          <w:sz w:val="28"/>
          <w:szCs w:val="28"/>
        </w:rPr>
        <w:t>2.2%</w:t>
      </w:r>
      <w:r w:rsidRPr="00A30AB7">
        <w:rPr>
          <w:rFonts w:ascii="Arial" w:eastAsia="仿宋_GB2312" w:hAnsi="Arial" w:hint="eastAsia"/>
          <w:bCs/>
          <w:sz w:val="28"/>
          <w:szCs w:val="28"/>
        </w:rPr>
        <w:t>。高端产业引领工业发展，高技术制造业、战略性新兴产业增加值同比分别增长</w:t>
      </w:r>
      <w:r w:rsidRPr="00A30AB7">
        <w:rPr>
          <w:rFonts w:ascii="Arial" w:eastAsia="仿宋_GB2312" w:hAnsi="Arial" w:hint="eastAsia"/>
          <w:bCs/>
          <w:sz w:val="28"/>
          <w:szCs w:val="28"/>
        </w:rPr>
        <w:t>1.4</w:t>
      </w:r>
      <w:r w:rsidRPr="00A30AB7">
        <w:rPr>
          <w:rFonts w:ascii="Arial" w:eastAsia="仿宋_GB2312" w:hAnsi="Arial" w:hint="eastAsia"/>
          <w:bCs/>
          <w:sz w:val="28"/>
          <w:szCs w:val="28"/>
        </w:rPr>
        <w:t>倍和</w:t>
      </w:r>
      <w:r w:rsidRPr="00A30AB7">
        <w:rPr>
          <w:rFonts w:ascii="Arial" w:eastAsia="仿宋_GB2312" w:hAnsi="Arial" w:hint="eastAsia"/>
          <w:bCs/>
          <w:sz w:val="28"/>
          <w:szCs w:val="28"/>
        </w:rPr>
        <w:t>1.1</w:t>
      </w:r>
      <w:r w:rsidRPr="00A30AB7">
        <w:rPr>
          <w:rFonts w:ascii="Arial" w:eastAsia="仿宋_GB2312" w:hAnsi="Arial" w:hint="eastAsia"/>
          <w:bCs/>
          <w:sz w:val="28"/>
          <w:szCs w:val="28"/>
        </w:rPr>
        <w:t>倍，两年平均增速达到</w:t>
      </w:r>
      <w:r w:rsidRPr="00A30AB7">
        <w:rPr>
          <w:rFonts w:ascii="Arial" w:eastAsia="仿宋_GB2312" w:hAnsi="Arial" w:hint="eastAsia"/>
          <w:bCs/>
          <w:sz w:val="28"/>
          <w:szCs w:val="28"/>
        </w:rPr>
        <w:t>59.1%</w:t>
      </w:r>
      <w:r w:rsidRPr="00A30AB7">
        <w:rPr>
          <w:rFonts w:ascii="Arial" w:eastAsia="仿宋_GB2312" w:hAnsi="Arial" w:hint="eastAsia"/>
          <w:bCs/>
          <w:sz w:val="28"/>
          <w:szCs w:val="28"/>
        </w:rPr>
        <w:t>和</w:t>
      </w:r>
      <w:r w:rsidRPr="00A30AB7">
        <w:rPr>
          <w:rFonts w:ascii="Arial" w:eastAsia="仿宋_GB2312" w:hAnsi="Arial" w:hint="eastAsia"/>
          <w:bCs/>
          <w:sz w:val="28"/>
          <w:szCs w:val="28"/>
        </w:rPr>
        <w:t>48.8%</w:t>
      </w:r>
      <w:r w:rsidRPr="00A30AB7">
        <w:rPr>
          <w:rFonts w:ascii="Arial" w:eastAsia="仿宋_GB2312" w:hAnsi="Arial" w:hint="eastAsia"/>
          <w:bCs/>
          <w:sz w:val="28"/>
          <w:szCs w:val="28"/>
        </w:rPr>
        <w:t>。</w:t>
      </w:r>
    </w:p>
    <w:p w14:paraId="133EF1C1"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A30AB7">
        <w:rPr>
          <w:rFonts w:ascii="Arial" w:eastAsia="仿宋_GB2312" w:hAnsi="Arial" w:hint="eastAsia"/>
          <w:bCs/>
          <w:sz w:val="28"/>
          <w:szCs w:val="28"/>
        </w:rPr>
        <w:t>服务业总体稳定，生产性服务业贡献较大</w:t>
      </w:r>
    </w:p>
    <w:p w14:paraId="70CD21A6"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市第三产业增加值按可比价格计算，同比增长</w:t>
      </w:r>
      <w:r w:rsidRPr="00A30AB7">
        <w:rPr>
          <w:rFonts w:ascii="Arial" w:eastAsia="仿宋_GB2312" w:hAnsi="Arial" w:hint="eastAsia"/>
          <w:bCs/>
          <w:sz w:val="28"/>
          <w:szCs w:val="28"/>
        </w:rPr>
        <w:t>7.4%</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3.7%</w:t>
      </w:r>
      <w:r w:rsidRPr="00A30AB7">
        <w:rPr>
          <w:rFonts w:ascii="Arial" w:eastAsia="仿宋_GB2312" w:hAnsi="Arial" w:hint="eastAsia"/>
          <w:bCs/>
          <w:sz w:val="28"/>
          <w:szCs w:val="28"/>
        </w:rPr>
        <w:t>。其中，信息传输、软件和信息技术服务业实现增加值</w:t>
      </w:r>
      <w:r w:rsidRPr="00A30AB7">
        <w:rPr>
          <w:rFonts w:ascii="Arial" w:eastAsia="仿宋_GB2312" w:hAnsi="Arial" w:hint="eastAsia"/>
          <w:bCs/>
          <w:sz w:val="28"/>
          <w:szCs w:val="28"/>
        </w:rPr>
        <w:t>5090.9</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12.4%</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12.6%</w:t>
      </w:r>
      <w:r w:rsidRPr="00A30AB7">
        <w:rPr>
          <w:rFonts w:ascii="Arial" w:eastAsia="仿宋_GB2312" w:hAnsi="Arial" w:hint="eastAsia"/>
          <w:bCs/>
          <w:sz w:val="28"/>
          <w:szCs w:val="28"/>
        </w:rPr>
        <w:t>；金融业、科学研究和技术服务业、批发和零售业分别实现增加值</w:t>
      </w:r>
      <w:r w:rsidRPr="00A30AB7">
        <w:rPr>
          <w:rFonts w:ascii="Arial" w:eastAsia="仿宋_GB2312" w:hAnsi="Arial" w:hint="eastAsia"/>
          <w:bCs/>
          <w:sz w:val="28"/>
          <w:szCs w:val="28"/>
        </w:rPr>
        <w:t>5685.9</w:t>
      </w:r>
      <w:r w:rsidRPr="00A30AB7">
        <w:rPr>
          <w:rFonts w:ascii="Arial" w:eastAsia="仿宋_GB2312" w:hAnsi="Arial" w:hint="eastAsia"/>
          <w:bCs/>
          <w:sz w:val="28"/>
          <w:szCs w:val="28"/>
        </w:rPr>
        <w:t>亿元、</w:t>
      </w:r>
      <w:r w:rsidRPr="00A30AB7">
        <w:rPr>
          <w:rFonts w:ascii="Arial" w:eastAsia="仿宋_GB2312" w:hAnsi="Arial" w:hint="eastAsia"/>
          <w:bCs/>
          <w:sz w:val="28"/>
          <w:szCs w:val="28"/>
        </w:rPr>
        <w:t>2410.3</w:t>
      </w:r>
      <w:r w:rsidRPr="00A30AB7">
        <w:rPr>
          <w:rFonts w:ascii="Arial" w:eastAsia="仿宋_GB2312" w:hAnsi="Arial" w:hint="eastAsia"/>
          <w:bCs/>
          <w:sz w:val="28"/>
          <w:szCs w:val="28"/>
        </w:rPr>
        <w:t>亿元和</w:t>
      </w:r>
      <w:r w:rsidRPr="00A30AB7">
        <w:rPr>
          <w:rFonts w:ascii="Arial" w:eastAsia="仿宋_GB2312" w:hAnsi="Arial" w:hint="eastAsia"/>
          <w:bCs/>
          <w:sz w:val="28"/>
          <w:szCs w:val="28"/>
        </w:rPr>
        <w:t>2141.9</w:t>
      </w:r>
      <w:r w:rsidRPr="00A30AB7">
        <w:rPr>
          <w:rFonts w:ascii="Arial" w:eastAsia="仿宋_GB2312" w:hAnsi="Arial" w:hint="eastAsia"/>
          <w:bCs/>
          <w:sz w:val="28"/>
          <w:szCs w:val="28"/>
        </w:rPr>
        <w:t>亿元，同比分别增长</w:t>
      </w:r>
      <w:r w:rsidRPr="00A30AB7">
        <w:rPr>
          <w:rFonts w:ascii="Arial" w:eastAsia="仿宋_GB2312" w:hAnsi="Arial" w:hint="eastAsia"/>
          <w:bCs/>
          <w:sz w:val="28"/>
          <w:szCs w:val="28"/>
        </w:rPr>
        <w:t>5.0%</w:t>
      </w:r>
      <w:r w:rsidRPr="00A30AB7">
        <w:rPr>
          <w:rFonts w:ascii="Arial" w:eastAsia="仿宋_GB2312" w:hAnsi="Arial" w:hint="eastAsia"/>
          <w:bCs/>
          <w:sz w:val="28"/>
          <w:szCs w:val="28"/>
        </w:rPr>
        <w:t>、</w:t>
      </w:r>
      <w:r w:rsidRPr="00A30AB7">
        <w:rPr>
          <w:rFonts w:ascii="Arial" w:eastAsia="仿宋_GB2312" w:hAnsi="Arial" w:hint="eastAsia"/>
          <w:bCs/>
          <w:sz w:val="28"/>
          <w:szCs w:val="28"/>
        </w:rPr>
        <w:t>2.9%</w:t>
      </w:r>
      <w:r w:rsidRPr="00A30AB7">
        <w:rPr>
          <w:rFonts w:ascii="Arial" w:eastAsia="仿宋_GB2312" w:hAnsi="Arial" w:hint="eastAsia"/>
          <w:bCs/>
          <w:sz w:val="28"/>
          <w:szCs w:val="28"/>
        </w:rPr>
        <w:t>和</w:t>
      </w:r>
      <w:r w:rsidRPr="00A30AB7">
        <w:rPr>
          <w:rFonts w:ascii="Arial" w:eastAsia="仿宋_GB2312" w:hAnsi="Arial" w:hint="eastAsia"/>
          <w:bCs/>
          <w:sz w:val="28"/>
          <w:szCs w:val="28"/>
        </w:rPr>
        <w:t>11.4%</w:t>
      </w:r>
      <w:r w:rsidRPr="00A30AB7">
        <w:rPr>
          <w:rFonts w:ascii="Arial" w:eastAsia="仿宋_GB2312" w:hAnsi="Arial" w:hint="eastAsia"/>
          <w:bCs/>
          <w:sz w:val="28"/>
          <w:szCs w:val="28"/>
        </w:rPr>
        <w:t>，两年平均分别增长</w:t>
      </w:r>
      <w:r w:rsidRPr="00A30AB7">
        <w:rPr>
          <w:rFonts w:ascii="Arial" w:eastAsia="仿宋_GB2312" w:hAnsi="Arial" w:hint="eastAsia"/>
          <w:bCs/>
          <w:sz w:val="28"/>
          <w:szCs w:val="28"/>
        </w:rPr>
        <w:t>6.0%</w:t>
      </w:r>
      <w:r w:rsidRPr="00A30AB7">
        <w:rPr>
          <w:rFonts w:ascii="Arial" w:eastAsia="仿宋_GB2312" w:hAnsi="Arial" w:hint="eastAsia"/>
          <w:bCs/>
          <w:sz w:val="28"/>
          <w:szCs w:val="28"/>
        </w:rPr>
        <w:t>、</w:t>
      </w:r>
      <w:r w:rsidRPr="00A30AB7">
        <w:rPr>
          <w:rFonts w:ascii="Arial" w:eastAsia="仿宋_GB2312" w:hAnsi="Arial" w:hint="eastAsia"/>
          <w:bCs/>
          <w:sz w:val="28"/>
          <w:szCs w:val="28"/>
        </w:rPr>
        <w:t>1.5%</w:t>
      </w:r>
      <w:r w:rsidRPr="00A30AB7">
        <w:rPr>
          <w:rFonts w:ascii="Arial" w:eastAsia="仿宋_GB2312" w:hAnsi="Arial" w:hint="eastAsia"/>
          <w:bCs/>
          <w:sz w:val="28"/>
          <w:szCs w:val="28"/>
        </w:rPr>
        <w:t>和</w:t>
      </w:r>
      <w:r w:rsidRPr="00A30AB7">
        <w:rPr>
          <w:rFonts w:ascii="Arial" w:eastAsia="仿宋_GB2312" w:hAnsi="Arial" w:hint="eastAsia"/>
          <w:bCs/>
          <w:sz w:val="28"/>
          <w:szCs w:val="28"/>
        </w:rPr>
        <w:t>0.9%</w:t>
      </w:r>
      <w:r w:rsidRPr="00A30AB7">
        <w:rPr>
          <w:rFonts w:ascii="Arial" w:eastAsia="仿宋_GB2312" w:hAnsi="Arial" w:hint="eastAsia"/>
          <w:bCs/>
          <w:sz w:val="28"/>
          <w:szCs w:val="28"/>
        </w:rPr>
        <w:t>，两年平均增速比上半年分别提高</w:t>
      </w:r>
      <w:r w:rsidRPr="00A30AB7">
        <w:rPr>
          <w:rFonts w:ascii="Arial" w:eastAsia="仿宋_GB2312" w:hAnsi="Arial" w:hint="eastAsia"/>
          <w:bCs/>
          <w:sz w:val="28"/>
          <w:szCs w:val="28"/>
        </w:rPr>
        <w:t>0.7</w:t>
      </w:r>
      <w:r w:rsidRPr="00A30AB7">
        <w:rPr>
          <w:rFonts w:ascii="Arial" w:eastAsia="仿宋_GB2312" w:hAnsi="Arial" w:hint="eastAsia"/>
          <w:bCs/>
          <w:sz w:val="28"/>
          <w:szCs w:val="28"/>
        </w:rPr>
        <w:t>个、</w:t>
      </w:r>
      <w:r w:rsidRPr="00A30AB7">
        <w:rPr>
          <w:rFonts w:ascii="Arial" w:eastAsia="仿宋_GB2312" w:hAnsi="Arial" w:hint="eastAsia"/>
          <w:bCs/>
          <w:sz w:val="28"/>
          <w:szCs w:val="28"/>
        </w:rPr>
        <w:t>1.0</w:t>
      </w:r>
      <w:r w:rsidRPr="00A30AB7">
        <w:rPr>
          <w:rFonts w:ascii="Arial" w:eastAsia="仿宋_GB2312" w:hAnsi="Arial" w:hint="eastAsia"/>
          <w:bCs/>
          <w:sz w:val="28"/>
          <w:szCs w:val="28"/>
        </w:rPr>
        <w:t>个和</w:t>
      </w:r>
      <w:r w:rsidRPr="00A30AB7">
        <w:rPr>
          <w:rFonts w:ascii="Arial" w:eastAsia="仿宋_GB2312" w:hAnsi="Arial" w:hint="eastAsia"/>
          <w:bCs/>
          <w:sz w:val="28"/>
          <w:szCs w:val="28"/>
        </w:rPr>
        <w:t>0.6</w:t>
      </w:r>
      <w:r w:rsidRPr="00A30AB7">
        <w:rPr>
          <w:rFonts w:ascii="Arial" w:eastAsia="仿宋_GB2312" w:hAnsi="Arial" w:hint="eastAsia"/>
          <w:bCs/>
          <w:sz w:val="28"/>
          <w:szCs w:val="28"/>
        </w:rPr>
        <w:t>个百分点。四个行业对第三产业增长贡献率超过</w:t>
      </w:r>
      <w:r w:rsidRPr="00A30AB7">
        <w:rPr>
          <w:rFonts w:ascii="Arial" w:eastAsia="仿宋_GB2312" w:hAnsi="Arial" w:hint="eastAsia"/>
          <w:bCs/>
          <w:sz w:val="28"/>
          <w:szCs w:val="28"/>
        </w:rPr>
        <w:t>6</w:t>
      </w:r>
      <w:r w:rsidRPr="00A30AB7">
        <w:rPr>
          <w:rFonts w:ascii="Arial" w:eastAsia="仿宋_GB2312" w:hAnsi="Arial" w:hint="eastAsia"/>
          <w:bCs/>
          <w:sz w:val="28"/>
          <w:szCs w:val="28"/>
        </w:rPr>
        <w:t>成。</w:t>
      </w:r>
    </w:p>
    <w:p w14:paraId="0890C16A"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A30AB7">
        <w:rPr>
          <w:rFonts w:ascii="Arial" w:eastAsia="仿宋_GB2312" w:hAnsi="Arial" w:hint="eastAsia"/>
          <w:bCs/>
          <w:sz w:val="28"/>
          <w:szCs w:val="28"/>
        </w:rPr>
        <w:t>固定资产投资规模继续扩大，制造业和社会领域投资快速增长</w:t>
      </w:r>
    </w:p>
    <w:p w14:paraId="3458A666" w14:textId="77777777" w:rsidR="00A145B3" w:rsidRPr="00A30AB7" w:rsidRDefault="00A145B3" w:rsidP="00A145B3">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市固定资产投资（不含农户）同比增长</w:t>
      </w:r>
      <w:r w:rsidRPr="00A30AB7">
        <w:rPr>
          <w:rFonts w:ascii="Arial" w:eastAsia="仿宋_GB2312" w:hAnsi="Arial" w:hint="eastAsia"/>
          <w:bCs/>
          <w:sz w:val="28"/>
          <w:szCs w:val="28"/>
        </w:rPr>
        <w:t>7.9%</w:t>
      </w:r>
      <w:r w:rsidRPr="00A30AB7">
        <w:rPr>
          <w:rFonts w:ascii="Arial" w:eastAsia="仿宋_GB2312" w:hAnsi="Arial" w:hint="eastAsia"/>
          <w:bCs/>
          <w:sz w:val="28"/>
          <w:szCs w:val="28"/>
        </w:rPr>
        <w:t>，两年平均</w:t>
      </w:r>
      <w:r w:rsidRPr="00A30AB7">
        <w:rPr>
          <w:rFonts w:ascii="Arial" w:eastAsia="仿宋_GB2312" w:hAnsi="Arial" w:hint="eastAsia"/>
          <w:bCs/>
          <w:sz w:val="28"/>
          <w:szCs w:val="28"/>
        </w:rPr>
        <w:lastRenderedPageBreak/>
        <w:t>增长</w:t>
      </w:r>
      <w:r w:rsidRPr="00A30AB7">
        <w:rPr>
          <w:rFonts w:ascii="Arial" w:eastAsia="仿宋_GB2312" w:hAnsi="Arial" w:hint="eastAsia"/>
          <w:bCs/>
          <w:sz w:val="28"/>
          <w:szCs w:val="28"/>
        </w:rPr>
        <w:t>4.8%</w:t>
      </w:r>
      <w:r w:rsidRPr="00A30AB7">
        <w:rPr>
          <w:rFonts w:ascii="Arial" w:eastAsia="仿宋_GB2312" w:hAnsi="Arial" w:hint="eastAsia"/>
          <w:bCs/>
          <w:sz w:val="28"/>
          <w:szCs w:val="28"/>
        </w:rPr>
        <w:t>。分产业看，第一产业投资同比下降</w:t>
      </w:r>
      <w:r w:rsidRPr="00A30AB7">
        <w:rPr>
          <w:rFonts w:ascii="Arial" w:eastAsia="仿宋_GB2312" w:hAnsi="Arial" w:hint="eastAsia"/>
          <w:bCs/>
          <w:sz w:val="28"/>
          <w:szCs w:val="28"/>
        </w:rPr>
        <w:t>64.0%</w:t>
      </w:r>
      <w:r w:rsidRPr="00A30AB7">
        <w:rPr>
          <w:rFonts w:ascii="Arial" w:eastAsia="仿宋_GB2312" w:hAnsi="Arial" w:hint="eastAsia"/>
          <w:bCs/>
          <w:sz w:val="28"/>
          <w:szCs w:val="28"/>
        </w:rPr>
        <w:t>，两年平均下降</w:t>
      </w:r>
      <w:r w:rsidRPr="00A30AB7">
        <w:rPr>
          <w:rFonts w:ascii="Arial" w:eastAsia="仿宋_GB2312" w:hAnsi="Arial" w:hint="eastAsia"/>
          <w:bCs/>
          <w:sz w:val="28"/>
          <w:szCs w:val="28"/>
        </w:rPr>
        <w:t>45.4%</w:t>
      </w:r>
      <w:r w:rsidRPr="00A30AB7">
        <w:rPr>
          <w:rFonts w:ascii="Arial" w:eastAsia="仿宋_GB2312" w:hAnsi="Arial" w:hint="eastAsia"/>
          <w:bCs/>
          <w:sz w:val="28"/>
          <w:szCs w:val="28"/>
        </w:rPr>
        <w:t>；第二产业投资同比增长</w:t>
      </w:r>
      <w:r w:rsidRPr="00A30AB7">
        <w:rPr>
          <w:rFonts w:ascii="Arial" w:eastAsia="仿宋_GB2312" w:hAnsi="Arial" w:hint="eastAsia"/>
          <w:bCs/>
          <w:sz w:val="28"/>
          <w:szCs w:val="28"/>
        </w:rPr>
        <w:t>35.8%</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40.8%</w:t>
      </w:r>
      <w:r w:rsidRPr="00A30AB7">
        <w:rPr>
          <w:rFonts w:ascii="Arial" w:eastAsia="仿宋_GB2312" w:hAnsi="Arial" w:hint="eastAsia"/>
          <w:bCs/>
          <w:sz w:val="28"/>
          <w:szCs w:val="28"/>
        </w:rPr>
        <w:t>；第三产业投资同比增长</w:t>
      </w:r>
      <w:r w:rsidRPr="00A30AB7">
        <w:rPr>
          <w:rFonts w:ascii="Arial" w:eastAsia="仿宋_GB2312" w:hAnsi="Arial" w:hint="eastAsia"/>
          <w:bCs/>
          <w:sz w:val="28"/>
          <w:szCs w:val="28"/>
        </w:rPr>
        <w:t>6.8%</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3.3%</w:t>
      </w:r>
      <w:r w:rsidRPr="00A30AB7">
        <w:rPr>
          <w:rFonts w:ascii="Arial" w:eastAsia="仿宋_GB2312" w:hAnsi="Arial" w:hint="eastAsia"/>
          <w:bCs/>
          <w:sz w:val="28"/>
          <w:szCs w:val="28"/>
        </w:rPr>
        <w:t>。分行业看，制造业投资同比增长</w:t>
      </w:r>
      <w:r w:rsidRPr="00A30AB7">
        <w:rPr>
          <w:rFonts w:ascii="Arial" w:eastAsia="仿宋_GB2312" w:hAnsi="Arial" w:hint="eastAsia"/>
          <w:bCs/>
          <w:sz w:val="28"/>
          <w:szCs w:val="28"/>
        </w:rPr>
        <w:t>64.5%</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81.3%</w:t>
      </w:r>
      <w:r w:rsidRPr="00A30AB7">
        <w:rPr>
          <w:rFonts w:ascii="Arial" w:eastAsia="仿宋_GB2312" w:hAnsi="Arial" w:hint="eastAsia"/>
          <w:bCs/>
          <w:sz w:val="28"/>
          <w:szCs w:val="28"/>
        </w:rPr>
        <w:t>，其中高技术制造业投资同比增长</w:t>
      </w:r>
      <w:r w:rsidRPr="00A30AB7">
        <w:rPr>
          <w:rFonts w:ascii="Arial" w:eastAsia="仿宋_GB2312" w:hAnsi="Arial" w:hint="eastAsia"/>
          <w:bCs/>
          <w:sz w:val="28"/>
          <w:szCs w:val="28"/>
        </w:rPr>
        <w:t>85.7%</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1.1</w:t>
      </w:r>
      <w:r w:rsidRPr="00A30AB7">
        <w:rPr>
          <w:rFonts w:ascii="Arial" w:eastAsia="仿宋_GB2312" w:hAnsi="Arial" w:hint="eastAsia"/>
          <w:bCs/>
          <w:sz w:val="28"/>
          <w:szCs w:val="28"/>
        </w:rPr>
        <w:t>倍；金融业投资同比增长</w:t>
      </w:r>
      <w:r w:rsidRPr="00A30AB7">
        <w:rPr>
          <w:rFonts w:ascii="Arial" w:eastAsia="仿宋_GB2312" w:hAnsi="Arial" w:hint="eastAsia"/>
          <w:bCs/>
          <w:sz w:val="28"/>
          <w:szCs w:val="28"/>
        </w:rPr>
        <w:t>1.2</w:t>
      </w:r>
      <w:r w:rsidRPr="00A30AB7">
        <w:rPr>
          <w:rFonts w:ascii="Arial" w:eastAsia="仿宋_GB2312" w:hAnsi="Arial" w:hint="eastAsia"/>
          <w:bCs/>
          <w:sz w:val="28"/>
          <w:szCs w:val="28"/>
        </w:rPr>
        <w:t>倍，两年平均增长</w:t>
      </w:r>
      <w:r w:rsidRPr="00A30AB7">
        <w:rPr>
          <w:rFonts w:ascii="Arial" w:eastAsia="仿宋_GB2312" w:hAnsi="Arial" w:hint="eastAsia"/>
          <w:bCs/>
          <w:sz w:val="28"/>
          <w:szCs w:val="28"/>
        </w:rPr>
        <w:t>39.3%</w:t>
      </w:r>
      <w:r w:rsidRPr="00A30AB7">
        <w:rPr>
          <w:rFonts w:ascii="Arial" w:eastAsia="仿宋_GB2312" w:hAnsi="Arial" w:hint="eastAsia"/>
          <w:bCs/>
          <w:sz w:val="28"/>
          <w:szCs w:val="28"/>
        </w:rPr>
        <w:t>；社会领域中，卫生和社会工作投资同比增长</w:t>
      </w:r>
      <w:r w:rsidRPr="00A30AB7">
        <w:rPr>
          <w:rFonts w:ascii="Arial" w:eastAsia="仿宋_GB2312" w:hAnsi="Arial" w:hint="eastAsia"/>
          <w:bCs/>
          <w:sz w:val="28"/>
          <w:szCs w:val="28"/>
        </w:rPr>
        <w:t>11.5%</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19.6%</w:t>
      </w:r>
      <w:r w:rsidRPr="00A30AB7">
        <w:rPr>
          <w:rFonts w:ascii="Arial" w:eastAsia="仿宋_GB2312" w:hAnsi="Arial" w:hint="eastAsia"/>
          <w:bCs/>
          <w:sz w:val="28"/>
          <w:szCs w:val="28"/>
        </w:rPr>
        <w:t>。分领域看，基础设施投资同比下降</w:t>
      </w:r>
      <w:r w:rsidRPr="00A30AB7">
        <w:rPr>
          <w:rFonts w:ascii="Arial" w:eastAsia="仿宋_GB2312" w:hAnsi="Arial" w:hint="eastAsia"/>
          <w:bCs/>
          <w:sz w:val="28"/>
          <w:szCs w:val="28"/>
        </w:rPr>
        <w:t>6.2%</w:t>
      </w:r>
      <w:r w:rsidRPr="00A30AB7">
        <w:rPr>
          <w:rFonts w:ascii="Arial" w:eastAsia="仿宋_GB2312" w:hAnsi="Arial" w:hint="eastAsia"/>
          <w:bCs/>
          <w:sz w:val="28"/>
          <w:szCs w:val="28"/>
        </w:rPr>
        <w:t>，降幅连续</w:t>
      </w:r>
      <w:r w:rsidRPr="00A30AB7">
        <w:rPr>
          <w:rFonts w:ascii="Arial" w:eastAsia="仿宋_GB2312" w:hAnsi="Arial" w:hint="eastAsia"/>
          <w:bCs/>
          <w:sz w:val="28"/>
          <w:szCs w:val="28"/>
        </w:rPr>
        <w:t>3</w:t>
      </w:r>
      <w:r w:rsidRPr="00A30AB7">
        <w:rPr>
          <w:rFonts w:ascii="Arial" w:eastAsia="仿宋_GB2312" w:hAnsi="Arial" w:hint="eastAsia"/>
          <w:bCs/>
          <w:sz w:val="28"/>
          <w:szCs w:val="28"/>
        </w:rPr>
        <w:t>个月收窄，两年平均下降</w:t>
      </w:r>
      <w:r w:rsidRPr="00A30AB7">
        <w:rPr>
          <w:rFonts w:ascii="Arial" w:eastAsia="仿宋_GB2312" w:hAnsi="Arial" w:hint="eastAsia"/>
          <w:bCs/>
          <w:sz w:val="28"/>
          <w:szCs w:val="28"/>
        </w:rPr>
        <w:t>13.1%</w:t>
      </w:r>
      <w:r w:rsidRPr="00A30AB7">
        <w:rPr>
          <w:rFonts w:ascii="Arial" w:eastAsia="仿宋_GB2312" w:hAnsi="Arial" w:hint="eastAsia"/>
          <w:bCs/>
          <w:sz w:val="28"/>
          <w:szCs w:val="28"/>
        </w:rPr>
        <w:t>，比上半年收窄</w:t>
      </w:r>
      <w:r w:rsidRPr="00A30AB7">
        <w:rPr>
          <w:rFonts w:ascii="Arial" w:eastAsia="仿宋_GB2312" w:hAnsi="Arial" w:hint="eastAsia"/>
          <w:bCs/>
          <w:sz w:val="28"/>
          <w:szCs w:val="28"/>
        </w:rPr>
        <w:t>3.2</w:t>
      </w:r>
      <w:r w:rsidRPr="00A30AB7">
        <w:rPr>
          <w:rFonts w:ascii="Arial" w:eastAsia="仿宋_GB2312" w:hAnsi="Arial" w:hint="eastAsia"/>
          <w:bCs/>
          <w:sz w:val="28"/>
          <w:szCs w:val="28"/>
        </w:rPr>
        <w:t>个百分点；房地产开发投资同比增长</w:t>
      </w:r>
      <w:r w:rsidRPr="00A30AB7">
        <w:rPr>
          <w:rFonts w:ascii="Arial" w:eastAsia="仿宋_GB2312" w:hAnsi="Arial" w:hint="eastAsia"/>
          <w:bCs/>
          <w:sz w:val="28"/>
          <w:szCs w:val="28"/>
        </w:rPr>
        <w:t>10.8%</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8.6%</w:t>
      </w:r>
      <w:r w:rsidRPr="00A30AB7">
        <w:rPr>
          <w:rFonts w:ascii="Arial" w:eastAsia="仿宋_GB2312" w:hAnsi="Arial" w:hint="eastAsia"/>
          <w:bCs/>
          <w:sz w:val="28"/>
          <w:szCs w:val="28"/>
        </w:rPr>
        <w:t>。</w:t>
      </w:r>
    </w:p>
    <w:p w14:paraId="47F454F2"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截至</w:t>
      </w:r>
      <w:r w:rsidRPr="00A30AB7">
        <w:rPr>
          <w:rFonts w:ascii="Arial" w:eastAsia="仿宋_GB2312" w:hAnsi="Arial" w:hint="eastAsia"/>
          <w:bCs/>
          <w:sz w:val="28"/>
          <w:szCs w:val="28"/>
        </w:rPr>
        <w:t>9</w:t>
      </w:r>
      <w:r w:rsidRPr="00A30AB7">
        <w:rPr>
          <w:rFonts w:ascii="Arial" w:eastAsia="仿宋_GB2312" w:hAnsi="Arial" w:hint="eastAsia"/>
          <w:bCs/>
          <w:sz w:val="28"/>
          <w:szCs w:val="28"/>
        </w:rPr>
        <w:t>月末，</w:t>
      </w:r>
      <w:r>
        <w:rPr>
          <w:rFonts w:ascii="Arial" w:eastAsia="仿宋_GB2312" w:hAnsi="Arial" w:hint="eastAsia"/>
          <w:bCs/>
          <w:sz w:val="28"/>
          <w:szCs w:val="28"/>
        </w:rPr>
        <w:t>北京</w:t>
      </w:r>
      <w:r w:rsidRPr="00A30AB7">
        <w:rPr>
          <w:rFonts w:ascii="Arial" w:eastAsia="仿宋_GB2312" w:hAnsi="Arial" w:hint="eastAsia"/>
          <w:bCs/>
          <w:sz w:val="28"/>
          <w:szCs w:val="28"/>
        </w:rPr>
        <w:t>市商品房施工面积</w:t>
      </w:r>
      <w:r w:rsidRPr="00A30AB7">
        <w:rPr>
          <w:rFonts w:ascii="Arial" w:eastAsia="仿宋_GB2312" w:hAnsi="Arial" w:hint="eastAsia"/>
          <w:bCs/>
          <w:sz w:val="28"/>
          <w:szCs w:val="28"/>
        </w:rPr>
        <w:t>13509.5</w:t>
      </w:r>
      <w:r w:rsidRPr="00A30AB7">
        <w:rPr>
          <w:rFonts w:ascii="Arial" w:eastAsia="仿宋_GB2312" w:hAnsi="Arial" w:hint="eastAsia"/>
          <w:bCs/>
          <w:sz w:val="28"/>
          <w:szCs w:val="28"/>
        </w:rPr>
        <w:t>万平方米，同比增长</w:t>
      </w:r>
      <w:r w:rsidRPr="00A30AB7">
        <w:rPr>
          <w:rFonts w:ascii="Arial" w:eastAsia="仿宋_GB2312" w:hAnsi="Arial" w:hint="eastAsia"/>
          <w:bCs/>
          <w:sz w:val="28"/>
          <w:szCs w:val="28"/>
        </w:rPr>
        <w:t>3.4%</w:t>
      </w:r>
      <w:r w:rsidRPr="00A30AB7">
        <w:rPr>
          <w:rFonts w:ascii="Arial" w:eastAsia="仿宋_GB2312" w:hAnsi="Arial" w:hint="eastAsia"/>
          <w:bCs/>
          <w:sz w:val="28"/>
          <w:szCs w:val="28"/>
        </w:rPr>
        <w:t>，其中住宅施工面积</w:t>
      </w:r>
      <w:r w:rsidRPr="00A30AB7">
        <w:rPr>
          <w:rFonts w:ascii="Arial" w:eastAsia="仿宋_GB2312" w:hAnsi="Arial" w:hint="eastAsia"/>
          <w:bCs/>
          <w:sz w:val="28"/>
          <w:szCs w:val="28"/>
        </w:rPr>
        <w:t>6591.6</w:t>
      </w:r>
      <w:r w:rsidRPr="00A30AB7">
        <w:rPr>
          <w:rFonts w:ascii="Arial" w:eastAsia="仿宋_GB2312" w:hAnsi="Arial" w:hint="eastAsia"/>
          <w:bCs/>
          <w:sz w:val="28"/>
          <w:szCs w:val="28"/>
        </w:rPr>
        <w:t>万平方米，增长</w:t>
      </w:r>
      <w:r w:rsidRPr="00A30AB7">
        <w:rPr>
          <w:rFonts w:ascii="Arial" w:eastAsia="仿宋_GB2312" w:hAnsi="Arial" w:hint="eastAsia"/>
          <w:bCs/>
          <w:sz w:val="28"/>
          <w:szCs w:val="28"/>
        </w:rPr>
        <w:t>6.0%</w:t>
      </w:r>
      <w:r w:rsidRPr="00A30AB7">
        <w:rPr>
          <w:rFonts w:ascii="Arial" w:eastAsia="仿宋_GB2312" w:hAnsi="Arial" w:hint="eastAsia"/>
          <w:bCs/>
          <w:sz w:val="28"/>
          <w:szCs w:val="28"/>
        </w:rPr>
        <w:t>。</w:t>
      </w:r>
      <w:r w:rsidRPr="00A30AB7">
        <w:rPr>
          <w:rFonts w:ascii="Arial" w:eastAsia="仿宋_GB2312" w:hAnsi="Arial" w:hint="eastAsia"/>
          <w:bCs/>
          <w:sz w:val="28"/>
          <w:szCs w:val="28"/>
        </w:rPr>
        <w:t>1-3</w:t>
      </w:r>
      <w:r w:rsidRPr="00A30AB7">
        <w:rPr>
          <w:rFonts w:ascii="Arial" w:eastAsia="仿宋_GB2312" w:hAnsi="Arial" w:hint="eastAsia"/>
          <w:bCs/>
          <w:sz w:val="28"/>
          <w:szCs w:val="28"/>
        </w:rPr>
        <w:t>季度，全市商品房销售面积</w:t>
      </w:r>
      <w:r w:rsidRPr="00A30AB7">
        <w:rPr>
          <w:rFonts w:ascii="Arial" w:eastAsia="仿宋_GB2312" w:hAnsi="Arial" w:hint="eastAsia"/>
          <w:bCs/>
          <w:sz w:val="28"/>
          <w:szCs w:val="28"/>
        </w:rPr>
        <w:t>777.4</w:t>
      </w:r>
      <w:r w:rsidRPr="00A30AB7">
        <w:rPr>
          <w:rFonts w:ascii="Arial" w:eastAsia="仿宋_GB2312" w:hAnsi="Arial" w:hint="eastAsia"/>
          <w:bCs/>
          <w:sz w:val="28"/>
          <w:szCs w:val="28"/>
        </w:rPr>
        <w:t>万平方米，同比增长</w:t>
      </w:r>
      <w:r w:rsidRPr="00A30AB7">
        <w:rPr>
          <w:rFonts w:ascii="Arial" w:eastAsia="仿宋_GB2312" w:hAnsi="Arial" w:hint="eastAsia"/>
          <w:bCs/>
          <w:sz w:val="28"/>
          <w:szCs w:val="28"/>
        </w:rPr>
        <w:t>28.2%</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15.3%</w:t>
      </w:r>
      <w:r w:rsidRPr="00A30AB7">
        <w:rPr>
          <w:rFonts w:ascii="Arial" w:eastAsia="仿宋_GB2312" w:hAnsi="Arial" w:hint="eastAsia"/>
          <w:bCs/>
          <w:sz w:val="28"/>
          <w:szCs w:val="28"/>
        </w:rPr>
        <w:t>，其中住宅销售面积</w:t>
      </w:r>
      <w:r w:rsidRPr="00A30AB7">
        <w:rPr>
          <w:rFonts w:ascii="Arial" w:eastAsia="仿宋_GB2312" w:hAnsi="Arial" w:hint="eastAsia"/>
          <w:bCs/>
          <w:sz w:val="28"/>
          <w:szCs w:val="28"/>
        </w:rPr>
        <w:t>638.9</w:t>
      </w:r>
      <w:r w:rsidRPr="00A30AB7">
        <w:rPr>
          <w:rFonts w:ascii="Arial" w:eastAsia="仿宋_GB2312" w:hAnsi="Arial" w:hint="eastAsia"/>
          <w:bCs/>
          <w:sz w:val="28"/>
          <w:szCs w:val="28"/>
        </w:rPr>
        <w:t>万平方米，同比增长</w:t>
      </w:r>
      <w:r w:rsidRPr="00A30AB7">
        <w:rPr>
          <w:rFonts w:ascii="Arial" w:eastAsia="仿宋_GB2312" w:hAnsi="Arial" w:hint="eastAsia"/>
          <w:bCs/>
          <w:sz w:val="28"/>
          <w:szCs w:val="28"/>
        </w:rPr>
        <w:t>34.7%</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13.6%</w:t>
      </w:r>
      <w:r w:rsidRPr="00A30AB7">
        <w:rPr>
          <w:rFonts w:ascii="Arial" w:eastAsia="仿宋_GB2312" w:hAnsi="Arial" w:hint="eastAsia"/>
          <w:bCs/>
          <w:sz w:val="28"/>
          <w:szCs w:val="28"/>
        </w:rPr>
        <w:t>。</w:t>
      </w:r>
    </w:p>
    <w:p w14:paraId="036BA31B"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A30AB7">
        <w:rPr>
          <w:rFonts w:ascii="Arial" w:eastAsia="仿宋_GB2312" w:hAnsi="Arial" w:hint="eastAsia"/>
          <w:bCs/>
          <w:sz w:val="28"/>
          <w:szCs w:val="28"/>
        </w:rPr>
        <w:t>市场消费逐步恢复，网上消费保持活跃</w:t>
      </w:r>
    </w:p>
    <w:p w14:paraId="535CF875"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市市场总消费额同比增长</w:t>
      </w:r>
      <w:r w:rsidRPr="00A30AB7">
        <w:rPr>
          <w:rFonts w:ascii="Arial" w:eastAsia="仿宋_GB2312" w:hAnsi="Arial" w:hint="eastAsia"/>
          <w:bCs/>
          <w:sz w:val="28"/>
          <w:szCs w:val="28"/>
        </w:rPr>
        <w:t>16.8%</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2.4%</w:t>
      </w:r>
      <w:r w:rsidRPr="00A30AB7">
        <w:rPr>
          <w:rFonts w:ascii="Arial" w:eastAsia="仿宋_GB2312" w:hAnsi="Arial" w:hint="eastAsia"/>
          <w:bCs/>
          <w:sz w:val="28"/>
          <w:szCs w:val="28"/>
        </w:rPr>
        <w:t>。其中，服务性消费额同比增长</w:t>
      </w:r>
      <w:r w:rsidRPr="00A30AB7">
        <w:rPr>
          <w:rFonts w:ascii="Arial" w:eastAsia="仿宋_GB2312" w:hAnsi="Arial" w:hint="eastAsia"/>
          <w:bCs/>
          <w:sz w:val="28"/>
          <w:szCs w:val="28"/>
        </w:rPr>
        <w:t>19.2%</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4.9%</w:t>
      </w:r>
      <w:r w:rsidRPr="00A30AB7">
        <w:rPr>
          <w:rFonts w:ascii="Arial" w:eastAsia="仿宋_GB2312" w:hAnsi="Arial" w:hint="eastAsia"/>
          <w:bCs/>
          <w:sz w:val="28"/>
          <w:szCs w:val="28"/>
        </w:rPr>
        <w:t>；实现社会消费品零售总额</w:t>
      </w:r>
      <w:r w:rsidRPr="00A30AB7">
        <w:rPr>
          <w:rFonts w:ascii="Arial" w:eastAsia="仿宋_GB2312" w:hAnsi="Arial" w:hint="eastAsia"/>
          <w:bCs/>
          <w:sz w:val="28"/>
          <w:szCs w:val="28"/>
        </w:rPr>
        <w:t>10701.6</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14.0%</w:t>
      </w:r>
      <w:r w:rsidRPr="00A30AB7">
        <w:rPr>
          <w:rFonts w:ascii="Arial" w:eastAsia="仿宋_GB2312" w:hAnsi="Arial" w:hint="eastAsia"/>
          <w:bCs/>
          <w:sz w:val="28"/>
          <w:szCs w:val="28"/>
        </w:rPr>
        <w:t>，两年平均下降</w:t>
      </w:r>
      <w:r w:rsidRPr="00A30AB7">
        <w:rPr>
          <w:rFonts w:ascii="Arial" w:eastAsia="仿宋_GB2312" w:hAnsi="Arial" w:hint="eastAsia"/>
          <w:bCs/>
          <w:sz w:val="28"/>
          <w:szCs w:val="28"/>
        </w:rPr>
        <w:t>0.5%</w:t>
      </w:r>
      <w:r w:rsidRPr="00A30AB7">
        <w:rPr>
          <w:rFonts w:ascii="Arial" w:eastAsia="仿宋_GB2312" w:hAnsi="Arial" w:hint="eastAsia"/>
          <w:bCs/>
          <w:sz w:val="28"/>
          <w:szCs w:val="28"/>
        </w:rPr>
        <w:t>。分商品类别看，限额以上批发和零售业中，与基本生活消费相关的饮料类、服装鞋帽针纺织类商品零售额同比分别增长</w:t>
      </w:r>
      <w:r w:rsidRPr="00A30AB7">
        <w:rPr>
          <w:rFonts w:ascii="Arial" w:eastAsia="仿宋_GB2312" w:hAnsi="Arial" w:hint="eastAsia"/>
          <w:bCs/>
          <w:sz w:val="28"/>
          <w:szCs w:val="28"/>
        </w:rPr>
        <w:t>43.9%</w:t>
      </w:r>
      <w:r w:rsidRPr="00A30AB7">
        <w:rPr>
          <w:rFonts w:ascii="Arial" w:eastAsia="仿宋_GB2312" w:hAnsi="Arial" w:hint="eastAsia"/>
          <w:bCs/>
          <w:sz w:val="28"/>
          <w:szCs w:val="28"/>
        </w:rPr>
        <w:t>和</w:t>
      </w:r>
      <w:r w:rsidRPr="00A30AB7">
        <w:rPr>
          <w:rFonts w:ascii="Arial" w:eastAsia="仿宋_GB2312" w:hAnsi="Arial" w:hint="eastAsia"/>
          <w:bCs/>
          <w:sz w:val="28"/>
          <w:szCs w:val="28"/>
        </w:rPr>
        <w:t>32.3%</w:t>
      </w:r>
      <w:r w:rsidRPr="00A30AB7">
        <w:rPr>
          <w:rFonts w:ascii="Arial" w:eastAsia="仿宋_GB2312" w:hAnsi="Arial" w:hint="eastAsia"/>
          <w:bCs/>
          <w:sz w:val="28"/>
          <w:szCs w:val="28"/>
        </w:rPr>
        <w:t>；与升级类消费相关的文化办公用品类、通讯器材类商品零售额同比分别增长</w:t>
      </w:r>
      <w:r w:rsidRPr="00A30AB7">
        <w:rPr>
          <w:rFonts w:ascii="Arial" w:eastAsia="仿宋_GB2312" w:hAnsi="Arial" w:hint="eastAsia"/>
          <w:bCs/>
          <w:sz w:val="28"/>
          <w:szCs w:val="28"/>
        </w:rPr>
        <w:t>27.9%</w:t>
      </w:r>
      <w:r w:rsidRPr="00A30AB7">
        <w:rPr>
          <w:rFonts w:ascii="Arial" w:eastAsia="仿宋_GB2312" w:hAnsi="Arial" w:hint="eastAsia"/>
          <w:bCs/>
          <w:sz w:val="28"/>
          <w:szCs w:val="28"/>
        </w:rPr>
        <w:t>和</w:t>
      </w:r>
      <w:r w:rsidRPr="00A30AB7">
        <w:rPr>
          <w:rFonts w:ascii="Arial" w:eastAsia="仿宋_GB2312" w:hAnsi="Arial" w:hint="eastAsia"/>
          <w:bCs/>
          <w:sz w:val="28"/>
          <w:szCs w:val="28"/>
        </w:rPr>
        <w:t>21.3%</w:t>
      </w:r>
      <w:r w:rsidRPr="00A30AB7">
        <w:rPr>
          <w:rFonts w:ascii="Arial" w:eastAsia="仿宋_GB2312" w:hAnsi="Arial" w:hint="eastAsia"/>
          <w:bCs/>
          <w:sz w:val="28"/>
          <w:szCs w:val="28"/>
        </w:rPr>
        <w:t>。</w:t>
      </w:r>
      <w:r w:rsidRPr="00A30AB7">
        <w:rPr>
          <w:rFonts w:ascii="Arial" w:eastAsia="仿宋_GB2312" w:hAnsi="Arial" w:hint="eastAsia"/>
          <w:bCs/>
          <w:sz w:val="28"/>
          <w:szCs w:val="28"/>
        </w:rPr>
        <w:t>1-3</w:t>
      </w:r>
      <w:r w:rsidRPr="00A30AB7">
        <w:rPr>
          <w:rFonts w:ascii="Arial" w:eastAsia="仿宋_GB2312" w:hAnsi="Arial" w:hint="eastAsia"/>
          <w:bCs/>
          <w:sz w:val="28"/>
          <w:szCs w:val="28"/>
        </w:rPr>
        <w:t>季度，限额以上批发和零售业、住宿和餐饮业实现网上零售额</w:t>
      </w:r>
      <w:r w:rsidRPr="00A30AB7">
        <w:rPr>
          <w:rFonts w:ascii="Arial" w:eastAsia="仿宋_GB2312" w:hAnsi="Arial" w:hint="eastAsia"/>
          <w:bCs/>
          <w:sz w:val="28"/>
          <w:szCs w:val="28"/>
        </w:rPr>
        <w:t>3614.2</w:t>
      </w:r>
      <w:r w:rsidRPr="00A30AB7">
        <w:rPr>
          <w:rFonts w:ascii="Arial" w:eastAsia="仿宋_GB2312" w:hAnsi="Arial" w:hint="eastAsia"/>
          <w:bCs/>
          <w:sz w:val="28"/>
          <w:szCs w:val="28"/>
        </w:rPr>
        <w:t>亿元，同</w:t>
      </w:r>
      <w:r w:rsidRPr="00A30AB7">
        <w:rPr>
          <w:rFonts w:ascii="Arial" w:eastAsia="仿宋_GB2312" w:hAnsi="Arial" w:hint="eastAsia"/>
          <w:bCs/>
          <w:sz w:val="28"/>
          <w:szCs w:val="28"/>
        </w:rPr>
        <w:lastRenderedPageBreak/>
        <w:t>比增长</w:t>
      </w:r>
      <w:r w:rsidRPr="00A30AB7">
        <w:rPr>
          <w:rFonts w:ascii="Arial" w:eastAsia="仿宋_GB2312" w:hAnsi="Arial" w:hint="eastAsia"/>
          <w:bCs/>
          <w:sz w:val="28"/>
          <w:szCs w:val="28"/>
        </w:rPr>
        <w:t>20.7%</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23.0%</w:t>
      </w:r>
      <w:r w:rsidRPr="00A30AB7">
        <w:rPr>
          <w:rFonts w:ascii="Arial" w:eastAsia="仿宋_GB2312" w:hAnsi="Arial" w:hint="eastAsia"/>
          <w:bCs/>
          <w:sz w:val="28"/>
          <w:szCs w:val="28"/>
        </w:rPr>
        <w:t>。</w:t>
      </w:r>
    </w:p>
    <w:p w14:paraId="30B47C71"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A30AB7">
        <w:rPr>
          <w:rFonts w:ascii="Arial" w:eastAsia="仿宋_GB2312" w:hAnsi="Arial" w:hint="eastAsia"/>
          <w:bCs/>
          <w:sz w:val="28"/>
          <w:szCs w:val="28"/>
        </w:rPr>
        <w:t>消费价格涨势温和，生产价格保持上涨</w:t>
      </w:r>
    </w:p>
    <w:p w14:paraId="1716D006" w14:textId="77777777" w:rsidR="00A145B3" w:rsidRPr="00A30AB7" w:rsidRDefault="00A145B3" w:rsidP="00A145B3">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市居民消费价格同比上涨</w:t>
      </w:r>
      <w:r w:rsidRPr="00A30AB7">
        <w:rPr>
          <w:rFonts w:ascii="Arial" w:eastAsia="仿宋_GB2312" w:hAnsi="Arial" w:hint="eastAsia"/>
          <w:bCs/>
          <w:sz w:val="28"/>
          <w:szCs w:val="28"/>
        </w:rPr>
        <w:t>0.8%</w:t>
      </w:r>
      <w:r w:rsidRPr="00A30AB7">
        <w:rPr>
          <w:rFonts w:ascii="Arial" w:eastAsia="仿宋_GB2312" w:hAnsi="Arial" w:hint="eastAsia"/>
          <w:bCs/>
          <w:sz w:val="28"/>
          <w:szCs w:val="28"/>
        </w:rPr>
        <w:t>。其中，消费品价格上涨</w:t>
      </w:r>
      <w:r w:rsidRPr="00A30AB7">
        <w:rPr>
          <w:rFonts w:ascii="Arial" w:eastAsia="仿宋_GB2312" w:hAnsi="Arial" w:hint="eastAsia"/>
          <w:bCs/>
          <w:sz w:val="28"/>
          <w:szCs w:val="28"/>
        </w:rPr>
        <w:t>0.5%</w:t>
      </w:r>
      <w:r w:rsidRPr="00A30AB7">
        <w:rPr>
          <w:rFonts w:ascii="Arial" w:eastAsia="仿宋_GB2312" w:hAnsi="Arial" w:hint="eastAsia"/>
          <w:bCs/>
          <w:sz w:val="28"/>
          <w:szCs w:val="28"/>
        </w:rPr>
        <w:t>，服务价格上涨</w:t>
      </w:r>
      <w:r w:rsidRPr="00A30AB7">
        <w:rPr>
          <w:rFonts w:ascii="Arial" w:eastAsia="仿宋_GB2312" w:hAnsi="Arial" w:hint="eastAsia"/>
          <w:bCs/>
          <w:sz w:val="28"/>
          <w:szCs w:val="28"/>
        </w:rPr>
        <w:t>1.1%</w:t>
      </w:r>
      <w:r w:rsidRPr="00A30AB7">
        <w:rPr>
          <w:rFonts w:ascii="Arial" w:eastAsia="仿宋_GB2312" w:hAnsi="Arial" w:hint="eastAsia"/>
          <w:bCs/>
          <w:sz w:val="28"/>
          <w:szCs w:val="28"/>
        </w:rPr>
        <w:t>。八大类商品和服务项目价格“四升四降”：交通通信类价格上涨</w:t>
      </w:r>
      <w:r w:rsidRPr="00A30AB7">
        <w:rPr>
          <w:rFonts w:ascii="Arial" w:eastAsia="仿宋_GB2312" w:hAnsi="Arial" w:hint="eastAsia"/>
          <w:bCs/>
          <w:sz w:val="28"/>
          <w:szCs w:val="28"/>
        </w:rPr>
        <w:t>4.4%</w:t>
      </w:r>
      <w:r w:rsidRPr="00A30AB7">
        <w:rPr>
          <w:rFonts w:ascii="Arial" w:eastAsia="仿宋_GB2312" w:hAnsi="Arial" w:hint="eastAsia"/>
          <w:bCs/>
          <w:sz w:val="28"/>
          <w:szCs w:val="28"/>
        </w:rPr>
        <w:t>，居住类价格上涨</w:t>
      </w:r>
      <w:r w:rsidRPr="00A30AB7">
        <w:rPr>
          <w:rFonts w:ascii="Arial" w:eastAsia="仿宋_GB2312" w:hAnsi="Arial" w:hint="eastAsia"/>
          <w:bCs/>
          <w:sz w:val="28"/>
          <w:szCs w:val="28"/>
        </w:rPr>
        <w:t>1.0%</w:t>
      </w:r>
      <w:r w:rsidRPr="00A30AB7">
        <w:rPr>
          <w:rFonts w:ascii="Arial" w:eastAsia="仿宋_GB2312" w:hAnsi="Arial" w:hint="eastAsia"/>
          <w:bCs/>
          <w:sz w:val="28"/>
          <w:szCs w:val="28"/>
        </w:rPr>
        <w:t>，教育文化娱乐类价格上涨</w:t>
      </w:r>
      <w:r w:rsidRPr="00A30AB7">
        <w:rPr>
          <w:rFonts w:ascii="Arial" w:eastAsia="仿宋_GB2312" w:hAnsi="Arial" w:hint="eastAsia"/>
          <w:bCs/>
          <w:sz w:val="28"/>
          <w:szCs w:val="28"/>
        </w:rPr>
        <w:t>0.5%</w:t>
      </w:r>
      <w:r w:rsidRPr="00A30AB7">
        <w:rPr>
          <w:rFonts w:ascii="Arial" w:eastAsia="仿宋_GB2312" w:hAnsi="Arial" w:hint="eastAsia"/>
          <w:bCs/>
          <w:sz w:val="28"/>
          <w:szCs w:val="28"/>
        </w:rPr>
        <w:t>，其他用品和服务类价格上涨</w:t>
      </w:r>
      <w:r w:rsidRPr="00A30AB7">
        <w:rPr>
          <w:rFonts w:ascii="Arial" w:eastAsia="仿宋_GB2312" w:hAnsi="Arial" w:hint="eastAsia"/>
          <w:bCs/>
          <w:sz w:val="28"/>
          <w:szCs w:val="28"/>
        </w:rPr>
        <w:t>0.1%</w:t>
      </w:r>
      <w:r w:rsidRPr="00A30AB7">
        <w:rPr>
          <w:rFonts w:ascii="Arial" w:eastAsia="仿宋_GB2312" w:hAnsi="Arial" w:hint="eastAsia"/>
          <w:bCs/>
          <w:sz w:val="28"/>
          <w:szCs w:val="28"/>
        </w:rPr>
        <w:t>；医疗保健类价格下降</w:t>
      </w:r>
      <w:r w:rsidRPr="00A30AB7">
        <w:rPr>
          <w:rFonts w:ascii="Arial" w:eastAsia="仿宋_GB2312" w:hAnsi="Arial" w:hint="eastAsia"/>
          <w:bCs/>
          <w:sz w:val="28"/>
          <w:szCs w:val="28"/>
        </w:rPr>
        <w:t>0.5%,</w:t>
      </w:r>
      <w:r w:rsidRPr="00A30AB7">
        <w:rPr>
          <w:rFonts w:ascii="Arial" w:eastAsia="仿宋_GB2312" w:hAnsi="Arial" w:hint="eastAsia"/>
          <w:bCs/>
          <w:sz w:val="28"/>
          <w:szCs w:val="28"/>
        </w:rPr>
        <w:t>衣着类价格下降</w:t>
      </w:r>
      <w:r w:rsidRPr="00A30AB7">
        <w:rPr>
          <w:rFonts w:ascii="Arial" w:eastAsia="仿宋_GB2312" w:hAnsi="Arial" w:hint="eastAsia"/>
          <w:bCs/>
          <w:sz w:val="28"/>
          <w:szCs w:val="28"/>
        </w:rPr>
        <w:t>0.3%</w:t>
      </w:r>
      <w:r w:rsidRPr="00A30AB7">
        <w:rPr>
          <w:rFonts w:ascii="Arial" w:eastAsia="仿宋_GB2312" w:hAnsi="Arial" w:hint="eastAsia"/>
          <w:bCs/>
          <w:sz w:val="28"/>
          <w:szCs w:val="28"/>
        </w:rPr>
        <w:t>，生活用品及服务类价格下降</w:t>
      </w:r>
      <w:r w:rsidRPr="00A30AB7">
        <w:rPr>
          <w:rFonts w:ascii="Arial" w:eastAsia="仿宋_GB2312" w:hAnsi="Arial" w:hint="eastAsia"/>
          <w:bCs/>
          <w:sz w:val="28"/>
          <w:szCs w:val="28"/>
        </w:rPr>
        <w:t>0.3%</w:t>
      </w:r>
      <w:r w:rsidRPr="00A30AB7">
        <w:rPr>
          <w:rFonts w:ascii="Arial" w:eastAsia="仿宋_GB2312" w:hAnsi="Arial" w:hint="eastAsia"/>
          <w:bCs/>
          <w:sz w:val="28"/>
          <w:szCs w:val="28"/>
        </w:rPr>
        <w:t>，食品烟酒类价格下降</w:t>
      </w:r>
      <w:r w:rsidRPr="00A30AB7">
        <w:rPr>
          <w:rFonts w:ascii="Arial" w:eastAsia="仿宋_GB2312" w:hAnsi="Arial" w:hint="eastAsia"/>
          <w:bCs/>
          <w:sz w:val="28"/>
          <w:szCs w:val="28"/>
        </w:rPr>
        <w:t>0.2%</w:t>
      </w:r>
      <w:r w:rsidRPr="00A30AB7">
        <w:rPr>
          <w:rFonts w:ascii="Arial" w:eastAsia="仿宋_GB2312" w:hAnsi="Arial" w:hint="eastAsia"/>
          <w:bCs/>
          <w:sz w:val="28"/>
          <w:szCs w:val="28"/>
        </w:rPr>
        <w:t>。</w:t>
      </w:r>
      <w:r w:rsidRPr="00A30AB7">
        <w:rPr>
          <w:rFonts w:ascii="Arial" w:eastAsia="仿宋_GB2312" w:hAnsi="Arial" w:hint="eastAsia"/>
          <w:bCs/>
          <w:sz w:val="28"/>
          <w:szCs w:val="28"/>
        </w:rPr>
        <w:t>9</w:t>
      </w:r>
      <w:r w:rsidRPr="00A30AB7">
        <w:rPr>
          <w:rFonts w:ascii="Arial" w:eastAsia="仿宋_GB2312" w:hAnsi="Arial" w:hint="eastAsia"/>
          <w:bCs/>
          <w:sz w:val="28"/>
          <w:szCs w:val="28"/>
        </w:rPr>
        <w:t>月份，居民消费价格同比上涨</w:t>
      </w:r>
      <w:r w:rsidRPr="00A30AB7">
        <w:rPr>
          <w:rFonts w:ascii="Arial" w:eastAsia="仿宋_GB2312" w:hAnsi="Arial" w:hint="eastAsia"/>
          <w:bCs/>
          <w:sz w:val="28"/>
          <w:szCs w:val="28"/>
        </w:rPr>
        <w:t>1.2%</w:t>
      </w:r>
      <w:r w:rsidRPr="00A30AB7">
        <w:rPr>
          <w:rFonts w:ascii="Arial" w:eastAsia="仿宋_GB2312" w:hAnsi="Arial" w:hint="eastAsia"/>
          <w:bCs/>
          <w:sz w:val="28"/>
          <w:szCs w:val="28"/>
        </w:rPr>
        <w:t>，涨幅比上月回落</w:t>
      </w:r>
      <w:r w:rsidRPr="00A30AB7">
        <w:rPr>
          <w:rFonts w:ascii="Arial" w:eastAsia="仿宋_GB2312" w:hAnsi="Arial" w:hint="eastAsia"/>
          <w:bCs/>
          <w:sz w:val="28"/>
          <w:szCs w:val="28"/>
        </w:rPr>
        <w:t>0.2</w:t>
      </w:r>
      <w:r w:rsidRPr="00A30AB7">
        <w:rPr>
          <w:rFonts w:ascii="Arial" w:eastAsia="仿宋_GB2312" w:hAnsi="Arial" w:hint="eastAsia"/>
          <w:bCs/>
          <w:sz w:val="28"/>
          <w:szCs w:val="28"/>
        </w:rPr>
        <w:t>个百分点；环比下降</w:t>
      </w:r>
      <w:r w:rsidRPr="00A30AB7">
        <w:rPr>
          <w:rFonts w:ascii="Arial" w:eastAsia="仿宋_GB2312" w:hAnsi="Arial" w:hint="eastAsia"/>
          <w:bCs/>
          <w:sz w:val="28"/>
          <w:szCs w:val="28"/>
        </w:rPr>
        <w:t>0.1%</w:t>
      </w:r>
      <w:r w:rsidRPr="00A30AB7">
        <w:rPr>
          <w:rFonts w:ascii="Arial" w:eastAsia="仿宋_GB2312" w:hAnsi="Arial" w:hint="eastAsia"/>
          <w:bCs/>
          <w:sz w:val="28"/>
          <w:szCs w:val="28"/>
        </w:rPr>
        <w:t>。</w:t>
      </w:r>
    </w:p>
    <w:p w14:paraId="613728E8" w14:textId="77777777" w:rsidR="00A145B3" w:rsidRDefault="00A145B3" w:rsidP="00A145B3">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市工业生产者出厂价格同比上涨</w:t>
      </w:r>
      <w:r w:rsidRPr="00A30AB7">
        <w:rPr>
          <w:rFonts w:ascii="Arial" w:eastAsia="仿宋_GB2312" w:hAnsi="Arial" w:hint="eastAsia"/>
          <w:bCs/>
          <w:sz w:val="28"/>
          <w:szCs w:val="28"/>
        </w:rPr>
        <w:t>0.9%</w:t>
      </w:r>
      <w:r w:rsidRPr="00A30AB7">
        <w:rPr>
          <w:rFonts w:ascii="Arial" w:eastAsia="仿宋_GB2312" w:hAnsi="Arial" w:hint="eastAsia"/>
          <w:bCs/>
          <w:sz w:val="28"/>
          <w:szCs w:val="28"/>
        </w:rPr>
        <w:t>，购进价格同比上涨</w:t>
      </w:r>
      <w:r w:rsidRPr="00A30AB7">
        <w:rPr>
          <w:rFonts w:ascii="Arial" w:eastAsia="仿宋_GB2312" w:hAnsi="Arial" w:hint="eastAsia"/>
          <w:bCs/>
          <w:sz w:val="28"/>
          <w:szCs w:val="28"/>
        </w:rPr>
        <w:t>2.6%</w:t>
      </w:r>
      <w:r w:rsidRPr="00A30AB7">
        <w:rPr>
          <w:rFonts w:ascii="Arial" w:eastAsia="仿宋_GB2312" w:hAnsi="Arial" w:hint="eastAsia"/>
          <w:bCs/>
          <w:sz w:val="28"/>
          <w:szCs w:val="28"/>
        </w:rPr>
        <w:t>。</w:t>
      </w:r>
      <w:r w:rsidRPr="00A30AB7">
        <w:rPr>
          <w:rFonts w:ascii="Arial" w:eastAsia="仿宋_GB2312" w:hAnsi="Arial" w:hint="eastAsia"/>
          <w:bCs/>
          <w:sz w:val="28"/>
          <w:szCs w:val="28"/>
        </w:rPr>
        <w:t>9</w:t>
      </w:r>
      <w:r w:rsidRPr="00A30AB7">
        <w:rPr>
          <w:rFonts w:ascii="Arial" w:eastAsia="仿宋_GB2312" w:hAnsi="Arial" w:hint="eastAsia"/>
          <w:bCs/>
          <w:sz w:val="28"/>
          <w:szCs w:val="28"/>
        </w:rPr>
        <w:t>月份，工业生产者出厂价格同比上涨</w:t>
      </w:r>
      <w:r w:rsidRPr="00A30AB7">
        <w:rPr>
          <w:rFonts w:ascii="Arial" w:eastAsia="仿宋_GB2312" w:hAnsi="Arial" w:hint="eastAsia"/>
          <w:bCs/>
          <w:sz w:val="28"/>
          <w:szCs w:val="28"/>
        </w:rPr>
        <w:t>1.6%</w:t>
      </w:r>
      <w:r w:rsidRPr="00A30AB7">
        <w:rPr>
          <w:rFonts w:ascii="Arial" w:eastAsia="仿宋_GB2312" w:hAnsi="Arial" w:hint="eastAsia"/>
          <w:bCs/>
          <w:sz w:val="28"/>
          <w:szCs w:val="28"/>
        </w:rPr>
        <w:t>，环比下降</w:t>
      </w:r>
      <w:r w:rsidRPr="00A30AB7">
        <w:rPr>
          <w:rFonts w:ascii="Arial" w:eastAsia="仿宋_GB2312" w:hAnsi="Arial" w:hint="eastAsia"/>
          <w:bCs/>
          <w:sz w:val="28"/>
          <w:szCs w:val="28"/>
        </w:rPr>
        <w:t>0.1%</w:t>
      </w:r>
      <w:r w:rsidRPr="00A30AB7">
        <w:rPr>
          <w:rFonts w:ascii="Arial" w:eastAsia="仿宋_GB2312" w:hAnsi="Arial" w:hint="eastAsia"/>
          <w:bCs/>
          <w:sz w:val="28"/>
          <w:szCs w:val="28"/>
        </w:rPr>
        <w:t>；购进价格同比上涨</w:t>
      </w:r>
      <w:r w:rsidRPr="00A30AB7">
        <w:rPr>
          <w:rFonts w:ascii="Arial" w:eastAsia="仿宋_GB2312" w:hAnsi="Arial" w:hint="eastAsia"/>
          <w:bCs/>
          <w:sz w:val="28"/>
          <w:szCs w:val="28"/>
        </w:rPr>
        <w:t>6.0%</w:t>
      </w:r>
      <w:r w:rsidRPr="00A30AB7">
        <w:rPr>
          <w:rFonts w:ascii="Arial" w:eastAsia="仿宋_GB2312" w:hAnsi="Arial" w:hint="eastAsia"/>
          <w:bCs/>
          <w:sz w:val="28"/>
          <w:szCs w:val="28"/>
        </w:rPr>
        <w:t>，环比上涨</w:t>
      </w:r>
      <w:r w:rsidRPr="00A30AB7">
        <w:rPr>
          <w:rFonts w:ascii="Arial" w:eastAsia="仿宋_GB2312" w:hAnsi="Arial" w:hint="eastAsia"/>
          <w:bCs/>
          <w:sz w:val="28"/>
          <w:szCs w:val="28"/>
        </w:rPr>
        <w:t>0.9%</w:t>
      </w:r>
      <w:r w:rsidRPr="00A30AB7">
        <w:rPr>
          <w:rFonts w:ascii="Arial" w:eastAsia="仿宋_GB2312" w:hAnsi="Arial" w:hint="eastAsia"/>
          <w:bCs/>
          <w:sz w:val="28"/>
          <w:szCs w:val="28"/>
        </w:rPr>
        <w:t>。</w:t>
      </w:r>
    </w:p>
    <w:p w14:paraId="1C292500" w14:textId="77777777" w:rsidR="00A145B3" w:rsidRDefault="00A145B3" w:rsidP="00A145B3">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14:paraId="717D26DF" w14:textId="77777777" w:rsidR="00A145B3" w:rsidRPr="00A30AB7" w:rsidRDefault="00A145B3" w:rsidP="00A145B3">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市居民人均可支配收入</w:t>
      </w:r>
      <w:r w:rsidRPr="00A30AB7">
        <w:rPr>
          <w:rFonts w:ascii="Arial" w:eastAsia="仿宋_GB2312" w:hAnsi="Arial" w:hint="eastAsia"/>
          <w:bCs/>
          <w:sz w:val="28"/>
          <w:szCs w:val="28"/>
        </w:rPr>
        <w:t>56498</w:t>
      </w:r>
      <w:r w:rsidRPr="00A30AB7">
        <w:rPr>
          <w:rFonts w:ascii="Arial" w:eastAsia="仿宋_GB2312" w:hAnsi="Arial" w:hint="eastAsia"/>
          <w:bCs/>
          <w:sz w:val="28"/>
          <w:szCs w:val="28"/>
        </w:rPr>
        <w:t>元，同比名义增长</w:t>
      </w:r>
      <w:r w:rsidRPr="00A30AB7">
        <w:rPr>
          <w:rFonts w:ascii="Arial" w:eastAsia="仿宋_GB2312" w:hAnsi="Arial" w:hint="eastAsia"/>
          <w:bCs/>
          <w:sz w:val="28"/>
          <w:szCs w:val="28"/>
        </w:rPr>
        <w:t>9.1%</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5.7%</w:t>
      </w:r>
      <w:r w:rsidRPr="00A30AB7">
        <w:rPr>
          <w:rFonts w:ascii="Arial" w:eastAsia="仿宋_GB2312" w:hAnsi="Arial" w:hint="eastAsia"/>
          <w:bCs/>
          <w:sz w:val="28"/>
          <w:szCs w:val="28"/>
        </w:rPr>
        <w:t>；扣除价格因素后，同比实际增长</w:t>
      </w:r>
      <w:r w:rsidRPr="00A30AB7">
        <w:rPr>
          <w:rFonts w:ascii="Arial" w:eastAsia="仿宋_GB2312" w:hAnsi="Arial" w:hint="eastAsia"/>
          <w:bCs/>
          <w:sz w:val="28"/>
          <w:szCs w:val="28"/>
        </w:rPr>
        <w:t>8.2%</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4.2%</w:t>
      </w:r>
      <w:r w:rsidRPr="00A30AB7">
        <w:rPr>
          <w:rFonts w:ascii="Arial" w:eastAsia="仿宋_GB2312" w:hAnsi="Arial" w:hint="eastAsia"/>
          <w:bCs/>
          <w:sz w:val="28"/>
          <w:szCs w:val="28"/>
        </w:rPr>
        <w:t>。从收入来源看，工资性收入同比名义增长</w:t>
      </w:r>
      <w:r w:rsidRPr="00A30AB7">
        <w:rPr>
          <w:rFonts w:ascii="Arial" w:eastAsia="仿宋_GB2312" w:hAnsi="Arial" w:hint="eastAsia"/>
          <w:bCs/>
          <w:sz w:val="28"/>
          <w:szCs w:val="28"/>
        </w:rPr>
        <w:t>10.8%</w:t>
      </w:r>
      <w:r w:rsidRPr="00A30AB7">
        <w:rPr>
          <w:rFonts w:ascii="Arial" w:eastAsia="仿宋_GB2312" w:hAnsi="Arial" w:hint="eastAsia"/>
          <w:bCs/>
          <w:sz w:val="28"/>
          <w:szCs w:val="28"/>
        </w:rPr>
        <w:t>，经营净收入同比名义增长</w:t>
      </w:r>
      <w:r w:rsidRPr="00A30AB7">
        <w:rPr>
          <w:rFonts w:ascii="Arial" w:eastAsia="仿宋_GB2312" w:hAnsi="Arial" w:hint="eastAsia"/>
          <w:bCs/>
          <w:sz w:val="28"/>
          <w:szCs w:val="28"/>
        </w:rPr>
        <w:t>16.8%</w:t>
      </w:r>
      <w:r w:rsidRPr="00A30AB7">
        <w:rPr>
          <w:rFonts w:ascii="Arial" w:eastAsia="仿宋_GB2312" w:hAnsi="Arial" w:hint="eastAsia"/>
          <w:bCs/>
          <w:sz w:val="28"/>
          <w:szCs w:val="28"/>
        </w:rPr>
        <w:t>，财产净收入同比名义增长</w:t>
      </w:r>
      <w:r w:rsidRPr="00A30AB7">
        <w:rPr>
          <w:rFonts w:ascii="Arial" w:eastAsia="仿宋_GB2312" w:hAnsi="Arial" w:hint="eastAsia"/>
          <w:bCs/>
          <w:sz w:val="28"/>
          <w:szCs w:val="28"/>
        </w:rPr>
        <w:t>8.7%</w:t>
      </w:r>
      <w:r w:rsidRPr="00A30AB7">
        <w:rPr>
          <w:rFonts w:ascii="Arial" w:eastAsia="仿宋_GB2312" w:hAnsi="Arial" w:hint="eastAsia"/>
          <w:bCs/>
          <w:sz w:val="28"/>
          <w:szCs w:val="28"/>
        </w:rPr>
        <w:t>，转移净收入同比名义增长</w:t>
      </w:r>
      <w:r w:rsidRPr="00A30AB7">
        <w:rPr>
          <w:rFonts w:ascii="Arial" w:eastAsia="仿宋_GB2312" w:hAnsi="Arial" w:hint="eastAsia"/>
          <w:bCs/>
          <w:sz w:val="28"/>
          <w:szCs w:val="28"/>
        </w:rPr>
        <w:t>4.4%</w:t>
      </w:r>
      <w:r w:rsidRPr="00A30AB7">
        <w:rPr>
          <w:rFonts w:ascii="Arial" w:eastAsia="仿宋_GB2312" w:hAnsi="Arial" w:hint="eastAsia"/>
          <w:bCs/>
          <w:sz w:val="28"/>
          <w:szCs w:val="28"/>
        </w:rPr>
        <w:t>。</w:t>
      </w:r>
    </w:p>
    <w:p w14:paraId="694929DA" w14:textId="77777777" w:rsidR="00A145B3" w:rsidRPr="003F1721" w:rsidRDefault="00A145B3" w:rsidP="00A145B3">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总的来看，</w:t>
      </w: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市经济保持稳步恢复态势，社会民生保障有力，发展质量继续提升。但国际环境依然复杂严峻，不稳定不确定因素增多，国内经济恢复仍不稳固、不均衡。下阶段，</w:t>
      </w:r>
      <w:r>
        <w:rPr>
          <w:rFonts w:ascii="Arial" w:eastAsia="仿宋_GB2312" w:hAnsi="Arial" w:hint="eastAsia"/>
          <w:bCs/>
          <w:sz w:val="28"/>
          <w:szCs w:val="28"/>
        </w:rPr>
        <w:t>北京市将</w:t>
      </w:r>
      <w:r w:rsidRPr="00A30AB7">
        <w:rPr>
          <w:rFonts w:ascii="Arial" w:eastAsia="仿宋_GB2312" w:hAnsi="Arial" w:hint="eastAsia"/>
          <w:bCs/>
          <w:sz w:val="28"/>
          <w:szCs w:val="28"/>
        </w:rPr>
        <w:t>在抓好常态化疫情防控的</w:t>
      </w:r>
      <w:r w:rsidRPr="00A30AB7">
        <w:rPr>
          <w:rFonts w:ascii="Arial" w:eastAsia="仿宋_GB2312" w:hAnsi="Arial" w:hint="eastAsia"/>
          <w:bCs/>
          <w:sz w:val="28"/>
          <w:szCs w:val="28"/>
        </w:rPr>
        <w:lastRenderedPageBreak/>
        <w:t>同时，保持经济运行在合理区间，促进经济健康可持续发展，确保完成全年经济社会发展主要目标任务。</w:t>
      </w:r>
    </w:p>
    <w:p w14:paraId="36D77F51" w14:textId="77777777" w:rsidR="00A145B3" w:rsidRPr="00F631FB" w:rsidRDefault="00A145B3" w:rsidP="00A145B3">
      <w:pPr>
        <w:spacing w:line="360" w:lineRule="auto"/>
        <w:jc w:val="both"/>
        <w:rPr>
          <w:rFonts w:ascii="Arial" w:eastAsia="仿宋_GB2312" w:hAnsi="Arial" w:cs="Arial"/>
          <w:sz w:val="28"/>
        </w:rPr>
      </w:pPr>
      <w:r w:rsidRPr="00F631FB">
        <w:rPr>
          <w:rFonts w:ascii="Arial" w:eastAsia="仿宋_GB2312" w:hAnsi="Arial" w:cs="Arial"/>
          <w:sz w:val="28"/>
        </w:rPr>
        <w:t>（二）区域因素</w:t>
      </w:r>
    </w:p>
    <w:p w14:paraId="043C0838"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区域概况</w:t>
      </w:r>
    </w:p>
    <w:p w14:paraId="0E13EBE4" w14:textId="77777777" w:rsidR="00A145B3" w:rsidRPr="00F631FB" w:rsidRDefault="00A145B3" w:rsidP="00A145B3">
      <w:pPr>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海淀区，位于北京城区西部和西北部，东与</w:t>
      </w:r>
      <w:hyperlink r:id="rId67" w:tgtFrame="_blank" w:history="1">
        <w:r w:rsidRPr="00F631FB">
          <w:rPr>
            <w:rFonts w:ascii="Arial" w:eastAsia="仿宋_GB2312" w:hAnsi="Arial" w:cs="Arial"/>
            <w:bCs/>
            <w:sz w:val="28"/>
            <w:szCs w:val="28"/>
          </w:rPr>
          <w:t>西城区</w:t>
        </w:r>
      </w:hyperlink>
      <w:r w:rsidRPr="00F631FB">
        <w:rPr>
          <w:rFonts w:ascii="Arial" w:eastAsia="仿宋_GB2312" w:hAnsi="Arial" w:cs="Arial"/>
          <w:bCs/>
          <w:sz w:val="28"/>
          <w:szCs w:val="28"/>
        </w:rPr>
        <w:t>、</w:t>
      </w:r>
      <w:hyperlink r:id="rId68" w:tgtFrame="_blank" w:history="1">
        <w:r w:rsidRPr="00F631FB">
          <w:rPr>
            <w:rFonts w:ascii="Arial" w:eastAsia="仿宋_GB2312" w:hAnsi="Arial" w:cs="Arial"/>
            <w:bCs/>
            <w:sz w:val="28"/>
            <w:szCs w:val="28"/>
          </w:rPr>
          <w:t>朝阳区</w:t>
        </w:r>
      </w:hyperlink>
      <w:r w:rsidRPr="00F631FB">
        <w:rPr>
          <w:rFonts w:ascii="Arial" w:eastAsia="仿宋_GB2312" w:hAnsi="Arial" w:cs="Arial"/>
          <w:bCs/>
          <w:sz w:val="28"/>
          <w:szCs w:val="28"/>
        </w:rPr>
        <w:t>相邻，南与</w:t>
      </w:r>
      <w:hyperlink r:id="rId69" w:tgtFrame="_blank" w:history="1">
        <w:r w:rsidRPr="00F631FB">
          <w:rPr>
            <w:rFonts w:ascii="Arial" w:eastAsia="仿宋_GB2312" w:hAnsi="Arial" w:cs="Arial"/>
            <w:bCs/>
            <w:sz w:val="28"/>
            <w:szCs w:val="28"/>
          </w:rPr>
          <w:t>丰台区</w:t>
        </w:r>
      </w:hyperlink>
      <w:r w:rsidRPr="00F631FB">
        <w:rPr>
          <w:rFonts w:ascii="Arial" w:eastAsia="仿宋_GB2312" w:hAnsi="Arial" w:cs="Arial"/>
          <w:bCs/>
          <w:sz w:val="28"/>
          <w:szCs w:val="28"/>
        </w:rPr>
        <w:t>毗连，西与</w:t>
      </w:r>
      <w:hyperlink r:id="rId70" w:tgtFrame="_blank" w:history="1">
        <w:r w:rsidRPr="00F631FB">
          <w:rPr>
            <w:rFonts w:ascii="Arial" w:eastAsia="仿宋_GB2312" w:hAnsi="Arial" w:cs="Arial"/>
            <w:bCs/>
            <w:sz w:val="28"/>
            <w:szCs w:val="28"/>
          </w:rPr>
          <w:t>石景山区</w:t>
        </w:r>
      </w:hyperlink>
      <w:r w:rsidRPr="00F631FB">
        <w:rPr>
          <w:rFonts w:ascii="Arial" w:eastAsia="仿宋_GB2312" w:hAnsi="Arial" w:cs="Arial"/>
          <w:bCs/>
          <w:sz w:val="28"/>
          <w:szCs w:val="28"/>
        </w:rPr>
        <w:t>、</w:t>
      </w:r>
      <w:hyperlink r:id="rId71" w:tgtFrame="_blank" w:history="1">
        <w:r w:rsidRPr="00F631FB">
          <w:rPr>
            <w:rFonts w:ascii="Arial" w:eastAsia="仿宋_GB2312" w:hAnsi="Arial" w:cs="Arial"/>
            <w:bCs/>
            <w:sz w:val="28"/>
            <w:szCs w:val="28"/>
          </w:rPr>
          <w:t>门头沟区</w:t>
        </w:r>
      </w:hyperlink>
      <w:r w:rsidRPr="00F631FB">
        <w:rPr>
          <w:rFonts w:ascii="Arial" w:eastAsia="仿宋_GB2312" w:hAnsi="Arial" w:cs="Arial"/>
          <w:bCs/>
          <w:sz w:val="28"/>
          <w:szCs w:val="28"/>
        </w:rPr>
        <w:t>交界，北与</w:t>
      </w:r>
      <w:hyperlink r:id="rId72" w:tgtFrame="_blank" w:history="1">
        <w:proofErr w:type="gramStart"/>
        <w:r w:rsidRPr="00F631FB">
          <w:rPr>
            <w:rFonts w:ascii="Arial" w:eastAsia="仿宋_GB2312" w:hAnsi="Arial" w:cs="Arial"/>
            <w:bCs/>
            <w:sz w:val="28"/>
            <w:szCs w:val="28"/>
          </w:rPr>
          <w:t>昌平区</w:t>
        </w:r>
        <w:proofErr w:type="gramEnd"/>
      </w:hyperlink>
      <w:r w:rsidRPr="00F631FB">
        <w:rPr>
          <w:rFonts w:ascii="Arial" w:eastAsia="仿宋_GB2312" w:hAnsi="Arial" w:cs="Arial"/>
          <w:bCs/>
          <w:sz w:val="28"/>
          <w:szCs w:val="28"/>
        </w:rPr>
        <w:t>接壤。幅员面积</w:t>
      </w:r>
      <w:r w:rsidRPr="00F631FB">
        <w:rPr>
          <w:rFonts w:ascii="Arial" w:eastAsia="仿宋_GB2312" w:hAnsi="Arial" w:cs="Arial"/>
          <w:bCs/>
          <w:sz w:val="28"/>
          <w:szCs w:val="28"/>
        </w:rPr>
        <w:t>430.8</w:t>
      </w:r>
      <w:r w:rsidRPr="00F631FB">
        <w:rPr>
          <w:rFonts w:ascii="Arial" w:eastAsia="仿宋_GB2312" w:hAnsi="Arial" w:cs="Arial"/>
          <w:bCs/>
          <w:sz w:val="28"/>
          <w:szCs w:val="28"/>
        </w:rPr>
        <w:t>平方千米，边界线长约</w:t>
      </w:r>
      <w:r w:rsidRPr="00F631FB">
        <w:rPr>
          <w:rFonts w:ascii="Arial" w:eastAsia="仿宋_GB2312" w:hAnsi="Arial" w:cs="Arial"/>
          <w:bCs/>
          <w:sz w:val="28"/>
          <w:szCs w:val="28"/>
        </w:rPr>
        <w:t>146.2</w:t>
      </w:r>
      <w:r w:rsidRPr="00F631FB">
        <w:rPr>
          <w:rFonts w:ascii="Arial" w:eastAsia="仿宋_GB2312" w:hAnsi="Arial" w:cs="Arial"/>
          <w:bCs/>
          <w:sz w:val="28"/>
          <w:szCs w:val="28"/>
        </w:rPr>
        <w:t>千米，南北长约</w:t>
      </w:r>
      <w:r w:rsidRPr="00F631FB">
        <w:rPr>
          <w:rFonts w:ascii="Arial" w:eastAsia="仿宋_GB2312" w:hAnsi="Arial" w:cs="Arial"/>
          <w:bCs/>
          <w:sz w:val="28"/>
          <w:szCs w:val="28"/>
        </w:rPr>
        <w:t>30</w:t>
      </w:r>
      <w:r w:rsidRPr="00F631FB">
        <w:rPr>
          <w:rFonts w:ascii="Arial" w:eastAsia="仿宋_GB2312" w:hAnsi="Arial" w:cs="Arial"/>
          <w:bCs/>
          <w:sz w:val="28"/>
          <w:szCs w:val="28"/>
        </w:rPr>
        <w:t>千米，东西最宽处</w:t>
      </w:r>
      <w:r w:rsidRPr="00F631FB">
        <w:rPr>
          <w:rFonts w:ascii="Arial" w:eastAsia="仿宋_GB2312" w:hAnsi="Arial" w:cs="Arial"/>
          <w:bCs/>
          <w:sz w:val="28"/>
          <w:szCs w:val="28"/>
        </w:rPr>
        <w:t>29</w:t>
      </w:r>
      <w:r w:rsidRPr="00F631FB">
        <w:rPr>
          <w:rFonts w:ascii="Arial" w:eastAsia="仿宋_GB2312" w:hAnsi="Arial" w:cs="Arial"/>
          <w:bCs/>
          <w:sz w:val="28"/>
          <w:szCs w:val="28"/>
        </w:rPr>
        <w:t>千米，约占</w:t>
      </w:r>
      <w:r w:rsidR="00790873">
        <w:fldChar w:fldCharType="begin"/>
      </w:r>
      <w:r w:rsidR="00790873">
        <w:instrText xml:space="preserve"> HYPERLINK "https://baike.baidu.com/item/%E5%8C%97%E4%BA%AC%E5%B8%82/126069" \t "_blank" </w:instrText>
      </w:r>
      <w:r w:rsidR="00790873">
        <w:fldChar w:fldCharType="separate"/>
      </w:r>
      <w:r w:rsidRPr="00F631FB">
        <w:rPr>
          <w:rFonts w:ascii="Arial" w:eastAsia="仿宋_GB2312" w:hAnsi="Arial" w:cs="Arial"/>
          <w:bCs/>
          <w:sz w:val="28"/>
          <w:szCs w:val="28"/>
        </w:rPr>
        <w:t>北京市</w:t>
      </w:r>
      <w:r w:rsidR="00790873">
        <w:rPr>
          <w:rFonts w:ascii="Arial" w:eastAsia="仿宋_GB2312" w:hAnsi="Arial" w:cs="Arial"/>
          <w:bCs/>
          <w:sz w:val="28"/>
          <w:szCs w:val="28"/>
        </w:rPr>
        <w:fldChar w:fldCharType="end"/>
      </w:r>
      <w:r w:rsidRPr="00F631FB">
        <w:rPr>
          <w:rFonts w:ascii="Arial" w:eastAsia="仿宋_GB2312" w:hAnsi="Arial" w:cs="Arial"/>
          <w:bCs/>
          <w:sz w:val="28"/>
          <w:szCs w:val="28"/>
        </w:rPr>
        <w:t>总面积的</w:t>
      </w:r>
      <w:r w:rsidRPr="00F631FB">
        <w:rPr>
          <w:rFonts w:ascii="Arial" w:eastAsia="仿宋_GB2312" w:hAnsi="Arial" w:cs="Arial"/>
          <w:bCs/>
          <w:sz w:val="28"/>
          <w:szCs w:val="28"/>
        </w:rPr>
        <w:t>2.6%</w:t>
      </w:r>
      <w:r w:rsidRPr="00F631FB">
        <w:rPr>
          <w:rFonts w:ascii="Arial" w:eastAsia="仿宋_GB2312" w:hAnsi="Arial" w:cs="Arial"/>
          <w:bCs/>
          <w:sz w:val="28"/>
          <w:szCs w:val="28"/>
        </w:rPr>
        <w:t>。</w:t>
      </w:r>
      <w:proofErr w:type="gramStart"/>
      <w:r w:rsidRPr="00F631FB">
        <w:rPr>
          <w:rFonts w:ascii="Arial" w:eastAsia="仿宋_GB2312" w:hAnsi="Arial" w:cs="Arial"/>
          <w:bCs/>
          <w:sz w:val="28"/>
          <w:szCs w:val="28"/>
        </w:rPr>
        <w:t>区境介于</w:t>
      </w:r>
      <w:proofErr w:type="gramEnd"/>
      <w:r w:rsidRPr="00F631FB">
        <w:rPr>
          <w:rFonts w:ascii="Arial" w:eastAsia="仿宋_GB2312" w:hAnsi="Arial" w:cs="Arial"/>
          <w:bCs/>
          <w:sz w:val="28"/>
          <w:szCs w:val="28"/>
        </w:rPr>
        <w:t>北纬</w:t>
      </w:r>
      <w:r w:rsidRPr="00F631FB">
        <w:rPr>
          <w:rFonts w:ascii="Arial" w:eastAsia="仿宋_GB2312" w:hAnsi="Arial" w:cs="Arial"/>
          <w:bCs/>
          <w:sz w:val="28"/>
          <w:szCs w:val="28"/>
        </w:rPr>
        <w:t>39°53′—40°09′</w:t>
      </w:r>
      <w:r w:rsidRPr="00F631FB">
        <w:rPr>
          <w:rFonts w:ascii="Arial" w:eastAsia="仿宋_GB2312" w:hAnsi="Arial" w:cs="Arial"/>
          <w:bCs/>
          <w:sz w:val="28"/>
          <w:szCs w:val="28"/>
        </w:rPr>
        <w:t>，东经</w:t>
      </w:r>
      <w:r w:rsidRPr="00F631FB">
        <w:rPr>
          <w:rFonts w:ascii="Arial" w:eastAsia="仿宋_GB2312" w:hAnsi="Arial" w:cs="Arial"/>
          <w:bCs/>
          <w:sz w:val="28"/>
          <w:szCs w:val="28"/>
        </w:rPr>
        <w:t>116°03′—116°23′</w:t>
      </w:r>
      <w:r w:rsidRPr="00F631FB">
        <w:rPr>
          <w:rFonts w:ascii="Arial" w:eastAsia="仿宋_GB2312" w:hAnsi="Arial" w:cs="Arial"/>
          <w:bCs/>
          <w:sz w:val="28"/>
          <w:szCs w:val="28"/>
        </w:rPr>
        <w:t>之间。</w:t>
      </w:r>
    </w:p>
    <w:p w14:paraId="2D4D4F5D" w14:textId="77777777" w:rsidR="00A145B3" w:rsidRPr="00F631FB" w:rsidRDefault="00A145B3" w:rsidP="00A145B3">
      <w:pPr>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近年来海淀区经济总量始终保持快速、稳定的增长势头。</w:t>
      </w:r>
      <w:r w:rsidRPr="00F631FB">
        <w:rPr>
          <w:rFonts w:ascii="Arial" w:eastAsia="仿宋_GB2312" w:hAnsi="Arial" w:cs="Arial"/>
          <w:bCs/>
          <w:sz w:val="28"/>
          <w:szCs w:val="28"/>
        </w:rPr>
        <w:t>2020</w:t>
      </w:r>
      <w:r w:rsidRPr="00F631FB">
        <w:rPr>
          <w:rFonts w:ascii="Arial" w:eastAsia="仿宋_GB2312" w:hAnsi="Arial" w:cs="Arial"/>
          <w:bCs/>
          <w:sz w:val="28"/>
          <w:szCs w:val="28"/>
        </w:rPr>
        <w:t>年</w:t>
      </w:r>
      <w:r w:rsidRPr="00F631FB">
        <w:rPr>
          <w:rFonts w:ascii="Arial" w:eastAsia="仿宋_GB2312" w:hAnsi="Arial" w:cs="Arial"/>
          <w:bCs/>
          <w:sz w:val="28"/>
          <w:szCs w:val="28"/>
        </w:rPr>
        <w:t>1-4</w:t>
      </w:r>
      <w:r w:rsidRPr="00F631FB">
        <w:rPr>
          <w:rFonts w:ascii="Arial" w:eastAsia="仿宋_GB2312" w:hAnsi="Arial" w:cs="Arial"/>
          <w:bCs/>
          <w:sz w:val="28"/>
          <w:szCs w:val="28"/>
        </w:rPr>
        <w:t>季度海淀实现地区生产总值</w:t>
      </w:r>
      <w:r w:rsidRPr="00F631FB">
        <w:rPr>
          <w:rFonts w:ascii="Arial" w:eastAsia="仿宋_GB2312" w:hAnsi="Arial" w:cs="Arial"/>
          <w:bCs/>
          <w:sz w:val="28"/>
          <w:szCs w:val="28"/>
        </w:rPr>
        <w:t>8504.6</w:t>
      </w:r>
      <w:r w:rsidRPr="00F631FB">
        <w:rPr>
          <w:rFonts w:ascii="Arial" w:eastAsia="仿宋_GB2312" w:hAnsi="Arial" w:cs="Arial"/>
          <w:bCs/>
          <w:sz w:val="28"/>
          <w:szCs w:val="28"/>
        </w:rPr>
        <w:t>亿元，同比增长</w:t>
      </w:r>
      <w:r w:rsidRPr="00F631FB">
        <w:rPr>
          <w:rFonts w:ascii="Arial" w:eastAsia="仿宋_GB2312" w:hAnsi="Arial" w:cs="Arial"/>
          <w:bCs/>
          <w:sz w:val="28"/>
          <w:szCs w:val="28"/>
        </w:rPr>
        <w:t>5.9%</w:t>
      </w:r>
      <w:r w:rsidRPr="00F631FB">
        <w:rPr>
          <w:rFonts w:ascii="Arial" w:eastAsia="仿宋_GB2312" w:hAnsi="Arial" w:cs="Arial"/>
          <w:bCs/>
          <w:sz w:val="28"/>
          <w:szCs w:val="28"/>
        </w:rPr>
        <w:t>，经济总量和增长贡献均位于全市首位。其中，第一产业实现增加值</w:t>
      </w:r>
      <w:r w:rsidRPr="00F631FB">
        <w:rPr>
          <w:rFonts w:ascii="Arial" w:eastAsia="仿宋_GB2312" w:hAnsi="Arial" w:cs="Arial"/>
          <w:bCs/>
          <w:sz w:val="28"/>
          <w:szCs w:val="28"/>
        </w:rPr>
        <w:t>1.6</w:t>
      </w:r>
      <w:r w:rsidRPr="00F631FB">
        <w:rPr>
          <w:rFonts w:ascii="Arial" w:eastAsia="仿宋_GB2312" w:hAnsi="Arial" w:cs="Arial"/>
          <w:bCs/>
          <w:sz w:val="28"/>
          <w:szCs w:val="28"/>
        </w:rPr>
        <w:t>亿元，增长</w:t>
      </w:r>
      <w:r w:rsidRPr="00F631FB">
        <w:rPr>
          <w:rFonts w:ascii="Arial" w:eastAsia="仿宋_GB2312" w:hAnsi="Arial" w:cs="Arial"/>
          <w:bCs/>
          <w:sz w:val="28"/>
          <w:szCs w:val="28"/>
        </w:rPr>
        <w:t>3.0%</w:t>
      </w:r>
      <w:r w:rsidRPr="00F631FB">
        <w:rPr>
          <w:rFonts w:ascii="Arial" w:eastAsia="仿宋_GB2312" w:hAnsi="Arial" w:cs="Arial"/>
          <w:bCs/>
          <w:sz w:val="28"/>
          <w:szCs w:val="28"/>
        </w:rPr>
        <w:t>；第二产业实现增加值</w:t>
      </w:r>
      <w:r w:rsidRPr="00F631FB">
        <w:rPr>
          <w:rFonts w:ascii="Arial" w:eastAsia="仿宋_GB2312" w:hAnsi="Arial" w:cs="Arial"/>
          <w:bCs/>
          <w:sz w:val="28"/>
          <w:szCs w:val="28"/>
        </w:rPr>
        <w:t>680.0</w:t>
      </w:r>
      <w:r w:rsidRPr="00F631FB">
        <w:rPr>
          <w:rFonts w:ascii="Arial" w:eastAsia="仿宋_GB2312" w:hAnsi="Arial" w:cs="Arial"/>
          <w:bCs/>
          <w:sz w:val="28"/>
          <w:szCs w:val="28"/>
        </w:rPr>
        <w:t>亿元，下降</w:t>
      </w:r>
      <w:r w:rsidRPr="00F631FB">
        <w:rPr>
          <w:rFonts w:ascii="Arial" w:eastAsia="仿宋_GB2312" w:hAnsi="Arial" w:cs="Arial"/>
          <w:bCs/>
          <w:sz w:val="28"/>
          <w:szCs w:val="28"/>
        </w:rPr>
        <w:t>1.8%</w:t>
      </w:r>
      <w:r w:rsidRPr="00F631FB">
        <w:rPr>
          <w:rFonts w:ascii="Arial" w:eastAsia="仿宋_GB2312" w:hAnsi="Arial" w:cs="Arial"/>
          <w:bCs/>
          <w:sz w:val="28"/>
          <w:szCs w:val="28"/>
        </w:rPr>
        <w:t>；第三产业实现增加值</w:t>
      </w:r>
      <w:r w:rsidRPr="00F631FB">
        <w:rPr>
          <w:rFonts w:ascii="Arial" w:eastAsia="仿宋_GB2312" w:hAnsi="Arial" w:cs="Arial"/>
          <w:bCs/>
          <w:sz w:val="28"/>
          <w:szCs w:val="28"/>
        </w:rPr>
        <w:t>7823.0</w:t>
      </w:r>
      <w:r w:rsidRPr="00F631FB">
        <w:rPr>
          <w:rFonts w:ascii="Arial" w:eastAsia="仿宋_GB2312" w:hAnsi="Arial" w:cs="Arial"/>
          <w:bCs/>
          <w:sz w:val="28"/>
          <w:szCs w:val="28"/>
        </w:rPr>
        <w:t>亿元，同比增长</w:t>
      </w:r>
      <w:r w:rsidRPr="00F631FB">
        <w:rPr>
          <w:rFonts w:ascii="Arial" w:eastAsia="仿宋_GB2312" w:hAnsi="Arial" w:cs="Arial"/>
          <w:bCs/>
          <w:sz w:val="28"/>
          <w:szCs w:val="28"/>
        </w:rPr>
        <w:t>6.7%</w:t>
      </w:r>
      <w:r w:rsidRPr="00F631FB">
        <w:rPr>
          <w:rFonts w:ascii="Arial" w:eastAsia="仿宋_GB2312" w:hAnsi="Arial" w:cs="Arial"/>
          <w:bCs/>
          <w:sz w:val="28"/>
          <w:szCs w:val="28"/>
        </w:rPr>
        <w:t>。全年四个季度累计增速分别为</w:t>
      </w:r>
      <w:r w:rsidRPr="00F631FB">
        <w:rPr>
          <w:rFonts w:ascii="Arial" w:eastAsia="仿宋_GB2312" w:hAnsi="Arial" w:cs="Arial"/>
          <w:bCs/>
          <w:sz w:val="28"/>
          <w:szCs w:val="28"/>
        </w:rPr>
        <w:t>-4.8%</w:t>
      </w:r>
      <w:r w:rsidRPr="00F631FB">
        <w:rPr>
          <w:rFonts w:ascii="Arial" w:eastAsia="仿宋_GB2312" w:hAnsi="Arial" w:cs="Arial"/>
          <w:bCs/>
          <w:sz w:val="28"/>
          <w:szCs w:val="28"/>
        </w:rPr>
        <w:t>、</w:t>
      </w:r>
      <w:r w:rsidRPr="00F631FB">
        <w:rPr>
          <w:rFonts w:ascii="Arial" w:eastAsia="仿宋_GB2312" w:hAnsi="Arial" w:cs="Arial"/>
          <w:bCs/>
          <w:sz w:val="28"/>
          <w:szCs w:val="28"/>
        </w:rPr>
        <w:t>2.6%</w:t>
      </w:r>
      <w:r w:rsidRPr="00F631FB">
        <w:rPr>
          <w:rFonts w:ascii="Arial" w:eastAsia="仿宋_GB2312" w:hAnsi="Arial" w:cs="Arial"/>
          <w:bCs/>
          <w:sz w:val="28"/>
          <w:szCs w:val="28"/>
        </w:rPr>
        <w:t>、</w:t>
      </w:r>
      <w:r w:rsidRPr="00F631FB">
        <w:rPr>
          <w:rFonts w:ascii="Arial" w:eastAsia="仿宋_GB2312" w:hAnsi="Arial" w:cs="Arial"/>
          <w:bCs/>
          <w:sz w:val="28"/>
          <w:szCs w:val="28"/>
        </w:rPr>
        <w:t>4.6%</w:t>
      </w:r>
      <w:r w:rsidRPr="00F631FB">
        <w:rPr>
          <w:rFonts w:ascii="Arial" w:eastAsia="仿宋_GB2312" w:hAnsi="Arial" w:cs="Arial"/>
          <w:bCs/>
          <w:sz w:val="28"/>
          <w:szCs w:val="28"/>
        </w:rPr>
        <w:t>和</w:t>
      </w:r>
      <w:r w:rsidRPr="00F631FB">
        <w:rPr>
          <w:rFonts w:ascii="Arial" w:eastAsia="仿宋_GB2312" w:hAnsi="Arial" w:cs="Arial"/>
          <w:bCs/>
          <w:sz w:val="28"/>
          <w:szCs w:val="28"/>
        </w:rPr>
        <w:t>5.9%</w:t>
      </w:r>
      <w:r w:rsidRPr="00F631FB">
        <w:rPr>
          <w:rFonts w:ascii="Arial" w:eastAsia="仿宋_GB2312" w:hAnsi="Arial" w:cs="Arial"/>
          <w:bCs/>
          <w:sz w:val="28"/>
          <w:szCs w:val="28"/>
        </w:rPr>
        <w:t>。其中，信息、科研、教育等服务业增长较快，增加值同比增长</w:t>
      </w:r>
      <w:r w:rsidRPr="00F631FB">
        <w:rPr>
          <w:rFonts w:ascii="Arial" w:eastAsia="仿宋_GB2312" w:hAnsi="Arial" w:cs="Arial"/>
          <w:bCs/>
          <w:sz w:val="28"/>
          <w:szCs w:val="28"/>
        </w:rPr>
        <w:t>8.2%</w:t>
      </w:r>
      <w:r w:rsidRPr="00F631FB">
        <w:rPr>
          <w:rFonts w:ascii="Arial" w:eastAsia="仿宋_GB2312" w:hAnsi="Arial" w:cs="Arial"/>
          <w:bCs/>
          <w:sz w:val="28"/>
          <w:szCs w:val="28"/>
        </w:rPr>
        <w:t>。海淀区居民人均可支配收入</w:t>
      </w:r>
      <w:r w:rsidRPr="00F631FB">
        <w:rPr>
          <w:rFonts w:ascii="Arial" w:eastAsia="仿宋_GB2312" w:hAnsi="Arial" w:cs="Arial"/>
          <w:bCs/>
          <w:sz w:val="28"/>
          <w:szCs w:val="28"/>
        </w:rPr>
        <w:t>84733</w:t>
      </w:r>
      <w:r w:rsidRPr="00F631FB">
        <w:rPr>
          <w:rFonts w:ascii="Arial" w:eastAsia="仿宋_GB2312" w:hAnsi="Arial" w:cs="Arial"/>
          <w:bCs/>
          <w:sz w:val="28"/>
          <w:szCs w:val="28"/>
        </w:rPr>
        <w:t>元，同比增长</w:t>
      </w:r>
      <w:r w:rsidRPr="00F631FB">
        <w:rPr>
          <w:rFonts w:ascii="Arial" w:eastAsia="仿宋_GB2312" w:hAnsi="Arial" w:cs="Arial"/>
          <w:bCs/>
          <w:sz w:val="28"/>
          <w:szCs w:val="28"/>
        </w:rPr>
        <w:t>8.4%</w:t>
      </w:r>
      <w:r w:rsidRPr="00F631FB">
        <w:rPr>
          <w:rFonts w:ascii="Arial" w:eastAsia="仿宋_GB2312" w:hAnsi="Arial" w:cs="Arial"/>
          <w:bCs/>
          <w:sz w:val="28"/>
          <w:szCs w:val="28"/>
        </w:rPr>
        <w:t>；海淀区居民人均消费性支出</w:t>
      </w:r>
      <w:r w:rsidRPr="00F631FB">
        <w:rPr>
          <w:rFonts w:ascii="Arial" w:eastAsia="仿宋_GB2312" w:hAnsi="Arial" w:cs="Arial"/>
          <w:bCs/>
          <w:sz w:val="28"/>
          <w:szCs w:val="28"/>
        </w:rPr>
        <w:t>56630</w:t>
      </w:r>
      <w:r w:rsidRPr="00F631FB">
        <w:rPr>
          <w:rFonts w:ascii="Arial" w:eastAsia="仿宋_GB2312" w:hAnsi="Arial" w:cs="Arial"/>
          <w:bCs/>
          <w:sz w:val="28"/>
          <w:szCs w:val="28"/>
        </w:rPr>
        <w:t>元，同比增长</w:t>
      </w:r>
      <w:r w:rsidRPr="00F631FB">
        <w:rPr>
          <w:rFonts w:ascii="Arial" w:eastAsia="仿宋_GB2312" w:hAnsi="Arial" w:cs="Arial"/>
          <w:bCs/>
          <w:sz w:val="28"/>
          <w:szCs w:val="28"/>
        </w:rPr>
        <w:t>7.0%</w:t>
      </w:r>
      <w:r w:rsidRPr="00F631FB">
        <w:rPr>
          <w:rFonts w:ascii="Arial" w:eastAsia="仿宋_GB2312" w:hAnsi="Arial" w:cs="Arial"/>
          <w:bCs/>
          <w:sz w:val="28"/>
          <w:szCs w:val="28"/>
        </w:rPr>
        <w:t>。</w:t>
      </w:r>
    </w:p>
    <w:p w14:paraId="09EA6BD8" w14:textId="77777777" w:rsidR="00A145B3" w:rsidRPr="0019689C" w:rsidRDefault="00A145B3" w:rsidP="00A145B3">
      <w:pPr>
        <w:spacing w:line="360" w:lineRule="auto"/>
        <w:ind w:firstLineChars="200" w:firstLine="560"/>
        <w:jc w:val="both"/>
        <w:rPr>
          <w:rFonts w:ascii="Arial" w:eastAsia="仿宋_GB2312" w:hAnsi="Arial" w:cs="Arial"/>
          <w:bCs/>
          <w:sz w:val="28"/>
          <w:szCs w:val="28"/>
        </w:rPr>
      </w:pPr>
      <w:r w:rsidRPr="0019689C">
        <w:rPr>
          <w:rFonts w:ascii="Arial" w:eastAsia="仿宋_GB2312" w:hAnsi="Arial" w:cs="Arial"/>
          <w:bCs/>
          <w:sz w:val="28"/>
          <w:szCs w:val="28"/>
        </w:rPr>
        <w:t>估价对象位于海淀区</w:t>
      </w:r>
      <w:r w:rsidRPr="0019689C">
        <w:rPr>
          <w:rFonts w:ascii="Arial" w:eastAsia="仿宋_GB2312" w:hAnsi="Arial" w:cs="Arial" w:hint="eastAsia"/>
          <w:bCs/>
          <w:sz w:val="28"/>
          <w:szCs w:val="28"/>
        </w:rPr>
        <w:t>苏州街</w:t>
      </w:r>
      <w:r w:rsidRPr="0019689C">
        <w:rPr>
          <w:rFonts w:ascii="Arial" w:eastAsia="仿宋_GB2312" w:hAnsi="Arial" w:cs="Arial"/>
          <w:bCs/>
          <w:sz w:val="28"/>
          <w:szCs w:val="28"/>
        </w:rPr>
        <w:t>。估价对象所在区域有</w:t>
      </w:r>
      <w:r w:rsidRPr="0019689C">
        <w:rPr>
          <w:rFonts w:ascii="Arial" w:eastAsia="仿宋_GB2312" w:hAnsi="Arial" w:cs="Arial" w:hint="eastAsia"/>
          <w:bCs/>
          <w:sz w:val="28"/>
          <w:szCs w:val="28"/>
        </w:rPr>
        <w:t>购物场所（新中关购物中心、</w:t>
      </w:r>
      <w:proofErr w:type="gramStart"/>
      <w:r w:rsidRPr="0019689C">
        <w:rPr>
          <w:rFonts w:ascii="Arial" w:eastAsia="仿宋_GB2312" w:hAnsi="Arial" w:cs="Arial" w:hint="eastAsia"/>
          <w:bCs/>
          <w:sz w:val="28"/>
          <w:szCs w:val="28"/>
        </w:rPr>
        <w:t>领展购物</w:t>
      </w:r>
      <w:proofErr w:type="gramEnd"/>
      <w:r w:rsidRPr="0019689C">
        <w:rPr>
          <w:rFonts w:ascii="Arial" w:eastAsia="仿宋_GB2312" w:hAnsi="Arial" w:cs="Arial" w:hint="eastAsia"/>
          <w:bCs/>
          <w:sz w:val="28"/>
          <w:szCs w:val="28"/>
        </w:rPr>
        <w:t>广场（中关村店）、</w:t>
      </w:r>
      <w:r w:rsidRPr="0019689C">
        <w:rPr>
          <w:rFonts w:ascii="Arial" w:eastAsia="仿宋_GB2312" w:hAnsi="Arial" w:cs="Arial" w:hint="eastAsia"/>
          <w:bCs/>
          <w:sz w:val="28"/>
          <w:szCs w:val="28"/>
        </w:rPr>
        <w:t>BHG</w:t>
      </w:r>
      <w:r w:rsidRPr="0019689C">
        <w:rPr>
          <w:rFonts w:ascii="Arial" w:eastAsia="仿宋_GB2312" w:hAnsi="Arial" w:cs="Arial"/>
          <w:bCs/>
          <w:sz w:val="28"/>
          <w:szCs w:val="28"/>
        </w:rPr>
        <w:t xml:space="preserve"> MALL</w:t>
      </w:r>
      <w:r w:rsidRPr="0019689C">
        <w:rPr>
          <w:rFonts w:ascii="Arial" w:eastAsia="仿宋_GB2312" w:hAnsi="Arial" w:cs="Arial" w:hint="eastAsia"/>
          <w:bCs/>
          <w:sz w:val="28"/>
          <w:szCs w:val="28"/>
        </w:rPr>
        <w:t>北京华联万柳购物中心等）；学校（北京市八一学校、北京市信息管理学校（中关村校区）、中国人民大学附属中学、北京市第十九中学、万泉小学等）；医院（圣安医院、北京市还海</w:t>
      </w:r>
      <w:r w:rsidRPr="0019689C">
        <w:rPr>
          <w:rFonts w:ascii="Arial" w:eastAsia="仿宋_GB2312" w:hAnsi="Arial" w:cs="Arial" w:hint="eastAsia"/>
          <w:bCs/>
          <w:sz w:val="28"/>
          <w:szCs w:val="28"/>
        </w:rPr>
        <w:lastRenderedPageBreak/>
        <w:t>淀医院、中国人民大学医院、北京安仁堂中医门诊部等）；银行（北京银行（航天支行）、兴业银行（海淀支行）、中国民生银行（北京苏州街支行）、中国农业银行（海淀大街支行）等）</w:t>
      </w:r>
      <w:r w:rsidRPr="0019689C">
        <w:rPr>
          <w:rFonts w:ascii="Arial" w:eastAsia="仿宋_GB2312" w:hAnsi="Arial" w:cs="Arial"/>
          <w:bCs/>
          <w:sz w:val="28"/>
          <w:szCs w:val="28"/>
        </w:rPr>
        <w:t>，</w:t>
      </w:r>
      <w:r w:rsidRPr="0019689C">
        <w:rPr>
          <w:rFonts w:ascii="Arial" w:eastAsia="仿宋_GB2312" w:hAnsi="Arial" w:cs="Arial"/>
          <w:sz w:val="28"/>
          <w:szCs w:val="28"/>
        </w:rPr>
        <w:t>综合分析，公共配套设施齐备程度较好。</w:t>
      </w:r>
    </w:p>
    <w:p w14:paraId="0137F4C5"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交通条件</w:t>
      </w:r>
    </w:p>
    <w:p w14:paraId="5AB5DEFD" w14:textId="77777777" w:rsidR="00A145B3" w:rsidRPr="00F631FB" w:rsidRDefault="00A145B3" w:rsidP="00A145B3">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截至</w:t>
      </w:r>
      <w:r w:rsidRPr="00F631FB">
        <w:rPr>
          <w:rFonts w:ascii="Arial" w:eastAsia="仿宋_GB2312" w:hAnsi="Arial" w:cs="Arial"/>
          <w:sz w:val="28"/>
          <w:szCs w:val="28"/>
        </w:rPr>
        <w:t>2020</w:t>
      </w:r>
      <w:r w:rsidRPr="00F631FB">
        <w:rPr>
          <w:rFonts w:ascii="Arial" w:eastAsia="仿宋_GB2312" w:hAnsi="Arial" w:cs="Arial"/>
          <w:sz w:val="28"/>
          <w:szCs w:val="28"/>
        </w:rPr>
        <w:t>年末，海淀区共有各级市政道路</w:t>
      </w:r>
      <w:r w:rsidRPr="00F631FB">
        <w:rPr>
          <w:rFonts w:ascii="Arial" w:eastAsia="仿宋_GB2312" w:hAnsi="Arial" w:cs="Arial"/>
          <w:sz w:val="28"/>
          <w:szCs w:val="28"/>
        </w:rPr>
        <w:t>3148</w:t>
      </w:r>
      <w:r w:rsidRPr="00F631FB">
        <w:rPr>
          <w:rFonts w:ascii="Arial" w:eastAsia="仿宋_GB2312" w:hAnsi="Arial" w:cs="Arial"/>
          <w:sz w:val="28"/>
          <w:szCs w:val="28"/>
        </w:rPr>
        <w:t>条，道路总长</w:t>
      </w:r>
      <w:r w:rsidRPr="00F631FB">
        <w:rPr>
          <w:rFonts w:ascii="Arial" w:eastAsia="仿宋_GB2312" w:hAnsi="Arial" w:cs="Arial"/>
          <w:sz w:val="28"/>
          <w:szCs w:val="28"/>
        </w:rPr>
        <w:t>1510.3</w:t>
      </w:r>
      <w:r w:rsidRPr="00F631FB">
        <w:rPr>
          <w:rFonts w:ascii="Arial" w:eastAsia="仿宋_GB2312" w:hAnsi="Arial" w:cs="Arial"/>
          <w:sz w:val="28"/>
          <w:szCs w:val="28"/>
        </w:rPr>
        <w:t>千米，其中快速路</w:t>
      </w:r>
      <w:r w:rsidRPr="00F631FB">
        <w:rPr>
          <w:rFonts w:ascii="Arial" w:eastAsia="仿宋_GB2312" w:hAnsi="Arial" w:cs="Arial"/>
          <w:sz w:val="28"/>
          <w:szCs w:val="28"/>
        </w:rPr>
        <w:t>97.4</w:t>
      </w:r>
      <w:r w:rsidRPr="00F631FB">
        <w:rPr>
          <w:rFonts w:ascii="Arial" w:eastAsia="仿宋_GB2312" w:hAnsi="Arial" w:cs="Arial"/>
          <w:sz w:val="28"/>
          <w:szCs w:val="28"/>
        </w:rPr>
        <w:t>千米，占</w:t>
      </w:r>
      <w:r w:rsidRPr="00F631FB">
        <w:rPr>
          <w:rFonts w:ascii="Arial" w:eastAsia="仿宋_GB2312" w:hAnsi="Arial" w:cs="Arial"/>
          <w:sz w:val="28"/>
          <w:szCs w:val="28"/>
        </w:rPr>
        <w:t>6%</w:t>
      </w:r>
      <w:r w:rsidRPr="00F631FB">
        <w:rPr>
          <w:rFonts w:ascii="Arial" w:eastAsia="仿宋_GB2312" w:hAnsi="Arial" w:cs="Arial"/>
          <w:sz w:val="28"/>
          <w:szCs w:val="28"/>
        </w:rPr>
        <w:t>；主干路</w:t>
      </w:r>
      <w:r w:rsidRPr="00F631FB">
        <w:rPr>
          <w:rFonts w:ascii="Arial" w:eastAsia="仿宋_GB2312" w:hAnsi="Arial" w:cs="Arial"/>
          <w:sz w:val="28"/>
          <w:szCs w:val="28"/>
        </w:rPr>
        <w:t>157.2</w:t>
      </w:r>
      <w:r w:rsidRPr="00F631FB">
        <w:rPr>
          <w:rFonts w:ascii="Arial" w:eastAsia="仿宋_GB2312" w:hAnsi="Arial" w:cs="Arial"/>
          <w:sz w:val="28"/>
          <w:szCs w:val="28"/>
        </w:rPr>
        <w:t>千米，占</w:t>
      </w:r>
      <w:r w:rsidRPr="00F631FB">
        <w:rPr>
          <w:rFonts w:ascii="Arial" w:eastAsia="仿宋_GB2312" w:hAnsi="Arial" w:cs="Arial"/>
          <w:sz w:val="28"/>
          <w:szCs w:val="28"/>
        </w:rPr>
        <w:t>10%</w:t>
      </w:r>
      <w:r w:rsidRPr="00F631FB">
        <w:rPr>
          <w:rFonts w:ascii="Arial" w:eastAsia="仿宋_GB2312" w:hAnsi="Arial" w:cs="Arial"/>
          <w:sz w:val="28"/>
          <w:szCs w:val="28"/>
        </w:rPr>
        <w:t>；次干路</w:t>
      </w:r>
      <w:r w:rsidRPr="00F631FB">
        <w:rPr>
          <w:rFonts w:ascii="Arial" w:eastAsia="仿宋_GB2312" w:hAnsi="Arial" w:cs="Arial"/>
          <w:sz w:val="28"/>
          <w:szCs w:val="28"/>
        </w:rPr>
        <w:t>575.1</w:t>
      </w:r>
      <w:r w:rsidRPr="00F631FB">
        <w:rPr>
          <w:rFonts w:ascii="Arial" w:eastAsia="仿宋_GB2312" w:hAnsi="Arial" w:cs="Arial"/>
          <w:sz w:val="28"/>
          <w:szCs w:val="28"/>
        </w:rPr>
        <w:t>千米，占</w:t>
      </w:r>
      <w:r w:rsidRPr="00F631FB">
        <w:rPr>
          <w:rFonts w:ascii="Arial" w:eastAsia="仿宋_GB2312" w:hAnsi="Arial" w:cs="Arial"/>
          <w:sz w:val="28"/>
          <w:szCs w:val="28"/>
        </w:rPr>
        <w:t>38%</w:t>
      </w:r>
      <w:r w:rsidRPr="00F631FB">
        <w:rPr>
          <w:rFonts w:ascii="Arial" w:eastAsia="仿宋_GB2312" w:hAnsi="Arial" w:cs="Arial"/>
          <w:sz w:val="28"/>
          <w:szCs w:val="28"/>
        </w:rPr>
        <w:t>；支路</w:t>
      </w:r>
      <w:r w:rsidRPr="00F631FB">
        <w:rPr>
          <w:rFonts w:ascii="Arial" w:eastAsia="仿宋_GB2312" w:hAnsi="Arial" w:cs="Arial"/>
          <w:sz w:val="28"/>
          <w:szCs w:val="28"/>
        </w:rPr>
        <w:t>680.5</w:t>
      </w:r>
      <w:r w:rsidRPr="00F631FB">
        <w:rPr>
          <w:rFonts w:ascii="Arial" w:eastAsia="仿宋_GB2312" w:hAnsi="Arial" w:cs="Arial"/>
          <w:sz w:val="28"/>
          <w:szCs w:val="28"/>
        </w:rPr>
        <w:t>千米，占</w:t>
      </w:r>
      <w:r w:rsidRPr="00F631FB">
        <w:rPr>
          <w:rFonts w:ascii="Arial" w:eastAsia="仿宋_GB2312" w:hAnsi="Arial" w:cs="Arial"/>
          <w:sz w:val="28"/>
          <w:szCs w:val="28"/>
        </w:rPr>
        <w:t>46%</w:t>
      </w:r>
      <w:r w:rsidRPr="00F631FB">
        <w:rPr>
          <w:rFonts w:ascii="Arial" w:eastAsia="仿宋_GB2312" w:hAnsi="Arial" w:cs="Arial"/>
          <w:sz w:val="28"/>
          <w:szCs w:val="28"/>
        </w:rPr>
        <w:t>。北京三、四、五、六环路和地铁</w:t>
      </w:r>
      <w:r w:rsidRPr="00F631FB">
        <w:rPr>
          <w:rFonts w:ascii="Arial" w:eastAsia="仿宋_GB2312" w:hAnsi="Arial" w:cs="Arial"/>
          <w:sz w:val="28"/>
          <w:szCs w:val="28"/>
        </w:rPr>
        <w:t>1</w:t>
      </w:r>
      <w:r w:rsidRPr="00F631FB">
        <w:rPr>
          <w:rFonts w:ascii="Arial" w:eastAsia="仿宋_GB2312" w:hAnsi="Arial" w:cs="Arial"/>
          <w:sz w:val="28"/>
          <w:szCs w:val="28"/>
        </w:rPr>
        <w:t>号线、</w:t>
      </w:r>
      <w:r w:rsidRPr="00F631FB">
        <w:rPr>
          <w:rFonts w:ascii="Arial" w:eastAsia="仿宋_GB2312" w:hAnsi="Arial" w:cs="Arial"/>
          <w:sz w:val="28"/>
          <w:szCs w:val="28"/>
        </w:rPr>
        <w:t>4</w:t>
      </w:r>
      <w:r w:rsidRPr="00F631FB">
        <w:rPr>
          <w:rFonts w:ascii="Arial" w:eastAsia="仿宋_GB2312" w:hAnsi="Arial" w:cs="Arial"/>
          <w:sz w:val="28"/>
          <w:szCs w:val="28"/>
        </w:rPr>
        <w:t>号线、</w:t>
      </w:r>
      <w:r w:rsidRPr="00F631FB">
        <w:rPr>
          <w:rFonts w:ascii="Arial" w:eastAsia="仿宋_GB2312" w:hAnsi="Arial" w:cs="Arial"/>
          <w:sz w:val="28"/>
          <w:szCs w:val="28"/>
        </w:rPr>
        <w:t>6</w:t>
      </w:r>
      <w:r w:rsidRPr="00F631FB">
        <w:rPr>
          <w:rFonts w:ascii="Arial" w:eastAsia="仿宋_GB2312" w:hAnsi="Arial" w:cs="Arial"/>
          <w:sz w:val="28"/>
          <w:szCs w:val="28"/>
        </w:rPr>
        <w:t>号线、</w:t>
      </w:r>
      <w:r w:rsidRPr="00F631FB">
        <w:rPr>
          <w:rFonts w:ascii="Arial" w:eastAsia="仿宋_GB2312" w:hAnsi="Arial" w:cs="Arial"/>
          <w:sz w:val="28"/>
          <w:szCs w:val="28"/>
        </w:rPr>
        <w:t>8</w:t>
      </w:r>
      <w:r w:rsidRPr="00F631FB">
        <w:rPr>
          <w:rFonts w:ascii="Arial" w:eastAsia="仿宋_GB2312" w:hAnsi="Arial" w:cs="Arial"/>
          <w:sz w:val="28"/>
          <w:szCs w:val="28"/>
        </w:rPr>
        <w:t>号线、</w:t>
      </w:r>
      <w:r w:rsidRPr="00F631FB">
        <w:rPr>
          <w:rFonts w:ascii="Arial" w:eastAsia="仿宋_GB2312" w:hAnsi="Arial" w:cs="Arial"/>
          <w:sz w:val="28"/>
          <w:szCs w:val="28"/>
        </w:rPr>
        <w:t>9</w:t>
      </w:r>
      <w:r w:rsidRPr="00F631FB">
        <w:rPr>
          <w:rFonts w:ascii="Arial" w:eastAsia="仿宋_GB2312" w:hAnsi="Arial" w:cs="Arial"/>
          <w:sz w:val="28"/>
          <w:szCs w:val="28"/>
        </w:rPr>
        <w:t>号线、</w:t>
      </w:r>
      <w:r w:rsidRPr="00F631FB">
        <w:rPr>
          <w:rFonts w:ascii="Arial" w:eastAsia="仿宋_GB2312" w:hAnsi="Arial" w:cs="Arial"/>
          <w:sz w:val="28"/>
          <w:szCs w:val="28"/>
        </w:rPr>
        <w:t>10</w:t>
      </w:r>
      <w:r w:rsidRPr="00F631FB">
        <w:rPr>
          <w:rFonts w:ascii="Arial" w:eastAsia="仿宋_GB2312" w:hAnsi="Arial" w:cs="Arial"/>
          <w:sz w:val="28"/>
          <w:szCs w:val="28"/>
        </w:rPr>
        <w:t>号线、</w:t>
      </w:r>
      <w:r w:rsidRPr="00F631FB">
        <w:rPr>
          <w:rFonts w:ascii="Arial" w:eastAsia="仿宋_GB2312" w:hAnsi="Arial" w:cs="Arial"/>
          <w:sz w:val="28"/>
          <w:szCs w:val="28"/>
        </w:rPr>
        <w:t>13</w:t>
      </w:r>
      <w:r w:rsidRPr="00F631FB">
        <w:rPr>
          <w:rFonts w:ascii="Arial" w:eastAsia="仿宋_GB2312" w:hAnsi="Arial" w:cs="Arial"/>
          <w:sz w:val="28"/>
          <w:szCs w:val="28"/>
        </w:rPr>
        <w:t>号线、</w:t>
      </w:r>
      <w:r w:rsidRPr="00F631FB">
        <w:rPr>
          <w:rFonts w:ascii="Arial" w:eastAsia="仿宋_GB2312" w:hAnsi="Arial" w:cs="Arial"/>
          <w:sz w:val="28"/>
          <w:szCs w:val="28"/>
        </w:rPr>
        <w:t>15</w:t>
      </w:r>
      <w:r w:rsidRPr="00F631FB">
        <w:rPr>
          <w:rFonts w:ascii="Arial" w:eastAsia="仿宋_GB2312" w:hAnsi="Arial" w:cs="Arial"/>
          <w:sz w:val="28"/>
          <w:szCs w:val="28"/>
        </w:rPr>
        <w:t>号线、</w:t>
      </w:r>
      <w:r w:rsidRPr="00F631FB">
        <w:rPr>
          <w:rFonts w:ascii="Arial" w:eastAsia="仿宋_GB2312" w:hAnsi="Arial" w:cs="Arial"/>
          <w:sz w:val="28"/>
          <w:szCs w:val="28"/>
        </w:rPr>
        <w:t>16</w:t>
      </w:r>
      <w:r w:rsidRPr="00F631FB">
        <w:rPr>
          <w:rFonts w:ascii="Arial" w:eastAsia="仿宋_GB2312" w:hAnsi="Arial" w:cs="Arial"/>
          <w:sz w:val="28"/>
          <w:szCs w:val="28"/>
        </w:rPr>
        <w:t>号线和</w:t>
      </w:r>
      <w:proofErr w:type="gramStart"/>
      <w:r w:rsidRPr="00F631FB">
        <w:rPr>
          <w:rFonts w:ascii="Arial" w:eastAsia="仿宋_GB2312" w:hAnsi="Arial" w:cs="Arial"/>
          <w:sz w:val="28"/>
          <w:szCs w:val="28"/>
        </w:rPr>
        <w:t>昌平线</w:t>
      </w:r>
      <w:proofErr w:type="gramEnd"/>
      <w:r w:rsidRPr="00F631FB">
        <w:rPr>
          <w:rFonts w:ascii="Arial" w:eastAsia="仿宋_GB2312" w:hAnsi="Arial" w:cs="Arial"/>
          <w:sz w:val="28"/>
          <w:szCs w:val="28"/>
        </w:rPr>
        <w:t>贯穿海淀区境内。</w:t>
      </w:r>
    </w:p>
    <w:p w14:paraId="0E387D4F" w14:textId="77777777" w:rsidR="00A145B3" w:rsidRPr="00F631FB" w:rsidRDefault="00A145B3" w:rsidP="00A145B3">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估价对象紧邻城市</w:t>
      </w:r>
      <w:r>
        <w:rPr>
          <w:rFonts w:ascii="Arial" w:eastAsia="仿宋_GB2312" w:hAnsi="Arial" w:cs="Arial" w:hint="eastAsia"/>
          <w:sz w:val="28"/>
          <w:szCs w:val="28"/>
        </w:rPr>
        <w:t>主</w:t>
      </w:r>
      <w:r w:rsidRPr="00F631FB">
        <w:rPr>
          <w:rFonts w:ascii="Arial" w:eastAsia="仿宋_GB2312" w:hAnsi="Arial" w:cs="Arial" w:hint="eastAsia"/>
          <w:sz w:val="28"/>
          <w:szCs w:val="28"/>
        </w:rPr>
        <w:t>干道</w:t>
      </w:r>
      <w:r w:rsidRPr="00F631FB">
        <w:rPr>
          <w:rFonts w:ascii="Arial" w:eastAsia="仿宋_GB2312" w:hAnsi="Arial" w:cs="Arial"/>
          <w:sz w:val="28"/>
          <w:szCs w:val="28"/>
        </w:rPr>
        <w:t>—</w:t>
      </w:r>
      <w:r>
        <w:rPr>
          <w:rFonts w:ascii="Arial" w:eastAsia="仿宋_GB2312" w:hAnsi="Arial" w:cs="Arial" w:hint="eastAsia"/>
          <w:sz w:val="28"/>
          <w:szCs w:val="28"/>
        </w:rPr>
        <w:t>海淀南路、苏州街</w:t>
      </w:r>
      <w:r w:rsidRPr="00F631FB">
        <w:rPr>
          <w:rFonts w:ascii="Arial" w:eastAsia="仿宋_GB2312" w:hAnsi="Arial" w:cs="Arial" w:hint="eastAsia"/>
          <w:sz w:val="28"/>
          <w:szCs w:val="28"/>
        </w:rPr>
        <w:t>，</w:t>
      </w:r>
      <w:r>
        <w:rPr>
          <w:rFonts w:ascii="Arial" w:eastAsia="仿宋_GB2312" w:hAnsi="Arial" w:cs="Arial" w:hint="eastAsia"/>
          <w:sz w:val="28"/>
          <w:szCs w:val="28"/>
        </w:rPr>
        <w:t>南</w:t>
      </w:r>
      <w:r w:rsidRPr="00F631FB">
        <w:rPr>
          <w:rFonts w:ascii="Arial" w:eastAsia="仿宋_GB2312" w:hAnsi="Arial" w:cs="Arial" w:hint="eastAsia"/>
          <w:sz w:val="28"/>
          <w:szCs w:val="28"/>
        </w:rPr>
        <w:t>距</w:t>
      </w:r>
      <w:r>
        <w:rPr>
          <w:rFonts w:ascii="Arial" w:eastAsia="仿宋_GB2312" w:hAnsi="Arial" w:cs="Arial" w:hint="eastAsia"/>
          <w:sz w:val="28"/>
          <w:szCs w:val="28"/>
        </w:rPr>
        <w:t>北三环西路约</w:t>
      </w:r>
      <w:r>
        <w:rPr>
          <w:rFonts w:ascii="Arial" w:eastAsia="仿宋_GB2312" w:hAnsi="Arial" w:cs="Arial" w:hint="eastAsia"/>
          <w:sz w:val="28"/>
          <w:szCs w:val="28"/>
        </w:rPr>
        <w:t>1</w:t>
      </w:r>
      <w:r>
        <w:rPr>
          <w:rFonts w:ascii="Arial" w:eastAsia="仿宋_GB2312" w:hAnsi="Arial" w:cs="Arial"/>
          <w:sz w:val="28"/>
          <w:szCs w:val="28"/>
        </w:rPr>
        <w:t>500</w:t>
      </w:r>
      <w:r>
        <w:rPr>
          <w:rFonts w:ascii="Arial" w:eastAsia="仿宋_GB2312" w:hAnsi="Arial" w:cs="Arial" w:hint="eastAsia"/>
          <w:sz w:val="28"/>
          <w:szCs w:val="28"/>
        </w:rPr>
        <w:t>米</w:t>
      </w:r>
      <w:r w:rsidRPr="00F631FB">
        <w:rPr>
          <w:rFonts w:ascii="Arial" w:eastAsia="仿宋_GB2312" w:hAnsi="Arial" w:cs="Arial"/>
          <w:sz w:val="28"/>
          <w:szCs w:val="28"/>
        </w:rPr>
        <w:t>，</w:t>
      </w:r>
      <w:r w:rsidRPr="00F631FB">
        <w:rPr>
          <w:rFonts w:ascii="Arial" w:eastAsia="仿宋_GB2312" w:hAnsi="Arial" w:cs="Arial" w:hint="eastAsia"/>
          <w:sz w:val="28"/>
          <w:szCs w:val="28"/>
        </w:rPr>
        <w:t>距北京首都国际机场约</w:t>
      </w:r>
      <w:r>
        <w:rPr>
          <w:rFonts w:ascii="Arial" w:eastAsia="仿宋_GB2312" w:hAnsi="Arial" w:cs="Arial"/>
          <w:sz w:val="28"/>
          <w:szCs w:val="28"/>
        </w:rPr>
        <w:t>29</w:t>
      </w:r>
      <w:r w:rsidRPr="00F631FB">
        <w:rPr>
          <w:rFonts w:ascii="Arial" w:eastAsia="仿宋_GB2312" w:hAnsi="Arial" w:cs="Arial" w:hint="eastAsia"/>
          <w:sz w:val="28"/>
          <w:szCs w:val="28"/>
        </w:rPr>
        <w:t>公里，距北京</w:t>
      </w:r>
      <w:r>
        <w:rPr>
          <w:rFonts w:ascii="Arial" w:eastAsia="仿宋_GB2312" w:hAnsi="Arial" w:cs="Arial" w:hint="eastAsia"/>
          <w:sz w:val="28"/>
          <w:szCs w:val="28"/>
        </w:rPr>
        <w:t>站</w:t>
      </w:r>
      <w:r w:rsidRPr="00F631FB">
        <w:rPr>
          <w:rFonts w:ascii="Arial" w:eastAsia="仿宋_GB2312" w:hAnsi="Arial" w:cs="Arial" w:hint="eastAsia"/>
          <w:sz w:val="28"/>
          <w:szCs w:val="28"/>
        </w:rPr>
        <w:t>约</w:t>
      </w:r>
      <w:r w:rsidRPr="00F631FB">
        <w:rPr>
          <w:rFonts w:ascii="Arial" w:eastAsia="仿宋_GB2312" w:hAnsi="Arial" w:cs="Arial" w:hint="eastAsia"/>
          <w:sz w:val="28"/>
          <w:szCs w:val="28"/>
        </w:rPr>
        <w:t>1</w:t>
      </w:r>
      <w:r>
        <w:rPr>
          <w:rFonts w:ascii="Arial" w:eastAsia="仿宋_GB2312" w:hAnsi="Arial" w:cs="Arial"/>
          <w:sz w:val="28"/>
          <w:szCs w:val="28"/>
        </w:rPr>
        <w:t>3</w:t>
      </w:r>
      <w:r w:rsidRPr="00F631FB">
        <w:rPr>
          <w:rFonts w:ascii="Arial" w:eastAsia="仿宋_GB2312" w:hAnsi="Arial" w:cs="Arial" w:hint="eastAsia"/>
          <w:sz w:val="28"/>
          <w:szCs w:val="28"/>
        </w:rPr>
        <w:t>公里</w:t>
      </w:r>
      <w:r w:rsidRPr="00F631FB">
        <w:rPr>
          <w:rFonts w:ascii="Arial" w:eastAsia="仿宋_GB2312" w:hAnsi="Arial" w:cs="Arial"/>
          <w:sz w:val="28"/>
          <w:szCs w:val="28"/>
        </w:rPr>
        <w:t>，</w:t>
      </w:r>
      <w:r>
        <w:rPr>
          <w:rFonts w:ascii="Arial" w:eastAsia="仿宋_GB2312" w:hAnsi="Arial" w:cs="Arial" w:hint="eastAsia"/>
          <w:sz w:val="28"/>
          <w:szCs w:val="28"/>
        </w:rPr>
        <w:t>紧邻地铁</w:t>
      </w:r>
      <w:r>
        <w:rPr>
          <w:rFonts w:ascii="Arial" w:eastAsia="仿宋_GB2312" w:hAnsi="Arial" w:cs="Arial" w:hint="eastAsia"/>
          <w:sz w:val="28"/>
          <w:szCs w:val="28"/>
        </w:rPr>
        <w:t>1</w:t>
      </w:r>
      <w:r>
        <w:rPr>
          <w:rFonts w:ascii="Arial" w:eastAsia="仿宋_GB2312" w:hAnsi="Arial" w:cs="Arial"/>
          <w:sz w:val="28"/>
          <w:szCs w:val="28"/>
        </w:rPr>
        <w:t>0</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6</w:t>
      </w:r>
      <w:r>
        <w:rPr>
          <w:rFonts w:ascii="Arial" w:eastAsia="仿宋_GB2312" w:hAnsi="Arial" w:cs="Arial" w:hint="eastAsia"/>
          <w:sz w:val="28"/>
          <w:szCs w:val="28"/>
        </w:rPr>
        <w:t>号线（苏州街站）</w:t>
      </w:r>
      <w:r w:rsidRPr="00F631FB">
        <w:rPr>
          <w:rFonts w:ascii="Arial" w:eastAsia="仿宋_GB2312" w:hAnsi="Arial" w:cs="Arial" w:hint="eastAsia"/>
          <w:sz w:val="28"/>
          <w:szCs w:val="28"/>
        </w:rPr>
        <w:t>，周边有</w:t>
      </w:r>
      <w:r>
        <w:rPr>
          <w:rFonts w:ascii="Arial" w:eastAsia="仿宋_GB2312" w:hAnsi="Arial" w:cs="Arial"/>
          <w:sz w:val="28"/>
          <w:szCs w:val="28"/>
        </w:rPr>
        <w:t>304</w:t>
      </w:r>
      <w:r w:rsidRPr="00F631FB">
        <w:rPr>
          <w:rFonts w:ascii="Arial" w:eastAsia="仿宋_GB2312" w:hAnsi="Arial" w:cs="Arial" w:hint="eastAsia"/>
          <w:sz w:val="28"/>
          <w:szCs w:val="28"/>
        </w:rPr>
        <w:t>路、</w:t>
      </w:r>
      <w:r>
        <w:rPr>
          <w:rFonts w:ascii="Arial" w:eastAsia="仿宋_GB2312" w:hAnsi="Arial" w:cs="Arial"/>
          <w:sz w:val="28"/>
          <w:szCs w:val="28"/>
        </w:rPr>
        <w:t>307</w:t>
      </w:r>
      <w:r w:rsidRPr="00F631FB">
        <w:rPr>
          <w:rFonts w:ascii="Arial" w:eastAsia="仿宋_GB2312" w:hAnsi="Arial" w:cs="Arial" w:hint="eastAsia"/>
          <w:sz w:val="28"/>
          <w:szCs w:val="28"/>
        </w:rPr>
        <w:t>路、</w:t>
      </w:r>
      <w:r>
        <w:rPr>
          <w:rFonts w:ascii="Arial" w:eastAsia="仿宋_GB2312" w:hAnsi="Arial" w:cs="Arial"/>
          <w:sz w:val="28"/>
          <w:szCs w:val="28"/>
        </w:rPr>
        <w:t>386</w:t>
      </w:r>
      <w:r w:rsidRPr="00F631FB">
        <w:rPr>
          <w:rFonts w:ascii="Arial" w:eastAsia="仿宋_GB2312" w:hAnsi="Arial" w:cs="Arial" w:hint="eastAsia"/>
          <w:sz w:val="28"/>
          <w:szCs w:val="28"/>
        </w:rPr>
        <w:t>路、</w:t>
      </w:r>
      <w:r>
        <w:rPr>
          <w:rFonts w:ascii="Arial" w:eastAsia="仿宋_GB2312" w:hAnsi="Arial" w:cs="Arial" w:hint="eastAsia"/>
          <w:sz w:val="28"/>
          <w:szCs w:val="28"/>
        </w:rPr>
        <w:t>6</w:t>
      </w:r>
      <w:r>
        <w:rPr>
          <w:rFonts w:ascii="Arial" w:eastAsia="仿宋_GB2312" w:hAnsi="Arial" w:cs="Arial"/>
          <w:sz w:val="28"/>
          <w:szCs w:val="28"/>
        </w:rPr>
        <w:t>30</w:t>
      </w:r>
      <w:r w:rsidRPr="00F631FB">
        <w:rPr>
          <w:rFonts w:ascii="Arial" w:eastAsia="仿宋_GB2312" w:hAnsi="Arial" w:cs="Arial" w:hint="eastAsia"/>
          <w:sz w:val="28"/>
          <w:szCs w:val="28"/>
        </w:rPr>
        <w:t>路、</w:t>
      </w:r>
      <w:r>
        <w:rPr>
          <w:rFonts w:ascii="Arial" w:eastAsia="仿宋_GB2312" w:hAnsi="Arial" w:cs="Arial" w:hint="eastAsia"/>
          <w:sz w:val="28"/>
          <w:szCs w:val="28"/>
        </w:rPr>
        <w:t>6</w:t>
      </w:r>
      <w:r>
        <w:rPr>
          <w:rFonts w:ascii="Arial" w:eastAsia="仿宋_GB2312" w:hAnsi="Arial" w:cs="Arial"/>
          <w:sz w:val="28"/>
          <w:szCs w:val="28"/>
        </w:rPr>
        <w:t>34</w:t>
      </w:r>
      <w:r w:rsidRPr="00F631FB">
        <w:rPr>
          <w:rFonts w:ascii="Arial" w:eastAsia="仿宋_GB2312" w:hAnsi="Arial" w:cs="Arial" w:hint="eastAsia"/>
          <w:sz w:val="28"/>
          <w:szCs w:val="28"/>
        </w:rPr>
        <w:t>路、</w:t>
      </w:r>
      <w:r>
        <w:rPr>
          <w:rFonts w:ascii="Arial" w:eastAsia="仿宋_GB2312" w:hAnsi="Arial" w:cs="Arial"/>
          <w:sz w:val="28"/>
          <w:szCs w:val="28"/>
        </w:rPr>
        <w:t>671</w:t>
      </w:r>
      <w:r w:rsidRPr="00F631FB">
        <w:rPr>
          <w:rFonts w:ascii="Arial" w:eastAsia="仿宋_GB2312" w:hAnsi="Arial" w:cs="Arial" w:hint="eastAsia"/>
          <w:sz w:val="28"/>
          <w:szCs w:val="28"/>
        </w:rPr>
        <w:t>路</w:t>
      </w:r>
      <w:r>
        <w:rPr>
          <w:rFonts w:ascii="Arial" w:eastAsia="仿宋_GB2312" w:hAnsi="Arial" w:cs="Arial" w:hint="eastAsia"/>
          <w:sz w:val="28"/>
          <w:szCs w:val="28"/>
        </w:rPr>
        <w:t>等</w:t>
      </w:r>
      <w:r w:rsidRPr="00F631FB">
        <w:rPr>
          <w:rFonts w:ascii="Arial" w:eastAsia="仿宋_GB2312" w:hAnsi="Arial" w:cs="Arial"/>
          <w:sz w:val="28"/>
          <w:szCs w:val="28"/>
        </w:rPr>
        <w:t>多条公交线路通过，综合评价交通便捷度</w:t>
      </w:r>
      <w:r w:rsidRPr="00F631FB">
        <w:rPr>
          <w:rFonts w:ascii="Arial" w:eastAsia="仿宋_GB2312" w:hAnsi="Arial" w:cs="Arial" w:hint="eastAsia"/>
          <w:sz w:val="28"/>
          <w:szCs w:val="28"/>
        </w:rPr>
        <w:t>较</w:t>
      </w:r>
      <w:r w:rsidRPr="00F631FB">
        <w:rPr>
          <w:rFonts w:ascii="Arial" w:eastAsia="仿宋_GB2312" w:hAnsi="Arial" w:cs="Arial"/>
          <w:sz w:val="28"/>
          <w:szCs w:val="28"/>
        </w:rPr>
        <w:t>好。</w:t>
      </w:r>
    </w:p>
    <w:p w14:paraId="282C0622"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环境条件</w:t>
      </w:r>
    </w:p>
    <w:p w14:paraId="3BF4164D" w14:textId="77777777" w:rsidR="00A145B3" w:rsidRPr="00F631FB" w:rsidRDefault="00A145B3" w:rsidP="00A145B3">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海淀山区分布</w:t>
      </w:r>
      <w:proofErr w:type="gramStart"/>
      <w:r w:rsidRPr="00F631FB">
        <w:rPr>
          <w:rFonts w:ascii="Arial" w:eastAsia="仿宋_GB2312" w:hAnsi="Arial" w:cs="Arial"/>
          <w:sz w:val="28"/>
          <w:szCs w:val="28"/>
        </w:rPr>
        <w:t>于区境西部</w:t>
      </w:r>
      <w:proofErr w:type="gramEnd"/>
      <w:r w:rsidRPr="00F631FB">
        <w:rPr>
          <w:rFonts w:ascii="Arial" w:eastAsia="仿宋_GB2312" w:hAnsi="Arial" w:cs="Arial"/>
          <w:sz w:val="28"/>
          <w:szCs w:val="28"/>
        </w:rPr>
        <w:t>，山体主要属中生代燕山构造旋</w:t>
      </w:r>
      <w:proofErr w:type="gramStart"/>
      <w:r w:rsidRPr="00F631FB">
        <w:rPr>
          <w:rFonts w:ascii="Arial" w:eastAsia="仿宋_GB2312" w:hAnsi="Arial" w:cs="Arial"/>
          <w:sz w:val="28"/>
          <w:szCs w:val="28"/>
        </w:rPr>
        <w:t>迥</w:t>
      </w:r>
      <w:proofErr w:type="gramEnd"/>
      <w:r w:rsidRPr="00F631FB">
        <w:rPr>
          <w:rFonts w:ascii="Arial" w:eastAsia="仿宋_GB2312" w:hAnsi="Arial" w:cs="Arial"/>
          <w:sz w:val="28"/>
          <w:szCs w:val="28"/>
        </w:rPr>
        <w:t>，晚期造山运动形成，至今约</w:t>
      </w:r>
      <w:r w:rsidRPr="00F631FB">
        <w:rPr>
          <w:rFonts w:ascii="Arial" w:eastAsia="仿宋_GB2312" w:hAnsi="Arial" w:cs="Arial"/>
          <w:sz w:val="28"/>
          <w:szCs w:val="28"/>
        </w:rPr>
        <w:t>6000</w:t>
      </w:r>
      <w:r w:rsidRPr="00F631FB">
        <w:rPr>
          <w:rFonts w:ascii="Arial" w:eastAsia="仿宋_GB2312" w:hAnsi="Arial" w:cs="Arial"/>
          <w:sz w:val="28"/>
          <w:szCs w:val="28"/>
        </w:rPr>
        <w:t>万年。山体剥蚀，风化强烈，山谷多呈</w:t>
      </w:r>
      <w:r w:rsidRPr="00F631FB">
        <w:rPr>
          <w:rFonts w:ascii="Arial" w:eastAsia="仿宋_GB2312" w:hAnsi="Arial" w:cs="Arial"/>
          <w:sz w:val="28"/>
          <w:szCs w:val="28"/>
        </w:rPr>
        <w:t>“U”</w:t>
      </w:r>
      <w:r w:rsidRPr="00F631FB">
        <w:rPr>
          <w:rFonts w:ascii="Arial" w:eastAsia="仿宋_GB2312" w:hAnsi="Arial" w:cs="Arial"/>
          <w:sz w:val="28"/>
          <w:szCs w:val="28"/>
        </w:rPr>
        <w:t>形。按山体走向和山脊海拔高程差异以</w:t>
      </w:r>
      <w:r w:rsidR="00790873">
        <w:fldChar w:fldCharType="begin"/>
      </w:r>
      <w:r w:rsidR="00790873">
        <w:instrText xml:space="preserve"> HYPERLINK "https://baike.baidu.com/item/%E8%8B%8F%E5%AE%B6%E5%9D%A8%E9%95%87" \t "_blank" </w:instrText>
      </w:r>
      <w:r w:rsidR="00790873">
        <w:fldChar w:fldCharType="separate"/>
      </w:r>
      <w:r w:rsidRPr="00F631FB">
        <w:rPr>
          <w:rFonts w:ascii="Arial" w:eastAsia="仿宋_GB2312" w:hAnsi="Arial" w:cs="Arial"/>
          <w:sz w:val="28"/>
          <w:szCs w:val="28"/>
        </w:rPr>
        <w:t>苏家坨镇</w:t>
      </w:r>
      <w:r w:rsidR="00790873">
        <w:rPr>
          <w:rFonts w:ascii="Arial" w:eastAsia="仿宋_GB2312" w:hAnsi="Arial" w:cs="Arial"/>
          <w:sz w:val="28"/>
          <w:szCs w:val="28"/>
        </w:rPr>
        <w:fldChar w:fldCharType="end"/>
      </w:r>
      <w:r w:rsidRPr="00F631FB">
        <w:rPr>
          <w:rFonts w:ascii="Arial" w:eastAsia="仿宋_GB2312" w:hAnsi="Arial" w:cs="Arial"/>
          <w:sz w:val="28"/>
          <w:szCs w:val="28"/>
        </w:rPr>
        <w:t>寨口沟，北</w:t>
      </w:r>
      <w:proofErr w:type="gramStart"/>
      <w:r w:rsidRPr="00F631FB">
        <w:rPr>
          <w:rFonts w:ascii="Arial" w:eastAsia="仿宋_GB2312" w:hAnsi="Arial" w:cs="Arial"/>
          <w:sz w:val="28"/>
          <w:szCs w:val="28"/>
        </w:rPr>
        <w:t>北</w:t>
      </w:r>
      <w:proofErr w:type="gramEnd"/>
      <w:r w:rsidRPr="00F631FB">
        <w:rPr>
          <w:rFonts w:ascii="Arial" w:eastAsia="仿宋_GB2312" w:hAnsi="Arial" w:cs="Arial"/>
          <w:sz w:val="28"/>
          <w:szCs w:val="28"/>
        </w:rPr>
        <w:t>东向断层为界，可分为两个部分：从原</w:t>
      </w:r>
      <w:proofErr w:type="gramStart"/>
      <w:r w:rsidRPr="00F631FB">
        <w:rPr>
          <w:rFonts w:ascii="Arial" w:eastAsia="仿宋_GB2312" w:hAnsi="Arial" w:cs="Arial"/>
          <w:sz w:val="28"/>
          <w:szCs w:val="28"/>
        </w:rPr>
        <w:t>聂</w:t>
      </w:r>
      <w:proofErr w:type="gramEnd"/>
      <w:r w:rsidRPr="00F631FB">
        <w:rPr>
          <w:rFonts w:ascii="Arial" w:eastAsia="仿宋_GB2312" w:hAnsi="Arial" w:cs="Arial"/>
          <w:sz w:val="28"/>
          <w:szCs w:val="28"/>
        </w:rPr>
        <w:t>各庄乡北部区界到原北安</w:t>
      </w:r>
      <w:proofErr w:type="gramStart"/>
      <w:r w:rsidRPr="00F631FB">
        <w:rPr>
          <w:rFonts w:ascii="Arial" w:eastAsia="仿宋_GB2312" w:hAnsi="Arial" w:cs="Arial"/>
          <w:sz w:val="28"/>
          <w:szCs w:val="28"/>
        </w:rPr>
        <w:t>河乡寨口沟</w:t>
      </w:r>
      <w:proofErr w:type="gramEnd"/>
      <w:r w:rsidRPr="00F631FB">
        <w:rPr>
          <w:rFonts w:ascii="Arial" w:eastAsia="仿宋_GB2312" w:hAnsi="Arial" w:cs="Arial"/>
          <w:sz w:val="28"/>
          <w:szCs w:val="28"/>
        </w:rPr>
        <w:t>称大西山，原北安</w:t>
      </w:r>
      <w:proofErr w:type="gramStart"/>
      <w:r w:rsidRPr="00F631FB">
        <w:rPr>
          <w:rFonts w:ascii="Arial" w:eastAsia="仿宋_GB2312" w:hAnsi="Arial" w:cs="Arial"/>
          <w:sz w:val="28"/>
          <w:szCs w:val="28"/>
        </w:rPr>
        <w:t>河乡寨口沟</w:t>
      </w:r>
      <w:proofErr w:type="gramEnd"/>
      <w:r w:rsidRPr="00F631FB">
        <w:rPr>
          <w:rFonts w:ascii="Arial" w:eastAsia="仿宋_GB2312" w:hAnsi="Arial" w:cs="Arial"/>
          <w:sz w:val="28"/>
          <w:szCs w:val="28"/>
        </w:rPr>
        <w:t>以东山区部分称小西山。</w:t>
      </w:r>
    </w:p>
    <w:p w14:paraId="1E085A8C" w14:textId="77777777" w:rsidR="00A145B3" w:rsidRPr="00F631FB" w:rsidRDefault="00A145B3" w:rsidP="00A145B3">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海淀区平原属</w:t>
      </w:r>
      <w:hyperlink r:id="rId73" w:tgtFrame="_blank" w:history="1">
        <w:r w:rsidRPr="00F631FB">
          <w:rPr>
            <w:rFonts w:ascii="Arial" w:eastAsia="仿宋_GB2312" w:hAnsi="Arial" w:cs="Arial"/>
            <w:sz w:val="28"/>
            <w:szCs w:val="28"/>
          </w:rPr>
          <w:t>华北平原</w:t>
        </w:r>
      </w:hyperlink>
      <w:r w:rsidRPr="00F631FB">
        <w:rPr>
          <w:rFonts w:ascii="Arial" w:eastAsia="仿宋_GB2312" w:hAnsi="Arial" w:cs="Arial"/>
          <w:sz w:val="28"/>
          <w:szCs w:val="28"/>
        </w:rPr>
        <w:t>北部边缘，分两部分：</w:t>
      </w:r>
      <w:hyperlink r:id="rId74" w:tgtFrame="_blank" w:history="1">
        <w:r w:rsidRPr="00F631FB">
          <w:rPr>
            <w:rFonts w:ascii="Arial" w:eastAsia="仿宋_GB2312" w:hAnsi="Arial" w:cs="Arial"/>
            <w:sz w:val="28"/>
            <w:szCs w:val="28"/>
          </w:rPr>
          <w:t>百望山</w:t>
        </w:r>
      </w:hyperlink>
      <w:r w:rsidRPr="00F631FB">
        <w:rPr>
          <w:rFonts w:ascii="Arial" w:eastAsia="仿宋_GB2312" w:hAnsi="Arial" w:cs="Arial"/>
          <w:sz w:val="28"/>
          <w:szCs w:val="28"/>
        </w:rPr>
        <w:t>以南称山前平原区，</w:t>
      </w:r>
      <w:r w:rsidRPr="00F631FB">
        <w:rPr>
          <w:rFonts w:ascii="Arial" w:eastAsia="仿宋_GB2312" w:hAnsi="Arial" w:cs="Arial"/>
          <w:sz w:val="28"/>
          <w:szCs w:val="28"/>
        </w:rPr>
        <w:lastRenderedPageBreak/>
        <w:t>百望山以北称山后平原区。山前、山后从气候、降雨、到水资源赋存情况都有明显差异。</w:t>
      </w:r>
    </w:p>
    <w:p w14:paraId="418666C7" w14:textId="77777777" w:rsidR="00A145B3" w:rsidRPr="00F631FB" w:rsidRDefault="00A145B3" w:rsidP="00A145B3">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海淀区水域面积在北京</w:t>
      </w:r>
      <w:proofErr w:type="gramStart"/>
      <w:r w:rsidRPr="00F631FB">
        <w:rPr>
          <w:rFonts w:ascii="Arial" w:eastAsia="仿宋_GB2312" w:hAnsi="Arial" w:cs="Arial"/>
          <w:sz w:val="28"/>
          <w:szCs w:val="28"/>
        </w:rPr>
        <w:t>近郊区居第一位</w:t>
      </w:r>
      <w:proofErr w:type="gramEnd"/>
      <w:r w:rsidRPr="00F631FB">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5C21C9CA" w14:textId="77777777" w:rsidR="00A145B3" w:rsidRPr="00F631FB" w:rsidRDefault="00A145B3" w:rsidP="00A145B3">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估价对象所在</w:t>
      </w:r>
      <w:r>
        <w:rPr>
          <w:rFonts w:ascii="Arial" w:eastAsia="仿宋_GB2312" w:hAnsi="Arial" w:cs="Arial" w:hint="eastAsia"/>
          <w:sz w:val="28"/>
          <w:szCs w:val="28"/>
        </w:rPr>
        <w:t>苏州街</w:t>
      </w:r>
      <w:r w:rsidRPr="00F631FB">
        <w:rPr>
          <w:rFonts w:ascii="Arial" w:eastAsia="仿宋_GB2312" w:hAnsi="Arial" w:cs="Arial"/>
          <w:sz w:val="28"/>
          <w:szCs w:val="28"/>
        </w:rPr>
        <w:t>周边绿化条件较好，周边</w:t>
      </w:r>
      <w:r w:rsidRPr="00F631FB">
        <w:rPr>
          <w:rFonts w:ascii="Arial" w:eastAsia="仿宋_GB2312" w:hAnsi="Arial" w:cs="Arial"/>
          <w:sz w:val="28"/>
          <w:szCs w:val="28"/>
        </w:rPr>
        <w:t>2</w:t>
      </w:r>
      <w:r w:rsidRPr="00F631FB">
        <w:rPr>
          <w:rFonts w:ascii="Arial" w:eastAsia="仿宋_GB2312" w:hAnsi="Arial" w:cs="Arial"/>
          <w:sz w:val="28"/>
          <w:szCs w:val="28"/>
        </w:rPr>
        <w:t>公里内</w:t>
      </w:r>
      <w:r>
        <w:rPr>
          <w:rFonts w:ascii="Arial" w:eastAsia="仿宋_GB2312" w:hAnsi="Arial" w:cs="Arial" w:hint="eastAsia"/>
          <w:sz w:val="28"/>
          <w:szCs w:val="28"/>
        </w:rPr>
        <w:t>有海淀公园、知春公园、</w:t>
      </w:r>
      <w:proofErr w:type="gramStart"/>
      <w:r>
        <w:rPr>
          <w:rFonts w:ascii="Arial" w:eastAsia="仿宋_GB2312" w:hAnsi="Arial" w:cs="Arial" w:hint="eastAsia"/>
          <w:sz w:val="28"/>
          <w:szCs w:val="28"/>
        </w:rPr>
        <w:t>巴沟山水园</w:t>
      </w:r>
      <w:proofErr w:type="gramEnd"/>
      <w:r w:rsidRPr="00F631FB">
        <w:rPr>
          <w:rFonts w:ascii="Arial" w:eastAsia="仿宋_GB2312" w:hAnsi="Arial" w:cs="Arial" w:hint="eastAsia"/>
          <w:sz w:val="28"/>
          <w:szCs w:val="28"/>
        </w:rPr>
        <w:t>等</w:t>
      </w:r>
      <w:r w:rsidRPr="00F631FB">
        <w:rPr>
          <w:rFonts w:ascii="Arial" w:eastAsia="仿宋_GB2312" w:hAnsi="Arial" w:cs="Arial"/>
          <w:sz w:val="28"/>
          <w:szCs w:val="28"/>
        </w:rPr>
        <w:t>；</w:t>
      </w:r>
      <w:r>
        <w:rPr>
          <w:rFonts w:ascii="Arial" w:eastAsia="仿宋_GB2312" w:hAnsi="Arial" w:cs="Arial" w:hint="eastAsia"/>
          <w:sz w:val="28"/>
          <w:szCs w:val="28"/>
        </w:rPr>
        <w:t>中国人民大学、北京大学</w:t>
      </w:r>
      <w:r w:rsidRPr="00F631FB">
        <w:rPr>
          <w:rFonts w:ascii="Arial" w:eastAsia="仿宋_GB2312" w:hAnsi="Arial" w:cs="Arial"/>
          <w:sz w:val="28"/>
          <w:szCs w:val="28"/>
        </w:rPr>
        <w:t>等人文设施，综合考虑自然环境与人文环境</w:t>
      </w:r>
      <w:r w:rsidRPr="00F631FB">
        <w:rPr>
          <w:rFonts w:ascii="Arial" w:eastAsia="仿宋_GB2312" w:hAnsi="Arial" w:cs="Arial" w:hint="eastAsia"/>
          <w:sz w:val="28"/>
          <w:szCs w:val="28"/>
        </w:rPr>
        <w:t>较</w:t>
      </w:r>
      <w:r w:rsidRPr="00F631FB">
        <w:rPr>
          <w:rFonts w:ascii="Arial" w:eastAsia="仿宋_GB2312" w:hAnsi="Arial" w:cs="Arial"/>
          <w:sz w:val="28"/>
          <w:szCs w:val="28"/>
        </w:rPr>
        <w:t>好。</w:t>
      </w:r>
    </w:p>
    <w:p w14:paraId="174740FF"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基础</w:t>
      </w:r>
      <w:proofErr w:type="gramStart"/>
      <w:r w:rsidRPr="00F631FB">
        <w:rPr>
          <w:rFonts w:ascii="Arial" w:eastAsia="仿宋_GB2312" w:hAnsi="Arial" w:cs="Arial"/>
          <w:sz w:val="28"/>
        </w:rPr>
        <w:t>设施设施</w:t>
      </w:r>
      <w:proofErr w:type="gramEnd"/>
      <w:r w:rsidRPr="00F631FB">
        <w:rPr>
          <w:rFonts w:ascii="Arial" w:eastAsia="仿宋_GB2312" w:hAnsi="Arial" w:cs="Arial"/>
          <w:sz w:val="28"/>
        </w:rPr>
        <w:t>条件</w:t>
      </w:r>
    </w:p>
    <w:p w14:paraId="23953EB8"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F631FB">
        <w:rPr>
          <w:rFonts w:ascii="Arial" w:eastAsia="仿宋_GB2312" w:hAnsi="Arial" w:cs="Arial"/>
          <w:sz w:val="28"/>
        </w:rPr>
        <w:t>学区化</w:t>
      </w:r>
      <w:proofErr w:type="gramEnd"/>
      <w:r w:rsidRPr="00F631FB">
        <w:rPr>
          <w:rFonts w:ascii="Arial" w:eastAsia="仿宋_GB2312" w:hAnsi="Arial" w:cs="Arial"/>
          <w:sz w:val="28"/>
        </w:rPr>
        <w:t>管理模式。优质的社会公共服务、完善的城市基础设施、高效的城市管理以及良好的政府服务，为区域全面协调发展奠定了坚实基础。</w:t>
      </w:r>
    </w:p>
    <w:p w14:paraId="2F93E8A5"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海淀区目前已拥有完善的基础设施配套保障，区内大部分区域基础设施配套目前可达到</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（即通路、通上水、通下水、通电、通讯、通燃气、通热力）条件。</w:t>
      </w:r>
    </w:p>
    <w:p w14:paraId="5850C693"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sz w:val="28"/>
        </w:rPr>
        <w:t>.</w:t>
      </w:r>
      <w:r w:rsidRPr="00F631FB">
        <w:rPr>
          <w:rFonts w:ascii="Arial" w:eastAsia="仿宋_GB2312" w:hAnsi="Arial" w:cs="Arial" w:hint="eastAsia"/>
          <w:sz w:val="28"/>
        </w:rPr>
        <w:t>居住社区成熟度</w:t>
      </w:r>
    </w:p>
    <w:p w14:paraId="2DDEDDEE" w14:textId="77777777" w:rsidR="00A145B3" w:rsidRPr="00F631FB" w:rsidRDefault="00A145B3" w:rsidP="00A145B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w:t>
      </w:r>
      <w:r>
        <w:rPr>
          <w:rFonts w:ascii="Arial" w:eastAsia="仿宋_GB2312" w:hAnsi="Arial" w:cs="Arial" w:hint="eastAsia"/>
          <w:sz w:val="28"/>
          <w:szCs w:val="28"/>
          <w:lang w:val="en-US" w:eastAsia="zh-CN"/>
        </w:rPr>
        <w:t>苏州街</w:t>
      </w:r>
      <w:r w:rsidRPr="00F631FB">
        <w:rPr>
          <w:rFonts w:ascii="Arial" w:eastAsia="仿宋_GB2312" w:hAnsi="Arial" w:cs="Arial"/>
          <w:sz w:val="28"/>
          <w:szCs w:val="28"/>
          <w:lang w:val="en-US" w:eastAsia="zh-CN"/>
        </w:rPr>
        <w:t>，估价对象周边有</w:t>
      </w:r>
      <w:r>
        <w:rPr>
          <w:rFonts w:ascii="Arial" w:eastAsia="仿宋_GB2312" w:hAnsi="Arial" w:cs="Arial" w:hint="eastAsia"/>
          <w:sz w:val="28"/>
          <w:szCs w:val="28"/>
          <w:lang w:val="en-US" w:eastAsia="zh-CN"/>
        </w:rPr>
        <w:t>海淀南路</w:t>
      </w:r>
      <w:r>
        <w:rPr>
          <w:rFonts w:ascii="Arial" w:eastAsia="仿宋_GB2312" w:hAnsi="Arial" w:cs="Arial" w:hint="eastAsia"/>
          <w:sz w:val="28"/>
          <w:szCs w:val="28"/>
          <w:lang w:val="en-US" w:eastAsia="zh-CN"/>
        </w:rPr>
        <w:t>2</w:t>
      </w:r>
      <w:r>
        <w:rPr>
          <w:rFonts w:ascii="Arial" w:eastAsia="仿宋_GB2312" w:hAnsi="Arial" w:cs="Arial"/>
          <w:sz w:val="28"/>
          <w:szCs w:val="28"/>
          <w:lang w:val="en-US" w:eastAsia="zh-CN"/>
        </w:rPr>
        <w:t>4</w:t>
      </w:r>
      <w:r>
        <w:rPr>
          <w:rFonts w:ascii="Arial" w:eastAsia="仿宋_GB2312" w:hAnsi="Arial" w:cs="Arial" w:hint="eastAsia"/>
          <w:sz w:val="28"/>
          <w:szCs w:val="28"/>
          <w:lang w:val="en-US" w:eastAsia="zh-CN"/>
        </w:rPr>
        <w:t>号院、飞达社区、海淀区苏州街</w:t>
      </w:r>
      <w:r>
        <w:rPr>
          <w:rFonts w:ascii="Arial" w:eastAsia="仿宋_GB2312" w:hAnsi="Arial" w:cs="Arial" w:hint="eastAsia"/>
          <w:sz w:val="28"/>
          <w:szCs w:val="28"/>
          <w:lang w:val="en-US" w:eastAsia="zh-CN"/>
        </w:rPr>
        <w:t>7</w:t>
      </w:r>
      <w:r>
        <w:rPr>
          <w:rFonts w:ascii="Arial" w:eastAsia="仿宋_GB2312" w:hAnsi="Arial" w:cs="Arial"/>
          <w:sz w:val="28"/>
          <w:szCs w:val="28"/>
          <w:lang w:val="en-US" w:eastAsia="zh-CN"/>
        </w:rPr>
        <w:t>7</w:t>
      </w:r>
      <w:r>
        <w:rPr>
          <w:rFonts w:ascii="Arial" w:eastAsia="仿宋_GB2312" w:hAnsi="Arial" w:cs="Arial" w:hint="eastAsia"/>
          <w:sz w:val="28"/>
          <w:szCs w:val="28"/>
          <w:lang w:val="en-US" w:eastAsia="zh-CN"/>
        </w:rPr>
        <w:t>号院、倒座庙</w:t>
      </w:r>
      <w:r>
        <w:rPr>
          <w:rFonts w:ascii="Arial" w:eastAsia="仿宋_GB2312" w:hAnsi="Arial" w:cs="Arial" w:hint="eastAsia"/>
          <w:sz w:val="28"/>
          <w:szCs w:val="28"/>
          <w:lang w:val="en-US" w:eastAsia="zh-CN"/>
        </w:rPr>
        <w:t>1</w:t>
      </w:r>
      <w:r>
        <w:rPr>
          <w:rFonts w:ascii="Arial" w:eastAsia="仿宋_GB2312" w:hAnsi="Arial" w:cs="Arial" w:hint="eastAsia"/>
          <w:sz w:val="28"/>
          <w:szCs w:val="28"/>
          <w:lang w:val="en-US" w:eastAsia="zh-CN"/>
        </w:rPr>
        <w:t>号院、海淀南路</w:t>
      </w:r>
      <w:r>
        <w:rPr>
          <w:rFonts w:ascii="Arial" w:eastAsia="仿宋_GB2312" w:hAnsi="Arial" w:cs="Arial" w:hint="eastAsia"/>
          <w:sz w:val="28"/>
          <w:szCs w:val="28"/>
          <w:lang w:val="en-US" w:eastAsia="zh-CN"/>
        </w:rPr>
        <w:t>3</w:t>
      </w:r>
      <w:r>
        <w:rPr>
          <w:rFonts w:ascii="Arial" w:eastAsia="仿宋_GB2312" w:hAnsi="Arial" w:cs="Arial"/>
          <w:sz w:val="28"/>
          <w:szCs w:val="28"/>
          <w:lang w:val="en-US" w:eastAsia="zh-CN"/>
        </w:rPr>
        <w:t>1</w:t>
      </w:r>
      <w:r>
        <w:rPr>
          <w:rFonts w:ascii="Arial" w:eastAsia="仿宋_GB2312" w:hAnsi="Arial" w:cs="Arial" w:hint="eastAsia"/>
          <w:sz w:val="28"/>
          <w:szCs w:val="28"/>
          <w:lang w:val="en-US" w:eastAsia="zh-CN"/>
        </w:rPr>
        <w:t>号院</w:t>
      </w:r>
      <w:r w:rsidRPr="00F631FB">
        <w:rPr>
          <w:rFonts w:ascii="Arial" w:eastAsia="仿宋_GB2312" w:hAnsi="Arial" w:cs="Arial"/>
          <w:sz w:val="28"/>
          <w:szCs w:val="28"/>
          <w:lang w:val="en-US" w:eastAsia="zh-CN"/>
        </w:rPr>
        <w:t>等</w:t>
      </w:r>
      <w:r w:rsidRPr="00F631FB">
        <w:rPr>
          <w:rFonts w:ascii="Arial" w:eastAsia="仿宋_GB2312" w:hAnsi="Arial" w:cs="Arial" w:hint="eastAsia"/>
          <w:sz w:val="28"/>
          <w:szCs w:val="28"/>
          <w:lang w:val="en-US" w:eastAsia="zh-CN"/>
        </w:rPr>
        <w:t>居住小区，入住</w:t>
      </w:r>
      <w:r w:rsidRPr="00F631FB">
        <w:rPr>
          <w:rFonts w:ascii="Arial" w:eastAsia="仿宋_GB2312" w:hAnsi="Arial" w:cs="Arial" w:hint="eastAsia"/>
          <w:sz w:val="28"/>
          <w:szCs w:val="28"/>
          <w:lang w:val="en-US" w:eastAsia="zh-CN"/>
        </w:rPr>
        <w:lastRenderedPageBreak/>
        <w:t>率较好</w:t>
      </w:r>
      <w:r w:rsidRPr="00F631FB">
        <w:rPr>
          <w:rFonts w:ascii="Arial" w:eastAsia="仿宋_GB2312" w:hAnsi="Arial" w:cs="Arial"/>
          <w:sz w:val="28"/>
          <w:szCs w:val="28"/>
          <w:lang w:val="en-US" w:eastAsia="zh-CN"/>
        </w:rPr>
        <w:t>，</w:t>
      </w:r>
      <w:r w:rsidRPr="00F631FB">
        <w:rPr>
          <w:rFonts w:ascii="Arial" w:eastAsia="仿宋_GB2312" w:hAnsi="Arial" w:cs="Arial" w:hint="eastAsia"/>
          <w:sz w:val="28"/>
          <w:lang w:eastAsia="zh-CN"/>
        </w:rPr>
        <w:t>居住社区成熟度</w:t>
      </w:r>
      <w:r w:rsidRPr="00F631FB">
        <w:rPr>
          <w:rFonts w:ascii="Arial" w:eastAsia="仿宋_GB2312" w:hAnsi="Arial" w:cs="Arial"/>
          <w:sz w:val="28"/>
          <w:szCs w:val="28"/>
          <w:lang w:val="en-US" w:eastAsia="zh-CN"/>
        </w:rPr>
        <w:t>较好。</w:t>
      </w:r>
    </w:p>
    <w:p w14:paraId="59F4B5D9" w14:textId="77777777" w:rsidR="00A145B3" w:rsidRPr="00F631FB" w:rsidRDefault="00A145B3" w:rsidP="00A145B3">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F631FB">
        <w:rPr>
          <w:rFonts w:ascii="Arial" w:eastAsia="仿宋_GB2312" w:hAnsi="Arial" w:cs="Arial"/>
          <w:sz w:val="28"/>
          <w:lang w:eastAsia="zh-CN"/>
        </w:rPr>
        <w:t>6</w:t>
      </w:r>
      <w:r w:rsidRPr="00F631FB">
        <w:rPr>
          <w:rFonts w:ascii="Arial" w:eastAsia="仿宋_GB2312" w:hAnsi="Arial" w:cs="Arial"/>
          <w:sz w:val="28"/>
          <w:lang w:eastAsia="zh-CN"/>
        </w:rPr>
        <w:t>．商业繁华度</w:t>
      </w:r>
    </w:p>
    <w:p w14:paraId="1BF11D20" w14:textId="77777777" w:rsidR="00A145B3" w:rsidRPr="00F631FB" w:rsidRDefault="00A145B3" w:rsidP="00A145B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w:t>
      </w:r>
      <w:r>
        <w:rPr>
          <w:rFonts w:ascii="Arial" w:eastAsia="仿宋_GB2312" w:hAnsi="Arial" w:cs="Arial" w:hint="eastAsia"/>
          <w:sz w:val="28"/>
          <w:szCs w:val="28"/>
          <w:lang w:val="en-US" w:eastAsia="zh-CN"/>
        </w:rPr>
        <w:t>苏州街</w:t>
      </w:r>
      <w:r w:rsidRPr="00F631FB">
        <w:rPr>
          <w:rFonts w:ascii="Arial" w:eastAsia="仿宋_GB2312" w:hAnsi="Arial" w:cs="Arial"/>
          <w:sz w:val="28"/>
          <w:szCs w:val="28"/>
          <w:lang w:val="en-US" w:eastAsia="zh-CN"/>
        </w:rPr>
        <w:t>，周边有</w:t>
      </w:r>
      <w:r w:rsidRPr="0019689C">
        <w:rPr>
          <w:rFonts w:ascii="Arial" w:eastAsia="仿宋_GB2312" w:hAnsi="Arial" w:cs="Arial" w:hint="eastAsia"/>
          <w:bCs/>
          <w:sz w:val="28"/>
          <w:szCs w:val="28"/>
          <w:lang w:eastAsia="zh-CN"/>
        </w:rPr>
        <w:t>新中关购物中心、</w:t>
      </w:r>
      <w:proofErr w:type="gramStart"/>
      <w:r w:rsidRPr="0019689C">
        <w:rPr>
          <w:rFonts w:ascii="Arial" w:eastAsia="仿宋_GB2312" w:hAnsi="Arial" w:cs="Arial" w:hint="eastAsia"/>
          <w:bCs/>
          <w:sz w:val="28"/>
          <w:szCs w:val="28"/>
          <w:lang w:eastAsia="zh-CN"/>
        </w:rPr>
        <w:t>领展购物</w:t>
      </w:r>
      <w:proofErr w:type="gramEnd"/>
      <w:r w:rsidRPr="0019689C">
        <w:rPr>
          <w:rFonts w:ascii="Arial" w:eastAsia="仿宋_GB2312" w:hAnsi="Arial" w:cs="Arial" w:hint="eastAsia"/>
          <w:bCs/>
          <w:sz w:val="28"/>
          <w:szCs w:val="28"/>
          <w:lang w:eastAsia="zh-CN"/>
        </w:rPr>
        <w:t>广场（中关村店）、</w:t>
      </w:r>
      <w:r w:rsidRPr="0019689C">
        <w:rPr>
          <w:rFonts w:ascii="Arial" w:eastAsia="仿宋_GB2312" w:hAnsi="Arial" w:cs="Arial" w:hint="eastAsia"/>
          <w:bCs/>
          <w:sz w:val="28"/>
          <w:szCs w:val="28"/>
          <w:lang w:eastAsia="zh-CN"/>
        </w:rPr>
        <w:t>BHG</w:t>
      </w:r>
      <w:r w:rsidRPr="0019689C">
        <w:rPr>
          <w:rFonts w:ascii="Arial" w:eastAsia="仿宋_GB2312" w:hAnsi="Arial" w:cs="Arial"/>
          <w:bCs/>
          <w:sz w:val="28"/>
          <w:szCs w:val="28"/>
          <w:lang w:eastAsia="zh-CN"/>
        </w:rPr>
        <w:t xml:space="preserve"> MALL</w:t>
      </w:r>
      <w:r w:rsidRPr="0019689C">
        <w:rPr>
          <w:rFonts w:ascii="Arial" w:eastAsia="仿宋_GB2312" w:hAnsi="Arial" w:cs="Arial" w:hint="eastAsia"/>
          <w:bCs/>
          <w:sz w:val="28"/>
          <w:szCs w:val="28"/>
          <w:lang w:eastAsia="zh-CN"/>
        </w:rPr>
        <w:t>北京华联万柳购物中心</w:t>
      </w:r>
      <w:r w:rsidRPr="00F631FB">
        <w:rPr>
          <w:rFonts w:ascii="Arial" w:eastAsia="仿宋_GB2312" w:hAnsi="Arial" w:cs="Arial" w:hint="eastAsia"/>
          <w:bCs/>
          <w:sz w:val="28"/>
          <w:szCs w:val="28"/>
          <w:lang w:eastAsia="zh-CN"/>
        </w:rPr>
        <w:t>等商业机构</w:t>
      </w:r>
      <w:r w:rsidRPr="00F631FB">
        <w:rPr>
          <w:rFonts w:ascii="Arial" w:eastAsia="仿宋_GB2312" w:hAnsi="Arial" w:cs="Arial"/>
          <w:sz w:val="28"/>
          <w:szCs w:val="28"/>
          <w:lang w:val="en-US" w:eastAsia="zh-CN"/>
        </w:rPr>
        <w:t>，在建的商业项目较少，</w:t>
      </w:r>
      <w:r w:rsidRPr="00F631FB">
        <w:rPr>
          <w:rFonts w:ascii="Arial" w:eastAsia="仿宋_GB2312" w:hAnsi="Arial" w:cs="Arial"/>
          <w:sz w:val="28"/>
          <w:lang w:eastAsia="zh-CN"/>
        </w:rPr>
        <w:t>商业繁华度</w:t>
      </w:r>
      <w:r w:rsidRPr="00F631FB">
        <w:rPr>
          <w:rFonts w:ascii="Arial" w:eastAsia="仿宋_GB2312" w:hAnsi="Arial" w:cs="Arial" w:hint="eastAsia"/>
          <w:sz w:val="28"/>
          <w:szCs w:val="28"/>
          <w:lang w:val="en-US" w:eastAsia="zh-CN"/>
        </w:rPr>
        <w:t>较好</w:t>
      </w:r>
      <w:r w:rsidRPr="00F631FB">
        <w:rPr>
          <w:rFonts w:ascii="Arial" w:eastAsia="仿宋_GB2312" w:hAnsi="Arial" w:cs="Arial"/>
          <w:sz w:val="28"/>
          <w:szCs w:val="28"/>
          <w:lang w:val="en-US" w:eastAsia="zh-CN"/>
        </w:rPr>
        <w:t>。</w:t>
      </w:r>
    </w:p>
    <w:p w14:paraId="0BF71F8F"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sz w:val="28"/>
        </w:rPr>
        <w:t>.</w:t>
      </w:r>
      <w:r w:rsidRPr="00F631FB">
        <w:rPr>
          <w:rFonts w:ascii="Arial" w:eastAsia="仿宋_GB2312" w:hAnsi="Arial" w:cs="Arial"/>
          <w:sz w:val="28"/>
        </w:rPr>
        <w:t>办公聚集程度</w:t>
      </w:r>
    </w:p>
    <w:p w14:paraId="228256A4" w14:textId="77777777" w:rsidR="00A145B3" w:rsidRPr="00F631FB" w:rsidRDefault="00A145B3" w:rsidP="00A145B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w:t>
      </w:r>
      <w:r>
        <w:rPr>
          <w:rFonts w:ascii="Arial" w:eastAsia="仿宋_GB2312" w:hAnsi="Arial" w:cs="Arial" w:hint="eastAsia"/>
          <w:sz w:val="28"/>
          <w:szCs w:val="28"/>
          <w:lang w:val="en-US" w:eastAsia="zh-CN"/>
        </w:rPr>
        <w:t>苏州街</w:t>
      </w:r>
      <w:r w:rsidRPr="00F631FB">
        <w:rPr>
          <w:rFonts w:ascii="Arial" w:eastAsia="仿宋_GB2312" w:hAnsi="Arial" w:cs="Arial"/>
          <w:sz w:val="28"/>
          <w:szCs w:val="28"/>
          <w:lang w:val="en-US" w:eastAsia="zh-CN"/>
        </w:rPr>
        <w:t>，估价对象周边有</w:t>
      </w:r>
      <w:r>
        <w:rPr>
          <w:rFonts w:ascii="Arial" w:eastAsia="仿宋_GB2312" w:hAnsi="Arial" w:cs="Arial" w:hint="eastAsia"/>
          <w:sz w:val="28"/>
          <w:szCs w:val="28"/>
          <w:lang w:val="en-US" w:eastAsia="zh-CN"/>
        </w:rPr>
        <w:t>亿方大厦、</w:t>
      </w:r>
      <w:proofErr w:type="gramStart"/>
      <w:r>
        <w:rPr>
          <w:rFonts w:ascii="Arial" w:eastAsia="仿宋_GB2312" w:hAnsi="Arial" w:cs="Arial" w:hint="eastAsia"/>
          <w:sz w:val="28"/>
          <w:szCs w:val="28"/>
          <w:lang w:val="en-US" w:eastAsia="zh-CN"/>
        </w:rPr>
        <w:t>中电投大厦</w:t>
      </w:r>
      <w:proofErr w:type="gramEnd"/>
      <w:r>
        <w:rPr>
          <w:rFonts w:ascii="Arial" w:eastAsia="仿宋_GB2312" w:hAnsi="Arial" w:cs="Arial" w:hint="eastAsia"/>
          <w:sz w:val="28"/>
          <w:szCs w:val="28"/>
          <w:lang w:val="en-US" w:eastAsia="zh-CN"/>
        </w:rPr>
        <w:t>、国家电投大厦、</w:t>
      </w:r>
      <w:proofErr w:type="gramStart"/>
      <w:r>
        <w:rPr>
          <w:rFonts w:ascii="Arial" w:eastAsia="仿宋_GB2312" w:hAnsi="Arial" w:cs="Arial" w:hint="eastAsia"/>
          <w:sz w:val="28"/>
          <w:szCs w:val="28"/>
          <w:lang w:val="en-US" w:eastAsia="zh-CN"/>
        </w:rPr>
        <w:t>鼎钧大厦</w:t>
      </w:r>
      <w:proofErr w:type="gramEnd"/>
      <w:r>
        <w:rPr>
          <w:rFonts w:ascii="Arial" w:eastAsia="仿宋_GB2312" w:hAnsi="Arial" w:cs="Arial" w:hint="eastAsia"/>
          <w:sz w:val="28"/>
          <w:szCs w:val="28"/>
          <w:lang w:val="en-US" w:eastAsia="zh-CN"/>
        </w:rPr>
        <w:t>、</w:t>
      </w:r>
      <w:proofErr w:type="gramStart"/>
      <w:r>
        <w:rPr>
          <w:rFonts w:ascii="Arial" w:eastAsia="仿宋_GB2312" w:hAnsi="Arial" w:cs="Arial" w:hint="eastAsia"/>
          <w:sz w:val="28"/>
          <w:szCs w:val="28"/>
          <w:lang w:val="en-US" w:eastAsia="zh-CN"/>
        </w:rPr>
        <w:t>盈智大厦</w:t>
      </w:r>
      <w:proofErr w:type="gramEnd"/>
      <w:r w:rsidRPr="00F631FB">
        <w:rPr>
          <w:rFonts w:ascii="Arial" w:eastAsia="仿宋_GB2312" w:hAnsi="Arial" w:cs="Arial"/>
          <w:sz w:val="28"/>
          <w:szCs w:val="28"/>
          <w:lang w:val="en-US" w:eastAsia="zh-CN"/>
        </w:rPr>
        <w:t>等</w:t>
      </w:r>
      <w:r>
        <w:rPr>
          <w:rFonts w:ascii="Arial" w:eastAsia="仿宋_GB2312" w:hAnsi="Arial" w:cs="Arial" w:hint="eastAsia"/>
          <w:sz w:val="28"/>
          <w:szCs w:val="28"/>
          <w:lang w:val="en-US" w:eastAsia="zh-CN"/>
        </w:rPr>
        <w:t>写字楼</w:t>
      </w:r>
      <w:r w:rsidRPr="00F631FB">
        <w:rPr>
          <w:rFonts w:ascii="Arial" w:eastAsia="仿宋_GB2312" w:hAnsi="Arial" w:cs="Arial" w:hint="eastAsia"/>
          <w:sz w:val="28"/>
          <w:szCs w:val="28"/>
          <w:lang w:val="en-US" w:eastAsia="zh-CN"/>
        </w:rPr>
        <w:t>项目</w:t>
      </w:r>
      <w:r w:rsidRPr="00F631FB">
        <w:rPr>
          <w:rFonts w:ascii="Arial" w:eastAsia="仿宋_GB2312" w:hAnsi="Arial" w:cs="Arial"/>
          <w:sz w:val="28"/>
          <w:szCs w:val="28"/>
          <w:lang w:val="en-US" w:eastAsia="zh-CN"/>
        </w:rPr>
        <w:t>，办公集聚程度</w:t>
      </w:r>
      <w:r>
        <w:rPr>
          <w:rFonts w:ascii="Arial" w:eastAsia="仿宋_GB2312" w:hAnsi="Arial" w:cs="Arial" w:hint="eastAsia"/>
          <w:sz w:val="28"/>
          <w:szCs w:val="28"/>
          <w:lang w:val="en-US" w:eastAsia="zh-CN"/>
        </w:rPr>
        <w:t>较好</w:t>
      </w:r>
      <w:r w:rsidRPr="00F631FB">
        <w:rPr>
          <w:rFonts w:ascii="Arial" w:eastAsia="仿宋_GB2312" w:hAnsi="Arial" w:cs="Arial"/>
          <w:sz w:val="28"/>
          <w:szCs w:val="28"/>
          <w:lang w:val="en-US" w:eastAsia="zh-CN"/>
        </w:rPr>
        <w:t>。</w:t>
      </w:r>
    </w:p>
    <w:p w14:paraId="7D429310"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8.</w:t>
      </w:r>
      <w:r w:rsidRPr="00F631FB">
        <w:rPr>
          <w:rFonts w:ascii="Arial" w:eastAsia="仿宋_GB2312" w:hAnsi="Arial" w:cs="Arial"/>
          <w:sz w:val="28"/>
        </w:rPr>
        <w:t>规划限制</w:t>
      </w:r>
    </w:p>
    <w:p w14:paraId="7E10C392"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估价对象所处区域位于</w:t>
      </w:r>
      <w:r w:rsidRPr="00F631FB">
        <w:rPr>
          <w:rFonts w:ascii="Arial" w:eastAsia="仿宋_GB2312" w:hAnsi="Arial" w:cs="Arial" w:hint="eastAsia"/>
          <w:sz w:val="28"/>
          <w:szCs w:val="28"/>
        </w:rPr>
        <w:t>海淀区</w:t>
      </w:r>
      <w:r>
        <w:rPr>
          <w:rFonts w:ascii="Arial" w:eastAsia="仿宋_GB2312" w:hAnsi="Arial" w:cs="Arial" w:hint="eastAsia"/>
          <w:sz w:val="28"/>
          <w:szCs w:val="28"/>
        </w:rPr>
        <w:t>苏州街</w:t>
      </w:r>
      <w:r w:rsidRPr="00F631FB">
        <w:rPr>
          <w:rFonts w:ascii="Arial" w:eastAsia="仿宋_GB2312" w:hAnsi="Arial" w:cs="Arial"/>
          <w:sz w:val="28"/>
        </w:rPr>
        <w:t>。根据海淀区</w:t>
      </w:r>
      <w:r w:rsidRPr="00F631FB">
        <w:rPr>
          <w:rFonts w:ascii="Arial" w:eastAsia="仿宋_GB2312" w:hAnsi="Arial" w:cs="Arial"/>
          <w:sz w:val="28"/>
        </w:rPr>
        <w:t>“</w:t>
      </w:r>
      <w:r w:rsidRPr="00F631FB">
        <w:rPr>
          <w:rFonts w:ascii="Arial" w:eastAsia="仿宋_GB2312" w:hAnsi="Arial" w:cs="Arial"/>
          <w:sz w:val="28"/>
        </w:rPr>
        <w:t>十四五</w:t>
      </w:r>
      <w:r w:rsidRPr="00F631FB">
        <w:rPr>
          <w:rFonts w:ascii="Arial" w:eastAsia="仿宋_GB2312" w:hAnsi="Arial" w:cs="Arial"/>
          <w:sz w:val="28"/>
        </w:rPr>
        <w:t>”</w:t>
      </w:r>
      <w:r w:rsidRPr="00F631FB">
        <w:rPr>
          <w:rFonts w:ascii="Arial" w:eastAsia="仿宋_GB2312" w:hAnsi="Arial" w:cs="Arial"/>
          <w:sz w:val="28"/>
        </w:rPr>
        <w:t>规划的要求，无特别规划限制，对估价对象土地发展利用无不利影响。</w:t>
      </w:r>
    </w:p>
    <w:p w14:paraId="642BB47E"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综上所述，估价对象所处区域地理位置条件好、</w:t>
      </w:r>
      <w:r w:rsidRPr="00F631FB">
        <w:rPr>
          <w:rFonts w:ascii="Arial" w:eastAsia="仿宋_GB2312" w:hAnsi="Arial" w:cs="Arial" w:hint="eastAsia"/>
          <w:sz w:val="28"/>
        </w:rPr>
        <w:t>居住社区成熟度较好，</w:t>
      </w:r>
      <w:r w:rsidRPr="00F631FB">
        <w:rPr>
          <w:rFonts w:ascii="Arial" w:eastAsia="仿宋_GB2312" w:hAnsi="Arial" w:cs="Arial"/>
          <w:sz w:val="28"/>
        </w:rPr>
        <w:t>商业繁华度</w:t>
      </w:r>
      <w:r w:rsidRPr="00F631FB">
        <w:rPr>
          <w:rFonts w:ascii="Arial" w:eastAsia="仿宋_GB2312" w:hAnsi="Arial" w:cs="Arial" w:hint="eastAsia"/>
          <w:sz w:val="28"/>
        </w:rPr>
        <w:t>较好</w:t>
      </w:r>
      <w:r w:rsidRPr="00F631FB">
        <w:rPr>
          <w:rFonts w:ascii="Arial" w:eastAsia="仿宋_GB2312" w:hAnsi="Arial" w:cs="Arial"/>
          <w:sz w:val="28"/>
        </w:rPr>
        <w:t>，</w:t>
      </w:r>
      <w:r w:rsidRPr="00F631FB">
        <w:rPr>
          <w:rFonts w:ascii="Arial" w:eastAsia="仿宋_GB2312" w:hAnsi="Arial" w:cs="Arial"/>
          <w:sz w:val="28"/>
          <w:szCs w:val="28"/>
        </w:rPr>
        <w:t>办公集聚程度</w:t>
      </w:r>
      <w:r w:rsidRPr="00F631FB">
        <w:rPr>
          <w:rFonts w:ascii="Arial" w:eastAsia="仿宋_GB2312" w:hAnsi="Arial" w:cs="Arial" w:hint="eastAsia"/>
          <w:sz w:val="28"/>
        </w:rPr>
        <w:t>较好</w:t>
      </w:r>
      <w:r w:rsidRPr="00F631FB">
        <w:rPr>
          <w:rFonts w:ascii="Arial" w:eastAsia="仿宋_GB2312" w:hAnsi="Arial" w:cs="Arial"/>
          <w:sz w:val="28"/>
        </w:rPr>
        <w:t>，交通便捷度</w:t>
      </w:r>
      <w:r w:rsidRPr="00F631FB">
        <w:rPr>
          <w:rFonts w:ascii="Arial" w:eastAsia="仿宋_GB2312" w:hAnsi="Arial" w:cs="Arial" w:hint="eastAsia"/>
          <w:sz w:val="28"/>
        </w:rPr>
        <w:t>较</w:t>
      </w:r>
      <w:r w:rsidRPr="00F631FB">
        <w:rPr>
          <w:rFonts w:ascii="Arial" w:eastAsia="仿宋_GB2312" w:hAnsi="Arial" w:cs="Arial"/>
          <w:sz w:val="28"/>
        </w:rPr>
        <w:t>好，公共配套设施较好，基础设施水平为七通，</w:t>
      </w:r>
      <w:r w:rsidRPr="00F631FB">
        <w:rPr>
          <w:rFonts w:ascii="Arial" w:eastAsia="仿宋_GB2312" w:hAnsi="Arial" w:cs="Arial" w:hint="eastAsia"/>
          <w:sz w:val="28"/>
        </w:rPr>
        <w:t>自然和人文</w:t>
      </w:r>
      <w:r w:rsidRPr="00F631FB">
        <w:rPr>
          <w:rFonts w:ascii="Arial" w:eastAsia="仿宋_GB2312" w:hAnsi="Arial" w:cs="Arial"/>
          <w:sz w:val="28"/>
        </w:rPr>
        <w:t>环境条件</w:t>
      </w:r>
      <w:r w:rsidRPr="00F631FB">
        <w:rPr>
          <w:rFonts w:ascii="Arial" w:eastAsia="仿宋_GB2312" w:hAnsi="Arial" w:cs="Arial" w:hint="eastAsia"/>
          <w:sz w:val="28"/>
        </w:rPr>
        <w:t>较</w:t>
      </w:r>
      <w:r w:rsidRPr="00F631FB">
        <w:rPr>
          <w:rFonts w:ascii="Arial" w:eastAsia="仿宋_GB2312" w:hAnsi="Arial" w:cs="Arial"/>
          <w:sz w:val="28"/>
        </w:rPr>
        <w:t>好。综合区域发展空间进行综合评价，总体评价影响估价对象的区域因素</w:t>
      </w:r>
      <w:r w:rsidRPr="00F631FB">
        <w:rPr>
          <w:rFonts w:ascii="Arial" w:eastAsia="仿宋_GB2312" w:hAnsi="Arial" w:cs="Arial" w:hint="eastAsia"/>
          <w:sz w:val="28"/>
        </w:rPr>
        <w:t>较好</w:t>
      </w:r>
      <w:r w:rsidRPr="00F631FB">
        <w:rPr>
          <w:rFonts w:ascii="Arial" w:eastAsia="仿宋_GB2312" w:hAnsi="Arial" w:cs="Arial"/>
          <w:sz w:val="28"/>
        </w:rPr>
        <w:t>。</w:t>
      </w:r>
    </w:p>
    <w:p w14:paraId="6DB15E3C" w14:textId="77777777" w:rsidR="00E651D3" w:rsidRPr="00F631FB" w:rsidRDefault="00E651D3" w:rsidP="00E651D3">
      <w:pPr>
        <w:spacing w:line="360" w:lineRule="auto"/>
        <w:jc w:val="both"/>
        <w:rPr>
          <w:rFonts w:ascii="Arial" w:eastAsia="仿宋_GB2312" w:hAnsi="Arial" w:cs="Arial"/>
          <w:sz w:val="28"/>
        </w:rPr>
      </w:pPr>
      <w:r w:rsidRPr="00F631FB">
        <w:rPr>
          <w:rFonts w:ascii="Arial" w:eastAsia="仿宋_GB2312" w:hAnsi="Arial" w:cs="Arial"/>
          <w:sz w:val="28"/>
        </w:rPr>
        <w:t>（三）个别因素</w:t>
      </w:r>
    </w:p>
    <w:p w14:paraId="487920C7"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估价对象位置：估价对象位于北京市海淀区海淀南路</w:t>
      </w:r>
      <w:r>
        <w:rPr>
          <w:rFonts w:ascii="Arial" w:eastAsia="仿宋_GB2312" w:hAnsi="Arial" w:cs="Arial"/>
          <w:sz w:val="28"/>
        </w:rPr>
        <w:t>12</w:t>
      </w:r>
      <w:r>
        <w:rPr>
          <w:rFonts w:ascii="Arial" w:eastAsia="仿宋_GB2312" w:hAnsi="Arial" w:cs="Arial" w:hint="eastAsia"/>
          <w:sz w:val="28"/>
        </w:rPr>
        <w:t>号院，为北京城投地下空间开发建设有限公司开发建设的居住项目。根据《北京市人民政府关于更新出让国有建设用地使用权基准地价的通知》</w:t>
      </w:r>
      <w:r>
        <w:rPr>
          <w:rFonts w:ascii="Arial" w:eastAsia="仿宋_GB2312" w:hAnsi="Arial" w:cs="Arial"/>
          <w:sz w:val="28"/>
        </w:rPr>
        <w:t>[</w:t>
      </w:r>
      <w:r>
        <w:rPr>
          <w:rFonts w:ascii="Arial" w:eastAsia="仿宋_GB2312" w:hAnsi="Arial" w:cs="Arial" w:hint="eastAsia"/>
          <w:sz w:val="28"/>
        </w:rPr>
        <w:t>京政发</w:t>
      </w:r>
      <w:r>
        <w:rPr>
          <w:rFonts w:ascii="Arial" w:eastAsia="仿宋_GB2312" w:hAnsi="Arial" w:cs="Arial"/>
          <w:sz w:val="28"/>
        </w:rPr>
        <w:t>[2014]26</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的规定，估价对象属于</w:t>
      </w:r>
      <w:r>
        <w:rPr>
          <w:rFonts w:ascii="Arial" w:eastAsia="仿宋_GB2312" w:hAnsi="Arial" w:cs="Arial" w:hint="eastAsia"/>
          <w:sz w:val="28"/>
          <w:szCs w:val="28"/>
        </w:rPr>
        <w:t>居住类二级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区片、商业类三级</w:t>
      </w:r>
      <w:r>
        <w:rPr>
          <w:rFonts w:ascii="微软雅黑" w:eastAsia="微软雅黑" w:hAnsi="微软雅黑" w:cs="Arial" w:hint="eastAsia"/>
          <w:sz w:val="28"/>
          <w:szCs w:val="28"/>
        </w:rPr>
        <w:t>Ⅲ</w:t>
      </w:r>
      <w:r>
        <w:rPr>
          <w:rFonts w:ascii="Arial" w:eastAsia="仿宋_GB2312" w:hAnsi="Arial" w:cs="Arial"/>
          <w:sz w:val="28"/>
          <w:szCs w:val="28"/>
        </w:rPr>
        <w:t>-06</w:t>
      </w:r>
      <w:r>
        <w:rPr>
          <w:rFonts w:ascii="Arial" w:eastAsia="仿宋_GB2312" w:hAnsi="Arial" w:cs="Arial" w:hint="eastAsia"/>
          <w:sz w:val="28"/>
          <w:szCs w:val="28"/>
        </w:rPr>
        <w:t>区片、办公类二级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区片地价区</w:t>
      </w:r>
      <w:r>
        <w:rPr>
          <w:rFonts w:ascii="Arial" w:eastAsia="仿宋_GB2312" w:hAnsi="Arial" w:cs="Arial" w:hint="eastAsia"/>
          <w:sz w:val="28"/>
        </w:rPr>
        <w:t>。</w:t>
      </w:r>
    </w:p>
    <w:p w14:paraId="69EB4B3B"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2.</w:t>
      </w:r>
      <w:r>
        <w:rPr>
          <w:rFonts w:ascii="Arial" w:eastAsia="仿宋_GB2312" w:hAnsi="Arial" w:cs="Arial" w:hint="eastAsia"/>
          <w:sz w:val="28"/>
        </w:rPr>
        <w:t>宗地规划用途、面积</w:t>
      </w:r>
    </w:p>
    <w:p w14:paraId="02B20794"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估价对象所属项目规划土地用途为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，为</w:t>
      </w:r>
      <w:proofErr w:type="gramStart"/>
      <w:r>
        <w:rPr>
          <w:rFonts w:ascii="Arial" w:eastAsia="仿宋_GB2312" w:hAnsi="Arial" w:cs="Arial" w:hint="eastAsia"/>
          <w:sz w:val="28"/>
        </w:rPr>
        <w:t>最佳最</w:t>
      </w:r>
      <w:proofErr w:type="gramEnd"/>
      <w:r>
        <w:rPr>
          <w:rFonts w:ascii="Arial" w:eastAsia="仿宋_GB2312" w:hAnsi="Arial" w:cs="Arial" w:hint="eastAsia"/>
          <w:sz w:val="28"/>
        </w:rPr>
        <w:t>有效用途。</w:t>
      </w:r>
    </w:p>
    <w:p w14:paraId="02D976E3"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及其附图、《海淀区苏州街一体化棚户区改造项目建筑面积及用途的说明》及其附表记载，估价对象总用地面积</w:t>
      </w:r>
      <w:r>
        <w:rPr>
          <w:rFonts w:ascii="Arial" w:eastAsia="仿宋_GB2312" w:hAnsi="Arial" w:cs="Arial"/>
          <w:sz w:val="28"/>
        </w:rPr>
        <w:t>6180.978</w:t>
      </w:r>
      <w:r>
        <w:rPr>
          <w:rFonts w:ascii="Arial" w:eastAsia="仿宋_GB2312" w:hAnsi="Arial" w:cs="Arial" w:hint="eastAsia"/>
          <w:sz w:val="28"/>
        </w:rPr>
        <w:t>平方米，均为建设用地。</w:t>
      </w:r>
    </w:p>
    <w:p w14:paraId="6BB285D5"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宗地容积率及可利用情况</w:t>
      </w:r>
    </w:p>
    <w:p w14:paraId="3AC52307"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估价对象所属项目总规划建筑面积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。详见下表：</w:t>
      </w:r>
    </w:p>
    <w:p w14:paraId="37DD900C" w14:textId="77777777" w:rsidR="00E651D3" w:rsidRPr="00F631FB"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49EBE14B" w14:textId="77777777" w:rsidR="00E651D3" w:rsidRDefault="00E651D3" w:rsidP="00E651D3">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b/>
          <w:bCs/>
          <w:szCs w:val="18"/>
        </w:rPr>
        <w:br w:type="page"/>
      </w:r>
    </w:p>
    <w:p w14:paraId="792ED847" w14:textId="77777777" w:rsidR="00E651D3" w:rsidRPr="00666906" w:rsidRDefault="00E651D3" w:rsidP="00E651D3">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hint="eastAsia"/>
          <w:b/>
          <w:bCs/>
          <w:szCs w:val="18"/>
        </w:rPr>
        <w:lastRenderedPageBreak/>
        <w:t>土地用途及建筑面积表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06"/>
        <w:gridCol w:w="1308"/>
        <w:gridCol w:w="2942"/>
        <w:gridCol w:w="2636"/>
      </w:tblGrid>
      <w:tr w:rsidR="00E651D3" w:rsidRPr="00F86D61" w14:paraId="0B61B88B" w14:textId="77777777" w:rsidTr="00DA1CE2">
        <w:trPr>
          <w:trHeight w:val="20"/>
          <w:tblHeader/>
        </w:trPr>
        <w:tc>
          <w:tcPr>
            <w:tcW w:w="1371" w:type="pct"/>
            <w:gridSpan w:val="2"/>
            <w:shd w:val="clear" w:color="auto" w:fill="auto"/>
            <w:noWrap/>
            <w:vAlign w:val="center"/>
          </w:tcPr>
          <w:p w14:paraId="152C1A6D" w14:textId="77777777" w:rsidR="00E651D3" w:rsidRPr="00F86D61" w:rsidRDefault="00E651D3" w:rsidP="00DA1CE2">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位置</w:t>
            </w:r>
          </w:p>
        </w:tc>
        <w:tc>
          <w:tcPr>
            <w:tcW w:w="782" w:type="pct"/>
            <w:shd w:val="clear" w:color="auto" w:fill="auto"/>
            <w:noWrap/>
            <w:vAlign w:val="center"/>
          </w:tcPr>
          <w:p w14:paraId="57FE7A2C" w14:textId="77777777" w:rsidR="00E651D3" w:rsidRPr="00F86D61" w:rsidRDefault="00E651D3" w:rsidP="00DA1CE2">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用途</w:t>
            </w:r>
          </w:p>
        </w:tc>
        <w:tc>
          <w:tcPr>
            <w:tcW w:w="1662" w:type="pct"/>
            <w:shd w:val="clear" w:color="auto" w:fill="auto"/>
            <w:noWrap/>
            <w:vAlign w:val="center"/>
          </w:tcPr>
          <w:p w14:paraId="58A1DB20" w14:textId="77777777" w:rsidR="00E651D3" w:rsidRPr="00F86D61" w:rsidRDefault="00E651D3" w:rsidP="00DA1CE2">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分类</w:t>
            </w:r>
          </w:p>
        </w:tc>
        <w:tc>
          <w:tcPr>
            <w:tcW w:w="1185" w:type="pct"/>
            <w:shd w:val="clear" w:color="auto" w:fill="auto"/>
            <w:noWrap/>
            <w:vAlign w:val="center"/>
          </w:tcPr>
          <w:p w14:paraId="54603F1A" w14:textId="77777777" w:rsidR="00E651D3" w:rsidRPr="00F86D61" w:rsidRDefault="00E651D3" w:rsidP="00DA1CE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规划</w:t>
            </w:r>
            <w:r w:rsidRPr="00F86D61">
              <w:rPr>
                <w:rFonts w:ascii="Arial" w:eastAsia="仿宋_GB2312" w:hAnsi="Arial" w:cs="Arial" w:hint="eastAsia"/>
                <w:sz w:val="22"/>
                <w:szCs w:val="16"/>
              </w:rPr>
              <w:t>建筑面积（平方米）</w:t>
            </w:r>
          </w:p>
        </w:tc>
      </w:tr>
      <w:tr w:rsidR="00E651D3" w:rsidRPr="00F86D61" w14:paraId="63371F3F" w14:textId="77777777" w:rsidTr="00DA1CE2">
        <w:trPr>
          <w:trHeight w:val="20"/>
        </w:trPr>
        <w:tc>
          <w:tcPr>
            <w:tcW w:w="590" w:type="pct"/>
            <w:vMerge w:val="restart"/>
            <w:shd w:val="clear" w:color="auto" w:fill="auto"/>
            <w:noWrap/>
            <w:vAlign w:val="center"/>
            <w:hideMark/>
          </w:tcPr>
          <w:p w14:paraId="3EF155C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地上</w:t>
            </w:r>
            <w:r>
              <w:rPr>
                <w:rFonts w:ascii="Arial" w:eastAsia="仿宋_GB2312" w:hAnsi="Arial" w:cs="Arial" w:hint="eastAsia"/>
                <w:sz w:val="22"/>
                <w:szCs w:val="16"/>
              </w:rPr>
              <w:t>部分</w:t>
            </w:r>
          </w:p>
        </w:tc>
        <w:tc>
          <w:tcPr>
            <w:tcW w:w="781" w:type="pct"/>
            <w:vMerge w:val="restart"/>
            <w:vAlign w:val="center"/>
          </w:tcPr>
          <w:p w14:paraId="4B74B6B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vMerge w:val="restart"/>
            <w:shd w:val="clear" w:color="auto" w:fill="auto"/>
            <w:noWrap/>
            <w:vAlign w:val="center"/>
            <w:hideMark/>
          </w:tcPr>
          <w:p w14:paraId="57927B3F"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住宅</w:t>
            </w:r>
          </w:p>
        </w:tc>
        <w:tc>
          <w:tcPr>
            <w:tcW w:w="1662" w:type="pct"/>
            <w:shd w:val="clear" w:color="auto" w:fill="auto"/>
            <w:noWrap/>
            <w:vAlign w:val="center"/>
            <w:hideMark/>
          </w:tcPr>
          <w:p w14:paraId="298F07E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回迁安置房</w:t>
            </w:r>
          </w:p>
        </w:tc>
        <w:tc>
          <w:tcPr>
            <w:tcW w:w="1185" w:type="pct"/>
            <w:shd w:val="clear" w:color="auto" w:fill="auto"/>
            <w:noWrap/>
            <w:vAlign w:val="center"/>
            <w:hideMark/>
          </w:tcPr>
          <w:p w14:paraId="6F2E6DCC"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13920.98</w:t>
            </w:r>
          </w:p>
        </w:tc>
      </w:tr>
      <w:tr w:rsidR="00E651D3" w:rsidRPr="001D4423" w14:paraId="06FD59E6" w14:textId="77777777" w:rsidTr="00DA1CE2">
        <w:trPr>
          <w:trHeight w:val="20"/>
        </w:trPr>
        <w:tc>
          <w:tcPr>
            <w:tcW w:w="590" w:type="pct"/>
            <w:vMerge/>
            <w:shd w:val="clear" w:color="auto" w:fill="auto"/>
            <w:vAlign w:val="center"/>
            <w:hideMark/>
          </w:tcPr>
          <w:p w14:paraId="54B6A2B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D8CC607"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C95F74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03D0915"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w:t>
            </w:r>
          </w:p>
        </w:tc>
        <w:tc>
          <w:tcPr>
            <w:tcW w:w="1185" w:type="pct"/>
            <w:shd w:val="clear" w:color="auto" w:fill="auto"/>
            <w:noWrap/>
            <w:vAlign w:val="center"/>
            <w:hideMark/>
          </w:tcPr>
          <w:p w14:paraId="009248BE"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13794.02</w:t>
            </w:r>
          </w:p>
        </w:tc>
      </w:tr>
      <w:tr w:rsidR="00E651D3" w:rsidRPr="001D4423" w14:paraId="6EA87EFA" w14:textId="77777777" w:rsidTr="00DA1CE2">
        <w:trPr>
          <w:trHeight w:val="20"/>
        </w:trPr>
        <w:tc>
          <w:tcPr>
            <w:tcW w:w="590" w:type="pct"/>
            <w:vMerge/>
            <w:shd w:val="clear" w:color="auto" w:fill="auto"/>
            <w:vAlign w:val="center"/>
            <w:hideMark/>
          </w:tcPr>
          <w:p w14:paraId="406E7AD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96C390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7D3ACE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0E9C4BEC"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人防室外出入口及其他</w:t>
            </w:r>
          </w:p>
        </w:tc>
        <w:tc>
          <w:tcPr>
            <w:tcW w:w="1185" w:type="pct"/>
            <w:shd w:val="clear" w:color="auto" w:fill="auto"/>
            <w:noWrap/>
            <w:vAlign w:val="center"/>
            <w:hideMark/>
          </w:tcPr>
          <w:p w14:paraId="1D194CEA"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w:t>
            </w:r>
          </w:p>
        </w:tc>
      </w:tr>
      <w:tr w:rsidR="00E651D3" w:rsidRPr="00F86D61" w14:paraId="6DB38A96" w14:textId="77777777" w:rsidTr="00DA1CE2">
        <w:trPr>
          <w:trHeight w:val="20"/>
        </w:trPr>
        <w:tc>
          <w:tcPr>
            <w:tcW w:w="590" w:type="pct"/>
            <w:vMerge/>
            <w:shd w:val="clear" w:color="auto" w:fill="auto"/>
            <w:vAlign w:val="center"/>
            <w:hideMark/>
          </w:tcPr>
          <w:p w14:paraId="511C3215"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1BA33CF"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F62606C"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1C19C90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244106E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28075</w:t>
            </w:r>
          </w:p>
        </w:tc>
      </w:tr>
      <w:tr w:rsidR="00E651D3" w:rsidRPr="00F86D61" w14:paraId="10492FE8" w14:textId="77777777" w:rsidTr="00DA1CE2">
        <w:trPr>
          <w:trHeight w:val="20"/>
        </w:trPr>
        <w:tc>
          <w:tcPr>
            <w:tcW w:w="590" w:type="pct"/>
            <w:vMerge/>
            <w:shd w:val="clear" w:color="auto" w:fill="auto"/>
            <w:vAlign w:val="center"/>
            <w:hideMark/>
          </w:tcPr>
          <w:p w14:paraId="1BD88A3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D3A2A47"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1B74D3A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商业</w:t>
            </w:r>
          </w:p>
        </w:tc>
        <w:tc>
          <w:tcPr>
            <w:tcW w:w="1662" w:type="pct"/>
            <w:shd w:val="clear" w:color="auto" w:fill="auto"/>
            <w:vAlign w:val="center"/>
            <w:hideMark/>
          </w:tcPr>
          <w:p w14:paraId="6BE7F8FE"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w:t>
            </w:r>
            <w:proofErr w:type="gramStart"/>
            <w:r w:rsidRPr="001D4423">
              <w:rPr>
                <w:rFonts w:ascii="Arial" w:eastAsia="仿宋_GB2312" w:hAnsi="Arial" w:cs="Arial" w:hint="eastAsia"/>
                <w:sz w:val="22"/>
                <w:szCs w:val="16"/>
              </w:rPr>
              <w:t>房配套</w:t>
            </w:r>
            <w:proofErr w:type="gramEnd"/>
            <w:r w:rsidRPr="001D4423">
              <w:rPr>
                <w:rFonts w:ascii="Arial" w:eastAsia="仿宋_GB2312" w:hAnsi="Arial" w:cs="Arial" w:hint="eastAsia"/>
                <w:sz w:val="22"/>
                <w:szCs w:val="16"/>
              </w:rPr>
              <w:t>商业</w:t>
            </w:r>
          </w:p>
        </w:tc>
        <w:tc>
          <w:tcPr>
            <w:tcW w:w="1185" w:type="pct"/>
            <w:shd w:val="clear" w:color="auto" w:fill="auto"/>
            <w:noWrap/>
            <w:vAlign w:val="center"/>
            <w:hideMark/>
          </w:tcPr>
          <w:p w14:paraId="3D480DE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260</w:t>
            </w:r>
          </w:p>
        </w:tc>
      </w:tr>
      <w:tr w:rsidR="00E651D3" w:rsidRPr="00F86D61" w14:paraId="559C59B6" w14:textId="77777777" w:rsidTr="00DA1CE2">
        <w:trPr>
          <w:trHeight w:val="20"/>
        </w:trPr>
        <w:tc>
          <w:tcPr>
            <w:tcW w:w="590" w:type="pct"/>
            <w:vMerge/>
            <w:shd w:val="clear" w:color="auto" w:fill="auto"/>
            <w:vAlign w:val="center"/>
            <w:hideMark/>
          </w:tcPr>
          <w:p w14:paraId="62BF8F7A"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9F01E0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BBBC84E"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2E003E2A"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平衡资金商品房配套商业</w:t>
            </w:r>
          </w:p>
        </w:tc>
        <w:tc>
          <w:tcPr>
            <w:tcW w:w="1185" w:type="pct"/>
            <w:shd w:val="clear" w:color="auto" w:fill="auto"/>
            <w:noWrap/>
            <w:vAlign w:val="center"/>
            <w:hideMark/>
          </w:tcPr>
          <w:p w14:paraId="5A5DA55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3045</w:t>
            </w:r>
          </w:p>
        </w:tc>
      </w:tr>
      <w:tr w:rsidR="00E651D3" w:rsidRPr="00F86D61" w14:paraId="01C1BE2A" w14:textId="77777777" w:rsidTr="00DA1CE2">
        <w:trPr>
          <w:trHeight w:val="20"/>
        </w:trPr>
        <w:tc>
          <w:tcPr>
            <w:tcW w:w="590" w:type="pct"/>
            <w:vMerge/>
            <w:shd w:val="clear" w:color="auto" w:fill="auto"/>
            <w:vAlign w:val="center"/>
            <w:hideMark/>
          </w:tcPr>
          <w:p w14:paraId="6A2A7EEB"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B53FB79"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FE345B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2CF5978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小型商服</w:t>
            </w:r>
          </w:p>
        </w:tc>
        <w:tc>
          <w:tcPr>
            <w:tcW w:w="1185" w:type="pct"/>
            <w:shd w:val="clear" w:color="auto" w:fill="auto"/>
            <w:noWrap/>
            <w:vAlign w:val="center"/>
            <w:hideMark/>
          </w:tcPr>
          <w:p w14:paraId="64C2018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w:t>
            </w:r>
          </w:p>
        </w:tc>
      </w:tr>
      <w:tr w:rsidR="00E651D3" w:rsidRPr="00F86D61" w14:paraId="46B9D0AA" w14:textId="77777777" w:rsidTr="00DA1CE2">
        <w:trPr>
          <w:trHeight w:val="20"/>
        </w:trPr>
        <w:tc>
          <w:tcPr>
            <w:tcW w:w="590" w:type="pct"/>
            <w:vMerge/>
            <w:shd w:val="clear" w:color="auto" w:fill="auto"/>
            <w:vAlign w:val="center"/>
            <w:hideMark/>
          </w:tcPr>
          <w:p w14:paraId="00A8F92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D69E60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2AA0A6E"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205EE2AC"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732AA99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3318</w:t>
            </w:r>
          </w:p>
        </w:tc>
      </w:tr>
      <w:tr w:rsidR="00E651D3" w:rsidRPr="00F86D61" w14:paraId="562FB445" w14:textId="77777777" w:rsidTr="00DA1CE2">
        <w:trPr>
          <w:trHeight w:val="20"/>
        </w:trPr>
        <w:tc>
          <w:tcPr>
            <w:tcW w:w="590" w:type="pct"/>
            <w:vMerge/>
            <w:shd w:val="clear" w:color="auto" w:fill="auto"/>
            <w:vAlign w:val="center"/>
            <w:hideMark/>
          </w:tcPr>
          <w:p w14:paraId="6186E17F"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E85B9E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3B38A01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办公</w:t>
            </w:r>
          </w:p>
        </w:tc>
        <w:tc>
          <w:tcPr>
            <w:tcW w:w="1662" w:type="pct"/>
            <w:shd w:val="clear" w:color="auto" w:fill="auto"/>
            <w:vAlign w:val="center"/>
            <w:hideMark/>
          </w:tcPr>
          <w:p w14:paraId="06616FEA"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630F1F46"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E651D3" w:rsidRPr="00F86D61" w14:paraId="3ACA9E95" w14:textId="77777777" w:rsidTr="00DA1CE2">
        <w:trPr>
          <w:trHeight w:val="20"/>
        </w:trPr>
        <w:tc>
          <w:tcPr>
            <w:tcW w:w="590" w:type="pct"/>
            <w:vMerge/>
            <w:shd w:val="clear" w:color="auto" w:fill="auto"/>
            <w:vAlign w:val="center"/>
            <w:hideMark/>
          </w:tcPr>
          <w:p w14:paraId="7F238DDC"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206261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0F0DD5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0366F11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1F3B236C"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E651D3" w:rsidRPr="00F86D61" w14:paraId="2578E76B" w14:textId="77777777" w:rsidTr="00DA1CE2">
        <w:trPr>
          <w:trHeight w:val="20"/>
        </w:trPr>
        <w:tc>
          <w:tcPr>
            <w:tcW w:w="590" w:type="pct"/>
            <w:vMerge/>
            <w:shd w:val="clear" w:color="auto" w:fill="auto"/>
            <w:vAlign w:val="center"/>
            <w:hideMark/>
          </w:tcPr>
          <w:p w14:paraId="0A32846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F0D7DAA"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539AC955"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742AB54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31511</w:t>
            </w:r>
          </w:p>
        </w:tc>
      </w:tr>
      <w:tr w:rsidR="00E651D3" w:rsidRPr="00F86D61" w14:paraId="1FC45530" w14:textId="77777777" w:rsidTr="00DA1CE2">
        <w:trPr>
          <w:trHeight w:val="20"/>
        </w:trPr>
        <w:tc>
          <w:tcPr>
            <w:tcW w:w="590" w:type="pct"/>
            <w:vMerge w:val="restart"/>
            <w:shd w:val="clear" w:color="auto" w:fill="auto"/>
            <w:noWrap/>
            <w:vAlign w:val="center"/>
            <w:hideMark/>
          </w:tcPr>
          <w:p w14:paraId="2A52B52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w:t>
            </w:r>
            <w:r>
              <w:rPr>
                <w:rFonts w:ascii="Arial" w:eastAsia="仿宋_GB2312" w:hAnsi="Arial" w:cs="Arial" w:hint="eastAsia"/>
                <w:sz w:val="22"/>
                <w:szCs w:val="16"/>
              </w:rPr>
              <w:t>部分</w:t>
            </w:r>
          </w:p>
        </w:tc>
        <w:tc>
          <w:tcPr>
            <w:tcW w:w="781" w:type="pct"/>
            <w:vMerge w:val="restart"/>
            <w:vAlign w:val="center"/>
          </w:tcPr>
          <w:p w14:paraId="41FBBB35"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shd w:val="clear" w:color="auto" w:fill="auto"/>
            <w:vAlign w:val="center"/>
            <w:hideMark/>
          </w:tcPr>
          <w:p w14:paraId="7149C2A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地下办公</w:t>
            </w:r>
          </w:p>
        </w:tc>
        <w:tc>
          <w:tcPr>
            <w:tcW w:w="1662" w:type="pct"/>
            <w:shd w:val="clear" w:color="auto" w:fill="auto"/>
            <w:vAlign w:val="center"/>
            <w:hideMark/>
          </w:tcPr>
          <w:p w14:paraId="35BCADA6"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225E894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32</w:t>
            </w:r>
          </w:p>
        </w:tc>
      </w:tr>
      <w:tr w:rsidR="00E651D3" w:rsidRPr="00F86D61" w14:paraId="26858098" w14:textId="77777777" w:rsidTr="00DA1CE2">
        <w:trPr>
          <w:trHeight w:val="20"/>
        </w:trPr>
        <w:tc>
          <w:tcPr>
            <w:tcW w:w="590" w:type="pct"/>
            <w:vMerge/>
            <w:shd w:val="clear" w:color="auto" w:fill="auto"/>
            <w:vAlign w:val="center"/>
            <w:hideMark/>
          </w:tcPr>
          <w:p w14:paraId="4A04CC5B"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3520A88F"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40EF463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地下车库</w:t>
            </w:r>
          </w:p>
        </w:tc>
        <w:tc>
          <w:tcPr>
            <w:tcW w:w="1662" w:type="pct"/>
            <w:shd w:val="clear" w:color="auto" w:fill="auto"/>
            <w:vAlign w:val="center"/>
            <w:hideMark/>
          </w:tcPr>
          <w:p w14:paraId="3664DA9C"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汽车库</w:t>
            </w:r>
          </w:p>
        </w:tc>
        <w:tc>
          <w:tcPr>
            <w:tcW w:w="1185" w:type="pct"/>
            <w:shd w:val="clear" w:color="auto" w:fill="auto"/>
            <w:noWrap/>
            <w:vAlign w:val="center"/>
            <w:hideMark/>
          </w:tcPr>
          <w:p w14:paraId="5623627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10345.02</w:t>
            </w:r>
          </w:p>
        </w:tc>
      </w:tr>
      <w:tr w:rsidR="00E651D3" w:rsidRPr="00F86D61" w14:paraId="4B9FFD75" w14:textId="77777777" w:rsidTr="00DA1CE2">
        <w:trPr>
          <w:trHeight w:val="20"/>
        </w:trPr>
        <w:tc>
          <w:tcPr>
            <w:tcW w:w="590" w:type="pct"/>
            <w:vMerge/>
            <w:shd w:val="clear" w:color="auto" w:fill="auto"/>
            <w:vAlign w:val="center"/>
            <w:hideMark/>
          </w:tcPr>
          <w:p w14:paraId="6AA3096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restart"/>
            <w:vAlign w:val="center"/>
          </w:tcPr>
          <w:p w14:paraId="0BABB6FE"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不出让</w:t>
            </w:r>
          </w:p>
        </w:tc>
        <w:tc>
          <w:tcPr>
            <w:tcW w:w="782" w:type="pct"/>
            <w:shd w:val="clear" w:color="auto" w:fill="auto"/>
            <w:vAlign w:val="center"/>
            <w:hideMark/>
          </w:tcPr>
          <w:p w14:paraId="5597DF3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662" w:type="pct"/>
            <w:shd w:val="clear" w:color="auto" w:fill="auto"/>
            <w:vAlign w:val="center"/>
            <w:hideMark/>
          </w:tcPr>
          <w:p w14:paraId="3E5A98D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185" w:type="pct"/>
            <w:shd w:val="clear" w:color="auto" w:fill="auto"/>
            <w:noWrap/>
            <w:vAlign w:val="center"/>
            <w:hideMark/>
          </w:tcPr>
          <w:p w14:paraId="34A57C5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227</w:t>
            </w:r>
          </w:p>
        </w:tc>
      </w:tr>
      <w:tr w:rsidR="00E651D3" w:rsidRPr="00F86D61" w14:paraId="27606744" w14:textId="77777777" w:rsidTr="00DA1CE2">
        <w:trPr>
          <w:trHeight w:val="20"/>
        </w:trPr>
        <w:tc>
          <w:tcPr>
            <w:tcW w:w="590" w:type="pct"/>
            <w:vMerge/>
            <w:shd w:val="clear" w:color="auto" w:fill="auto"/>
            <w:vAlign w:val="center"/>
            <w:hideMark/>
          </w:tcPr>
          <w:p w14:paraId="53CB41E7"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37AC10F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5F128EBE"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662" w:type="pct"/>
            <w:shd w:val="clear" w:color="auto" w:fill="auto"/>
            <w:vAlign w:val="center"/>
            <w:hideMark/>
          </w:tcPr>
          <w:p w14:paraId="65FAFAC5"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185" w:type="pct"/>
            <w:shd w:val="clear" w:color="auto" w:fill="auto"/>
            <w:noWrap/>
            <w:vAlign w:val="center"/>
            <w:hideMark/>
          </w:tcPr>
          <w:p w14:paraId="6873390C"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3600.98</w:t>
            </w:r>
          </w:p>
        </w:tc>
      </w:tr>
      <w:tr w:rsidR="00E651D3" w:rsidRPr="00F86D61" w14:paraId="3BE1392B" w14:textId="77777777" w:rsidTr="00DA1CE2">
        <w:trPr>
          <w:trHeight w:val="20"/>
        </w:trPr>
        <w:tc>
          <w:tcPr>
            <w:tcW w:w="590" w:type="pct"/>
            <w:vMerge/>
            <w:shd w:val="clear" w:color="auto" w:fill="auto"/>
            <w:vAlign w:val="center"/>
            <w:hideMark/>
          </w:tcPr>
          <w:p w14:paraId="3866506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826675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vAlign w:val="center"/>
            <w:hideMark/>
          </w:tcPr>
          <w:p w14:paraId="04564C3F"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非经营性用途</w:t>
            </w:r>
          </w:p>
        </w:tc>
        <w:tc>
          <w:tcPr>
            <w:tcW w:w="1662" w:type="pct"/>
            <w:shd w:val="clear" w:color="auto" w:fill="auto"/>
            <w:vAlign w:val="center"/>
            <w:hideMark/>
          </w:tcPr>
          <w:p w14:paraId="7DB7BAB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室内覆盖系统机房</w:t>
            </w:r>
          </w:p>
        </w:tc>
        <w:tc>
          <w:tcPr>
            <w:tcW w:w="1185" w:type="pct"/>
            <w:shd w:val="clear" w:color="auto" w:fill="auto"/>
            <w:noWrap/>
            <w:vAlign w:val="center"/>
            <w:hideMark/>
          </w:tcPr>
          <w:p w14:paraId="0C83EB29"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E651D3" w:rsidRPr="001D4423" w14:paraId="041BA43C" w14:textId="77777777" w:rsidTr="00DA1CE2">
        <w:trPr>
          <w:trHeight w:val="20"/>
        </w:trPr>
        <w:tc>
          <w:tcPr>
            <w:tcW w:w="590" w:type="pct"/>
            <w:vMerge/>
            <w:shd w:val="clear" w:color="auto" w:fill="auto"/>
            <w:vAlign w:val="center"/>
            <w:hideMark/>
          </w:tcPr>
          <w:p w14:paraId="4A5B061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10516D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B4A0D5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2EDED1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固定通信设备间</w:t>
            </w:r>
          </w:p>
        </w:tc>
        <w:tc>
          <w:tcPr>
            <w:tcW w:w="1185" w:type="pct"/>
            <w:shd w:val="clear" w:color="auto" w:fill="auto"/>
            <w:noWrap/>
            <w:vAlign w:val="center"/>
            <w:hideMark/>
          </w:tcPr>
          <w:p w14:paraId="3CAE41B5"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E651D3" w:rsidRPr="001D4423" w14:paraId="5A98D933" w14:textId="77777777" w:rsidTr="00DA1CE2">
        <w:trPr>
          <w:trHeight w:val="20"/>
        </w:trPr>
        <w:tc>
          <w:tcPr>
            <w:tcW w:w="590" w:type="pct"/>
            <w:vMerge/>
            <w:shd w:val="clear" w:color="auto" w:fill="auto"/>
            <w:vAlign w:val="center"/>
            <w:hideMark/>
          </w:tcPr>
          <w:p w14:paraId="33783F5B"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7234A5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FE6F17A"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9CA85F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有线电视光电转换间</w:t>
            </w:r>
          </w:p>
        </w:tc>
        <w:tc>
          <w:tcPr>
            <w:tcW w:w="1185" w:type="pct"/>
            <w:shd w:val="clear" w:color="auto" w:fill="auto"/>
            <w:noWrap/>
            <w:vAlign w:val="center"/>
            <w:hideMark/>
          </w:tcPr>
          <w:p w14:paraId="598190B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w:t>
            </w:r>
          </w:p>
        </w:tc>
      </w:tr>
      <w:tr w:rsidR="00E651D3" w:rsidRPr="001D4423" w14:paraId="3EF8D067" w14:textId="77777777" w:rsidTr="00DA1CE2">
        <w:trPr>
          <w:trHeight w:val="20"/>
        </w:trPr>
        <w:tc>
          <w:tcPr>
            <w:tcW w:w="590" w:type="pct"/>
            <w:vMerge/>
            <w:shd w:val="clear" w:color="auto" w:fill="auto"/>
            <w:vAlign w:val="center"/>
            <w:hideMark/>
          </w:tcPr>
          <w:p w14:paraId="34D15FE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F581939"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1CC7B6B"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CA79E4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配电室</w:t>
            </w:r>
          </w:p>
        </w:tc>
        <w:tc>
          <w:tcPr>
            <w:tcW w:w="1185" w:type="pct"/>
            <w:shd w:val="clear" w:color="auto" w:fill="auto"/>
            <w:noWrap/>
            <w:vAlign w:val="center"/>
            <w:hideMark/>
          </w:tcPr>
          <w:p w14:paraId="3570AF1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180</w:t>
            </w:r>
          </w:p>
        </w:tc>
      </w:tr>
      <w:tr w:rsidR="00E651D3" w:rsidRPr="001D4423" w14:paraId="722899B3" w14:textId="77777777" w:rsidTr="00DA1CE2">
        <w:trPr>
          <w:trHeight w:val="20"/>
        </w:trPr>
        <w:tc>
          <w:tcPr>
            <w:tcW w:w="590" w:type="pct"/>
            <w:vMerge/>
            <w:shd w:val="clear" w:color="auto" w:fill="auto"/>
            <w:vAlign w:val="center"/>
            <w:hideMark/>
          </w:tcPr>
          <w:p w14:paraId="6A5FE63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C0FD446"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64F6AC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FC03D1E"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热力站</w:t>
            </w:r>
          </w:p>
        </w:tc>
        <w:tc>
          <w:tcPr>
            <w:tcW w:w="1185" w:type="pct"/>
            <w:shd w:val="clear" w:color="auto" w:fill="auto"/>
            <w:noWrap/>
            <w:vAlign w:val="center"/>
            <w:hideMark/>
          </w:tcPr>
          <w:p w14:paraId="7CF5862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200</w:t>
            </w:r>
          </w:p>
        </w:tc>
      </w:tr>
      <w:tr w:rsidR="00E651D3" w:rsidRPr="001D4423" w14:paraId="1C4119A7" w14:textId="77777777" w:rsidTr="00DA1CE2">
        <w:trPr>
          <w:trHeight w:val="20"/>
        </w:trPr>
        <w:tc>
          <w:tcPr>
            <w:tcW w:w="590" w:type="pct"/>
            <w:vMerge/>
            <w:shd w:val="clear" w:color="auto" w:fill="auto"/>
            <w:vAlign w:val="center"/>
            <w:hideMark/>
          </w:tcPr>
          <w:p w14:paraId="1A9D5AE5"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1B4C83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F71318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486028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设备用房</w:t>
            </w:r>
          </w:p>
        </w:tc>
        <w:tc>
          <w:tcPr>
            <w:tcW w:w="1185" w:type="pct"/>
            <w:shd w:val="clear" w:color="auto" w:fill="auto"/>
            <w:noWrap/>
            <w:vAlign w:val="center"/>
            <w:hideMark/>
          </w:tcPr>
          <w:p w14:paraId="441CB46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661</w:t>
            </w:r>
          </w:p>
        </w:tc>
      </w:tr>
      <w:tr w:rsidR="00E651D3" w:rsidRPr="00F86D61" w14:paraId="1D2AB732" w14:textId="77777777" w:rsidTr="00DA1CE2">
        <w:trPr>
          <w:trHeight w:val="20"/>
        </w:trPr>
        <w:tc>
          <w:tcPr>
            <w:tcW w:w="590" w:type="pct"/>
            <w:vMerge/>
            <w:shd w:val="clear" w:color="auto" w:fill="auto"/>
            <w:vAlign w:val="center"/>
            <w:hideMark/>
          </w:tcPr>
          <w:p w14:paraId="0881CD6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6B27316"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6F5FE7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162EFAD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2358B529"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1077</w:t>
            </w:r>
          </w:p>
        </w:tc>
      </w:tr>
      <w:tr w:rsidR="00E651D3" w:rsidRPr="00F86D61" w14:paraId="12FBBAB8" w14:textId="77777777" w:rsidTr="00DA1CE2">
        <w:trPr>
          <w:trHeight w:val="20"/>
        </w:trPr>
        <w:tc>
          <w:tcPr>
            <w:tcW w:w="590" w:type="pct"/>
            <w:vMerge/>
            <w:shd w:val="clear" w:color="auto" w:fill="auto"/>
            <w:vAlign w:val="center"/>
            <w:hideMark/>
          </w:tcPr>
          <w:p w14:paraId="0AC2AFB7"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Align w:val="center"/>
          </w:tcPr>
          <w:p w14:paraId="69DBBBF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2DC6232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253F931E"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15282</w:t>
            </w:r>
          </w:p>
        </w:tc>
      </w:tr>
      <w:tr w:rsidR="00E651D3" w:rsidRPr="00F86D61" w14:paraId="2DF0A01E" w14:textId="77777777" w:rsidTr="00DA1CE2">
        <w:trPr>
          <w:trHeight w:val="20"/>
        </w:trPr>
        <w:tc>
          <w:tcPr>
            <w:tcW w:w="590" w:type="pct"/>
            <w:shd w:val="clear" w:color="auto" w:fill="auto"/>
            <w:noWrap/>
            <w:vAlign w:val="center"/>
            <w:hideMark/>
          </w:tcPr>
          <w:p w14:paraId="5E36EFFF"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总计</w:t>
            </w:r>
          </w:p>
        </w:tc>
        <w:tc>
          <w:tcPr>
            <w:tcW w:w="781" w:type="pct"/>
            <w:vAlign w:val="center"/>
          </w:tcPr>
          <w:p w14:paraId="7CA1EA97"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hideMark/>
          </w:tcPr>
          <w:p w14:paraId="6AB1A4B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w:t>
            </w:r>
          </w:p>
        </w:tc>
        <w:tc>
          <w:tcPr>
            <w:tcW w:w="1185" w:type="pct"/>
            <w:shd w:val="clear" w:color="auto" w:fill="auto"/>
            <w:noWrap/>
            <w:vAlign w:val="center"/>
            <w:hideMark/>
          </w:tcPr>
          <w:p w14:paraId="3C08855A"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46793</w:t>
            </w:r>
          </w:p>
        </w:tc>
      </w:tr>
      <w:tr w:rsidR="00E651D3" w:rsidRPr="00F86D61" w14:paraId="4C344378" w14:textId="77777777" w:rsidTr="00DA1CE2">
        <w:trPr>
          <w:trHeight w:val="20"/>
        </w:trPr>
        <w:tc>
          <w:tcPr>
            <w:tcW w:w="590" w:type="pct"/>
            <w:shd w:val="clear" w:color="auto" w:fill="auto"/>
            <w:noWrap/>
            <w:vAlign w:val="center"/>
          </w:tcPr>
          <w:p w14:paraId="033B714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1A744944" w14:textId="77777777" w:rsidR="00E651D3" w:rsidRPr="00F86D61" w:rsidRDefault="00E651D3" w:rsidP="00DA1CE2">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7A2B853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总用地面积</w:t>
            </w:r>
          </w:p>
        </w:tc>
        <w:tc>
          <w:tcPr>
            <w:tcW w:w="1185" w:type="pct"/>
            <w:shd w:val="clear" w:color="auto" w:fill="auto"/>
            <w:noWrap/>
            <w:vAlign w:val="center"/>
          </w:tcPr>
          <w:p w14:paraId="72A2020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6180.978</w:t>
            </w:r>
          </w:p>
        </w:tc>
      </w:tr>
      <w:tr w:rsidR="00E651D3" w:rsidRPr="00F86D61" w14:paraId="4BC80AFC" w14:textId="77777777" w:rsidTr="00DA1CE2">
        <w:trPr>
          <w:trHeight w:val="20"/>
        </w:trPr>
        <w:tc>
          <w:tcPr>
            <w:tcW w:w="590" w:type="pct"/>
            <w:shd w:val="clear" w:color="auto" w:fill="auto"/>
            <w:noWrap/>
            <w:vAlign w:val="center"/>
          </w:tcPr>
          <w:p w14:paraId="0C0D41B7"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739ECB44" w14:textId="77777777" w:rsidR="00E651D3" w:rsidRDefault="00E651D3" w:rsidP="00DA1CE2">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2DE8DBFA"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容积率</w:t>
            </w:r>
          </w:p>
        </w:tc>
        <w:tc>
          <w:tcPr>
            <w:tcW w:w="1185" w:type="pct"/>
            <w:shd w:val="clear" w:color="auto" w:fill="auto"/>
            <w:noWrap/>
            <w:vAlign w:val="center"/>
          </w:tcPr>
          <w:p w14:paraId="594BCB6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5</w:t>
            </w:r>
            <w:r>
              <w:rPr>
                <w:rFonts w:ascii="Arial" w:eastAsia="仿宋_GB2312" w:hAnsi="Arial" w:cs="Arial"/>
                <w:sz w:val="22"/>
                <w:szCs w:val="16"/>
              </w:rPr>
              <w:t>.10</w:t>
            </w:r>
          </w:p>
        </w:tc>
      </w:tr>
    </w:tbl>
    <w:p w14:paraId="545A3F16" w14:textId="77777777" w:rsidR="00E651D3" w:rsidRPr="00F631FB" w:rsidRDefault="00E651D3" w:rsidP="00E651D3">
      <w:pPr>
        <w:spacing w:line="360" w:lineRule="auto"/>
        <w:ind w:firstLineChars="200" w:firstLine="560"/>
        <w:jc w:val="both"/>
        <w:rPr>
          <w:rFonts w:ascii="Arial" w:eastAsia="仿宋_GB2312" w:hAnsi="Arial" w:cs="Arial"/>
          <w:spacing w:val="-12"/>
          <w:sz w:val="28"/>
        </w:rPr>
      </w:pPr>
      <w:r w:rsidRPr="00F631FB">
        <w:rPr>
          <w:rFonts w:ascii="Arial" w:eastAsia="仿宋_GB2312" w:hAnsi="Arial" w:cs="Arial"/>
          <w:sz w:val="28"/>
        </w:rPr>
        <w:t>估价对象属于</w:t>
      </w:r>
      <w:r w:rsidRPr="00F631FB">
        <w:rPr>
          <w:rFonts w:ascii="Arial" w:eastAsia="仿宋_GB2312" w:hAnsi="Arial" w:cs="Arial"/>
          <w:sz w:val="28"/>
          <w:szCs w:val="28"/>
        </w:rPr>
        <w:t>居住类</w:t>
      </w:r>
      <w:r>
        <w:rPr>
          <w:rFonts w:ascii="Arial" w:eastAsia="仿宋_GB2312" w:hAnsi="Arial" w:cs="Arial" w:hint="eastAsia"/>
          <w:sz w:val="28"/>
          <w:szCs w:val="28"/>
        </w:rPr>
        <w:t>二</w:t>
      </w:r>
      <w:r w:rsidRPr="00F631FB">
        <w:rPr>
          <w:rFonts w:ascii="Arial" w:eastAsia="仿宋_GB2312" w:hAnsi="Arial" w:cs="Arial"/>
          <w:sz w:val="28"/>
          <w:szCs w:val="28"/>
        </w:rPr>
        <w:t>级</w:t>
      </w:r>
      <w:r>
        <w:rPr>
          <w:rFonts w:ascii="微软雅黑" w:eastAsia="微软雅黑" w:hAnsi="微软雅黑" w:cs="Arial" w:hint="eastAsia"/>
          <w:sz w:val="28"/>
          <w:szCs w:val="28"/>
        </w:rPr>
        <w:t>Ⅱ</w:t>
      </w:r>
      <w:r w:rsidRPr="00F631FB">
        <w:rPr>
          <w:rFonts w:ascii="Arial" w:eastAsia="仿宋_GB2312" w:hAnsi="Arial" w:cs="Arial"/>
          <w:sz w:val="28"/>
          <w:szCs w:val="28"/>
        </w:rPr>
        <w:t>-0</w:t>
      </w:r>
      <w:r w:rsidRPr="00F631FB">
        <w:rPr>
          <w:rFonts w:ascii="Arial" w:eastAsia="仿宋_GB2312" w:hAnsi="Arial" w:cs="Arial" w:hint="eastAsia"/>
          <w:sz w:val="28"/>
          <w:szCs w:val="28"/>
        </w:rPr>
        <w:t>3</w:t>
      </w:r>
      <w:r w:rsidRPr="00F631FB">
        <w:rPr>
          <w:rFonts w:ascii="Arial" w:eastAsia="仿宋_GB2312" w:hAnsi="Arial" w:cs="Arial"/>
          <w:sz w:val="28"/>
          <w:szCs w:val="28"/>
        </w:rPr>
        <w:t>区片、</w:t>
      </w:r>
      <w:r>
        <w:rPr>
          <w:rFonts w:ascii="Arial" w:eastAsia="仿宋_GB2312" w:hAnsi="Arial" w:cs="Arial"/>
          <w:sz w:val="28"/>
          <w:szCs w:val="28"/>
        </w:rPr>
        <w:t>商业类三级</w:t>
      </w:r>
      <w:r>
        <w:rPr>
          <w:rFonts w:ascii="微软雅黑" w:eastAsia="微软雅黑" w:hAnsi="微软雅黑" w:cs="Arial" w:hint="eastAsia"/>
          <w:sz w:val="28"/>
          <w:szCs w:val="28"/>
        </w:rPr>
        <w:t>Ⅲ</w:t>
      </w:r>
      <w:r w:rsidRPr="00F631FB">
        <w:rPr>
          <w:rFonts w:ascii="Arial" w:eastAsia="仿宋_GB2312" w:hAnsi="Arial" w:cs="Arial"/>
          <w:sz w:val="28"/>
          <w:szCs w:val="28"/>
        </w:rPr>
        <w:t>-0</w:t>
      </w:r>
      <w:r>
        <w:rPr>
          <w:rFonts w:ascii="Arial" w:eastAsia="仿宋_GB2312" w:hAnsi="Arial" w:cs="Arial"/>
          <w:sz w:val="28"/>
          <w:szCs w:val="28"/>
        </w:rPr>
        <w:t>6</w:t>
      </w:r>
      <w:r w:rsidRPr="00F631FB">
        <w:rPr>
          <w:rFonts w:ascii="Arial" w:eastAsia="仿宋_GB2312" w:hAnsi="Arial" w:cs="Arial"/>
          <w:sz w:val="28"/>
          <w:szCs w:val="28"/>
        </w:rPr>
        <w:t>区片、办公类</w:t>
      </w:r>
      <w:r>
        <w:rPr>
          <w:rFonts w:ascii="Arial" w:eastAsia="仿宋_GB2312" w:hAnsi="Arial" w:cs="Arial" w:hint="eastAsia"/>
          <w:sz w:val="28"/>
          <w:szCs w:val="28"/>
        </w:rPr>
        <w:t>二</w:t>
      </w:r>
      <w:r w:rsidRPr="00F631FB">
        <w:rPr>
          <w:rFonts w:ascii="Arial" w:eastAsia="仿宋_GB2312" w:hAnsi="Arial" w:cs="Arial"/>
          <w:sz w:val="28"/>
          <w:szCs w:val="28"/>
        </w:rPr>
        <w:t>级</w:t>
      </w:r>
      <w:r>
        <w:rPr>
          <w:rFonts w:ascii="微软雅黑" w:eastAsia="微软雅黑" w:hAnsi="微软雅黑" w:cs="Arial" w:hint="eastAsia"/>
          <w:sz w:val="28"/>
          <w:szCs w:val="28"/>
        </w:rPr>
        <w:t>Ⅱ</w:t>
      </w:r>
      <w:r w:rsidRPr="00F631FB">
        <w:rPr>
          <w:rFonts w:ascii="Arial" w:eastAsia="仿宋_GB2312" w:hAnsi="Arial" w:cs="Arial"/>
          <w:sz w:val="28"/>
          <w:szCs w:val="28"/>
        </w:rPr>
        <w:t>-0</w:t>
      </w:r>
      <w:r w:rsidRPr="00F631FB">
        <w:rPr>
          <w:rFonts w:ascii="Arial" w:eastAsia="仿宋_GB2312" w:hAnsi="Arial" w:cs="Arial" w:hint="eastAsia"/>
          <w:sz w:val="28"/>
          <w:szCs w:val="28"/>
        </w:rPr>
        <w:t>3</w:t>
      </w:r>
      <w:r w:rsidRPr="00F631FB">
        <w:rPr>
          <w:rFonts w:ascii="Arial" w:eastAsia="仿宋_GB2312" w:hAnsi="Arial" w:cs="Arial"/>
          <w:sz w:val="28"/>
          <w:szCs w:val="28"/>
        </w:rPr>
        <w:t>区片地价区内</w:t>
      </w:r>
      <w:r w:rsidRPr="00F631FB">
        <w:rPr>
          <w:rFonts w:ascii="Arial" w:eastAsia="仿宋_GB2312" w:hAnsi="Arial" w:cs="Arial"/>
          <w:sz w:val="28"/>
        </w:rPr>
        <w:t>，</w:t>
      </w:r>
      <w:r w:rsidRPr="00F631FB">
        <w:rPr>
          <w:rFonts w:ascii="Arial" w:eastAsia="仿宋_GB2312" w:hAnsi="Arial" w:cs="Arial" w:hint="eastAsia"/>
          <w:sz w:val="28"/>
        </w:rPr>
        <w:t>居住</w:t>
      </w:r>
      <w:r>
        <w:rPr>
          <w:rFonts w:ascii="Arial" w:eastAsia="仿宋_GB2312" w:hAnsi="Arial" w:cs="Arial"/>
          <w:sz w:val="28"/>
        </w:rPr>
        <w:t>用途、</w:t>
      </w:r>
      <w:r w:rsidRPr="00F631FB">
        <w:rPr>
          <w:rFonts w:ascii="Arial" w:eastAsia="仿宋_GB2312" w:hAnsi="Arial" w:cs="Arial"/>
          <w:sz w:val="28"/>
        </w:rPr>
        <w:t>商业用途级别平均容积率均为</w:t>
      </w:r>
      <w:r w:rsidRPr="00F631FB">
        <w:rPr>
          <w:rFonts w:ascii="Arial" w:eastAsia="仿宋_GB2312" w:hAnsi="Arial" w:cs="Arial"/>
          <w:sz w:val="28"/>
        </w:rPr>
        <w:t>2.5</w:t>
      </w:r>
      <w:r>
        <w:rPr>
          <w:rFonts w:ascii="Arial" w:eastAsia="仿宋_GB2312" w:hAnsi="Arial" w:cs="Arial" w:hint="eastAsia"/>
          <w:sz w:val="28"/>
        </w:rPr>
        <w:t>，</w:t>
      </w:r>
      <w:r w:rsidRPr="00F631FB">
        <w:rPr>
          <w:rFonts w:ascii="Arial" w:eastAsia="仿宋_GB2312" w:hAnsi="Arial" w:cs="Arial"/>
          <w:sz w:val="28"/>
        </w:rPr>
        <w:t>办公用途级别平均容积率均为</w:t>
      </w:r>
      <w:r>
        <w:rPr>
          <w:rFonts w:ascii="Arial" w:eastAsia="仿宋_GB2312" w:hAnsi="Arial" w:cs="Arial"/>
          <w:sz w:val="28"/>
        </w:rPr>
        <w:t>3.5</w:t>
      </w:r>
      <w:r w:rsidRPr="00F631FB">
        <w:rPr>
          <w:rFonts w:ascii="Arial" w:eastAsia="仿宋_GB2312" w:hAnsi="Arial" w:cs="Arial"/>
          <w:sz w:val="28"/>
        </w:rPr>
        <w:t>。估价对象宗地形状较规则、地形平坦、地质良好。综合评价估价对象土地利用程度较好。</w:t>
      </w:r>
    </w:p>
    <w:p w14:paraId="25330B28" w14:textId="77777777" w:rsidR="00E651D3" w:rsidRPr="00F631FB" w:rsidRDefault="00E651D3" w:rsidP="00E651D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宗地基础设施</w:t>
      </w:r>
      <w:r w:rsidRPr="00F631FB">
        <w:rPr>
          <w:rFonts w:ascii="Arial" w:eastAsia="仿宋_GB2312" w:hAnsi="Arial" w:cs="Arial"/>
          <w:sz w:val="28"/>
        </w:rPr>
        <w:t xml:space="preserve"> </w:t>
      </w:r>
    </w:p>
    <w:p w14:paraId="66E6B6AC" w14:textId="52DD8FB9" w:rsidR="00A145B3" w:rsidRDefault="00E651D3" w:rsidP="00E651D3">
      <w:pPr>
        <w:spacing w:line="360" w:lineRule="auto"/>
        <w:outlineLvl w:val="0"/>
        <w:rPr>
          <w:rFonts w:ascii="Arial" w:hAnsi="Arial" w:cs="Arial"/>
          <w:b/>
          <w:sz w:val="32"/>
        </w:rPr>
      </w:pPr>
      <w:r>
        <w:rPr>
          <w:rFonts w:ascii="Arial" w:eastAsia="仿宋_GB2312" w:hAnsi="Arial" w:cs="Arial" w:hint="eastAsia"/>
          <w:sz w:val="28"/>
        </w:rPr>
        <w:t>根据</w:t>
      </w:r>
      <w:r w:rsidRPr="00F631FB">
        <w:rPr>
          <w:rFonts w:ascii="Arial" w:eastAsia="仿宋_GB2312" w:hAnsi="Arial" w:cs="Arial" w:hint="eastAsia"/>
          <w:sz w:val="28"/>
        </w:rPr>
        <w:t>《</w:t>
      </w:r>
      <w:r>
        <w:rPr>
          <w:rFonts w:ascii="Arial" w:eastAsia="仿宋_GB2312" w:hAnsi="Arial" w:cs="Arial" w:hint="eastAsia"/>
          <w:sz w:val="28"/>
        </w:rPr>
        <w:t>海淀区苏州街站一体化棚户区改造项目前期工作及拟改造土地使用权</w:t>
      </w:r>
      <w:r>
        <w:rPr>
          <w:rFonts w:ascii="Arial" w:eastAsia="仿宋_GB2312" w:hAnsi="Arial" w:cs="Arial" w:hint="eastAsia"/>
          <w:sz w:val="28"/>
        </w:rPr>
        <w:lastRenderedPageBreak/>
        <w:t>一次性招标方案</w:t>
      </w:r>
      <w:r w:rsidRPr="00F631FB">
        <w:rPr>
          <w:rFonts w:ascii="Arial" w:eastAsia="仿宋_GB2312" w:hAnsi="Arial" w:cs="Arial" w:hint="eastAsia"/>
          <w:sz w:val="28"/>
        </w:rPr>
        <w:t>》</w:t>
      </w:r>
      <w:r>
        <w:rPr>
          <w:rFonts w:ascii="Arial" w:eastAsia="仿宋_GB2312" w:hAnsi="Arial" w:cs="Arial" w:hint="eastAsia"/>
          <w:sz w:val="28"/>
        </w:rPr>
        <w:t>及其附件，要求市政基础设施条件最终达到“七通”（</w:t>
      </w:r>
      <w:r w:rsidRPr="00F631FB">
        <w:rPr>
          <w:rFonts w:ascii="Arial" w:eastAsia="仿宋_GB2312" w:hAnsi="Arial" w:cs="Arial"/>
          <w:sz w:val="28"/>
          <w:szCs w:val="28"/>
        </w:rPr>
        <w:t>即通路、通电</w:t>
      </w:r>
      <w:r>
        <w:rPr>
          <w:rFonts w:ascii="Arial" w:eastAsia="仿宋_GB2312" w:hAnsi="Arial" w:cs="Arial" w:hint="eastAsia"/>
          <w:sz w:val="28"/>
          <w:szCs w:val="28"/>
        </w:rPr>
        <w:t>（管沟和电缆）</w:t>
      </w:r>
      <w:r w:rsidRPr="00F631FB">
        <w:rPr>
          <w:rFonts w:ascii="Arial" w:eastAsia="仿宋_GB2312" w:hAnsi="Arial" w:cs="Arial"/>
          <w:sz w:val="28"/>
          <w:szCs w:val="28"/>
        </w:rPr>
        <w:t>、通讯、通上水</w:t>
      </w:r>
      <w:r>
        <w:rPr>
          <w:rFonts w:ascii="Arial" w:eastAsia="仿宋_GB2312" w:hAnsi="Arial" w:cs="Arial" w:hint="eastAsia"/>
          <w:sz w:val="28"/>
          <w:szCs w:val="28"/>
        </w:rPr>
        <w:t>（自来水、中水）</w:t>
      </w:r>
      <w:r w:rsidRPr="00F631FB">
        <w:rPr>
          <w:rFonts w:ascii="Arial" w:eastAsia="仿宋_GB2312" w:hAnsi="Arial" w:cs="Arial"/>
          <w:sz w:val="28"/>
          <w:szCs w:val="28"/>
        </w:rPr>
        <w:t>、通下水</w:t>
      </w:r>
      <w:r>
        <w:rPr>
          <w:rFonts w:ascii="Arial" w:eastAsia="仿宋_GB2312" w:hAnsi="Arial" w:cs="Arial" w:hint="eastAsia"/>
          <w:sz w:val="28"/>
          <w:szCs w:val="28"/>
        </w:rPr>
        <w:t>（雨水、污水）</w:t>
      </w:r>
      <w:r w:rsidRPr="00F631FB">
        <w:rPr>
          <w:rFonts w:ascii="Arial" w:eastAsia="仿宋_GB2312" w:hAnsi="Arial" w:cs="Arial"/>
          <w:sz w:val="28"/>
          <w:szCs w:val="28"/>
        </w:rPr>
        <w:t>、通燃气、通热</w:t>
      </w:r>
      <w:r>
        <w:rPr>
          <w:rFonts w:ascii="Arial" w:eastAsia="仿宋_GB2312" w:hAnsi="Arial" w:cs="Arial" w:hint="eastAsia"/>
          <w:sz w:val="28"/>
        </w:rPr>
        <w:t>），截至价值时点，</w:t>
      </w:r>
      <w:r>
        <w:rPr>
          <w:rFonts w:ascii="Arial" w:eastAsia="仿宋_GB2312" w:hAnsi="Arial" w:cs="Arial"/>
          <w:sz w:val="28"/>
          <w:szCs w:val="28"/>
        </w:rPr>
        <w:t>宗地内建筑物正在进行结构施工</w:t>
      </w:r>
      <w:r w:rsidRPr="00F631FB">
        <w:rPr>
          <w:rFonts w:ascii="Arial" w:eastAsia="仿宋_GB2312" w:hAnsi="Arial" w:cs="Arial"/>
          <w:sz w:val="28"/>
          <w:szCs w:val="28"/>
        </w:rPr>
        <w:t>。</w:t>
      </w:r>
      <w:r>
        <w:rPr>
          <w:rFonts w:ascii="Arial" w:eastAsia="仿宋_GB2312" w:hAnsi="Arial" w:cs="Arial" w:hint="eastAsia"/>
          <w:sz w:val="28"/>
        </w:rPr>
        <w:t>本次评估是</w:t>
      </w:r>
      <w:r w:rsidRPr="00F631FB">
        <w:rPr>
          <w:rFonts w:ascii="Arial" w:eastAsia="仿宋_GB2312" w:hAnsi="Arial" w:cs="Arial"/>
          <w:sz w:val="28"/>
        </w:rPr>
        <w:t>为北京市规划和自然资源委员会办理该项目</w:t>
      </w:r>
      <w:r w:rsidRPr="00927BB2">
        <w:rPr>
          <w:rFonts w:ascii="Arial" w:eastAsia="仿宋_GB2312" w:hAnsi="Arial" w:cs="Arial" w:hint="eastAsia"/>
          <w:sz w:val="28"/>
        </w:rPr>
        <w:t>一次性招标</w:t>
      </w:r>
      <w:r>
        <w:rPr>
          <w:rFonts w:ascii="Arial" w:eastAsia="仿宋_GB2312" w:hAnsi="Arial" w:cs="Arial" w:hint="eastAsia"/>
          <w:sz w:val="28"/>
        </w:rPr>
        <w:t>出让手续</w:t>
      </w:r>
      <w:r w:rsidRPr="00F631FB">
        <w:rPr>
          <w:rFonts w:ascii="Arial" w:eastAsia="仿宋_GB2312" w:hAnsi="Arial" w:cs="Arial"/>
          <w:sz w:val="28"/>
        </w:rPr>
        <w:t>提供参考</w:t>
      </w:r>
      <w:r w:rsidRPr="00F631FB">
        <w:rPr>
          <w:rFonts w:ascii="Arial" w:eastAsia="仿宋_GB2312" w:hAnsi="Arial" w:cs="Arial" w:hint="eastAsia"/>
          <w:sz w:val="28"/>
        </w:rPr>
        <w:t>依据</w:t>
      </w:r>
      <w:r>
        <w:rPr>
          <w:rFonts w:ascii="Arial" w:eastAsia="仿宋_GB2312" w:hAnsi="Arial" w:cs="Arial" w:hint="eastAsia"/>
          <w:sz w:val="28"/>
        </w:rPr>
        <w:t>，结合</w:t>
      </w:r>
      <w:r w:rsidRPr="00F631FB">
        <w:rPr>
          <w:rFonts w:ascii="Arial" w:eastAsia="仿宋_GB2312" w:hAnsi="Arial" w:cs="Arial"/>
          <w:sz w:val="28"/>
          <w:szCs w:val="28"/>
        </w:rPr>
        <w:t>估价目的，本次评估设定估价对象开发程度为宗地外</w:t>
      </w:r>
      <w:r>
        <w:rPr>
          <w:rFonts w:ascii="Arial" w:eastAsia="仿宋_GB2312" w:hAnsi="Arial" w:cs="Arial"/>
          <w:sz w:val="28"/>
          <w:szCs w:val="28"/>
        </w:rPr>
        <w:t>“</w:t>
      </w:r>
      <w:r>
        <w:rPr>
          <w:rFonts w:ascii="Arial" w:eastAsia="仿宋_GB2312" w:hAnsi="Arial" w:cs="Arial"/>
          <w:sz w:val="28"/>
          <w:szCs w:val="28"/>
        </w:rPr>
        <w:t>七通</w:t>
      </w:r>
      <w:r>
        <w:rPr>
          <w:rFonts w:ascii="Arial" w:eastAsia="仿宋_GB2312" w:hAnsi="Arial" w:cs="Arial"/>
          <w:sz w:val="28"/>
          <w:szCs w:val="28"/>
        </w:rPr>
        <w:t>”</w:t>
      </w:r>
      <w:r>
        <w:rPr>
          <w:rFonts w:ascii="Arial" w:eastAsia="仿宋_GB2312" w:hAnsi="Arial" w:cs="Arial"/>
          <w:sz w:val="28"/>
          <w:szCs w:val="28"/>
        </w:rPr>
        <w:t>（即通路、通电（管沟和电缆）、通讯、通上水（自来水、中水）、通下水（雨水、污水）、通燃气、通热）</w:t>
      </w:r>
      <w:r w:rsidRPr="00F631FB">
        <w:rPr>
          <w:rFonts w:ascii="Arial" w:eastAsia="仿宋_GB2312" w:hAnsi="Arial" w:cs="Arial"/>
          <w:sz w:val="28"/>
          <w:szCs w:val="28"/>
        </w:rPr>
        <w:t>，宗地内</w:t>
      </w:r>
      <w:r w:rsidRPr="00F631FB">
        <w:rPr>
          <w:rFonts w:ascii="Arial" w:eastAsia="仿宋_GB2312" w:hAnsi="Arial" w:cs="Arial"/>
          <w:sz w:val="28"/>
          <w:szCs w:val="28"/>
        </w:rPr>
        <w:t>“</w:t>
      </w:r>
      <w:r w:rsidRPr="00F631FB">
        <w:rPr>
          <w:rFonts w:ascii="Arial" w:eastAsia="仿宋_GB2312" w:hAnsi="Arial" w:cs="Arial"/>
          <w:sz w:val="28"/>
          <w:szCs w:val="28"/>
        </w:rPr>
        <w:t>场地平整</w:t>
      </w:r>
      <w:r w:rsidRPr="00F631FB">
        <w:rPr>
          <w:rFonts w:ascii="Arial" w:eastAsia="仿宋_GB2312" w:hAnsi="Arial" w:cs="Arial"/>
          <w:sz w:val="28"/>
          <w:szCs w:val="28"/>
        </w:rPr>
        <w:t>”</w:t>
      </w:r>
      <w:r w:rsidRPr="00F631FB">
        <w:rPr>
          <w:rFonts w:ascii="Arial" w:eastAsia="仿宋_GB2312" w:hAnsi="Arial" w:cs="Arial"/>
          <w:sz w:val="28"/>
          <w:szCs w:val="28"/>
        </w:rPr>
        <w:t>。</w:t>
      </w:r>
      <w:r w:rsidRPr="000C63D6">
        <w:rPr>
          <w:rFonts w:ascii="Arial" w:eastAsia="仿宋_GB2312" w:hAnsi="Arial" w:cs="Arial"/>
          <w:sz w:val="28"/>
        </w:rPr>
        <w:t xml:space="preserve"> </w:t>
      </w:r>
      <w:r w:rsidRPr="00F631FB">
        <w:rPr>
          <w:rFonts w:ascii="Arial" w:eastAsia="仿宋_GB2312" w:hAnsi="Arial" w:cs="Arial"/>
          <w:sz w:val="28"/>
        </w:rPr>
        <w:t>综合评价估价对象宗地基础设施</w:t>
      </w:r>
      <w:r>
        <w:rPr>
          <w:rFonts w:ascii="Arial" w:eastAsia="仿宋_GB2312" w:hAnsi="Arial" w:cs="Arial" w:hint="eastAsia"/>
          <w:sz w:val="28"/>
        </w:rPr>
        <w:t>水平</w:t>
      </w:r>
      <w:r>
        <w:rPr>
          <w:rFonts w:ascii="Arial" w:eastAsia="仿宋_GB2312" w:hAnsi="Arial" w:cs="Arial"/>
          <w:sz w:val="28"/>
        </w:rPr>
        <w:t>好</w:t>
      </w:r>
      <w:r>
        <w:rPr>
          <w:rFonts w:ascii="Arial" w:eastAsia="仿宋_GB2312" w:hAnsi="Arial" w:cs="Arial" w:hint="eastAsia"/>
          <w:sz w:val="28"/>
        </w:rPr>
        <w:t>。</w:t>
      </w:r>
      <w:r w:rsidR="00A145B3">
        <w:rPr>
          <w:rFonts w:ascii="Arial" w:hAnsi="Arial" w:cs="Arial"/>
          <w:b/>
          <w:sz w:val="32"/>
        </w:rPr>
        <w:br w:type="page"/>
      </w:r>
    </w:p>
    <w:p w14:paraId="2E5474DF" w14:textId="3A90FA7F" w:rsidR="002C3ABF" w:rsidRPr="00F631FB" w:rsidRDefault="002C3ABF" w:rsidP="002C3ABF">
      <w:pPr>
        <w:spacing w:line="360" w:lineRule="auto"/>
        <w:jc w:val="center"/>
        <w:outlineLvl w:val="0"/>
        <w:rPr>
          <w:rFonts w:ascii="Arial" w:hAnsi="Arial" w:cs="Arial"/>
          <w:sz w:val="32"/>
        </w:rPr>
      </w:pPr>
      <w:r w:rsidRPr="00F631FB">
        <w:rPr>
          <w:rFonts w:ascii="Arial" w:hAnsi="Arial" w:cs="Arial"/>
          <w:b/>
          <w:sz w:val="32"/>
        </w:rPr>
        <w:lastRenderedPageBreak/>
        <w:t>第三部分</w:t>
      </w:r>
      <w:r w:rsidRPr="00F631FB">
        <w:rPr>
          <w:rFonts w:ascii="Arial" w:eastAsia="仿宋_GB2312" w:hAnsi="Arial" w:cs="Arial"/>
          <w:b/>
          <w:sz w:val="32"/>
        </w:rPr>
        <w:t xml:space="preserve">  </w:t>
      </w:r>
      <w:r w:rsidRPr="00F631FB">
        <w:rPr>
          <w:rFonts w:ascii="Arial" w:hAnsi="Arial" w:cs="Arial"/>
          <w:b/>
          <w:sz w:val="32"/>
        </w:rPr>
        <w:t>土地估价</w:t>
      </w:r>
      <w:bookmarkEnd w:id="276"/>
      <w:bookmarkEnd w:id="277"/>
      <w:bookmarkEnd w:id="278"/>
      <w:bookmarkEnd w:id="279"/>
      <w:bookmarkEnd w:id="280"/>
      <w:bookmarkEnd w:id="281"/>
      <w:bookmarkEnd w:id="282"/>
      <w:bookmarkEnd w:id="283"/>
    </w:p>
    <w:p w14:paraId="791457B0" w14:textId="77777777" w:rsidR="002C3ABF" w:rsidRPr="00F631FB" w:rsidRDefault="002C3ABF" w:rsidP="002C3ABF">
      <w:pPr>
        <w:spacing w:line="360" w:lineRule="auto"/>
        <w:rPr>
          <w:rFonts w:ascii="Arial" w:eastAsia="仿宋_GB2312" w:hAnsi="Arial" w:cs="Arial"/>
          <w:b/>
          <w:sz w:val="28"/>
        </w:rPr>
      </w:pPr>
    </w:p>
    <w:p w14:paraId="1C75027C" w14:textId="77777777" w:rsidR="002C3ABF" w:rsidRPr="00F631FB" w:rsidRDefault="002C3ABF" w:rsidP="002C3ABF">
      <w:pPr>
        <w:spacing w:line="360" w:lineRule="auto"/>
        <w:outlineLvl w:val="1"/>
        <w:rPr>
          <w:rFonts w:ascii="Arial" w:eastAsia="仿宋_GB2312" w:hAnsi="Arial" w:cs="Arial"/>
          <w:sz w:val="28"/>
        </w:rPr>
      </w:pPr>
      <w:bookmarkStart w:id="284" w:name="_Toc416783600"/>
      <w:bookmarkStart w:id="285" w:name="_Toc515457823"/>
      <w:bookmarkStart w:id="286" w:name="_Toc516488205"/>
      <w:bookmarkStart w:id="287" w:name="_Toc469066169"/>
      <w:bookmarkStart w:id="288" w:name="_Toc416783696"/>
      <w:bookmarkStart w:id="289" w:name="_Toc524335111"/>
      <w:bookmarkStart w:id="290" w:name="_Toc66929528"/>
      <w:bookmarkStart w:id="291" w:name="_Toc69393403"/>
      <w:r w:rsidRPr="00F631FB">
        <w:rPr>
          <w:rFonts w:ascii="Arial" w:eastAsia="仿宋_GB2312" w:hAnsi="Arial" w:cs="Arial"/>
          <w:b/>
          <w:sz w:val="28"/>
        </w:rPr>
        <w:t>一、估价原则</w:t>
      </w:r>
      <w:bookmarkEnd w:id="284"/>
      <w:bookmarkEnd w:id="285"/>
      <w:bookmarkEnd w:id="286"/>
      <w:bookmarkEnd w:id="287"/>
      <w:bookmarkEnd w:id="288"/>
      <w:bookmarkEnd w:id="289"/>
      <w:bookmarkEnd w:id="290"/>
      <w:bookmarkEnd w:id="291"/>
    </w:p>
    <w:p w14:paraId="30197226" w14:textId="77777777" w:rsidR="00DA1CE2" w:rsidRPr="00F631FB" w:rsidRDefault="00DA1CE2" w:rsidP="00DA1CE2">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292" w:name="_Toc416783601"/>
      <w:bookmarkStart w:id="293" w:name="_Toc416783697"/>
      <w:bookmarkStart w:id="294" w:name="_Toc469066170"/>
      <w:bookmarkStart w:id="295" w:name="_Toc515457824"/>
      <w:bookmarkStart w:id="296" w:name="_Toc516488206"/>
      <w:bookmarkStart w:id="297" w:name="_Toc524335112"/>
      <w:bookmarkStart w:id="298" w:name="_Toc66929529"/>
      <w:bookmarkStart w:id="299" w:name="_Toc69393404"/>
      <w:r w:rsidRPr="00F631FB">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F631FB">
        <w:rPr>
          <w:rFonts w:ascii="Arial" w:eastAsia="仿宋_GB2312" w:hAnsi="Arial" w:cs="Arial"/>
          <w:sz w:val="28"/>
          <w:szCs w:val="28"/>
        </w:rPr>
        <w:t>,</w:t>
      </w:r>
      <w:r w:rsidRPr="00F631FB">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F631FB">
        <w:rPr>
          <w:rFonts w:ascii="Arial" w:eastAsia="仿宋_GB2312" w:hAnsi="Arial" w:cs="Arial"/>
          <w:sz w:val="28"/>
          <w:szCs w:val="28"/>
        </w:rPr>
        <w:t xml:space="preserve">: </w:t>
      </w:r>
      <w:r w:rsidRPr="00F631FB">
        <w:rPr>
          <w:rFonts w:ascii="Arial" w:eastAsia="仿宋_GB2312" w:hAnsi="Arial" w:cs="Arial"/>
          <w:sz w:val="28"/>
          <w:szCs w:val="28"/>
        </w:rPr>
        <w:t>替代原则、最有效利用原则、预期收益原则、供需原则、贡献原则、价值主导原则、审慎原则、公开市场原则等。</w:t>
      </w:r>
    </w:p>
    <w:p w14:paraId="5B3CE5FB"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替代原则</w:t>
      </w:r>
    </w:p>
    <w:p w14:paraId="4A4FC7A4" w14:textId="77777777" w:rsidR="00DA1CE2" w:rsidRPr="00F631FB" w:rsidRDefault="00DA1CE2" w:rsidP="00DA1CE2">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1AAC946" w14:textId="77777777" w:rsidR="00DA1CE2" w:rsidRPr="00F631FB" w:rsidRDefault="00DA1CE2" w:rsidP="00DA1CE2">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3FF87572" w14:textId="77777777" w:rsidR="00DA1CE2" w:rsidRPr="00F631FB" w:rsidRDefault="00DA1CE2" w:rsidP="00DA1CE2">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替代原则可以概括为三点：（</w:t>
      </w:r>
      <w:r w:rsidRPr="00F631FB">
        <w:rPr>
          <w:rFonts w:ascii="Arial" w:eastAsia="仿宋_GB2312" w:hAnsi="Arial" w:cs="Arial"/>
          <w:sz w:val="28"/>
          <w:szCs w:val="28"/>
        </w:rPr>
        <w:t>1</w:t>
      </w:r>
      <w:r w:rsidRPr="00F631FB">
        <w:rPr>
          <w:rFonts w:ascii="Arial" w:eastAsia="仿宋_GB2312" w:hAnsi="Arial" w:cs="Arial"/>
          <w:sz w:val="28"/>
          <w:szCs w:val="28"/>
        </w:rPr>
        <w:t>）土地价格水平由具有相同性质的替代</w:t>
      </w:r>
      <w:proofErr w:type="gramStart"/>
      <w:r w:rsidRPr="00F631FB">
        <w:rPr>
          <w:rFonts w:ascii="Arial" w:eastAsia="仿宋_GB2312" w:hAnsi="Arial" w:cs="Arial"/>
          <w:sz w:val="28"/>
          <w:szCs w:val="28"/>
        </w:rPr>
        <w:lastRenderedPageBreak/>
        <w:t>性土地</w:t>
      </w:r>
      <w:proofErr w:type="gramEnd"/>
      <w:r w:rsidRPr="00F631FB">
        <w:rPr>
          <w:rFonts w:ascii="Arial" w:eastAsia="仿宋_GB2312" w:hAnsi="Arial" w:cs="Arial"/>
          <w:sz w:val="28"/>
          <w:szCs w:val="28"/>
        </w:rPr>
        <w:t>的价格所决定；（</w:t>
      </w:r>
      <w:r w:rsidRPr="00F631FB">
        <w:rPr>
          <w:rFonts w:ascii="Arial" w:eastAsia="仿宋_GB2312" w:hAnsi="Arial" w:cs="Arial"/>
          <w:sz w:val="28"/>
          <w:szCs w:val="28"/>
        </w:rPr>
        <w:t>2</w:t>
      </w:r>
      <w:r w:rsidRPr="00F631FB">
        <w:rPr>
          <w:rFonts w:ascii="Arial" w:eastAsia="仿宋_GB2312" w:hAnsi="Arial" w:cs="Arial"/>
          <w:sz w:val="28"/>
          <w:szCs w:val="28"/>
        </w:rPr>
        <w:t>）土地价格水平是由最了解行情的买卖者按市场交易实例相互比较后决定；（</w:t>
      </w:r>
      <w:r w:rsidRPr="00F631FB">
        <w:rPr>
          <w:rFonts w:ascii="Arial" w:eastAsia="仿宋_GB2312" w:hAnsi="Arial" w:cs="Arial"/>
          <w:sz w:val="28"/>
          <w:szCs w:val="28"/>
        </w:rPr>
        <w:t>3</w:t>
      </w:r>
      <w:r w:rsidRPr="00F631FB">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39BE695C"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替代原则的适用范围广，是本次估价市场比较法、基准地价系数修正法、剩余法中嵌套的市场比较法的理论基础。</w:t>
      </w:r>
    </w:p>
    <w:p w14:paraId="58DCCB2F"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最有效利用原则</w:t>
      </w:r>
    </w:p>
    <w:p w14:paraId="296B9EF8"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rPr>
      </w:pPr>
      <w:r>
        <w:rPr>
          <w:rFonts w:ascii="Arial" w:eastAsia="仿宋_GB2312" w:hAnsi="Arial" w:cs="Arial"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Arial" w:eastAsia="仿宋_GB2312" w:hAnsi="Arial" w:cs="Arial" w:hint="eastAsia"/>
          <w:sz w:val="28"/>
          <w:szCs w:val="28"/>
        </w:rPr>
        <w:t>估价对象拟办理招标出让手续，</w:t>
      </w:r>
      <w:r>
        <w:rPr>
          <w:rFonts w:ascii="Arial" w:eastAsia="仿宋_GB2312" w:hAnsi="Arial" w:cs="Arial" w:hint="eastAsia"/>
          <w:sz w:val="28"/>
        </w:rPr>
        <w:t>本次评估以设定规划条件符合最有效使用原则为前提。</w:t>
      </w:r>
    </w:p>
    <w:p w14:paraId="20BE6238"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预期收益原则</w:t>
      </w:r>
    </w:p>
    <w:p w14:paraId="42CAB4D1"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F631FB">
        <w:rPr>
          <w:rFonts w:ascii="Arial" w:eastAsia="仿宋_GB2312" w:hAnsi="Arial" w:cs="Arial"/>
          <w:sz w:val="28"/>
        </w:rPr>
        <w:t>以待估宗地</w:t>
      </w:r>
      <w:proofErr w:type="gramEnd"/>
      <w:r w:rsidRPr="00F631FB">
        <w:rPr>
          <w:rFonts w:ascii="Arial" w:eastAsia="仿宋_GB2312" w:hAnsi="Arial" w:cs="Arial"/>
          <w:sz w:val="28"/>
        </w:rPr>
        <w:t>在正常利用条件下的未来客观有效的预期收益。本次评</w:t>
      </w:r>
      <w:r w:rsidRPr="00F631FB">
        <w:rPr>
          <w:rFonts w:ascii="Arial" w:eastAsia="仿宋_GB2312" w:hAnsi="Arial" w:cs="Arial"/>
          <w:sz w:val="28"/>
        </w:rPr>
        <w:lastRenderedPageBreak/>
        <w:t>估在运用剩余法计算估价对象土地价格时，就是以该原则为原理。</w:t>
      </w:r>
    </w:p>
    <w:p w14:paraId="758791C9"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供需原则</w:t>
      </w:r>
    </w:p>
    <w:p w14:paraId="6CF0C061"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sz w:val="28"/>
        </w:rPr>
        <w:t>海淀区苏州街</w:t>
      </w:r>
      <w:r w:rsidRPr="00F631FB">
        <w:rPr>
          <w:rFonts w:ascii="Arial" w:eastAsia="仿宋_GB2312" w:hAnsi="Arial" w:cs="Arial"/>
          <w:sz w:val="28"/>
        </w:rPr>
        <w:t>，土地用途为</w:t>
      </w:r>
      <w:r>
        <w:rPr>
          <w:rFonts w:ascii="Arial" w:eastAsia="仿宋_GB2312" w:hAnsi="Arial" w:cs="Arial"/>
          <w:sz w:val="28"/>
        </w:rPr>
        <w:t>住宅、商业、办公、地下办公、地下车库</w:t>
      </w:r>
      <w:r w:rsidRPr="00F631FB">
        <w:rPr>
          <w:rFonts w:ascii="Arial" w:eastAsia="仿宋_GB2312" w:hAnsi="Arial" w:cs="Arial"/>
          <w:sz w:val="28"/>
        </w:rPr>
        <w:t>，土地性质为出让国有建设用地使用权。估价对象所处区域内土地资产存在较大增值潜力。评估中剩余法的运用主要考虑此项原则。</w:t>
      </w:r>
    </w:p>
    <w:p w14:paraId="6B114CE3"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贡献原则</w:t>
      </w:r>
    </w:p>
    <w:p w14:paraId="11BF7FDA"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A988A82"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6.</w:t>
      </w:r>
      <w:r w:rsidRPr="00F631FB">
        <w:rPr>
          <w:rFonts w:ascii="Arial" w:eastAsia="仿宋_GB2312" w:hAnsi="Arial" w:cs="Arial"/>
          <w:sz w:val="28"/>
          <w:szCs w:val="28"/>
        </w:rPr>
        <w:t>价值主导原则</w:t>
      </w:r>
    </w:p>
    <w:p w14:paraId="4906A5E5" w14:textId="77777777" w:rsidR="00DA1CE2" w:rsidRPr="00F631FB" w:rsidRDefault="00DA1CE2" w:rsidP="00DA1CE2">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价值主导原则是指</w:t>
      </w:r>
      <w:r w:rsidRPr="00F631FB">
        <w:rPr>
          <w:rFonts w:ascii="Arial" w:eastAsia="仿宋_GB2312" w:hAnsi="Arial" w:cs="Arial"/>
          <w:sz w:val="28"/>
        </w:rPr>
        <w:t>土地</w:t>
      </w:r>
      <w:r w:rsidRPr="00F631FB">
        <w:rPr>
          <w:rFonts w:ascii="Arial" w:eastAsia="仿宋_GB2312" w:hAnsi="Arial" w:cs="Arial"/>
          <w:sz w:val="28"/>
          <w:szCs w:val="28"/>
        </w:rPr>
        <w:t>综合质量优劣是对土地价格产生影响的主要因素。</w:t>
      </w:r>
    </w:p>
    <w:p w14:paraId="1F172805" w14:textId="77777777" w:rsidR="00DA1CE2" w:rsidRPr="00F631FB" w:rsidRDefault="00DA1CE2" w:rsidP="00DA1CE2">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56671BE3" w14:textId="77777777" w:rsidR="00DA1CE2" w:rsidRPr="00F631FB" w:rsidRDefault="00DA1CE2" w:rsidP="00DA1CE2">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估价对象位于</w:t>
      </w:r>
      <w:r>
        <w:rPr>
          <w:rFonts w:ascii="Arial" w:eastAsia="仿宋_GB2312" w:hAnsi="Arial" w:cs="Arial" w:hint="eastAsia"/>
          <w:sz w:val="28"/>
          <w:szCs w:val="28"/>
        </w:rPr>
        <w:t>北京市海淀区海淀南路</w:t>
      </w:r>
      <w:r>
        <w:rPr>
          <w:rFonts w:ascii="Arial" w:eastAsia="仿宋_GB2312" w:hAnsi="Arial" w:cs="Arial" w:hint="eastAsia"/>
          <w:sz w:val="28"/>
          <w:szCs w:val="28"/>
        </w:rPr>
        <w:t>12</w:t>
      </w:r>
      <w:r>
        <w:rPr>
          <w:rFonts w:ascii="Arial" w:eastAsia="仿宋_GB2312" w:hAnsi="Arial" w:cs="Arial" w:hint="eastAsia"/>
          <w:sz w:val="28"/>
          <w:szCs w:val="28"/>
        </w:rPr>
        <w:t>号院</w:t>
      </w:r>
      <w:r w:rsidRPr="00F631FB">
        <w:rPr>
          <w:rFonts w:ascii="Arial" w:eastAsia="仿宋_GB2312" w:hAnsi="Arial" w:cs="Arial"/>
          <w:sz w:val="28"/>
          <w:szCs w:val="28"/>
        </w:rPr>
        <w:t>，属于</w:t>
      </w:r>
      <w:r w:rsidRPr="00F631FB">
        <w:rPr>
          <w:rFonts w:ascii="Arial" w:eastAsia="仿宋_GB2312" w:hAnsi="Arial" w:cs="Arial" w:hint="eastAsia"/>
          <w:sz w:val="28"/>
          <w:szCs w:val="28"/>
        </w:rPr>
        <w:t>居住类</w:t>
      </w:r>
      <w:r>
        <w:rPr>
          <w:rFonts w:ascii="Arial" w:eastAsia="仿宋_GB2312" w:hAnsi="Arial" w:cs="Arial"/>
          <w:sz w:val="28"/>
          <w:szCs w:val="28"/>
        </w:rPr>
        <w:t>二</w:t>
      </w:r>
      <w:r>
        <w:rPr>
          <w:rFonts w:ascii="Arial" w:eastAsia="仿宋_GB2312" w:hAnsi="Arial" w:cs="Arial" w:hint="eastAsia"/>
          <w:sz w:val="28"/>
          <w:szCs w:val="28"/>
        </w:rPr>
        <w:t>级地价</w:t>
      </w:r>
      <w:r w:rsidRPr="00F631FB">
        <w:rPr>
          <w:rFonts w:ascii="Arial" w:eastAsia="仿宋_GB2312" w:hAnsi="Arial" w:cs="Arial"/>
          <w:sz w:val="28"/>
          <w:szCs w:val="28"/>
        </w:rPr>
        <w:t>区</w:t>
      </w:r>
      <w:r w:rsidRPr="00F631FB">
        <w:rPr>
          <w:rFonts w:ascii="Arial" w:eastAsia="仿宋_GB2312" w:hAnsi="Arial" w:cs="Arial" w:hint="eastAsia"/>
          <w:sz w:val="28"/>
          <w:szCs w:val="28"/>
        </w:rPr>
        <w:t>、</w:t>
      </w:r>
      <w:r w:rsidRPr="00F631FB">
        <w:rPr>
          <w:rFonts w:ascii="Arial" w:eastAsia="仿宋_GB2312" w:hAnsi="Arial" w:cs="Arial"/>
          <w:sz w:val="28"/>
          <w:szCs w:val="28"/>
        </w:rPr>
        <w:lastRenderedPageBreak/>
        <w:t>商业类</w:t>
      </w:r>
      <w:r>
        <w:rPr>
          <w:rFonts w:ascii="Arial" w:eastAsia="仿宋_GB2312" w:hAnsi="Arial" w:cs="Arial" w:hint="eastAsia"/>
          <w:sz w:val="28"/>
          <w:szCs w:val="28"/>
        </w:rPr>
        <w:t>三级地价区</w:t>
      </w:r>
      <w:r w:rsidRPr="00F631FB">
        <w:rPr>
          <w:rFonts w:ascii="Arial" w:eastAsia="仿宋_GB2312" w:hAnsi="Arial" w:cs="Arial"/>
          <w:sz w:val="28"/>
          <w:szCs w:val="28"/>
        </w:rPr>
        <w:t>及办公类</w:t>
      </w:r>
      <w:r>
        <w:rPr>
          <w:rFonts w:ascii="Arial" w:eastAsia="仿宋_GB2312" w:hAnsi="Arial" w:cs="Arial"/>
          <w:sz w:val="28"/>
          <w:szCs w:val="28"/>
        </w:rPr>
        <w:t>二</w:t>
      </w:r>
      <w:r>
        <w:rPr>
          <w:rFonts w:ascii="Arial" w:eastAsia="仿宋_GB2312" w:hAnsi="Arial" w:cs="Arial" w:hint="eastAsia"/>
          <w:sz w:val="28"/>
          <w:szCs w:val="28"/>
        </w:rPr>
        <w:t>级地价</w:t>
      </w:r>
      <w:r w:rsidRPr="00F631FB">
        <w:rPr>
          <w:rFonts w:ascii="Arial" w:eastAsia="仿宋_GB2312" w:hAnsi="Arial" w:cs="Arial"/>
          <w:sz w:val="28"/>
          <w:szCs w:val="28"/>
        </w:rPr>
        <w:t>区，估价中评估专业人员是根据现场查勘，并依据《城镇土地分等定级规程》对估价对象进行综合判断。</w:t>
      </w:r>
    </w:p>
    <w:p w14:paraId="4CA5A5A9" w14:textId="77777777" w:rsidR="00DA1CE2" w:rsidRPr="00F631FB" w:rsidRDefault="00DA1CE2" w:rsidP="00DA1CE2">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7.</w:t>
      </w:r>
      <w:r w:rsidRPr="00F631FB">
        <w:rPr>
          <w:rFonts w:ascii="Arial" w:eastAsia="仿宋_GB2312" w:hAnsi="Arial" w:cs="Arial"/>
          <w:sz w:val="28"/>
          <w:szCs w:val="28"/>
        </w:rPr>
        <w:t>审慎原则</w:t>
      </w:r>
      <w:r w:rsidRPr="00F631FB">
        <w:rPr>
          <w:rFonts w:ascii="Arial" w:eastAsia="仿宋_GB2312" w:hAnsi="Arial" w:cs="Arial"/>
          <w:sz w:val="28"/>
          <w:szCs w:val="28"/>
        </w:rPr>
        <w:t xml:space="preserve"> </w:t>
      </w:r>
    </w:p>
    <w:p w14:paraId="09D12834" w14:textId="77777777" w:rsidR="00DA1CE2" w:rsidRPr="00F631FB" w:rsidRDefault="00DA1CE2" w:rsidP="00DA1CE2">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F631FB">
        <w:rPr>
          <w:rFonts w:ascii="Arial" w:eastAsia="仿宋_GB2312" w:hAnsi="Arial" w:cs="Arial"/>
          <w:sz w:val="28"/>
          <w:szCs w:val="28"/>
        </w:rPr>
        <w:t>不</w:t>
      </w:r>
      <w:proofErr w:type="gramEnd"/>
      <w:r w:rsidRPr="00F631FB">
        <w:rPr>
          <w:rFonts w:ascii="Arial" w:eastAsia="仿宋_GB2312" w:hAnsi="Arial" w:cs="Arial"/>
          <w:sz w:val="28"/>
          <w:szCs w:val="28"/>
        </w:rPr>
        <w:t>高估也不低估估价对象的价值。</w:t>
      </w:r>
    </w:p>
    <w:p w14:paraId="38000445" w14:textId="77777777" w:rsidR="00DA1CE2" w:rsidRPr="00F631FB" w:rsidRDefault="00DA1CE2" w:rsidP="00DA1CE2">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73B09970" w14:textId="77777777" w:rsidR="00DA1CE2" w:rsidRPr="00F631FB" w:rsidRDefault="00DA1CE2" w:rsidP="00DA1CE2">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8.</w:t>
      </w:r>
      <w:r w:rsidRPr="00F631FB">
        <w:rPr>
          <w:rFonts w:ascii="Arial" w:eastAsia="仿宋_GB2312" w:hAnsi="Arial" w:cs="Arial"/>
          <w:sz w:val="28"/>
          <w:szCs w:val="28"/>
        </w:rPr>
        <w:t>公开市场原则</w:t>
      </w:r>
    </w:p>
    <w:p w14:paraId="58FB5DBD" w14:textId="77777777" w:rsidR="00DA1CE2" w:rsidRPr="00F631FB" w:rsidRDefault="00DA1CE2" w:rsidP="00DA1CE2">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公开市场原则是指评估结果在公平、公正、公开的土地市场上可实现。</w:t>
      </w:r>
    </w:p>
    <w:p w14:paraId="1B1356C9" w14:textId="3E4805D5" w:rsidR="00A145B3" w:rsidRDefault="00DA1CE2" w:rsidP="00DA1CE2">
      <w:pPr>
        <w:spacing w:line="360" w:lineRule="auto"/>
        <w:jc w:val="both"/>
        <w:outlineLvl w:val="1"/>
        <w:rPr>
          <w:rFonts w:ascii="Arial" w:eastAsia="仿宋_GB2312" w:hAnsi="Arial" w:cs="Arial"/>
          <w:b/>
          <w:sz w:val="28"/>
        </w:rPr>
      </w:pPr>
      <w:r w:rsidRPr="00F631FB">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A145B3">
        <w:rPr>
          <w:rFonts w:ascii="Arial" w:eastAsia="仿宋_GB2312" w:hAnsi="Arial" w:cs="Arial"/>
          <w:b/>
          <w:sz w:val="28"/>
        </w:rPr>
        <w:br w:type="page"/>
      </w:r>
    </w:p>
    <w:p w14:paraId="18E01C42" w14:textId="1F44523B" w:rsidR="002C3ABF" w:rsidRPr="00F631FB" w:rsidRDefault="002C3ABF" w:rsidP="002C3ABF">
      <w:pPr>
        <w:spacing w:line="360" w:lineRule="auto"/>
        <w:jc w:val="both"/>
        <w:outlineLvl w:val="1"/>
        <w:rPr>
          <w:rFonts w:ascii="Arial" w:eastAsia="仿宋_GB2312" w:hAnsi="Arial" w:cs="Arial"/>
          <w:b/>
          <w:sz w:val="28"/>
        </w:rPr>
      </w:pPr>
      <w:r w:rsidRPr="00F631FB">
        <w:rPr>
          <w:rFonts w:ascii="Arial" w:eastAsia="仿宋_GB2312" w:hAnsi="Arial" w:cs="Arial"/>
          <w:b/>
          <w:sz w:val="28"/>
        </w:rPr>
        <w:lastRenderedPageBreak/>
        <w:t>二、估价方法与估价过程</w:t>
      </w:r>
      <w:bookmarkEnd w:id="292"/>
      <w:bookmarkEnd w:id="293"/>
      <w:bookmarkEnd w:id="294"/>
      <w:bookmarkEnd w:id="295"/>
      <w:bookmarkEnd w:id="296"/>
      <w:bookmarkEnd w:id="297"/>
      <w:bookmarkEnd w:id="298"/>
      <w:bookmarkEnd w:id="299"/>
    </w:p>
    <w:p w14:paraId="44D5130F" w14:textId="77777777" w:rsidR="00DA1CE2" w:rsidRPr="00F631FB" w:rsidRDefault="00DA1CE2" w:rsidP="00B910EC">
      <w:pPr>
        <w:spacing w:line="480" w:lineRule="auto"/>
        <w:ind w:firstLineChars="200" w:firstLine="560"/>
        <w:jc w:val="both"/>
        <w:rPr>
          <w:rFonts w:ascii="Arial" w:eastAsia="仿宋_GB2312" w:hAnsi="Arial" w:cs="Arial"/>
          <w:sz w:val="28"/>
        </w:rPr>
      </w:pPr>
      <w:bookmarkStart w:id="300" w:name="_Toc416783602"/>
      <w:bookmarkStart w:id="301" w:name="_Toc416783698"/>
      <w:r w:rsidRPr="00F631FB">
        <w:rPr>
          <w:rFonts w:ascii="Arial" w:eastAsia="仿宋_GB2312" w:hAnsi="Arial" w:cs="Arial"/>
          <w:sz w:val="28"/>
        </w:rPr>
        <w:t xml:space="preserve">1. </w:t>
      </w:r>
      <w:r w:rsidRPr="00F631FB">
        <w:rPr>
          <w:rFonts w:ascii="Arial" w:eastAsia="仿宋_GB2312" w:hAnsi="Arial" w:cs="Arial"/>
          <w:sz w:val="28"/>
        </w:rPr>
        <w:t>估价技术思路</w:t>
      </w:r>
    </w:p>
    <w:p w14:paraId="3D49010A" w14:textId="77777777" w:rsidR="00DA1CE2" w:rsidRPr="00B910EC" w:rsidRDefault="00DA1CE2" w:rsidP="00B910EC">
      <w:pPr>
        <w:spacing w:line="480" w:lineRule="auto"/>
        <w:ind w:firstLineChars="200" w:firstLine="560"/>
        <w:jc w:val="both"/>
        <w:rPr>
          <w:rFonts w:ascii="Arial" w:eastAsia="仿宋_GB2312" w:hAnsi="Arial" w:cs="Arial"/>
          <w:sz w:val="28"/>
        </w:rPr>
      </w:pPr>
      <w:r w:rsidRPr="00B910EC">
        <w:rPr>
          <w:rFonts w:ascii="Arial" w:eastAsia="仿宋_GB2312" w:hAnsi="Arial" w:cs="Arial"/>
          <w:sz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34B9A743" w14:textId="77777777" w:rsidR="00DA1CE2" w:rsidRPr="00F631FB" w:rsidRDefault="00DA1CE2" w:rsidP="00B910EC">
      <w:pPr>
        <w:spacing w:line="480" w:lineRule="auto"/>
        <w:ind w:firstLineChars="200" w:firstLine="560"/>
        <w:jc w:val="both"/>
        <w:rPr>
          <w:rFonts w:ascii="Arial" w:eastAsia="仿宋_GB2312" w:hAnsi="Arial" w:cs="Arial"/>
          <w:sz w:val="28"/>
          <w:szCs w:val="28"/>
        </w:rPr>
      </w:pPr>
      <w:r w:rsidRPr="00B910EC">
        <w:rPr>
          <w:rFonts w:ascii="Arial" w:eastAsia="仿宋_GB2312" w:hAnsi="Arial" w:cs="Arial"/>
          <w:sz w:val="28"/>
        </w:rPr>
        <w:t>首先需根据《城镇土地估价规程》</w:t>
      </w:r>
      <w:r w:rsidRPr="00F631FB">
        <w:rPr>
          <w:rFonts w:ascii="Arial" w:eastAsia="仿宋_GB2312" w:hAnsi="Arial" w:cs="Arial"/>
          <w:sz w:val="28"/>
        </w:rPr>
        <w:t>[GB/T 18508-2014]</w:t>
      </w:r>
      <w:r w:rsidRPr="00B910EC">
        <w:rPr>
          <w:rFonts w:ascii="Arial" w:eastAsia="仿宋_GB2312" w:hAnsi="Arial" w:cs="Arial"/>
          <w:sz w:val="28"/>
        </w:rPr>
        <w:t>和</w:t>
      </w:r>
      <w:r w:rsidRPr="00F631FB">
        <w:rPr>
          <w:rFonts w:ascii="Arial" w:eastAsia="仿宋_GB2312" w:hAnsi="Arial" w:cs="Arial"/>
          <w:sz w:val="28"/>
        </w:rPr>
        <w:t>《国土资源部办公厅关于印发〈国有建设用地使用权出让地价评估技术规范〉的通知》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szCs w:val="28"/>
        </w:rPr>
        <w:t>的要求，评估出让土地使用权的正常市场价格（熟地价）。</w:t>
      </w:r>
    </w:p>
    <w:p w14:paraId="51528BE2"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28"/>
        </w:rPr>
        <w:t>其次，需根据《北京市关于更新出让国有建设用地使用权基准地价的通知》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和《关于印发北京市国有建设用地使用权出让地价评审暂行规定的通知》</w:t>
      </w:r>
      <w:r w:rsidRPr="00F631FB">
        <w:rPr>
          <w:rFonts w:ascii="Arial" w:eastAsia="仿宋_GB2312" w:hAnsi="Arial" w:cs="Arial"/>
          <w:sz w:val="28"/>
          <w:szCs w:val="28"/>
        </w:rPr>
        <w:t>[</w:t>
      </w:r>
      <w:r w:rsidRPr="00F631FB">
        <w:rPr>
          <w:rFonts w:ascii="Arial" w:eastAsia="仿宋_GB2312" w:hAnsi="Arial" w:cs="Arial"/>
          <w:sz w:val="28"/>
          <w:szCs w:val="28"/>
        </w:rPr>
        <w:t>京国土用（</w:t>
      </w:r>
      <w:r w:rsidRPr="00F631FB">
        <w:rPr>
          <w:rFonts w:ascii="Arial" w:eastAsia="仿宋_GB2312" w:hAnsi="Arial" w:cs="Arial"/>
          <w:sz w:val="28"/>
          <w:szCs w:val="28"/>
        </w:rPr>
        <w:t>2015</w:t>
      </w:r>
      <w:r w:rsidRPr="00F631FB">
        <w:rPr>
          <w:rFonts w:ascii="Arial" w:eastAsia="仿宋_GB2312" w:hAnsi="Arial" w:cs="Arial"/>
          <w:sz w:val="28"/>
          <w:szCs w:val="28"/>
        </w:rPr>
        <w:t>）</w:t>
      </w:r>
      <w:r w:rsidRPr="00F631FB">
        <w:rPr>
          <w:rFonts w:ascii="Arial" w:eastAsia="仿宋_GB2312" w:hAnsi="Arial" w:cs="Arial"/>
          <w:sz w:val="28"/>
          <w:szCs w:val="28"/>
        </w:rPr>
        <w:t>87</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F631FB">
        <w:rPr>
          <w:rFonts w:ascii="Arial" w:eastAsia="仿宋_GB2312" w:hAnsi="Arial" w:cs="Arial"/>
          <w:sz w:val="28"/>
          <w:szCs w:val="28"/>
        </w:rPr>
        <w:t>收益按楼面熟</w:t>
      </w:r>
      <w:proofErr w:type="gramEnd"/>
      <w:r w:rsidRPr="00F631FB">
        <w:rPr>
          <w:rFonts w:ascii="Arial" w:eastAsia="仿宋_GB2312" w:hAnsi="Arial" w:cs="Arial"/>
          <w:sz w:val="28"/>
          <w:szCs w:val="28"/>
        </w:rPr>
        <w:t>地价及相应土地用途的政府收益比例确定，</w:t>
      </w:r>
      <w:r w:rsidRPr="00F631FB">
        <w:rPr>
          <w:rFonts w:ascii="Arial" w:eastAsia="仿宋_GB2312" w:hAnsi="Arial" w:cs="Arial" w:hint="eastAsia"/>
          <w:sz w:val="28"/>
          <w:szCs w:val="28"/>
        </w:rPr>
        <w:t>住宅、</w:t>
      </w:r>
      <w:r w:rsidRPr="00F631FB">
        <w:rPr>
          <w:rFonts w:ascii="Arial" w:eastAsia="仿宋_GB2312" w:hAnsi="Arial" w:cs="Arial"/>
          <w:sz w:val="28"/>
          <w:szCs w:val="28"/>
        </w:rPr>
        <w:t>商业、办公、地下办公、地下</w:t>
      </w:r>
      <w:r w:rsidRPr="00F631FB">
        <w:rPr>
          <w:rFonts w:ascii="Arial" w:eastAsia="仿宋_GB2312" w:hAnsi="Arial" w:cs="Arial" w:hint="eastAsia"/>
          <w:sz w:val="28"/>
          <w:szCs w:val="28"/>
        </w:rPr>
        <w:t>仓储</w:t>
      </w:r>
      <w:r w:rsidRPr="00F631FB">
        <w:rPr>
          <w:rFonts w:ascii="Arial" w:eastAsia="仿宋_GB2312" w:hAnsi="Arial" w:cs="Arial"/>
          <w:sz w:val="28"/>
          <w:szCs w:val="28"/>
        </w:rPr>
        <w:t>用途政府土地收益比例为</w:t>
      </w:r>
      <w:r w:rsidRPr="00F631FB">
        <w:rPr>
          <w:rFonts w:ascii="Arial" w:eastAsia="仿宋_GB2312" w:hAnsi="Arial" w:cs="Arial"/>
          <w:sz w:val="28"/>
          <w:szCs w:val="28"/>
        </w:rPr>
        <w:t>25%</w:t>
      </w:r>
      <w:r w:rsidRPr="00F631FB">
        <w:rPr>
          <w:rFonts w:ascii="Arial" w:eastAsia="仿宋_GB2312" w:hAnsi="Arial" w:cs="Arial"/>
          <w:sz w:val="28"/>
          <w:szCs w:val="28"/>
        </w:rPr>
        <w:t>。</w:t>
      </w:r>
    </w:p>
    <w:p w14:paraId="66CD2F12"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方法选择</w:t>
      </w:r>
    </w:p>
    <w:p w14:paraId="6893BACD"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根据《城镇土地估价规程》</w:t>
      </w:r>
      <w:r w:rsidRPr="00F631FB">
        <w:rPr>
          <w:rFonts w:ascii="Arial" w:eastAsia="仿宋_GB2312" w:hAnsi="Arial" w:cs="Arial"/>
          <w:sz w:val="28"/>
        </w:rPr>
        <w:t>[GB/T18508-2014]</w:t>
      </w:r>
      <w:r w:rsidRPr="00F631FB">
        <w:rPr>
          <w:rFonts w:ascii="Arial" w:eastAsia="仿宋_GB2312" w:hAnsi="Arial" w:cs="Arial"/>
          <w:sz w:val="28"/>
        </w:rPr>
        <w:t>，估价方法通常有剩余法、基准地价系数修正法、成本逼近法、收益还原法及市场比较法共五种估价方法。</w:t>
      </w:r>
    </w:p>
    <w:p w14:paraId="06722E95" w14:textId="77777777" w:rsidR="00DA1CE2" w:rsidRPr="00F631FB" w:rsidRDefault="00DA1CE2" w:rsidP="00DA1CE2">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F631FB">
        <w:rPr>
          <w:rFonts w:ascii="Arial" w:eastAsia="仿宋_GB2312" w:hAnsi="Arial" w:cs="Arial"/>
          <w:sz w:val="28"/>
        </w:rPr>
        <w:t>评估专业人员根据估价对象的特点、实际情况以及估价目的，对上述估价方法分析如下：</w:t>
      </w:r>
    </w:p>
    <w:p w14:paraId="6571B104" w14:textId="77777777" w:rsidR="00DA1CE2" w:rsidRPr="00F631FB" w:rsidRDefault="00DA1CE2" w:rsidP="00DA1CE2">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）剩余法：剩余法适用于具有投资开发或再开发潜力的土地估价。允</w:t>
      </w:r>
      <w:r w:rsidRPr="00F631FB">
        <w:rPr>
          <w:rFonts w:ascii="Arial" w:eastAsia="仿宋_GB2312" w:hAnsi="Arial" w:cs="Arial"/>
          <w:sz w:val="28"/>
        </w:rPr>
        <w:lastRenderedPageBreak/>
        <w:t>许运用于以下情形：</w:t>
      </w:r>
      <w:r w:rsidRPr="00F631FB">
        <w:rPr>
          <w:rFonts w:hAnsi="宋体" w:cs="宋体" w:hint="eastAsia"/>
          <w:sz w:val="28"/>
        </w:rPr>
        <w:t>①</w:t>
      </w:r>
      <w:r w:rsidRPr="00F631FB">
        <w:rPr>
          <w:rFonts w:ascii="Arial" w:eastAsia="仿宋_GB2312" w:hAnsi="Arial" w:cs="Arial"/>
          <w:sz w:val="28"/>
        </w:rPr>
        <w:t>待开发房地产或待拆迁改造后再开发房地产的土地估价；</w:t>
      </w:r>
      <w:r w:rsidRPr="00F631FB">
        <w:rPr>
          <w:rFonts w:hAnsi="宋体" w:cs="宋体" w:hint="eastAsia"/>
          <w:sz w:val="28"/>
        </w:rPr>
        <w:t>②</w:t>
      </w:r>
      <w:r w:rsidRPr="00F631FB">
        <w:rPr>
          <w:rFonts w:ascii="Arial" w:eastAsia="仿宋_GB2312" w:hAnsi="Arial" w:cs="Arial"/>
          <w:sz w:val="28"/>
        </w:rPr>
        <w:t>仅将土地开发整理成可供直接利用的土地估价；</w:t>
      </w:r>
      <w:r w:rsidRPr="00F631FB">
        <w:rPr>
          <w:rFonts w:hAnsi="宋体" w:cs="宋体" w:hint="eastAsia"/>
          <w:sz w:val="28"/>
        </w:rPr>
        <w:t>③</w:t>
      </w:r>
      <w:r w:rsidRPr="00F631FB">
        <w:rPr>
          <w:rFonts w:ascii="Arial" w:eastAsia="仿宋_GB2312" w:hAnsi="Arial" w:cs="Arial"/>
          <w:sz w:val="28"/>
        </w:rPr>
        <w:t>现有房地产中地价的单独评估。此次</w:t>
      </w:r>
      <w:proofErr w:type="gramStart"/>
      <w:r w:rsidRPr="00F631FB">
        <w:rPr>
          <w:rFonts w:ascii="Arial" w:eastAsia="仿宋_GB2312" w:hAnsi="Arial" w:cs="Arial"/>
          <w:sz w:val="28"/>
        </w:rPr>
        <w:t>估价按</w:t>
      </w:r>
      <w:proofErr w:type="gramEnd"/>
      <w:r w:rsidRPr="00F631FB">
        <w:rPr>
          <w:rFonts w:ascii="Arial" w:eastAsia="仿宋_GB2312" w:hAnsi="Arial" w:cs="Arial"/>
          <w:sz w:val="28"/>
        </w:rPr>
        <w:t>待开发土地的价格进行评估，符合剩余法的适用条件，故可采用剩余法估算估价对象的熟地价。</w:t>
      </w:r>
    </w:p>
    <w:p w14:paraId="55A0CAB5" w14:textId="77777777" w:rsidR="00DA1CE2" w:rsidRPr="00F631FB" w:rsidRDefault="00DA1CE2" w:rsidP="00DA1CE2">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）基准地价系数修正法：</w:t>
      </w:r>
      <w:r w:rsidRPr="00F631FB">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公布于</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28</w:t>
      </w:r>
      <w:r w:rsidRPr="00F631FB">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148D5CF2" w14:textId="77777777" w:rsidR="00DA1CE2" w:rsidRPr="00F631FB" w:rsidRDefault="00DA1CE2" w:rsidP="00DA1CE2">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0E336591"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）收益还原法适用于有现实收益或潜在收益的土地或不动产估价。估价对象所在区域内新建</w:t>
      </w:r>
      <w:r w:rsidRPr="00F631FB">
        <w:rPr>
          <w:rFonts w:ascii="Arial" w:eastAsia="仿宋_GB2312" w:hAnsi="Arial" w:cs="Arial" w:hint="eastAsia"/>
          <w:sz w:val="28"/>
        </w:rPr>
        <w:t>住宅、</w:t>
      </w:r>
      <w:r w:rsidRPr="00F631FB">
        <w:rPr>
          <w:rFonts w:ascii="Arial" w:eastAsia="仿宋_GB2312" w:hAnsi="Arial" w:cs="Arial"/>
          <w:sz w:val="28"/>
        </w:rPr>
        <w:t>商业、办公、地下办公、地下</w:t>
      </w:r>
      <w:r>
        <w:rPr>
          <w:rFonts w:ascii="Arial" w:eastAsia="仿宋_GB2312" w:hAnsi="Arial" w:cs="Arial" w:hint="eastAsia"/>
          <w:sz w:val="28"/>
        </w:rPr>
        <w:t>车库</w:t>
      </w:r>
      <w:r w:rsidRPr="00F631FB">
        <w:rPr>
          <w:rFonts w:ascii="Arial" w:eastAsia="仿宋_GB2312" w:hAnsi="Arial" w:cs="Arial"/>
          <w:sz w:val="28"/>
        </w:rPr>
        <w:t>类物业基本以销售或自营为主，开发商</w:t>
      </w:r>
      <w:proofErr w:type="gramStart"/>
      <w:r w:rsidRPr="00F631FB">
        <w:rPr>
          <w:rFonts w:ascii="Arial" w:eastAsia="仿宋_GB2312" w:hAnsi="Arial" w:cs="Arial"/>
          <w:sz w:val="28"/>
        </w:rPr>
        <w:t>自持</w:t>
      </w:r>
      <w:proofErr w:type="gramEnd"/>
      <w:r w:rsidRPr="00F631FB">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w:t>
      </w:r>
      <w:r w:rsidRPr="00F631FB">
        <w:rPr>
          <w:rFonts w:ascii="Arial" w:eastAsia="仿宋_GB2312" w:hAnsi="Arial" w:cs="Arial"/>
          <w:sz w:val="28"/>
        </w:rPr>
        <w:lastRenderedPageBreak/>
        <w:t>原法。</w:t>
      </w:r>
    </w:p>
    <w:p w14:paraId="64CC213F"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）市场比较法：市场比较法主要用于土地市场发达，有充足的具有替代性的土地交易实例的地区。估价对象为</w:t>
      </w:r>
      <w:r>
        <w:rPr>
          <w:rFonts w:ascii="Arial" w:eastAsia="仿宋_GB2312" w:hAnsi="Arial" w:cs="Arial" w:hint="eastAsia"/>
          <w:sz w:val="28"/>
        </w:rPr>
        <w:t>办理</w:t>
      </w:r>
      <w:r w:rsidRPr="00F631FB">
        <w:rPr>
          <w:rFonts w:ascii="Arial" w:eastAsia="仿宋_GB2312" w:hAnsi="Arial" w:cs="Arial"/>
          <w:sz w:val="28"/>
        </w:rPr>
        <w:t>出让</w:t>
      </w:r>
      <w:r>
        <w:rPr>
          <w:rFonts w:ascii="Arial" w:eastAsia="仿宋_GB2312" w:hAnsi="Arial" w:cs="Arial" w:hint="eastAsia"/>
          <w:sz w:val="28"/>
        </w:rPr>
        <w:t>手续</w:t>
      </w:r>
      <w:r w:rsidRPr="00F631FB">
        <w:rPr>
          <w:rFonts w:ascii="Arial" w:eastAsia="仿宋_GB2312" w:hAnsi="Arial" w:cs="Arial"/>
          <w:sz w:val="28"/>
        </w:rPr>
        <w:t>项目，本市已有多宗</w:t>
      </w:r>
      <w:r w:rsidRPr="00F631FB">
        <w:rPr>
          <w:rFonts w:ascii="Arial" w:eastAsia="仿宋_GB2312" w:hAnsi="Arial" w:cs="Arial" w:hint="eastAsia"/>
          <w:sz w:val="28"/>
        </w:rPr>
        <w:t>商业、办公用途</w:t>
      </w:r>
      <w:r w:rsidRPr="00F631FB">
        <w:rPr>
          <w:rFonts w:ascii="Arial" w:eastAsia="仿宋_GB2312" w:hAnsi="Arial" w:cs="Arial"/>
          <w:sz w:val="28"/>
        </w:rPr>
        <w:t>经过审定的协议出让的经营性建设用地，满足市场比较法的要求。</w:t>
      </w:r>
    </w:p>
    <w:p w14:paraId="06246939" w14:textId="77777777" w:rsidR="00DA1CE2" w:rsidRPr="00F631FB" w:rsidRDefault="00DA1CE2" w:rsidP="00DA1CE2">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F631FB">
        <w:rPr>
          <w:rFonts w:ascii="Arial" w:eastAsia="仿宋_GB2312" w:hAnsi="Arial" w:cs="Arial"/>
          <w:sz w:val="28"/>
        </w:rPr>
        <w:t>综上所述，本次评估根据估价对象的特点和实际状况，采用剩余法、市场比较法和基准地价系数修正法三种方法</w:t>
      </w:r>
      <w:r w:rsidRPr="00F631FB">
        <w:rPr>
          <w:rFonts w:ascii="Arial" w:eastAsia="仿宋_GB2312" w:hAnsi="Arial" w:cs="Arial" w:hint="eastAsia"/>
          <w:sz w:val="28"/>
        </w:rPr>
        <w:t>对商业、办公用途</w:t>
      </w:r>
      <w:r w:rsidRPr="00F631FB">
        <w:rPr>
          <w:rFonts w:ascii="Arial" w:eastAsia="仿宋_GB2312" w:hAnsi="Arial" w:cs="Arial"/>
          <w:sz w:val="28"/>
        </w:rPr>
        <w:t>进行测算，采用剩余法和基准地价系数修正法</w:t>
      </w:r>
      <w:r w:rsidRPr="00F631FB">
        <w:rPr>
          <w:rFonts w:ascii="Arial" w:eastAsia="仿宋_GB2312" w:hAnsi="Arial" w:cs="Arial" w:hint="eastAsia"/>
          <w:sz w:val="28"/>
        </w:rPr>
        <w:t>两</w:t>
      </w:r>
      <w:r w:rsidRPr="00F631FB">
        <w:rPr>
          <w:rFonts w:ascii="Arial" w:eastAsia="仿宋_GB2312" w:hAnsi="Arial" w:cs="Arial"/>
          <w:sz w:val="28"/>
        </w:rPr>
        <w:t>种方法</w:t>
      </w:r>
      <w:r w:rsidRPr="00F631FB">
        <w:rPr>
          <w:rFonts w:ascii="Arial" w:eastAsia="仿宋_GB2312" w:hAnsi="Arial" w:cs="Arial" w:hint="eastAsia"/>
          <w:sz w:val="28"/>
        </w:rPr>
        <w:t>对居住用途</w:t>
      </w:r>
      <w:r w:rsidRPr="00F631FB">
        <w:rPr>
          <w:rFonts w:ascii="Arial" w:eastAsia="仿宋_GB2312" w:hAnsi="Arial" w:cs="Arial"/>
          <w:sz w:val="28"/>
        </w:rPr>
        <w:t>进行测算，其中剩余法中不动产开发完成后总价采用市场比较法求取，力求合理科学地评估出估价对象的出让国有建设用地使用权价格；</w:t>
      </w:r>
      <w:r w:rsidRPr="00F631FB">
        <w:rPr>
          <w:rFonts w:ascii="Arial" w:eastAsia="仿宋_GB2312" w:hAnsi="Arial" w:cs="Arial" w:hint="eastAsia"/>
          <w:sz w:val="28"/>
        </w:rPr>
        <w:t>接着利用地下空间修正系数求取地下各用途</w:t>
      </w:r>
      <w:r w:rsidRPr="00F631FB">
        <w:rPr>
          <w:rFonts w:ascii="Arial" w:eastAsia="仿宋_GB2312" w:hAnsi="Arial" w:cs="Arial"/>
          <w:sz w:val="28"/>
        </w:rPr>
        <w:t>的出让国有建设用地使用权价格</w:t>
      </w:r>
      <w:r w:rsidRPr="00F631FB">
        <w:rPr>
          <w:rFonts w:ascii="Arial" w:eastAsia="仿宋_GB2312" w:hAnsi="Arial" w:cs="Arial" w:hint="eastAsia"/>
          <w:sz w:val="28"/>
        </w:rPr>
        <w:t>；</w:t>
      </w:r>
      <w:r w:rsidRPr="00F631FB">
        <w:rPr>
          <w:rFonts w:ascii="Arial" w:eastAsia="仿宋_GB2312" w:hAnsi="Arial" w:cs="Arial"/>
          <w:sz w:val="28"/>
        </w:rPr>
        <w:t>然后再求取政府土地出让收益价格；最后对需</w:t>
      </w:r>
      <w:r>
        <w:rPr>
          <w:rFonts w:ascii="Arial" w:eastAsia="仿宋_GB2312" w:hAnsi="Arial" w:cs="Arial" w:hint="eastAsia"/>
          <w:sz w:val="28"/>
        </w:rPr>
        <w:t>缴纳</w:t>
      </w:r>
      <w:r w:rsidRPr="00F631FB">
        <w:rPr>
          <w:rFonts w:ascii="Arial" w:eastAsia="仿宋_GB2312" w:hAnsi="Arial" w:cs="Arial"/>
          <w:sz w:val="28"/>
        </w:rPr>
        <w:t>的地价提出底价建议。</w:t>
      </w:r>
    </w:p>
    <w:p w14:paraId="3DE5626F" w14:textId="77777777" w:rsidR="00DA1CE2" w:rsidRPr="00F631FB" w:rsidRDefault="00DA1CE2" w:rsidP="00DA1CE2">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060DEB">
        <w:rPr>
          <w:rFonts w:ascii="Arial" w:eastAsia="仿宋_GB2312" w:hAnsi="Arial" w:cs="Arial"/>
          <w:sz w:val="28"/>
        </w:rPr>
        <w:t>3.</w:t>
      </w:r>
      <w:r w:rsidRPr="00060DEB">
        <w:rPr>
          <w:rFonts w:ascii="Arial" w:eastAsia="仿宋_GB2312" w:hAnsi="Arial" w:cs="Arial"/>
          <w:sz w:val="28"/>
        </w:rPr>
        <w:t>本次评估所采用的估价方法简述如下：</w:t>
      </w:r>
    </w:p>
    <w:p w14:paraId="23FE150B" w14:textId="77777777" w:rsidR="00DA1CE2" w:rsidRPr="00F631FB" w:rsidRDefault="00DA1CE2" w:rsidP="00DA1CE2">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）基准地价系数修正法</w:t>
      </w:r>
    </w:p>
    <w:p w14:paraId="6579FCDE" w14:textId="77777777" w:rsidR="00DA1CE2" w:rsidRPr="00F631FB" w:rsidRDefault="00DA1CE2" w:rsidP="00DA1CE2">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基准地价系数修正法，是我国土地估价的方法之一。它是利用基准地价和基准地价修正系数表等成果，按照替代原则，</w:t>
      </w:r>
      <w:proofErr w:type="gramStart"/>
      <w:r w:rsidRPr="00F631FB">
        <w:rPr>
          <w:rFonts w:ascii="Arial" w:eastAsia="仿宋_GB2312" w:hAnsi="Arial" w:cs="Arial"/>
          <w:sz w:val="28"/>
          <w:szCs w:val="28"/>
        </w:rPr>
        <w:t>就待估宗地</w:t>
      </w:r>
      <w:proofErr w:type="gramEnd"/>
      <w:r w:rsidRPr="00F631FB">
        <w:rPr>
          <w:rFonts w:ascii="Arial" w:eastAsia="仿宋_GB2312" w:hAnsi="Arial" w:cs="Arial"/>
          <w:sz w:val="28"/>
          <w:szCs w:val="28"/>
        </w:rPr>
        <w:t>的区域条件和个别条件等与其所处区域的平均条件相比较，并对照修正系数表选取相应的修正系数对基准地价进行修正，进而</w:t>
      </w:r>
      <w:proofErr w:type="gramStart"/>
      <w:r w:rsidRPr="00F631FB">
        <w:rPr>
          <w:rFonts w:ascii="Arial" w:eastAsia="仿宋_GB2312" w:hAnsi="Arial" w:cs="Arial"/>
          <w:sz w:val="28"/>
          <w:szCs w:val="28"/>
        </w:rPr>
        <w:t>求取待估宗地</w:t>
      </w:r>
      <w:proofErr w:type="gramEnd"/>
      <w:r w:rsidRPr="00F631FB">
        <w:rPr>
          <w:rFonts w:ascii="Arial" w:eastAsia="仿宋_GB2312" w:hAnsi="Arial" w:cs="Arial"/>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w:t>
      </w:r>
      <w:r w:rsidRPr="00F631FB">
        <w:rPr>
          <w:rFonts w:ascii="Arial" w:eastAsia="仿宋_GB2312" w:hAnsi="Arial" w:cs="Arial"/>
          <w:sz w:val="28"/>
          <w:szCs w:val="28"/>
        </w:rPr>
        <w:lastRenderedPageBreak/>
        <w:t>该级别或均质区域内该类用地的其他宗地价格在基准地价上下波动。基准地价相对应的土地条件，是土地级别或均质地域内该类用途土地的一般条件。因此，</w:t>
      </w:r>
      <w:proofErr w:type="gramStart"/>
      <w:r w:rsidRPr="00F631FB">
        <w:rPr>
          <w:rFonts w:ascii="Arial" w:eastAsia="仿宋_GB2312" w:hAnsi="Arial" w:cs="Arial"/>
          <w:sz w:val="28"/>
          <w:szCs w:val="28"/>
        </w:rPr>
        <w:t>通过待估宗地</w:t>
      </w:r>
      <w:proofErr w:type="gramEnd"/>
      <w:r w:rsidRPr="00F631FB">
        <w:rPr>
          <w:rFonts w:ascii="Arial" w:eastAsia="仿宋_GB2312" w:hAnsi="Arial" w:cs="Arial"/>
          <w:sz w:val="28"/>
          <w:szCs w:val="28"/>
        </w:rPr>
        <w:t>条件与级别或区域内同类用地一般条件的比较，并根据二者在区域条件、个别条件、使用年期和估价期日等方面的差异大小，对照因素修正系数表选取适宜的修正系数，对基准地价进行修正，即可</w:t>
      </w:r>
      <w:proofErr w:type="gramStart"/>
      <w:r w:rsidRPr="00F631FB">
        <w:rPr>
          <w:rFonts w:ascii="Arial" w:eastAsia="仿宋_GB2312" w:hAnsi="Arial" w:cs="Arial"/>
          <w:sz w:val="28"/>
          <w:szCs w:val="28"/>
        </w:rPr>
        <w:t>得到待估宗地</w:t>
      </w:r>
      <w:proofErr w:type="gramEnd"/>
      <w:r w:rsidRPr="00F631FB">
        <w:rPr>
          <w:rFonts w:ascii="Arial" w:eastAsia="仿宋_GB2312" w:hAnsi="Arial" w:cs="Arial"/>
          <w:sz w:val="28"/>
          <w:szCs w:val="28"/>
        </w:rPr>
        <w:t>地价。</w:t>
      </w:r>
    </w:p>
    <w:p w14:paraId="13E6C17E" w14:textId="77777777" w:rsidR="00DA1CE2" w:rsidRPr="00F631FB" w:rsidRDefault="00DA1CE2" w:rsidP="00DA1CE2">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2</w:t>
      </w:r>
      <w:r w:rsidRPr="00F631FB">
        <w:rPr>
          <w:rFonts w:ascii="Arial" w:eastAsia="仿宋_GB2312" w:hAnsi="Arial" w:cs="Arial"/>
          <w:sz w:val="28"/>
          <w:szCs w:val="28"/>
        </w:rPr>
        <w:t>）剩余法</w:t>
      </w:r>
    </w:p>
    <w:p w14:paraId="1699C762" w14:textId="77777777" w:rsidR="00DA1CE2" w:rsidRPr="00F631FB" w:rsidRDefault="00DA1CE2" w:rsidP="00DA1CE2">
      <w:pPr>
        <w:spacing w:line="360" w:lineRule="auto"/>
        <w:ind w:firstLineChars="200" w:firstLine="560"/>
        <w:rPr>
          <w:rFonts w:ascii="Arial" w:eastAsia="仿宋_GB2312" w:hAnsi="Arial" w:cs="Arial"/>
          <w:sz w:val="28"/>
        </w:rPr>
      </w:pPr>
      <w:r w:rsidRPr="00F631FB">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F631FB">
        <w:rPr>
          <w:rFonts w:ascii="宋体" w:hAnsi="宋体" w:cs="宋体" w:hint="eastAsia"/>
          <w:sz w:val="28"/>
        </w:rPr>
        <w:t>①</w:t>
      </w:r>
      <w:r w:rsidRPr="00F631FB">
        <w:rPr>
          <w:rFonts w:ascii="Arial" w:eastAsia="仿宋_GB2312" w:hAnsi="Arial" w:cs="Arial"/>
          <w:sz w:val="28"/>
        </w:rPr>
        <w:t>待开发房地产或待拆迁改造后再开发房地产的土地估价；</w:t>
      </w:r>
      <w:r w:rsidRPr="00F631FB">
        <w:rPr>
          <w:rFonts w:ascii="宋体" w:hAnsi="宋体" w:cs="宋体" w:hint="eastAsia"/>
          <w:sz w:val="28"/>
        </w:rPr>
        <w:t>②</w:t>
      </w:r>
      <w:r w:rsidRPr="00F631FB">
        <w:rPr>
          <w:rFonts w:ascii="Arial" w:eastAsia="仿宋_GB2312" w:hAnsi="Arial" w:cs="Arial"/>
          <w:sz w:val="28"/>
        </w:rPr>
        <w:t>仅将土地开发整理成可供直接利用的土地估价；</w:t>
      </w:r>
      <w:r w:rsidRPr="00F631FB">
        <w:rPr>
          <w:rFonts w:ascii="宋体" w:hAnsi="宋体" w:cs="宋体" w:hint="eastAsia"/>
          <w:sz w:val="28"/>
        </w:rPr>
        <w:t>③</w:t>
      </w:r>
      <w:r w:rsidRPr="00F631FB">
        <w:rPr>
          <w:rFonts w:ascii="Arial" w:eastAsia="仿宋_GB2312" w:hAnsi="Arial" w:cs="Arial"/>
          <w:sz w:val="28"/>
        </w:rPr>
        <w:t>现有房地产中地价的单独评估。</w:t>
      </w:r>
    </w:p>
    <w:p w14:paraId="2482AE74" w14:textId="77777777" w:rsidR="00DA1CE2" w:rsidRPr="00F631FB" w:rsidRDefault="00DA1CE2" w:rsidP="00DA1CE2">
      <w:pPr>
        <w:spacing w:line="360" w:lineRule="auto"/>
        <w:ind w:firstLineChars="200" w:firstLine="560"/>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）评估待开发土地价格的公式为：</w:t>
      </w:r>
    </w:p>
    <w:p w14:paraId="446B664A" w14:textId="77777777" w:rsidR="00DA1CE2" w:rsidRPr="00F631FB" w:rsidRDefault="00DA1CE2" w:rsidP="00DA1CE2">
      <w:pPr>
        <w:spacing w:line="360" w:lineRule="auto"/>
        <w:ind w:firstLineChars="200" w:firstLine="560"/>
        <w:rPr>
          <w:rFonts w:ascii="Arial" w:eastAsia="仿宋_GB2312" w:hAnsi="Arial" w:cs="Arial"/>
          <w:sz w:val="28"/>
        </w:rPr>
      </w:pP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价格</w:t>
      </w:r>
      <w:r w:rsidRPr="00F631FB">
        <w:rPr>
          <w:rFonts w:ascii="Arial" w:eastAsia="仿宋_GB2312" w:hAnsi="Arial" w:cs="Arial"/>
          <w:sz w:val="28"/>
        </w:rPr>
        <w:t>=</w:t>
      </w:r>
      <w:r w:rsidRPr="00F631FB">
        <w:rPr>
          <w:rFonts w:ascii="Arial" w:eastAsia="仿宋_GB2312" w:hAnsi="Arial" w:cs="Arial"/>
          <w:sz w:val="28"/>
        </w:rPr>
        <w:t>不动产总价</w:t>
      </w:r>
      <w:r w:rsidRPr="00F631FB">
        <w:rPr>
          <w:rFonts w:ascii="Arial" w:eastAsia="仿宋_GB2312" w:hAnsi="Arial" w:cs="Arial"/>
          <w:sz w:val="28"/>
        </w:rPr>
        <w:t>-</w:t>
      </w:r>
      <w:r w:rsidRPr="00F631FB">
        <w:rPr>
          <w:rFonts w:ascii="Arial" w:eastAsia="仿宋_GB2312" w:hAnsi="Arial" w:cs="Arial"/>
          <w:sz w:val="28"/>
        </w:rPr>
        <w:t>开发项目整体的开发成本</w:t>
      </w:r>
      <w:r w:rsidRPr="00F631FB">
        <w:rPr>
          <w:rFonts w:ascii="Arial" w:eastAsia="仿宋_GB2312" w:hAnsi="Arial" w:cs="Arial"/>
          <w:sz w:val="28"/>
        </w:rPr>
        <w:t>-</w:t>
      </w:r>
      <w:r w:rsidRPr="00F631FB">
        <w:rPr>
          <w:rFonts w:ascii="Arial" w:eastAsia="仿宋_GB2312" w:hAnsi="Arial" w:cs="Arial"/>
          <w:sz w:val="28"/>
        </w:rPr>
        <w:t>客观开发利润</w:t>
      </w:r>
      <w:r w:rsidRPr="00F631FB">
        <w:rPr>
          <w:rFonts w:ascii="Arial" w:eastAsia="仿宋_GB2312" w:hAnsi="Arial" w:cs="Arial"/>
          <w:sz w:val="28"/>
        </w:rPr>
        <w:t xml:space="preserve">    </w:t>
      </w:r>
    </w:p>
    <w:p w14:paraId="67401007" w14:textId="77777777" w:rsidR="00DA1CE2" w:rsidRPr="00F631FB" w:rsidRDefault="00DA1CE2" w:rsidP="00DA1CE2">
      <w:pPr>
        <w:spacing w:line="360" w:lineRule="auto"/>
        <w:ind w:firstLineChars="200" w:firstLine="560"/>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）评估现有不动产中所含土地价格的公式为：</w:t>
      </w:r>
    </w:p>
    <w:p w14:paraId="1FB3D302" w14:textId="77777777" w:rsidR="00DA1CE2" w:rsidRPr="00F631FB" w:rsidRDefault="00DA1CE2" w:rsidP="00DA1CE2">
      <w:pPr>
        <w:spacing w:line="360" w:lineRule="auto"/>
        <w:ind w:firstLineChars="200" w:firstLine="560"/>
        <w:rPr>
          <w:rFonts w:ascii="Arial" w:eastAsia="仿宋_GB2312" w:hAnsi="Arial" w:cs="Arial"/>
          <w:sz w:val="28"/>
        </w:rPr>
      </w:pP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价格</w:t>
      </w:r>
      <w:r w:rsidRPr="00F631FB">
        <w:rPr>
          <w:rFonts w:ascii="Arial" w:eastAsia="仿宋_GB2312" w:hAnsi="Arial" w:cs="Arial"/>
          <w:sz w:val="28"/>
        </w:rPr>
        <w:t>=</w:t>
      </w:r>
      <w:r w:rsidRPr="00F631FB">
        <w:rPr>
          <w:rFonts w:ascii="Arial" w:eastAsia="仿宋_GB2312" w:hAnsi="Arial" w:cs="Arial"/>
          <w:sz w:val="28"/>
        </w:rPr>
        <w:t>不动产交易价格</w:t>
      </w:r>
      <w:r w:rsidRPr="00F631FB">
        <w:rPr>
          <w:rFonts w:ascii="Arial" w:eastAsia="仿宋_GB2312" w:hAnsi="Arial" w:cs="Arial"/>
          <w:sz w:val="28"/>
        </w:rPr>
        <w:t>-</w:t>
      </w:r>
      <w:r w:rsidRPr="00F631FB">
        <w:rPr>
          <w:rFonts w:ascii="Arial" w:eastAsia="仿宋_GB2312" w:hAnsi="Arial" w:cs="Arial"/>
          <w:sz w:val="28"/>
        </w:rPr>
        <w:t>房屋现值</w:t>
      </w:r>
      <w:r w:rsidRPr="00F631FB">
        <w:rPr>
          <w:rFonts w:ascii="Arial" w:eastAsia="仿宋_GB2312" w:hAnsi="Arial" w:cs="Arial"/>
          <w:sz w:val="28"/>
        </w:rPr>
        <w:t>-</w:t>
      </w:r>
      <w:r w:rsidRPr="00F631FB">
        <w:rPr>
          <w:rFonts w:ascii="Arial" w:eastAsia="仿宋_GB2312" w:hAnsi="Arial" w:cs="Arial"/>
          <w:sz w:val="28"/>
        </w:rPr>
        <w:t>交易税费</w:t>
      </w:r>
    </w:p>
    <w:p w14:paraId="50B2ADDF"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）北京市通过集体决策，核定已出让</w:t>
      </w:r>
      <w:r>
        <w:rPr>
          <w:rFonts w:ascii="Arial" w:eastAsia="仿宋_GB2312" w:hAnsi="Arial" w:cs="Arial" w:hint="eastAsia"/>
          <w:sz w:val="28"/>
        </w:rPr>
        <w:t>缴纳</w:t>
      </w:r>
      <w:r w:rsidRPr="00F631FB">
        <w:rPr>
          <w:rFonts w:ascii="Arial" w:eastAsia="仿宋_GB2312" w:hAnsi="Arial" w:cs="Arial"/>
          <w:sz w:val="28"/>
        </w:rPr>
        <w:t>地价款时要求：估价对象未进行房屋所有权登记的，剩余法计算公式应按照</w:t>
      </w:r>
      <w:r w:rsidRPr="00F631FB">
        <w:rPr>
          <w:rFonts w:ascii="Arial" w:eastAsia="仿宋_GB2312" w:hAnsi="Arial" w:cs="Arial"/>
          <w:sz w:val="28"/>
        </w:rPr>
        <w:t>“</w:t>
      </w:r>
      <w:r w:rsidRPr="00F631FB">
        <w:rPr>
          <w:rFonts w:ascii="Arial" w:eastAsia="仿宋_GB2312" w:hAnsi="Arial" w:cs="Arial"/>
          <w:sz w:val="28"/>
        </w:rPr>
        <w:t>评估待开发土地的价格</w:t>
      </w:r>
      <w:r w:rsidRPr="00F631FB">
        <w:rPr>
          <w:rFonts w:ascii="Arial" w:eastAsia="仿宋_GB2312" w:hAnsi="Arial" w:cs="Arial"/>
          <w:sz w:val="28"/>
        </w:rPr>
        <w:t>”</w:t>
      </w:r>
      <w:r w:rsidRPr="00F631FB">
        <w:rPr>
          <w:rFonts w:ascii="Arial" w:eastAsia="仿宋_GB2312" w:hAnsi="Arial" w:cs="Arial"/>
          <w:sz w:val="28"/>
        </w:rPr>
        <w:t>来选取基本公式。本次评估中，因估价对象尚未进行房屋登记，虽然为现有不动产，剩余法仍应按照</w:t>
      </w:r>
      <w:r w:rsidRPr="00F631FB">
        <w:rPr>
          <w:rFonts w:ascii="Arial" w:eastAsia="仿宋_GB2312" w:hAnsi="Arial" w:cs="Arial"/>
          <w:sz w:val="28"/>
        </w:rPr>
        <w:t>“</w:t>
      </w:r>
      <w:r w:rsidRPr="00F631FB">
        <w:rPr>
          <w:rFonts w:ascii="Arial" w:eastAsia="仿宋_GB2312" w:hAnsi="Arial" w:cs="Arial"/>
          <w:sz w:val="28"/>
        </w:rPr>
        <w:t>评估待开发土地的价格</w:t>
      </w:r>
      <w:r w:rsidRPr="00F631FB">
        <w:rPr>
          <w:rFonts w:ascii="Arial" w:eastAsia="仿宋_GB2312" w:hAnsi="Arial" w:cs="Arial"/>
          <w:sz w:val="28"/>
        </w:rPr>
        <w:t>”</w:t>
      </w:r>
      <w:r w:rsidRPr="00F631FB">
        <w:rPr>
          <w:rFonts w:ascii="Arial" w:eastAsia="仿宋_GB2312" w:hAnsi="Arial" w:cs="Arial"/>
          <w:sz w:val="28"/>
        </w:rPr>
        <w:t>进行相关测算。</w:t>
      </w:r>
    </w:p>
    <w:p w14:paraId="71C51C0D"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）市场比较法</w:t>
      </w:r>
    </w:p>
    <w:p w14:paraId="31D208F9" w14:textId="77777777" w:rsidR="00DA1CE2" w:rsidRPr="00F631FB" w:rsidRDefault="00DA1CE2" w:rsidP="00DA1CE2">
      <w:pPr>
        <w:autoSpaceDE w:val="0"/>
        <w:autoSpaceDN w:val="0"/>
        <w:spacing w:line="360" w:lineRule="auto"/>
        <w:ind w:right="3" w:firstLineChars="202" w:firstLine="566"/>
        <w:jc w:val="both"/>
        <w:textAlignment w:val="bottom"/>
        <w:rPr>
          <w:rFonts w:ascii="Arial" w:eastAsia="仿宋_GB2312" w:hAnsi="Arial" w:cs="Arial"/>
          <w:sz w:val="28"/>
        </w:rPr>
      </w:pPr>
      <w:r w:rsidRPr="00F631FB">
        <w:rPr>
          <w:rFonts w:ascii="Arial" w:eastAsia="仿宋_GB2312" w:hAnsi="Arial" w:cs="Arial"/>
          <w:sz w:val="28"/>
        </w:rPr>
        <w:t>根据替代原理，</w:t>
      </w:r>
      <w:proofErr w:type="gramStart"/>
      <w:r w:rsidRPr="00F631FB">
        <w:rPr>
          <w:rFonts w:ascii="Arial" w:eastAsia="仿宋_GB2312" w:hAnsi="Arial" w:cs="Arial"/>
          <w:sz w:val="28"/>
        </w:rPr>
        <w:t>将待估宗地</w:t>
      </w:r>
      <w:proofErr w:type="gramEnd"/>
      <w:r w:rsidRPr="00F631FB">
        <w:rPr>
          <w:rFonts w:ascii="Arial" w:eastAsia="仿宋_GB2312" w:hAnsi="Arial" w:cs="Arial"/>
          <w:sz w:val="28"/>
        </w:rPr>
        <w:t>与具有替代性的，且在估价期</w:t>
      </w:r>
      <w:proofErr w:type="gramStart"/>
      <w:r w:rsidRPr="00F631FB">
        <w:rPr>
          <w:rFonts w:ascii="Arial" w:eastAsia="仿宋_GB2312" w:hAnsi="Arial" w:cs="Arial"/>
          <w:sz w:val="28"/>
        </w:rPr>
        <w:t>日近期</w:t>
      </w:r>
      <w:proofErr w:type="gramEnd"/>
      <w:r w:rsidRPr="00F631FB">
        <w:rPr>
          <w:rFonts w:ascii="Arial" w:eastAsia="仿宋_GB2312" w:hAnsi="Arial" w:cs="Arial"/>
          <w:sz w:val="28"/>
        </w:rPr>
        <w:t>市场上</w:t>
      </w:r>
      <w:r w:rsidRPr="00F631FB">
        <w:rPr>
          <w:rFonts w:ascii="Arial" w:eastAsia="仿宋_GB2312" w:hAnsi="Arial" w:cs="Arial"/>
          <w:sz w:val="28"/>
        </w:rPr>
        <w:lastRenderedPageBreak/>
        <w:t>交易的类似宗地进行比较，并对类似宗地的成交价格进行差异修正，以此</w:t>
      </w:r>
      <w:proofErr w:type="gramStart"/>
      <w:r w:rsidRPr="00F631FB">
        <w:rPr>
          <w:rFonts w:ascii="Arial" w:eastAsia="仿宋_GB2312" w:hAnsi="Arial" w:cs="Arial"/>
          <w:sz w:val="28"/>
        </w:rPr>
        <w:t>估算待估宗地</w:t>
      </w:r>
      <w:proofErr w:type="gramEnd"/>
      <w:r w:rsidRPr="00F631FB">
        <w:rPr>
          <w:rFonts w:ascii="Arial" w:eastAsia="仿宋_GB2312" w:hAnsi="Arial" w:cs="Arial"/>
          <w:sz w:val="28"/>
        </w:rPr>
        <w:t>价格的方法。</w:t>
      </w:r>
    </w:p>
    <w:p w14:paraId="61AF01CF" w14:textId="77777777" w:rsidR="00DA1CE2" w:rsidRPr="00F631FB" w:rsidRDefault="00DA1CE2" w:rsidP="00DA1CE2">
      <w:pPr>
        <w:autoSpaceDE w:val="0"/>
        <w:autoSpaceDN w:val="0"/>
        <w:spacing w:line="360" w:lineRule="auto"/>
        <w:ind w:right="3" w:firstLineChars="202" w:firstLine="566"/>
        <w:jc w:val="both"/>
        <w:textAlignment w:val="bottom"/>
        <w:rPr>
          <w:rFonts w:ascii="Arial" w:eastAsia="仿宋_GB2312" w:hAnsi="Arial" w:cs="Arial"/>
          <w:sz w:val="28"/>
        </w:rPr>
      </w:pPr>
      <w:r w:rsidRPr="00F631FB">
        <w:rPr>
          <w:rFonts w:ascii="Arial" w:eastAsia="仿宋_GB2312" w:hAnsi="Arial" w:cs="Arial"/>
          <w:sz w:val="28"/>
        </w:rPr>
        <w:t>其计算公式为：</w:t>
      </w:r>
    </w:p>
    <w:p w14:paraId="11E55BBC" w14:textId="77777777" w:rsidR="00DA1CE2" w:rsidRPr="00F631FB" w:rsidRDefault="00DA1CE2" w:rsidP="00DA1CE2">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P=P</w:t>
      </w:r>
      <w:r w:rsidRPr="00F631FB">
        <w:rPr>
          <w:rFonts w:ascii="Arial" w:eastAsia="仿宋_GB2312" w:hAnsi="Arial" w:cs="Arial"/>
          <w:sz w:val="28"/>
          <w:vertAlign w:val="subscript"/>
        </w:rPr>
        <w:t>B</w:t>
      </w:r>
      <w:r w:rsidRPr="00F631FB">
        <w:rPr>
          <w:rFonts w:ascii="Arial" w:hAnsi="Arial" w:cs="Arial"/>
          <w:sz w:val="28"/>
        </w:rPr>
        <w:t>×</w:t>
      </w:r>
      <w:r w:rsidRPr="00F631FB">
        <w:rPr>
          <w:rFonts w:ascii="Arial" w:eastAsia="仿宋_GB2312" w:hAnsi="Arial" w:cs="Arial"/>
          <w:sz w:val="28"/>
        </w:rPr>
        <w:t>A</w:t>
      </w:r>
      <w:r w:rsidRPr="00F631FB">
        <w:rPr>
          <w:rFonts w:ascii="Arial" w:hAnsi="Arial" w:cs="Arial"/>
          <w:sz w:val="28"/>
        </w:rPr>
        <w:t>×</w:t>
      </w:r>
      <w:r w:rsidRPr="00F631FB">
        <w:rPr>
          <w:rFonts w:ascii="Arial" w:eastAsia="仿宋_GB2312" w:hAnsi="Arial" w:cs="Arial"/>
          <w:sz w:val="28"/>
        </w:rPr>
        <w:t>B</w:t>
      </w:r>
      <w:r w:rsidRPr="00F631FB">
        <w:rPr>
          <w:rFonts w:ascii="Arial" w:hAnsi="Arial" w:cs="Arial"/>
          <w:sz w:val="28"/>
        </w:rPr>
        <w:t>×</w:t>
      </w:r>
      <w:r w:rsidRPr="00F631FB">
        <w:rPr>
          <w:rFonts w:ascii="Arial" w:eastAsia="仿宋_GB2312" w:hAnsi="Arial" w:cs="Arial"/>
          <w:sz w:val="28"/>
        </w:rPr>
        <w:t>C</w:t>
      </w:r>
      <w:r w:rsidRPr="00F631FB">
        <w:rPr>
          <w:rFonts w:ascii="Arial" w:hAnsi="Arial" w:cs="Arial"/>
          <w:sz w:val="28"/>
        </w:rPr>
        <w:t>×</w:t>
      </w:r>
      <w:r w:rsidRPr="00F631FB">
        <w:rPr>
          <w:rFonts w:ascii="Arial" w:eastAsia="仿宋_GB2312" w:hAnsi="Arial" w:cs="Arial"/>
          <w:sz w:val="28"/>
        </w:rPr>
        <w:t>D</w:t>
      </w:r>
      <w:r w:rsidRPr="00F631FB">
        <w:rPr>
          <w:rFonts w:ascii="Arial" w:hAnsi="Arial" w:cs="Arial"/>
          <w:sz w:val="28"/>
        </w:rPr>
        <w:t>×</w:t>
      </w:r>
      <w:r w:rsidRPr="00F631FB">
        <w:rPr>
          <w:rFonts w:ascii="Arial" w:eastAsia="仿宋_GB2312" w:hAnsi="Arial" w:cs="Arial"/>
          <w:sz w:val="28"/>
        </w:rPr>
        <w:t>E</w:t>
      </w:r>
    </w:p>
    <w:p w14:paraId="26FD069A" w14:textId="77777777" w:rsidR="00DA1CE2" w:rsidRPr="00F631FB" w:rsidRDefault="00DA1CE2" w:rsidP="00DA1CE2">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式中：</w:t>
      </w:r>
    </w:p>
    <w:p w14:paraId="53F30A7A" w14:textId="77777777" w:rsidR="00DA1CE2" w:rsidRPr="00F631FB" w:rsidRDefault="00DA1CE2" w:rsidP="00DA1CE2">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P——</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价格；</w:t>
      </w:r>
    </w:p>
    <w:p w14:paraId="2DE5BD91" w14:textId="77777777" w:rsidR="00DA1CE2" w:rsidRPr="00F631FB" w:rsidRDefault="00DA1CE2" w:rsidP="00DA1CE2">
      <w:pPr>
        <w:autoSpaceDE w:val="0"/>
        <w:autoSpaceDN w:val="0"/>
        <w:spacing w:line="360" w:lineRule="auto"/>
        <w:ind w:right="140" w:firstLine="570"/>
        <w:jc w:val="both"/>
        <w:textAlignment w:val="bottom"/>
        <w:rPr>
          <w:rFonts w:ascii="Arial" w:eastAsia="仿宋_GB2312" w:hAnsi="Arial" w:cs="Arial"/>
          <w:sz w:val="28"/>
          <w:vertAlign w:val="subscript"/>
        </w:rPr>
      </w:pPr>
      <w:r w:rsidRPr="00F631FB">
        <w:rPr>
          <w:rFonts w:ascii="Arial" w:eastAsia="仿宋_GB2312" w:hAnsi="Arial" w:cs="Arial"/>
          <w:sz w:val="28"/>
        </w:rPr>
        <w:t>P</w:t>
      </w:r>
      <w:r w:rsidRPr="00F631FB">
        <w:rPr>
          <w:rFonts w:ascii="Arial" w:eastAsia="仿宋_GB2312" w:hAnsi="Arial" w:cs="Arial"/>
          <w:sz w:val="28"/>
          <w:vertAlign w:val="subscript"/>
        </w:rPr>
        <w:t>B</w:t>
      </w:r>
      <w:r w:rsidRPr="00F631FB">
        <w:rPr>
          <w:rFonts w:ascii="Arial" w:eastAsia="仿宋_GB2312" w:hAnsi="Arial" w:cs="Arial"/>
          <w:sz w:val="28"/>
        </w:rPr>
        <w:t>——</w:t>
      </w:r>
      <w:r w:rsidRPr="00F631FB">
        <w:rPr>
          <w:rFonts w:ascii="Arial" w:eastAsia="仿宋_GB2312" w:hAnsi="Arial" w:cs="Arial"/>
          <w:sz w:val="28"/>
        </w:rPr>
        <w:t>比较实例价格；</w:t>
      </w:r>
    </w:p>
    <w:p w14:paraId="61A635F2" w14:textId="77777777" w:rsidR="00DA1CE2" w:rsidRPr="00F631FB" w:rsidRDefault="00DA1CE2" w:rsidP="00DA1CE2">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A——</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交易情况指数</w:t>
      </w:r>
      <w:r w:rsidRPr="00F631FB">
        <w:rPr>
          <w:rFonts w:ascii="Arial" w:eastAsia="仿宋_GB2312" w:hAnsi="Arial" w:cs="Arial"/>
          <w:sz w:val="28"/>
        </w:rPr>
        <w:t>/</w:t>
      </w:r>
      <w:r w:rsidRPr="00F631FB">
        <w:rPr>
          <w:rFonts w:ascii="Arial" w:eastAsia="仿宋_GB2312" w:hAnsi="Arial" w:cs="Arial"/>
          <w:sz w:val="28"/>
        </w:rPr>
        <w:t>比较实例宗地交易情况指数</w:t>
      </w:r>
    </w:p>
    <w:p w14:paraId="40706FB0" w14:textId="77777777" w:rsidR="00DA1CE2" w:rsidRPr="00F631FB" w:rsidRDefault="00DA1CE2" w:rsidP="00DA1CE2">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B——</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估价期日地价指数</w:t>
      </w:r>
      <w:r w:rsidRPr="00F631FB">
        <w:rPr>
          <w:rFonts w:ascii="Arial" w:eastAsia="仿宋_GB2312" w:hAnsi="Arial" w:cs="Arial"/>
          <w:sz w:val="28"/>
        </w:rPr>
        <w:t>/</w:t>
      </w:r>
      <w:r w:rsidRPr="00F631FB">
        <w:rPr>
          <w:rFonts w:ascii="Arial" w:eastAsia="仿宋_GB2312" w:hAnsi="Arial" w:cs="Arial"/>
          <w:sz w:val="28"/>
        </w:rPr>
        <w:t>比较实例宗地交易日期地价指数</w:t>
      </w:r>
    </w:p>
    <w:p w14:paraId="3479868F" w14:textId="77777777" w:rsidR="00DA1CE2" w:rsidRPr="00F631FB" w:rsidRDefault="00DA1CE2" w:rsidP="00DA1CE2">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C——</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区域因素条件指数</w:t>
      </w:r>
      <w:r w:rsidRPr="00F631FB">
        <w:rPr>
          <w:rFonts w:ascii="Arial" w:eastAsia="仿宋_GB2312" w:hAnsi="Arial" w:cs="Arial"/>
          <w:sz w:val="28"/>
        </w:rPr>
        <w:t>/</w:t>
      </w:r>
      <w:r w:rsidRPr="00F631FB">
        <w:rPr>
          <w:rFonts w:ascii="Arial" w:eastAsia="仿宋_GB2312" w:hAnsi="Arial" w:cs="Arial"/>
          <w:sz w:val="28"/>
        </w:rPr>
        <w:t>比较实例宗地区域因素条件指数</w:t>
      </w:r>
    </w:p>
    <w:p w14:paraId="352BEAB3" w14:textId="77777777" w:rsidR="00DA1CE2" w:rsidRPr="00F631FB" w:rsidRDefault="00DA1CE2" w:rsidP="00DA1CE2">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D——</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个别因素条件指数</w:t>
      </w:r>
      <w:r w:rsidRPr="00F631FB">
        <w:rPr>
          <w:rFonts w:ascii="Arial" w:eastAsia="仿宋_GB2312" w:hAnsi="Arial" w:cs="Arial"/>
          <w:sz w:val="28"/>
        </w:rPr>
        <w:t>/</w:t>
      </w:r>
      <w:r w:rsidRPr="00F631FB">
        <w:rPr>
          <w:rFonts w:ascii="Arial" w:eastAsia="仿宋_GB2312" w:hAnsi="Arial" w:cs="Arial"/>
          <w:sz w:val="28"/>
        </w:rPr>
        <w:t>比较实例宗地个别因素条件指数</w:t>
      </w:r>
    </w:p>
    <w:p w14:paraId="163CF570" w14:textId="70D7AB31" w:rsidR="002C3ABF" w:rsidRPr="00A145B3" w:rsidRDefault="00DA1CE2" w:rsidP="00DA1CE2">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E——</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使用年期修正指数</w:t>
      </w:r>
      <w:r w:rsidRPr="00F631FB">
        <w:rPr>
          <w:rFonts w:ascii="Arial" w:eastAsia="仿宋_GB2312" w:hAnsi="Arial" w:cs="Arial"/>
          <w:sz w:val="28"/>
        </w:rPr>
        <w:t>/</w:t>
      </w:r>
      <w:r w:rsidRPr="00F631FB">
        <w:rPr>
          <w:rFonts w:ascii="Arial" w:eastAsia="仿宋_GB2312" w:hAnsi="Arial" w:cs="Arial"/>
          <w:sz w:val="28"/>
        </w:rPr>
        <w:t>比较实例宗地使用年期修正指数</w:t>
      </w:r>
    </w:p>
    <w:p w14:paraId="0EE4991B" w14:textId="77777777" w:rsidR="00A145B3" w:rsidRDefault="00A145B3" w:rsidP="002C3ABF">
      <w:pPr>
        <w:spacing w:line="360" w:lineRule="auto"/>
        <w:jc w:val="both"/>
        <w:rPr>
          <w:rFonts w:ascii="Arial" w:eastAsia="仿宋_GB2312" w:hAnsi="Arial" w:cs="Arial"/>
          <w:sz w:val="28"/>
        </w:rPr>
      </w:pPr>
      <w:r>
        <w:rPr>
          <w:rFonts w:ascii="Arial" w:eastAsia="仿宋_GB2312" w:hAnsi="Arial" w:cs="Arial"/>
          <w:sz w:val="28"/>
        </w:rPr>
        <w:br w:type="page"/>
      </w:r>
    </w:p>
    <w:p w14:paraId="3BA08B2D" w14:textId="3F35D2CB"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lastRenderedPageBreak/>
        <w:t>（二）估价过程</w:t>
      </w:r>
      <w:bookmarkEnd w:id="300"/>
      <w:bookmarkEnd w:id="301"/>
    </w:p>
    <w:p w14:paraId="19080DC0" w14:textId="77777777" w:rsidR="002C3ABF" w:rsidRPr="00F631FB" w:rsidRDefault="002C3ABF" w:rsidP="002C3ABF">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F631FB">
        <w:rPr>
          <w:rFonts w:ascii="Arial" w:eastAsia="仿宋_GB2312" w:hAnsi="Arial" w:cs="Arial"/>
          <w:b/>
          <w:sz w:val="28"/>
        </w:rPr>
        <w:t>相关参数</w:t>
      </w:r>
    </w:p>
    <w:p w14:paraId="65042E67" w14:textId="77777777" w:rsidR="002C3ABF" w:rsidRPr="00F631FB" w:rsidRDefault="002C3ABF" w:rsidP="002C3AB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F631FB">
        <w:rPr>
          <w:rFonts w:ascii="Arial" w:eastAsia="仿宋_GB2312" w:hAnsi="Arial" w:cs="Arial"/>
          <w:sz w:val="28"/>
        </w:rPr>
        <w:t xml:space="preserve">1. </w:t>
      </w:r>
      <w:r w:rsidRPr="00F631FB">
        <w:rPr>
          <w:rFonts w:ascii="Arial" w:eastAsia="仿宋_GB2312" w:hAnsi="Arial" w:cs="Arial"/>
          <w:sz w:val="28"/>
        </w:rPr>
        <w:t>估价对象土地经济技术指标</w:t>
      </w:r>
    </w:p>
    <w:p w14:paraId="6C751356"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w:t>
      </w:r>
      <w:r w:rsidRPr="00F631FB">
        <w:rPr>
          <w:rFonts w:ascii="Arial" w:eastAsia="仿宋_GB2312" w:hAnsi="Arial" w:cs="Arial"/>
          <w:bCs/>
          <w:sz w:val="28"/>
        </w:rPr>
        <w:t>1</w:t>
      </w:r>
      <w:r w:rsidRPr="00F631FB">
        <w:rPr>
          <w:rFonts w:ascii="Arial" w:eastAsia="仿宋_GB2312" w:hAnsi="Arial" w:cs="Arial"/>
          <w:bCs/>
          <w:sz w:val="28"/>
        </w:rPr>
        <w:t>）土地面积</w:t>
      </w:r>
    </w:p>
    <w:p w14:paraId="6273B5FD" w14:textId="2392EE07" w:rsidR="002C3ABF" w:rsidRPr="00F631FB" w:rsidRDefault="002C3ABF" w:rsidP="007A3D09">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F631FB">
        <w:rPr>
          <w:rFonts w:ascii="Arial" w:eastAsia="仿宋_GB2312" w:hAnsi="Arial" w:cs="Arial"/>
          <w:bCs/>
          <w:sz w:val="28"/>
        </w:rPr>
        <w:t>估价对象为</w:t>
      </w:r>
      <w:r w:rsidR="00CD767E" w:rsidRPr="003D6BCC">
        <w:rPr>
          <w:rFonts w:ascii="Arial" w:eastAsia="仿宋_GB2312" w:hAnsi="Arial" w:cs="Arial" w:hint="eastAsia"/>
          <w:sz w:val="28"/>
        </w:rPr>
        <w:t>北京市海淀区苏州街站一体化棚户区改造一次性招标项目</w:t>
      </w:r>
      <w:r w:rsidRPr="00F631FB">
        <w:rPr>
          <w:rFonts w:ascii="Arial" w:eastAsia="仿宋_GB2312" w:hAnsi="Arial" w:cs="Arial"/>
          <w:sz w:val="28"/>
        </w:rPr>
        <w:t>用地。</w:t>
      </w:r>
      <w:r w:rsidRPr="00F631FB">
        <w:rPr>
          <w:rFonts w:ascii="Arial" w:eastAsia="仿宋_GB2312" w:hAnsi="Arial" w:cs="Arial"/>
          <w:spacing w:val="-12"/>
          <w:sz w:val="28"/>
        </w:rPr>
        <w:t>根据委托估价方提供的</w:t>
      </w:r>
      <w:r w:rsidR="00CD767E">
        <w:rPr>
          <w:rFonts w:ascii="Arial" w:eastAsia="仿宋_GB2312" w:hAnsi="Arial" w:cs="Arial" w:hint="eastAsia"/>
          <w:sz w:val="28"/>
        </w:rPr>
        <w:t>《北京市海淀区苏州街站一体化棚户区改造项目前期工作及拟改造土地使用权出让招标文件》</w:t>
      </w:r>
      <w:r w:rsidR="00CD767E">
        <w:rPr>
          <w:rFonts w:ascii="Arial" w:eastAsia="仿宋_GB2312" w:hAnsi="Arial" w:cs="Arial" w:hint="eastAsia"/>
          <w:sz w:val="28"/>
        </w:rPr>
        <w:t>[</w:t>
      </w:r>
      <w:r w:rsidR="00CD767E">
        <w:rPr>
          <w:rFonts w:ascii="Arial" w:eastAsia="仿宋_GB2312" w:hAnsi="Arial" w:cs="Arial" w:hint="eastAsia"/>
          <w:sz w:val="28"/>
        </w:rPr>
        <w:t>招标编号：</w:t>
      </w:r>
      <w:proofErr w:type="gramStart"/>
      <w:r w:rsidR="00CD767E">
        <w:rPr>
          <w:rFonts w:ascii="Arial" w:eastAsia="仿宋_GB2312" w:hAnsi="Arial" w:cs="Arial" w:hint="eastAsia"/>
          <w:sz w:val="28"/>
        </w:rPr>
        <w:t>京土棚改</w:t>
      </w:r>
      <w:proofErr w:type="gramEnd"/>
      <w:r w:rsidR="00CD767E">
        <w:rPr>
          <w:rFonts w:ascii="Arial" w:eastAsia="仿宋_GB2312" w:hAnsi="Arial" w:cs="Arial" w:hint="eastAsia"/>
          <w:sz w:val="28"/>
        </w:rPr>
        <w:t>招（海）</w:t>
      </w:r>
      <w:r w:rsidR="00CD767E">
        <w:rPr>
          <w:rFonts w:ascii="Arial" w:eastAsia="仿宋_GB2312" w:hAnsi="Arial" w:cs="Arial" w:hint="eastAsia"/>
          <w:sz w:val="28"/>
        </w:rPr>
        <w:t>[2</w:t>
      </w:r>
      <w:r w:rsidR="00CD767E">
        <w:rPr>
          <w:rFonts w:ascii="Arial" w:eastAsia="仿宋_GB2312" w:hAnsi="Arial" w:cs="Arial"/>
          <w:sz w:val="28"/>
        </w:rPr>
        <w:t>017</w:t>
      </w:r>
      <w:r w:rsidR="00CD767E">
        <w:rPr>
          <w:rFonts w:ascii="Arial" w:eastAsia="仿宋_GB2312" w:hAnsi="Arial" w:cs="Arial" w:hint="eastAsia"/>
          <w:sz w:val="28"/>
        </w:rPr>
        <w:t>]0</w:t>
      </w:r>
      <w:r w:rsidR="00CD767E">
        <w:rPr>
          <w:rFonts w:ascii="Arial" w:eastAsia="仿宋_GB2312" w:hAnsi="Arial" w:cs="Arial"/>
          <w:sz w:val="28"/>
        </w:rPr>
        <w:t>01</w:t>
      </w:r>
      <w:r w:rsidR="00CD767E">
        <w:rPr>
          <w:rFonts w:ascii="Arial" w:eastAsia="仿宋_GB2312" w:hAnsi="Arial" w:cs="Arial" w:hint="eastAsia"/>
          <w:sz w:val="28"/>
        </w:rPr>
        <w:t>号</w:t>
      </w:r>
      <w:r w:rsidR="00CD767E">
        <w:rPr>
          <w:rFonts w:ascii="Arial" w:eastAsia="仿宋_GB2312" w:hAnsi="Arial" w:cs="Arial"/>
          <w:sz w:val="28"/>
        </w:rPr>
        <w:t>]</w:t>
      </w:r>
      <w:r w:rsidR="00CD767E">
        <w:rPr>
          <w:rFonts w:ascii="Arial" w:eastAsia="仿宋_GB2312" w:hAnsi="Arial" w:cs="Arial" w:hint="eastAsia"/>
          <w:sz w:val="28"/>
        </w:rPr>
        <w:t>及其附件、《中标通知书》</w:t>
      </w:r>
      <w:r w:rsidRPr="00F631FB">
        <w:rPr>
          <w:rFonts w:ascii="Arial" w:eastAsia="仿宋_GB2312" w:hAnsi="Arial" w:cs="Arial"/>
          <w:spacing w:val="-12"/>
          <w:sz w:val="28"/>
        </w:rPr>
        <w:t>，</w:t>
      </w:r>
      <w:r w:rsidR="00CD767E">
        <w:rPr>
          <w:rFonts w:ascii="Arial" w:eastAsia="仿宋_GB2312" w:hAnsi="Arial" w:cs="Arial" w:hint="eastAsia"/>
          <w:sz w:val="28"/>
        </w:rPr>
        <w:t>北京城投地下空间开发建设有限公司</w:t>
      </w:r>
      <w:r w:rsidRPr="00F631FB">
        <w:rPr>
          <w:rFonts w:ascii="Arial" w:eastAsia="仿宋_GB2312" w:hAnsi="Arial" w:cs="Arial" w:hint="eastAsia"/>
          <w:bCs/>
          <w:sz w:val="28"/>
        </w:rPr>
        <w:t>于</w:t>
      </w:r>
      <w:r w:rsidRPr="00F631FB">
        <w:rPr>
          <w:rFonts w:ascii="Arial" w:eastAsia="仿宋_GB2312" w:hAnsi="Arial" w:cs="Arial" w:hint="eastAsia"/>
          <w:bCs/>
          <w:sz w:val="28"/>
        </w:rPr>
        <w:t>20</w:t>
      </w:r>
      <w:r w:rsidR="00CD767E">
        <w:rPr>
          <w:rFonts w:ascii="Arial" w:eastAsia="仿宋_GB2312" w:hAnsi="Arial" w:cs="Arial"/>
          <w:bCs/>
          <w:sz w:val="28"/>
        </w:rPr>
        <w:t>17</w:t>
      </w:r>
      <w:r w:rsidRPr="00F631FB">
        <w:rPr>
          <w:rFonts w:ascii="Arial" w:eastAsia="仿宋_GB2312" w:hAnsi="Arial" w:cs="Arial" w:hint="eastAsia"/>
          <w:bCs/>
          <w:sz w:val="28"/>
        </w:rPr>
        <w:t>年</w:t>
      </w:r>
      <w:r w:rsidR="00CD767E">
        <w:rPr>
          <w:rFonts w:ascii="Arial" w:eastAsia="仿宋_GB2312" w:hAnsi="Arial" w:cs="Arial"/>
          <w:bCs/>
          <w:sz w:val="28"/>
        </w:rPr>
        <w:t>12</w:t>
      </w:r>
      <w:r w:rsidRPr="00F631FB">
        <w:rPr>
          <w:rFonts w:ascii="Arial" w:eastAsia="仿宋_GB2312" w:hAnsi="Arial" w:cs="Arial" w:hint="eastAsia"/>
          <w:bCs/>
          <w:sz w:val="28"/>
        </w:rPr>
        <w:t>月</w:t>
      </w:r>
      <w:r w:rsidR="00CD767E">
        <w:rPr>
          <w:rFonts w:ascii="Arial" w:eastAsia="仿宋_GB2312" w:hAnsi="Arial" w:cs="Arial" w:hint="eastAsia"/>
          <w:bCs/>
          <w:sz w:val="28"/>
        </w:rPr>
        <w:t>2</w:t>
      </w:r>
      <w:r w:rsidR="00CD767E">
        <w:rPr>
          <w:rFonts w:ascii="Arial" w:eastAsia="仿宋_GB2312" w:hAnsi="Arial" w:cs="Arial"/>
          <w:bCs/>
          <w:sz w:val="28"/>
        </w:rPr>
        <w:t>9</w:t>
      </w:r>
      <w:r w:rsidRPr="00F631FB">
        <w:rPr>
          <w:rFonts w:ascii="Arial" w:eastAsia="仿宋_GB2312" w:hAnsi="Arial" w:cs="Arial" w:hint="eastAsia"/>
          <w:bCs/>
          <w:sz w:val="28"/>
        </w:rPr>
        <w:t>日</w:t>
      </w:r>
      <w:r w:rsidRPr="00F631FB">
        <w:rPr>
          <w:rFonts w:ascii="Arial" w:eastAsia="仿宋_GB2312" w:hAnsi="Arial" w:cs="Arial"/>
          <w:bCs/>
          <w:sz w:val="28"/>
        </w:rPr>
        <w:t>通过</w:t>
      </w:r>
      <w:r w:rsidR="00CD767E">
        <w:rPr>
          <w:rFonts w:ascii="Arial" w:eastAsia="仿宋_GB2312" w:hAnsi="Arial" w:cs="Arial" w:hint="eastAsia"/>
          <w:bCs/>
          <w:sz w:val="28"/>
        </w:rPr>
        <w:t>招标</w:t>
      </w:r>
      <w:r w:rsidRPr="00F631FB">
        <w:rPr>
          <w:rFonts w:ascii="Arial" w:eastAsia="仿宋_GB2312" w:hAnsi="Arial" w:cs="Arial"/>
          <w:bCs/>
          <w:sz w:val="28"/>
        </w:rPr>
        <w:t>方式取得估价对象国有建设用地使用权。</w:t>
      </w:r>
      <w:r w:rsidR="00CD767E">
        <w:rPr>
          <w:rFonts w:ascii="Arial" w:eastAsia="仿宋_GB2312" w:hAnsi="Arial" w:cs="Arial" w:hint="eastAsia"/>
          <w:sz w:val="28"/>
        </w:rPr>
        <w:t>估价对象总用地面积</w:t>
      </w:r>
      <w:r w:rsidR="00CD767E">
        <w:rPr>
          <w:rFonts w:ascii="Arial" w:eastAsia="仿宋_GB2312" w:hAnsi="Arial" w:cs="Arial" w:hint="eastAsia"/>
          <w:sz w:val="28"/>
        </w:rPr>
        <w:t>6</w:t>
      </w:r>
      <w:r w:rsidR="00CD767E">
        <w:rPr>
          <w:rFonts w:ascii="Arial" w:eastAsia="仿宋_GB2312" w:hAnsi="Arial" w:cs="Arial"/>
          <w:sz w:val="28"/>
        </w:rPr>
        <w:t>180.978</w:t>
      </w:r>
      <w:r w:rsidR="00CD767E">
        <w:rPr>
          <w:rFonts w:ascii="Arial" w:eastAsia="仿宋_GB2312" w:hAnsi="Arial" w:cs="Arial" w:hint="eastAsia"/>
          <w:sz w:val="28"/>
        </w:rPr>
        <w:t>平方米，均为建设用地。</w:t>
      </w:r>
    </w:p>
    <w:p w14:paraId="0C198C8C" w14:textId="77777777" w:rsidR="002C3ABF" w:rsidRPr="007A3D09" w:rsidRDefault="002C3ABF" w:rsidP="007A3D09">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7A3D09">
        <w:rPr>
          <w:rFonts w:ascii="Arial" w:eastAsia="仿宋_GB2312" w:hAnsi="Arial" w:cs="Arial"/>
          <w:sz w:val="28"/>
        </w:rPr>
        <w:t>（</w:t>
      </w:r>
      <w:r w:rsidRPr="007A3D09">
        <w:rPr>
          <w:rFonts w:ascii="Arial" w:eastAsia="仿宋_GB2312" w:hAnsi="Arial" w:cs="Arial"/>
          <w:sz w:val="28"/>
        </w:rPr>
        <w:t>2</w:t>
      </w:r>
      <w:r w:rsidRPr="007A3D09">
        <w:rPr>
          <w:rFonts w:ascii="Arial" w:eastAsia="仿宋_GB2312" w:hAnsi="Arial" w:cs="Arial"/>
          <w:sz w:val="28"/>
        </w:rPr>
        <w:t>）规划建筑面积</w:t>
      </w:r>
    </w:p>
    <w:p w14:paraId="77FE0052" w14:textId="018CC52C" w:rsidR="00CD767E" w:rsidRDefault="002C3ABF" w:rsidP="007A3D09">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7A3D09">
        <w:rPr>
          <w:rFonts w:ascii="Arial" w:eastAsia="仿宋_GB2312" w:hAnsi="Arial" w:cs="Arial"/>
          <w:sz w:val="28"/>
        </w:rPr>
        <w:t>估价对象</w:t>
      </w:r>
      <w:r w:rsidR="006A0786" w:rsidRPr="007A3D09">
        <w:rPr>
          <w:rFonts w:ascii="Arial" w:eastAsia="仿宋_GB2312" w:hAnsi="Arial" w:cs="Arial" w:hint="eastAsia"/>
          <w:sz w:val="28"/>
        </w:rPr>
        <w:t>总规划建筑面积</w:t>
      </w:r>
      <w:r w:rsidR="006A0786" w:rsidRPr="007A3D09">
        <w:rPr>
          <w:rFonts w:ascii="Arial" w:eastAsia="仿宋_GB2312" w:hAnsi="Arial" w:cs="Arial"/>
          <w:sz w:val="28"/>
        </w:rPr>
        <w:t>46793</w:t>
      </w:r>
      <w:r w:rsidR="006A0786" w:rsidRPr="007A3D09">
        <w:rPr>
          <w:rFonts w:ascii="Arial" w:eastAsia="仿宋_GB2312" w:hAnsi="Arial" w:cs="Arial" w:hint="eastAsia"/>
          <w:sz w:val="28"/>
        </w:rPr>
        <w:t>平方米，其中，地上总规划建筑面积</w:t>
      </w:r>
      <w:r w:rsidR="006A0786" w:rsidRPr="007A3D09">
        <w:rPr>
          <w:rFonts w:ascii="Arial" w:eastAsia="仿宋_GB2312" w:hAnsi="Arial" w:cs="Arial"/>
          <w:sz w:val="28"/>
        </w:rPr>
        <w:t>31511</w:t>
      </w:r>
      <w:r w:rsidR="006A0786" w:rsidRPr="007A3D09">
        <w:rPr>
          <w:rFonts w:ascii="Arial" w:eastAsia="仿宋_GB2312" w:hAnsi="Arial" w:cs="Arial" w:hint="eastAsia"/>
          <w:sz w:val="28"/>
        </w:rPr>
        <w:t>平方米（其中，住宅用房</w:t>
      </w:r>
      <w:r w:rsidR="006A0786" w:rsidRPr="007A3D09">
        <w:rPr>
          <w:rFonts w:ascii="Arial" w:eastAsia="仿宋_GB2312" w:hAnsi="Arial" w:cs="Arial"/>
          <w:sz w:val="28"/>
        </w:rPr>
        <w:t>28075</w:t>
      </w:r>
      <w:r w:rsidR="006A0786" w:rsidRPr="007A3D09">
        <w:rPr>
          <w:rFonts w:ascii="Arial" w:eastAsia="仿宋_GB2312" w:hAnsi="Arial" w:cs="Arial" w:hint="eastAsia"/>
          <w:sz w:val="28"/>
        </w:rPr>
        <w:t>平方米（包含回迁安置房</w:t>
      </w:r>
      <w:r w:rsidR="006A0786" w:rsidRPr="007A3D09">
        <w:rPr>
          <w:rFonts w:ascii="Arial" w:eastAsia="仿宋_GB2312" w:hAnsi="Arial" w:cs="Arial"/>
          <w:sz w:val="28"/>
        </w:rPr>
        <w:t>13920.98</w:t>
      </w:r>
      <w:r w:rsidR="006A0786" w:rsidRPr="007A3D09">
        <w:rPr>
          <w:rFonts w:ascii="Arial" w:eastAsia="仿宋_GB2312" w:hAnsi="Arial" w:cs="Arial" w:hint="eastAsia"/>
          <w:sz w:val="28"/>
        </w:rPr>
        <w:t>平方米、平衡资金商品房</w:t>
      </w:r>
      <w:r w:rsidR="006A0786" w:rsidRPr="007A3D09">
        <w:rPr>
          <w:rFonts w:ascii="Arial" w:eastAsia="仿宋_GB2312" w:hAnsi="Arial" w:cs="Arial"/>
          <w:sz w:val="28"/>
        </w:rPr>
        <w:t>13794.02</w:t>
      </w:r>
      <w:r w:rsidR="006A0786" w:rsidRPr="007A3D09">
        <w:rPr>
          <w:rFonts w:ascii="Arial" w:eastAsia="仿宋_GB2312" w:hAnsi="Arial" w:cs="Arial" w:hint="eastAsia"/>
          <w:sz w:val="28"/>
        </w:rPr>
        <w:t>平方米、人防室外出入口及其他</w:t>
      </w:r>
      <w:r w:rsidR="006A0786" w:rsidRPr="007A3D09">
        <w:rPr>
          <w:rFonts w:ascii="Arial" w:eastAsia="仿宋_GB2312" w:hAnsi="Arial" w:cs="Arial"/>
          <w:sz w:val="28"/>
        </w:rPr>
        <w:t>360</w:t>
      </w:r>
      <w:r w:rsidR="006A0786" w:rsidRPr="007A3D09">
        <w:rPr>
          <w:rFonts w:ascii="Arial" w:eastAsia="仿宋_GB2312" w:hAnsi="Arial" w:cs="Arial" w:hint="eastAsia"/>
          <w:sz w:val="28"/>
        </w:rPr>
        <w:t>平方米），商业用房</w:t>
      </w:r>
      <w:r w:rsidR="006A0786" w:rsidRPr="007A3D09">
        <w:rPr>
          <w:rFonts w:ascii="Arial" w:eastAsia="仿宋_GB2312" w:hAnsi="Arial" w:cs="Arial"/>
          <w:sz w:val="28"/>
        </w:rPr>
        <w:t>3318</w:t>
      </w:r>
      <w:r w:rsidR="006A0786" w:rsidRPr="007A3D09">
        <w:rPr>
          <w:rFonts w:ascii="Arial" w:eastAsia="仿宋_GB2312" w:hAnsi="Arial" w:cs="Arial" w:hint="eastAsia"/>
          <w:sz w:val="28"/>
        </w:rPr>
        <w:t>平方米（包含回迁安置</w:t>
      </w:r>
      <w:proofErr w:type="gramStart"/>
      <w:r w:rsidR="006A0786" w:rsidRPr="007A3D09">
        <w:rPr>
          <w:rFonts w:ascii="Arial" w:eastAsia="仿宋_GB2312" w:hAnsi="Arial" w:cs="Arial" w:hint="eastAsia"/>
          <w:sz w:val="28"/>
        </w:rPr>
        <w:t>房配套</w:t>
      </w:r>
      <w:proofErr w:type="gramEnd"/>
      <w:r w:rsidR="006A0786" w:rsidRPr="007A3D09">
        <w:rPr>
          <w:rFonts w:ascii="Arial" w:eastAsia="仿宋_GB2312" w:hAnsi="Arial" w:cs="Arial" w:hint="eastAsia"/>
          <w:sz w:val="28"/>
        </w:rPr>
        <w:t>商业用房</w:t>
      </w:r>
      <w:r w:rsidR="006A0786" w:rsidRPr="007A3D09">
        <w:rPr>
          <w:rFonts w:ascii="Arial" w:eastAsia="仿宋_GB2312" w:hAnsi="Arial" w:cs="Arial"/>
          <w:sz w:val="28"/>
        </w:rPr>
        <w:t>260</w:t>
      </w:r>
      <w:r w:rsidR="006A0786" w:rsidRPr="007A3D09">
        <w:rPr>
          <w:rFonts w:ascii="Arial" w:eastAsia="仿宋_GB2312" w:hAnsi="Arial" w:cs="Arial" w:hint="eastAsia"/>
          <w:sz w:val="28"/>
        </w:rPr>
        <w:t>平方米、平衡资金商品房配套商业用房</w:t>
      </w:r>
      <w:r w:rsidR="006A0786" w:rsidRPr="007A3D09">
        <w:rPr>
          <w:rFonts w:ascii="Arial" w:eastAsia="仿宋_GB2312" w:hAnsi="Arial" w:cs="Arial"/>
          <w:sz w:val="28"/>
        </w:rPr>
        <w:t>3045</w:t>
      </w:r>
      <w:r w:rsidR="006A0786" w:rsidRPr="007A3D09">
        <w:rPr>
          <w:rFonts w:ascii="Arial" w:eastAsia="仿宋_GB2312" w:hAnsi="Arial" w:cs="Arial" w:hint="eastAsia"/>
          <w:sz w:val="28"/>
        </w:rPr>
        <w:t>平方米、小型商服用房</w:t>
      </w:r>
      <w:r w:rsidR="006A0786" w:rsidRPr="007A3D09">
        <w:rPr>
          <w:rFonts w:ascii="Arial" w:eastAsia="仿宋_GB2312" w:hAnsi="Arial" w:cs="Arial"/>
          <w:sz w:val="28"/>
        </w:rPr>
        <w:t>13</w:t>
      </w:r>
      <w:r w:rsidR="006A0786" w:rsidRPr="007A3D09">
        <w:rPr>
          <w:rFonts w:ascii="Arial" w:eastAsia="仿宋_GB2312" w:hAnsi="Arial" w:cs="Arial" w:hint="eastAsia"/>
          <w:sz w:val="28"/>
        </w:rPr>
        <w:t>平方米），办公用房（物业管理用房）</w:t>
      </w:r>
      <w:r w:rsidR="006A0786" w:rsidRPr="007A3D09">
        <w:rPr>
          <w:rFonts w:ascii="Arial" w:eastAsia="仿宋_GB2312" w:hAnsi="Arial" w:cs="Arial"/>
          <w:sz w:val="28"/>
        </w:rPr>
        <w:t>118</w:t>
      </w:r>
      <w:r w:rsidR="006A0786" w:rsidRPr="007A3D09">
        <w:rPr>
          <w:rFonts w:ascii="Arial" w:eastAsia="仿宋_GB2312" w:hAnsi="Arial" w:cs="Arial" w:hint="eastAsia"/>
          <w:sz w:val="28"/>
        </w:rPr>
        <w:t>平方米），地下总规划建筑面积</w:t>
      </w:r>
      <w:r w:rsidR="006A0786" w:rsidRPr="007A3D09">
        <w:rPr>
          <w:rFonts w:ascii="Arial" w:eastAsia="仿宋_GB2312" w:hAnsi="Arial" w:cs="Arial"/>
          <w:sz w:val="28"/>
        </w:rPr>
        <w:t>15282</w:t>
      </w:r>
      <w:r w:rsidR="006A0786" w:rsidRPr="007A3D09">
        <w:rPr>
          <w:rFonts w:ascii="Arial" w:eastAsia="仿宋_GB2312" w:hAnsi="Arial" w:cs="Arial" w:hint="eastAsia"/>
          <w:sz w:val="28"/>
        </w:rPr>
        <w:t>平方米（其中，地下办公用房（物业管理用房）</w:t>
      </w:r>
      <w:r w:rsidR="006A0786" w:rsidRPr="007A3D09">
        <w:rPr>
          <w:rFonts w:ascii="Arial" w:eastAsia="仿宋_GB2312" w:hAnsi="Arial" w:cs="Arial"/>
          <w:sz w:val="28"/>
        </w:rPr>
        <w:t>32</w:t>
      </w:r>
      <w:r w:rsidR="006A0786" w:rsidRPr="007A3D09">
        <w:rPr>
          <w:rFonts w:ascii="Arial" w:eastAsia="仿宋_GB2312" w:hAnsi="Arial" w:cs="Arial" w:hint="eastAsia"/>
          <w:sz w:val="28"/>
        </w:rPr>
        <w:t>平方米、地下车库（汽车库）</w:t>
      </w:r>
      <w:r w:rsidR="006A0786" w:rsidRPr="007A3D09">
        <w:rPr>
          <w:rFonts w:ascii="Arial" w:eastAsia="仿宋_GB2312" w:hAnsi="Arial" w:cs="Arial"/>
          <w:sz w:val="28"/>
        </w:rPr>
        <w:t>10345.02</w:t>
      </w:r>
      <w:r w:rsidR="006A0786" w:rsidRPr="007A3D09">
        <w:rPr>
          <w:rFonts w:ascii="Arial" w:eastAsia="仿宋_GB2312" w:hAnsi="Arial" w:cs="Arial" w:hint="eastAsia"/>
          <w:sz w:val="28"/>
        </w:rPr>
        <w:t>平方米、自行车库</w:t>
      </w:r>
      <w:r w:rsidR="006A0786" w:rsidRPr="007A3D09">
        <w:rPr>
          <w:rFonts w:ascii="Arial" w:eastAsia="仿宋_GB2312" w:hAnsi="Arial" w:cs="Arial"/>
          <w:sz w:val="28"/>
        </w:rPr>
        <w:t>227</w:t>
      </w:r>
      <w:r w:rsidR="006A0786" w:rsidRPr="007A3D09">
        <w:rPr>
          <w:rFonts w:ascii="Arial" w:eastAsia="仿宋_GB2312" w:hAnsi="Arial" w:cs="Arial" w:hint="eastAsia"/>
          <w:sz w:val="28"/>
        </w:rPr>
        <w:t>平方米、人防</w:t>
      </w:r>
      <w:r w:rsidR="006A0786" w:rsidRPr="007A3D09">
        <w:rPr>
          <w:rFonts w:ascii="Arial" w:eastAsia="仿宋_GB2312" w:hAnsi="Arial" w:cs="Arial"/>
          <w:sz w:val="28"/>
        </w:rPr>
        <w:t>3600.98</w:t>
      </w:r>
      <w:r w:rsidR="006A0786" w:rsidRPr="007A3D09">
        <w:rPr>
          <w:rFonts w:ascii="Arial" w:eastAsia="仿宋_GB2312" w:hAnsi="Arial" w:cs="Arial" w:hint="eastAsia"/>
          <w:sz w:val="28"/>
        </w:rPr>
        <w:t>平方米，非经营性用房</w:t>
      </w:r>
      <w:r w:rsidR="006A0786" w:rsidRPr="007A3D09">
        <w:rPr>
          <w:rFonts w:ascii="Arial" w:eastAsia="仿宋_GB2312" w:hAnsi="Arial" w:cs="Arial"/>
          <w:sz w:val="28"/>
        </w:rPr>
        <w:t>1077</w:t>
      </w:r>
      <w:r w:rsidR="006A0786" w:rsidRPr="007A3D09">
        <w:rPr>
          <w:rFonts w:ascii="Arial" w:eastAsia="仿宋_GB2312" w:hAnsi="Arial" w:cs="Arial" w:hint="eastAsia"/>
          <w:sz w:val="28"/>
        </w:rPr>
        <w:t>平方米）。地上容积率为</w:t>
      </w:r>
      <w:r w:rsidR="006A0786" w:rsidRPr="007A3D09">
        <w:rPr>
          <w:rFonts w:ascii="Arial" w:eastAsia="仿宋_GB2312" w:hAnsi="Arial" w:cs="Arial"/>
          <w:sz w:val="28"/>
        </w:rPr>
        <w:t>5.10</w:t>
      </w:r>
      <w:r w:rsidR="006A0786" w:rsidRPr="007A3D09">
        <w:rPr>
          <w:rFonts w:ascii="Arial" w:eastAsia="仿宋_GB2312" w:hAnsi="Arial" w:cs="Arial" w:hint="eastAsia"/>
          <w:sz w:val="28"/>
        </w:rPr>
        <w:t>。详见下表：</w:t>
      </w:r>
    </w:p>
    <w:p w14:paraId="7DB8A620" w14:textId="77777777" w:rsidR="007A3D09" w:rsidRDefault="007A3D09" w:rsidP="00CD767E">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b/>
          <w:bCs/>
          <w:szCs w:val="18"/>
        </w:rPr>
        <w:br w:type="page"/>
      </w:r>
    </w:p>
    <w:p w14:paraId="665F480B" w14:textId="01218359" w:rsidR="00CD767E" w:rsidRPr="00666906" w:rsidRDefault="00CD767E" w:rsidP="00CD767E">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hint="eastAsia"/>
          <w:b/>
          <w:bCs/>
          <w:szCs w:val="18"/>
        </w:rPr>
        <w:lastRenderedPageBreak/>
        <w:t>土地用途及建筑面积表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235"/>
        <w:gridCol w:w="1340"/>
        <w:gridCol w:w="2981"/>
        <w:gridCol w:w="2636"/>
      </w:tblGrid>
      <w:tr w:rsidR="00CD767E" w:rsidRPr="00F86D61" w14:paraId="12CC08F5" w14:textId="77777777" w:rsidTr="00CD767E">
        <w:trPr>
          <w:trHeight w:val="632"/>
          <w:tblHeader/>
        </w:trPr>
        <w:tc>
          <w:tcPr>
            <w:tcW w:w="1372" w:type="pct"/>
            <w:gridSpan w:val="2"/>
            <w:shd w:val="clear" w:color="auto" w:fill="auto"/>
            <w:noWrap/>
            <w:vAlign w:val="center"/>
          </w:tcPr>
          <w:p w14:paraId="7A2AE239" w14:textId="3AF6A2F1" w:rsidR="00CD767E" w:rsidRPr="00F86D61" w:rsidRDefault="00CD767E" w:rsidP="00CD767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位置</w:t>
            </w:r>
          </w:p>
        </w:tc>
        <w:tc>
          <w:tcPr>
            <w:tcW w:w="780" w:type="pct"/>
            <w:shd w:val="clear" w:color="auto" w:fill="auto"/>
            <w:noWrap/>
            <w:vAlign w:val="center"/>
          </w:tcPr>
          <w:p w14:paraId="07A44A05" w14:textId="020E504A"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用途</w:t>
            </w:r>
          </w:p>
        </w:tc>
        <w:tc>
          <w:tcPr>
            <w:tcW w:w="1663" w:type="pct"/>
            <w:shd w:val="clear" w:color="auto" w:fill="auto"/>
            <w:noWrap/>
            <w:vAlign w:val="center"/>
          </w:tcPr>
          <w:p w14:paraId="44B8622E"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分类</w:t>
            </w:r>
          </w:p>
        </w:tc>
        <w:tc>
          <w:tcPr>
            <w:tcW w:w="1185" w:type="pct"/>
            <w:shd w:val="clear" w:color="auto" w:fill="auto"/>
            <w:noWrap/>
            <w:vAlign w:val="center"/>
          </w:tcPr>
          <w:p w14:paraId="709B59AC" w14:textId="72CE23F2" w:rsidR="00CD767E" w:rsidRPr="00F86D61" w:rsidRDefault="006A0786"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规划</w:t>
            </w:r>
            <w:r w:rsidR="00CD767E" w:rsidRPr="00F86D61">
              <w:rPr>
                <w:rFonts w:ascii="Arial" w:eastAsia="仿宋_GB2312" w:hAnsi="Arial" w:cs="Arial" w:hint="eastAsia"/>
                <w:sz w:val="22"/>
                <w:szCs w:val="16"/>
              </w:rPr>
              <w:t>建筑面积（平方米）</w:t>
            </w:r>
          </w:p>
        </w:tc>
      </w:tr>
      <w:tr w:rsidR="00CD767E" w:rsidRPr="00F86D61" w14:paraId="7D0A57D9" w14:textId="77777777" w:rsidTr="00CD767E">
        <w:trPr>
          <w:trHeight w:val="345"/>
        </w:trPr>
        <w:tc>
          <w:tcPr>
            <w:tcW w:w="591" w:type="pct"/>
            <w:vMerge w:val="restart"/>
            <w:shd w:val="clear" w:color="auto" w:fill="auto"/>
            <w:noWrap/>
            <w:vAlign w:val="center"/>
            <w:hideMark/>
          </w:tcPr>
          <w:p w14:paraId="3880610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地上</w:t>
            </w:r>
            <w:r>
              <w:rPr>
                <w:rFonts w:ascii="Arial" w:eastAsia="仿宋_GB2312" w:hAnsi="Arial" w:cs="Arial" w:hint="eastAsia"/>
                <w:sz w:val="22"/>
                <w:szCs w:val="16"/>
              </w:rPr>
              <w:t>部分</w:t>
            </w:r>
          </w:p>
        </w:tc>
        <w:tc>
          <w:tcPr>
            <w:tcW w:w="781" w:type="pct"/>
            <w:vMerge w:val="restart"/>
            <w:vAlign w:val="center"/>
          </w:tcPr>
          <w:p w14:paraId="563570A1" w14:textId="3E35E398"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0" w:type="pct"/>
            <w:vMerge w:val="restart"/>
            <w:shd w:val="clear" w:color="auto" w:fill="auto"/>
            <w:noWrap/>
            <w:vAlign w:val="center"/>
            <w:hideMark/>
          </w:tcPr>
          <w:p w14:paraId="3016B144" w14:textId="5A359F84"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住宅</w:t>
            </w:r>
          </w:p>
        </w:tc>
        <w:tc>
          <w:tcPr>
            <w:tcW w:w="1663" w:type="pct"/>
            <w:shd w:val="clear" w:color="auto" w:fill="auto"/>
            <w:noWrap/>
            <w:vAlign w:val="center"/>
            <w:hideMark/>
          </w:tcPr>
          <w:p w14:paraId="719B5D3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回迁安置房</w:t>
            </w:r>
          </w:p>
        </w:tc>
        <w:tc>
          <w:tcPr>
            <w:tcW w:w="1185" w:type="pct"/>
            <w:shd w:val="clear" w:color="auto" w:fill="auto"/>
            <w:noWrap/>
            <w:vAlign w:val="center"/>
            <w:hideMark/>
          </w:tcPr>
          <w:p w14:paraId="7054B75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13920.98</w:t>
            </w:r>
          </w:p>
        </w:tc>
      </w:tr>
      <w:tr w:rsidR="00CD767E" w:rsidRPr="001D4423" w14:paraId="07990418" w14:textId="77777777" w:rsidTr="00CD767E">
        <w:trPr>
          <w:trHeight w:val="345"/>
        </w:trPr>
        <w:tc>
          <w:tcPr>
            <w:tcW w:w="591" w:type="pct"/>
            <w:vMerge/>
            <w:shd w:val="clear" w:color="auto" w:fill="auto"/>
            <w:vAlign w:val="center"/>
            <w:hideMark/>
          </w:tcPr>
          <w:p w14:paraId="10D9188B"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2B14E9FD"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738F57F2" w14:textId="5B2EBCFC"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noWrap/>
            <w:vAlign w:val="center"/>
            <w:hideMark/>
          </w:tcPr>
          <w:p w14:paraId="5D2DDBB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w:t>
            </w:r>
          </w:p>
        </w:tc>
        <w:tc>
          <w:tcPr>
            <w:tcW w:w="1185" w:type="pct"/>
            <w:shd w:val="clear" w:color="auto" w:fill="auto"/>
            <w:noWrap/>
            <w:vAlign w:val="center"/>
            <w:hideMark/>
          </w:tcPr>
          <w:p w14:paraId="4353F98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13794.02</w:t>
            </w:r>
          </w:p>
        </w:tc>
      </w:tr>
      <w:tr w:rsidR="00CD767E" w:rsidRPr="001D4423" w14:paraId="47F5D7A3" w14:textId="77777777" w:rsidTr="00CD767E">
        <w:trPr>
          <w:trHeight w:val="345"/>
        </w:trPr>
        <w:tc>
          <w:tcPr>
            <w:tcW w:w="591" w:type="pct"/>
            <w:vMerge/>
            <w:shd w:val="clear" w:color="auto" w:fill="auto"/>
            <w:vAlign w:val="center"/>
            <w:hideMark/>
          </w:tcPr>
          <w:p w14:paraId="143EC1D9"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1B9E31BB"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469F4CFE" w14:textId="5C614B9A"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noWrap/>
            <w:vAlign w:val="center"/>
            <w:hideMark/>
          </w:tcPr>
          <w:p w14:paraId="685977B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人防室外出入口及其他</w:t>
            </w:r>
          </w:p>
        </w:tc>
        <w:tc>
          <w:tcPr>
            <w:tcW w:w="1185" w:type="pct"/>
            <w:shd w:val="clear" w:color="auto" w:fill="auto"/>
            <w:noWrap/>
            <w:vAlign w:val="center"/>
            <w:hideMark/>
          </w:tcPr>
          <w:p w14:paraId="4B52F10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w:t>
            </w:r>
          </w:p>
        </w:tc>
      </w:tr>
      <w:tr w:rsidR="00CD767E" w:rsidRPr="00F86D61" w14:paraId="71696F9F" w14:textId="77777777" w:rsidTr="00CD767E">
        <w:trPr>
          <w:trHeight w:val="345"/>
        </w:trPr>
        <w:tc>
          <w:tcPr>
            <w:tcW w:w="591" w:type="pct"/>
            <w:vMerge/>
            <w:shd w:val="clear" w:color="auto" w:fill="auto"/>
            <w:vAlign w:val="center"/>
            <w:hideMark/>
          </w:tcPr>
          <w:p w14:paraId="3D5E5B3C"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1134687A"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67DEF086" w14:textId="1EE6A429"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vAlign w:val="center"/>
            <w:hideMark/>
          </w:tcPr>
          <w:p w14:paraId="6EBE3BD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1309936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28075</w:t>
            </w:r>
          </w:p>
        </w:tc>
      </w:tr>
      <w:tr w:rsidR="00CD767E" w:rsidRPr="00F86D61" w14:paraId="0611830D" w14:textId="77777777" w:rsidTr="00CD767E">
        <w:trPr>
          <w:trHeight w:val="345"/>
        </w:trPr>
        <w:tc>
          <w:tcPr>
            <w:tcW w:w="591" w:type="pct"/>
            <w:vMerge/>
            <w:shd w:val="clear" w:color="auto" w:fill="auto"/>
            <w:vAlign w:val="center"/>
            <w:hideMark/>
          </w:tcPr>
          <w:p w14:paraId="74EC1B59"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5B934426"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val="restart"/>
            <w:shd w:val="clear" w:color="auto" w:fill="auto"/>
            <w:noWrap/>
            <w:vAlign w:val="center"/>
            <w:hideMark/>
          </w:tcPr>
          <w:p w14:paraId="20E21773" w14:textId="2298D0E9"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商业</w:t>
            </w:r>
          </w:p>
        </w:tc>
        <w:tc>
          <w:tcPr>
            <w:tcW w:w="1663" w:type="pct"/>
            <w:shd w:val="clear" w:color="auto" w:fill="auto"/>
            <w:vAlign w:val="center"/>
            <w:hideMark/>
          </w:tcPr>
          <w:p w14:paraId="1CAA62D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w:t>
            </w:r>
            <w:proofErr w:type="gramStart"/>
            <w:r w:rsidRPr="001D4423">
              <w:rPr>
                <w:rFonts w:ascii="Arial" w:eastAsia="仿宋_GB2312" w:hAnsi="Arial" w:cs="Arial" w:hint="eastAsia"/>
                <w:sz w:val="22"/>
                <w:szCs w:val="16"/>
              </w:rPr>
              <w:t>房配套</w:t>
            </w:r>
            <w:proofErr w:type="gramEnd"/>
            <w:r w:rsidRPr="001D4423">
              <w:rPr>
                <w:rFonts w:ascii="Arial" w:eastAsia="仿宋_GB2312" w:hAnsi="Arial" w:cs="Arial" w:hint="eastAsia"/>
                <w:sz w:val="22"/>
                <w:szCs w:val="16"/>
              </w:rPr>
              <w:t>商业</w:t>
            </w:r>
          </w:p>
        </w:tc>
        <w:tc>
          <w:tcPr>
            <w:tcW w:w="1185" w:type="pct"/>
            <w:shd w:val="clear" w:color="auto" w:fill="auto"/>
            <w:noWrap/>
            <w:vAlign w:val="center"/>
            <w:hideMark/>
          </w:tcPr>
          <w:p w14:paraId="4F9E46D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260</w:t>
            </w:r>
          </w:p>
        </w:tc>
      </w:tr>
      <w:tr w:rsidR="00CD767E" w:rsidRPr="00F86D61" w14:paraId="7667E283" w14:textId="77777777" w:rsidTr="00CD767E">
        <w:trPr>
          <w:trHeight w:val="345"/>
        </w:trPr>
        <w:tc>
          <w:tcPr>
            <w:tcW w:w="591" w:type="pct"/>
            <w:vMerge/>
            <w:shd w:val="clear" w:color="auto" w:fill="auto"/>
            <w:vAlign w:val="center"/>
            <w:hideMark/>
          </w:tcPr>
          <w:p w14:paraId="68DD3960"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0E6F4212"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09EF05CC" w14:textId="3BAA46EA"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vAlign w:val="center"/>
            <w:hideMark/>
          </w:tcPr>
          <w:p w14:paraId="31BE287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平衡资金商品房配套商业</w:t>
            </w:r>
          </w:p>
        </w:tc>
        <w:tc>
          <w:tcPr>
            <w:tcW w:w="1185" w:type="pct"/>
            <w:shd w:val="clear" w:color="auto" w:fill="auto"/>
            <w:noWrap/>
            <w:vAlign w:val="center"/>
            <w:hideMark/>
          </w:tcPr>
          <w:p w14:paraId="67244B4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3045</w:t>
            </w:r>
          </w:p>
        </w:tc>
      </w:tr>
      <w:tr w:rsidR="00CD767E" w:rsidRPr="00F86D61" w14:paraId="7F6F1288" w14:textId="77777777" w:rsidTr="00CD767E">
        <w:trPr>
          <w:trHeight w:val="345"/>
        </w:trPr>
        <w:tc>
          <w:tcPr>
            <w:tcW w:w="591" w:type="pct"/>
            <w:vMerge/>
            <w:shd w:val="clear" w:color="auto" w:fill="auto"/>
            <w:vAlign w:val="center"/>
            <w:hideMark/>
          </w:tcPr>
          <w:p w14:paraId="0A69BCFF"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7322C57D"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15842A6D" w14:textId="5D4675D1"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vAlign w:val="center"/>
            <w:hideMark/>
          </w:tcPr>
          <w:p w14:paraId="0A5C5C6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小型商服</w:t>
            </w:r>
          </w:p>
        </w:tc>
        <w:tc>
          <w:tcPr>
            <w:tcW w:w="1185" w:type="pct"/>
            <w:shd w:val="clear" w:color="auto" w:fill="auto"/>
            <w:noWrap/>
            <w:vAlign w:val="center"/>
            <w:hideMark/>
          </w:tcPr>
          <w:p w14:paraId="1450EBB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w:t>
            </w:r>
          </w:p>
        </w:tc>
      </w:tr>
      <w:tr w:rsidR="00CD767E" w:rsidRPr="00F86D61" w14:paraId="019E8C68" w14:textId="77777777" w:rsidTr="00CD767E">
        <w:trPr>
          <w:trHeight w:val="345"/>
        </w:trPr>
        <w:tc>
          <w:tcPr>
            <w:tcW w:w="591" w:type="pct"/>
            <w:vMerge/>
            <w:shd w:val="clear" w:color="auto" w:fill="auto"/>
            <w:vAlign w:val="center"/>
            <w:hideMark/>
          </w:tcPr>
          <w:p w14:paraId="6326E9CF"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369B66AF"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66E49485" w14:textId="17FF4233"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vAlign w:val="center"/>
            <w:hideMark/>
          </w:tcPr>
          <w:p w14:paraId="6A22A8D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4EB49AA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3318</w:t>
            </w:r>
          </w:p>
        </w:tc>
      </w:tr>
      <w:tr w:rsidR="00CD767E" w:rsidRPr="00F86D61" w14:paraId="6894C33F" w14:textId="77777777" w:rsidTr="00CD767E">
        <w:trPr>
          <w:trHeight w:val="345"/>
        </w:trPr>
        <w:tc>
          <w:tcPr>
            <w:tcW w:w="591" w:type="pct"/>
            <w:vMerge/>
            <w:shd w:val="clear" w:color="auto" w:fill="auto"/>
            <w:vAlign w:val="center"/>
            <w:hideMark/>
          </w:tcPr>
          <w:p w14:paraId="3A7D360B"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78FBD67B"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val="restart"/>
            <w:shd w:val="clear" w:color="auto" w:fill="auto"/>
            <w:noWrap/>
            <w:vAlign w:val="center"/>
            <w:hideMark/>
          </w:tcPr>
          <w:p w14:paraId="708F09AE" w14:textId="02BF1E58"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办公</w:t>
            </w:r>
          </w:p>
        </w:tc>
        <w:tc>
          <w:tcPr>
            <w:tcW w:w="1663" w:type="pct"/>
            <w:shd w:val="clear" w:color="auto" w:fill="auto"/>
            <w:vAlign w:val="center"/>
            <w:hideMark/>
          </w:tcPr>
          <w:p w14:paraId="3A733AA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719E7FA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D767E" w:rsidRPr="00F86D61" w14:paraId="08CB28AE" w14:textId="77777777" w:rsidTr="00CD767E">
        <w:trPr>
          <w:trHeight w:val="345"/>
        </w:trPr>
        <w:tc>
          <w:tcPr>
            <w:tcW w:w="591" w:type="pct"/>
            <w:vMerge/>
            <w:shd w:val="clear" w:color="auto" w:fill="auto"/>
            <w:vAlign w:val="center"/>
            <w:hideMark/>
          </w:tcPr>
          <w:p w14:paraId="2E13391B"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3128F170"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328285E5" w14:textId="70601595"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vAlign w:val="center"/>
            <w:hideMark/>
          </w:tcPr>
          <w:p w14:paraId="545767C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3835F37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D767E" w:rsidRPr="00F86D61" w14:paraId="7D6CDB44" w14:textId="77777777" w:rsidTr="00CD767E">
        <w:trPr>
          <w:trHeight w:val="345"/>
        </w:trPr>
        <w:tc>
          <w:tcPr>
            <w:tcW w:w="591" w:type="pct"/>
            <w:vMerge/>
            <w:shd w:val="clear" w:color="auto" w:fill="auto"/>
            <w:vAlign w:val="center"/>
            <w:hideMark/>
          </w:tcPr>
          <w:p w14:paraId="74E45102"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Align w:val="center"/>
          </w:tcPr>
          <w:p w14:paraId="793D4B2A"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2443" w:type="pct"/>
            <w:gridSpan w:val="2"/>
            <w:shd w:val="clear" w:color="auto" w:fill="auto"/>
            <w:noWrap/>
            <w:vAlign w:val="center"/>
            <w:hideMark/>
          </w:tcPr>
          <w:p w14:paraId="7604A399" w14:textId="0AC3165B"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2B0517C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31511</w:t>
            </w:r>
          </w:p>
        </w:tc>
      </w:tr>
      <w:tr w:rsidR="00CD767E" w:rsidRPr="00F86D61" w14:paraId="75EF97E7" w14:textId="77777777" w:rsidTr="00CD767E">
        <w:trPr>
          <w:trHeight w:val="345"/>
        </w:trPr>
        <w:tc>
          <w:tcPr>
            <w:tcW w:w="591" w:type="pct"/>
            <w:vMerge w:val="restart"/>
            <w:shd w:val="clear" w:color="auto" w:fill="auto"/>
            <w:noWrap/>
            <w:vAlign w:val="center"/>
            <w:hideMark/>
          </w:tcPr>
          <w:p w14:paraId="5424BA9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w:t>
            </w:r>
            <w:r>
              <w:rPr>
                <w:rFonts w:ascii="Arial" w:eastAsia="仿宋_GB2312" w:hAnsi="Arial" w:cs="Arial" w:hint="eastAsia"/>
                <w:sz w:val="22"/>
                <w:szCs w:val="16"/>
              </w:rPr>
              <w:t>部分</w:t>
            </w:r>
          </w:p>
        </w:tc>
        <w:tc>
          <w:tcPr>
            <w:tcW w:w="781" w:type="pct"/>
            <w:vMerge w:val="restart"/>
            <w:vAlign w:val="center"/>
          </w:tcPr>
          <w:p w14:paraId="353A5D2F" w14:textId="308F13E1"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0" w:type="pct"/>
            <w:shd w:val="clear" w:color="auto" w:fill="auto"/>
            <w:vAlign w:val="center"/>
            <w:hideMark/>
          </w:tcPr>
          <w:p w14:paraId="2016E223" w14:textId="3F798D9C"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地下办公</w:t>
            </w:r>
          </w:p>
        </w:tc>
        <w:tc>
          <w:tcPr>
            <w:tcW w:w="1663" w:type="pct"/>
            <w:shd w:val="clear" w:color="auto" w:fill="auto"/>
            <w:vAlign w:val="center"/>
            <w:hideMark/>
          </w:tcPr>
          <w:p w14:paraId="28EE23C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52DFFCB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32</w:t>
            </w:r>
          </w:p>
        </w:tc>
      </w:tr>
      <w:tr w:rsidR="00CD767E" w:rsidRPr="00F86D61" w14:paraId="7C506367" w14:textId="77777777" w:rsidTr="00CD767E">
        <w:trPr>
          <w:trHeight w:val="345"/>
        </w:trPr>
        <w:tc>
          <w:tcPr>
            <w:tcW w:w="591" w:type="pct"/>
            <w:vMerge/>
            <w:shd w:val="clear" w:color="auto" w:fill="auto"/>
            <w:vAlign w:val="center"/>
            <w:hideMark/>
          </w:tcPr>
          <w:p w14:paraId="03A3706F"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27C6B250"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shd w:val="clear" w:color="auto" w:fill="auto"/>
            <w:vAlign w:val="center"/>
            <w:hideMark/>
          </w:tcPr>
          <w:p w14:paraId="301CFB03" w14:textId="1B15A0CE"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地下车库</w:t>
            </w:r>
          </w:p>
        </w:tc>
        <w:tc>
          <w:tcPr>
            <w:tcW w:w="1663" w:type="pct"/>
            <w:shd w:val="clear" w:color="auto" w:fill="auto"/>
            <w:vAlign w:val="center"/>
            <w:hideMark/>
          </w:tcPr>
          <w:p w14:paraId="62D66DC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汽车库</w:t>
            </w:r>
          </w:p>
        </w:tc>
        <w:tc>
          <w:tcPr>
            <w:tcW w:w="1185" w:type="pct"/>
            <w:shd w:val="clear" w:color="auto" w:fill="auto"/>
            <w:noWrap/>
            <w:vAlign w:val="center"/>
            <w:hideMark/>
          </w:tcPr>
          <w:p w14:paraId="573DE39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10345.02</w:t>
            </w:r>
          </w:p>
        </w:tc>
      </w:tr>
      <w:tr w:rsidR="00CD767E" w:rsidRPr="00F86D61" w14:paraId="53862F68" w14:textId="77777777" w:rsidTr="00CD767E">
        <w:trPr>
          <w:trHeight w:val="345"/>
        </w:trPr>
        <w:tc>
          <w:tcPr>
            <w:tcW w:w="591" w:type="pct"/>
            <w:vMerge/>
            <w:shd w:val="clear" w:color="auto" w:fill="auto"/>
            <w:vAlign w:val="center"/>
            <w:hideMark/>
          </w:tcPr>
          <w:p w14:paraId="330260ED"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restart"/>
            <w:vAlign w:val="center"/>
          </w:tcPr>
          <w:p w14:paraId="5C2B9DAF" w14:textId="0D0257B3"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不出让</w:t>
            </w:r>
          </w:p>
        </w:tc>
        <w:tc>
          <w:tcPr>
            <w:tcW w:w="780" w:type="pct"/>
            <w:shd w:val="clear" w:color="auto" w:fill="auto"/>
            <w:vAlign w:val="center"/>
            <w:hideMark/>
          </w:tcPr>
          <w:p w14:paraId="7D4D3D55" w14:textId="0CB378BD"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663" w:type="pct"/>
            <w:shd w:val="clear" w:color="auto" w:fill="auto"/>
            <w:vAlign w:val="center"/>
            <w:hideMark/>
          </w:tcPr>
          <w:p w14:paraId="1736F2E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185" w:type="pct"/>
            <w:shd w:val="clear" w:color="auto" w:fill="auto"/>
            <w:noWrap/>
            <w:vAlign w:val="center"/>
            <w:hideMark/>
          </w:tcPr>
          <w:p w14:paraId="32110F5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227</w:t>
            </w:r>
          </w:p>
        </w:tc>
      </w:tr>
      <w:tr w:rsidR="00CD767E" w:rsidRPr="00F86D61" w14:paraId="33938A4A" w14:textId="77777777" w:rsidTr="00CD767E">
        <w:trPr>
          <w:trHeight w:val="345"/>
        </w:trPr>
        <w:tc>
          <w:tcPr>
            <w:tcW w:w="591" w:type="pct"/>
            <w:vMerge/>
            <w:shd w:val="clear" w:color="auto" w:fill="auto"/>
            <w:vAlign w:val="center"/>
            <w:hideMark/>
          </w:tcPr>
          <w:p w14:paraId="5DD58877"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7D4A1202"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shd w:val="clear" w:color="auto" w:fill="auto"/>
            <w:vAlign w:val="center"/>
            <w:hideMark/>
          </w:tcPr>
          <w:p w14:paraId="63E11558" w14:textId="104D372A"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663" w:type="pct"/>
            <w:shd w:val="clear" w:color="auto" w:fill="auto"/>
            <w:vAlign w:val="center"/>
            <w:hideMark/>
          </w:tcPr>
          <w:p w14:paraId="4CFCC22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185" w:type="pct"/>
            <w:shd w:val="clear" w:color="auto" w:fill="auto"/>
            <w:noWrap/>
            <w:vAlign w:val="center"/>
            <w:hideMark/>
          </w:tcPr>
          <w:p w14:paraId="17B2708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3600.98</w:t>
            </w:r>
          </w:p>
        </w:tc>
      </w:tr>
      <w:tr w:rsidR="00CD767E" w:rsidRPr="00F86D61" w14:paraId="2CFAD165" w14:textId="77777777" w:rsidTr="00CD767E">
        <w:trPr>
          <w:trHeight w:val="345"/>
        </w:trPr>
        <w:tc>
          <w:tcPr>
            <w:tcW w:w="591" w:type="pct"/>
            <w:vMerge/>
            <w:shd w:val="clear" w:color="auto" w:fill="auto"/>
            <w:vAlign w:val="center"/>
            <w:hideMark/>
          </w:tcPr>
          <w:p w14:paraId="3E2D08E8"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62AB7235"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val="restart"/>
            <w:shd w:val="clear" w:color="auto" w:fill="auto"/>
            <w:vAlign w:val="center"/>
            <w:hideMark/>
          </w:tcPr>
          <w:p w14:paraId="60BB85D2" w14:textId="1DA1C912"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非经营性用途</w:t>
            </w:r>
          </w:p>
        </w:tc>
        <w:tc>
          <w:tcPr>
            <w:tcW w:w="1663" w:type="pct"/>
            <w:shd w:val="clear" w:color="auto" w:fill="auto"/>
            <w:vAlign w:val="center"/>
            <w:hideMark/>
          </w:tcPr>
          <w:p w14:paraId="1509A57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室内覆盖系统机房</w:t>
            </w:r>
          </w:p>
        </w:tc>
        <w:tc>
          <w:tcPr>
            <w:tcW w:w="1185" w:type="pct"/>
            <w:shd w:val="clear" w:color="auto" w:fill="auto"/>
            <w:noWrap/>
            <w:vAlign w:val="center"/>
            <w:hideMark/>
          </w:tcPr>
          <w:p w14:paraId="2E1D16A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D767E" w:rsidRPr="001D4423" w14:paraId="7D77AEBA" w14:textId="77777777" w:rsidTr="00CD767E">
        <w:trPr>
          <w:trHeight w:val="345"/>
        </w:trPr>
        <w:tc>
          <w:tcPr>
            <w:tcW w:w="591" w:type="pct"/>
            <w:vMerge/>
            <w:shd w:val="clear" w:color="auto" w:fill="auto"/>
            <w:vAlign w:val="center"/>
            <w:hideMark/>
          </w:tcPr>
          <w:p w14:paraId="2D3FE988"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22D13C85"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07EED815" w14:textId="66493DB5"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noWrap/>
            <w:vAlign w:val="center"/>
            <w:hideMark/>
          </w:tcPr>
          <w:p w14:paraId="70E450A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固定通信设备间</w:t>
            </w:r>
          </w:p>
        </w:tc>
        <w:tc>
          <w:tcPr>
            <w:tcW w:w="1185" w:type="pct"/>
            <w:shd w:val="clear" w:color="auto" w:fill="auto"/>
            <w:noWrap/>
            <w:vAlign w:val="center"/>
            <w:hideMark/>
          </w:tcPr>
          <w:p w14:paraId="01F70B4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D767E" w:rsidRPr="001D4423" w14:paraId="15EB046D" w14:textId="77777777" w:rsidTr="00CD767E">
        <w:trPr>
          <w:trHeight w:val="345"/>
        </w:trPr>
        <w:tc>
          <w:tcPr>
            <w:tcW w:w="591" w:type="pct"/>
            <w:vMerge/>
            <w:shd w:val="clear" w:color="auto" w:fill="auto"/>
            <w:vAlign w:val="center"/>
            <w:hideMark/>
          </w:tcPr>
          <w:p w14:paraId="737707E9"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65260C63"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38776D9B" w14:textId="500B8625"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noWrap/>
            <w:vAlign w:val="center"/>
            <w:hideMark/>
          </w:tcPr>
          <w:p w14:paraId="58B4A5C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有线电视光电转换间</w:t>
            </w:r>
          </w:p>
        </w:tc>
        <w:tc>
          <w:tcPr>
            <w:tcW w:w="1185" w:type="pct"/>
            <w:shd w:val="clear" w:color="auto" w:fill="auto"/>
            <w:noWrap/>
            <w:vAlign w:val="center"/>
            <w:hideMark/>
          </w:tcPr>
          <w:p w14:paraId="2549A92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w:t>
            </w:r>
          </w:p>
        </w:tc>
      </w:tr>
      <w:tr w:rsidR="00CD767E" w:rsidRPr="001D4423" w14:paraId="3D7A32D2" w14:textId="77777777" w:rsidTr="00CD767E">
        <w:trPr>
          <w:trHeight w:val="345"/>
        </w:trPr>
        <w:tc>
          <w:tcPr>
            <w:tcW w:w="591" w:type="pct"/>
            <w:vMerge/>
            <w:shd w:val="clear" w:color="auto" w:fill="auto"/>
            <w:vAlign w:val="center"/>
            <w:hideMark/>
          </w:tcPr>
          <w:p w14:paraId="74159978"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065FCA78"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7BAD828E" w14:textId="7FB60EB9"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noWrap/>
            <w:vAlign w:val="center"/>
            <w:hideMark/>
          </w:tcPr>
          <w:p w14:paraId="4A768C6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配电室</w:t>
            </w:r>
          </w:p>
        </w:tc>
        <w:tc>
          <w:tcPr>
            <w:tcW w:w="1185" w:type="pct"/>
            <w:shd w:val="clear" w:color="auto" w:fill="auto"/>
            <w:noWrap/>
            <w:vAlign w:val="center"/>
            <w:hideMark/>
          </w:tcPr>
          <w:p w14:paraId="40F621C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180</w:t>
            </w:r>
          </w:p>
        </w:tc>
      </w:tr>
      <w:tr w:rsidR="00CD767E" w:rsidRPr="001D4423" w14:paraId="647CD436" w14:textId="77777777" w:rsidTr="00CD767E">
        <w:trPr>
          <w:trHeight w:val="345"/>
        </w:trPr>
        <w:tc>
          <w:tcPr>
            <w:tcW w:w="591" w:type="pct"/>
            <w:vMerge/>
            <w:shd w:val="clear" w:color="auto" w:fill="auto"/>
            <w:vAlign w:val="center"/>
            <w:hideMark/>
          </w:tcPr>
          <w:p w14:paraId="13FC7B3B"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restart"/>
            <w:vAlign w:val="center"/>
          </w:tcPr>
          <w:p w14:paraId="71617E66"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58105136" w14:textId="23E7096E"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noWrap/>
            <w:vAlign w:val="center"/>
            <w:hideMark/>
          </w:tcPr>
          <w:p w14:paraId="0508691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热力站</w:t>
            </w:r>
          </w:p>
        </w:tc>
        <w:tc>
          <w:tcPr>
            <w:tcW w:w="1185" w:type="pct"/>
            <w:shd w:val="clear" w:color="auto" w:fill="auto"/>
            <w:noWrap/>
            <w:vAlign w:val="center"/>
            <w:hideMark/>
          </w:tcPr>
          <w:p w14:paraId="2EB4ADD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200</w:t>
            </w:r>
          </w:p>
        </w:tc>
      </w:tr>
      <w:tr w:rsidR="00CD767E" w:rsidRPr="001D4423" w14:paraId="72F7F315" w14:textId="77777777" w:rsidTr="00CD767E">
        <w:trPr>
          <w:trHeight w:val="345"/>
        </w:trPr>
        <w:tc>
          <w:tcPr>
            <w:tcW w:w="591" w:type="pct"/>
            <w:vMerge/>
            <w:shd w:val="clear" w:color="auto" w:fill="auto"/>
            <w:vAlign w:val="center"/>
            <w:hideMark/>
          </w:tcPr>
          <w:p w14:paraId="23E5F8AE"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2874AC59"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4881F59D" w14:textId="443B0D29"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noWrap/>
            <w:vAlign w:val="center"/>
            <w:hideMark/>
          </w:tcPr>
          <w:p w14:paraId="3CB8700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设备用房</w:t>
            </w:r>
          </w:p>
        </w:tc>
        <w:tc>
          <w:tcPr>
            <w:tcW w:w="1185" w:type="pct"/>
            <w:shd w:val="clear" w:color="auto" w:fill="auto"/>
            <w:noWrap/>
            <w:vAlign w:val="center"/>
            <w:hideMark/>
          </w:tcPr>
          <w:p w14:paraId="0AAEE79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661</w:t>
            </w:r>
          </w:p>
        </w:tc>
      </w:tr>
      <w:tr w:rsidR="00CD767E" w:rsidRPr="00F86D61" w14:paraId="79234F72" w14:textId="77777777" w:rsidTr="00CD767E">
        <w:trPr>
          <w:trHeight w:val="345"/>
        </w:trPr>
        <w:tc>
          <w:tcPr>
            <w:tcW w:w="591" w:type="pct"/>
            <w:vMerge/>
            <w:shd w:val="clear" w:color="auto" w:fill="auto"/>
            <w:vAlign w:val="center"/>
            <w:hideMark/>
          </w:tcPr>
          <w:p w14:paraId="2D355B4D"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Align w:val="center"/>
          </w:tcPr>
          <w:p w14:paraId="0C93BC1B"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72FC5763" w14:textId="1F048CA1"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noWrap/>
            <w:vAlign w:val="center"/>
            <w:hideMark/>
          </w:tcPr>
          <w:p w14:paraId="55B1569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0F52DE3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1077</w:t>
            </w:r>
          </w:p>
        </w:tc>
      </w:tr>
      <w:tr w:rsidR="00CD767E" w:rsidRPr="00F86D61" w14:paraId="05F0F882" w14:textId="77777777" w:rsidTr="00CD767E">
        <w:trPr>
          <w:trHeight w:val="345"/>
        </w:trPr>
        <w:tc>
          <w:tcPr>
            <w:tcW w:w="591" w:type="pct"/>
            <w:vMerge/>
            <w:shd w:val="clear" w:color="auto" w:fill="auto"/>
            <w:vAlign w:val="center"/>
            <w:hideMark/>
          </w:tcPr>
          <w:p w14:paraId="5AABD175"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Align w:val="center"/>
          </w:tcPr>
          <w:p w14:paraId="238B1319"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2443" w:type="pct"/>
            <w:gridSpan w:val="2"/>
            <w:shd w:val="clear" w:color="auto" w:fill="auto"/>
            <w:noWrap/>
            <w:vAlign w:val="center"/>
            <w:hideMark/>
          </w:tcPr>
          <w:p w14:paraId="0C8F57E3" w14:textId="1AA41374"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722B65E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15282</w:t>
            </w:r>
          </w:p>
        </w:tc>
      </w:tr>
      <w:tr w:rsidR="00CD767E" w:rsidRPr="00F86D61" w14:paraId="018B29A8" w14:textId="77777777" w:rsidTr="00CD767E">
        <w:trPr>
          <w:trHeight w:val="345"/>
        </w:trPr>
        <w:tc>
          <w:tcPr>
            <w:tcW w:w="591" w:type="pct"/>
            <w:shd w:val="clear" w:color="auto" w:fill="auto"/>
            <w:noWrap/>
            <w:vAlign w:val="center"/>
            <w:hideMark/>
          </w:tcPr>
          <w:p w14:paraId="087A3F8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总计</w:t>
            </w:r>
          </w:p>
        </w:tc>
        <w:tc>
          <w:tcPr>
            <w:tcW w:w="781" w:type="pct"/>
            <w:vAlign w:val="center"/>
          </w:tcPr>
          <w:p w14:paraId="24DBA221"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2443" w:type="pct"/>
            <w:gridSpan w:val="2"/>
            <w:shd w:val="clear" w:color="auto" w:fill="auto"/>
            <w:vAlign w:val="center"/>
            <w:hideMark/>
          </w:tcPr>
          <w:p w14:paraId="54E3457A" w14:textId="29686446"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w:t>
            </w:r>
          </w:p>
        </w:tc>
        <w:tc>
          <w:tcPr>
            <w:tcW w:w="1185" w:type="pct"/>
            <w:shd w:val="clear" w:color="auto" w:fill="auto"/>
            <w:noWrap/>
            <w:vAlign w:val="center"/>
            <w:hideMark/>
          </w:tcPr>
          <w:p w14:paraId="2DED3EB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46793</w:t>
            </w:r>
          </w:p>
        </w:tc>
      </w:tr>
      <w:tr w:rsidR="00CD767E" w:rsidRPr="00F86D61" w14:paraId="51A079C4" w14:textId="77777777" w:rsidTr="00CD767E">
        <w:trPr>
          <w:trHeight w:val="345"/>
        </w:trPr>
        <w:tc>
          <w:tcPr>
            <w:tcW w:w="591" w:type="pct"/>
            <w:shd w:val="clear" w:color="auto" w:fill="auto"/>
            <w:noWrap/>
            <w:vAlign w:val="center"/>
          </w:tcPr>
          <w:p w14:paraId="52C9B03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07AC8064" w14:textId="77777777" w:rsidR="00CD767E" w:rsidRPr="00F86D61" w:rsidRDefault="00CD767E" w:rsidP="00CD767E">
            <w:pPr>
              <w:widowControl/>
              <w:adjustRightInd/>
              <w:spacing w:line="240" w:lineRule="auto"/>
              <w:jc w:val="center"/>
              <w:textAlignment w:val="auto"/>
              <w:rPr>
                <w:rFonts w:ascii="Arial" w:eastAsia="仿宋_GB2312" w:hAnsi="Arial" w:cs="Arial"/>
                <w:sz w:val="22"/>
                <w:szCs w:val="16"/>
              </w:rPr>
            </w:pPr>
          </w:p>
        </w:tc>
        <w:tc>
          <w:tcPr>
            <w:tcW w:w="2443" w:type="pct"/>
            <w:gridSpan w:val="2"/>
            <w:shd w:val="clear" w:color="auto" w:fill="auto"/>
            <w:vAlign w:val="center"/>
          </w:tcPr>
          <w:p w14:paraId="1E7A82A1" w14:textId="18E79785"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总用地面积</w:t>
            </w:r>
          </w:p>
        </w:tc>
        <w:tc>
          <w:tcPr>
            <w:tcW w:w="1185" w:type="pct"/>
            <w:shd w:val="clear" w:color="auto" w:fill="auto"/>
            <w:noWrap/>
            <w:vAlign w:val="center"/>
          </w:tcPr>
          <w:p w14:paraId="5CF22C7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6180.978</w:t>
            </w:r>
          </w:p>
        </w:tc>
      </w:tr>
      <w:tr w:rsidR="00CD767E" w:rsidRPr="00F86D61" w14:paraId="7B2AA597" w14:textId="77777777" w:rsidTr="00CD767E">
        <w:trPr>
          <w:trHeight w:val="345"/>
        </w:trPr>
        <w:tc>
          <w:tcPr>
            <w:tcW w:w="591" w:type="pct"/>
            <w:shd w:val="clear" w:color="auto" w:fill="auto"/>
            <w:noWrap/>
            <w:vAlign w:val="center"/>
          </w:tcPr>
          <w:p w14:paraId="146C384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740D4202" w14:textId="77777777" w:rsidR="00CD767E" w:rsidRDefault="00CD767E" w:rsidP="00CD767E">
            <w:pPr>
              <w:widowControl/>
              <w:adjustRightInd/>
              <w:spacing w:line="240" w:lineRule="auto"/>
              <w:jc w:val="center"/>
              <w:textAlignment w:val="auto"/>
              <w:rPr>
                <w:rFonts w:ascii="Arial" w:eastAsia="仿宋_GB2312" w:hAnsi="Arial" w:cs="Arial"/>
                <w:sz w:val="22"/>
                <w:szCs w:val="16"/>
              </w:rPr>
            </w:pPr>
          </w:p>
        </w:tc>
        <w:tc>
          <w:tcPr>
            <w:tcW w:w="2443" w:type="pct"/>
            <w:gridSpan w:val="2"/>
            <w:shd w:val="clear" w:color="auto" w:fill="auto"/>
            <w:vAlign w:val="center"/>
          </w:tcPr>
          <w:p w14:paraId="16B8FBF4" w14:textId="7FC64335"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容积率</w:t>
            </w:r>
          </w:p>
        </w:tc>
        <w:tc>
          <w:tcPr>
            <w:tcW w:w="1185" w:type="pct"/>
            <w:shd w:val="clear" w:color="auto" w:fill="auto"/>
            <w:noWrap/>
            <w:vAlign w:val="center"/>
          </w:tcPr>
          <w:p w14:paraId="51A67D88" w14:textId="6945DF2A"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5</w:t>
            </w:r>
            <w:r>
              <w:rPr>
                <w:rFonts w:ascii="Arial" w:eastAsia="仿宋_GB2312" w:hAnsi="Arial" w:cs="Arial"/>
                <w:sz w:val="22"/>
                <w:szCs w:val="16"/>
              </w:rPr>
              <w:t>.1</w:t>
            </w:r>
            <w:r w:rsidR="006A0786">
              <w:rPr>
                <w:rFonts w:ascii="Arial" w:eastAsia="仿宋_GB2312" w:hAnsi="Arial" w:cs="Arial"/>
                <w:sz w:val="22"/>
                <w:szCs w:val="16"/>
              </w:rPr>
              <w:t>0</w:t>
            </w:r>
          </w:p>
        </w:tc>
      </w:tr>
    </w:tbl>
    <w:p w14:paraId="623FE2ED" w14:textId="4263FA1E" w:rsidR="002C3ABF" w:rsidRPr="00F631FB" w:rsidRDefault="00CD767E" w:rsidP="002C3ABF">
      <w:pPr>
        <w:spacing w:line="360" w:lineRule="auto"/>
        <w:ind w:firstLineChars="200" w:firstLine="560"/>
        <w:jc w:val="both"/>
        <w:rPr>
          <w:rFonts w:ascii="Arial" w:eastAsia="仿宋_GB2312" w:hAnsi="Arial" w:cs="Arial"/>
          <w:sz w:val="28"/>
          <w:szCs w:val="28"/>
        </w:rPr>
      </w:pPr>
      <w:r w:rsidRPr="00CD767E">
        <w:rPr>
          <w:rFonts w:ascii="Arial" w:eastAsia="仿宋_GB2312" w:hAnsi="Arial" w:cs="Arial" w:hint="eastAsia"/>
          <w:sz w:val="28"/>
        </w:rPr>
        <w:t>估价对象属于居住类二级Ⅱ</w:t>
      </w:r>
      <w:r w:rsidRPr="00CD767E">
        <w:rPr>
          <w:rFonts w:ascii="Arial" w:eastAsia="仿宋_GB2312" w:hAnsi="Arial" w:cs="Arial" w:hint="eastAsia"/>
          <w:sz w:val="28"/>
        </w:rPr>
        <w:t>-03</w:t>
      </w:r>
      <w:r w:rsidRPr="00CD767E">
        <w:rPr>
          <w:rFonts w:ascii="Arial" w:eastAsia="仿宋_GB2312" w:hAnsi="Arial" w:cs="Arial" w:hint="eastAsia"/>
          <w:sz w:val="28"/>
        </w:rPr>
        <w:t>区片、</w:t>
      </w:r>
      <w:r w:rsidR="005E6AF1">
        <w:rPr>
          <w:rFonts w:ascii="Arial" w:eastAsia="仿宋_GB2312" w:hAnsi="Arial" w:cs="Arial" w:hint="eastAsia"/>
          <w:sz w:val="28"/>
        </w:rPr>
        <w:t>商业类三级</w:t>
      </w:r>
      <w:r w:rsidRPr="00CD767E">
        <w:rPr>
          <w:rFonts w:ascii="Arial" w:eastAsia="仿宋_GB2312" w:hAnsi="Arial" w:cs="Arial" w:hint="eastAsia"/>
          <w:sz w:val="28"/>
        </w:rPr>
        <w:t>Ⅲ</w:t>
      </w:r>
      <w:r w:rsidRPr="00CD767E">
        <w:rPr>
          <w:rFonts w:ascii="Arial" w:eastAsia="仿宋_GB2312" w:hAnsi="Arial" w:cs="Arial" w:hint="eastAsia"/>
          <w:sz w:val="28"/>
        </w:rPr>
        <w:t>-06</w:t>
      </w:r>
      <w:r w:rsidRPr="00CD767E">
        <w:rPr>
          <w:rFonts w:ascii="Arial" w:eastAsia="仿宋_GB2312" w:hAnsi="Arial" w:cs="Arial" w:hint="eastAsia"/>
          <w:sz w:val="28"/>
        </w:rPr>
        <w:t>区片、办公类二级Ⅱ</w:t>
      </w:r>
      <w:r w:rsidRPr="00CD767E">
        <w:rPr>
          <w:rFonts w:ascii="Arial" w:eastAsia="仿宋_GB2312" w:hAnsi="Arial" w:cs="Arial" w:hint="eastAsia"/>
          <w:sz w:val="28"/>
        </w:rPr>
        <w:t>-03</w:t>
      </w:r>
      <w:r w:rsidRPr="00CD767E">
        <w:rPr>
          <w:rFonts w:ascii="Arial" w:eastAsia="仿宋_GB2312" w:hAnsi="Arial" w:cs="Arial" w:hint="eastAsia"/>
          <w:sz w:val="28"/>
        </w:rPr>
        <w:t>区片地价区内，居住用途级别平均容积率均为</w:t>
      </w:r>
      <w:r w:rsidRPr="00CD767E">
        <w:rPr>
          <w:rFonts w:ascii="Arial" w:eastAsia="仿宋_GB2312" w:hAnsi="Arial" w:cs="Arial" w:hint="eastAsia"/>
          <w:sz w:val="28"/>
        </w:rPr>
        <w:t>2.5</w:t>
      </w:r>
      <w:r w:rsidRPr="00CD767E">
        <w:rPr>
          <w:rFonts w:ascii="Arial" w:eastAsia="仿宋_GB2312" w:hAnsi="Arial" w:cs="Arial" w:hint="eastAsia"/>
          <w:sz w:val="28"/>
        </w:rPr>
        <w:t>，商业用途级别平均容积率均为</w:t>
      </w:r>
      <w:r w:rsidRPr="00CD767E">
        <w:rPr>
          <w:rFonts w:ascii="Arial" w:eastAsia="仿宋_GB2312" w:hAnsi="Arial" w:cs="Arial" w:hint="eastAsia"/>
          <w:sz w:val="28"/>
        </w:rPr>
        <w:t>2.5</w:t>
      </w:r>
      <w:r w:rsidRPr="00CD767E">
        <w:rPr>
          <w:rFonts w:ascii="Arial" w:eastAsia="仿宋_GB2312" w:hAnsi="Arial" w:cs="Arial" w:hint="eastAsia"/>
          <w:sz w:val="28"/>
        </w:rPr>
        <w:t>，办公用途级别平均容积率均为</w:t>
      </w:r>
      <w:r w:rsidRPr="00CD767E">
        <w:rPr>
          <w:rFonts w:ascii="Arial" w:eastAsia="仿宋_GB2312" w:hAnsi="Arial" w:cs="Arial" w:hint="eastAsia"/>
          <w:sz w:val="28"/>
        </w:rPr>
        <w:t>3.5</w:t>
      </w:r>
      <w:r w:rsidRPr="00CD767E">
        <w:rPr>
          <w:rFonts w:ascii="Arial" w:eastAsia="仿宋_GB2312" w:hAnsi="Arial" w:cs="Arial" w:hint="eastAsia"/>
          <w:sz w:val="28"/>
        </w:rPr>
        <w:t>。估价对象宗地形状较规则、地形平坦、地质良好。综合评价估价对象土地利用程度较好</w:t>
      </w:r>
      <w:r w:rsidR="002C3ABF" w:rsidRPr="00F631FB">
        <w:rPr>
          <w:rFonts w:ascii="Arial" w:eastAsia="仿宋_GB2312" w:hAnsi="Arial" w:cs="Arial"/>
          <w:sz w:val="28"/>
        </w:rPr>
        <w:t>。</w:t>
      </w:r>
    </w:p>
    <w:p w14:paraId="47F17A2F" w14:textId="77777777" w:rsidR="002C3ABF" w:rsidRPr="00F631FB" w:rsidRDefault="002C3ABF" w:rsidP="002C3ABF">
      <w:pPr>
        <w:pStyle w:val="21"/>
        <w:autoSpaceDE w:val="0"/>
        <w:autoSpaceDN w:val="0"/>
        <w:spacing w:line="360" w:lineRule="auto"/>
        <w:ind w:right="142"/>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）利润率</w:t>
      </w:r>
    </w:p>
    <w:p w14:paraId="15E93FFC" w14:textId="07404124" w:rsidR="002C3ABF" w:rsidRPr="00F631FB" w:rsidRDefault="007A3D09" w:rsidP="002C3ABF">
      <w:pPr>
        <w:pStyle w:val="21"/>
        <w:autoSpaceDE w:val="0"/>
        <w:autoSpaceDN w:val="0"/>
        <w:spacing w:line="360" w:lineRule="auto"/>
        <w:ind w:right="142" w:firstLineChars="203" w:firstLine="568"/>
        <w:jc w:val="both"/>
        <w:textAlignment w:val="bottom"/>
        <w:rPr>
          <w:rFonts w:ascii="Arial" w:eastAsia="仿宋_GB2312" w:hAnsi="Arial" w:cs="Arial"/>
          <w:sz w:val="28"/>
        </w:rPr>
      </w:pPr>
      <w:r>
        <w:rPr>
          <w:rFonts w:ascii="Arial" w:eastAsia="仿宋_GB2312" w:hAnsi="Arial" w:cs="Arial" w:hint="eastAsia"/>
          <w:sz w:val="28"/>
        </w:rPr>
        <w:lastRenderedPageBreak/>
        <w:t>根据</w:t>
      </w:r>
      <w:r w:rsidRPr="00F631FB">
        <w:rPr>
          <w:rFonts w:ascii="Arial" w:eastAsia="仿宋_GB2312" w:hAnsi="Arial" w:cs="Arial" w:hint="eastAsia"/>
          <w:sz w:val="28"/>
        </w:rPr>
        <w:t>《</w:t>
      </w:r>
      <w:r>
        <w:rPr>
          <w:rFonts w:ascii="Arial" w:eastAsia="仿宋_GB2312" w:hAnsi="Arial" w:cs="Arial" w:hint="eastAsia"/>
          <w:sz w:val="28"/>
        </w:rPr>
        <w:t>海淀区苏州街站一体化棚户区改造项目前期工作及拟改造土地使用权一次性招标方案</w:t>
      </w:r>
      <w:r w:rsidRPr="00F631FB">
        <w:rPr>
          <w:rFonts w:ascii="Arial" w:eastAsia="仿宋_GB2312" w:hAnsi="Arial" w:cs="Arial" w:hint="eastAsia"/>
          <w:sz w:val="28"/>
        </w:rPr>
        <w:t>》</w:t>
      </w:r>
      <w:r>
        <w:rPr>
          <w:rFonts w:ascii="Arial" w:eastAsia="仿宋_GB2312" w:hAnsi="Arial" w:cs="Arial" w:hint="eastAsia"/>
          <w:sz w:val="28"/>
        </w:rPr>
        <w:t>及其附件规定，本项目投资利润率不得超过</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；故</w:t>
      </w:r>
      <w:r w:rsidR="002C3ABF" w:rsidRPr="00F631FB">
        <w:rPr>
          <w:rFonts w:ascii="Arial" w:eastAsia="仿宋_GB2312" w:hAnsi="Arial" w:cs="Arial"/>
          <w:sz w:val="28"/>
        </w:rPr>
        <w:t>本次利润率的计取中，</w:t>
      </w:r>
      <w:r w:rsidR="002C3ABF" w:rsidRPr="00F631FB">
        <w:rPr>
          <w:rFonts w:ascii="Arial" w:eastAsia="仿宋_GB2312" w:hAnsi="Arial" w:cs="Arial" w:hint="eastAsia"/>
          <w:sz w:val="28"/>
        </w:rPr>
        <w:t>住宅</w:t>
      </w:r>
      <w:r>
        <w:rPr>
          <w:rFonts w:ascii="Arial" w:eastAsia="仿宋_GB2312" w:hAnsi="Arial" w:cs="Arial" w:hint="eastAsia"/>
          <w:sz w:val="28"/>
        </w:rPr>
        <w:t>、</w:t>
      </w:r>
      <w:r w:rsidRPr="00F631FB">
        <w:rPr>
          <w:rFonts w:ascii="Arial" w:eastAsia="仿宋_GB2312" w:hAnsi="Arial" w:cs="Arial"/>
          <w:sz w:val="28"/>
          <w:szCs w:val="28"/>
        </w:rPr>
        <w:t>商业</w:t>
      </w:r>
      <w:r>
        <w:rPr>
          <w:rFonts w:ascii="Arial" w:eastAsia="仿宋_GB2312" w:hAnsi="Arial" w:cs="Arial" w:hint="eastAsia"/>
          <w:sz w:val="28"/>
          <w:szCs w:val="28"/>
        </w:rPr>
        <w:t>、办公</w:t>
      </w:r>
      <w:r w:rsidR="002C3ABF" w:rsidRPr="00F631FB">
        <w:rPr>
          <w:rFonts w:ascii="Arial" w:eastAsia="仿宋_GB2312" w:hAnsi="Arial" w:cs="Arial" w:hint="eastAsia"/>
          <w:sz w:val="28"/>
        </w:rPr>
        <w:t>用房</w:t>
      </w:r>
      <w:r>
        <w:rPr>
          <w:rFonts w:ascii="Arial" w:eastAsia="仿宋_GB2312" w:hAnsi="Arial" w:cs="Arial" w:hint="eastAsia"/>
          <w:sz w:val="28"/>
        </w:rPr>
        <w:t>均</w:t>
      </w:r>
      <w:r w:rsidR="002C3ABF" w:rsidRPr="00F631FB">
        <w:rPr>
          <w:rFonts w:ascii="Arial" w:eastAsia="仿宋_GB2312" w:hAnsi="Arial" w:cs="Arial" w:hint="eastAsia"/>
          <w:sz w:val="28"/>
        </w:rPr>
        <w:t>取</w:t>
      </w:r>
      <w:r>
        <w:rPr>
          <w:rFonts w:ascii="Arial" w:eastAsia="仿宋_GB2312" w:hAnsi="Arial" w:cs="Arial" w:hint="eastAsia"/>
          <w:sz w:val="28"/>
        </w:rPr>
        <w:t>1</w:t>
      </w:r>
      <w:r>
        <w:rPr>
          <w:rFonts w:ascii="Arial" w:eastAsia="仿宋_GB2312" w:hAnsi="Arial" w:cs="Arial"/>
          <w:sz w:val="28"/>
        </w:rPr>
        <w:t>5</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w:t>
      </w:r>
      <w:r>
        <w:rPr>
          <w:rFonts w:ascii="Arial" w:eastAsia="仿宋_GB2312" w:hAnsi="Arial" w:cs="Arial" w:hint="eastAsia"/>
          <w:sz w:val="28"/>
        </w:rPr>
        <w:t>地下车库</w:t>
      </w:r>
      <w:r w:rsidR="002C3ABF" w:rsidRPr="00F631FB">
        <w:rPr>
          <w:rFonts w:ascii="Arial" w:eastAsia="仿宋_GB2312" w:hAnsi="Arial" w:cs="Arial"/>
          <w:sz w:val="28"/>
          <w:szCs w:val="28"/>
        </w:rPr>
        <w:t>用房</w:t>
      </w:r>
      <w:r w:rsidR="002C3ABF" w:rsidRPr="00F631FB">
        <w:rPr>
          <w:rFonts w:ascii="Arial" w:eastAsia="仿宋_GB2312" w:hAnsi="Arial" w:cs="Arial"/>
          <w:sz w:val="28"/>
        </w:rPr>
        <w:t>取</w:t>
      </w:r>
      <w:r w:rsidR="002C3ABF" w:rsidRPr="00F631FB">
        <w:rPr>
          <w:rFonts w:ascii="Arial" w:eastAsia="仿宋_GB2312" w:hAnsi="Arial" w:cs="Arial" w:hint="eastAsia"/>
          <w:sz w:val="28"/>
        </w:rPr>
        <w:t>5</w:t>
      </w:r>
      <w:r w:rsidR="002C3ABF" w:rsidRPr="00F631FB">
        <w:rPr>
          <w:rFonts w:ascii="Arial" w:eastAsia="仿宋_GB2312" w:hAnsi="Arial" w:cs="Arial"/>
          <w:sz w:val="28"/>
        </w:rPr>
        <w:t>%</w:t>
      </w:r>
      <w:r w:rsidR="00CD767E">
        <w:rPr>
          <w:rFonts w:ascii="Arial" w:eastAsia="仿宋_GB2312" w:hAnsi="Arial" w:cs="Arial" w:hint="eastAsia"/>
          <w:sz w:val="28"/>
        </w:rPr>
        <w:t>。</w:t>
      </w:r>
    </w:p>
    <w:p w14:paraId="30485108" w14:textId="77777777" w:rsidR="002C3ABF" w:rsidRPr="00F631FB" w:rsidRDefault="002C3ABF" w:rsidP="002C3AB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工期情况说明：</w:t>
      </w:r>
    </w:p>
    <w:p w14:paraId="6159795E" w14:textId="77777777" w:rsidR="002C3ABF" w:rsidRPr="00F631FB"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土地开发期：</w:t>
      </w:r>
      <w:r w:rsidRPr="00F631FB">
        <w:rPr>
          <w:rFonts w:ascii="Arial" w:eastAsia="仿宋_GB2312" w:hAnsi="Arial" w:cs="Arial"/>
          <w:sz w:val="28"/>
        </w:rPr>
        <w:t>0</w:t>
      </w:r>
      <w:r w:rsidRPr="00F631FB">
        <w:rPr>
          <w:rFonts w:ascii="Arial" w:eastAsia="仿宋_GB2312" w:hAnsi="Arial" w:cs="Arial"/>
          <w:sz w:val="28"/>
        </w:rPr>
        <w:t>年</w:t>
      </w:r>
    </w:p>
    <w:p w14:paraId="409206B5" w14:textId="7AAE1910" w:rsidR="002C3ABF" w:rsidRPr="00F631FB"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建筑物建设期：</w:t>
      </w:r>
      <w:r w:rsidR="00CD767E">
        <w:rPr>
          <w:rFonts w:ascii="Arial" w:eastAsia="仿宋_GB2312" w:hAnsi="Arial" w:cs="Arial"/>
          <w:sz w:val="28"/>
        </w:rPr>
        <w:t>3</w:t>
      </w:r>
      <w:r w:rsidRPr="00F631FB">
        <w:rPr>
          <w:rFonts w:ascii="Arial" w:eastAsia="仿宋_GB2312" w:hAnsi="Arial" w:cs="Arial"/>
          <w:sz w:val="28"/>
        </w:rPr>
        <w:t>年</w:t>
      </w:r>
    </w:p>
    <w:p w14:paraId="3D181563" w14:textId="77777777" w:rsidR="002C3ABF" w:rsidRPr="00F631FB"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p>
    <w:p w14:paraId="6343C1BA" w14:textId="77777777" w:rsidR="00CD767E" w:rsidRDefault="00CD767E" w:rsidP="002C3ABF">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789857C9" w14:textId="4DDAF05B" w:rsidR="002C3ABF" w:rsidRPr="00F631FB" w:rsidRDefault="002C3ABF" w:rsidP="002C3ABF">
      <w:pPr>
        <w:spacing w:line="360" w:lineRule="auto"/>
        <w:ind w:firstLineChars="200" w:firstLine="562"/>
        <w:jc w:val="both"/>
        <w:rPr>
          <w:rFonts w:ascii="Arial" w:eastAsia="仿宋_GB2312" w:hAnsi="Arial" w:cs="Arial"/>
          <w:b/>
          <w:sz w:val="28"/>
        </w:rPr>
      </w:pPr>
      <w:r w:rsidRPr="00F631FB">
        <w:rPr>
          <w:rFonts w:ascii="Arial" w:eastAsia="仿宋_GB2312" w:hAnsi="Arial" w:cs="Arial"/>
          <w:b/>
          <w:sz w:val="28"/>
        </w:rPr>
        <w:lastRenderedPageBreak/>
        <w:t>测算过程：</w:t>
      </w:r>
    </w:p>
    <w:p w14:paraId="076CA04D" w14:textId="77777777" w:rsidR="002C3ABF" w:rsidRPr="00F631FB" w:rsidRDefault="002C3ABF" w:rsidP="002C3ABF">
      <w:pPr>
        <w:spacing w:line="360" w:lineRule="auto"/>
        <w:ind w:left="420"/>
        <w:jc w:val="both"/>
        <w:rPr>
          <w:rFonts w:ascii="Arial" w:eastAsia="仿宋_GB2312" w:hAnsi="Arial" w:cs="Arial"/>
          <w:b/>
          <w:bCs/>
          <w:sz w:val="28"/>
        </w:rPr>
      </w:pPr>
      <w:bookmarkStart w:id="302" w:name="_Toc416783706"/>
      <w:bookmarkStart w:id="303" w:name="_Toc469066172"/>
      <w:bookmarkStart w:id="304" w:name="_Toc416783610"/>
      <w:r w:rsidRPr="00F631FB">
        <w:rPr>
          <w:rFonts w:ascii="Arial" w:eastAsia="仿宋_GB2312" w:hAnsi="Arial" w:cs="Arial"/>
          <w:b/>
          <w:sz w:val="28"/>
        </w:rPr>
        <w:t>方法</w:t>
      </w:r>
      <w:proofErr w:type="gramStart"/>
      <w:r w:rsidRPr="00F631FB">
        <w:rPr>
          <w:rFonts w:ascii="Arial" w:eastAsia="仿宋_GB2312" w:hAnsi="Arial" w:cs="Arial"/>
          <w:b/>
          <w:sz w:val="28"/>
        </w:rPr>
        <w:t>一</w:t>
      </w:r>
      <w:proofErr w:type="gramEnd"/>
      <w:r w:rsidRPr="00F631FB">
        <w:rPr>
          <w:rFonts w:ascii="Arial" w:eastAsia="仿宋_GB2312" w:hAnsi="Arial" w:cs="Arial"/>
          <w:b/>
          <w:sz w:val="28"/>
        </w:rPr>
        <w:t>：</w:t>
      </w:r>
      <w:r w:rsidRPr="00F631FB">
        <w:rPr>
          <w:rFonts w:ascii="Arial" w:eastAsia="仿宋_GB2312" w:hAnsi="Arial" w:cs="Arial"/>
          <w:b/>
          <w:bCs/>
          <w:sz w:val="28"/>
        </w:rPr>
        <w:t>基准地价系数修正法</w:t>
      </w:r>
    </w:p>
    <w:p w14:paraId="6D4E5B3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有关北京市基准地价的说明</w:t>
      </w:r>
    </w:p>
    <w:p w14:paraId="720D9A54" w14:textId="77777777" w:rsidR="002C3ABF" w:rsidRPr="00F631FB" w:rsidRDefault="002C3ABF" w:rsidP="002C3ABF">
      <w:pPr>
        <w:pStyle w:val="a7"/>
        <w:overflowPunct w:val="0"/>
        <w:spacing w:line="360" w:lineRule="auto"/>
        <w:ind w:firstLineChars="200" w:firstLine="560"/>
        <w:rPr>
          <w:rFonts w:ascii="Arial" w:eastAsia="仿宋_GB2312" w:hAnsi="Arial" w:cs="Arial"/>
          <w:sz w:val="28"/>
        </w:rPr>
      </w:pPr>
      <w:r w:rsidRPr="00F631FB">
        <w:rPr>
          <w:rFonts w:ascii="Arial" w:eastAsia="仿宋_GB2312" w:hAnsi="Arial" w:cs="Arial"/>
          <w:sz w:val="28"/>
        </w:rPr>
        <w:t>北京市人民政府于</w:t>
      </w:r>
      <w:r w:rsidRPr="00F631FB">
        <w:rPr>
          <w:rFonts w:ascii="Arial" w:eastAsia="仿宋_GB2312" w:hAnsi="Arial" w:cs="Arial"/>
          <w:sz w:val="28"/>
        </w:rPr>
        <w:t>2002</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4</w:t>
      </w:r>
      <w:r w:rsidRPr="00F631FB">
        <w:rPr>
          <w:rFonts w:ascii="Arial" w:eastAsia="仿宋_GB2312" w:hAnsi="Arial" w:cs="Arial"/>
          <w:sz w:val="28"/>
        </w:rPr>
        <w:t>日发布了《北京市人民政府关于调整本市出让国有土地使用权基准地价的通知》（京政发【</w:t>
      </w:r>
      <w:r w:rsidRPr="00F631FB">
        <w:rPr>
          <w:rFonts w:ascii="Arial" w:eastAsia="仿宋_GB2312" w:hAnsi="Arial" w:cs="Arial"/>
          <w:sz w:val="28"/>
        </w:rPr>
        <w:t>2002</w:t>
      </w:r>
      <w:r w:rsidRPr="00F631FB">
        <w:rPr>
          <w:rFonts w:ascii="Arial" w:eastAsia="仿宋_GB2312" w:hAnsi="Arial" w:cs="Arial"/>
          <w:sz w:val="28"/>
        </w:rPr>
        <w:t>】</w:t>
      </w:r>
      <w:r w:rsidRPr="00F631FB">
        <w:rPr>
          <w:rFonts w:ascii="Arial" w:eastAsia="仿宋_GB2312" w:hAnsi="Arial" w:cs="Arial"/>
          <w:sz w:val="28"/>
        </w:rPr>
        <w:t>32</w:t>
      </w:r>
      <w:r w:rsidRPr="00F631FB">
        <w:rPr>
          <w:rFonts w:ascii="Arial" w:eastAsia="仿宋_GB2312" w:hAnsi="Arial" w:cs="Arial"/>
          <w:sz w:val="28"/>
        </w:rPr>
        <w:t>号），对</w:t>
      </w:r>
      <w:r w:rsidRPr="00F631FB">
        <w:rPr>
          <w:rFonts w:ascii="Arial" w:eastAsia="仿宋_GB2312" w:hAnsi="Arial" w:cs="Arial"/>
          <w:sz w:val="28"/>
        </w:rPr>
        <w:t>1993</w:t>
      </w:r>
      <w:r w:rsidRPr="00F631FB">
        <w:rPr>
          <w:rFonts w:ascii="Arial" w:eastAsia="仿宋_GB2312" w:hAnsi="Arial" w:cs="Arial"/>
          <w:sz w:val="28"/>
        </w:rPr>
        <w:t>年北京市出让国有土地使用权基准地价（《北京市人民政府发布北京市出让国有土地使用权基准地价的通知》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1993</w:t>
      </w:r>
      <w:r w:rsidRPr="00F631FB">
        <w:rPr>
          <w:rFonts w:ascii="Arial" w:eastAsia="仿宋_GB2312" w:hAnsi="Arial" w:cs="Arial"/>
          <w:sz w:val="28"/>
        </w:rPr>
        <w:t>】</w:t>
      </w:r>
      <w:r w:rsidRPr="00F631FB">
        <w:rPr>
          <w:rFonts w:ascii="Arial" w:eastAsia="仿宋_GB2312" w:hAnsi="Arial" w:cs="Arial"/>
          <w:sz w:val="28"/>
        </w:rPr>
        <w:t>34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进行了更新调整，从</w:t>
      </w:r>
      <w:r w:rsidRPr="00F631FB">
        <w:rPr>
          <w:rFonts w:ascii="Arial" w:eastAsia="仿宋_GB2312" w:hAnsi="Arial" w:cs="Arial"/>
          <w:sz w:val="28"/>
        </w:rPr>
        <w:t>2002</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日起施行新的出让国有土地使用权基准地价。</w:t>
      </w:r>
      <w:r w:rsidRPr="00F631FB">
        <w:rPr>
          <w:rFonts w:ascii="Arial" w:eastAsia="仿宋_GB2312" w:hAnsi="Arial" w:cs="Arial"/>
          <w:sz w:val="28"/>
        </w:rPr>
        <w:t>2014</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28</w:t>
      </w:r>
      <w:r w:rsidRPr="00F631FB">
        <w:rPr>
          <w:rFonts w:ascii="Arial" w:eastAsia="仿宋_GB2312" w:hAnsi="Arial" w:cs="Arial"/>
          <w:sz w:val="28"/>
        </w:rPr>
        <w:t>日，北京市人民政府发布了《北京市人民政府关于更新出让国有建设用地使用权基准地价的通知》（京政发【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号），再次对北京市国有建设用地使用权基准地价</w:t>
      </w:r>
      <w:r w:rsidRPr="00F631FB">
        <w:rPr>
          <w:rFonts w:ascii="Arial" w:eastAsia="仿宋_GB2312" w:hAnsi="Arial" w:cs="Arial"/>
          <w:sz w:val="28"/>
        </w:rPr>
        <w:t>(</w:t>
      </w:r>
      <w:r w:rsidRPr="00F631FB">
        <w:rPr>
          <w:rFonts w:ascii="Arial" w:eastAsia="仿宋_GB2312" w:hAnsi="Arial" w:cs="Arial"/>
          <w:sz w:val="28"/>
        </w:rPr>
        <w:t>以下简称基准地价</w:t>
      </w:r>
      <w:r w:rsidRPr="00F631FB">
        <w:rPr>
          <w:rFonts w:ascii="Arial" w:eastAsia="仿宋_GB2312" w:hAnsi="Arial" w:cs="Arial"/>
          <w:sz w:val="28"/>
        </w:rPr>
        <w:t>)</w:t>
      </w:r>
      <w:r w:rsidRPr="00F631FB">
        <w:rPr>
          <w:rFonts w:ascii="Arial" w:eastAsia="仿宋_GB2312" w:hAnsi="Arial" w:cs="Arial"/>
          <w:sz w:val="28"/>
        </w:rPr>
        <w:t>进行了更新。</w:t>
      </w:r>
    </w:p>
    <w:p w14:paraId="0EE66A7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《北京市基准地价更新成果》包括基准地价表、基准地价使用说明、基准地价级别</w:t>
      </w:r>
      <w:r w:rsidRPr="00F631FB">
        <w:rPr>
          <w:rFonts w:ascii="Arial" w:eastAsia="仿宋_GB2312" w:hAnsi="Arial" w:cs="Arial"/>
          <w:sz w:val="28"/>
        </w:rPr>
        <w:t>(</w:t>
      </w:r>
      <w:r w:rsidRPr="00F631FB">
        <w:rPr>
          <w:rFonts w:ascii="Arial" w:eastAsia="仿宋_GB2312" w:hAnsi="Arial" w:cs="Arial"/>
          <w:sz w:val="28"/>
        </w:rPr>
        <w:t>区片</w:t>
      </w:r>
      <w:r w:rsidRPr="00F631FB">
        <w:rPr>
          <w:rFonts w:ascii="Arial" w:eastAsia="仿宋_GB2312" w:hAnsi="Arial" w:cs="Arial"/>
          <w:sz w:val="28"/>
        </w:rPr>
        <w:t>)</w:t>
      </w:r>
      <w:r w:rsidRPr="00F631FB">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388E80D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在《北京市基准地价更新成果》中，基准地价是指</w:t>
      </w:r>
      <w:proofErr w:type="gramStart"/>
      <w:r w:rsidRPr="00F631FB">
        <w:rPr>
          <w:rFonts w:ascii="Arial" w:eastAsia="仿宋_GB2312" w:hAnsi="Arial" w:cs="Arial"/>
          <w:sz w:val="28"/>
        </w:rPr>
        <w:t>各土地</w:t>
      </w:r>
      <w:proofErr w:type="gramEnd"/>
      <w:r w:rsidRPr="00F631FB">
        <w:rPr>
          <w:rFonts w:ascii="Arial" w:eastAsia="仿宋_GB2312" w:hAnsi="Arial" w:cs="Arial"/>
          <w:sz w:val="28"/>
        </w:rPr>
        <w:t>级别</w:t>
      </w:r>
      <w:r w:rsidRPr="00F631FB">
        <w:rPr>
          <w:rFonts w:ascii="Arial" w:eastAsia="仿宋_GB2312" w:hAnsi="Arial" w:cs="Arial"/>
          <w:sz w:val="28"/>
        </w:rPr>
        <w:t>/</w:t>
      </w:r>
      <w:r w:rsidRPr="00F631FB">
        <w:rPr>
          <w:rFonts w:ascii="Arial" w:eastAsia="仿宋_GB2312" w:hAnsi="Arial" w:cs="Arial"/>
          <w:sz w:val="28"/>
        </w:rPr>
        <w:t>区片内，在正常市场条件下、土地开发程度为宗地外通路、通电、通讯、通上水、通下水、通燃气、通热及宗地内平整（简称</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）或宗地外通路、通电、通讯、通上水、通下水及宗地内平整（简称</w:t>
      </w:r>
      <w:r w:rsidRPr="00F631FB">
        <w:rPr>
          <w:rFonts w:ascii="Arial" w:eastAsia="仿宋_GB2312" w:hAnsi="Arial" w:cs="Arial"/>
          <w:sz w:val="28"/>
        </w:rPr>
        <w:t>“</w:t>
      </w:r>
      <w:r w:rsidRPr="00F631FB">
        <w:rPr>
          <w:rFonts w:ascii="Arial" w:eastAsia="仿宋_GB2312" w:hAnsi="Arial" w:cs="Arial"/>
          <w:sz w:val="28"/>
        </w:rPr>
        <w:t>五通一平</w:t>
      </w:r>
      <w:r w:rsidRPr="00F631FB">
        <w:rPr>
          <w:rFonts w:ascii="Arial" w:eastAsia="仿宋_GB2312" w:hAnsi="Arial" w:cs="Arial"/>
          <w:sz w:val="28"/>
        </w:rPr>
        <w:t>”</w:t>
      </w:r>
      <w:r w:rsidRPr="00F631FB">
        <w:rPr>
          <w:rFonts w:ascii="Arial" w:eastAsia="仿宋_GB2312" w:hAnsi="Arial" w:cs="Arial"/>
          <w:sz w:val="28"/>
        </w:rPr>
        <w:t>），在平均容积率条件下，</w:t>
      </w:r>
      <w:proofErr w:type="gramStart"/>
      <w:r w:rsidRPr="00F631FB">
        <w:rPr>
          <w:rFonts w:ascii="Arial" w:eastAsia="仿宋_GB2312" w:hAnsi="Arial" w:cs="Arial"/>
          <w:sz w:val="28"/>
        </w:rPr>
        <w:t>各土地</w:t>
      </w:r>
      <w:proofErr w:type="gramEnd"/>
      <w:r w:rsidRPr="00F631FB">
        <w:rPr>
          <w:rFonts w:ascii="Arial" w:eastAsia="仿宋_GB2312" w:hAnsi="Arial" w:cs="Arial"/>
          <w:sz w:val="28"/>
        </w:rPr>
        <w:t>用途的法定最高出让年限条件下完整的国有建设用地使用权的平均价</w:t>
      </w:r>
      <w:r w:rsidRPr="00F631FB">
        <w:rPr>
          <w:rFonts w:ascii="Arial" w:eastAsia="仿宋_GB2312" w:hAnsi="Arial" w:cs="Arial"/>
          <w:sz w:val="28"/>
        </w:rPr>
        <w:lastRenderedPageBreak/>
        <w:t>格。</w:t>
      </w:r>
    </w:p>
    <w:p w14:paraId="4DF1816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基准地价的基准期日为</w:t>
      </w:r>
      <w:r w:rsidRPr="00F631FB">
        <w:rPr>
          <w:rFonts w:ascii="Arial" w:eastAsia="仿宋_GB2312" w:hAnsi="Arial" w:cs="Arial"/>
          <w:sz w:val="28"/>
        </w:rPr>
        <w:t>2014</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），八至十二级为宗地外通路、通电、通讯、通上水、通下水及宗地内平整（简称</w:t>
      </w:r>
      <w:r w:rsidRPr="00F631FB">
        <w:rPr>
          <w:rFonts w:ascii="Arial" w:eastAsia="仿宋_GB2312" w:hAnsi="Arial" w:cs="Arial"/>
          <w:sz w:val="28"/>
        </w:rPr>
        <w:t>“</w:t>
      </w:r>
      <w:r w:rsidRPr="00F631FB">
        <w:rPr>
          <w:rFonts w:ascii="Arial" w:eastAsia="仿宋_GB2312" w:hAnsi="Arial" w:cs="Arial"/>
          <w:sz w:val="28"/>
        </w:rPr>
        <w:t>五通一平</w:t>
      </w:r>
      <w:r w:rsidRPr="00F631FB">
        <w:rPr>
          <w:rFonts w:ascii="Arial" w:eastAsia="仿宋_GB2312" w:hAnsi="Arial" w:cs="Arial"/>
          <w:sz w:val="28"/>
        </w:rPr>
        <w:t>”</w:t>
      </w:r>
      <w:r w:rsidRPr="00F631FB">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2C3ABF" w:rsidRPr="00F631FB" w14:paraId="39428C41" w14:textId="77777777" w:rsidTr="004A2C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44FD7F2B" w14:textId="77777777" w:rsidR="002C3ABF" w:rsidRPr="00F631FB" w:rsidRDefault="002C3ABF" w:rsidP="004A2C77">
            <w:pPr>
              <w:widowControl/>
              <w:adjustRightInd/>
              <w:spacing w:line="240" w:lineRule="exact"/>
              <w:ind w:firstLineChars="500" w:firstLine="900"/>
              <w:jc w:val="right"/>
              <w:textAlignment w:val="auto"/>
              <w:rPr>
                <w:rFonts w:ascii="Arial" w:eastAsia="仿宋_GB2312" w:hAnsi="Arial" w:cs="Arial"/>
                <w:sz w:val="18"/>
                <w:szCs w:val="18"/>
              </w:rPr>
            </w:pPr>
            <w:r w:rsidRPr="00F631FB">
              <w:rPr>
                <w:rFonts w:ascii="Arial" w:eastAsia="仿宋_GB2312" w:hAnsi="Arial" w:cs="Arial"/>
                <w:sz w:val="18"/>
                <w:szCs w:val="18"/>
              </w:rPr>
              <w:t>土地级别</w:t>
            </w:r>
          </w:p>
          <w:p w14:paraId="4C04640B" w14:textId="77777777" w:rsidR="002C3ABF" w:rsidRPr="00F631FB" w:rsidRDefault="002C3ABF" w:rsidP="004A2C77">
            <w:pPr>
              <w:spacing w:line="240" w:lineRule="exact"/>
              <w:rPr>
                <w:rFonts w:ascii="Arial" w:eastAsia="仿宋_GB2312" w:hAnsi="Arial" w:cs="Arial"/>
                <w:sz w:val="18"/>
                <w:szCs w:val="18"/>
              </w:rPr>
            </w:pPr>
            <w:r w:rsidRPr="00F631FB">
              <w:rPr>
                <w:rFonts w:ascii="Arial" w:eastAsia="仿宋_GB2312" w:hAnsi="Arial" w:cs="Arial"/>
                <w:sz w:val="18"/>
                <w:szCs w:val="18"/>
              </w:rPr>
              <w:t>土地用途</w:t>
            </w:r>
          </w:p>
        </w:tc>
        <w:tc>
          <w:tcPr>
            <w:tcW w:w="1750" w:type="dxa"/>
            <w:shd w:val="clear" w:color="auto" w:fill="auto"/>
            <w:noWrap/>
            <w:vAlign w:val="center"/>
            <w:hideMark/>
          </w:tcPr>
          <w:p w14:paraId="5F7EE88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一级至二级</w:t>
            </w:r>
          </w:p>
        </w:tc>
        <w:tc>
          <w:tcPr>
            <w:tcW w:w="1764" w:type="dxa"/>
            <w:shd w:val="clear" w:color="auto" w:fill="auto"/>
            <w:noWrap/>
            <w:vAlign w:val="center"/>
            <w:hideMark/>
          </w:tcPr>
          <w:p w14:paraId="22AAE6B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三级至五级</w:t>
            </w:r>
          </w:p>
        </w:tc>
        <w:tc>
          <w:tcPr>
            <w:tcW w:w="1924" w:type="dxa"/>
            <w:shd w:val="clear" w:color="auto" w:fill="auto"/>
            <w:noWrap/>
            <w:vAlign w:val="center"/>
            <w:hideMark/>
          </w:tcPr>
          <w:p w14:paraId="116207B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六级至七级</w:t>
            </w:r>
          </w:p>
        </w:tc>
        <w:tc>
          <w:tcPr>
            <w:tcW w:w="1763" w:type="dxa"/>
            <w:shd w:val="clear" w:color="auto" w:fill="auto"/>
            <w:noWrap/>
            <w:vAlign w:val="center"/>
            <w:hideMark/>
          </w:tcPr>
          <w:p w14:paraId="78CF06BD"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八级至十二级</w:t>
            </w:r>
          </w:p>
        </w:tc>
      </w:tr>
      <w:tr w:rsidR="002C3ABF" w:rsidRPr="00F631FB" w14:paraId="6D1E1EBF"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490B5C60"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53E3A2A5"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EE370A0"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6649E6A"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2.0 </w:t>
            </w:r>
          </w:p>
        </w:tc>
      </w:tr>
      <w:tr w:rsidR="002C3ABF" w:rsidRPr="00F631FB" w14:paraId="686AF20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378E883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720C5F2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FAB2558"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43C49A9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2.0 </w:t>
            </w:r>
          </w:p>
        </w:tc>
      </w:tr>
      <w:tr w:rsidR="002C3ABF" w:rsidRPr="00F631FB" w14:paraId="55827AF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69D42E0A"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0BF72F9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24EA8F2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1.5 </w:t>
            </w:r>
          </w:p>
        </w:tc>
      </w:tr>
      <w:tr w:rsidR="002C3ABF" w:rsidRPr="00F631FB" w14:paraId="79C2714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09B477F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B6A88C8"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710E42E2"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4B28DD6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1.0 </w:t>
            </w:r>
          </w:p>
        </w:tc>
      </w:tr>
    </w:tbl>
    <w:p w14:paraId="3380F88E"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基准地价的表示形式为楼面熟地价，楼面熟地价是指</w:t>
      </w:r>
      <w:proofErr w:type="gramStart"/>
      <w:r w:rsidRPr="00F631FB">
        <w:rPr>
          <w:rFonts w:ascii="Arial" w:eastAsia="仿宋_GB2312" w:hAnsi="Arial" w:cs="Arial"/>
          <w:sz w:val="28"/>
        </w:rPr>
        <w:t>各土地</w:t>
      </w:r>
      <w:proofErr w:type="gramEnd"/>
      <w:r w:rsidRPr="00F631FB">
        <w:rPr>
          <w:rFonts w:ascii="Arial" w:eastAsia="仿宋_GB2312" w:hAnsi="Arial" w:cs="Arial"/>
          <w:sz w:val="28"/>
        </w:rPr>
        <w:t>级别（区片）内，完成通平的土地在平均容积率条件下，每建筑面积分摊的完整的国有建设用地使用权的平均价格。</w:t>
      </w:r>
    </w:p>
    <w:p w14:paraId="75CC1CF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国有建设用地使用权出让政府土地收益</w:t>
      </w:r>
      <w:proofErr w:type="gramStart"/>
      <w:r w:rsidRPr="00F631FB">
        <w:rPr>
          <w:rFonts w:ascii="Arial" w:eastAsia="仿宋_GB2312" w:hAnsi="Arial" w:cs="Arial"/>
          <w:sz w:val="28"/>
        </w:rPr>
        <w:t>按照楼</w:t>
      </w:r>
      <w:proofErr w:type="gramEnd"/>
      <w:r w:rsidRPr="00F631FB">
        <w:rPr>
          <w:rFonts w:ascii="Arial" w:eastAsia="仿宋_GB2312" w:hAnsi="Arial" w:cs="Arial"/>
          <w:sz w:val="28"/>
        </w:rPr>
        <w:t>面熟地价及</w:t>
      </w:r>
      <w:proofErr w:type="gramStart"/>
      <w:r w:rsidRPr="00F631FB">
        <w:rPr>
          <w:rFonts w:ascii="Arial" w:eastAsia="仿宋_GB2312" w:hAnsi="Arial" w:cs="Arial"/>
          <w:sz w:val="28"/>
        </w:rPr>
        <w:t>各土地</w:t>
      </w:r>
      <w:proofErr w:type="gramEnd"/>
      <w:r w:rsidRPr="00F631FB">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F631FB">
        <w:rPr>
          <w:rFonts w:ascii="Arial" w:eastAsia="仿宋_GB2312" w:hAnsi="Arial" w:cs="Arial"/>
          <w:sz w:val="28"/>
        </w:rPr>
        <w:t>别计算</w:t>
      </w:r>
      <w:proofErr w:type="gramEnd"/>
      <w:r w:rsidRPr="00F631FB">
        <w:rPr>
          <w:rFonts w:ascii="Arial" w:eastAsia="仿宋_GB2312" w:hAnsi="Arial" w:cs="Arial"/>
          <w:sz w:val="28"/>
        </w:rPr>
        <w:t>求和。商业、办公、居住用途政府土地出让收益按照政府</w:t>
      </w:r>
      <w:proofErr w:type="gramStart"/>
      <w:r w:rsidRPr="00F631FB">
        <w:rPr>
          <w:rFonts w:ascii="Arial" w:eastAsia="仿宋_GB2312" w:hAnsi="Arial" w:cs="Arial"/>
          <w:sz w:val="28"/>
        </w:rPr>
        <w:t>审定楼</w:t>
      </w:r>
      <w:proofErr w:type="gramEnd"/>
      <w:r w:rsidRPr="00F631FB">
        <w:rPr>
          <w:rFonts w:ascii="Arial" w:eastAsia="仿宋_GB2312" w:hAnsi="Arial" w:cs="Arial"/>
          <w:sz w:val="28"/>
        </w:rPr>
        <w:t>面熟地价的</w:t>
      </w:r>
      <w:r w:rsidRPr="00F631FB">
        <w:rPr>
          <w:rFonts w:ascii="Arial" w:eastAsia="仿宋_GB2312" w:hAnsi="Arial" w:cs="Arial"/>
          <w:sz w:val="28"/>
        </w:rPr>
        <w:t>25%</w:t>
      </w:r>
      <w:r w:rsidRPr="00F631FB">
        <w:rPr>
          <w:rFonts w:ascii="Arial" w:eastAsia="仿宋_GB2312" w:hAnsi="Arial" w:cs="Arial"/>
          <w:sz w:val="28"/>
        </w:rPr>
        <w:t>确定，工业用途政府土地出让收益按照政府</w:t>
      </w:r>
      <w:proofErr w:type="gramStart"/>
      <w:r w:rsidRPr="00F631FB">
        <w:rPr>
          <w:rFonts w:ascii="Arial" w:eastAsia="仿宋_GB2312" w:hAnsi="Arial" w:cs="Arial"/>
          <w:sz w:val="28"/>
        </w:rPr>
        <w:t>审定楼</w:t>
      </w:r>
      <w:proofErr w:type="gramEnd"/>
      <w:r w:rsidRPr="00F631FB">
        <w:rPr>
          <w:rFonts w:ascii="Arial" w:eastAsia="仿宋_GB2312" w:hAnsi="Arial" w:cs="Arial"/>
          <w:sz w:val="28"/>
        </w:rPr>
        <w:t>面熟地价的</w:t>
      </w:r>
      <w:r w:rsidRPr="00F631FB">
        <w:rPr>
          <w:rFonts w:ascii="Arial" w:eastAsia="仿宋_GB2312" w:hAnsi="Arial" w:cs="Arial"/>
          <w:sz w:val="28"/>
        </w:rPr>
        <w:t>15%</w:t>
      </w:r>
      <w:r w:rsidRPr="00F631FB">
        <w:rPr>
          <w:rFonts w:ascii="Arial" w:eastAsia="仿宋_GB2312" w:hAnsi="Arial" w:cs="Arial"/>
          <w:sz w:val="28"/>
        </w:rPr>
        <w:t>确定。</w:t>
      </w:r>
    </w:p>
    <w:p w14:paraId="327F8D6A"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计算公式如下：</w:t>
      </w:r>
    </w:p>
    <w:p w14:paraId="6260EE2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）地上部分</w:t>
      </w:r>
    </w:p>
    <w:p w14:paraId="3B9D356B"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楼面熟地价＝适用的基准地价</w:t>
      </w:r>
      <w:r w:rsidRPr="00F631FB">
        <w:rPr>
          <w:rFonts w:ascii="Arial" w:eastAsia="仿宋_GB2312" w:hAnsi="Arial" w:cs="Arial"/>
          <w:sz w:val="28"/>
        </w:rPr>
        <w:t>×</w:t>
      </w:r>
      <w:r w:rsidRPr="00F631FB">
        <w:rPr>
          <w:rFonts w:ascii="Arial" w:eastAsia="仿宋_GB2312" w:hAnsi="Arial" w:cs="Arial"/>
          <w:sz w:val="28"/>
        </w:rPr>
        <w:t>用途修正系数</w:t>
      </w:r>
      <w:r w:rsidRPr="00F631FB">
        <w:rPr>
          <w:rFonts w:ascii="Arial" w:eastAsia="仿宋_GB2312" w:hAnsi="Arial" w:cs="Arial"/>
          <w:sz w:val="28"/>
        </w:rPr>
        <w:t>×</w:t>
      </w:r>
      <w:r w:rsidRPr="00F631FB">
        <w:rPr>
          <w:rFonts w:ascii="Arial" w:eastAsia="仿宋_GB2312" w:hAnsi="Arial" w:cs="Arial"/>
          <w:sz w:val="28"/>
        </w:rPr>
        <w:t>期日修正系数</w:t>
      </w:r>
      <w:r w:rsidRPr="00F631FB">
        <w:rPr>
          <w:rFonts w:ascii="Arial" w:eastAsia="仿宋_GB2312" w:hAnsi="Arial" w:cs="Arial"/>
          <w:sz w:val="28"/>
        </w:rPr>
        <w:t>×</w:t>
      </w:r>
      <w:r w:rsidRPr="00F631FB">
        <w:rPr>
          <w:rFonts w:ascii="Arial" w:eastAsia="仿宋_GB2312" w:hAnsi="Arial" w:cs="Arial"/>
          <w:sz w:val="28"/>
        </w:rPr>
        <w:t>年期修正系数</w:t>
      </w:r>
      <w:r w:rsidRPr="00F631FB">
        <w:rPr>
          <w:rFonts w:ascii="Arial" w:eastAsia="仿宋_GB2312" w:hAnsi="Arial" w:cs="Arial"/>
          <w:sz w:val="28"/>
        </w:rPr>
        <w:t>×</w:t>
      </w:r>
      <w:r w:rsidRPr="00F631FB">
        <w:rPr>
          <w:rFonts w:ascii="Arial" w:eastAsia="仿宋_GB2312" w:hAnsi="Arial" w:cs="Arial"/>
          <w:sz w:val="28"/>
        </w:rPr>
        <w:t>容积率修正系数（或楼层修正系数）</w:t>
      </w:r>
      <w:r w:rsidRPr="00F631FB">
        <w:rPr>
          <w:rFonts w:ascii="Arial" w:eastAsia="仿宋_GB2312" w:hAnsi="Arial" w:cs="Arial"/>
          <w:sz w:val="28"/>
        </w:rPr>
        <w:t>×</w:t>
      </w:r>
      <w:r w:rsidRPr="00F631FB">
        <w:rPr>
          <w:rFonts w:ascii="Arial" w:eastAsia="仿宋_GB2312" w:hAnsi="Arial" w:cs="Arial"/>
          <w:sz w:val="28"/>
        </w:rPr>
        <w:t>因素修正系数</w:t>
      </w:r>
    </w:p>
    <w:p w14:paraId="19172F4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lastRenderedPageBreak/>
        <w:t>其中，商业用途</w:t>
      </w:r>
      <w:proofErr w:type="gramStart"/>
      <w:r w:rsidRPr="00F631FB">
        <w:rPr>
          <w:rFonts w:ascii="Arial" w:eastAsia="仿宋_GB2312" w:hAnsi="Arial" w:cs="Arial"/>
          <w:sz w:val="28"/>
        </w:rPr>
        <w:t>需对于临</w:t>
      </w:r>
      <w:proofErr w:type="gramEnd"/>
      <w:r w:rsidRPr="00F631FB">
        <w:rPr>
          <w:rFonts w:ascii="Arial" w:eastAsia="仿宋_GB2312" w:hAnsi="Arial" w:cs="Arial"/>
          <w:sz w:val="28"/>
        </w:rPr>
        <w:t>58</w:t>
      </w:r>
      <w:r w:rsidRPr="00F631FB">
        <w:rPr>
          <w:rFonts w:ascii="Arial" w:eastAsia="仿宋_GB2312" w:hAnsi="Arial" w:cs="Arial"/>
          <w:sz w:val="28"/>
        </w:rPr>
        <w:t>条商业街的商业用地价格评估时应首先适用商业</w:t>
      </w:r>
      <w:proofErr w:type="gramStart"/>
      <w:r w:rsidRPr="00F631FB">
        <w:rPr>
          <w:rFonts w:ascii="Arial" w:eastAsia="仿宋_GB2312" w:hAnsi="Arial" w:cs="Arial"/>
          <w:sz w:val="28"/>
        </w:rPr>
        <w:t>路线价</w:t>
      </w:r>
      <w:proofErr w:type="gramEnd"/>
      <w:r w:rsidRPr="00F631FB">
        <w:rPr>
          <w:rFonts w:ascii="Arial" w:eastAsia="仿宋_GB2312" w:hAnsi="Arial" w:cs="Arial"/>
          <w:sz w:val="28"/>
        </w:rPr>
        <w:t>修正，再进行用途、期日、年期、楼层（或容积率）、因素等修正。</w:t>
      </w:r>
    </w:p>
    <w:p w14:paraId="297C7AE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政府土地出让收益＝楼面熟地价</w:t>
      </w:r>
      <w:r w:rsidRPr="00F631FB">
        <w:rPr>
          <w:rFonts w:ascii="Arial" w:eastAsia="仿宋_GB2312" w:hAnsi="Arial" w:cs="Arial"/>
          <w:sz w:val="28"/>
        </w:rPr>
        <w:t>×</w:t>
      </w:r>
      <w:r w:rsidRPr="00F631FB">
        <w:rPr>
          <w:rFonts w:ascii="Arial" w:eastAsia="仿宋_GB2312" w:hAnsi="Arial" w:cs="Arial"/>
          <w:sz w:val="28"/>
        </w:rPr>
        <w:t>政府土地出让收益比例</w:t>
      </w:r>
    </w:p>
    <w:p w14:paraId="2782A7F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）地下部分</w:t>
      </w:r>
    </w:p>
    <w:p w14:paraId="5A715D6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楼面熟地价＝适用的基准地价</w:t>
      </w:r>
      <w:r w:rsidRPr="00F631FB">
        <w:rPr>
          <w:rFonts w:ascii="Arial" w:eastAsia="仿宋_GB2312" w:hAnsi="Arial" w:cs="Arial"/>
          <w:sz w:val="28"/>
        </w:rPr>
        <w:t>×</w:t>
      </w:r>
      <w:r w:rsidRPr="00F631FB">
        <w:rPr>
          <w:rFonts w:ascii="Arial" w:eastAsia="仿宋_GB2312" w:hAnsi="Arial" w:cs="Arial"/>
          <w:sz w:val="28"/>
        </w:rPr>
        <w:t>期日修正系数</w:t>
      </w:r>
      <w:r w:rsidRPr="00F631FB">
        <w:rPr>
          <w:rFonts w:ascii="Arial" w:eastAsia="仿宋_GB2312" w:hAnsi="Arial" w:cs="Arial"/>
          <w:sz w:val="28"/>
        </w:rPr>
        <w:t>×</w:t>
      </w:r>
      <w:r w:rsidRPr="00F631FB">
        <w:rPr>
          <w:rFonts w:ascii="Arial" w:eastAsia="仿宋_GB2312" w:hAnsi="Arial" w:cs="Arial"/>
          <w:sz w:val="28"/>
        </w:rPr>
        <w:t>年期修正系数</w:t>
      </w:r>
      <w:r w:rsidRPr="00F631FB">
        <w:rPr>
          <w:rFonts w:ascii="Arial" w:eastAsia="仿宋_GB2312" w:hAnsi="Arial" w:cs="Arial"/>
          <w:sz w:val="28"/>
        </w:rPr>
        <w:t>×</w:t>
      </w:r>
      <w:r w:rsidRPr="00F631FB">
        <w:rPr>
          <w:rFonts w:ascii="Arial" w:eastAsia="仿宋_GB2312" w:hAnsi="Arial" w:cs="Arial"/>
          <w:sz w:val="28"/>
        </w:rPr>
        <w:t>因素修正系数</w:t>
      </w:r>
      <w:r w:rsidRPr="00F631FB">
        <w:rPr>
          <w:rFonts w:ascii="Arial" w:eastAsia="仿宋_GB2312" w:hAnsi="Arial" w:cs="Arial"/>
          <w:sz w:val="28"/>
        </w:rPr>
        <w:t xml:space="preserve">× </w:t>
      </w:r>
      <w:r w:rsidRPr="00F631FB">
        <w:rPr>
          <w:rFonts w:ascii="Arial" w:eastAsia="仿宋_GB2312" w:hAnsi="Arial" w:cs="Arial"/>
          <w:sz w:val="28"/>
        </w:rPr>
        <w:t>相应用途地下空间修正系数</w:t>
      </w:r>
    </w:p>
    <w:p w14:paraId="4A183F1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政府土地出让收益＝楼面熟地价</w:t>
      </w:r>
      <w:r w:rsidRPr="00F631FB">
        <w:rPr>
          <w:rFonts w:ascii="Arial" w:eastAsia="仿宋_GB2312" w:hAnsi="Arial" w:cs="Arial"/>
          <w:sz w:val="28"/>
        </w:rPr>
        <w:t>×</w:t>
      </w:r>
      <w:r w:rsidRPr="00F631FB">
        <w:rPr>
          <w:rFonts w:ascii="Arial" w:eastAsia="仿宋_GB2312" w:hAnsi="Arial" w:cs="Arial"/>
          <w:sz w:val="28"/>
        </w:rPr>
        <w:t>政府土地出让收益比例</w:t>
      </w:r>
    </w:p>
    <w:p w14:paraId="45627A9C" w14:textId="77777777" w:rsidR="00814D19" w:rsidRDefault="00814D19" w:rsidP="002C3AB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br w:type="page"/>
      </w:r>
    </w:p>
    <w:p w14:paraId="1F39EC17" w14:textId="07E70975"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lastRenderedPageBreak/>
        <w:t>3.</w:t>
      </w:r>
      <w:r w:rsidRPr="00F631FB">
        <w:rPr>
          <w:rFonts w:ascii="Arial" w:eastAsia="仿宋_GB2312" w:hAnsi="Arial" w:cs="Arial"/>
          <w:sz w:val="28"/>
        </w:rPr>
        <w:t>测算过程</w:t>
      </w:r>
    </w:p>
    <w:p w14:paraId="61A77F2D" w14:textId="77777777" w:rsidR="00814D19" w:rsidRPr="00F631FB" w:rsidRDefault="00814D19" w:rsidP="00814D19">
      <w:pPr>
        <w:overflowPunct w:val="0"/>
        <w:spacing w:line="360" w:lineRule="auto"/>
        <w:ind w:firstLineChars="200" w:firstLine="562"/>
        <w:jc w:val="both"/>
        <w:textAlignment w:val="auto"/>
        <w:rPr>
          <w:rFonts w:ascii="Arial" w:eastAsia="仿宋_GB2312" w:hAnsi="Arial" w:cs="Arial"/>
          <w:b/>
          <w:sz w:val="28"/>
        </w:rPr>
      </w:pPr>
      <w:r w:rsidRPr="00F631FB">
        <w:rPr>
          <w:rFonts w:ascii="Arial" w:eastAsia="仿宋_GB2312" w:hAnsi="Arial" w:cs="Arial"/>
          <w:b/>
          <w:sz w:val="28"/>
        </w:rPr>
        <w:t>（</w:t>
      </w:r>
      <w:r w:rsidRPr="00F631FB">
        <w:rPr>
          <w:rFonts w:ascii="Arial" w:eastAsia="仿宋_GB2312" w:hAnsi="Arial" w:cs="Arial"/>
          <w:b/>
          <w:sz w:val="28"/>
        </w:rPr>
        <w:t>1</w:t>
      </w:r>
      <w:r w:rsidRPr="00F631FB">
        <w:rPr>
          <w:rFonts w:ascii="Arial" w:eastAsia="仿宋_GB2312" w:hAnsi="Arial" w:cs="Arial"/>
          <w:b/>
          <w:sz w:val="28"/>
        </w:rPr>
        <w:t>）求取估价对象地上</w:t>
      </w:r>
      <w:r w:rsidRPr="00F631FB">
        <w:rPr>
          <w:rFonts w:ascii="Arial" w:eastAsia="仿宋_GB2312" w:hAnsi="Arial" w:cs="Arial" w:hint="eastAsia"/>
          <w:b/>
          <w:sz w:val="28"/>
        </w:rPr>
        <w:t>住宅</w:t>
      </w:r>
      <w:r w:rsidRPr="00F631FB">
        <w:rPr>
          <w:rFonts w:ascii="Arial" w:eastAsia="仿宋_GB2312" w:hAnsi="Arial" w:cs="Arial"/>
          <w:b/>
          <w:sz w:val="28"/>
          <w:szCs w:val="28"/>
        </w:rPr>
        <w:t>楼面</w:t>
      </w:r>
      <w:r w:rsidRPr="00F631FB">
        <w:rPr>
          <w:rFonts w:ascii="Arial" w:eastAsia="仿宋_GB2312" w:hAnsi="Arial" w:cs="Arial"/>
          <w:b/>
          <w:sz w:val="28"/>
        </w:rPr>
        <w:t>熟地价</w:t>
      </w:r>
      <w:r w:rsidRPr="00F631FB">
        <w:rPr>
          <w:rFonts w:ascii="Arial" w:eastAsia="仿宋_GB2312" w:hAnsi="Arial" w:cs="Arial" w:hint="eastAsia"/>
          <w:b/>
          <w:sz w:val="28"/>
        </w:rPr>
        <w:t>（土地剩余使用年限</w:t>
      </w:r>
      <w:r w:rsidRPr="00F631FB">
        <w:rPr>
          <w:rFonts w:ascii="Arial" w:eastAsia="仿宋_GB2312" w:hAnsi="Arial" w:cs="Arial" w:hint="eastAsia"/>
          <w:b/>
          <w:sz w:val="28"/>
        </w:rPr>
        <w:t>70</w:t>
      </w:r>
      <w:r w:rsidRPr="00F631FB">
        <w:rPr>
          <w:rFonts w:ascii="Arial" w:eastAsia="仿宋_GB2312" w:hAnsi="Arial" w:cs="Arial" w:hint="eastAsia"/>
          <w:b/>
          <w:sz w:val="28"/>
        </w:rPr>
        <w:t>年）</w:t>
      </w:r>
    </w:p>
    <w:p w14:paraId="71C6D45C"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）宗地适用基准地价水平的确定</w:t>
      </w:r>
    </w:p>
    <w:p w14:paraId="73CDC6A7"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w:t>
      </w:r>
      <w:r w:rsidRPr="00F631FB">
        <w:rPr>
          <w:rFonts w:ascii="Arial" w:eastAsia="仿宋_GB2312" w:hAnsi="Arial" w:cs="Arial"/>
          <w:sz w:val="28"/>
        </w:rPr>
        <w:t>A</w:t>
      </w:r>
      <w:r w:rsidRPr="00F631FB">
        <w:rPr>
          <w:rFonts w:ascii="Arial" w:eastAsia="仿宋_GB2312" w:hAnsi="Arial" w:cs="Arial"/>
          <w:sz w:val="28"/>
        </w:rPr>
        <w:t>）根据《北京市基准地价更新成果》，估价对象地上</w:t>
      </w:r>
      <w:r w:rsidRPr="00F631FB">
        <w:rPr>
          <w:rFonts w:ascii="Arial" w:eastAsia="仿宋_GB2312" w:hAnsi="Arial" w:cs="Arial" w:hint="eastAsia"/>
          <w:sz w:val="28"/>
        </w:rPr>
        <w:t>住宅</w:t>
      </w:r>
      <w:r w:rsidRPr="00F631FB">
        <w:rPr>
          <w:rFonts w:ascii="Arial" w:eastAsia="仿宋_GB2312" w:hAnsi="Arial" w:cs="Arial"/>
          <w:sz w:val="28"/>
        </w:rPr>
        <w:t>相应用途基准地价参照《北京市区片基准地价表》确定。估价对象位于</w:t>
      </w:r>
      <w:r>
        <w:rPr>
          <w:rFonts w:ascii="Arial" w:eastAsia="仿宋_GB2312" w:hAnsi="Arial" w:cs="Arial"/>
          <w:sz w:val="28"/>
        </w:rPr>
        <w:t>海淀区苏州街</w:t>
      </w:r>
      <w:r w:rsidRPr="00F631FB">
        <w:rPr>
          <w:rFonts w:ascii="Arial" w:eastAsia="仿宋_GB2312" w:hAnsi="Arial" w:cs="Arial"/>
          <w:sz w:val="28"/>
        </w:rPr>
        <w:t>，土地级别为</w:t>
      </w:r>
      <w:r w:rsidRPr="00591E02">
        <w:rPr>
          <w:rFonts w:ascii="Arial" w:eastAsia="仿宋_GB2312" w:hAnsi="Arial" w:cs="Arial" w:hint="eastAsia"/>
          <w:sz w:val="28"/>
        </w:rPr>
        <w:t>居住类二级</w:t>
      </w:r>
      <w:r w:rsidRPr="00F631FB">
        <w:rPr>
          <w:rFonts w:ascii="Arial" w:eastAsia="仿宋_GB2312" w:hAnsi="Arial" w:cs="Arial"/>
          <w:sz w:val="28"/>
        </w:rPr>
        <w:t>地价区，属</w:t>
      </w:r>
      <w:r>
        <w:rPr>
          <w:rFonts w:ascii="Arial" w:eastAsia="仿宋_GB2312" w:hAnsi="Arial" w:cs="Arial" w:hint="eastAsia"/>
          <w:sz w:val="28"/>
        </w:rPr>
        <w:t>居住用途</w:t>
      </w:r>
      <w:r w:rsidRPr="00591E02">
        <w:rPr>
          <w:rFonts w:ascii="Arial" w:eastAsia="仿宋_GB2312" w:hAnsi="Arial" w:cs="Arial" w:hint="eastAsia"/>
          <w:sz w:val="28"/>
        </w:rPr>
        <w:t>II-03</w:t>
      </w:r>
      <w:r w:rsidRPr="00F631FB">
        <w:rPr>
          <w:rFonts w:ascii="Arial" w:eastAsia="仿宋_GB2312" w:hAnsi="Arial" w:cs="Arial"/>
          <w:sz w:val="28"/>
        </w:rPr>
        <w:t>区片。北京市各用途</w:t>
      </w:r>
      <w:r>
        <w:rPr>
          <w:rFonts w:ascii="Arial" w:eastAsia="仿宋_GB2312" w:hAnsi="Arial" w:cs="Arial" w:hint="eastAsia"/>
          <w:sz w:val="28"/>
        </w:rPr>
        <w:t>二</w:t>
      </w:r>
      <w:r w:rsidRPr="00F631FB">
        <w:rPr>
          <w:rFonts w:ascii="Arial" w:eastAsia="仿宋_GB2312" w:hAnsi="Arial" w:cs="Arial"/>
          <w:sz w:val="28"/>
        </w:rPr>
        <w:t>级区片基准地价详见下表：</w:t>
      </w:r>
    </w:p>
    <w:p w14:paraId="384AF0FA" w14:textId="77777777" w:rsidR="00814D19" w:rsidRPr="00F631FB" w:rsidRDefault="00814D19" w:rsidP="00814D19">
      <w:pPr>
        <w:overflowPunct w:val="0"/>
        <w:spacing w:line="480" w:lineRule="auto"/>
        <w:jc w:val="center"/>
        <w:rPr>
          <w:rFonts w:ascii="Arial" w:hAnsi="Arial" w:cs="Arial"/>
          <w:b/>
        </w:rPr>
      </w:pPr>
      <w:r w:rsidRPr="00F631FB">
        <w:rPr>
          <w:rFonts w:ascii="Arial" w:hAnsi="Arial" w:cs="Arial"/>
          <w:b/>
        </w:rPr>
        <w:t>北京市区片基准地价表</w:t>
      </w:r>
    </w:p>
    <w:p w14:paraId="2E0B677C" w14:textId="77777777" w:rsidR="00814D19" w:rsidRPr="00F631FB" w:rsidRDefault="00814D19" w:rsidP="00814D19">
      <w:pPr>
        <w:pStyle w:val="a9"/>
        <w:spacing w:line="360" w:lineRule="auto"/>
        <w:ind w:firstLine="0"/>
        <w:jc w:val="both"/>
        <w:rPr>
          <w:rFonts w:ascii="Arial" w:hAnsi="Arial" w:cs="Arial"/>
          <w:sz w:val="18"/>
          <w:szCs w:val="18"/>
        </w:rPr>
      </w:pPr>
      <w:r w:rsidRPr="00F631FB">
        <w:rPr>
          <w:rFonts w:ascii="Arial" w:hAnsi="Arial" w:cs="Arial"/>
          <w:sz w:val="18"/>
          <w:szCs w:val="18"/>
        </w:rPr>
        <w:t>基准日期：</w:t>
      </w:r>
      <w:r w:rsidRPr="00F631FB">
        <w:rPr>
          <w:rFonts w:ascii="Arial" w:hAnsi="Arial" w:cs="Arial"/>
          <w:sz w:val="18"/>
          <w:szCs w:val="18"/>
        </w:rPr>
        <w:t>2014</w:t>
      </w:r>
      <w:r w:rsidRPr="00F631FB">
        <w:rPr>
          <w:rFonts w:ascii="Arial" w:hAnsi="Arial" w:cs="Arial"/>
          <w:sz w:val="18"/>
          <w:szCs w:val="18"/>
        </w:rPr>
        <w:t>年</w:t>
      </w:r>
      <w:r w:rsidRPr="00F631FB">
        <w:rPr>
          <w:rFonts w:ascii="Arial" w:hAnsi="Arial" w:cs="Arial"/>
          <w:sz w:val="18"/>
          <w:szCs w:val="18"/>
        </w:rPr>
        <w:t>1</w:t>
      </w:r>
      <w:r w:rsidRPr="00F631FB">
        <w:rPr>
          <w:rFonts w:ascii="Arial" w:hAnsi="Arial" w:cs="Arial"/>
          <w:sz w:val="18"/>
          <w:szCs w:val="18"/>
        </w:rPr>
        <w:t>月</w:t>
      </w:r>
      <w:r w:rsidRPr="00F631FB">
        <w:rPr>
          <w:rFonts w:ascii="Arial" w:hAnsi="Arial" w:cs="Arial"/>
          <w:sz w:val="18"/>
          <w:szCs w:val="18"/>
        </w:rPr>
        <w:t>1</w:t>
      </w:r>
      <w:r w:rsidRPr="00F631FB">
        <w:rPr>
          <w:rFonts w:ascii="Arial" w:hAnsi="Arial" w:cs="Arial"/>
          <w:sz w:val="18"/>
          <w:szCs w:val="18"/>
        </w:rPr>
        <w:t>日</w:t>
      </w:r>
      <w:r w:rsidRPr="00F631FB">
        <w:rPr>
          <w:rFonts w:ascii="Arial" w:hAnsi="Arial" w:cs="Arial"/>
          <w:sz w:val="18"/>
          <w:szCs w:val="18"/>
        </w:rPr>
        <w:t xml:space="preserve">                            </w:t>
      </w:r>
      <w:r w:rsidRPr="00F631FB">
        <w:rPr>
          <w:rFonts w:ascii="Arial" w:hAnsi="Arial" w:cs="Arial"/>
          <w:sz w:val="18"/>
          <w:szCs w:val="18"/>
        </w:rPr>
        <w:t>单位：元</w:t>
      </w:r>
      <w:r w:rsidRPr="00F631FB">
        <w:rPr>
          <w:rFonts w:ascii="Arial" w:hAnsi="Arial" w:cs="Arial"/>
          <w:sz w:val="18"/>
          <w:szCs w:val="18"/>
        </w:rPr>
        <w:t>/</w:t>
      </w:r>
      <w:r w:rsidRPr="00F631FB">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814D19" w:rsidRPr="00E74C4E" w14:paraId="7C0CB4D9" w14:textId="77777777" w:rsidTr="00CE438D">
        <w:trPr>
          <w:trHeight w:val="390"/>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8DD086"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855B4E"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0C82C5"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01ABB0"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245CE6"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814D19" w:rsidRPr="00E74C4E" w14:paraId="07BE3591" w14:textId="77777777" w:rsidTr="00CE438D">
        <w:trPr>
          <w:trHeight w:val="390"/>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0E82EC1C" w14:textId="77777777" w:rsidR="00814D19" w:rsidRPr="00E74C4E" w:rsidRDefault="00814D19" w:rsidP="00CE438D">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14:paraId="4FA8AAA3"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14A71F76"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6A6EA916"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3259AC2D"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352F0580"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67F2E075"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6B99C3FD"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0500B8CD"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r>
      <w:tr w:rsidR="00814D19" w:rsidRPr="00E74C4E" w14:paraId="4AF21153" w14:textId="77777777" w:rsidTr="00CE438D">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14:paraId="2719ABC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二级</w:t>
            </w:r>
          </w:p>
        </w:tc>
        <w:tc>
          <w:tcPr>
            <w:tcW w:w="1003" w:type="dxa"/>
            <w:tcBorders>
              <w:top w:val="nil"/>
              <w:left w:val="nil"/>
              <w:bottom w:val="single" w:sz="4" w:space="0" w:color="auto"/>
              <w:right w:val="single" w:sz="4" w:space="0" w:color="auto"/>
            </w:tcBorders>
            <w:shd w:val="clear" w:color="auto" w:fill="auto"/>
            <w:vAlign w:val="center"/>
            <w:hideMark/>
          </w:tcPr>
          <w:p w14:paraId="1EDFE2A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Ⅱ—01</w:t>
            </w:r>
          </w:p>
        </w:tc>
        <w:tc>
          <w:tcPr>
            <w:tcW w:w="1003" w:type="dxa"/>
            <w:tcBorders>
              <w:top w:val="nil"/>
              <w:left w:val="nil"/>
              <w:bottom w:val="single" w:sz="4" w:space="0" w:color="auto"/>
              <w:right w:val="single" w:sz="4" w:space="0" w:color="auto"/>
            </w:tcBorders>
            <w:shd w:val="clear" w:color="auto" w:fill="auto"/>
            <w:vAlign w:val="center"/>
            <w:hideMark/>
          </w:tcPr>
          <w:p w14:paraId="0E07406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27450</w:t>
            </w:r>
          </w:p>
        </w:tc>
        <w:tc>
          <w:tcPr>
            <w:tcW w:w="1003" w:type="dxa"/>
            <w:tcBorders>
              <w:top w:val="nil"/>
              <w:left w:val="nil"/>
              <w:bottom w:val="single" w:sz="4" w:space="0" w:color="auto"/>
              <w:right w:val="single" w:sz="4" w:space="0" w:color="auto"/>
            </w:tcBorders>
            <w:shd w:val="clear" w:color="auto" w:fill="auto"/>
            <w:vAlign w:val="center"/>
            <w:hideMark/>
          </w:tcPr>
          <w:p w14:paraId="473F063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Ⅱ—01</w:t>
            </w:r>
          </w:p>
        </w:tc>
        <w:tc>
          <w:tcPr>
            <w:tcW w:w="1004" w:type="dxa"/>
            <w:tcBorders>
              <w:top w:val="nil"/>
              <w:left w:val="nil"/>
              <w:bottom w:val="single" w:sz="4" w:space="0" w:color="auto"/>
              <w:right w:val="single" w:sz="4" w:space="0" w:color="auto"/>
            </w:tcBorders>
            <w:shd w:val="clear" w:color="auto" w:fill="auto"/>
            <w:vAlign w:val="center"/>
            <w:hideMark/>
          </w:tcPr>
          <w:p w14:paraId="57DF22E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26180</w:t>
            </w:r>
          </w:p>
        </w:tc>
        <w:tc>
          <w:tcPr>
            <w:tcW w:w="1003" w:type="dxa"/>
            <w:tcBorders>
              <w:top w:val="nil"/>
              <w:left w:val="nil"/>
              <w:bottom w:val="single" w:sz="4" w:space="0" w:color="auto"/>
              <w:right w:val="single" w:sz="4" w:space="0" w:color="auto"/>
            </w:tcBorders>
            <w:shd w:val="clear" w:color="auto" w:fill="auto"/>
            <w:vAlign w:val="center"/>
            <w:hideMark/>
          </w:tcPr>
          <w:p w14:paraId="264BFD5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Ⅱ—01</w:t>
            </w:r>
          </w:p>
        </w:tc>
        <w:tc>
          <w:tcPr>
            <w:tcW w:w="1003" w:type="dxa"/>
            <w:tcBorders>
              <w:top w:val="nil"/>
              <w:left w:val="nil"/>
              <w:bottom w:val="single" w:sz="4" w:space="0" w:color="auto"/>
              <w:right w:val="single" w:sz="4" w:space="0" w:color="auto"/>
            </w:tcBorders>
            <w:shd w:val="clear" w:color="auto" w:fill="auto"/>
            <w:vAlign w:val="center"/>
            <w:hideMark/>
          </w:tcPr>
          <w:p w14:paraId="4C420C1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25980</w:t>
            </w:r>
          </w:p>
        </w:tc>
        <w:tc>
          <w:tcPr>
            <w:tcW w:w="1559" w:type="dxa"/>
            <w:tcBorders>
              <w:top w:val="nil"/>
              <w:left w:val="nil"/>
              <w:bottom w:val="single" w:sz="4" w:space="0" w:color="auto"/>
              <w:right w:val="single" w:sz="4" w:space="0" w:color="auto"/>
            </w:tcBorders>
            <w:shd w:val="clear" w:color="auto" w:fill="auto"/>
            <w:vAlign w:val="center"/>
            <w:hideMark/>
          </w:tcPr>
          <w:p w14:paraId="1CD72F1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Ⅱ—01</w:t>
            </w:r>
          </w:p>
        </w:tc>
        <w:tc>
          <w:tcPr>
            <w:tcW w:w="1004" w:type="dxa"/>
            <w:tcBorders>
              <w:top w:val="nil"/>
              <w:left w:val="nil"/>
              <w:bottom w:val="single" w:sz="4" w:space="0" w:color="auto"/>
              <w:right w:val="single" w:sz="4" w:space="0" w:color="auto"/>
            </w:tcBorders>
            <w:shd w:val="clear" w:color="auto" w:fill="auto"/>
            <w:vAlign w:val="center"/>
            <w:hideMark/>
          </w:tcPr>
          <w:p w14:paraId="06356F0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8910</w:t>
            </w:r>
          </w:p>
        </w:tc>
      </w:tr>
      <w:tr w:rsidR="00814D19" w:rsidRPr="00E74C4E" w14:paraId="79755E0A"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438F818E"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36A0DB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Ⅱ—02</w:t>
            </w:r>
          </w:p>
        </w:tc>
        <w:tc>
          <w:tcPr>
            <w:tcW w:w="1003" w:type="dxa"/>
            <w:tcBorders>
              <w:top w:val="nil"/>
              <w:left w:val="nil"/>
              <w:bottom w:val="single" w:sz="4" w:space="0" w:color="auto"/>
              <w:right w:val="single" w:sz="4" w:space="0" w:color="auto"/>
            </w:tcBorders>
            <w:shd w:val="clear" w:color="auto" w:fill="auto"/>
            <w:vAlign w:val="center"/>
            <w:hideMark/>
          </w:tcPr>
          <w:p w14:paraId="469CD2E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22950</w:t>
            </w:r>
          </w:p>
        </w:tc>
        <w:tc>
          <w:tcPr>
            <w:tcW w:w="1003" w:type="dxa"/>
            <w:tcBorders>
              <w:top w:val="nil"/>
              <w:left w:val="nil"/>
              <w:bottom w:val="single" w:sz="4" w:space="0" w:color="auto"/>
              <w:right w:val="single" w:sz="4" w:space="0" w:color="auto"/>
            </w:tcBorders>
            <w:shd w:val="clear" w:color="auto" w:fill="auto"/>
            <w:vAlign w:val="center"/>
            <w:hideMark/>
          </w:tcPr>
          <w:p w14:paraId="09532B4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Ⅱ—02</w:t>
            </w:r>
          </w:p>
        </w:tc>
        <w:tc>
          <w:tcPr>
            <w:tcW w:w="1004" w:type="dxa"/>
            <w:tcBorders>
              <w:top w:val="nil"/>
              <w:left w:val="nil"/>
              <w:bottom w:val="single" w:sz="4" w:space="0" w:color="auto"/>
              <w:right w:val="single" w:sz="4" w:space="0" w:color="auto"/>
            </w:tcBorders>
            <w:shd w:val="clear" w:color="auto" w:fill="auto"/>
            <w:vAlign w:val="center"/>
            <w:hideMark/>
          </w:tcPr>
          <w:p w14:paraId="56B104D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22630</w:t>
            </w:r>
          </w:p>
        </w:tc>
        <w:tc>
          <w:tcPr>
            <w:tcW w:w="1003" w:type="dxa"/>
            <w:tcBorders>
              <w:top w:val="nil"/>
              <w:left w:val="nil"/>
              <w:bottom w:val="single" w:sz="4" w:space="0" w:color="auto"/>
              <w:right w:val="single" w:sz="4" w:space="0" w:color="auto"/>
            </w:tcBorders>
            <w:shd w:val="clear" w:color="auto" w:fill="auto"/>
            <w:vAlign w:val="center"/>
            <w:hideMark/>
          </w:tcPr>
          <w:p w14:paraId="601353B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Ⅱ—02</w:t>
            </w:r>
          </w:p>
        </w:tc>
        <w:tc>
          <w:tcPr>
            <w:tcW w:w="1003" w:type="dxa"/>
            <w:tcBorders>
              <w:top w:val="nil"/>
              <w:left w:val="nil"/>
              <w:bottom w:val="single" w:sz="4" w:space="0" w:color="auto"/>
              <w:right w:val="single" w:sz="4" w:space="0" w:color="auto"/>
            </w:tcBorders>
            <w:shd w:val="clear" w:color="auto" w:fill="auto"/>
            <w:vAlign w:val="center"/>
            <w:hideMark/>
          </w:tcPr>
          <w:p w14:paraId="60807D3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22030</w:t>
            </w:r>
          </w:p>
        </w:tc>
        <w:tc>
          <w:tcPr>
            <w:tcW w:w="1559" w:type="dxa"/>
            <w:tcBorders>
              <w:top w:val="nil"/>
              <w:left w:val="nil"/>
              <w:bottom w:val="single" w:sz="4" w:space="0" w:color="auto"/>
              <w:right w:val="single" w:sz="4" w:space="0" w:color="auto"/>
            </w:tcBorders>
            <w:shd w:val="clear" w:color="auto" w:fill="auto"/>
            <w:vAlign w:val="center"/>
            <w:hideMark/>
          </w:tcPr>
          <w:p w14:paraId="3C513F2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Ⅱ—02</w:t>
            </w:r>
          </w:p>
        </w:tc>
        <w:tc>
          <w:tcPr>
            <w:tcW w:w="1004" w:type="dxa"/>
            <w:tcBorders>
              <w:top w:val="nil"/>
              <w:left w:val="nil"/>
              <w:bottom w:val="single" w:sz="4" w:space="0" w:color="auto"/>
              <w:right w:val="single" w:sz="4" w:space="0" w:color="auto"/>
            </w:tcBorders>
            <w:shd w:val="clear" w:color="auto" w:fill="auto"/>
            <w:vAlign w:val="center"/>
            <w:hideMark/>
          </w:tcPr>
          <w:p w14:paraId="13F0017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8330</w:t>
            </w:r>
          </w:p>
        </w:tc>
      </w:tr>
      <w:tr w:rsidR="00814D19" w:rsidRPr="00E74C4E" w14:paraId="59850124"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26A592BB"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38FAD56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Ⅱ—03</w:t>
            </w:r>
          </w:p>
        </w:tc>
        <w:tc>
          <w:tcPr>
            <w:tcW w:w="1003" w:type="dxa"/>
            <w:tcBorders>
              <w:top w:val="nil"/>
              <w:left w:val="nil"/>
              <w:bottom w:val="single" w:sz="4" w:space="0" w:color="auto"/>
              <w:right w:val="single" w:sz="4" w:space="0" w:color="auto"/>
            </w:tcBorders>
            <w:shd w:val="clear" w:color="auto" w:fill="auto"/>
            <w:vAlign w:val="center"/>
            <w:hideMark/>
          </w:tcPr>
          <w:p w14:paraId="09D945C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24940</w:t>
            </w:r>
          </w:p>
        </w:tc>
        <w:tc>
          <w:tcPr>
            <w:tcW w:w="1003" w:type="dxa"/>
            <w:tcBorders>
              <w:top w:val="nil"/>
              <w:left w:val="nil"/>
              <w:bottom w:val="single" w:sz="4" w:space="0" w:color="auto"/>
              <w:right w:val="single" w:sz="4" w:space="0" w:color="auto"/>
            </w:tcBorders>
            <w:shd w:val="clear" w:color="auto" w:fill="auto"/>
            <w:vAlign w:val="center"/>
            <w:hideMark/>
          </w:tcPr>
          <w:p w14:paraId="6F56C51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Ⅱ—03</w:t>
            </w:r>
          </w:p>
        </w:tc>
        <w:tc>
          <w:tcPr>
            <w:tcW w:w="1004" w:type="dxa"/>
            <w:tcBorders>
              <w:top w:val="nil"/>
              <w:left w:val="nil"/>
              <w:bottom w:val="single" w:sz="4" w:space="0" w:color="auto"/>
              <w:right w:val="single" w:sz="4" w:space="0" w:color="auto"/>
            </w:tcBorders>
            <w:shd w:val="clear" w:color="auto" w:fill="auto"/>
            <w:vAlign w:val="center"/>
            <w:hideMark/>
          </w:tcPr>
          <w:p w14:paraId="6ED3455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23180</w:t>
            </w:r>
          </w:p>
        </w:tc>
        <w:tc>
          <w:tcPr>
            <w:tcW w:w="1003" w:type="dxa"/>
            <w:tcBorders>
              <w:top w:val="nil"/>
              <w:left w:val="nil"/>
              <w:bottom w:val="single" w:sz="4" w:space="0" w:color="auto"/>
              <w:right w:val="single" w:sz="4" w:space="0" w:color="auto"/>
            </w:tcBorders>
            <w:shd w:val="clear" w:color="auto" w:fill="auto"/>
            <w:vAlign w:val="center"/>
            <w:hideMark/>
          </w:tcPr>
          <w:p w14:paraId="3A16FEF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Ⅱ—03</w:t>
            </w:r>
          </w:p>
        </w:tc>
        <w:tc>
          <w:tcPr>
            <w:tcW w:w="1003" w:type="dxa"/>
            <w:tcBorders>
              <w:top w:val="nil"/>
              <w:left w:val="nil"/>
              <w:bottom w:val="single" w:sz="4" w:space="0" w:color="auto"/>
              <w:right w:val="single" w:sz="4" w:space="0" w:color="auto"/>
            </w:tcBorders>
            <w:shd w:val="clear" w:color="auto" w:fill="auto"/>
            <w:vAlign w:val="center"/>
            <w:hideMark/>
          </w:tcPr>
          <w:p w14:paraId="1F40B2D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22910</w:t>
            </w:r>
          </w:p>
        </w:tc>
        <w:tc>
          <w:tcPr>
            <w:tcW w:w="1559" w:type="dxa"/>
            <w:tcBorders>
              <w:top w:val="nil"/>
              <w:left w:val="nil"/>
              <w:bottom w:val="single" w:sz="4" w:space="0" w:color="auto"/>
              <w:right w:val="single" w:sz="4" w:space="0" w:color="auto"/>
            </w:tcBorders>
            <w:shd w:val="clear" w:color="auto" w:fill="auto"/>
            <w:vAlign w:val="center"/>
            <w:hideMark/>
          </w:tcPr>
          <w:p w14:paraId="1019727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Ⅱ—03</w:t>
            </w:r>
          </w:p>
        </w:tc>
        <w:tc>
          <w:tcPr>
            <w:tcW w:w="1004" w:type="dxa"/>
            <w:tcBorders>
              <w:top w:val="nil"/>
              <w:left w:val="nil"/>
              <w:bottom w:val="single" w:sz="4" w:space="0" w:color="auto"/>
              <w:right w:val="single" w:sz="4" w:space="0" w:color="auto"/>
            </w:tcBorders>
            <w:shd w:val="clear" w:color="auto" w:fill="auto"/>
            <w:vAlign w:val="center"/>
            <w:hideMark/>
          </w:tcPr>
          <w:p w14:paraId="3B48237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7180</w:t>
            </w:r>
          </w:p>
        </w:tc>
      </w:tr>
      <w:tr w:rsidR="00814D19" w:rsidRPr="00E74C4E" w14:paraId="7060C250"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5E89A069"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0DBD04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Ⅱ—04</w:t>
            </w:r>
          </w:p>
        </w:tc>
        <w:tc>
          <w:tcPr>
            <w:tcW w:w="1003" w:type="dxa"/>
            <w:tcBorders>
              <w:top w:val="nil"/>
              <w:left w:val="nil"/>
              <w:bottom w:val="single" w:sz="4" w:space="0" w:color="auto"/>
              <w:right w:val="single" w:sz="4" w:space="0" w:color="auto"/>
            </w:tcBorders>
            <w:shd w:val="clear" w:color="auto" w:fill="auto"/>
            <w:vAlign w:val="center"/>
            <w:hideMark/>
          </w:tcPr>
          <w:p w14:paraId="6BD248D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24140</w:t>
            </w:r>
          </w:p>
        </w:tc>
        <w:tc>
          <w:tcPr>
            <w:tcW w:w="1003" w:type="dxa"/>
            <w:tcBorders>
              <w:top w:val="nil"/>
              <w:left w:val="nil"/>
              <w:bottom w:val="single" w:sz="4" w:space="0" w:color="auto"/>
              <w:right w:val="single" w:sz="4" w:space="0" w:color="auto"/>
            </w:tcBorders>
            <w:shd w:val="clear" w:color="auto" w:fill="auto"/>
            <w:vAlign w:val="center"/>
            <w:hideMark/>
          </w:tcPr>
          <w:p w14:paraId="7D40AB5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Ⅱ—04</w:t>
            </w:r>
          </w:p>
        </w:tc>
        <w:tc>
          <w:tcPr>
            <w:tcW w:w="1004" w:type="dxa"/>
            <w:tcBorders>
              <w:top w:val="nil"/>
              <w:left w:val="nil"/>
              <w:bottom w:val="single" w:sz="4" w:space="0" w:color="auto"/>
              <w:right w:val="single" w:sz="4" w:space="0" w:color="auto"/>
            </w:tcBorders>
            <w:shd w:val="clear" w:color="auto" w:fill="auto"/>
            <w:vAlign w:val="center"/>
            <w:hideMark/>
          </w:tcPr>
          <w:p w14:paraId="34FAA0B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22270</w:t>
            </w:r>
          </w:p>
        </w:tc>
        <w:tc>
          <w:tcPr>
            <w:tcW w:w="1003" w:type="dxa"/>
            <w:tcBorders>
              <w:top w:val="nil"/>
              <w:left w:val="nil"/>
              <w:bottom w:val="single" w:sz="4" w:space="0" w:color="auto"/>
              <w:right w:val="single" w:sz="4" w:space="0" w:color="auto"/>
            </w:tcBorders>
            <w:shd w:val="clear" w:color="auto" w:fill="auto"/>
            <w:vAlign w:val="center"/>
            <w:hideMark/>
          </w:tcPr>
          <w:p w14:paraId="0DF3900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Ⅱ—04</w:t>
            </w:r>
          </w:p>
        </w:tc>
        <w:tc>
          <w:tcPr>
            <w:tcW w:w="1003" w:type="dxa"/>
            <w:tcBorders>
              <w:top w:val="nil"/>
              <w:left w:val="nil"/>
              <w:bottom w:val="single" w:sz="4" w:space="0" w:color="auto"/>
              <w:right w:val="single" w:sz="4" w:space="0" w:color="auto"/>
            </w:tcBorders>
            <w:shd w:val="clear" w:color="auto" w:fill="auto"/>
            <w:vAlign w:val="center"/>
            <w:hideMark/>
          </w:tcPr>
          <w:p w14:paraId="53E91B5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21950</w:t>
            </w:r>
          </w:p>
        </w:tc>
        <w:tc>
          <w:tcPr>
            <w:tcW w:w="1559" w:type="dxa"/>
            <w:tcBorders>
              <w:top w:val="nil"/>
              <w:left w:val="nil"/>
              <w:bottom w:val="single" w:sz="4" w:space="0" w:color="auto"/>
              <w:right w:val="single" w:sz="4" w:space="0" w:color="auto"/>
            </w:tcBorders>
            <w:shd w:val="clear" w:color="auto" w:fill="auto"/>
            <w:vAlign w:val="center"/>
            <w:hideMark/>
          </w:tcPr>
          <w:p w14:paraId="30CA6DF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Ⅱ—04</w:t>
            </w:r>
          </w:p>
        </w:tc>
        <w:tc>
          <w:tcPr>
            <w:tcW w:w="1004" w:type="dxa"/>
            <w:tcBorders>
              <w:top w:val="nil"/>
              <w:left w:val="nil"/>
              <w:bottom w:val="single" w:sz="4" w:space="0" w:color="auto"/>
              <w:right w:val="single" w:sz="4" w:space="0" w:color="auto"/>
            </w:tcBorders>
            <w:shd w:val="clear" w:color="auto" w:fill="auto"/>
            <w:vAlign w:val="center"/>
            <w:hideMark/>
          </w:tcPr>
          <w:p w14:paraId="60E9474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7600</w:t>
            </w:r>
          </w:p>
        </w:tc>
      </w:tr>
      <w:tr w:rsidR="00814D19" w:rsidRPr="00E74C4E" w14:paraId="2905990E"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4B0B6E7F"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09AECA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Ⅱ—05</w:t>
            </w:r>
          </w:p>
        </w:tc>
        <w:tc>
          <w:tcPr>
            <w:tcW w:w="1003" w:type="dxa"/>
            <w:tcBorders>
              <w:top w:val="nil"/>
              <w:left w:val="nil"/>
              <w:bottom w:val="single" w:sz="4" w:space="0" w:color="auto"/>
              <w:right w:val="single" w:sz="4" w:space="0" w:color="auto"/>
            </w:tcBorders>
            <w:shd w:val="clear" w:color="auto" w:fill="auto"/>
            <w:vAlign w:val="center"/>
            <w:hideMark/>
          </w:tcPr>
          <w:p w14:paraId="2275BFC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25600</w:t>
            </w:r>
          </w:p>
        </w:tc>
        <w:tc>
          <w:tcPr>
            <w:tcW w:w="1003" w:type="dxa"/>
            <w:tcBorders>
              <w:top w:val="nil"/>
              <w:left w:val="nil"/>
              <w:bottom w:val="single" w:sz="4" w:space="0" w:color="auto"/>
              <w:right w:val="single" w:sz="4" w:space="0" w:color="auto"/>
            </w:tcBorders>
            <w:shd w:val="clear" w:color="auto" w:fill="auto"/>
            <w:vAlign w:val="center"/>
            <w:hideMark/>
          </w:tcPr>
          <w:p w14:paraId="1A4BDBF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Ⅱ—05</w:t>
            </w:r>
          </w:p>
        </w:tc>
        <w:tc>
          <w:tcPr>
            <w:tcW w:w="1004" w:type="dxa"/>
            <w:tcBorders>
              <w:top w:val="nil"/>
              <w:left w:val="nil"/>
              <w:bottom w:val="single" w:sz="4" w:space="0" w:color="auto"/>
              <w:right w:val="single" w:sz="4" w:space="0" w:color="auto"/>
            </w:tcBorders>
            <w:shd w:val="clear" w:color="auto" w:fill="auto"/>
            <w:vAlign w:val="center"/>
            <w:hideMark/>
          </w:tcPr>
          <w:p w14:paraId="6B433B7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22260</w:t>
            </w:r>
          </w:p>
        </w:tc>
        <w:tc>
          <w:tcPr>
            <w:tcW w:w="1003" w:type="dxa"/>
            <w:tcBorders>
              <w:top w:val="nil"/>
              <w:left w:val="nil"/>
              <w:bottom w:val="single" w:sz="4" w:space="0" w:color="auto"/>
              <w:right w:val="single" w:sz="4" w:space="0" w:color="auto"/>
            </w:tcBorders>
            <w:shd w:val="clear" w:color="auto" w:fill="auto"/>
            <w:vAlign w:val="center"/>
            <w:hideMark/>
          </w:tcPr>
          <w:p w14:paraId="0D4C69A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Ⅱ—05</w:t>
            </w:r>
          </w:p>
        </w:tc>
        <w:tc>
          <w:tcPr>
            <w:tcW w:w="1003" w:type="dxa"/>
            <w:tcBorders>
              <w:top w:val="nil"/>
              <w:left w:val="nil"/>
              <w:bottom w:val="single" w:sz="4" w:space="0" w:color="auto"/>
              <w:right w:val="single" w:sz="4" w:space="0" w:color="auto"/>
            </w:tcBorders>
            <w:shd w:val="clear" w:color="auto" w:fill="auto"/>
            <w:vAlign w:val="center"/>
            <w:hideMark/>
          </w:tcPr>
          <w:p w14:paraId="477DA1B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22110</w:t>
            </w:r>
          </w:p>
        </w:tc>
        <w:tc>
          <w:tcPr>
            <w:tcW w:w="1559" w:type="dxa"/>
            <w:tcBorders>
              <w:top w:val="nil"/>
              <w:left w:val="nil"/>
              <w:bottom w:val="single" w:sz="4" w:space="0" w:color="auto"/>
              <w:right w:val="single" w:sz="4" w:space="0" w:color="auto"/>
            </w:tcBorders>
            <w:shd w:val="clear" w:color="auto" w:fill="auto"/>
            <w:vAlign w:val="center"/>
            <w:hideMark/>
          </w:tcPr>
          <w:p w14:paraId="39B14A2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Ⅱ—05</w:t>
            </w:r>
          </w:p>
        </w:tc>
        <w:tc>
          <w:tcPr>
            <w:tcW w:w="1004" w:type="dxa"/>
            <w:tcBorders>
              <w:top w:val="nil"/>
              <w:left w:val="nil"/>
              <w:bottom w:val="single" w:sz="4" w:space="0" w:color="auto"/>
              <w:right w:val="single" w:sz="4" w:space="0" w:color="auto"/>
            </w:tcBorders>
            <w:shd w:val="clear" w:color="auto" w:fill="auto"/>
            <w:vAlign w:val="center"/>
            <w:hideMark/>
          </w:tcPr>
          <w:p w14:paraId="6176E39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7630</w:t>
            </w:r>
          </w:p>
        </w:tc>
      </w:tr>
      <w:tr w:rsidR="00814D19" w:rsidRPr="00E74C4E" w14:paraId="6DE71494"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56CD8454"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55A66F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Ⅱ—06</w:t>
            </w:r>
          </w:p>
        </w:tc>
        <w:tc>
          <w:tcPr>
            <w:tcW w:w="1003" w:type="dxa"/>
            <w:tcBorders>
              <w:top w:val="nil"/>
              <w:left w:val="nil"/>
              <w:bottom w:val="single" w:sz="4" w:space="0" w:color="auto"/>
              <w:right w:val="single" w:sz="4" w:space="0" w:color="auto"/>
            </w:tcBorders>
            <w:shd w:val="clear" w:color="auto" w:fill="auto"/>
            <w:vAlign w:val="center"/>
            <w:hideMark/>
          </w:tcPr>
          <w:p w14:paraId="182D643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24760</w:t>
            </w:r>
          </w:p>
        </w:tc>
        <w:tc>
          <w:tcPr>
            <w:tcW w:w="1003" w:type="dxa"/>
            <w:tcBorders>
              <w:top w:val="nil"/>
              <w:left w:val="nil"/>
              <w:bottom w:val="single" w:sz="4" w:space="0" w:color="auto"/>
              <w:right w:val="single" w:sz="4" w:space="0" w:color="auto"/>
            </w:tcBorders>
            <w:shd w:val="clear" w:color="auto" w:fill="auto"/>
            <w:vAlign w:val="center"/>
            <w:hideMark/>
          </w:tcPr>
          <w:p w14:paraId="206A018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Ⅱ—06</w:t>
            </w:r>
          </w:p>
        </w:tc>
        <w:tc>
          <w:tcPr>
            <w:tcW w:w="1004" w:type="dxa"/>
            <w:tcBorders>
              <w:top w:val="nil"/>
              <w:left w:val="nil"/>
              <w:bottom w:val="single" w:sz="4" w:space="0" w:color="auto"/>
              <w:right w:val="single" w:sz="4" w:space="0" w:color="auto"/>
            </w:tcBorders>
            <w:shd w:val="clear" w:color="auto" w:fill="auto"/>
            <w:vAlign w:val="center"/>
            <w:hideMark/>
          </w:tcPr>
          <w:p w14:paraId="1DC8407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24440</w:t>
            </w:r>
          </w:p>
        </w:tc>
        <w:tc>
          <w:tcPr>
            <w:tcW w:w="1003" w:type="dxa"/>
            <w:tcBorders>
              <w:top w:val="nil"/>
              <w:left w:val="nil"/>
              <w:bottom w:val="single" w:sz="4" w:space="0" w:color="auto"/>
              <w:right w:val="single" w:sz="4" w:space="0" w:color="auto"/>
            </w:tcBorders>
            <w:shd w:val="clear" w:color="auto" w:fill="auto"/>
            <w:vAlign w:val="center"/>
            <w:hideMark/>
          </w:tcPr>
          <w:p w14:paraId="265E4BE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Ⅱ—06</w:t>
            </w:r>
          </w:p>
        </w:tc>
        <w:tc>
          <w:tcPr>
            <w:tcW w:w="1003" w:type="dxa"/>
            <w:tcBorders>
              <w:top w:val="nil"/>
              <w:left w:val="nil"/>
              <w:bottom w:val="single" w:sz="4" w:space="0" w:color="auto"/>
              <w:right w:val="single" w:sz="4" w:space="0" w:color="auto"/>
            </w:tcBorders>
            <w:shd w:val="clear" w:color="auto" w:fill="auto"/>
            <w:vAlign w:val="center"/>
            <w:hideMark/>
          </w:tcPr>
          <w:p w14:paraId="0A92D6F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24130</w:t>
            </w:r>
          </w:p>
        </w:tc>
        <w:tc>
          <w:tcPr>
            <w:tcW w:w="1559" w:type="dxa"/>
            <w:tcBorders>
              <w:top w:val="nil"/>
              <w:left w:val="nil"/>
              <w:bottom w:val="single" w:sz="4" w:space="0" w:color="auto"/>
              <w:right w:val="single" w:sz="4" w:space="0" w:color="auto"/>
            </w:tcBorders>
            <w:shd w:val="clear" w:color="auto" w:fill="auto"/>
            <w:vAlign w:val="center"/>
            <w:hideMark/>
          </w:tcPr>
          <w:p w14:paraId="3E4E0A8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Ⅱ—06</w:t>
            </w:r>
          </w:p>
        </w:tc>
        <w:tc>
          <w:tcPr>
            <w:tcW w:w="1004" w:type="dxa"/>
            <w:tcBorders>
              <w:top w:val="nil"/>
              <w:left w:val="nil"/>
              <w:bottom w:val="single" w:sz="4" w:space="0" w:color="auto"/>
              <w:right w:val="single" w:sz="4" w:space="0" w:color="auto"/>
            </w:tcBorders>
            <w:shd w:val="clear" w:color="auto" w:fill="auto"/>
            <w:vAlign w:val="center"/>
            <w:hideMark/>
          </w:tcPr>
          <w:p w14:paraId="52F7222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9480</w:t>
            </w:r>
          </w:p>
        </w:tc>
      </w:tr>
      <w:tr w:rsidR="00814D19" w:rsidRPr="00E74C4E" w14:paraId="336F5AE1"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550D51BF"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B06007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Ⅱ—07</w:t>
            </w:r>
          </w:p>
        </w:tc>
        <w:tc>
          <w:tcPr>
            <w:tcW w:w="1003" w:type="dxa"/>
            <w:tcBorders>
              <w:top w:val="nil"/>
              <w:left w:val="nil"/>
              <w:bottom w:val="single" w:sz="4" w:space="0" w:color="auto"/>
              <w:right w:val="single" w:sz="4" w:space="0" w:color="auto"/>
            </w:tcBorders>
            <w:shd w:val="clear" w:color="auto" w:fill="auto"/>
            <w:vAlign w:val="center"/>
            <w:hideMark/>
          </w:tcPr>
          <w:p w14:paraId="304C237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22220</w:t>
            </w:r>
          </w:p>
        </w:tc>
        <w:tc>
          <w:tcPr>
            <w:tcW w:w="1003" w:type="dxa"/>
            <w:tcBorders>
              <w:top w:val="nil"/>
              <w:left w:val="nil"/>
              <w:bottom w:val="single" w:sz="4" w:space="0" w:color="auto"/>
              <w:right w:val="single" w:sz="4" w:space="0" w:color="auto"/>
            </w:tcBorders>
            <w:shd w:val="clear" w:color="auto" w:fill="auto"/>
            <w:vAlign w:val="center"/>
            <w:hideMark/>
          </w:tcPr>
          <w:p w14:paraId="73F9E82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Ⅱ—07</w:t>
            </w:r>
          </w:p>
        </w:tc>
        <w:tc>
          <w:tcPr>
            <w:tcW w:w="1004" w:type="dxa"/>
            <w:tcBorders>
              <w:top w:val="nil"/>
              <w:left w:val="nil"/>
              <w:bottom w:val="single" w:sz="4" w:space="0" w:color="auto"/>
              <w:right w:val="single" w:sz="4" w:space="0" w:color="auto"/>
            </w:tcBorders>
            <w:shd w:val="clear" w:color="auto" w:fill="auto"/>
            <w:vAlign w:val="center"/>
            <w:hideMark/>
          </w:tcPr>
          <w:p w14:paraId="554BB1B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22310</w:t>
            </w:r>
          </w:p>
        </w:tc>
        <w:tc>
          <w:tcPr>
            <w:tcW w:w="1003" w:type="dxa"/>
            <w:tcBorders>
              <w:top w:val="nil"/>
              <w:left w:val="nil"/>
              <w:bottom w:val="single" w:sz="4" w:space="0" w:color="auto"/>
              <w:right w:val="single" w:sz="4" w:space="0" w:color="auto"/>
            </w:tcBorders>
            <w:shd w:val="clear" w:color="auto" w:fill="auto"/>
            <w:vAlign w:val="center"/>
            <w:hideMark/>
          </w:tcPr>
          <w:p w14:paraId="53ED0D5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Ⅱ—07</w:t>
            </w:r>
          </w:p>
        </w:tc>
        <w:tc>
          <w:tcPr>
            <w:tcW w:w="1003" w:type="dxa"/>
            <w:tcBorders>
              <w:top w:val="nil"/>
              <w:left w:val="nil"/>
              <w:bottom w:val="single" w:sz="4" w:space="0" w:color="auto"/>
              <w:right w:val="single" w:sz="4" w:space="0" w:color="auto"/>
            </w:tcBorders>
            <w:shd w:val="clear" w:color="auto" w:fill="auto"/>
            <w:vAlign w:val="center"/>
            <w:hideMark/>
          </w:tcPr>
          <w:p w14:paraId="4825E9B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22000</w:t>
            </w:r>
          </w:p>
        </w:tc>
        <w:tc>
          <w:tcPr>
            <w:tcW w:w="1559" w:type="dxa"/>
            <w:tcBorders>
              <w:top w:val="nil"/>
              <w:left w:val="nil"/>
              <w:bottom w:val="single" w:sz="4" w:space="0" w:color="auto"/>
              <w:right w:val="single" w:sz="4" w:space="0" w:color="auto"/>
            </w:tcBorders>
            <w:shd w:val="clear" w:color="auto" w:fill="auto"/>
            <w:vAlign w:val="center"/>
            <w:hideMark/>
          </w:tcPr>
          <w:p w14:paraId="71832DC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Ⅱ—07</w:t>
            </w:r>
          </w:p>
        </w:tc>
        <w:tc>
          <w:tcPr>
            <w:tcW w:w="1004" w:type="dxa"/>
            <w:tcBorders>
              <w:top w:val="nil"/>
              <w:left w:val="nil"/>
              <w:bottom w:val="single" w:sz="4" w:space="0" w:color="auto"/>
              <w:right w:val="single" w:sz="4" w:space="0" w:color="auto"/>
            </w:tcBorders>
            <w:shd w:val="clear" w:color="auto" w:fill="auto"/>
            <w:vAlign w:val="center"/>
            <w:hideMark/>
          </w:tcPr>
          <w:p w14:paraId="507F01A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8900</w:t>
            </w:r>
          </w:p>
        </w:tc>
      </w:tr>
      <w:tr w:rsidR="00814D19" w:rsidRPr="00E74C4E" w14:paraId="06763591"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51FE4334"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264F71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Ⅱ—08</w:t>
            </w:r>
          </w:p>
        </w:tc>
        <w:tc>
          <w:tcPr>
            <w:tcW w:w="1003" w:type="dxa"/>
            <w:tcBorders>
              <w:top w:val="nil"/>
              <w:left w:val="nil"/>
              <w:bottom w:val="single" w:sz="4" w:space="0" w:color="auto"/>
              <w:right w:val="single" w:sz="4" w:space="0" w:color="auto"/>
            </w:tcBorders>
            <w:shd w:val="clear" w:color="auto" w:fill="auto"/>
            <w:vAlign w:val="center"/>
            <w:hideMark/>
          </w:tcPr>
          <w:p w14:paraId="1667CEA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24700</w:t>
            </w:r>
          </w:p>
        </w:tc>
        <w:tc>
          <w:tcPr>
            <w:tcW w:w="1003" w:type="dxa"/>
            <w:tcBorders>
              <w:top w:val="nil"/>
              <w:left w:val="nil"/>
              <w:bottom w:val="single" w:sz="4" w:space="0" w:color="auto"/>
              <w:right w:val="single" w:sz="4" w:space="0" w:color="auto"/>
            </w:tcBorders>
            <w:shd w:val="clear" w:color="auto" w:fill="auto"/>
            <w:vAlign w:val="center"/>
            <w:hideMark/>
          </w:tcPr>
          <w:p w14:paraId="276E9C7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Ⅱ—08</w:t>
            </w:r>
          </w:p>
        </w:tc>
        <w:tc>
          <w:tcPr>
            <w:tcW w:w="1004" w:type="dxa"/>
            <w:tcBorders>
              <w:top w:val="nil"/>
              <w:left w:val="nil"/>
              <w:bottom w:val="single" w:sz="4" w:space="0" w:color="auto"/>
              <w:right w:val="single" w:sz="4" w:space="0" w:color="auto"/>
            </w:tcBorders>
            <w:shd w:val="clear" w:color="auto" w:fill="auto"/>
            <w:vAlign w:val="center"/>
            <w:hideMark/>
          </w:tcPr>
          <w:p w14:paraId="5975D1A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25150</w:t>
            </w:r>
          </w:p>
        </w:tc>
        <w:tc>
          <w:tcPr>
            <w:tcW w:w="1003" w:type="dxa"/>
            <w:tcBorders>
              <w:top w:val="nil"/>
              <w:left w:val="nil"/>
              <w:bottom w:val="single" w:sz="4" w:space="0" w:color="auto"/>
              <w:right w:val="single" w:sz="4" w:space="0" w:color="auto"/>
            </w:tcBorders>
            <w:shd w:val="clear" w:color="auto" w:fill="auto"/>
            <w:vAlign w:val="center"/>
            <w:hideMark/>
          </w:tcPr>
          <w:p w14:paraId="17F9E67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Ⅱ—08</w:t>
            </w:r>
          </w:p>
        </w:tc>
        <w:tc>
          <w:tcPr>
            <w:tcW w:w="1003" w:type="dxa"/>
            <w:tcBorders>
              <w:top w:val="nil"/>
              <w:left w:val="nil"/>
              <w:bottom w:val="single" w:sz="4" w:space="0" w:color="auto"/>
              <w:right w:val="single" w:sz="4" w:space="0" w:color="auto"/>
            </w:tcBorders>
            <w:shd w:val="clear" w:color="auto" w:fill="auto"/>
            <w:vAlign w:val="center"/>
            <w:hideMark/>
          </w:tcPr>
          <w:p w14:paraId="690C20E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24700</w:t>
            </w:r>
          </w:p>
        </w:tc>
        <w:tc>
          <w:tcPr>
            <w:tcW w:w="1559" w:type="dxa"/>
            <w:tcBorders>
              <w:top w:val="nil"/>
              <w:left w:val="nil"/>
              <w:bottom w:val="single" w:sz="4" w:space="0" w:color="auto"/>
              <w:right w:val="single" w:sz="4" w:space="0" w:color="auto"/>
            </w:tcBorders>
            <w:shd w:val="clear" w:color="auto" w:fill="auto"/>
            <w:vAlign w:val="center"/>
            <w:hideMark/>
          </w:tcPr>
          <w:p w14:paraId="115803E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789BA783"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1EDC6E27"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7FF1C195"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89C5D0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Ⅱ—09</w:t>
            </w:r>
          </w:p>
        </w:tc>
        <w:tc>
          <w:tcPr>
            <w:tcW w:w="1003" w:type="dxa"/>
            <w:tcBorders>
              <w:top w:val="nil"/>
              <w:left w:val="nil"/>
              <w:bottom w:val="single" w:sz="4" w:space="0" w:color="auto"/>
              <w:right w:val="single" w:sz="4" w:space="0" w:color="auto"/>
            </w:tcBorders>
            <w:shd w:val="clear" w:color="auto" w:fill="auto"/>
            <w:vAlign w:val="center"/>
            <w:hideMark/>
          </w:tcPr>
          <w:p w14:paraId="21A99E9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22350</w:t>
            </w:r>
          </w:p>
        </w:tc>
        <w:tc>
          <w:tcPr>
            <w:tcW w:w="1003" w:type="dxa"/>
            <w:tcBorders>
              <w:top w:val="nil"/>
              <w:left w:val="nil"/>
              <w:bottom w:val="single" w:sz="4" w:space="0" w:color="auto"/>
              <w:right w:val="single" w:sz="4" w:space="0" w:color="auto"/>
            </w:tcBorders>
            <w:shd w:val="clear" w:color="auto" w:fill="auto"/>
            <w:vAlign w:val="center"/>
            <w:hideMark/>
          </w:tcPr>
          <w:p w14:paraId="0336315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Ⅱ—09</w:t>
            </w:r>
          </w:p>
        </w:tc>
        <w:tc>
          <w:tcPr>
            <w:tcW w:w="1004" w:type="dxa"/>
            <w:tcBorders>
              <w:top w:val="nil"/>
              <w:left w:val="nil"/>
              <w:bottom w:val="single" w:sz="4" w:space="0" w:color="auto"/>
              <w:right w:val="single" w:sz="4" w:space="0" w:color="auto"/>
            </w:tcBorders>
            <w:shd w:val="clear" w:color="auto" w:fill="auto"/>
            <w:vAlign w:val="center"/>
            <w:hideMark/>
          </w:tcPr>
          <w:p w14:paraId="510ED32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24340</w:t>
            </w:r>
          </w:p>
        </w:tc>
        <w:tc>
          <w:tcPr>
            <w:tcW w:w="1003" w:type="dxa"/>
            <w:tcBorders>
              <w:top w:val="nil"/>
              <w:left w:val="nil"/>
              <w:bottom w:val="single" w:sz="4" w:space="0" w:color="auto"/>
              <w:right w:val="single" w:sz="4" w:space="0" w:color="auto"/>
            </w:tcBorders>
            <w:shd w:val="clear" w:color="auto" w:fill="auto"/>
            <w:vAlign w:val="center"/>
            <w:hideMark/>
          </w:tcPr>
          <w:p w14:paraId="40C874F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Ⅱ—09</w:t>
            </w:r>
          </w:p>
        </w:tc>
        <w:tc>
          <w:tcPr>
            <w:tcW w:w="1003" w:type="dxa"/>
            <w:tcBorders>
              <w:top w:val="nil"/>
              <w:left w:val="nil"/>
              <w:bottom w:val="single" w:sz="4" w:space="0" w:color="auto"/>
              <w:right w:val="single" w:sz="4" w:space="0" w:color="auto"/>
            </w:tcBorders>
            <w:shd w:val="clear" w:color="auto" w:fill="auto"/>
            <w:vAlign w:val="center"/>
            <w:hideMark/>
          </w:tcPr>
          <w:p w14:paraId="653CE04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24100</w:t>
            </w:r>
          </w:p>
        </w:tc>
        <w:tc>
          <w:tcPr>
            <w:tcW w:w="1559" w:type="dxa"/>
            <w:tcBorders>
              <w:top w:val="nil"/>
              <w:left w:val="nil"/>
              <w:bottom w:val="single" w:sz="4" w:space="0" w:color="auto"/>
              <w:right w:val="single" w:sz="4" w:space="0" w:color="auto"/>
            </w:tcBorders>
            <w:shd w:val="clear" w:color="auto" w:fill="auto"/>
            <w:vAlign w:val="center"/>
            <w:hideMark/>
          </w:tcPr>
          <w:p w14:paraId="6B740F5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5E7DE58E"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2B2D34D1"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097A816C"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3BC3C90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Ⅱ—10</w:t>
            </w:r>
          </w:p>
        </w:tc>
        <w:tc>
          <w:tcPr>
            <w:tcW w:w="1003" w:type="dxa"/>
            <w:tcBorders>
              <w:top w:val="nil"/>
              <w:left w:val="nil"/>
              <w:bottom w:val="single" w:sz="4" w:space="0" w:color="auto"/>
              <w:right w:val="single" w:sz="4" w:space="0" w:color="auto"/>
            </w:tcBorders>
            <w:shd w:val="clear" w:color="auto" w:fill="auto"/>
            <w:vAlign w:val="center"/>
            <w:hideMark/>
          </w:tcPr>
          <w:p w14:paraId="6102EAC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23430</w:t>
            </w:r>
          </w:p>
        </w:tc>
        <w:tc>
          <w:tcPr>
            <w:tcW w:w="1003" w:type="dxa"/>
            <w:tcBorders>
              <w:top w:val="nil"/>
              <w:left w:val="nil"/>
              <w:bottom w:val="single" w:sz="4" w:space="0" w:color="auto"/>
              <w:right w:val="single" w:sz="4" w:space="0" w:color="auto"/>
            </w:tcBorders>
            <w:shd w:val="clear" w:color="auto" w:fill="auto"/>
            <w:vAlign w:val="center"/>
            <w:hideMark/>
          </w:tcPr>
          <w:p w14:paraId="47F4BB3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Ⅱ—10</w:t>
            </w:r>
          </w:p>
        </w:tc>
        <w:tc>
          <w:tcPr>
            <w:tcW w:w="1004" w:type="dxa"/>
            <w:tcBorders>
              <w:top w:val="nil"/>
              <w:left w:val="nil"/>
              <w:bottom w:val="single" w:sz="4" w:space="0" w:color="auto"/>
              <w:right w:val="single" w:sz="4" w:space="0" w:color="auto"/>
            </w:tcBorders>
            <w:shd w:val="clear" w:color="auto" w:fill="auto"/>
            <w:vAlign w:val="center"/>
            <w:hideMark/>
          </w:tcPr>
          <w:p w14:paraId="12BF034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21580</w:t>
            </w:r>
          </w:p>
        </w:tc>
        <w:tc>
          <w:tcPr>
            <w:tcW w:w="1003" w:type="dxa"/>
            <w:tcBorders>
              <w:top w:val="nil"/>
              <w:left w:val="nil"/>
              <w:bottom w:val="single" w:sz="4" w:space="0" w:color="auto"/>
              <w:right w:val="single" w:sz="4" w:space="0" w:color="auto"/>
            </w:tcBorders>
            <w:shd w:val="clear" w:color="auto" w:fill="auto"/>
            <w:vAlign w:val="center"/>
            <w:hideMark/>
          </w:tcPr>
          <w:p w14:paraId="44EE5E0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Ⅱ—10</w:t>
            </w:r>
          </w:p>
        </w:tc>
        <w:tc>
          <w:tcPr>
            <w:tcW w:w="1003" w:type="dxa"/>
            <w:tcBorders>
              <w:top w:val="nil"/>
              <w:left w:val="nil"/>
              <w:bottom w:val="single" w:sz="4" w:space="0" w:color="auto"/>
              <w:right w:val="single" w:sz="4" w:space="0" w:color="auto"/>
            </w:tcBorders>
            <w:shd w:val="clear" w:color="auto" w:fill="auto"/>
            <w:vAlign w:val="center"/>
            <w:hideMark/>
          </w:tcPr>
          <w:p w14:paraId="079A80E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21350</w:t>
            </w:r>
          </w:p>
        </w:tc>
        <w:tc>
          <w:tcPr>
            <w:tcW w:w="1559" w:type="dxa"/>
            <w:tcBorders>
              <w:top w:val="nil"/>
              <w:left w:val="nil"/>
              <w:bottom w:val="single" w:sz="4" w:space="0" w:color="auto"/>
              <w:right w:val="single" w:sz="4" w:space="0" w:color="auto"/>
            </w:tcBorders>
            <w:shd w:val="clear" w:color="auto" w:fill="auto"/>
            <w:vAlign w:val="center"/>
            <w:hideMark/>
          </w:tcPr>
          <w:p w14:paraId="4D4FB42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05BFD3CE"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09F25EB4"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00500B80"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9D5CB4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Ⅱ—11</w:t>
            </w:r>
          </w:p>
        </w:tc>
        <w:tc>
          <w:tcPr>
            <w:tcW w:w="1003" w:type="dxa"/>
            <w:tcBorders>
              <w:top w:val="nil"/>
              <w:left w:val="nil"/>
              <w:bottom w:val="single" w:sz="4" w:space="0" w:color="auto"/>
              <w:right w:val="single" w:sz="4" w:space="0" w:color="auto"/>
            </w:tcBorders>
            <w:shd w:val="clear" w:color="auto" w:fill="auto"/>
            <w:vAlign w:val="center"/>
            <w:hideMark/>
          </w:tcPr>
          <w:p w14:paraId="39E30E0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27660</w:t>
            </w:r>
          </w:p>
        </w:tc>
        <w:tc>
          <w:tcPr>
            <w:tcW w:w="1003" w:type="dxa"/>
            <w:tcBorders>
              <w:top w:val="nil"/>
              <w:left w:val="nil"/>
              <w:bottom w:val="single" w:sz="4" w:space="0" w:color="auto"/>
              <w:right w:val="single" w:sz="4" w:space="0" w:color="auto"/>
            </w:tcBorders>
            <w:shd w:val="clear" w:color="auto" w:fill="auto"/>
            <w:vAlign w:val="center"/>
            <w:hideMark/>
          </w:tcPr>
          <w:p w14:paraId="569CDD3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Ⅱ—11</w:t>
            </w:r>
          </w:p>
        </w:tc>
        <w:tc>
          <w:tcPr>
            <w:tcW w:w="1004" w:type="dxa"/>
            <w:tcBorders>
              <w:top w:val="nil"/>
              <w:left w:val="nil"/>
              <w:bottom w:val="single" w:sz="4" w:space="0" w:color="auto"/>
              <w:right w:val="single" w:sz="4" w:space="0" w:color="auto"/>
            </w:tcBorders>
            <w:shd w:val="clear" w:color="auto" w:fill="auto"/>
            <w:vAlign w:val="center"/>
            <w:hideMark/>
          </w:tcPr>
          <w:p w14:paraId="5AE044E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24240</w:t>
            </w:r>
          </w:p>
        </w:tc>
        <w:tc>
          <w:tcPr>
            <w:tcW w:w="1003" w:type="dxa"/>
            <w:tcBorders>
              <w:top w:val="nil"/>
              <w:left w:val="nil"/>
              <w:bottom w:val="single" w:sz="4" w:space="0" w:color="auto"/>
              <w:right w:val="single" w:sz="4" w:space="0" w:color="auto"/>
            </w:tcBorders>
            <w:shd w:val="clear" w:color="auto" w:fill="auto"/>
            <w:vAlign w:val="center"/>
            <w:hideMark/>
          </w:tcPr>
          <w:p w14:paraId="68C0204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Ⅱ—11</w:t>
            </w:r>
          </w:p>
        </w:tc>
        <w:tc>
          <w:tcPr>
            <w:tcW w:w="1003" w:type="dxa"/>
            <w:tcBorders>
              <w:top w:val="nil"/>
              <w:left w:val="nil"/>
              <w:bottom w:val="single" w:sz="4" w:space="0" w:color="auto"/>
              <w:right w:val="single" w:sz="4" w:space="0" w:color="auto"/>
            </w:tcBorders>
            <w:shd w:val="clear" w:color="auto" w:fill="auto"/>
            <w:vAlign w:val="center"/>
            <w:hideMark/>
          </w:tcPr>
          <w:p w14:paraId="2DA3B6F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24020</w:t>
            </w:r>
          </w:p>
        </w:tc>
        <w:tc>
          <w:tcPr>
            <w:tcW w:w="1559" w:type="dxa"/>
            <w:tcBorders>
              <w:top w:val="nil"/>
              <w:left w:val="nil"/>
              <w:bottom w:val="single" w:sz="4" w:space="0" w:color="auto"/>
              <w:right w:val="single" w:sz="4" w:space="0" w:color="auto"/>
            </w:tcBorders>
            <w:shd w:val="clear" w:color="auto" w:fill="auto"/>
            <w:vAlign w:val="center"/>
            <w:hideMark/>
          </w:tcPr>
          <w:p w14:paraId="7CADD8E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3467B75E"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50F24EBF"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3227D2CB"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3CCE807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Ⅱ—12</w:t>
            </w:r>
          </w:p>
        </w:tc>
        <w:tc>
          <w:tcPr>
            <w:tcW w:w="1003" w:type="dxa"/>
            <w:tcBorders>
              <w:top w:val="nil"/>
              <w:left w:val="nil"/>
              <w:bottom w:val="single" w:sz="4" w:space="0" w:color="auto"/>
              <w:right w:val="single" w:sz="4" w:space="0" w:color="auto"/>
            </w:tcBorders>
            <w:shd w:val="clear" w:color="auto" w:fill="auto"/>
            <w:vAlign w:val="center"/>
            <w:hideMark/>
          </w:tcPr>
          <w:p w14:paraId="5922994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24720</w:t>
            </w:r>
          </w:p>
        </w:tc>
        <w:tc>
          <w:tcPr>
            <w:tcW w:w="1003" w:type="dxa"/>
            <w:tcBorders>
              <w:top w:val="nil"/>
              <w:left w:val="nil"/>
              <w:bottom w:val="single" w:sz="4" w:space="0" w:color="auto"/>
              <w:right w:val="single" w:sz="4" w:space="0" w:color="auto"/>
            </w:tcBorders>
            <w:shd w:val="clear" w:color="auto" w:fill="auto"/>
            <w:vAlign w:val="center"/>
            <w:hideMark/>
          </w:tcPr>
          <w:p w14:paraId="1F5F79B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Ⅱ—12</w:t>
            </w:r>
          </w:p>
        </w:tc>
        <w:tc>
          <w:tcPr>
            <w:tcW w:w="1004" w:type="dxa"/>
            <w:tcBorders>
              <w:top w:val="nil"/>
              <w:left w:val="nil"/>
              <w:bottom w:val="single" w:sz="4" w:space="0" w:color="auto"/>
              <w:right w:val="single" w:sz="4" w:space="0" w:color="auto"/>
            </w:tcBorders>
            <w:shd w:val="clear" w:color="auto" w:fill="auto"/>
            <w:vAlign w:val="center"/>
            <w:hideMark/>
          </w:tcPr>
          <w:p w14:paraId="2CCDF09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21670</w:t>
            </w:r>
          </w:p>
        </w:tc>
        <w:tc>
          <w:tcPr>
            <w:tcW w:w="1003" w:type="dxa"/>
            <w:tcBorders>
              <w:top w:val="nil"/>
              <w:left w:val="nil"/>
              <w:bottom w:val="single" w:sz="4" w:space="0" w:color="auto"/>
              <w:right w:val="single" w:sz="4" w:space="0" w:color="auto"/>
            </w:tcBorders>
            <w:shd w:val="clear" w:color="auto" w:fill="auto"/>
            <w:vAlign w:val="center"/>
            <w:hideMark/>
          </w:tcPr>
          <w:p w14:paraId="7392F19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Ⅱ—12</w:t>
            </w:r>
          </w:p>
        </w:tc>
        <w:tc>
          <w:tcPr>
            <w:tcW w:w="1003" w:type="dxa"/>
            <w:tcBorders>
              <w:top w:val="nil"/>
              <w:left w:val="nil"/>
              <w:bottom w:val="single" w:sz="4" w:space="0" w:color="auto"/>
              <w:right w:val="single" w:sz="4" w:space="0" w:color="auto"/>
            </w:tcBorders>
            <w:shd w:val="clear" w:color="auto" w:fill="auto"/>
            <w:vAlign w:val="center"/>
            <w:hideMark/>
          </w:tcPr>
          <w:p w14:paraId="674C3FC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21510</w:t>
            </w:r>
          </w:p>
        </w:tc>
        <w:tc>
          <w:tcPr>
            <w:tcW w:w="1559" w:type="dxa"/>
            <w:tcBorders>
              <w:top w:val="nil"/>
              <w:left w:val="nil"/>
              <w:bottom w:val="single" w:sz="4" w:space="0" w:color="auto"/>
              <w:right w:val="single" w:sz="4" w:space="0" w:color="auto"/>
            </w:tcBorders>
            <w:shd w:val="clear" w:color="auto" w:fill="auto"/>
            <w:vAlign w:val="center"/>
            <w:hideMark/>
          </w:tcPr>
          <w:p w14:paraId="73374EB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2BD2CC3F"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66E26628"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7AC3E8A0"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8C029E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Ⅱ—13</w:t>
            </w:r>
          </w:p>
        </w:tc>
        <w:tc>
          <w:tcPr>
            <w:tcW w:w="1003" w:type="dxa"/>
            <w:tcBorders>
              <w:top w:val="nil"/>
              <w:left w:val="nil"/>
              <w:bottom w:val="single" w:sz="4" w:space="0" w:color="auto"/>
              <w:right w:val="single" w:sz="4" w:space="0" w:color="auto"/>
            </w:tcBorders>
            <w:shd w:val="clear" w:color="auto" w:fill="auto"/>
            <w:vAlign w:val="center"/>
            <w:hideMark/>
          </w:tcPr>
          <w:p w14:paraId="0F144C6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26530</w:t>
            </w:r>
          </w:p>
        </w:tc>
        <w:tc>
          <w:tcPr>
            <w:tcW w:w="1003" w:type="dxa"/>
            <w:tcBorders>
              <w:top w:val="nil"/>
              <w:left w:val="nil"/>
              <w:bottom w:val="single" w:sz="4" w:space="0" w:color="auto"/>
              <w:right w:val="single" w:sz="4" w:space="0" w:color="auto"/>
            </w:tcBorders>
            <w:shd w:val="clear" w:color="auto" w:fill="auto"/>
            <w:vAlign w:val="center"/>
            <w:hideMark/>
          </w:tcPr>
          <w:p w14:paraId="18C4AC5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Ⅱ—13</w:t>
            </w:r>
          </w:p>
        </w:tc>
        <w:tc>
          <w:tcPr>
            <w:tcW w:w="1004" w:type="dxa"/>
            <w:tcBorders>
              <w:top w:val="nil"/>
              <w:left w:val="nil"/>
              <w:bottom w:val="single" w:sz="4" w:space="0" w:color="auto"/>
              <w:right w:val="single" w:sz="4" w:space="0" w:color="auto"/>
            </w:tcBorders>
            <w:shd w:val="clear" w:color="auto" w:fill="auto"/>
            <w:vAlign w:val="center"/>
            <w:hideMark/>
          </w:tcPr>
          <w:p w14:paraId="4C146F0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22980</w:t>
            </w:r>
          </w:p>
        </w:tc>
        <w:tc>
          <w:tcPr>
            <w:tcW w:w="1003" w:type="dxa"/>
            <w:tcBorders>
              <w:top w:val="nil"/>
              <w:left w:val="nil"/>
              <w:bottom w:val="single" w:sz="4" w:space="0" w:color="auto"/>
              <w:right w:val="single" w:sz="4" w:space="0" w:color="auto"/>
            </w:tcBorders>
            <w:shd w:val="clear" w:color="auto" w:fill="auto"/>
            <w:vAlign w:val="center"/>
            <w:hideMark/>
          </w:tcPr>
          <w:p w14:paraId="46F44F3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Ⅱ—13</w:t>
            </w:r>
          </w:p>
        </w:tc>
        <w:tc>
          <w:tcPr>
            <w:tcW w:w="1003" w:type="dxa"/>
            <w:tcBorders>
              <w:top w:val="nil"/>
              <w:left w:val="nil"/>
              <w:bottom w:val="single" w:sz="4" w:space="0" w:color="auto"/>
              <w:right w:val="single" w:sz="4" w:space="0" w:color="auto"/>
            </w:tcBorders>
            <w:shd w:val="clear" w:color="auto" w:fill="auto"/>
            <w:vAlign w:val="center"/>
            <w:hideMark/>
          </w:tcPr>
          <w:p w14:paraId="258EB0A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22650</w:t>
            </w:r>
          </w:p>
        </w:tc>
        <w:tc>
          <w:tcPr>
            <w:tcW w:w="1559" w:type="dxa"/>
            <w:tcBorders>
              <w:top w:val="nil"/>
              <w:left w:val="nil"/>
              <w:bottom w:val="single" w:sz="4" w:space="0" w:color="auto"/>
              <w:right w:val="single" w:sz="4" w:space="0" w:color="auto"/>
            </w:tcBorders>
            <w:shd w:val="clear" w:color="auto" w:fill="auto"/>
            <w:vAlign w:val="center"/>
            <w:hideMark/>
          </w:tcPr>
          <w:p w14:paraId="6E1B530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294C1585"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610B7BFF"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1675FA61"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71319A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Ⅱ—14</w:t>
            </w:r>
          </w:p>
        </w:tc>
        <w:tc>
          <w:tcPr>
            <w:tcW w:w="1003" w:type="dxa"/>
            <w:tcBorders>
              <w:top w:val="nil"/>
              <w:left w:val="nil"/>
              <w:bottom w:val="single" w:sz="4" w:space="0" w:color="auto"/>
              <w:right w:val="single" w:sz="4" w:space="0" w:color="auto"/>
            </w:tcBorders>
            <w:shd w:val="clear" w:color="auto" w:fill="auto"/>
            <w:vAlign w:val="center"/>
            <w:hideMark/>
          </w:tcPr>
          <w:p w14:paraId="42CC014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24700</w:t>
            </w:r>
          </w:p>
        </w:tc>
        <w:tc>
          <w:tcPr>
            <w:tcW w:w="1003" w:type="dxa"/>
            <w:tcBorders>
              <w:top w:val="nil"/>
              <w:left w:val="nil"/>
              <w:bottom w:val="single" w:sz="4" w:space="0" w:color="auto"/>
              <w:right w:val="single" w:sz="4" w:space="0" w:color="auto"/>
            </w:tcBorders>
            <w:shd w:val="clear" w:color="auto" w:fill="auto"/>
            <w:vAlign w:val="center"/>
            <w:hideMark/>
          </w:tcPr>
          <w:p w14:paraId="2759999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Ⅱ—14</w:t>
            </w:r>
          </w:p>
        </w:tc>
        <w:tc>
          <w:tcPr>
            <w:tcW w:w="1004" w:type="dxa"/>
            <w:tcBorders>
              <w:top w:val="nil"/>
              <w:left w:val="nil"/>
              <w:bottom w:val="single" w:sz="4" w:space="0" w:color="auto"/>
              <w:right w:val="single" w:sz="4" w:space="0" w:color="auto"/>
            </w:tcBorders>
            <w:shd w:val="clear" w:color="auto" w:fill="auto"/>
            <w:vAlign w:val="center"/>
            <w:hideMark/>
          </w:tcPr>
          <w:p w14:paraId="33663AC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27290</w:t>
            </w:r>
          </w:p>
        </w:tc>
        <w:tc>
          <w:tcPr>
            <w:tcW w:w="1003" w:type="dxa"/>
            <w:tcBorders>
              <w:top w:val="nil"/>
              <w:left w:val="nil"/>
              <w:bottom w:val="single" w:sz="4" w:space="0" w:color="auto"/>
              <w:right w:val="single" w:sz="4" w:space="0" w:color="auto"/>
            </w:tcBorders>
            <w:shd w:val="clear" w:color="auto" w:fill="auto"/>
            <w:vAlign w:val="center"/>
            <w:hideMark/>
          </w:tcPr>
          <w:p w14:paraId="73E9C6F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Ⅱ—14</w:t>
            </w:r>
          </w:p>
        </w:tc>
        <w:tc>
          <w:tcPr>
            <w:tcW w:w="1003" w:type="dxa"/>
            <w:tcBorders>
              <w:top w:val="nil"/>
              <w:left w:val="nil"/>
              <w:bottom w:val="single" w:sz="4" w:space="0" w:color="auto"/>
              <w:right w:val="single" w:sz="4" w:space="0" w:color="auto"/>
            </w:tcBorders>
            <w:shd w:val="clear" w:color="auto" w:fill="auto"/>
            <w:vAlign w:val="center"/>
            <w:hideMark/>
          </w:tcPr>
          <w:p w14:paraId="6A8320C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26710</w:t>
            </w:r>
          </w:p>
        </w:tc>
        <w:tc>
          <w:tcPr>
            <w:tcW w:w="1559" w:type="dxa"/>
            <w:tcBorders>
              <w:top w:val="nil"/>
              <w:left w:val="nil"/>
              <w:bottom w:val="single" w:sz="4" w:space="0" w:color="auto"/>
              <w:right w:val="single" w:sz="4" w:space="0" w:color="auto"/>
            </w:tcBorders>
            <w:shd w:val="clear" w:color="auto" w:fill="auto"/>
            <w:vAlign w:val="center"/>
            <w:hideMark/>
          </w:tcPr>
          <w:p w14:paraId="438CBEA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097B7A32"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6287CEAD"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10A0C972"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35CCBC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Ⅱ—15</w:t>
            </w:r>
          </w:p>
        </w:tc>
        <w:tc>
          <w:tcPr>
            <w:tcW w:w="1003" w:type="dxa"/>
            <w:tcBorders>
              <w:top w:val="nil"/>
              <w:left w:val="nil"/>
              <w:bottom w:val="single" w:sz="4" w:space="0" w:color="auto"/>
              <w:right w:val="single" w:sz="4" w:space="0" w:color="auto"/>
            </w:tcBorders>
            <w:shd w:val="clear" w:color="auto" w:fill="auto"/>
            <w:vAlign w:val="center"/>
            <w:hideMark/>
          </w:tcPr>
          <w:p w14:paraId="1A02F92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23070</w:t>
            </w:r>
          </w:p>
        </w:tc>
        <w:tc>
          <w:tcPr>
            <w:tcW w:w="1003" w:type="dxa"/>
            <w:tcBorders>
              <w:top w:val="nil"/>
              <w:left w:val="nil"/>
              <w:bottom w:val="single" w:sz="4" w:space="0" w:color="auto"/>
              <w:right w:val="single" w:sz="4" w:space="0" w:color="auto"/>
            </w:tcBorders>
            <w:shd w:val="clear" w:color="auto" w:fill="auto"/>
            <w:vAlign w:val="center"/>
            <w:hideMark/>
          </w:tcPr>
          <w:p w14:paraId="7F1BF3F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Ⅱ—15</w:t>
            </w:r>
          </w:p>
        </w:tc>
        <w:tc>
          <w:tcPr>
            <w:tcW w:w="1004" w:type="dxa"/>
            <w:tcBorders>
              <w:top w:val="nil"/>
              <w:left w:val="nil"/>
              <w:bottom w:val="single" w:sz="4" w:space="0" w:color="auto"/>
              <w:right w:val="single" w:sz="4" w:space="0" w:color="auto"/>
            </w:tcBorders>
            <w:shd w:val="clear" w:color="auto" w:fill="auto"/>
            <w:vAlign w:val="center"/>
            <w:hideMark/>
          </w:tcPr>
          <w:p w14:paraId="6E6A9B6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24130</w:t>
            </w:r>
          </w:p>
        </w:tc>
        <w:tc>
          <w:tcPr>
            <w:tcW w:w="1003" w:type="dxa"/>
            <w:tcBorders>
              <w:top w:val="nil"/>
              <w:left w:val="nil"/>
              <w:bottom w:val="single" w:sz="4" w:space="0" w:color="auto"/>
              <w:right w:val="single" w:sz="4" w:space="0" w:color="auto"/>
            </w:tcBorders>
            <w:shd w:val="clear" w:color="auto" w:fill="auto"/>
            <w:vAlign w:val="center"/>
            <w:hideMark/>
          </w:tcPr>
          <w:p w14:paraId="0AD7938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Ⅱ—15</w:t>
            </w:r>
          </w:p>
        </w:tc>
        <w:tc>
          <w:tcPr>
            <w:tcW w:w="1003" w:type="dxa"/>
            <w:tcBorders>
              <w:top w:val="nil"/>
              <w:left w:val="nil"/>
              <w:bottom w:val="single" w:sz="4" w:space="0" w:color="auto"/>
              <w:right w:val="single" w:sz="4" w:space="0" w:color="auto"/>
            </w:tcBorders>
            <w:shd w:val="clear" w:color="auto" w:fill="auto"/>
            <w:vAlign w:val="center"/>
            <w:hideMark/>
          </w:tcPr>
          <w:p w14:paraId="0B42AFC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23860</w:t>
            </w:r>
          </w:p>
        </w:tc>
        <w:tc>
          <w:tcPr>
            <w:tcW w:w="1559" w:type="dxa"/>
            <w:tcBorders>
              <w:top w:val="nil"/>
              <w:left w:val="nil"/>
              <w:bottom w:val="single" w:sz="4" w:space="0" w:color="auto"/>
              <w:right w:val="single" w:sz="4" w:space="0" w:color="auto"/>
            </w:tcBorders>
            <w:shd w:val="clear" w:color="auto" w:fill="auto"/>
            <w:vAlign w:val="center"/>
            <w:hideMark/>
          </w:tcPr>
          <w:p w14:paraId="185E3F0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72A5ED26"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240C7E09"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0F10B711"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F4BB01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Ⅱ—16</w:t>
            </w:r>
          </w:p>
        </w:tc>
        <w:tc>
          <w:tcPr>
            <w:tcW w:w="1003" w:type="dxa"/>
            <w:tcBorders>
              <w:top w:val="nil"/>
              <w:left w:val="nil"/>
              <w:bottom w:val="single" w:sz="4" w:space="0" w:color="auto"/>
              <w:right w:val="single" w:sz="4" w:space="0" w:color="auto"/>
            </w:tcBorders>
            <w:shd w:val="clear" w:color="auto" w:fill="auto"/>
            <w:vAlign w:val="center"/>
            <w:hideMark/>
          </w:tcPr>
          <w:p w14:paraId="65AF1C9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27550</w:t>
            </w:r>
          </w:p>
        </w:tc>
        <w:tc>
          <w:tcPr>
            <w:tcW w:w="1003" w:type="dxa"/>
            <w:tcBorders>
              <w:top w:val="nil"/>
              <w:left w:val="nil"/>
              <w:bottom w:val="single" w:sz="4" w:space="0" w:color="auto"/>
              <w:right w:val="single" w:sz="4" w:space="0" w:color="auto"/>
            </w:tcBorders>
            <w:shd w:val="clear" w:color="auto" w:fill="auto"/>
            <w:vAlign w:val="center"/>
            <w:hideMark/>
          </w:tcPr>
          <w:p w14:paraId="09E8126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Ⅱ—16</w:t>
            </w:r>
          </w:p>
        </w:tc>
        <w:tc>
          <w:tcPr>
            <w:tcW w:w="1004" w:type="dxa"/>
            <w:tcBorders>
              <w:top w:val="nil"/>
              <w:left w:val="nil"/>
              <w:bottom w:val="single" w:sz="4" w:space="0" w:color="auto"/>
              <w:right w:val="single" w:sz="4" w:space="0" w:color="auto"/>
            </w:tcBorders>
            <w:shd w:val="clear" w:color="auto" w:fill="auto"/>
            <w:vAlign w:val="center"/>
            <w:hideMark/>
          </w:tcPr>
          <w:p w14:paraId="27172C4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25850</w:t>
            </w:r>
          </w:p>
        </w:tc>
        <w:tc>
          <w:tcPr>
            <w:tcW w:w="1003" w:type="dxa"/>
            <w:tcBorders>
              <w:top w:val="nil"/>
              <w:left w:val="nil"/>
              <w:bottom w:val="single" w:sz="4" w:space="0" w:color="auto"/>
              <w:right w:val="single" w:sz="4" w:space="0" w:color="auto"/>
            </w:tcBorders>
            <w:shd w:val="clear" w:color="auto" w:fill="auto"/>
            <w:vAlign w:val="center"/>
            <w:hideMark/>
          </w:tcPr>
          <w:p w14:paraId="3F0A430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Ⅱ—16</w:t>
            </w:r>
          </w:p>
        </w:tc>
        <w:tc>
          <w:tcPr>
            <w:tcW w:w="1003" w:type="dxa"/>
            <w:tcBorders>
              <w:top w:val="nil"/>
              <w:left w:val="nil"/>
              <w:bottom w:val="single" w:sz="4" w:space="0" w:color="auto"/>
              <w:right w:val="single" w:sz="4" w:space="0" w:color="auto"/>
            </w:tcBorders>
            <w:shd w:val="clear" w:color="auto" w:fill="auto"/>
            <w:vAlign w:val="center"/>
            <w:hideMark/>
          </w:tcPr>
          <w:p w14:paraId="07B98BC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25340</w:t>
            </w:r>
          </w:p>
        </w:tc>
        <w:tc>
          <w:tcPr>
            <w:tcW w:w="1559" w:type="dxa"/>
            <w:tcBorders>
              <w:top w:val="nil"/>
              <w:left w:val="nil"/>
              <w:bottom w:val="single" w:sz="4" w:space="0" w:color="auto"/>
              <w:right w:val="single" w:sz="4" w:space="0" w:color="auto"/>
            </w:tcBorders>
            <w:shd w:val="clear" w:color="auto" w:fill="auto"/>
            <w:vAlign w:val="center"/>
            <w:hideMark/>
          </w:tcPr>
          <w:p w14:paraId="74351CC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349DC7F3"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20F9E17B"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0E4BE10F"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005C25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47FE08F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7AA680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Ⅱ—17</w:t>
            </w:r>
          </w:p>
        </w:tc>
        <w:tc>
          <w:tcPr>
            <w:tcW w:w="1004" w:type="dxa"/>
            <w:tcBorders>
              <w:top w:val="nil"/>
              <w:left w:val="nil"/>
              <w:bottom w:val="single" w:sz="4" w:space="0" w:color="auto"/>
              <w:right w:val="single" w:sz="4" w:space="0" w:color="auto"/>
            </w:tcBorders>
            <w:shd w:val="clear" w:color="auto" w:fill="auto"/>
            <w:vAlign w:val="center"/>
            <w:hideMark/>
          </w:tcPr>
          <w:p w14:paraId="5F66E51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23900</w:t>
            </w:r>
          </w:p>
        </w:tc>
        <w:tc>
          <w:tcPr>
            <w:tcW w:w="1003" w:type="dxa"/>
            <w:tcBorders>
              <w:top w:val="nil"/>
              <w:left w:val="nil"/>
              <w:bottom w:val="single" w:sz="4" w:space="0" w:color="auto"/>
              <w:right w:val="single" w:sz="4" w:space="0" w:color="auto"/>
            </w:tcBorders>
            <w:shd w:val="clear" w:color="auto" w:fill="auto"/>
            <w:vAlign w:val="center"/>
            <w:hideMark/>
          </w:tcPr>
          <w:p w14:paraId="09703F1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Ⅱ—17</w:t>
            </w:r>
          </w:p>
        </w:tc>
        <w:tc>
          <w:tcPr>
            <w:tcW w:w="1003" w:type="dxa"/>
            <w:tcBorders>
              <w:top w:val="nil"/>
              <w:left w:val="nil"/>
              <w:bottom w:val="single" w:sz="4" w:space="0" w:color="auto"/>
              <w:right w:val="single" w:sz="4" w:space="0" w:color="auto"/>
            </w:tcBorders>
            <w:shd w:val="clear" w:color="auto" w:fill="auto"/>
            <w:vAlign w:val="center"/>
            <w:hideMark/>
          </w:tcPr>
          <w:p w14:paraId="3231EA2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23590</w:t>
            </w:r>
          </w:p>
        </w:tc>
        <w:tc>
          <w:tcPr>
            <w:tcW w:w="1559" w:type="dxa"/>
            <w:tcBorders>
              <w:top w:val="nil"/>
              <w:left w:val="nil"/>
              <w:bottom w:val="single" w:sz="4" w:space="0" w:color="auto"/>
              <w:right w:val="single" w:sz="4" w:space="0" w:color="auto"/>
            </w:tcBorders>
            <w:shd w:val="clear" w:color="auto" w:fill="auto"/>
            <w:vAlign w:val="center"/>
            <w:hideMark/>
          </w:tcPr>
          <w:p w14:paraId="3FF0402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7EDA8A55"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1A3E0659"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2D4BF63D"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63251B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3766F6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19C1DD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Ⅱ—18</w:t>
            </w:r>
          </w:p>
        </w:tc>
        <w:tc>
          <w:tcPr>
            <w:tcW w:w="1004" w:type="dxa"/>
            <w:tcBorders>
              <w:top w:val="nil"/>
              <w:left w:val="nil"/>
              <w:bottom w:val="single" w:sz="4" w:space="0" w:color="auto"/>
              <w:right w:val="single" w:sz="4" w:space="0" w:color="auto"/>
            </w:tcBorders>
            <w:shd w:val="clear" w:color="auto" w:fill="auto"/>
            <w:vAlign w:val="center"/>
            <w:hideMark/>
          </w:tcPr>
          <w:p w14:paraId="6D321BD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22850</w:t>
            </w:r>
          </w:p>
        </w:tc>
        <w:tc>
          <w:tcPr>
            <w:tcW w:w="1003" w:type="dxa"/>
            <w:tcBorders>
              <w:top w:val="nil"/>
              <w:left w:val="nil"/>
              <w:bottom w:val="single" w:sz="4" w:space="0" w:color="auto"/>
              <w:right w:val="single" w:sz="4" w:space="0" w:color="auto"/>
            </w:tcBorders>
            <w:shd w:val="clear" w:color="auto" w:fill="auto"/>
            <w:vAlign w:val="center"/>
            <w:hideMark/>
          </w:tcPr>
          <w:p w14:paraId="3662292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Ⅱ—18</w:t>
            </w:r>
          </w:p>
        </w:tc>
        <w:tc>
          <w:tcPr>
            <w:tcW w:w="1003" w:type="dxa"/>
            <w:tcBorders>
              <w:top w:val="nil"/>
              <w:left w:val="nil"/>
              <w:bottom w:val="single" w:sz="4" w:space="0" w:color="auto"/>
              <w:right w:val="single" w:sz="4" w:space="0" w:color="auto"/>
            </w:tcBorders>
            <w:shd w:val="clear" w:color="auto" w:fill="auto"/>
            <w:vAlign w:val="center"/>
            <w:hideMark/>
          </w:tcPr>
          <w:p w14:paraId="6ED152F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21920</w:t>
            </w:r>
          </w:p>
        </w:tc>
        <w:tc>
          <w:tcPr>
            <w:tcW w:w="1559" w:type="dxa"/>
            <w:tcBorders>
              <w:top w:val="nil"/>
              <w:left w:val="nil"/>
              <w:bottom w:val="single" w:sz="4" w:space="0" w:color="auto"/>
              <w:right w:val="single" w:sz="4" w:space="0" w:color="auto"/>
            </w:tcBorders>
            <w:shd w:val="clear" w:color="auto" w:fill="auto"/>
            <w:vAlign w:val="center"/>
            <w:hideMark/>
          </w:tcPr>
          <w:p w14:paraId="6F68EED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279F02E0"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707884DD" w14:textId="77777777" w:rsidTr="00CE438D">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14:paraId="588635EF"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FCFF51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7FADA2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4D8F359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Ⅱ—19</w:t>
            </w:r>
          </w:p>
        </w:tc>
        <w:tc>
          <w:tcPr>
            <w:tcW w:w="1004" w:type="dxa"/>
            <w:tcBorders>
              <w:top w:val="nil"/>
              <w:left w:val="nil"/>
              <w:bottom w:val="single" w:sz="4" w:space="0" w:color="auto"/>
              <w:right w:val="single" w:sz="4" w:space="0" w:color="auto"/>
            </w:tcBorders>
            <w:shd w:val="clear" w:color="auto" w:fill="auto"/>
            <w:vAlign w:val="center"/>
            <w:hideMark/>
          </w:tcPr>
          <w:p w14:paraId="0A071F7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26610</w:t>
            </w:r>
          </w:p>
        </w:tc>
        <w:tc>
          <w:tcPr>
            <w:tcW w:w="1003" w:type="dxa"/>
            <w:tcBorders>
              <w:top w:val="nil"/>
              <w:left w:val="nil"/>
              <w:bottom w:val="single" w:sz="4" w:space="0" w:color="auto"/>
              <w:right w:val="single" w:sz="4" w:space="0" w:color="auto"/>
            </w:tcBorders>
            <w:shd w:val="clear" w:color="auto" w:fill="auto"/>
            <w:vAlign w:val="center"/>
            <w:hideMark/>
          </w:tcPr>
          <w:p w14:paraId="4E4F1AF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Ⅱ—19</w:t>
            </w:r>
          </w:p>
        </w:tc>
        <w:tc>
          <w:tcPr>
            <w:tcW w:w="1003" w:type="dxa"/>
            <w:tcBorders>
              <w:top w:val="nil"/>
              <w:left w:val="nil"/>
              <w:bottom w:val="single" w:sz="4" w:space="0" w:color="auto"/>
              <w:right w:val="single" w:sz="4" w:space="0" w:color="auto"/>
            </w:tcBorders>
            <w:shd w:val="clear" w:color="auto" w:fill="auto"/>
            <w:vAlign w:val="center"/>
            <w:hideMark/>
          </w:tcPr>
          <w:p w14:paraId="4BCAE79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26370</w:t>
            </w:r>
          </w:p>
        </w:tc>
        <w:tc>
          <w:tcPr>
            <w:tcW w:w="1559" w:type="dxa"/>
            <w:tcBorders>
              <w:top w:val="nil"/>
              <w:left w:val="nil"/>
              <w:bottom w:val="single" w:sz="4" w:space="0" w:color="auto"/>
              <w:right w:val="single" w:sz="4" w:space="0" w:color="auto"/>
            </w:tcBorders>
            <w:shd w:val="clear" w:color="auto" w:fill="auto"/>
            <w:vAlign w:val="center"/>
            <w:hideMark/>
          </w:tcPr>
          <w:p w14:paraId="4223BF4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706F14A9"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bl>
    <w:p w14:paraId="613848AD" w14:textId="77777777" w:rsidR="00814D19" w:rsidRDefault="00814D19" w:rsidP="00814D19">
      <w:pPr>
        <w:spacing w:line="360" w:lineRule="auto"/>
        <w:ind w:firstLineChars="200" w:firstLine="560"/>
        <w:rPr>
          <w:rFonts w:ascii="Arial" w:eastAsia="仿宋_GB2312" w:hAnsi="Arial" w:cs="Arial"/>
          <w:sz w:val="28"/>
          <w:szCs w:val="21"/>
        </w:rPr>
      </w:pPr>
      <w:r w:rsidRPr="00F631FB">
        <w:rPr>
          <w:rFonts w:ascii="Arial" w:eastAsia="仿宋_GB2312" w:hAnsi="Arial" w:cs="Arial"/>
          <w:sz w:val="28"/>
          <w:szCs w:val="21"/>
        </w:rPr>
        <w:lastRenderedPageBreak/>
        <w:t>依据上表，估价对象所在</w:t>
      </w:r>
      <w:r w:rsidRPr="003A791A">
        <w:rPr>
          <w:rFonts w:ascii="Arial" w:eastAsia="仿宋_GB2312" w:hAnsi="Arial" w:cs="Arial" w:hint="eastAsia"/>
          <w:sz w:val="28"/>
          <w:szCs w:val="21"/>
        </w:rPr>
        <w:t>居住类二级</w:t>
      </w:r>
      <w:r w:rsidRPr="003A791A">
        <w:rPr>
          <w:rFonts w:ascii="Arial" w:eastAsia="仿宋_GB2312" w:hAnsi="Arial" w:cs="Arial" w:hint="eastAsia"/>
          <w:sz w:val="28"/>
          <w:szCs w:val="21"/>
        </w:rPr>
        <w:t>II-03</w:t>
      </w:r>
      <w:r w:rsidRPr="00F631FB">
        <w:rPr>
          <w:rFonts w:ascii="Arial" w:eastAsia="仿宋_GB2312" w:hAnsi="Arial" w:cs="Arial"/>
          <w:sz w:val="28"/>
          <w:szCs w:val="21"/>
        </w:rPr>
        <w:t>区片的区片基准地价为</w:t>
      </w:r>
      <w:r>
        <w:rPr>
          <w:rFonts w:ascii="Arial" w:eastAsia="仿宋_GB2312" w:hAnsi="Arial" w:cs="Arial"/>
          <w:sz w:val="28"/>
          <w:szCs w:val="21"/>
        </w:rPr>
        <w:t>22910</w:t>
      </w:r>
      <w:r w:rsidRPr="00F631FB">
        <w:rPr>
          <w:rFonts w:ascii="Arial" w:eastAsia="仿宋_GB2312" w:hAnsi="Arial" w:cs="Arial"/>
          <w:sz w:val="28"/>
          <w:szCs w:val="21"/>
        </w:rPr>
        <w:t>元</w:t>
      </w:r>
      <w:r w:rsidRPr="00F631FB">
        <w:rPr>
          <w:rFonts w:ascii="Arial" w:eastAsia="仿宋_GB2312" w:hAnsi="Arial" w:cs="Arial"/>
          <w:sz w:val="28"/>
          <w:szCs w:val="21"/>
        </w:rPr>
        <w:t>/</w:t>
      </w:r>
      <w:r w:rsidRPr="00F631FB">
        <w:rPr>
          <w:rFonts w:ascii="Arial" w:eastAsia="仿宋_GB2312" w:hAnsi="Arial" w:cs="Arial"/>
          <w:sz w:val="28"/>
          <w:szCs w:val="21"/>
        </w:rPr>
        <w:t>平方米。</w:t>
      </w:r>
    </w:p>
    <w:p w14:paraId="4749058A" w14:textId="77777777" w:rsidR="00814D19" w:rsidRPr="00F631FB" w:rsidRDefault="00814D19" w:rsidP="00814D19">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B</w:t>
      </w:r>
      <w:r w:rsidRPr="00F631FB">
        <w:rPr>
          <w:rFonts w:ascii="Arial" w:eastAsia="仿宋_GB2312" w:hAnsi="Arial" w:cs="Arial"/>
          <w:sz w:val="28"/>
        </w:rPr>
        <w:t>）</w:t>
      </w:r>
      <w:r>
        <w:rPr>
          <w:rFonts w:ascii="Arial" w:eastAsia="仿宋_GB2312" w:hAnsi="Arial" w:cs="Arial" w:hint="eastAsia"/>
          <w:sz w:val="28"/>
        </w:rPr>
        <w:t>特殊情况</w:t>
      </w:r>
      <w:r w:rsidRPr="00F631FB">
        <w:rPr>
          <w:rFonts w:ascii="Arial" w:eastAsia="仿宋_GB2312" w:hAnsi="Arial" w:cs="Arial"/>
          <w:sz w:val="28"/>
        </w:rPr>
        <w:t>修正</w:t>
      </w:r>
    </w:p>
    <w:p w14:paraId="5766602A" w14:textId="77777777" w:rsidR="00814D19" w:rsidRPr="002C7FBA" w:rsidRDefault="00814D19" w:rsidP="00814D19">
      <w:pPr>
        <w:spacing w:line="360" w:lineRule="auto"/>
        <w:ind w:firstLineChars="200" w:firstLine="560"/>
        <w:rPr>
          <w:rFonts w:ascii="Arial" w:eastAsia="仿宋_GB2312" w:hAnsi="Arial" w:cs="Arial"/>
          <w:sz w:val="28"/>
          <w:szCs w:val="21"/>
        </w:rPr>
      </w:pPr>
      <w:r w:rsidRPr="002C7FBA">
        <w:rPr>
          <w:rFonts w:ascii="Arial" w:eastAsia="仿宋_GB2312" w:hAnsi="Arial" w:cs="Arial"/>
          <w:sz w:val="28"/>
          <w:szCs w:val="21"/>
        </w:rPr>
        <w:t>估价对象</w:t>
      </w:r>
      <w:r w:rsidRPr="002C7FBA">
        <w:rPr>
          <w:rFonts w:ascii="Arial" w:eastAsia="仿宋_GB2312" w:hAnsi="Arial" w:cs="Arial" w:hint="eastAsia"/>
          <w:sz w:val="28"/>
          <w:szCs w:val="21"/>
        </w:rPr>
        <w:t>位于海淀区苏州街，距离十号线苏州街站约</w:t>
      </w:r>
      <w:r w:rsidRPr="002C7FBA">
        <w:rPr>
          <w:rFonts w:ascii="Arial" w:eastAsia="仿宋_GB2312" w:hAnsi="Arial" w:cs="Arial" w:hint="eastAsia"/>
          <w:sz w:val="28"/>
          <w:szCs w:val="21"/>
        </w:rPr>
        <w:t>2</w:t>
      </w:r>
      <w:r w:rsidRPr="002C7FBA">
        <w:rPr>
          <w:rFonts w:ascii="Arial" w:eastAsia="仿宋_GB2312" w:hAnsi="Arial" w:cs="Arial"/>
          <w:sz w:val="28"/>
          <w:szCs w:val="21"/>
        </w:rPr>
        <w:t>0</w:t>
      </w:r>
      <w:r w:rsidRPr="002C7FBA">
        <w:rPr>
          <w:rFonts w:ascii="Arial" w:eastAsia="仿宋_GB2312" w:hAnsi="Arial" w:cs="Arial" w:hint="eastAsia"/>
          <w:sz w:val="28"/>
          <w:szCs w:val="21"/>
        </w:rPr>
        <w:t>米，根据特殊情况修正系数表，</w:t>
      </w:r>
      <w:r>
        <w:rPr>
          <w:rFonts w:ascii="Arial" w:eastAsia="仿宋_GB2312" w:hAnsi="Arial" w:cs="Arial" w:hint="eastAsia"/>
          <w:sz w:val="28"/>
          <w:szCs w:val="21"/>
        </w:rPr>
        <w:t>特殊情况修正系数为</w:t>
      </w:r>
      <w:r>
        <w:rPr>
          <w:rFonts w:ascii="Arial" w:eastAsia="仿宋_GB2312" w:hAnsi="Arial" w:cs="Arial" w:hint="eastAsia"/>
          <w:sz w:val="28"/>
          <w:szCs w:val="21"/>
        </w:rPr>
        <w:t>1</w:t>
      </w:r>
      <w:r>
        <w:rPr>
          <w:rFonts w:ascii="Arial" w:eastAsia="仿宋_GB2312" w:hAnsi="Arial" w:cs="Arial"/>
          <w:sz w:val="28"/>
          <w:szCs w:val="21"/>
        </w:rPr>
        <w:t>.2</w:t>
      </w:r>
      <w:r>
        <w:rPr>
          <w:rFonts w:ascii="Arial" w:eastAsia="仿宋_GB2312" w:hAnsi="Arial" w:cs="Arial" w:hint="eastAsia"/>
          <w:sz w:val="28"/>
          <w:szCs w:val="21"/>
        </w:rPr>
        <w:t>。</w:t>
      </w:r>
    </w:p>
    <w:p w14:paraId="0D840DB8" w14:textId="77777777" w:rsidR="00814D19" w:rsidRPr="008750FB" w:rsidRDefault="00814D19" w:rsidP="00814D19">
      <w:pPr>
        <w:autoSpaceDE w:val="0"/>
        <w:autoSpaceDN w:val="0"/>
        <w:jc w:val="center"/>
        <w:rPr>
          <w:rFonts w:ascii="仿宋_GB2312" w:eastAsia="仿宋_GB2312" w:hAnsi="微软雅黑" w:cs="仿宋_GB2312"/>
          <w:sz w:val="29"/>
          <w:szCs w:val="29"/>
        </w:rPr>
      </w:pPr>
      <w:r w:rsidRPr="008750FB">
        <w:rPr>
          <w:rFonts w:ascii="仿宋_GB2312" w:eastAsia="仿宋_GB2312" w:hAnsi="微软雅黑" w:cs="仿宋_GB2312" w:hint="eastAsia"/>
          <w:sz w:val="29"/>
          <w:szCs w:val="29"/>
        </w:rPr>
        <w:t>特殊情况修正系数</w:t>
      </w:r>
    </w:p>
    <w:tbl>
      <w:tblPr>
        <w:tblW w:w="9340" w:type="dxa"/>
        <w:jc w:val="center"/>
        <w:tblLook w:val="04A0" w:firstRow="1" w:lastRow="0" w:firstColumn="1" w:lastColumn="0" w:noHBand="0" w:noVBand="1"/>
      </w:tblPr>
      <w:tblGrid>
        <w:gridCol w:w="1380"/>
        <w:gridCol w:w="1080"/>
        <w:gridCol w:w="1080"/>
        <w:gridCol w:w="1440"/>
        <w:gridCol w:w="2180"/>
        <w:gridCol w:w="2180"/>
      </w:tblGrid>
      <w:tr w:rsidR="00814D19" w:rsidRPr="008750FB" w14:paraId="622B84B4" w14:textId="77777777" w:rsidTr="00CE438D">
        <w:trPr>
          <w:trHeight w:val="79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EF2E2"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特殊情况</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E8893EE"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公园</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89FE469"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水系</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90A468B"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中小学名校</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2A411764"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轨道交通站点周边</w:t>
            </w:r>
          </w:p>
          <w:p w14:paraId="1E2B2974"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w:t>
            </w:r>
            <w:r w:rsidRPr="008750FB">
              <w:rPr>
                <w:rFonts w:ascii="Arial" w:eastAsia="仿宋_GB2312" w:hAnsi="Arial" w:cs="Arial"/>
                <w:color w:val="000000"/>
                <w:sz w:val="18"/>
                <w:szCs w:val="18"/>
              </w:rPr>
              <w:t>500</w:t>
            </w:r>
            <w:r w:rsidRPr="008750FB">
              <w:rPr>
                <w:rFonts w:ascii="Arial" w:eastAsia="仿宋_GB2312" w:hAnsi="Arial" w:cs="Arial"/>
                <w:color w:val="000000"/>
                <w:sz w:val="18"/>
                <w:szCs w:val="18"/>
              </w:rPr>
              <w:t>米范围内）</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78E1FD9C"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轨道交通站点周边</w:t>
            </w:r>
          </w:p>
          <w:p w14:paraId="10CB4BE7"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w:t>
            </w:r>
            <w:r w:rsidRPr="008750FB">
              <w:rPr>
                <w:rFonts w:ascii="Arial" w:eastAsia="仿宋_GB2312" w:hAnsi="Arial" w:cs="Arial"/>
                <w:color w:val="000000"/>
                <w:sz w:val="18"/>
                <w:szCs w:val="18"/>
              </w:rPr>
              <w:t>500-1000</w:t>
            </w:r>
            <w:r w:rsidRPr="008750FB">
              <w:rPr>
                <w:rFonts w:ascii="Arial" w:eastAsia="仿宋_GB2312" w:hAnsi="Arial" w:cs="Arial"/>
                <w:color w:val="000000"/>
                <w:sz w:val="18"/>
                <w:szCs w:val="18"/>
              </w:rPr>
              <w:t>米）</w:t>
            </w:r>
          </w:p>
        </w:tc>
      </w:tr>
      <w:tr w:rsidR="00814D19" w:rsidRPr="008750FB" w14:paraId="7B0A906D" w14:textId="77777777" w:rsidTr="00CE438D">
        <w:trPr>
          <w:trHeight w:val="45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A8ED88A"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修正幅度</w:t>
            </w:r>
          </w:p>
        </w:tc>
        <w:tc>
          <w:tcPr>
            <w:tcW w:w="1080" w:type="dxa"/>
            <w:tcBorders>
              <w:top w:val="nil"/>
              <w:left w:val="nil"/>
              <w:bottom w:val="single" w:sz="4" w:space="0" w:color="auto"/>
              <w:right w:val="single" w:sz="4" w:space="0" w:color="auto"/>
            </w:tcBorders>
            <w:shd w:val="clear" w:color="auto" w:fill="auto"/>
            <w:noWrap/>
            <w:vAlign w:val="center"/>
            <w:hideMark/>
          </w:tcPr>
          <w:p w14:paraId="1515F63C"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10%</w:t>
            </w:r>
          </w:p>
        </w:tc>
        <w:tc>
          <w:tcPr>
            <w:tcW w:w="1080" w:type="dxa"/>
            <w:tcBorders>
              <w:top w:val="nil"/>
              <w:left w:val="nil"/>
              <w:bottom w:val="single" w:sz="4" w:space="0" w:color="auto"/>
              <w:right w:val="single" w:sz="4" w:space="0" w:color="auto"/>
            </w:tcBorders>
            <w:shd w:val="clear" w:color="auto" w:fill="auto"/>
            <w:noWrap/>
            <w:vAlign w:val="center"/>
            <w:hideMark/>
          </w:tcPr>
          <w:p w14:paraId="069415F2"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10%</w:t>
            </w:r>
          </w:p>
        </w:tc>
        <w:tc>
          <w:tcPr>
            <w:tcW w:w="1440" w:type="dxa"/>
            <w:tcBorders>
              <w:top w:val="nil"/>
              <w:left w:val="nil"/>
              <w:bottom w:val="single" w:sz="4" w:space="0" w:color="auto"/>
              <w:right w:val="single" w:sz="4" w:space="0" w:color="auto"/>
            </w:tcBorders>
            <w:shd w:val="clear" w:color="auto" w:fill="auto"/>
            <w:noWrap/>
            <w:vAlign w:val="center"/>
            <w:hideMark/>
          </w:tcPr>
          <w:p w14:paraId="7A1A9697"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10%</w:t>
            </w:r>
          </w:p>
        </w:tc>
        <w:tc>
          <w:tcPr>
            <w:tcW w:w="2180" w:type="dxa"/>
            <w:tcBorders>
              <w:top w:val="nil"/>
              <w:left w:val="nil"/>
              <w:bottom w:val="single" w:sz="4" w:space="0" w:color="auto"/>
              <w:right w:val="single" w:sz="4" w:space="0" w:color="auto"/>
            </w:tcBorders>
            <w:shd w:val="clear" w:color="auto" w:fill="auto"/>
            <w:noWrap/>
            <w:vAlign w:val="center"/>
            <w:hideMark/>
          </w:tcPr>
          <w:p w14:paraId="6910091A"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20%</w:t>
            </w:r>
          </w:p>
        </w:tc>
        <w:tc>
          <w:tcPr>
            <w:tcW w:w="2180" w:type="dxa"/>
            <w:tcBorders>
              <w:top w:val="nil"/>
              <w:left w:val="nil"/>
              <w:bottom w:val="single" w:sz="4" w:space="0" w:color="auto"/>
              <w:right w:val="single" w:sz="4" w:space="0" w:color="auto"/>
            </w:tcBorders>
            <w:shd w:val="clear" w:color="auto" w:fill="auto"/>
            <w:noWrap/>
            <w:vAlign w:val="center"/>
            <w:hideMark/>
          </w:tcPr>
          <w:p w14:paraId="273A1A2A"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10%</w:t>
            </w:r>
          </w:p>
        </w:tc>
      </w:tr>
      <w:tr w:rsidR="00814D19" w:rsidRPr="008750FB" w14:paraId="73E26E47" w14:textId="77777777" w:rsidTr="00CE438D">
        <w:trPr>
          <w:trHeight w:val="45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F539743"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修正系数</w:t>
            </w:r>
          </w:p>
        </w:tc>
        <w:tc>
          <w:tcPr>
            <w:tcW w:w="1080" w:type="dxa"/>
            <w:tcBorders>
              <w:top w:val="nil"/>
              <w:left w:val="nil"/>
              <w:bottom w:val="single" w:sz="4" w:space="0" w:color="auto"/>
              <w:right w:val="single" w:sz="4" w:space="0" w:color="auto"/>
            </w:tcBorders>
            <w:shd w:val="clear" w:color="auto" w:fill="auto"/>
            <w:noWrap/>
            <w:vAlign w:val="center"/>
            <w:hideMark/>
          </w:tcPr>
          <w:p w14:paraId="24DED450"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1.1</w:t>
            </w:r>
          </w:p>
        </w:tc>
        <w:tc>
          <w:tcPr>
            <w:tcW w:w="1080" w:type="dxa"/>
            <w:tcBorders>
              <w:top w:val="nil"/>
              <w:left w:val="nil"/>
              <w:bottom w:val="single" w:sz="4" w:space="0" w:color="auto"/>
              <w:right w:val="single" w:sz="4" w:space="0" w:color="auto"/>
            </w:tcBorders>
            <w:shd w:val="clear" w:color="auto" w:fill="auto"/>
            <w:noWrap/>
            <w:vAlign w:val="center"/>
            <w:hideMark/>
          </w:tcPr>
          <w:p w14:paraId="1383B4EA"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1.1</w:t>
            </w:r>
          </w:p>
        </w:tc>
        <w:tc>
          <w:tcPr>
            <w:tcW w:w="1440" w:type="dxa"/>
            <w:tcBorders>
              <w:top w:val="nil"/>
              <w:left w:val="nil"/>
              <w:bottom w:val="single" w:sz="4" w:space="0" w:color="auto"/>
              <w:right w:val="single" w:sz="4" w:space="0" w:color="auto"/>
            </w:tcBorders>
            <w:shd w:val="clear" w:color="auto" w:fill="auto"/>
            <w:noWrap/>
            <w:vAlign w:val="center"/>
            <w:hideMark/>
          </w:tcPr>
          <w:p w14:paraId="3EC04329"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1.1</w:t>
            </w:r>
          </w:p>
        </w:tc>
        <w:tc>
          <w:tcPr>
            <w:tcW w:w="2180" w:type="dxa"/>
            <w:tcBorders>
              <w:top w:val="nil"/>
              <w:left w:val="nil"/>
              <w:bottom w:val="single" w:sz="4" w:space="0" w:color="auto"/>
              <w:right w:val="single" w:sz="4" w:space="0" w:color="auto"/>
            </w:tcBorders>
            <w:shd w:val="clear" w:color="auto" w:fill="auto"/>
            <w:noWrap/>
            <w:vAlign w:val="center"/>
            <w:hideMark/>
          </w:tcPr>
          <w:p w14:paraId="70DD40AD"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1.2</w:t>
            </w:r>
          </w:p>
        </w:tc>
        <w:tc>
          <w:tcPr>
            <w:tcW w:w="2180" w:type="dxa"/>
            <w:tcBorders>
              <w:top w:val="nil"/>
              <w:left w:val="nil"/>
              <w:bottom w:val="single" w:sz="4" w:space="0" w:color="auto"/>
              <w:right w:val="single" w:sz="4" w:space="0" w:color="auto"/>
            </w:tcBorders>
            <w:shd w:val="clear" w:color="auto" w:fill="auto"/>
            <w:noWrap/>
            <w:vAlign w:val="center"/>
            <w:hideMark/>
          </w:tcPr>
          <w:p w14:paraId="7307234E"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1.1</w:t>
            </w:r>
          </w:p>
        </w:tc>
      </w:tr>
    </w:tbl>
    <w:p w14:paraId="50AD9F3D" w14:textId="77777777" w:rsidR="00814D19" w:rsidRPr="00F631FB" w:rsidRDefault="00814D19" w:rsidP="00814D19">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C</w:t>
      </w:r>
      <w:r w:rsidRPr="00F631FB">
        <w:rPr>
          <w:rFonts w:ascii="Arial" w:eastAsia="仿宋_GB2312" w:hAnsi="Arial" w:cs="Arial"/>
          <w:sz w:val="28"/>
        </w:rPr>
        <w:t>）土地开发程度修正</w:t>
      </w:r>
    </w:p>
    <w:p w14:paraId="2FC2D455" w14:textId="3774FBAB" w:rsidR="00814D19" w:rsidRDefault="00814D19" w:rsidP="00814D19">
      <w:pPr>
        <w:spacing w:line="360" w:lineRule="auto"/>
        <w:ind w:firstLineChars="200" w:firstLine="560"/>
        <w:rPr>
          <w:rFonts w:ascii="Arial" w:eastAsia="仿宋_GB2312" w:hAnsi="Arial" w:cs="Arial"/>
          <w:sz w:val="28"/>
        </w:rPr>
      </w:pPr>
      <w:r w:rsidRPr="00F631FB">
        <w:rPr>
          <w:rFonts w:ascii="Arial" w:eastAsia="仿宋_GB2312" w:hAnsi="Arial" w:cs="Arial"/>
          <w:sz w:val="28"/>
        </w:rPr>
        <w:t>估价对象设定宗地土地开发程度为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（即通路、通电、通讯、通上水、通下水、通燃气、通热），估价对象所在区域为</w:t>
      </w:r>
      <w:r w:rsidR="00A92F3E">
        <w:rPr>
          <w:rFonts w:ascii="Arial" w:eastAsia="仿宋_GB2312" w:hAnsi="Arial" w:cs="Arial" w:hint="eastAsia"/>
          <w:sz w:val="28"/>
        </w:rPr>
        <w:t>二</w:t>
      </w:r>
      <w:r w:rsidRPr="00F631FB">
        <w:rPr>
          <w:rFonts w:ascii="Arial" w:eastAsia="仿宋_GB2312" w:hAnsi="Arial" w:cs="Arial"/>
          <w:sz w:val="28"/>
        </w:rPr>
        <w:t>级地价区，级别基准地价土地开发程度为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（即通路、通电、通讯、通上水、通下水、通燃气、通热），相应用途级别平均容积率为</w:t>
      </w:r>
      <w:r w:rsidRPr="00F631FB">
        <w:rPr>
          <w:rFonts w:ascii="Arial" w:eastAsia="仿宋_GB2312" w:hAnsi="Arial" w:cs="Arial"/>
          <w:sz w:val="28"/>
        </w:rPr>
        <w:t>2.5</w:t>
      </w:r>
      <w:r w:rsidRPr="00F631FB">
        <w:rPr>
          <w:rFonts w:ascii="Arial" w:eastAsia="仿宋_GB2312" w:hAnsi="Arial" w:cs="Arial"/>
          <w:sz w:val="28"/>
        </w:rPr>
        <w:t>。估价对象设定状况与级别开发程度一致，故此处不作修正。</w:t>
      </w:r>
    </w:p>
    <w:p w14:paraId="60588D4E" w14:textId="77777777" w:rsidR="00814D19" w:rsidRDefault="00814D19" w:rsidP="00814D19">
      <w:pPr>
        <w:spacing w:line="360" w:lineRule="auto"/>
        <w:ind w:firstLineChars="200" w:firstLine="560"/>
        <w:rPr>
          <w:rFonts w:ascii="Arial" w:eastAsia="仿宋_GB2312" w:hAnsi="Arial" w:cs="Arial"/>
          <w:sz w:val="28"/>
        </w:rPr>
      </w:pPr>
      <w:r>
        <w:rPr>
          <w:rFonts w:ascii="Arial" w:eastAsia="仿宋_GB2312" w:hAnsi="Arial" w:cs="Arial" w:hint="eastAsia"/>
          <w:sz w:val="28"/>
        </w:rPr>
        <w:t>依上述，估价对象适用的楼面熟地价</w:t>
      </w:r>
      <w:r>
        <w:rPr>
          <w:rFonts w:ascii="Arial" w:eastAsia="仿宋_GB2312" w:hAnsi="Arial" w:cs="Arial" w:hint="eastAsia"/>
          <w:sz w:val="28"/>
        </w:rPr>
        <w:t>=</w:t>
      </w:r>
      <w:r>
        <w:rPr>
          <w:rFonts w:ascii="Arial" w:eastAsia="仿宋_GB2312" w:hAnsi="Arial" w:cs="Arial" w:hint="eastAsia"/>
          <w:sz w:val="28"/>
        </w:rPr>
        <w:t>基准地价水平×特殊情况修正×开发程度差异修正</w:t>
      </w:r>
    </w:p>
    <w:p w14:paraId="4031CDAA" w14:textId="77777777" w:rsidR="00814D19" w:rsidRDefault="00814D19" w:rsidP="00814D19">
      <w:pPr>
        <w:spacing w:line="360" w:lineRule="auto"/>
        <w:ind w:firstLineChars="200" w:firstLine="560"/>
        <w:rPr>
          <w:rFonts w:ascii="Arial" w:eastAsia="仿宋_GB2312" w:hAnsi="Arial" w:cs="Arial"/>
          <w:sz w:val="28"/>
        </w:rPr>
      </w:pPr>
      <w:r>
        <w:rPr>
          <w:rFonts w:ascii="Arial" w:eastAsia="仿宋_GB2312" w:hAnsi="Arial" w:cs="Arial" w:hint="eastAsia"/>
          <w:sz w:val="28"/>
        </w:rPr>
        <w:t>=</w:t>
      </w:r>
      <w:r>
        <w:rPr>
          <w:rFonts w:ascii="Arial" w:eastAsia="仿宋_GB2312" w:hAnsi="Arial" w:cs="Arial"/>
          <w:sz w:val="28"/>
        </w:rPr>
        <w:t>22910×1.2×1</w:t>
      </w:r>
    </w:p>
    <w:p w14:paraId="51ABD4EA" w14:textId="77777777" w:rsidR="00814D19" w:rsidRPr="00F631FB" w:rsidRDefault="00814D19" w:rsidP="00814D19">
      <w:pPr>
        <w:spacing w:line="360" w:lineRule="auto"/>
        <w:ind w:firstLineChars="200" w:firstLine="560"/>
        <w:rPr>
          <w:rFonts w:ascii="Arial" w:eastAsia="仿宋_GB2312" w:hAnsi="Arial" w:cs="Arial"/>
          <w:sz w:val="28"/>
          <w:szCs w:val="29"/>
        </w:rPr>
      </w:pPr>
      <w:r>
        <w:rPr>
          <w:rFonts w:ascii="Arial" w:eastAsia="仿宋_GB2312" w:hAnsi="Arial" w:cs="Arial" w:hint="eastAsia"/>
          <w:sz w:val="28"/>
        </w:rPr>
        <w:t>=</w:t>
      </w:r>
      <w:r>
        <w:rPr>
          <w:rFonts w:ascii="Arial" w:eastAsia="仿宋_GB2312" w:hAnsi="Arial" w:cs="Arial"/>
          <w:sz w:val="28"/>
        </w:rPr>
        <w:t>27492</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4813ECE6"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i/>
          <w:sz w:val="28"/>
        </w:rPr>
      </w:pPr>
      <w:r w:rsidRPr="00F631FB">
        <w:rPr>
          <w:rFonts w:ascii="Arial" w:eastAsia="仿宋_GB2312" w:hAnsi="Arial" w:cs="Arial"/>
          <w:sz w:val="28"/>
        </w:rPr>
        <w:t>2</w:t>
      </w:r>
      <w:r w:rsidRPr="00F631FB">
        <w:rPr>
          <w:rFonts w:ascii="Arial" w:eastAsia="仿宋_GB2312" w:hAnsi="Arial" w:cs="Arial"/>
          <w:sz w:val="28"/>
        </w:rPr>
        <w:t>）用途修正系数的确定</w:t>
      </w:r>
    </w:p>
    <w:p w14:paraId="3F740FDE"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《北京市基准地价更新成果》根据《土地利用现状分类》（</w:t>
      </w:r>
      <w:r w:rsidRPr="00F631FB">
        <w:rPr>
          <w:rFonts w:ascii="Arial" w:eastAsia="仿宋_GB2312" w:hAnsi="Arial" w:cs="Arial"/>
          <w:sz w:val="28"/>
          <w:szCs w:val="29"/>
        </w:rPr>
        <w:t>GB/T21010-</w:t>
      </w:r>
      <w:r w:rsidRPr="00F631FB">
        <w:rPr>
          <w:rFonts w:ascii="Arial" w:eastAsia="仿宋_GB2312" w:hAnsi="Arial" w:cs="Arial"/>
          <w:sz w:val="28"/>
          <w:szCs w:val="29"/>
        </w:rPr>
        <w:lastRenderedPageBreak/>
        <w:t>2007</w:t>
      </w:r>
      <w:r w:rsidRPr="00F631F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62918918"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估价对象用途为</w:t>
      </w:r>
      <w:r>
        <w:rPr>
          <w:rFonts w:ascii="Arial" w:eastAsia="仿宋_GB2312" w:hAnsi="Arial" w:cs="Arial" w:hint="eastAsia"/>
          <w:sz w:val="28"/>
        </w:rPr>
        <w:t>地上</w:t>
      </w:r>
      <w:r w:rsidRPr="00F631FB">
        <w:rPr>
          <w:rFonts w:ascii="Arial" w:eastAsia="仿宋_GB2312" w:hAnsi="Arial" w:cs="Arial" w:hint="eastAsia"/>
          <w:sz w:val="28"/>
        </w:rPr>
        <w:t>住宅</w:t>
      </w:r>
      <w:r w:rsidRPr="00F631FB">
        <w:rPr>
          <w:rFonts w:ascii="Arial" w:eastAsia="仿宋_GB2312" w:hAnsi="Arial" w:cs="Arial"/>
          <w:sz w:val="28"/>
        </w:rPr>
        <w:t>，依据《北京市基准地价用途修正系数表》进行用途修正。</w:t>
      </w:r>
      <w:r w:rsidRPr="00F631FB">
        <w:rPr>
          <w:rFonts w:ascii="Arial" w:eastAsia="仿宋_GB2312" w:hAnsi="Arial" w:cs="Arial" w:hint="eastAsia"/>
          <w:sz w:val="28"/>
        </w:rPr>
        <w:t>住宅</w:t>
      </w:r>
      <w:r w:rsidRPr="00F631FB">
        <w:rPr>
          <w:rFonts w:ascii="Arial" w:eastAsia="仿宋_GB2312" w:hAnsi="Arial" w:cs="Arial"/>
          <w:sz w:val="28"/>
        </w:rPr>
        <w:t>用途修正系数表详见下表：</w:t>
      </w:r>
    </w:p>
    <w:p w14:paraId="04454892" w14:textId="77777777" w:rsidR="00814D19" w:rsidRPr="00F631FB" w:rsidRDefault="00814D19" w:rsidP="00814D19">
      <w:pPr>
        <w:spacing w:line="360" w:lineRule="auto"/>
        <w:jc w:val="center"/>
        <w:rPr>
          <w:rFonts w:ascii="Arial" w:eastAsia="仿宋_GB2312" w:hAnsi="Arial" w:cs="Arial"/>
          <w:bCs/>
          <w:szCs w:val="24"/>
        </w:rPr>
      </w:pPr>
      <w:r w:rsidRPr="00F631FB">
        <w:rPr>
          <w:rFonts w:ascii="Arial" w:eastAsia="仿宋_GB2312" w:hAnsi="Arial" w:cs="Arial"/>
          <w:b/>
          <w:bCs/>
          <w:szCs w:val="24"/>
        </w:rPr>
        <w:t>北京市基准地价用途修正系数表</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814D19" w:rsidRPr="008C06DB" w14:paraId="6B1CBC27" w14:textId="77777777" w:rsidTr="00CE438D">
        <w:trPr>
          <w:trHeight w:val="405"/>
          <w:jc w:val="center"/>
        </w:trPr>
        <w:tc>
          <w:tcPr>
            <w:tcW w:w="1080" w:type="dxa"/>
            <w:vMerge w:val="restart"/>
            <w:shd w:val="clear" w:color="auto" w:fill="auto"/>
            <w:noWrap/>
            <w:vAlign w:val="center"/>
            <w:hideMark/>
          </w:tcPr>
          <w:p w14:paraId="70FDBD43" w14:textId="77777777" w:rsidR="00814D19" w:rsidRPr="008C06DB" w:rsidRDefault="00814D19" w:rsidP="00CE438D">
            <w:pPr>
              <w:widowControl/>
              <w:jc w:val="center"/>
              <w:rPr>
                <w:rFonts w:ascii="Arial" w:eastAsia="仿宋_GB2312" w:hAnsi="Arial" w:cs="Arial"/>
                <w:color w:val="000000"/>
                <w:sz w:val="18"/>
                <w:szCs w:val="18"/>
              </w:rPr>
            </w:pPr>
            <w:r w:rsidRPr="008C06DB">
              <w:rPr>
                <w:rFonts w:ascii="Arial" w:eastAsia="仿宋_GB2312" w:hAnsi="Arial" w:cs="Arial"/>
                <w:color w:val="000000"/>
                <w:sz w:val="18"/>
                <w:szCs w:val="18"/>
              </w:rPr>
              <w:t>居住</w:t>
            </w:r>
          </w:p>
        </w:tc>
        <w:tc>
          <w:tcPr>
            <w:tcW w:w="1300" w:type="dxa"/>
            <w:shd w:val="clear" w:color="auto" w:fill="auto"/>
            <w:noWrap/>
            <w:vAlign w:val="center"/>
            <w:hideMark/>
          </w:tcPr>
          <w:p w14:paraId="5152A455" w14:textId="77777777" w:rsidR="00814D19" w:rsidRPr="008C06DB" w:rsidRDefault="00814D19" w:rsidP="00CE438D">
            <w:pPr>
              <w:widowControl/>
              <w:jc w:val="center"/>
              <w:rPr>
                <w:rFonts w:ascii="Arial" w:eastAsia="仿宋_GB2312" w:hAnsi="Arial" w:cs="Arial"/>
                <w:color w:val="000000"/>
                <w:sz w:val="18"/>
                <w:szCs w:val="18"/>
              </w:rPr>
            </w:pPr>
            <w:r w:rsidRPr="008C06DB">
              <w:rPr>
                <w:rFonts w:ascii="Arial" w:eastAsia="仿宋_GB2312" w:hAnsi="Arial" w:cs="Arial"/>
                <w:color w:val="000000"/>
                <w:sz w:val="18"/>
                <w:szCs w:val="18"/>
              </w:rPr>
              <w:t>比准类别</w:t>
            </w:r>
          </w:p>
        </w:tc>
        <w:tc>
          <w:tcPr>
            <w:tcW w:w="6600" w:type="dxa"/>
            <w:shd w:val="clear" w:color="auto" w:fill="auto"/>
            <w:vAlign w:val="center"/>
            <w:hideMark/>
          </w:tcPr>
          <w:p w14:paraId="6A77276B" w14:textId="77777777" w:rsidR="00814D19" w:rsidRPr="008C06DB" w:rsidRDefault="00814D19" w:rsidP="00CE438D">
            <w:pPr>
              <w:widowControl/>
              <w:rPr>
                <w:rFonts w:ascii="Arial" w:eastAsia="仿宋_GB2312" w:hAnsi="Arial" w:cs="Arial"/>
                <w:color w:val="000000"/>
                <w:sz w:val="18"/>
                <w:szCs w:val="18"/>
              </w:rPr>
            </w:pPr>
            <w:r w:rsidRPr="008C06DB">
              <w:rPr>
                <w:rFonts w:ascii="Arial" w:eastAsia="仿宋_GB2312" w:hAnsi="Arial" w:cs="Arial"/>
                <w:color w:val="000000"/>
                <w:sz w:val="18"/>
                <w:szCs w:val="18"/>
              </w:rPr>
              <w:t>居住用地（指二类居住用地（地上容积率</w:t>
            </w:r>
            <w:r w:rsidRPr="008C06DB">
              <w:rPr>
                <w:rFonts w:ascii="Arial" w:eastAsia="仿宋_GB2312" w:hAnsi="Arial" w:cs="Arial"/>
                <w:color w:val="000000"/>
                <w:sz w:val="18"/>
                <w:szCs w:val="18"/>
              </w:rPr>
              <w:t>≥</w:t>
            </w:r>
            <w:r w:rsidRPr="008C06DB">
              <w:rPr>
                <w:rFonts w:ascii="Arial" w:eastAsia="仿宋_GB2312" w:hAnsi="Arial" w:cs="Arial"/>
                <w:color w:val="000000"/>
                <w:sz w:val="18"/>
                <w:szCs w:val="18"/>
              </w:rPr>
              <w:t>１。）</w:t>
            </w:r>
          </w:p>
        </w:tc>
        <w:tc>
          <w:tcPr>
            <w:tcW w:w="1080" w:type="dxa"/>
            <w:shd w:val="clear" w:color="auto" w:fill="auto"/>
            <w:noWrap/>
            <w:vAlign w:val="center"/>
            <w:hideMark/>
          </w:tcPr>
          <w:p w14:paraId="78302C34" w14:textId="77777777" w:rsidR="00814D19" w:rsidRPr="008C06DB" w:rsidRDefault="00814D19" w:rsidP="00CE438D">
            <w:pPr>
              <w:widowControl/>
              <w:jc w:val="center"/>
              <w:rPr>
                <w:rFonts w:ascii="Arial" w:eastAsia="仿宋_GB2312" w:hAnsi="Arial" w:cs="Arial"/>
                <w:color w:val="000000"/>
                <w:sz w:val="18"/>
                <w:szCs w:val="18"/>
              </w:rPr>
            </w:pPr>
            <w:r w:rsidRPr="008C06DB">
              <w:rPr>
                <w:rFonts w:ascii="Arial" w:eastAsia="仿宋_GB2312" w:hAnsi="Arial" w:cs="Arial"/>
                <w:color w:val="000000"/>
                <w:sz w:val="18"/>
                <w:szCs w:val="18"/>
              </w:rPr>
              <w:t>1</w:t>
            </w:r>
          </w:p>
        </w:tc>
      </w:tr>
      <w:tr w:rsidR="00814D19" w:rsidRPr="008C06DB" w14:paraId="5320E574" w14:textId="77777777" w:rsidTr="00CE438D">
        <w:trPr>
          <w:trHeight w:val="405"/>
          <w:jc w:val="center"/>
        </w:trPr>
        <w:tc>
          <w:tcPr>
            <w:tcW w:w="1080" w:type="dxa"/>
            <w:vMerge/>
            <w:vAlign w:val="center"/>
            <w:hideMark/>
          </w:tcPr>
          <w:p w14:paraId="486B0859" w14:textId="77777777" w:rsidR="00814D19" w:rsidRPr="008C06DB" w:rsidRDefault="00814D19" w:rsidP="00CE438D">
            <w:pPr>
              <w:widowControl/>
              <w:rPr>
                <w:rFonts w:ascii="Arial" w:eastAsia="仿宋_GB2312" w:hAnsi="Arial" w:cs="Arial"/>
                <w:color w:val="000000"/>
                <w:sz w:val="18"/>
                <w:szCs w:val="18"/>
              </w:rPr>
            </w:pPr>
          </w:p>
        </w:tc>
        <w:tc>
          <w:tcPr>
            <w:tcW w:w="1300" w:type="dxa"/>
            <w:shd w:val="clear" w:color="auto" w:fill="auto"/>
            <w:noWrap/>
            <w:vAlign w:val="center"/>
            <w:hideMark/>
          </w:tcPr>
          <w:p w14:paraId="4D2C12A0" w14:textId="77777777" w:rsidR="00814D19" w:rsidRPr="008C06DB" w:rsidRDefault="00814D19" w:rsidP="00CE438D">
            <w:pPr>
              <w:widowControl/>
              <w:jc w:val="center"/>
              <w:rPr>
                <w:rFonts w:ascii="Arial" w:eastAsia="仿宋_GB2312" w:hAnsi="Arial" w:cs="Arial"/>
                <w:color w:val="000000"/>
                <w:sz w:val="18"/>
                <w:szCs w:val="18"/>
              </w:rPr>
            </w:pPr>
            <w:r w:rsidRPr="008C06DB">
              <w:rPr>
                <w:rFonts w:ascii="Arial" w:eastAsia="仿宋_GB2312" w:hAnsi="Arial" w:cs="Arial"/>
                <w:color w:val="000000"/>
                <w:sz w:val="18"/>
                <w:szCs w:val="18"/>
              </w:rPr>
              <w:t>其他类别</w:t>
            </w:r>
          </w:p>
        </w:tc>
        <w:tc>
          <w:tcPr>
            <w:tcW w:w="6600" w:type="dxa"/>
            <w:shd w:val="clear" w:color="auto" w:fill="auto"/>
            <w:noWrap/>
            <w:vAlign w:val="center"/>
            <w:hideMark/>
          </w:tcPr>
          <w:p w14:paraId="2ED36B3A" w14:textId="77777777" w:rsidR="00814D19" w:rsidRPr="008C06DB" w:rsidRDefault="00814D19" w:rsidP="00CE438D">
            <w:pPr>
              <w:widowControl/>
              <w:rPr>
                <w:rFonts w:ascii="Arial" w:eastAsia="仿宋_GB2312" w:hAnsi="Arial" w:cs="Arial"/>
                <w:color w:val="000000"/>
                <w:sz w:val="18"/>
                <w:szCs w:val="18"/>
              </w:rPr>
            </w:pPr>
            <w:r w:rsidRPr="008C06DB">
              <w:rPr>
                <w:rFonts w:ascii="Arial" w:eastAsia="仿宋_GB2312" w:hAnsi="Arial" w:cs="Arial"/>
                <w:color w:val="000000"/>
                <w:sz w:val="18"/>
                <w:szCs w:val="18"/>
              </w:rPr>
              <w:t>居住用地（指一类居住用地（地上容积率＜１。）</w:t>
            </w:r>
          </w:p>
        </w:tc>
        <w:tc>
          <w:tcPr>
            <w:tcW w:w="1080" w:type="dxa"/>
            <w:shd w:val="clear" w:color="auto" w:fill="auto"/>
            <w:noWrap/>
            <w:vAlign w:val="center"/>
            <w:hideMark/>
          </w:tcPr>
          <w:p w14:paraId="7FC56782" w14:textId="77777777" w:rsidR="00814D19" w:rsidRPr="008C06DB" w:rsidRDefault="00814D19" w:rsidP="00CE438D">
            <w:pPr>
              <w:widowControl/>
              <w:jc w:val="center"/>
              <w:rPr>
                <w:rFonts w:ascii="Arial" w:eastAsia="仿宋_GB2312" w:hAnsi="Arial" w:cs="Arial"/>
                <w:color w:val="000000"/>
                <w:sz w:val="18"/>
                <w:szCs w:val="18"/>
              </w:rPr>
            </w:pPr>
            <w:r w:rsidRPr="008C06DB">
              <w:rPr>
                <w:rFonts w:ascii="Arial" w:eastAsia="仿宋_GB2312" w:hAnsi="Arial" w:cs="Arial"/>
                <w:color w:val="000000"/>
                <w:sz w:val="18"/>
                <w:szCs w:val="18"/>
              </w:rPr>
              <w:t>1.5</w:t>
            </w:r>
          </w:p>
        </w:tc>
      </w:tr>
    </w:tbl>
    <w:p w14:paraId="300F7D77" w14:textId="77777777" w:rsidR="00814D19" w:rsidRPr="00F631FB" w:rsidRDefault="00814D19" w:rsidP="00814D19">
      <w:pPr>
        <w:widowControl/>
        <w:overflowPunct w:val="0"/>
        <w:adjustRightInd/>
        <w:spacing w:line="240" w:lineRule="exact"/>
        <w:textAlignment w:val="auto"/>
        <w:rPr>
          <w:rFonts w:ascii="Arial" w:eastAsia="仿宋_GB2312" w:hAnsi="Arial" w:cs="Arial"/>
          <w:sz w:val="18"/>
          <w:szCs w:val="24"/>
        </w:rPr>
      </w:pPr>
    </w:p>
    <w:p w14:paraId="5D4D0E67" w14:textId="103FBFA4" w:rsidR="00814D19" w:rsidRPr="00F631FB" w:rsidRDefault="00814D19" w:rsidP="00814D19">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依据</w:t>
      </w:r>
      <w:r w:rsidR="00A92F3E">
        <w:rPr>
          <w:rFonts w:ascii="Arial" w:eastAsia="仿宋_GB2312" w:hAnsi="Arial" w:cs="Arial" w:hint="eastAsia"/>
          <w:sz w:val="28"/>
          <w:szCs w:val="28"/>
        </w:rPr>
        <w:t>上述面积</w:t>
      </w:r>
      <w:r w:rsidRPr="00F631FB">
        <w:rPr>
          <w:rFonts w:ascii="Arial" w:eastAsia="仿宋_GB2312" w:hAnsi="Arial" w:cs="Arial"/>
          <w:sz w:val="28"/>
          <w:szCs w:val="28"/>
        </w:rPr>
        <w:t>表，估价对象地上</w:t>
      </w:r>
      <w:r w:rsidR="00A92F3E">
        <w:rPr>
          <w:rFonts w:ascii="Arial" w:eastAsia="仿宋_GB2312" w:hAnsi="Arial" w:cs="Arial" w:hint="eastAsia"/>
          <w:sz w:val="28"/>
          <w:szCs w:val="28"/>
        </w:rPr>
        <w:t>容积率为</w:t>
      </w:r>
      <w:r w:rsidR="00A92F3E">
        <w:rPr>
          <w:rFonts w:ascii="Arial" w:eastAsia="仿宋_GB2312" w:hAnsi="Arial" w:cs="Arial" w:hint="eastAsia"/>
          <w:sz w:val="28"/>
          <w:szCs w:val="28"/>
        </w:rPr>
        <w:t>5</w:t>
      </w:r>
      <w:r w:rsidR="00A92F3E">
        <w:rPr>
          <w:rFonts w:ascii="Arial" w:eastAsia="仿宋_GB2312" w:hAnsi="Arial" w:cs="Arial"/>
          <w:sz w:val="28"/>
          <w:szCs w:val="28"/>
        </w:rPr>
        <w:t>.10</w:t>
      </w:r>
      <w:r w:rsidR="00A92F3E">
        <w:rPr>
          <w:rFonts w:ascii="Arial" w:eastAsia="仿宋_GB2312" w:hAnsi="Arial" w:cs="Arial" w:hint="eastAsia"/>
          <w:sz w:val="28"/>
          <w:szCs w:val="28"/>
        </w:rPr>
        <w:t>，故地上</w:t>
      </w:r>
      <w:r w:rsidRPr="00F631FB">
        <w:rPr>
          <w:rFonts w:ascii="Arial" w:eastAsia="仿宋_GB2312" w:hAnsi="Arial" w:cs="Arial" w:hint="eastAsia"/>
          <w:sz w:val="28"/>
          <w:szCs w:val="28"/>
        </w:rPr>
        <w:t>住宅</w:t>
      </w:r>
      <w:r w:rsidRPr="00F631FB">
        <w:rPr>
          <w:rFonts w:ascii="Arial" w:eastAsia="仿宋_GB2312" w:hAnsi="Arial" w:cs="Arial"/>
          <w:sz w:val="28"/>
          <w:szCs w:val="28"/>
        </w:rPr>
        <w:t>部分用途修正系数为</w:t>
      </w:r>
      <w:r w:rsidRPr="00F631FB">
        <w:rPr>
          <w:rFonts w:ascii="Arial" w:eastAsia="仿宋_GB2312" w:hAnsi="Arial" w:cs="Arial"/>
          <w:sz w:val="28"/>
          <w:szCs w:val="28"/>
        </w:rPr>
        <w:t>1</w:t>
      </w:r>
      <w:r w:rsidRPr="00F631FB">
        <w:rPr>
          <w:rFonts w:ascii="Arial" w:eastAsia="仿宋_GB2312" w:hAnsi="Arial" w:cs="Arial"/>
          <w:sz w:val="28"/>
          <w:szCs w:val="28"/>
        </w:rPr>
        <w:t>。</w:t>
      </w:r>
    </w:p>
    <w:p w14:paraId="702E6CE4" w14:textId="77777777" w:rsidR="00814D19" w:rsidRPr="00F631FB" w:rsidRDefault="00814D19" w:rsidP="00814D19">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3</w:t>
      </w:r>
      <w:r w:rsidRPr="00F631FB">
        <w:rPr>
          <w:rFonts w:ascii="Arial" w:eastAsia="仿宋_GB2312" w:hAnsi="Arial" w:cs="Arial"/>
          <w:sz w:val="28"/>
          <w:szCs w:val="28"/>
        </w:rPr>
        <w:t>）期日修正系数的确定</w:t>
      </w:r>
    </w:p>
    <w:p w14:paraId="4014611D" w14:textId="77777777" w:rsidR="00814D19" w:rsidRPr="00F631FB" w:rsidRDefault="00814D19" w:rsidP="00814D19">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szCs w:val="28"/>
        </w:rPr>
        <w:t>北京市基准地价更新成果（二Ｏ一四年）》规定，基准地价期日修正系数必须以北京市地价动态监测成果公布的地价增值率为准。</w:t>
      </w:r>
    </w:p>
    <w:p w14:paraId="68DE59CB" w14:textId="0E5A3849" w:rsidR="00814D19" w:rsidRDefault="00814D19" w:rsidP="00814D19">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北京市基准地价更新成果的基准日为</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1</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日，本次评估的估价期日为</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15</w:t>
      </w:r>
      <w:r>
        <w:rPr>
          <w:rFonts w:ascii="Arial" w:eastAsia="仿宋_GB2312" w:hAnsi="Arial" w:cs="Arial"/>
          <w:sz w:val="28"/>
          <w:szCs w:val="28"/>
        </w:rPr>
        <w:t>日</w:t>
      </w:r>
      <w:r w:rsidRPr="00F631FB">
        <w:rPr>
          <w:rFonts w:ascii="Arial" w:eastAsia="仿宋_GB2312" w:hAnsi="Arial" w:cs="Arial"/>
          <w:sz w:val="28"/>
          <w:szCs w:val="28"/>
        </w:rPr>
        <w:t>，熟地价期日修正以北京市地价动态监测成果公布的地价增长率为准：</w:t>
      </w:r>
    </w:p>
    <w:p w14:paraId="362E1193" w14:textId="6072CB99" w:rsidR="00E906EE" w:rsidRPr="00F631FB" w:rsidRDefault="00E906EE" w:rsidP="00814D19">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4FEE91BF" w14:textId="77777777" w:rsidR="00E906EE" w:rsidRDefault="00E906EE" w:rsidP="00814D19">
      <w:pPr>
        <w:spacing w:line="360" w:lineRule="auto"/>
        <w:jc w:val="center"/>
        <w:rPr>
          <w:rFonts w:ascii="Arial" w:eastAsia="仿宋_GB2312" w:hAnsi="Arial" w:cs="Arial"/>
          <w:sz w:val="28"/>
          <w:szCs w:val="28"/>
        </w:rPr>
      </w:pPr>
      <w:r>
        <w:rPr>
          <w:rFonts w:ascii="Arial" w:eastAsia="仿宋_GB2312" w:hAnsi="Arial" w:cs="Arial"/>
          <w:sz w:val="28"/>
          <w:szCs w:val="28"/>
        </w:rPr>
        <w:br w:type="page"/>
      </w:r>
    </w:p>
    <w:p w14:paraId="3527ACCB" w14:textId="6607AFC2" w:rsidR="00814D19" w:rsidRPr="00F631FB" w:rsidRDefault="00814D19" w:rsidP="00814D19">
      <w:pPr>
        <w:spacing w:line="360" w:lineRule="auto"/>
        <w:jc w:val="center"/>
        <w:rPr>
          <w:rFonts w:ascii="Arial" w:eastAsia="仿宋_GB2312" w:hAnsi="Arial" w:cs="Arial"/>
          <w:sz w:val="28"/>
          <w:szCs w:val="28"/>
        </w:rPr>
      </w:pPr>
      <w:r w:rsidRPr="00F631FB">
        <w:rPr>
          <w:rFonts w:ascii="Arial" w:eastAsia="仿宋_GB2312" w:hAnsi="Arial" w:cs="Arial"/>
          <w:sz w:val="28"/>
          <w:szCs w:val="28"/>
        </w:rPr>
        <w:lastRenderedPageBreak/>
        <w:t>中国城市地价动态监测网站公布</w:t>
      </w:r>
    </w:p>
    <w:p w14:paraId="4E1CBEBD" w14:textId="77777777" w:rsidR="00814D19" w:rsidRPr="007B33BD" w:rsidRDefault="00814D19" w:rsidP="00814D19">
      <w:pPr>
        <w:spacing w:line="360" w:lineRule="auto"/>
        <w:ind w:firstLineChars="200" w:firstLine="482"/>
        <w:jc w:val="center"/>
        <w:rPr>
          <w:rFonts w:ascii="Arial" w:eastAsia="仿宋_GB2312" w:hAnsi="Arial" w:cs="Arial"/>
          <w:b/>
          <w:szCs w:val="24"/>
        </w:rPr>
      </w:pPr>
      <w:r w:rsidRPr="00F631FB">
        <w:rPr>
          <w:rFonts w:ascii="Arial" w:eastAsia="仿宋_GB2312" w:hAnsi="Arial" w:cs="Arial"/>
          <w:b/>
          <w:szCs w:val="24"/>
        </w:rPr>
        <w:t xml:space="preserve">                        </w:t>
      </w:r>
      <w:r w:rsidRPr="002C7FBA">
        <w:rPr>
          <w:rFonts w:ascii="Arial" w:eastAsia="仿宋_GB2312" w:hAnsi="Arial" w:cs="Arial"/>
          <w:bCs/>
          <w:szCs w:val="24"/>
        </w:rPr>
        <w:t xml:space="preserve">  </w:t>
      </w:r>
      <w:r w:rsidRPr="007B33BD">
        <w:rPr>
          <w:rFonts w:ascii="Arial" w:eastAsia="仿宋_GB2312" w:hAnsi="Arial" w:cs="Arial"/>
          <w:b/>
          <w:szCs w:val="24"/>
        </w:rPr>
        <w:t>北京市地价增长率</w:t>
      </w:r>
      <w:r w:rsidRPr="002C7FBA">
        <w:rPr>
          <w:rFonts w:ascii="Arial" w:eastAsia="仿宋_GB2312" w:hAnsi="Arial" w:cs="Arial"/>
          <w:bCs/>
          <w:szCs w:val="24"/>
        </w:rPr>
        <w:t xml:space="preserve">                   </w:t>
      </w:r>
      <w:r w:rsidRPr="007B33BD">
        <w:rPr>
          <w:rFonts w:ascii="Arial" w:eastAsia="仿宋_GB2312" w:hAnsi="Arial" w:cs="Arial"/>
          <w:b/>
          <w:szCs w:val="24"/>
        </w:rPr>
        <w:t>单位</w:t>
      </w:r>
      <w:r w:rsidRPr="007B33BD">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814D19" w:rsidRPr="008C06DB" w14:paraId="3CFC1786" w14:textId="77777777" w:rsidTr="00CE438D">
        <w:trPr>
          <w:cantSplit/>
          <w:trHeight w:val="20"/>
          <w:tblHeader/>
          <w:jc w:val="center"/>
        </w:trPr>
        <w:tc>
          <w:tcPr>
            <w:tcW w:w="1550" w:type="dxa"/>
            <w:vAlign w:val="center"/>
          </w:tcPr>
          <w:p w14:paraId="3FCE2E1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年度</w:t>
            </w:r>
          </w:p>
        </w:tc>
        <w:tc>
          <w:tcPr>
            <w:tcW w:w="1550" w:type="dxa"/>
            <w:vAlign w:val="center"/>
          </w:tcPr>
          <w:p w14:paraId="63CA91CD"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季度</w:t>
            </w:r>
          </w:p>
        </w:tc>
        <w:tc>
          <w:tcPr>
            <w:tcW w:w="1525" w:type="dxa"/>
            <w:vAlign w:val="center"/>
          </w:tcPr>
          <w:p w14:paraId="6D484BD2"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综合</w:t>
            </w:r>
          </w:p>
        </w:tc>
        <w:tc>
          <w:tcPr>
            <w:tcW w:w="1575" w:type="dxa"/>
            <w:vAlign w:val="center"/>
          </w:tcPr>
          <w:p w14:paraId="0991BC2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商服</w:t>
            </w:r>
          </w:p>
        </w:tc>
        <w:tc>
          <w:tcPr>
            <w:tcW w:w="1550" w:type="dxa"/>
            <w:vAlign w:val="center"/>
          </w:tcPr>
          <w:p w14:paraId="36EB668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住宅</w:t>
            </w:r>
          </w:p>
        </w:tc>
        <w:tc>
          <w:tcPr>
            <w:tcW w:w="1549" w:type="dxa"/>
            <w:vAlign w:val="center"/>
          </w:tcPr>
          <w:p w14:paraId="7FC829E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工业</w:t>
            </w:r>
          </w:p>
        </w:tc>
      </w:tr>
      <w:tr w:rsidR="00814D19" w:rsidRPr="008C06DB" w14:paraId="24D98BCD" w14:textId="77777777" w:rsidTr="00CE438D">
        <w:trPr>
          <w:cantSplit/>
          <w:trHeight w:val="20"/>
          <w:tblHeader/>
          <w:jc w:val="center"/>
        </w:trPr>
        <w:tc>
          <w:tcPr>
            <w:tcW w:w="1550" w:type="dxa"/>
            <w:vMerge w:val="restart"/>
            <w:vAlign w:val="center"/>
          </w:tcPr>
          <w:p w14:paraId="2E1F47B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2021</w:t>
            </w:r>
          </w:p>
        </w:tc>
        <w:tc>
          <w:tcPr>
            <w:tcW w:w="1550" w:type="dxa"/>
            <w:vAlign w:val="center"/>
          </w:tcPr>
          <w:p w14:paraId="010F481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w:t>
            </w:r>
          </w:p>
        </w:tc>
        <w:tc>
          <w:tcPr>
            <w:tcW w:w="1525" w:type="dxa"/>
            <w:vAlign w:val="center"/>
          </w:tcPr>
          <w:p w14:paraId="424D89ED"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0.47</w:t>
            </w:r>
          </w:p>
        </w:tc>
        <w:tc>
          <w:tcPr>
            <w:tcW w:w="1575" w:type="dxa"/>
            <w:vAlign w:val="center"/>
          </w:tcPr>
          <w:p w14:paraId="33B10E5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0.41</w:t>
            </w:r>
          </w:p>
        </w:tc>
        <w:tc>
          <w:tcPr>
            <w:tcW w:w="1550" w:type="dxa"/>
            <w:vAlign w:val="center"/>
          </w:tcPr>
          <w:p w14:paraId="2A7FB1E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0.48</w:t>
            </w:r>
          </w:p>
        </w:tc>
        <w:tc>
          <w:tcPr>
            <w:tcW w:w="1549" w:type="dxa"/>
            <w:vAlign w:val="center"/>
          </w:tcPr>
          <w:p w14:paraId="7FD83797"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0.48</w:t>
            </w:r>
          </w:p>
        </w:tc>
      </w:tr>
      <w:tr w:rsidR="00814D19" w:rsidRPr="008C06DB" w14:paraId="4B5287A2" w14:textId="77777777" w:rsidTr="00CE438D">
        <w:trPr>
          <w:cantSplit/>
          <w:trHeight w:val="20"/>
          <w:jc w:val="center"/>
        </w:trPr>
        <w:tc>
          <w:tcPr>
            <w:tcW w:w="1550" w:type="dxa"/>
            <w:vMerge/>
            <w:vAlign w:val="center"/>
          </w:tcPr>
          <w:p w14:paraId="48D4F956"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2D6E251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25" w:type="dxa"/>
            <w:vAlign w:val="center"/>
          </w:tcPr>
          <w:p w14:paraId="7592D7A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0.92</w:t>
            </w:r>
          </w:p>
        </w:tc>
        <w:tc>
          <w:tcPr>
            <w:tcW w:w="1575" w:type="dxa"/>
            <w:vAlign w:val="center"/>
          </w:tcPr>
          <w:p w14:paraId="1D68D148"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0.72</w:t>
            </w:r>
          </w:p>
        </w:tc>
        <w:tc>
          <w:tcPr>
            <w:tcW w:w="1550" w:type="dxa"/>
            <w:vAlign w:val="center"/>
          </w:tcPr>
          <w:p w14:paraId="59316AE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0.95</w:t>
            </w:r>
          </w:p>
        </w:tc>
        <w:tc>
          <w:tcPr>
            <w:tcW w:w="1549" w:type="dxa"/>
            <w:vAlign w:val="center"/>
          </w:tcPr>
          <w:p w14:paraId="57E01A0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1.01</w:t>
            </w:r>
          </w:p>
        </w:tc>
      </w:tr>
      <w:tr w:rsidR="00814D19" w:rsidRPr="008C06DB" w14:paraId="30BE1171" w14:textId="77777777" w:rsidTr="00CE438D">
        <w:trPr>
          <w:cantSplit/>
          <w:trHeight w:val="20"/>
          <w:jc w:val="center"/>
        </w:trPr>
        <w:tc>
          <w:tcPr>
            <w:tcW w:w="1550" w:type="dxa"/>
            <w:vMerge/>
            <w:vAlign w:val="center"/>
          </w:tcPr>
          <w:p w14:paraId="382A2193"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4356E86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w:t>
            </w:r>
          </w:p>
        </w:tc>
        <w:tc>
          <w:tcPr>
            <w:tcW w:w="1525" w:type="dxa"/>
            <w:vAlign w:val="center"/>
          </w:tcPr>
          <w:p w14:paraId="781FB09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0.97</w:t>
            </w:r>
          </w:p>
        </w:tc>
        <w:tc>
          <w:tcPr>
            <w:tcW w:w="1575" w:type="dxa"/>
            <w:vAlign w:val="center"/>
          </w:tcPr>
          <w:p w14:paraId="72C712A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0.16</w:t>
            </w:r>
          </w:p>
        </w:tc>
        <w:tc>
          <w:tcPr>
            <w:tcW w:w="1550" w:type="dxa"/>
            <w:vAlign w:val="center"/>
          </w:tcPr>
          <w:p w14:paraId="5A249E7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1.11</w:t>
            </w:r>
          </w:p>
        </w:tc>
        <w:tc>
          <w:tcPr>
            <w:tcW w:w="1549" w:type="dxa"/>
            <w:vAlign w:val="center"/>
          </w:tcPr>
          <w:p w14:paraId="49DFFB72"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0.36</w:t>
            </w:r>
          </w:p>
        </w:tc>
      </w:tr>
      <w:tr w:rsidR="00814D19" w:rsidRPr="008C06DB" w14:paraId="6AE915C1" w14:textId="77777777" w:rsidTr="00CE438D">
        <w:trPr>
          <w:cantSplit/>
          <w:trHeight w:val="20"/>
          <w:jc w:val="center"/>
        </w:trPr>
        <w:tc>
          <w:tcPr>
            <w:tcW w:w="1550" w:type="dxa"/>
            <w:vMerge w:val="restart"/>
            <w:vAlign w:val="center"/>
          </w:tcPr>
          <w:p w14:paraId="06AFEB67"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2020</w:t>
            </w:r>
          </w:p>
        </w:tc>
        <w:tc>
          <w:tcPr>
            <w:tcW w:w="1550" w:type="dxa"/>
            <w:vAlign w:val="center"/>
          </w:tcPr>
          <w:p w14:paraId="25E68F9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w:t>
            </w:r>
          </w:p>
        </w:tc>
        <w:tc>
          <w:tcPr>
            <w:tcW w:w="1525" w:type="dxa"/>
            <w:vAlign w:val="center"/>
          </w:tcPr>
          <w:p w14:paraId="1920083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2.07</w:t>
            </w:r>
          </w:p>
        </w:tc>
        <w:tc>
          <w:tcPr>
            <w:tcW w:w="1575" w:type="dxa"/>
            <w:vAlign w:val="center"/>
          </w:tcPr>
          <w:p w14:paraId="7CE74CAA"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0.37</w:t>
            </w:r>
          </w:p>
        </w:tc>
        <w:tc>
          <w:tcPr>
            <w:tcW w:w="1550" w:type="dxa"/>
            <w:vAlign w:val="center"/>
          </w:tcPr>
          <w:p w14:paraId="5075022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2.35</w:t>
            </w:r>
          </w:p>
        </w:tc>
        <w:tc>
          <w:tcPr>
            <w:tcW w:w="1549" w:type="dxa"/>
            <w:vAlign w:val="center"/>
          </w:tcPr>
          <w:p w14:paraId="33E17242"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2.69</w:t>
            </w:r>
          </w:p>
        </w:tc>
      </w:tr>
      <w:tr w:rsidR="00814D19" w:rsidRPr="008C06DB" w14:paraId="127E68FE" w14:textId="77777777" w:rsidTr="00CE438D">
        <w:trPr>
          <w:cantSplit/>
          <w:trHeight w:val="20"/>
          <w:jc w:val="center"/>
        </w:trPr>
        <w:tc>
          <w:tcPr>
            <w:tcW w:w="1550" w:type="dxa"/>
            <w:vMerge/>
            <w:vAlign w:val="center"/>
          </w:tcPr>
          <w:p w14:paraId="0AF48DC5"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62EF6D6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w:t>
            </w:r>
          </w:p>
        </w:tc>
        <w:tc>
          <w:tcPr>
            <w:tcW w:w="1525" w:type="dxa"/>
            <w:vAlign w:val="center"/>
          </w:tcPr>
          <w:p w14:paraId="1644A9B0"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0.36</w:t>
            </w:r>
          </w:p>
        </w:tc>
        <w:tc>
          <w:tcPr>
            <w:tcW w:w="1575" w:type="dxa"/>
            <w:vAlign w:val="center"/>
          </w:tcPr>
          <w:p w14:paraId="632E914A"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-0.39</w:t>
            </w:r>
          </w:p>
        </w:tc>
        <w:tc>
          <w:tcPr>
            <w:tcW w:w="1550" w:type="dxa"/>
            <w:vAlign w:val="center"/>
          </w:tcPr>
          <w:p w14:paraId="0C88A13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0.49</w:t>
            </w:r>
          </w:p>
        </w:tc>
        <w:tc>
          <w:tcPr>
            <w:tcW w:w="1549" w:type="dxa"/>
            <w:vAlign w:val="center"/>
          </w:tcPr>
          <w:p w14:paraId="709EADC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0.07</w:t>
            </w:r>
          </w:p>
        </w:tc>
      </w:tr>
      <w:tr w:rsidR="00814D19" w:rsidRPr="008C06DB" w14:paraId="45D30A8E" w14:textId="77777777" w:rsidTr="00CE438D">
        <w:trPr>
          <w:cantSplit/>
          <w:trHeight w:val="20"/>
          <w:jc w:val="center"/>
        </w:trPr>
        <w:tc>
          <w:tcPr>
            <w:tcW w:w="1550" w:type="dxa"/>
            <w:vMerge/>
            <w:vAlign w:val="center"/>
          </w:tcPr>
          <w:p w14:paraId="168E91BF"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767A0C1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25" w:type="dxa"/>
            <w:vAlign w:val="center"/>
          </w:tcPr>
          <w:p w14:paraId="432E1DE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0.31</w:t>
            </w:r>
          </w:p>
        </w:tc>
        <w:tc>
          <w:tcPr>
            <w:tcW w:w="1575" w:type="dxa"/>
            <w:vAlign w:val="center"/>
          </w:tcPr>
          <w:p w14:paraId="5B3D06A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-0.78</w:t>
            </w:r>
          </w:p>
        </w:tc>
        <w:tc>
          <w:tcPr>
            <w:tcW w:w="1550" w:type="dxa"/>
            <w:vAlign w:val="center"/>
          </w:tcPr>
          <w:p w14:paraId="4F34D3D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0.5</w:t>
            </w:r>
          </w:p>
        </w:tc>
        <w:tc>
          <w:tcPr>
            <w:tcW w:w="1549" w:type="dxa"/>
            <w:vAlign w:val="center"/>
          </w:tcPr>
          <w:p w14:paraId="38AFA82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0.47</w:t>
            </w:r>
          </w:p>
        </w:tc>
      </w:tr>
      <w:tr w:rsidR="00814D19" w:rsidRPr="008C06DB" w14:paraId="217331E8" w14:textId="77777777" w:rsidTr="00CE438D">
        <w:trPr>
          <w:cantSplit/>
          <w:trHeight w:val="20"/>
          <w:jc w:val="center"/>
        </w:trPr>
        <w:tc>
          <w:tcPr>
            <w:tcW w:w="1550" w:type="dxa"/>
            <w:vMerge/>
            <w:vAlign w:val="center"/>
          </w:tcPr>
          <w:p w14:paraId="4C48C55F"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1EC8BAE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w:t>
            </w:r>
          </w:p>
        </w:tc>
        <w:tc>
          <w:tcPr>
            <w:tcW w:w="1525" w:type="dxa"/>
            <w:vAlign w:val="center"/>
          </w:tcPr>
          <w:p w14:paraId="15B7379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0.12</w:t>
            </w:r>
          </w:p>
        </w:tc>
        <w:tc>
          <w:tcPr>
            <w:tcW w:w="1575" w:type="dxa"/>
            <w:vAlign w:val="center"/>
          </w:tcPr>
          <w:p w14:paraId="30DD5A0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-0.40</w:t>
            </w:r>
          </w:p>
        </w:tc>
        <w:tc>
          <w:tcPr>
            <w:tcW w:w="1550" w:type="dxa"/>
            <w:vAlign w:val="center"/>
          </w:tcPr>
          <w:p w14:paraId="36D29548"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0.21</w:t>
            </w:r>
          </w:p>
        </w:tc>
        <w:tc>
          <w:tcPr>
            <w:tcW w:w="1549" w:type="dxa"/>
            <w:vAlign w:val="center"/>
          </w:tcPr>
          <w:p w14:paraId="47B5B87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0.27</w:t>
            </w:r>
          </w:p>
        </w:tc>
      </w:tr>
      <w:tr w:rsidR="00814D19" w:rsidRPr="008C06DB" w14:paraId="621260DA" w14:textId="77777777" w:rsidTr="00CE438D">
        <w:trPr>
          <w:cantSplit/>
          <w:trHeight w:val="20"/>
          <w:jc w:val="center"/>
        </w:trPr>
        <w:tc>
          <w:tcPr>
            <w:tcW w:w="1550" w:type="dxa"/>
            <w:vMerge w:val="restart"/>
            <w:vAlign w:val="center"/>
          </w:tcPr>
          <w:p w14:paraId="5B4E685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2019</w:t>
            </w:r>
          </w:p>
        </w:tc>
        <w:tc>
          <w:tcPr>
            <w:tcW w:w="1550" w:type="dxa"/>
            <w:vAlign w:val="center"/>
          </w:tcPr>
          <w:p w14:paraId="6A05FAB7"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w:t>
            </w:r>
          </w:p>
        </w:tc>
        <w:tc>
          <w:tcPr>
            <w:tcW w:w="1525" w:type="dxa"/>
            <w:vAlign w:val="center"/>
          </w:tcPr>
          <w:p w14:paraId="02703D4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0.45</w:t>
            </w:r>
          </w:p>
        </w:tc>
        <w:tc>
          <w:tcPr>
            <w:tcW w:w="1575" w:type="dxa"/>
            <w:vAlign w:val="center"/>
          </w:tcPr>
          <w:p w14:paraId="26EAF3B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-0.12</w:t>
            </w:r>
          </w:p>
        </w:tc>
        <w:tc>
          <w:tcPr>
            <w:tcW w:w="1550" w:type="dxa"/>
            <w:vAlign w:val="center"/>
          </w:tcPr>
          <w:p w14:paraId="1E941B5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0.54</w:t>
            </w:r>
          </w:p>
        </w:tc>
        <w:tc>
          <w:tcPr>
            <w:tcW w:w="1549" w:type="dxa"/>
            <w:vAlign w:val="center"/>
          </w:tcPr>
          <w:p w14:paraId="32EA502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0.48</w:t>
            </w:r>
          </w:p>
        </w:tc>
      </w:tr>
      <w:tr w:rsidR="00814D19" w:rsidRPr="008C06DB" w14:paraId="45474C03" w14:textId="77777777" w:rsidTr="00CE438D">
        <w:trPr>
          <w:cantSplit/>
          <w:trHeight w:val="20"/>
          <w:jc w:val="center"/>
        </w:trPr>
        <w:tc>
          <w:tcPr>
            <w:tcW w:w="1550" w:type="dxa"/>
            <w:vMerge/>
            <w:vAlign w:val="center"/>
          </w:tcPr>
          <w:p w14:paraId="761A8639"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729C42A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w:t>
            </w:r>
          </w:p>
        </w:tc>
        <w:tc>
          <w:tcPr>
            <w:tcW w:w="1525" w:type="dxa"/>
            <w:vAlign w:val="center"/>
          </w:tcPr>
          <w:p w14:paraId="6FB5C39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0.61</w:t>
            </w:r>
          </w:p>
        </w:tc>
        <w:tc>
          <w:tcPr>
            <w:tcW w:w="1575" w:type="dxa"/>
            <w:vAlign w:val="center"/>
          </w:tcPr>
          <w:p w14:paraId="2B1CE68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0.67</w:t>
            </w:r>
          </w:p>
        </w:tc>
        <w:tc>
          <w:tcPr>
            <w:tcW w:w="1550" w:type="dxa"/>
            <w:vAlign w:val="center"/>
          </w:tcPr>
          <w:p w14:paraId="0EC5645A"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0.6</w:t>
            </w:r>
          </w:p>
        </w:tc>
        <w:tc>
          <w:tcPr>
            <w:tcW w:w="1549" w:type="dxa"/>
            <w:vAlign w:val="center"/>
          </w:tcPr>
          <w:p w14:paraId="45A77BD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1.03</w:t>
            </w:r>
          </w:p>
        </w:tc>
      </w:tr>
      <w:tr w:rsidR="00814D19" w:rsidRPr="008C06DB" w14:paraId="4AF4205A" w14:textId="77777777" w:rsidTr="00CE438D">
        <w:trPr>
          <w:cantSplit/>
          <w:trHeight w:val="20"/>
          <w:jc w:val="center"/>
        </w:trPr>
        <w:tc>
          <w:tcPr>
            <w:tcW w:w="1550" w:type="dxa"/>
            <w:vMerge/>
            <w:vAlign w:val="center"/>
          </w:tcPr>
          <w:p w14:paraId="5B3BE58E"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23E269F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25" w:type="dxa"/>
            <w:vAlign w:val="center"/>
          </w:tcPr>
          <w:p w14:paraId="400788A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1.53</w:t>
            </w:r>
          </w:p>
        </w:tc>
        <w:tc>
          <w:tcPr>
            <w:tcW w:w="1575" w:type="dxa"/>
            <w:vAlign w:val="center"/>
          </w:tcPr>
          <w:p w14:paraId="7C129F1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1.01</w:t>
            </w:r>
          </w:p>
        </w:tc>
        <w:tc>
          <w:tcPr>
            <w:tcW w:w="1550" w:type="dxa"/>
            <w:vAlign w:val="center"/>
          </w:tcPr>
          <w:p w14:paraId="716F5F6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1.62</w:t>
            </w:r>
          </w:p>
        </w:tc>
        <w:tc>
          <w:tcPr>
            <w:tcW w:w="1549" w:type="dxa"/>
            <w:vAlign w:val="center"/>
          </w:tcPr>
          <w:p w14:paraId="58AB9EB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1.25</w:t>
            </w:r>
          </w:p>
        </w:tc>
      </w:tr>
      <w:tr w:rsidR="00814D19" w:rsidRPr="008C06DB" w14:paraId="15CDD1C7" w14:textId="77777777" w:rsidTr="00CE438D">
        <w:trPr>
          <w:cantSplit/>
          <w:trHeight w:val="20"/>
          <w:jc w:val="center"/>
        </w:trPr>
        <w:tc>
          <w:tcPr>
            <w:tcW w:w="1550" w:type="dxa"/>
            <w:vMerge/>
            <w:vAlign w:val="center"/>
          </w:tcPr>
          <w:p w14:paraId="128A090B"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5489B77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w:t>
            </w:r>
          </w:p>
        </w:tc>
        <w:tc>
          <w:tcPr>
            <w:tcW w:w="1525" w:type="dxa"/>
            <w:vAlign w:val="center"/>
          </w:tcPr>
          <w:p w14:paraId="42516E6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0.6</w:t>
            </w:r>
          </w:p>
        </w:tc>
        <w:tc>
          <w:tcPr>
            <w:tcW w:w="1575" w:type="dxa"/>
            <w:vAlign w:val="center"/>
          </w:tcPr>
          <w:p w14:paraId="4906765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0.37</w:t>
            </w:r>
          </w:p>
        </w:tc>
        <w:tc>
          <w:tcPr>
            <w:tcW w:w="1550" w:type="dxa"/>
            <w:vAlign w:val="center"/>
          </w:tcPr>
          <w:p w14:paraId="17F77FB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0.63</w:t>
            </w:r>
          </w:p>
        </w:tc>
        <w:tc>
          <w:tcPr>
            <w:tcW w:w="1549" w:type="dxa"/>
            <w:vAlign w:val="center"/>
          </w:tcPr>
          <w:p w14:paraId="0CEA5BB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1.13</w:t>
            </w:r>
          </w:p>
        </w:tc>
      </w:tr>
      <w:tr w:rsidR="00814D19" w:rsidRPr="008C06DB" w14:paraId="50D17468" w14:textId="77777777" w:rsidTr="00CE438D">
        <w:trPr>
          <w:cantSplit/>
          <w:trHeight w:val="20"/>
          <w:jc w:val="center"/>
        </w:trPr>
        <w:tc>
          <w:tcPr>
            <w:tcW w:w="1550" w:type="dxa"/>
            <w:vMerge w:val="restart"/>
            <w:vAlign w:val="center"/>
          </w:tcPr>
          <w:p w14:paraId="13F585A7"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2018</w:t>
            </w:r>
          </w:p>
        </w:tc>
        <w:tc>
          <w:tcPr>
            <w:tcW w:w="1550" w:type="dxa"/>
            <w:vAlign w:val="center"/>
          </w:tcPr>
          <w:p w14:paraId="4D1520A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w:t>
            </w:r>
          </w:p>
        </w:tc>
        <w:tc>
          <w:tcPr>
            <w:tcW w:w="1525" w:type="dxa"/>
            <w:vAlign w:val="center"/>
          </w:tcPr>
          <w:p w14:paraId="3E9256F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0.96</w:t>
            </w:r>
          </w:p>
        </w:tc>
        <w:tc>
          <w:tcPr>
            <w:tcW w:w="1575" w:type="dxa"/>
            <w:vAlign w:val="center"/>
          </w:tcPr>
          <w:p w14:paraId="0F20548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1.03</w:t>
            </w:r>
          </w:p>
        </w:tc>
        <w:tc>
          <w:tcPr>
            <w:tcW w:w="1550" w:type="dxa"/>
            <w:vAlign w:val="center"/>
          </w:tcPr>
          <w:p w14:paraId="6658458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0.92</w:t>
            </w:r>
          </w:p>
        </w:tc>
        <w:tc>
          <w:tcPr>
            <w:tcW w:w="1549" w:type="dxa"/>
            <w:vAlign w:val="center"/>
          </w:tcPr>
          <w:p w14:paraId="636FBDC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1.29</w:t>
            </w:r>
          </w:p>
        </w:tc>
      </w:tr>
      <w:tr w:rsidR="00814D19" w:rsidRPr="008C06DB" w14:paraId="71107272" w14:textId="77777777" w:rsidTr="00CE438D">
        <w:trPr>
          <w:cantSplit/>
          <w:trHeight w:val="20"/>
          <w:jc w:val="center"/>
        </w:trPr>
        <w:tc>
          <w:tcPr>
            <w:tcW w:w="1550" w:type="dxa"/>
            <w:vMerge/>
            <w:vAlign w:val="center"/>
          </w:tcPr>
          <w:p w14:paraId="0E6B9B31"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512D5F5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w:t>
            </w:r>
          </w:p>
        </w:tc>
        <w:tc>
          <w:tcPr>
            <w:tcW w:w="1525" w:type="dxa"/>
            <w:vAlign w:val="center"/>
          </w:tcPr>
          <w:p w14:paraId="54B09EA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1.51</w:t>
            </w:r>
          </w:p>
        </w:tc>
        <w:tc>
          <w:tcPr>
            <w:tcW w:w="1575" w:type="dxa"/>
            <w:vAlign w:val="center"/>
          </w:tcPr>
          <w:p w14:paraId="16C3FA30"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1.41</w:t>
            </w:r>
          </w:p>
        </w:tc>
        <w:tc>
          <w:tcPr>
            <w:tcW w:w="1550" w:type="dxa"/>
            <w:vAlign w:val="center"/>
          </w:tcPr>
          <w:p w14:paraId="7761C4C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1.52</w:t>
            </w:r>
          </w:p>
        </w:tc>
        <w:tc>
          <w:tcPr>
            <w:tcW w:w="1549" w:type="dxa"/>
            <w:vAlign w:val="center"/>
          </w:tcPr>
          <w:p w14:paraId="7CC6C8C0"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1.74</w:t>
            </w:r>
          </w:p>
        </w:tc>
      </w:tr>
      <w:tr w:rsidR="00814D19" w:rsidRPr="008C06DB" w14:paraId="1B5F08DF" w14:textId="77777777" w:rsidTr="00CE438D">
        <w:trPr>
          <w:cantSplit/>
          <w:trHeight w:val="20"/>
          <w:jc w:val="center"/>
        </w:trPr>
        <w:tc>
          <w:tcPr>
            <w:tcW w:w="1550" w:type="dxa"/>
            <w:vMerge/>
            <w:vAlign w:val="center"/>
          </w:tcPr>
          <w:p w14:paraId="1F0373A1"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6277B6D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25" w:type="dxa"/>
            <w:vAlign w:val="center"/>
          </w:tcPr>
          <w:p w14:paraId="25AE174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1.49</w:t>
            </w:r>
          </w:p>
        </w:tc>
        <w:tc>
          <w:tcPr>
            <w:tcW w:w="1575" w:type="dxa"/>
            <w:vAlign w:val="center"/>
          </w:tcPr>
          <w:p w14:paraId="22C0732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0.96</w:t>
            </w:r>
          </w:p>
        </w:tc>
        <w:tc>
          <w:tcPr>
            <w:tcW w:w="1550" w:type="dxa"/>
            <w:vAlign w:val="center"/>
          </w:tcPr>
          <w:p w14:paraId="4C0DC5DA"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1.58</w:t>
            </w:r>
          </w:p>
        </w:tc>
        <w:tc>
          <w:tcPr>
            <w:tcW w:w="1549" w:type="dxa"/>
            <w:vAlign w:val="center"/>
          </w:tcPr>
          <w:p w14:paraId="476C289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2.44</w:t>
            </w:r>
          </w:p>
        </w:tc>
      </w:tr>
      <w:tr w:rsidR="00814D19" w:rsidRPr="008C06DB" w14:paraId="574E900A" w14:textId="77777777" w:rsidTr="00CE438D">
        <w:trPr>
          <w:cantSplit/>
          <w:trHeight w:val="20"/>
          <w:jc w:val="center"/>
        </w:trPr>
        <w:tc>
          <w:tcPr>
            <w:tcW w:w="1550" w:type="dxa"/>
            <w:vMerge/>
            <w:vAlign w:val="center"/>
          </w:tcPr>
          <w:p w14:paraId="27E413D4"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73D9640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w:t>
            </w:r>
          </w:p>
        </w:tc>
        <w:tc>
          <w:tcPr>
            <w:tcW w:w="1525" w:type="dxa"/>
            <w:vAlign w:val="center"/>
          </w:tcPr>
          <w:p w14:paraId="75E08E8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1.7</w:t>
            </w:r>
          </w:p>
        </w:tc>
        <w:tc>
          <w:tcPr>
            <w:tcW w:w="1575" w:type="dxa"/>
            <w:vAlign w:val="center"/>
          </w:tcPr>
          <w:p w14:paraId="42C9C83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1.92</w:t>
            </w:r>
          </w:p>
        </w:tc>
        <w:tc>
          <w:tcPr>
            <w:tcW w:w="1550" w:type="dxa"/>
            <w:vAlign w:val="center"/>
          </w:tcPr>
          <w:p w14:paraId="52128560"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1.64</w:t>
            </w:r>
          </w:p>
        </w:tc>
        <w:tc>
          <w:tcPr>
            <w:tcW w:w="1549" w:type="dxa"/>
            <w:vAlign w:val="center"/>
          </w:tcPr>
          <w:p w14:paraId="2B9391D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2.01</w:t>
            </w:r>
          </w:p>
        </w:tc>
      </w:tr>
      <w:tr w:rsidR="00814D19" w:rsidRPr="008C06DB" w14:paraId="059E82C5" w14:textId="77777777" w:rsidTr="00CE438D">
        <w:trPr>
          <w:cantSplit/>
          <w:trHeight w:val="20"/>
          <w:jc w:val="center"/>
        </w:trPr>
        <w:tc>
          <w:tcPr>
            <w:tcW w:w="1550" w:type="dxa"/>
            <w:vMerge w:val="restart"/>
            <w:vAlign w:val="center"/>
          </w:tcPr>
          <w:p w14:paraId="7BF8AC8A"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2017</w:t>
            </w:r>
          </w:p>
        </w:tc>
        <w:tc>
          <w:tcPr>
            <w:tcW w:w="1550" w:type="dxa"/>
            <w:vAlign w:val="center"/>
          </w:tcPr>
          <w:p w14:paraId="0E00335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w:t>
            </w:r>
          </w:p>
        </w:tc>
        <w:tc>
          <w:tcPr>
            <w:tcW w:w="1525" w:type="dxa"/>
            <w:vAlign w:val="center"/>
          </w:tcPr>
          <w:p w14:paraId="38BDE778"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1.71</w:t>
            </w:r>
          </w:p>
        </w:tc>
        <w:tc>
          <w:tcPr>
            <w:tcW w:w="1575" w:type="dxa"/>
            <w:vAlign w:val="center"/>
          </w:tcPr>
          <w:p w14:paraId="6865CB2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1.78</w:t>
            </w:r>
          </w:p>
        </w:tc>
        <w:tc>
          <w:tcPr>
            <w:tcW w:w="1550" w:type="dxa"/>
            <w:vAlign w:val="center"/>
          </w:tcPr>
          <w:p w14:paraId="242F418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1.71</w:t>
            </w:r>
          </w:p>
        </w:tc>
        <w:tc>
          <w:tcPr>
            <w:tcW w:w="1549" w:type="dxa"/>
            <w:vAlign w:val="center"/>
          </w:tcPr>
          <w:p w14:paraId="43F0BD6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1.43</w:t>
            </w:r>
          </w:p>
        </w:tc>
      </w:tr>
      <w:tr w:rsidR="00814D19" w:rsidRPr="008C06DB" w14:paraId="449F4D3E" w14:textId="77777777" w:rsidTr="00CE438D">
        <w:trPr>
          <w:cantSplit/>
          <w:trHeight w:val="20"/>
          <w:jc w:val="center"/>
        </w:trPr>
        <w:tc>
          <w:tcPr>
            <w:tcW w:w="1550" w:type="dxa"/>
            <w:vMerge/>
            <w:vAlign w:val="center"/>
          </w:tcPr>
          <w:p w14:paraId="2D0B6016"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2871FF6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w:t>
            </w:r>
          </w:p>
        </w:tc>
        <w:tc>
          <w:tcPr>
            <w:tcW w:w="1525" w:type="dxa"/>
            <w:vAlign w:val="center"/>
          </w:tcPr>
          <w:p w14:paraId="385F592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2.98</w:t>
            </w:r>
          </w:p>
        </w:tc>
        <w:tc>
          <w:tcPr>
            <w:tcW w:w="1575" w:type="dxa"/>
            <w:vAlign w:val="center"/>
          </w:tcPr>
          <w:p w14:paraId="3CECCF8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2.11</w:t>
            </w:r>
          </w:p>
        </w:tc>
        <w:tc>
          <w:tcPr>
            <w:tcW w:w="1550" w:type="dxa"/>
            <w:vAlign w:val="center"/>
          </w:tcPr>
          <w:p w14:paraId="63E1CF52"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3.24</w:t>
            </w:r>
          </w:p>
        </w:tc>
        <w:tc>
          <w:tcPr>
            <w:tcW w:w="1549" w:type="dxa"/>
            <w:vAlign w:val="center"/>
          </w:tcPr>
          <w:p w14:paraId="68DB6AD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1.72</w:t>
            </w:r>
          </w:p>
        </w:tc>
      </w:tr>
      <w:tr w:rsidR="00814D19" w:rsidRPr="008C06DB" w14:paraId="40077518" w14:textId="77777777" w:rsidTr="00CE438D">
        <w:trPr>
          <w:cantSplit/>
          <w:trHeight w:val="20"/>
          <w:jc w:val="center"/>
        </w:trPr>
        <w:tc>
          <w:tcPr>
            <w:tcW w:w="1550" w:type="dxa"/>
            <w:vMerge/>
            <w:vAlign w:val="center"/>
          </w:tcPr>
          <w:p w14:paraId="2E631CC4"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2B534B7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25" w:type="dxa"/>
            <w:vAlign w:val="center"/>
          </w:tcPr>
          <w:p w14:paraId="3583F4C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3.4</w:t>
            </w:r>
          </w:p>
        </w:tc>
        <w:tc>
          <w:tcPr>
            <w:tcW w:w="1575" w:type="dxa"/>
            <w:vAlign w:val="center"/>
          </w:tcPr>
          <w:p w14:paraId="2251F4C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50" w:type="dxa"/>
            <w:vAlign w:val="center"/>
          </w:tcPr>
          <w:p w14:paraId="3D28F7A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3.82</w:t>
            </w:r>
          </w:p>
        </w:tc>
        <w:tc>
          <w:tcPr>
            <w:tcW w:w="1549" w:type="dxa"/>
            <w:vAlign w:val="center"/>
          </w:tcPr>
          <w:p w14:paraId="67B258D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1.68</w:t>
            </w:r>
          </w:p>
        </w:tc>
      </w:tr>
      <w:tr w:rsidR="00814D19" w:rsidRPr="008C06DB" w14:paraId="5512C3DE" w14:textId="77777777" w:rsidTr="00CE438D">
        <w:trPr>
          <w:cantSplit/>
          <w:trHeight w:val="20"/>
          <w:jc w:val="center"/>
        </w:trPr>
        <w:tc>
          <w:tcPr>
            <w:tcW w:w="1550" w:type="dxa"/>
            <w:vMerge/>
            <w:vAlign w:val="center"/>
          </w:tcPr>
          <w:p w14:paraId="7923E1A6"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70948587"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w:t>
            </w:r>
          </w:p>
        </w:tc>
        <w:tc>
          <w:tcPr>
            <w:tcW w:w="1525" w:type="dxa"/>
            <w:vAlign w:val="center"/>
          </w:tcPr>
          <w:p w14:paraId="0CD37F5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3.45</w:t>
            </w:r>
          </w:p>
        </w:tc>
        <w:tc>
          <w:tcPr>
            <w:tcW w:w="1575" w:type="dxa"/>
            <w:vAlign w:val="center"/>
          </w:tcPr>
          <w:p w14:paraId="28C9B4E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1.92</w:t>
            </w:r>
          </w:p>
        </w:tc>
        <w:tc>
          <w:tcPr>
            <w:tcW w:w="1550" w:type="dxa"/>
            <w:vAlign w:val="center"/>
          </w:tcPr>
          <w:p w14:paraId="5D2CE80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3.92</w:t>
            </w:r>
          </w:p>
        </w:tc>
        <w:tc>
          <w:tcPr>
            <w:tcW w:w="1549" w:type="dxa"/>
            <w:vAlign w:val="center"/>
          </w:tcPr>
          <w:p w14:paraId="1ECDB7D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1.58</w:t>
            </w:r>
          </w:p>
        </w:tc>
      </w:tr>
      <w:tr w:rsidR="00814D19" w:rsidRPr="008C06DB" w14:paraId="266945FD" w14:textId="77777777" w:rsidTr="00CE438D">
        <w:trPr>
          <w:cantSplit/>
          <w:trHeight w:val="20"/>
          <w:jc w:val="center"/>
        </w:trPr>
        <w:tc>
          <w:tcPr>
            <w:tcW w:w="1550" w:type="dxa"/>
            <w:vMerge w:val="restart"/>
            <w:vAlign w:val="center"/>
          </w:tcPr>
          <w:p w14:paraId="4BF0F2CA"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2016</w:t>
            </w:r>
          </w:p>
        </w:tc>
        <w:tc>
          <w:tcPr>
            <w:tcW w:w="1550" w:type="dxa"/>
            <w:vAlign w:val="center"/>
          </w:tcPr>
          <w:p w14:paraId="759F12B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w:t>
            </w:r>
          </w:p>
        </w:tc>
        <w:tc>
          <w:tcPr>
            <w:tcW w:w="1525" w:type="dxa"/>
            <w:vAlign w:val="center"/>
          </w:tcPr>
          <w:p w14:paraId="729EB0F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4.56</w:t>
            </w:r>
          </w:p>
        </w:tc>
        <w:tc>
          <w:tcPr>
            <w:tcW w:w="1575" w:type="dxa"/>
            <w:vAlign w:val="center"/>
          </w:tcPr>
          <w:p w14:paraId="4CF767D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2.15</w:t>
            </w:r>
          </w:p>
        </w:tc>
        <w:tc>
          <w:tcPr>
            <w:tcW w:w="1550" w:type="dxa"/>
            <w:vAlign w:val="center"/>
          </w:tcPr>
          <w:p w14:paraId="4A569B6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5.32</w:t>
            </w:r>
          </w:p>
        </w:tc>
        <w:tc>
          <w:tcPr>
            <w:tcW w:w="1549" w:type="dxa"/>
            <w:vAlign w:val="center"/>
          </w:tcPr>
          <w:p w14:paraId="7794E6D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1.57</w:t>
            </w:r>
          </w:p>
        </w:tc>
      </w:tr>
      <w:tr w:rsidR="00814D19" w:rsidRPr="008C06DB" w14:paraId="3FA69802" w14:textId="77777777" w:rsidTr="00CE438D">
        <w:trPr>
          <w:cantSplit/>
          <w:trHeight w:val="20"/>
          <w:jc w:val="center"/>
        </w:trPr>
        <w:tc>
          <w:tcPr>
            <w:tcW w:w="1550" w:type="dxa"/>
            <w:vMerge/>
            <w:vAlign w:val="center"/>
          </w:tcPr>
          <w:p w14:paraId="2FAEBA13"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5D25497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w:t>
            </w:r>
          </w:p>
        </w:tc>
        <w:tc>
          <w:tcPr>
            <w:tcW w:w="1525" w:type="dxa"/>
            <w:vAlign w:val="center"/>
          </w:tcPr>
          <w:p w14:paraId="7A80168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4.12</w:t>
            </w:r>
          </w:p>
        </w:tc>
        <w:tc>
          <w:tcPr>
            <w:tcW w:w="1575" w:type="dxa"/>
            <w:vAlign w:val="center"/>
          </w:tcPr>
          <w:p w14:paraId="1EEDDB2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50" w:type="dxa"/>
            <w:vAlign w:val="center"/>
          </w:tcPr>
          <w:p w14:paraId="25FDC01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4.79</w:t>
            </w:r>
          </w:p>
        </w:tc>
        <w:tc>
          <w:tcPr>
            <w:tcW w:w="1549" w:type="dxa"/>
            <w:vAlign w:val="center"/>
          </w:tcPr>
          <w:p w14:paraId="12BEE01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1.97</w:t>
            </w:r>
          </w:p>
        </w:tc>
      </w:tr>
      <w:tr w:rsidR="00814D19" w:rsidRPr="008C06DB" w14:paraId="2EC4A031" w14:textId="77777777" w:rsidTr="00CE438D">
        <w:trPr>
          <w:cantSplit/>
          <w:trHeight w:val="20"/>
          <w:jc w:val="center"/>
        </w:trPr>
        <w:tc>
          <w:tcPr>
            <w:tcW w:w="1550" w:type="dxa"/>
            <w:vMerge/>
            <w:vAlign w:val="center"/>
          </w:tcPr>
          <w:p w14:paraId="75226887"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4411012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25" w:type="dxa"/>
            <w:vAlign w:val="center"/>
          </w:tcPr>
          <w:p w14:paraId="5B65DD4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3.85</w:t>
            </w:r>
          </w:p>
        </w:tc>
        <w:tc>
          <w:tcPr>
            <w:tcW w:w="1575" w:type="dxa"/>
            <w:vAlign w:val="center"/>
          </w:tcPr>
          <w:p w14:paraId="6DE5E74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1.95</w:t>
            </w:r>
          </w:p>
        </w:tc>
        <w:tc>
          <w:tcPr>
            <w:tcW w:w="1550" w:type="dxa"/>
            <w:vAlign w:val="center"/>
          </w:tcPr>
          <w:p w14:paraId="27E6280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4.48</w:t>
            </w:r>
          </w:p>
        </w:tc>
        <w:tc>
          <w:tcPr>
            <w:tcW w:w="1549" w:type="dxa"/>
            <w:vAlign w:val="center"/>
          </w:tcPr>
          <w:p w14:paraId="439B101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1.41</w:t>
            </w:r>
          </w:p>
        </w:tc>
      </w:tr>
      <w:tr w:rsidR="00814D19" w:rsidRPr="008C06DB" w14:paraId="5E313BE2" w14:textId="77777777" w:rsidTr="00CE438D">
        <w:trPr>
          <w:cantSplit/>
          <w:trHeight w:val="20"/>
          <w:jc w:val="center"/>
        </w:trPr>
        <w:tc>
          <w:tcPr>
            <w:tcW w:w="1550" w:type="dxa"/>
            <w:vMerge/>
            <w:vAlign w:val="center"/>
          </w:tcPr>
          <w:p w14:paraId="484231DF"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2E80091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w:t>
            </w:r>
          </w:p>
        </w:tc>
        <w:tc>
          <w:tcPr>
            <w:tcW w:w="1525" w:type="dxa"/>
            <w:vAlign w:val="center"/>
          </w:tcPr>
          <w:p w14:paraId="00E9590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4.09</w:t>
            </w:r>
          </w:p>
        </w:tc>
        <w:tc>
          <w:tcPr>
            <w:tcW w:w="1575" w:type="dxa"/>
            <w:vAlign w:val="center"/>
          </w:tcPr>
          <w:p w14:paraId="13081DD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2.93</w:t>
            </w:r>
          </w:p>
        </w:tc>
        <w:tc>
          <w:tcPr>
            <w:tcW w:w="1550" w:type="dxa"/>
            <w:vAlign w:val="center"/>
          </w:tcPr>
          <w:p w14:paraId="396D3D2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4.54</w:t>
            </w:r>
          </w:p>
        </w:tc>
        <w:tc>
          <w:tcPr>
            <w:tcW w:w="1549" w:type="dxa"/>
            <w:vAlign w:val="center"/>
          </w:tcPr>
          <w:p w14:paraId="2ECF350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1.48</w:t>
            </w:r>
          </w:p>
        </w:tc>
      </w:tr>
      <w:tr w:rsidR="00814D19" w:rsidRPr="008C06DB" w14:paraId="63C09D21" w14:textId="77777777" w:rsidTr="00CE438D">
        <w:trPr>
          <w:cantSplit/>
          <w:trHeight w:val="20"/>
          <w:jc w:val="center"/>
        </w:trPr>
        <w:tc>
          <w:tcPr>
            <w:tcW w:w="1550" w:type="dxa"/>
            <w:vMerge w:val="restart"/>
            <w:vAlign w:val="center"/>
          </w:tcPr>
          <w:p w14:paraId="21D322B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2015</w:t>
            </w:r>
          </w:p>
        </w:tc>
        <w:tc>
          <w:tcPr>
            <w:tcW w:w="1550" w:type="dxa"/>
            <w:vAlign w:val="center"/>
          </w:tcPr>
          <w:p w14:paraId="3BE8C477"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w:t>
            </w:r>
          </w:p>
        </w:tc>
        <w:tc>
          <w:tcPr>
            <w:tcW w:w="1525" w:type="dxa"/>
            <w:vAlign w:val="center"/>
          </w:tcPr>
          <w:p w14:paraId="6BC5E338"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1.63</w:t>
            </w:r>
          </w:p>
        </w:tc>
        <w:tc>
          <w:tcPr>
            <w:tcW w:w="1575" w:type="dxa"/>
            <w:vAlign w:val="center"/>
          </w:tcPr>
          <w:p w14:paraId="21AABAF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1.11</w:t>
            </w:r>
          </w:p>
        </w:tc>
        <w:tc>
          <w:tcPr>
            <w:tcW w:w="1550" w:type="dxa"/>
            <w:vAlign w:val="center"/>
          </w:tcPr>
          <w:p w14:paraId="2DD2F3CA"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1.77</w:t>
            </w:r>
          </w:p>
        </w:tc>
        <w:tc>
          <w:tcPr>
            <w:tcW w:w="1549" w:type="dxa"/>
            <w:vAlign w:val="center"/>
          </w:tcPr>
          <w:p w14:paraId="10DF5B5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1.89</w:t>
            </w:r>
          </w:p>
        </w:tc>
      </w:tr>
      <w:tr w:rsidR="00814D19" w:rsidRPr="008C06DB" w14:paraId="33A0B4D4" w14:textId="77777777" w:rsidTr="00CE438D">
        <w:trPr>
          <w:cantSplit/>
          <w:trHeight w:val="20"/>
          <w:jc w:val="center"/>
        </w:trPr>
        <w:tc>
          <w:tcPr>
            <w:tcW w:w="1550" w:type="dxa"/>
            <w:vMerge/>
            <w:vAlign w:val="center"/>
          </w:tcPr>
          <w:p w14:paraId="6F58EA7B"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41285550"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w:t>
            </w:r>
          </w:p>
        </w:tc>
        <w:tc>
          <w:tcPr>
            <w:tcW w:w="1525" w:type="dxa"/>
            <w:vAlign w:val="center"/>
          </w:tcPr>
          <w:p w14:paraId="435DB5C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1.65</w:t>
            </w:r>
          </w:p>
        </w:tc>
        <w:tc>
          <w:tcPr>
            <w:tcW w:w="1575" w:type="dxa"/>
            <w:vAlign w:val="center"/>
          </w:tcPr>
          <w:p w14:paraId="7D146E3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0.92</w:t>
            </w:r>
          </w:p>
        </w:tc>
        <w:tc>
          <w:tcPr>
            <w:tcW w:w="1550" w:type="dxa"/>
            <w:vAlign w:val="center"/>
          </w:tcPr>
          <w:p w14:paraId="13D4E74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1.88</w:t>
            </w:r>
          </w:p>
        </w:tc>
        <w:tc>
          <w:tcPr>
            <w:tcW w:w="1549" w:type="dxa"/>
            <w:vAlign w:val="center"/>
          </w:tcPr>
          <w:p w14:paraId="69BA8582"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1.26</w:t>
            </w:r>
          </w:p>
        </w:tc>
      </w:tr>
      <w:tr w:rsidR="00814D19" w:rsidRPr="008C06DB" w14:paraId="2DED1DA7" w14:textId="77777777" w:rsidTr="00CE438D">
        <w:trPr>
          <w:cantSplit/>
          <w:trHeight w:val="20"/>
          <w:jc w:val="center"/>
        </w:trPr>
        <w:tc>
          <w:tcPr>
            <w:tcW w:w="1550" w:type="dxa"/>
            <w:vMerge/>
            <w:vAlign w:val="center"/>
          </w:tcPr>
          <w:p w14:paraId="3745F25F"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116FF9A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25" w:type="dxa"/>
            <w:vAlign w:val="center"/>
          </w:tcPr>
          <w:p w14:paraId="0FCA79E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0.77</w:t>
            </w:r>
          </w:p>
        </w:tc>
        <w:tc>
          <w:tcPr>
            <w:tcW w:w="1575" w:type="dxa"/>
            <w:vAlign w:val="center"/>
          </w:tcPr>
          <w:p w14:paraId="65B2754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0.69</w:t>
            </w:r>
          </w:p>
        </w:tc>
        <w:tc>
          <w:tcPr>
            <w:tcW w:w="1550" w:type="dxa"/>
            <w:vAlign w:val="center"/>
          </w:tcPr>
          <w:p w14:paraId="0A49AB5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0.8</w:t>
            </w:r>
          </w:p>
        </w:tc>
        <w:tc>
          <w:tcPr>
            <w:tcW w:w="1549" w:type="dxa"/>
            <w:vAlign w:val="center"/>
          </w:tcPr>
          <w:p w14:paraId="473DEE5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0.88</w:t>
            </w:r>
          </w:p>
        </w:tc>
      </w:tr>
      <w:tr w:rsidR="00814D19" w:rsidRPr="008C06DB" w14:paraId="40535446" w14:textId="77777777" w:rsidTr="00CE438D">
        <w:trPr>
          <w:cantSplit/>
          <w:trHeight w:val="20"/>
          <w:jc w:val="center"/>
        </w:trPr>
        <w:tc>
          <w:tcPr>
            <w:tcW w:w="1550" w:type="dxa"/>
            <w:vMerge/>
            <w:vAlign w:val="center"/>
          </w:tcPr>
          <w:p w14:paraId="7C976349"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56C8DCA2"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w:t>
            </w:r>
          </w:p>
        </w:tc>
        <w:tc>
          <w:tcPr>
            <w:tcW w:w="1525" w:type="dxa"/>
            <w:vAlign w:val="center"/>
          </w:tcPr>
          <w:p w14:paraId="72C50917"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0.51</w:t>
            </w:r>
          </w:p>
        </w:tc>
        <w:tc>
          <w:tcPr>
            <w:tcW w:w="1575" w:type="dxa"/>
            <w:vAlign w:val="center"/>
          </w:tcPr>
          <w:p w14:paraId="0BFABA2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0.54</w:t>
            </w:r>
          </w:p>
        </w:tc>
        <w:tc>
          <w:tcPr>
            <w:tcW w:w="1550" w:type="dxa"/>
            <w:vAlign w:val="center"/>
          </w:tcPr>
          <w:p w14:paraId="2CC5563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0.48</w:t>
            </w:r>
          </w:p>
        </w:tc>
        <w:tc>
          <w:tcPr>
            <w:tcW w:w="1549" w:type="dxa"/>
            <w:vAlign w:val="center"/>
          </w:tcPr>
          <w:p w14:paraId="298A791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0.93</w:t>
            </w:r>
          </w:p>
        </w:tc>
      </w:tr>
      <w:tr w:rsidR="00814D19" w:rsidRPr="008C06DB" w14:paraId="1C5A15A8" w14:textId="77777777" w:rsidTr="00CE438D">
        <w:trPr>
          <w:cantSplit/>
          <w:trHeight w:val="20"/>
          <w:jc w:val="center"/>
        </w:trPr>
        <w:tc>
          <w:tcPr>
            <w:tcW w:w="1550" w:type="dxa"/>
            <w:vMerge w:val="restart"/>
            <w:vAlign w:val="center"/>
          </w:tcPr>
          <w:p w14:paraId="57D4C5C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lastRenderedPageBreak/>
              <w:t>2014</w:t>
            </w:r>
          </w:p>
        </w:tc>
        <w:tc>
          <w:tcPr>
            <w:tcW w:w="1550" w:type="dxa"/>
            <w:vAlign w:val="center"/>
          </w:tcPr>
          <w:p w14:paraId="18B3BCD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w:t>
            </w:r>
          </w:p>
        </w:tc>
        <w:tc>
          <w:tcPr>
            <w:tcW w:w="1525" w:type="dxa"/>
            <w:vAlign w:val="center"/>
          </w:tcPr>
          <w:p w14:paraId="4260F06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0.21</w:t>
            </w:r>
          </w:p>
        </w:tc>
        <w:tc>
          <w:tcPr>
            <w:tcW w:w="1575" w:type="dxa"/>
            <w:vAlign w:val="center"/>
          </w:tcPr>
          <w:p w14:paraId="1BF481C2"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0.41</w:t>
            </w:r>
          </w:p>
        </w:tc>
        <w:tc>
          <w:tcPr>
            <w:tcW w:w="1550" w:type="dxa"/>
            <w:vAlign w:val="center"/>
          </w:tcPr>
          <w:p w14:paraId="0E22A222"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0.12</w:t>
            </w:r>
          </w:p>
        </w:tc>
        <w:tc>
          <w:tcPr>
            <w:tcW w:w="1549" w:type="dxa"/>
            <w:vAlign w:val="center"/>
          </w:tcPr>
          <w:p w14:paraId="61B29DB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0.89</w:t>
            </w:r>
          </w:p>
        </w:tc>
      </w:tr>
      <w:tr w:rsidR="00814D19" w:rsidRPr="008C06DB" w14:paraId="035FDBE0" w14:textId="77777777" w:rsidTr="00CE438D">
        <w:trPr>
          <w:cantSplit/>
          <w:trHeight w:val="20"/>
          <w:jc w:val="center"/>
        </w:trPr>
        <w:tc>
          <w:tcPr>
            <w:tcW w:w="1550" w:type="dxa"/>
            <w:vMerge/>
            <w:vAlign w:val="center"/>
          </w:tcPr>
          <w:p w14:paraId="46FD9823"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09C242D8"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w:t>
            </w:r>
          </w:p>
        </w:tc>
        <w:tc>
          <w:tcPr>
            <w:tcW w:w="1525" w:type="dxa"/>
            <w:vAlign w:val="center"/>
          </w:tcPr>
          <w:p w14:paraId="7C8B20E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0.83</w:t>
            </w:r>
          </w:p>
        </w:tc>
        <w:tc>
          <w:tcPr>
            <w:tcW w:w="1575" w:type="dxa"/>
            <w:vAlign w:val="center"/>
          </w:tcPr>
          <w:p w14:paraId="007AF06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1.47</w:t>
            </w:r>
          </w:p>
        </w:tc>
        <w:tc>
          <w:tcPr>
            <w:tcW w:w="1550" w:type="dxa"/>
            <w:vAlign w:val="center"/>
          </w:tcPr>
          <w:p w14:paraId="0764696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0.65</w:t>
            </w:r>
          </w:p>
        </w:tc>
        <w:tc>
          <w:tcPr>
            <w:tcW w:w="1549" w:type="dxa"/>
            <w:vAlign w:val="center"/>
          </w:tcPr>
          <w:p w14:paraId="322CFFD8"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0.72</w:t>
            </w:r>
          </w:p>
        </w:tc>
      </w:tr>
      <w:tr w:rsidR="00814D19" w:rsidRPr="008C06DB" w14:paraId="76F01CCE" w14:textId="77777777" w:rsidTr="00CE438D">
        <w:trPr>
          <w:cantSplit/>
          <w:trHeight w:val="20"/>
          <w:jc w:val="center"/>
        </w:trPr>
        <w:tc>
          <w:tcPr>
            <w:tcW w:w="1550" w:type="dxa"/>
            <w:vMerge/>
            <w:vAlign w:val="center"/>
          </w:tcPr>
          <w:p w14:paraId="0F82C668"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27022B1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25" w:type="dxa"/>
            <w:vAlign w:val="center"/>
          </w:tcPr>
          <w:p w14:paraId="193B95A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2.4</w:t>
            </w:r>
          </w:p>
        </w:tc>
        <w:tc>
          <w:tcPr>
            <w:tcW w:w="1575" w:type="dxa"/>
            <w:vAlign w:val="center"/>
          </w:tcPr>
          <w:p w14:paraId="1DE97277"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2.03</w:t>
            </w:r>
          </w:p>
        </w:tc>
        <w:tc>
          <w:tcPr>
            <w:tcW w:w="1550" w:type="dxa"/>
            <w:vAlign w:val="center"/>
          </w:tcPr>
          <w:p w14:paraId="1FD8F6F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2.59</w:t>
            </w:r>
          </w:p>
        </w:tc>
        <w:tc>
          <w:tcPr>
            <w:tcW w:w="1549" w:type="dxa"/>
            <w:vAlign w:val="center"/>
          </w:tcPr>
          <w:p w14:paraId="6186441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1.52</w:t>
            </w:r>
          </w:p>
        </w:tc>
      </w:tr>
      <w:tr w:rsidR="00814D19" w:rsidRPr="008C06DB" w14:paraId="5194ED05" w14:textId="77777777" w:rsidTr="00CE438D">
        <w:trPr>
          <w:cantSplit/>
          <w:trHeight w:val="20"/>
          <w:jc w:val="center"/>
        </w:trPr>
        <w:tc>
          <w:tcPr>
            <w:tcW w:w="1550" w:type="dxa"/>
            <w:vMerge/>
            <w:vAlign w:val="center"/>
          </w:tcPr>
          <w:p w14:paraId="748E148D"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09B7600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w:t>
            </w:r>
          </w:p>
        </w:tc>
        <w:tc>
          <w:tcPr>
            <w:tcW w:w="1525" w:type="dxa"/>
            <w:vAlign w:val="center"/>
          </w:tcPr>
          <w:p w14:paraId="5AEBE1A8"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2.97</w:t>
            </w:r>
          </w:p>
        </w:tc>
        <w:tc>
          <w:tcPr>
            <w:tcW w:w="1575" w:type="dxa"/>
            <w:vAlign w:val="center"/>
          </w:tcPr>
          <w:p w14:paraId="263CC03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2.34</w:t>
            </w:r>
          </w:p>
        </w:tc>
        <w:tc>
          <w:tcPr>
            <w:tcW w:w="1550" w:type="dxa"/>
            <w:vAlign w:val="center"/>
          </w:tcPr>
          <w:p w14:paraId="03A63A0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3.28</w:t>
            </w:r>
          </w:p>
        </w:tc>
        <w:tc>
          <w:tcPr>
            <w:tcW w:w="1549" w:type="dxa"/>
            <w:vAlign w:val="center"/>
          </w:tcPr>
          <w:p w14:paraId="1B0CB55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1.36</w:t>
            </w:r>
          </w:p>
        </w:tc>
      </w:tr>
    </w:tbl>
    <w:p w14:paraId="5955B7AD" w14:textId="77777777" w:rsidR="00814D19" w:rsidRPr="00F631FB" w:rsidRDefault="00814D19" w:rsidP="00814D19">
      <w:pPr>
        <w:spacing w:line="360" w:lineRule="auto"/>
        <w:ind w:firstLineChars="200" w:firstLine="560"/>
        <w:rPr>
          <w:rFonts w:ascii="Arial" w:eastAsia="仿宋_GB2312" w:hAnsi="Arial" w:cs="Arial"/>
          <w:sz w:val="28"/>
        </w:rPr>
      </w:pPr>
      <w:r w:rsidRPr="00F631FB">
        <w:rPr>
          <w:rFonts w:ascii="Arial" w:eastAsia="仿宋_GB2312" w:hAnsi="Arial" w:cs="Arial"/>
          <w:sz w:val="28"/>
        </w:rPr>
        <w:t>则：</w:t>
      </w:r>
    </w:p>
    <w:p w14:paraId="4874400A" w14:textId="631BACEA" w:rsidR="00814D19" w:rsidRPr="00F631FB" w:rsidRDefault="00814D19" w:rsidP="00814D19">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参</w:t>
      </w:r>
      <w:r w:rsidRPr="00F631FB">
        <w:rPr>
          <w:rFonts w:ascii="Arial" w:eastAsia="仿宋_GB2312" w:hAnsi="Arial" w:cs="Arial"/>
          <w:sz w:val="28"/>
          <w:szCs w:val="28"/>
        </w:rPr>
        <w:t>照北京市规划和自然资源委员会对办理国有建设用地使用权</w:t>
      </w:r>
      <w:r w:rsidR="00E906EE">
        <w:rPr>
          <w:rFonts w:ascii="Arial" w:eastAsia="仿宋_GB2312" w:hAnsi="Arial" w:cs="Arial" w:hint="eastAsia"/>
          <w:sz w:val="28"/>
          <w:szCs w:val="28"/>
        </w:rPr>
        <w:t>招标</w:t>
      </w:r>
      <w:r w:rsidRPr="00F631FB">
        <w:rPr>
          <w:rFonts w:ascii="Arial" w:eastAsia="仿宋_GB2312" w:hAnsi="Arial" w:cs="Arial"/>
          <w:sz w:val="28"/>
          <w:szCs w:val="28"/>
        </w:rPr>
        <w:t>出让以及地价评审的要求，</w:t>
      </w:r>
      <w:r w:rsidRPr="00F631FB">
        <w:rPr>
          <w:rFonts w:ascii="Arial" w:eastAsia="仿宋_GB2312" w:hAnsi="Arial" w:cs="Arial" w:hint="eastAsia"/>
          <w:sz w:val="28"/>
          <w:szCs w:val="28"/>
        </w:rPr>
        <w:t>住宅</w:t>
      </w:r>
      <w:r w:rsidRPr="00F631FB">
        <w:rPr>
          <w:rFonts w:ascii="Arial" w:eastAsia="仿宋_GB2312" w:hAnsi="Arial" w:cs="Arial"/>
          <w:sz w:val="28"/>
          <w:szCs w:val="28"/>
        </w:rPr>
        <w:t>用途地价增值率采用</w:t>
      </w:r>
      <w:r w:rsidRPr="00F631FB">
        <w:rPr>
          <w:rFonts w:ascii="Arial" w:eastAsia="仿宋_GB2312" w:hAnsi="Arial" w:cs="Arial" w:hint="eastAsia"/>
          <w:sz w:val="28"/>
          <w:szCs w:val="28"/>
        </w:rPr>
        <w:t>居住</w:t>
      </w:r>
      <w:r w:rsidRPr="00F631FB">
        <w:rPr>
          <w:rFonts w:ascii="Arial" w:eastAsia="仿宋_GB2312" w:hAnsi="Arial" w:cs="Arial"/>
          <w:sz w:val="28"/>
          <w:szCs w:val="28"/>
        </w:rPr>
        <w:t>用途的同期地价增长率。</w:t>
      </w:r>
      <w:r w:rsidRPr="00F631FB">
        <w:rPr>
          <w:rFonts w:ascii="Arial" w:eastAsia="仿宋_GB2312" w:hAnsi="Arial" w:cs="Arial"/>
          <w:sz w:val="28"/>
        </w:rPr>
        <w:t>本次评估中，期日修正系数为各季度增长率连乘值，即：</w:t>
      </w:r>
    </w:p>
    <w:p w14:paraId="2EC99175" w14:textId="77777777" w:rsidR="00814D19" w:rsidRPr="00F631FB" w:rsidRDefault="00814D19" w:rsidP="00814D19">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期日修正系数＝（</w:t>
      </w:r>
      <w:r w:rsidRPr="00F631FB">
        <w:rPr>
          <w:rFonts w:ascii="Arial" w:eastAsia="仿宋_GB2312" w:hAnsi="Arial" w:cs="Arial"/>
          <w:sz w:val="28"/>
        </w:rPr>
        <w:t>1+3.28%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1+2.59%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1+1.88%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1+1.77%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1+4.54%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1+4.48%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1+4.79%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1+5.32%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1+3.92%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1+3.82%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1+3.24%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1+1.71%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1+1.64%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1+1.58%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1+1.52%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1+1.62%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1+0.54%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1+0.21%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1+2.35%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1+1.11%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hint="eastAsia"/>
          <w:sz w:val="28"/>
        </w:rPr>
        <w:t>0.95</w:t>
      </w:r>
      <w:r w:rsidRPr="00F631FB">
        <w:rPr>
          <w:rFonts w:ascii="Arial" w:eastAsia="仿宋_GB2312" w:hAnsi="Arial" w:cs="Arial"/>
          <w:sz w:val="28"/>
        </w:rPr>
        <w:t>%</w:t>
      </w:r>
      <w:r w:rsidRPr="00F631FB">
        <w:rPr>
          <w:rFonts w:ascii="Arial" w:eastAsia="仿宋_GB2312" w:hAnsi="Arial" w:cs="Arial"/>
          <w:sz w:val="28"/>
        </w:rPr>
        <w:t>）</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sz w:val="28"/>
        </w:rPr>
        <w:t>+0.48%</w:t>
      </w:r>
      <w:r>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1.</w:t>
      </w:r>
      <w:r>
        <w:rPr>
          <w:rFonts w:ascii="Arial" w:eastAsia="仿宋_GB2312" w:hAnsi="Arial" w:cs="Arial"/>
          <w:sz w:val="28"/>
        </w:rPr>
        <w:t>7797</w:t>
      </w:r>
    </w:p>
    <w:p w14:paraId="05DDF678"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）年期修正系数的确定</w:t>
      </w:r>
    </w:p>
    <w:p w14:paraId="2F451F94"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09D93D45"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其中：</w:t>
      </w:r>
    </w:p>
    <w:p w14:paraId="6E1044FF"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sz w:val="28"/>
          <w:szCs w:val="28"/>
        </w:rPr>
        <w:t>土地还原率</w:t>
      </w:r>
    </w:p>
    <w:p w14:paraId="0133EF0A"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宗地剩余土地使用年限</w:t>
      </w:r>
    </w:p>
    <w:p w14:paraId="4066049C"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lastRenderedPageBreak/>
        <w:t>N----</w:t>
      </w:r>
      <w:r w:rsidRPr="00F631FB">
        <w:rPr>
          <w:rFonts w:ascii="Arial" w:eastAsia="仿宋_GB2312" w:hAnsi="Arial" w:cs="Arial"/>
          <w:sz w:val="28"/>
          <w:szCs w:val="28"/>
        </w:rPr>
        <w:t>基准地价规定的相应用途土地使用年限</w:t>
      </w:r>
    </w:p>
    <w:p w14:paraId="24CBB46F"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商业、办公、居住、工业用途的土地还原利率原则上按同期中国人民银行公布的一年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款利率分别上浮</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10</w:t>
      </w:r>
      <w:r w:rsidRPr="00F631FB">
        <w:rPr>
          <w:rFonts w:ascii="Arial" w:eastAsia="仿宋_GB2312" w:hAnsi="Arial" w:cs="Arial"/>
          <w:sz w:val="28"/>
          <w:szCs w:val="28"/>
        </w:rPr>
        <w:t>％确定。估价对象用途为</w:t>
      </w:r>
      <w:r w:rsidRPr="00F631FB">
        <w:rPr>
          <w:rFonts w:ascii="Arial" w:eastAsia="仿宋_GB2312" w:hAnsi="Arial" w:cs="Arial" w:hint="eastAsia"/>
          <w:sz w:val="28"/>
          <w:szCs w:val="28"/>
        </w:rPr>
        <w:t>住宅</w:t>
      </w:r>
      <w:r w:rsidRPr="00F631FB">
        <w:rPr>
          <w:rFonts w:ascii="Arial" w:eastAsia="仿宋_GB2312" w:hAnsi="Arial" w:cs="Arial"/>
          <w:sz w:val="28"/>
          <w:szCs w:val="28"/>
        </w:rPr>
        <w:t>，现行一年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24</w:t>
      </w:r>
      <w:r w:rsidRPr="00F631FB">
        <w:rPr>
          <w:rFonts w:ascii="Arial" w:eastAsia="仿宋_GB2312" w:hAnsi="Arial" w:cs="Arial"/>
          <w:sz w:val="28"/>
          <w:szCs w:val="28"/>
        </w:rPr>
        <w:t>日发布）为</w:t>
      </w:r>
      <w:r w:rsidRPr="00F631FB">
        <w:rPr>
          <w:rFonts w:ascii="Arial" w:eastAsia="仿宋_GB2312" w:hAnsi="Arial" w:cs="Arial"/>
          <w:sz w:val="28"/>
          <w:szCs w:val="28"/>
        </w:rPr>
        <w:t>4.35%</w:t>
      </w:r>
      <w:r w:rsidRPr="00F631FB">
        <w:rPr>
          <w:rFonts w:ascii="Arial" w:eastAsia="仿宋_GB2312" w:hAnsi="Arial" w:cs="Arial"/>
          <w:sz w:val="28"/>
          <w:szCs w:val="28"/>
        </w:rPr>
        <w:t>。则有：</w:t>
      </w:r>
    </w:p>
    <w:p w14:paraId="35D5CA83"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土地还原率＝</w:t>
      </w:r>
      <w:r w:rsidRPr="00F631FB">
        <w:rPr>
          <w:rFonts w:ascii="Arial" w:eastAsia="仿宋_GB2312" w:hAnsi="Arial" w:cs="Arial"/>
          <w:sz w:val="28"/>
          <w:szCs w:val="28"/>
        </w:rPr>
        <w:t>4.35%×</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hint="eastAsia"/>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rPr>
        <w:t>5.0</w:t>
      </w:r>
      <w:r w:rsidRPr="00F631FB">
        <w:rPr>
          <w:rFonts w:ascii="Arial" w:eastAsia="仿宋_GB2312" w:hAnsi="Arial" w:cs="Arial"/>
          <w:sz w:val="28"/>
          <w:szCs w:val="28"/>
        </w:rPr>
        <w:t>%</w:t>
      </w:r>
    </w:p>
    <w:p w14:paraId="65C6C24E"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估价对象剩余土地使用年限设定为</w:t>
      </w:r>
      <w:r w:rsidRPr="00F631FB">
        <w:rPr>
          <w:rFonts w:ascii="Arial" w:eastAsia="仿宋_GB2312" w:hAnsi="Arial" w:cs="Arial" w:hint="eastAsia"/>
          <w:sz w:val="28"/>
          <w:szCs w:val="28"/>
        </w:rPr>
        <w:t>70</w:t>
      </w:r>
      <w:r w:rsidRPr="00F631FB">
        <w:rPr>
          <w:rFonts w:ascii="Arial" w:eastAsia="仿宋_GB2312" w:hAnsi="Arial" w:cs="Arial"/>
          <w:sz w:val="28"/>
          <w:szCs w:val="28"/>
        </w:rPr>
        <w:t>年，</w:t>
      </w:r>
      <w:r w:rsidRPr="00F631FB">
        <w:rPr>
          <w:rFonts w:ascii="Arial" w:eastAsia="仿宋_GB2312" w:hAnsi="Arial" w:cs="Arial" w:hint="eastAsia"/>
          <w:sz w:val="28"/>
          <w:szCs w:val="28"/>
        </w:rPr>
        <w:t>住宅</w:t>
      </w:r>
      <w:r w:rsidRPr="00F631FB">
        <w:rPr>
          <w:rFonts w:ascii="Arial" w:eastAsia="仿宋_GB2312" w:hAnsi="Arial" w:cs="Arial"/>
          <w:sz w:val="28"/>
          <w:szCs w:val="28"/>
        </w:rPr>
        <w:t>用途法定用途最高出让年限为</w:t>
      </w:r>
      <w:r w:rsidRPr="00F631FB">
        <w:rPr>
          <w:rFonts w:ascii="Arial" w:eastAsia="仿宋_GB2312" w:hAnsi="Arial" w:cs="Arial" w:hint="eastAsia"/>
          <w:sz w:val="28"/>
          <w:szCs w:val="28"/>
        </w:rPr>
        <w:t>70</w:t>
      </w:r>
      <w:r w:rsidRPr="00F631FB">
        <w:rPr>
          <w:rFonts w:ascii="Arial" w:eastAsia="仿宋_GB2312" w:hAnsi="Arial" w:cs="Arial"/>
          <w:sz w:val="28"/>
          <w:szCs w:val="28"/>
        </w:rPr>
        <w:t>年，则有：</w:t>
      </w:r>
    </w:p>
    <w:p w14:paraId="15190574"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p>
    <w:p w14:paraId="7BF2E1D1"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2FCE1559"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w:t>
      </w:r>
      <w:r w:rsidRPr="00F631FB">
        <w:rPr>
          <w:rFonts w:ascii="Arial" w:eastAsia="仿宋_GB2312" w:hAnsi="Arial" w:cs="Arial" w:hint="eastAsia"/>
          <w:sz w:val="28"/>
          <w:szCs w:val="28"/>
        </w:rPr>
        <w:t>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vertAlign w:val="superscript"/>
        </w:rPr>
        <w:t>70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w:t>
      </w:r>
      <w:r w:rsidRPr="00F631FB">
        <w:rPr>
          <w:rFonts w:ascii="Arial" w:eastAsia="仿宋_GB2312" w:hAnsi="Arial" w:cs="Arial" w:hint="eastAsia"/>
          <w:sz w:val="28"/>
          <w:szCs w:val="28"/>
        </w:rPr>
        <w:t>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vertAlign w:val="superscript"/>
        </w:rPr>
        <w:t>70</w:t>
      </w:r>
      <w:r w:rsidRPr="00F631FB">
        <w:rPr>
          <w:rFonts w:ascii="Arial" w:eastAsia="仿宋_GB2312" w:hAnsi="Arial" w:cs="Arial"/>
          <w:sz w:val="28"/>
          <w:szCs w:val="28"/>
        </w:rPr>
        <w:t>）</w:t>
      </w:r>
    </w:p>
    <w:p w14:paraId="1015CC14"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w:t>
      </w:r>
    </w:p>
    <w:p w14:paraId="2F42DF74"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5</w:t>
      </w:r>
      <w:r w:rsidRPr="00F631FB">
        <w:rPr>
          <w:rFonts w:ascii="Arial" w:eastAsia="仿宋_GB2312" w:hAnsi="Arial" w:cs="Arial"/>
          <w:sz w:val="28"/>
          <w:szCs w:val="28"/>
        </w:rPr>
        <w:t>）容积率修正系数的确定</w:t>
      </w:r>
    </w:p>
    <w:p w14:paraId="038500EC" w14:textId="16C3E8B0" w:rsidR="00CC5B95" w:rsidRPr="00814D19"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估价对象地上</w:t>
      </w:r>
      <w:r>
        <w:rPr>
          <w:rFonts w:ascii="Arial" w:eastAsia="仿宋_GB2312" w:hAnsi="Arial" w:cs="Arial"/>
          <w:sz w:val="28"/>
          <w:szCs w:val="28"/>
        </w:rPr>
        <w:t>容积率为</w:t>
      </w:r>
      <w:r>
        <w:rPr>
          <w:rFonts w:ascii="Arial" w:eastAsia="仿宋_GB2312" w:hAnsi="Arial" w:cs="Arial"/>
          <w:sz w:val="28"/>
          <w:szCs w:val="28"/>
        </w:rPr>
        <w:t>5.1</w:t>
      </w:r>
      <w:r w:rsidR="00E906EE">
        <w:rPr>
          <w:rFonts w:ascii="Arial" w:eastAsia="仿宋_GB2312" w:hAnsi="Arial" w:cs="Arial"/>
          <w:sz w:val="28"/>
          <w:szCs w:val="28"/>
        </w:rPr>
        <w:t>0</w:t>
      </w:r>
      <w:r w:rsidRPr="00F631FB">
        <w:rPr>
          <w:rFonts w:ascii="Arial" w:eastAsia="仿宋_GB2312" w:hAnsi="Arial" w:cs="Arial"/>
          <w:sz w:val="28"/>
          <w:szCs w:val="28"/>
        </w:rPr>
        <w:t>，依据《北京市基准地价容积率修正系数表（</w:t>
      </w:r>
      <w:r w:rsidRPr="00F631FB">
        <w:rPr>
          <w:rFonts w:ascii="Arial" w:eastAsia="仿宋_GB2312" w:hAnsi="Arial" w:cs="Arial" w:hint="eastAsia"/>
          <w:sz w:val="28"/>
          <w:szCs w:val="28"/>
        </w:rPr>
        <w:t>居住</w:t>
      </w:r>
      <w:r w:rsidRPr="00F631FB">
        <w:rPr>
          <w:rFonts w:ascii="Arial" w:eastAsia="仿宋_GB2312" w:hAnsi="Arial" w:cs="Arial"/>
          <w:sz w:val="28"/>
          <w:szCs w:val="28"/>
        </w:rPr>
        <w:t>）》（详见下表）。</w:t>
      </w:r>
    </w:p>
    <w:p w14:paraId="3738B9C2" w14:textId="047382B6" w:rsidR="00CC5B95" w:rsidRPr="00F631FB" w:rsidRDefault="00CC5B95" w:rsidP="002C3ABF">
      <w:pPr>
        <w:overflowPunct w:val="0"/>
        <w:spacing w:line="480" w:lineRule="auto"/>
        <w:jc w:val="center"/>
        <w:rPr>
          <w:rFonts w:ascii="Arial" w:hAnsi="Arial" w:cs="Arial"/>
          <w:b/>
        </w:rPr>
      </w:pPr>
    </w:p>
    <w:p w14:paraId="3FEDCE22" w14:textId="77777777" w:rsidR="00814D19" w:rsidRPr="00F631FB" w:rsidRDefault="00814D19" w:rsidP="00814D19">
      <w:pPr>
        <w:overflowPunct w:val="0"/>
        <w:spacing w:line="360" w:lineRule="auto"/>
        <w:ind w:firstLine="200"/>
        <w:jc w:val="both"/>
        <w:textAlignment w:val="auto"/>
        <w:rPr>
          <w:rFonts w:ascii="Arial" w:eastAsia="仿宋_GB2312" w:hAnsi="Arial" w:cs="Arial"/>
          <w:sz w:val="21"/>
        </w:rPr>
      </w:pPr>
      <w:r w:rsidRPr="00F631FB">
        <w:rPr>
          <w:rFonts w:ascii="Arial" w:eastAsia="仿宋_GB2312" w:hAnsi="Arial" w:cs="Arial"/>
          <w:sz w:val="28"/>
          <w:szCs w:val="28"/>
        </w:rPr>
        <w:t>（转下页）</w:t>
      </w:r>
    </w:p>
    <w:p w14:paraId="5E6A437A" w14:textId="77777777" w:rsidR="0048307F" w:rsidRPr="00F631FB" w:rsidRDefault="0048307F" w:rsidP="002C3ABF">
      <w:pPr>
        <w:overflowPunct w:val="0"/>
        <w:spacing w:line="480" w:lineRule="auto"/>
        <w:jc w:val="center"/>
        <w:rPr>
          <w:rFonts w:ascii="Arial" w:hAnsi="Arial" w:cs="Arial"/>
          <w:b/>
        </w:rPr>
      </w:pPr>
    </w:p>
    <w:p w14:paraId="7F3BE075" w14:textId="77777777" w:rsidR="00DC566A" w:rsidRDefault="00DC566A" w:rsidP="002C3ABF">
      <w:pPr>
        <w:overflowPunct w:val="0"/>
        <w:spacing w:line="480" w:lineRule="auto"/>
        <w:jc w:val="center"/>
        <w:rPr>
          <w:rFonts w:ascii="Arial" w:hAnsi="Arial" w:cs="Arial"/>
          <w:b/>
        </w:rPr>
      </w:pPr>
    </w:p>
    <w:p w14:paraId="78513B0E" w14:textId="77777777" w:rsidR="00814D19" w:rsidRDefault="00814D19" w:rsidP="002C3ABF">
      <w:pPr>
        <w:overflowPunct w:val="0"/>
        <w:spacing w:line="480" w:lineRule="auto"/>
        <w:jc w:val="center"/>
        <w:rPr>
          <w:rFonts w:ascii="Arial" w:hAnsi="Arial" w:cs="Arial"/>
          <w:b/>
        </w:rPr>
      </w:pPr>
      <w:r>
        <w:rPr>
          <w:rFonts w:ascii="Arial" w:hAnsi="Arial" w:cs="Arial"/>
          <w:b/>
        </w:rPr>
        <w:br w:type="page"/>
      </w:r>
    </w:p>
    <w:p w14:paraId="2CE9E651" w14:textId="77777777" w:rsidR="002C3ABF" w:rsidRPr="00F631FB" w:rsidRDefault="002C3ABF" w:rsidP="002C3ABF">
      <w:pPr>
        <w:spacing w:line="360" w:lineRule="auto"/>
        <w:ind w:firstLineChars="200" w:firstLine="420"/>
        <w:rPr>
          <w:rFonts w:ascii="Arial" w:eastAsia="仿宋_GB2312" w:hAnsi="Arial" w:cs="Arial"/>
          <w:sz w:val="21"/>
        </w:rPr>
        <w:sectPr w:rsidR="002C3ABF" w:rsidRPr="00F631FB" w:rsidSect="004A2C77">
          <w:headerReference w:type="default" r:id="rId75"/>
          <w:footerReference w:type="default" r:id="rId76"/>
          <w:pgSz w:w="11906" w:h="16838"/>
          <w:pgMar w:top="1843" w:right="1304" w:bottom="1134" w:left="1304" w:header="1134" w:footer="907" w:gutter="0"/>
          <w:cols w:space="425"/>
          <w:docGrid w:type="linesAndChars" w:linePitch="326"/>
        </w:sectPr>
      </w:pPr>
    </w:p>
    <w:p w14:paraId="24357A2F" w14:textId="77777777" w:rsidR="002C3ABF" w:rsidRPr="00F631FB" w:rsidRDefault="002C3ABF" w:rsidP="002C3ABF">
      <w:pPr>
        <w:spacing w:line="240" w:lineRule="auto"/>
        <w:jc w:val="center"/>
        <w:rPr>
          <w:rFonts w:ascii="Arial" w:eastAsia="仿宋_GB2312" w:hAnsi="Arial" w:cs="Arial"/>
          <w:b/>
          <w:sz w:val="28"/>
          <w:szCs w:val="24"/>
        </w:rPr>
      </w:pPr>
      <w:r w:rsidRPr="00F631FB">
        <w:rPr>
          <w:rFonts w:ascii="Arial" w:eastAsia="仿宋_GB2312" w:hAnsi="Arial" w:cs="Arial"/>
          <w:b/>
          <w:bCs/>
          <w:szCs w:val="24"/>
        </w:rPr>
        <w:lastRenderedPageBreak/>
        <w:t>北京市基准地价容积率修正系数表（</w:t>
      </w:r>
      <w:r w:rsidRPr="00F631FB">
        <w:rPr>
          <w:rFonts w:ascii="Arial" w:eastAsia="仿宋_GB2312" w:hAnsi="Arial" w:cs="Arial" w:hint="eastAsia"/>
          <w:b/>
          <w:bCs/>
          <w:szCs w:val="24"/>
        </w:rPr>
        <w:t>居住</w:t>
      </w:r>
      <w:r w:rsidRPr="00F631FB">
        <w:rPr>
          <w:rFonts w:ascii="Arial" w:eastAsia="仿宋_GB2312" w:hAnsi="Arial" w:cs="Arial"/>
          <w:b/>
          <w:bCs/>
          <w:szCs w:val="24"/>
        </w:rPr>
        <w:t>）</w:t>
      </w:r>
    </w:p>
    <w:tbl>
      <w:tblPr>
        <w:tblW w:w="5000" w:type="pct"/>
        <w:jc w:val="center"/>
        <w:tblLook w:val="04A0" w:firstRow="1" w:lastRow="0" w:firstColumn="1" w:lastColumn="0" w:noHBand="0" w:noVBand="1"/>
      </w:tblPr>
      <w:tblGrid>
        <w:gridCol w:w="855"/>
        <w:gridCol w:w="1001"/>
        <w:gridCol w:w="1000"/>
        <w:gridCol w:w="1000"/>
        <w:gridCol w:w="854"/>
        <w:gridCol w:w="887"/>
        <w:gridCol w:w="887"/>
        <w:gridCol w:w="940"/>
        <w:gridCol w:w="854"/>
        <w:gridCol w:w="887"/>
        <w:gridCol w:w="887"/>
        <w:gridCol w:w="940"/>
        <w:gridCol w:w="854"/>
        <w:gridCol w:w="887"/>
        <w:gridCol w:w="887"/>
        <w:gridCol w:w="940"/>
      </w:tblGrid>
      <w:tr w:rsidR="002C3ABF" w:rsidRPr="00F631FB" w14:paraId="6019512C" w14:textId="77777777" w:rsidTr="004A2C77">
        <w:trPr>
          <w:trHeight w:hRule="exact" w:val="284"/>
          <w:jc w:val="center"/>
        </w:trPr>
        <w:tc>
          <w:tcPr>
            <w:tcW w:w="0" w:type="auto"/>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329D1ED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50B5CA3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691AA5B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3E538D1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26583C4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220DBEA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0458938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5520104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4A1D987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C6FB05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13CC53D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20B94A5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7F654F9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CAAE38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72E7177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267B37D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r>
      <w:tr w:rsidR="002C3ABF" w:rsidRPr="00F631FB" w14:paraId="7540D173"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64BF5A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0.1 </w:t>
            </w:r>
          </w:p>
        </w:tc>
        <w:tc>
          <w:tcPr>
            <w:tcW w:w="0" w:type="auto"/>
            <w:tcBorders>
              <w:top w:val="nil"/>
              <w:left w:val="nil"/>
              <w:bottom w:val="single" w:sz="4" w:space="0" w:color="auto"/>
              <w:right w:val="single" w:sz="4" w:space="0" w:color="auto"/>
            </w:tcBorders>
            <w:shd w:val="clear" w:color="auto" w:fill="auto"/>
            <w:noWrap/>
            <w:vAlign w:val="center"/>
            <w:hideMark/>
          </w:tcPr>
          <w:p w14:paraId="6B1CCEE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12.1720 </w:t>
            </w:r>
          </w:p>
        </w:tc>
        <w:tc>
          <w:tcPr>
            <w:tcW w:w="0" w:type="auto"/>
            <w:tcBorders>
              <w:top w:val="nil"/>
              <w:left w:val="nil"/>
              <w:bottom w:val="single" w:sz="4" w:space="0" w:color="auto"/>
              <w:right w:val="single" w:sz="4" w:space="0" w:color="auto"/>
            </w:tcBorders>
            <w:shd w:val="clear" w:color="auto" w:fill="auto"/>
            <w:noWrap/>
            <w:vAlign w:val="center"/>
            <w:hideMark/>
          </w:tcPr>
          <w:p w14:paraId="4B39703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12.3760 </w:t>
            </w:r>
          </w:p>
        </w:tc>
        <w:tc>
          <w:tcPr>
            <w:tcW w:w="0" w:type="auto"/>
            <w:tcBorders>
              <w:top w:val="nil"/>
              <w:left w:val="nil"/>
              <w:bottom w:val="single" w:sz="4" w:space="0" w:color="auto"/>
              <w:right w:val="single" w:sz="4" w:space="0" w:color="auto"/>
            </w:tcBorders>
            <w:shd w:val="clear" w:color="auto" w:fill="auto"/>
            <w:noWrap/>
            <w:vAlign w:val="center"/>
            <w:hideMark/>
          </w:tcPr>
          <w:p w14:paraId="7591FB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11.0720 </w:t>
            </w:r>
          </w:p>
        </w:tc>
        <w:tc>
          <w:tcPr>
            <w:tcW w:w="0" w:type="auto"/>
            <w:tcBorders>
              <w:top w:val="nil"/>
              <w:left w:val="nil"/>
              <w:bottom w:val="single" w:sz="4" w:space="0" w:color="auto"/>
              <w:right w:val="single" w:sz="4" w:space="0" w:color="auto"/>
            </w:tcBorders>
            <w:shd w:val="clear" w:color="000000" w:fill="E6B8B7"/>
            <w:vAlign w:val="center"/>
            <w:hideMark/>
          </w:tcPr>
          <w:p w14:paraId="7C72753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2.6 </w:t>
            </w:r>
          </w:p>
        </w:tc>
        <w:tc>
          <w:tcPr>
            <w:tcW w:w="0" w:type="auto"/>
            <w:tcBorders>
              <w:top w:val="nil"/>
              <w:left w:val="nil"/>
              <w:bottom w:val="single" w:sz="4" w:space="0" w:color="auto"/>
              <w:right w:val="single" w:sz="4" w:space="0" w:color="auto"/>
            </w:tcBorders>
            <w:shd w:val="clear" w:color="auto" w:fill="auto"/>
            <w:noWrap/>
            <w:vAlign w:val="center"/>
            <w:hideMark/>
          </w:tcPr>
          <w:p w14:paraId="4E08BCB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0.9903 </w:t>
            </w:r>
          </w:p>
        </w:tc>
        <w:tc>
          <w:tcPr>
            <w:tcW w:w="0" w:type="auto"/>
            <w:tcBorders>
              <w:top w:val="nil"/>
              <w:left w:val="nil"/>
              <w:bottom w:val="single" w:sz="4" w:space="0" w:color="auto"/>
              <w:right w:val="single" w:sz="4" w:space="0" w:color="auto"/>
            </w:tcBorders>
            <w:shd w:val="clear" w:color="auto" w:fill="auto"/>
            <w:noWrap/>
            <w:vAlign w:val="center"/>
            <w:hideMark/>
          </w:tcPr>
          <w:p w14:paraId="403D8A2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0.9897 </w:t>
            </w:r>
          </w:p>
        </w:tc>
        <w:tc>
          <w:tcPr>
            <w:tcW w:w="0" w:type="auto"/>
            <w:tcBorders>
              <w:top w:val="nil"/>
              <w:left w:val="nil"/>
              <w:bottom w:val="single" w:sz="4" w:space="0" w:color="auto"/>
              <w:right w:val="single" w:sz="4" w:space="0" w:color="auto"/>
            </w:tcBorders>
            <w:shd w:val="clear" w:color="auto" w:fill="auto"/>
            <w:noWrap/>
            <w:vAlign w:val="center"/>
            <w:hideMark/>
          </w:tcPr>
          <w:p w14:paraId="13EAF9A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0.8553 </w:t>
            </w:r>
          </w:p>
        </w:tc>
        <w:tc>
          <w:tcPr>
            <w:tcW w:w="0" w:type="auto"/>
            <w:tcBorders>
              <w:top w:val="nil"/>
              <w:left w:val="nil"/>
              <w:bottom w:val="single" w:sz="4" w:space="0" w:color="auto"/>
              <w:right w:val="single" w:sz="4" w:space="0" w:color="auto"/>
            </w:tcBorders>
            <w:shd w:val="clear" w:color="000000" w:fill="E6B8B7"/>
            <w:noWrap/>
            <w:vAlign w:val="center"/>
            <w:hideMark/>
          </w:tcPr>
          <w:p w14:paraId="3878479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5.1 </w:t>
            </w:r>
          </w:p>
        </w:tc>
        <w:tc>
          <w:tcPr>
            <w:tcW w:w="0" w:type="auto"/>
            <w:tcBorders>
              <w:top w:val="nil"/>
              <w:left w:val="nil"/>
              <w:bottom w:val="single" w:sz="4" w:space="0" w:color="auto"/>
              <w:right w:val="single" w:sz="4" w:space="0" w:color="auto"/>
            </w:tcBorders>
            <w:shd w:val="clear" w:color="auto" w:fill="auto"/>
            <w:noWrap/>
            <w:vAlign w:val="center"/>
            <w:hideMark/>
          </w:tcPr>
          <w:p w14:paraId="795E85F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0.8652 </w:t>
            </w:r>
          </w:p>
        </w:tc>
        <w:tc>
          <w:tcPr>
            <w:tcW w:w="0" w:type="auto"/>
            <w:tcBorders>
              <w:top w:val="nil"/>
              <w:left w:val="nil"/>
              <w:bottom w:val="single" w:sz="4" w:space="0" w:color="auto"/>
              <w:right w:val="single" w:sz="4" w:space="0" w:color="auto"/>
            </w:tcBorders>
            <w:shd w:val="clear" w:color="auto" w:fill="auto"/>
            <w:noWrap/>
            <w:vAlign w:val="center"/>
            <w:hideMark/>
          </w:tcPr>
          <w:p w14:paraId="3A45BA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0.8511 </w:t>
            </w:r>
          </w:p>
        </w:tc>
        <w:tc>
          <w:tcPr>
            <w:tcW w:w="0" w:type="auto"/>
            <w:tcBorders>
              <w:top w:val="nil"/>
              <w:left w:val="nil"/>
              <w:bottom w:val="single" w:sz="4" w:space="0" w:color="auto"/>
              <w:right w:val="single" w:sz="4" w:space="0" w:color="auto"/>
            </w:tcBorders>
            <w:shd w:val="clear" w:color="auto" w:fill="auto"/>
            <w:noWrap/>
            <w:vAlign w:val="center"/>
            <w:hideMark/>
          </w:tcPr>
          <w:p w14:paraId="2008318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0.7147 </w:t>
            </w:r>
          </w:p>
        </w:tc>
        <w:tc>
          <w:tcPr>
            <w:tcW w:w="0" w:type="auto"/>
            <w:tcBorders>
              <w:top w:val="nil"/>
              <w:left w:val="nil"/>
              <w:bottom w:val="single" w:sz="4" w:space="0" w:color="auto"/>
              <w:right w:val="single" w:sz="4" w:space="0" w:color="auto"/>
            </w:tcBorders>
            <w:shd w:val="clear" w:color="000000" w:fill="E6B8B7"/>
            <w:vAlign w:val="center"/>
            <w:hideMark/>
          </w:tcPr>
          <w:p w14:paraId="755FD11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7.6 </w:t>
            </w:r>
          </w:p>
        </w:tc>
        <w:tc>
          <w:tcPr>
            <w:tcW w:w="0" w:type="auto"/>
            <w:tcBorders>
              <w:top w:val="nil"/>
              <w:left w:val="nil"/>
              <w:bottom w:val="single" w:sz="4" w:space="0" w:color="auto"/>
              <w:right w:val="single" w:sz="4" w:space="0" w:color="auto"/>
            </w:tcBorders>
            <w:shd w:val="clear" w:color="auto" w:fill="auto"/>
            <w:noWrap/>
            <w:vAlign w:val="center"/>
            <w:hideMark/>
          </w:tcPr>
          <w:p w14:paraId="77E463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0.8356 </w:t>
            </w:r>
          </w:p>
        </w:tc>
        <w:tc>
          <w:tcPr>
            <w:tcW w:w="0" w:type="auto"/>
            <w:tcBorders>
              <w:top w:val="nil"/>
              <w:left w:val="nil"/>
              <w:bottom w:val="single" w:sz="4" w:space="0" w:color="auto"/>
              <w:right w:val="single" w:sz="4" w:space="0" w:color="auto"/>
            </w:tcBorders>
            <w:shd w:val="clear" w:color="auto" w:fill="auto"/>
            <w:noWrap/>
            <w:vAlign w:val="center"/>
            <w:hideMark/>
          </w:tcPr>
          <w:p w14:paraId="0FCFB57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0.8142 </w:t>
            </w:r>
          </w:p>
        </w:tc>
        <w:tc>
          <w:tcPr>
            <w:tcW w:w="0" w:type="auto"/>
            <w:tcBorders>
              <w:top w:val="nil"/>
              <w:left w:val="nil"/>
              <w:bottom w:val="single" w:sz="4" w:space="0" w:color="auto"/>
              <w:right w:val="single" w:sz="4" w:space="0" w:color="auto"/>
            </w:tcBorders>
            <w:shd w:val="clear" w:color="auto" w:fill="auto"/>
            <w:noWrap/>
            <w:vAlign w:val="center"/>
            <w:hideMark/>
          </w:tcPr>
          <w:p w14:paraId="2E7262B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0.6698 </w:t>
            </w:r>
          </w:p>
        </w:tc>
      </w:tr>
      <w:tr w:rsidR="002C3ABF" w:rsidRPr="00F631FB" w14:paraId="1728D01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2B02EF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0.2 </w:t>
            </w:r>
          </w:p>
        </w:tc>
        <w:tc>
          <w:tcPr>
            <w:tcW w:w="0" w:type="auto"/>
            <w:tcBorders>
              <w:top w:val="nil"/>
              <w:left w:val="nil"/>
              <w:bottom w:val="single" w:sz="4" w:space="0" w:color="auto"/>
              <w:right w:val="single" w:sz="4" w:space="0" w:color="auto"/>
            </w:tcBorders>
            <w:shd w:val="clear" w:color="auto" w:fill="auto"/>
            <w:noWrap/>
            <w:vAlign w:val="center"/>
            <w:hideMark/>
          </w:tcPr>
          <w:p w14:paraId="4C06EC9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6.0860 </w:t>
            </w:r>
          </w:p>
        </w:tc>
        <w:tc>
          <w:tcPr>
            <w:tcW w:w="0" w:type="auto"/>
            <w:tcBorders>
              <w:top w:val="nil"/>
              <w:left w:val="nil"/>
              <w:bottom w:val="single" w:sz="4" w:space="0" w:color="auto"/>
              <w:right w:val="single" w:sz="4" w:space="0" w:color="auto"/>
            </w:tcBorders>
            <w:shd w:val="clear" w:color="auto" w:fill="auto"/>
            <w:noWrap/>
            <w:vAlign w:val="center"/>
            <w:hideMark/>
          </w:tcPr>
          <w:p w14:paraId="40AF00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6.1880 </w:t>
            </w:r>
          </w:p>
        </w:tc>
        <w:tc>
          <w:tcPr>
            <w:tcW w:w="0" w:type="auto"/>
            <w:tcBorders>
              <w:top w:val="nil"/>
              <w:left w:val="nil"/>
              <w:bottom w:val="single" w:sz="4" w:space="0" w:color="auto"/>
              <w:right w:val="single" w:sz="4" w:space="0" w:color="auto"/>
            </w:tcBorders>
            <w:shd w:val="clear" w:color="auto" w:fill="auto"/>
            <w:noWrap/>
            <w:vAlign w:val="center"/>
            <w:hideMark/>
          </w:tcPr>
          <w:p w14:paraId="14A29A9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5.5360 </w:t>
            </w:r>
          </w:p>
        </w:tc>
        <w:tc>
          <w:tcPr>
            <w:tcW w:w="0" w:type="auto"/>
            <w:tcBorders>
              <w:top w:val="nil"/>
              <w:left w:val="nil"/>
              <w:bottom w:val="single" w:sz="4" w:space="0" w:color="auto"/>
              <w:right w:val="single" w:sz="4" w:space="0" w:color="auto"/>
            </w:tcBorders>
            <w:shd w:val="clear" w:color="000000" w:fill="E6B8B7"/>
            <w:vAlign w:val="center"/>
            <w:hideMark/>
          </w:tcPr>
          <w:p w14:paraId="3D125E5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2.7 </w:t>
            </w:r>
          </w:p>
        </w:tc>
        <w:tc>
          <w:tcPr>
            <w:tcW w:w="0" w:type="auto"/>
            <w:tcBorders>
              <w:top w:val="nil"/>
              <w:left w:val="nil"/>
              <w:bottom w:val="single" w:sz="4" w:space="0" w:color="auto"/>
              <w:right w:val="single" w:sz="4" w:space="0" w:color="auto"/>
            </w:tcBorders>
            <w:shd w:val="clear" w:color="auto" w:fill="auto"/>
            <w:noWrap/>
            <w:vAlign w:val="center"/>
            <w:hideMark/>
          </w:tcPr>
          <w:p w14:paraId="04B9F94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0.9811 </w:t>
            </w:r>
          </w:p>
        </w:tc>
        <w:tc>
          <w:tcPr>
            <w:tcW w:w="0" w:type="auto"/>
            <w:tcBorders>
              <w:top w:val="nil"/>
              <w:left w:val="nil"/>
              <w:bottom w:val="single" w:sz="4" w:space="0" w:color="auto"/>
              <w:right w:val="single" w:sz="4" w:space="0" w:color="auto"/>
            </w:tcBorders>
            <w:shd w:val="clear" w:color="auto" w:fill="auto"/>
            <w:noWrap/>
            <w:vAlign w:val="center"/>
            <w:hideMark/>
          </w:tcPr>
          <w:p w14:paraId="6D9C480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0.9799 </w:t>
            </w:r>
          </w:p>
        </w:tc>
        <w:tc>
          <w:tcPr>
            <w:tcW w:w="0" w:type="auto"/>
            <w:tcBorders>
              <w:top w:val="nil"/>
              <w:left w:val="nil"/>
              <w:bottom w:val="single" w:sz="4" w:space="0" w:color="auto"/>
              <w:right w:val="single" w:sz="4" w:space="0" w:color="auto"/>
            </w:tcBorders>
            <w:shd w:val="clear" w:color="auto" w:fill="auto"/>
            <w:noWrap/>
            <w:vAlign w:val="center"/>
            <w:hideMark/>
          </w:tcPr>
          <w:p w14:paraId="1F83C90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0.8460 </w:t>
            </w:r>
          </w:p>
        </w:tc>
        <w:tc>
          <w:tcPr>
            <w:tcW w:w="0" w:type="auto"/>
            <w:tcBorders>
              <w:top w:val="nil"/>
              <w:left w:val="nil"/>
              <w:bottom w:val="single" w:sz="4" w:space="0" w:color="auto"/>
              <w:right w:val="single" w:sz="4" w:space="0" w:color="auto"/>
            </w:tcBorders>
            <w:shd w:val="clear" w:color="000000" w:fill="E6B8B7"/>
            <w:noWrap/>
            <w:vAlign w:val="center"/>
            <w:hideMark/>
          </w:tcPr>
          <w:p w14:paraId="1DC2CF1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5.2 </w:t>
            </w:r>
          </w:p>
        </w:tc>
        <w:tc>
          <w:tcPr>
            <w:tcW w:w="0" w:type="auto"/>
            <w:tcBorders>
              <w:top w:val="nil"/>
              <w:left w:val="nil"/>
              <w:bottom w:val="single" w:sz="4" w:space="0" w:color="auto"/>
              <w:right w:val="single" w:sz="4" w:space="0" w:color="auto"/>
            </w:tcBorders>
            <w:shd w:val="clear" w:color="auto" w:fill="auto"/>
            <w:noWrap/>
            <w:vAlign w:val="center"/>
            <w:hideMark/>
          </w:tcPr>
          <w:p w14:paraId="55900A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0.8631 </w:t>
            </w:r>
          </w:p>
        </w:tc>
        <w:tc>
          <w:tcPr>
            <w:tcW w:w="0" w:type="auto"/>
            <w:tcBorders>
              <w:top w:val="nil"/>
              <w:left w:val="nil"/>
              <w:bottom w:val="single" w:sz="4" w:space="0" w:color="auto"/>
              <w:right w:val="single" w:sz="4" w:space="0" w:color="auto"/>
            </w:tcBorders>
            <w:shd w:val="clear" w:color="auto" w:fill="auto"/>
            <w:noWrap/>
            <w:vAlign w:val="center"/>
            <w:hideMark/>
          </w:tcPr>
          <w:p w14:paraId="120061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0.8486 </w:t>
            </w:r>
          </w:p>
        </w:tc>
        <w:tc>
          <w:tcPr>
            <w:tcW w:w="0" w:type="auto"/>
            <w:tcBorders>
              <w:top w:val="nil"/>
              <w:left w:val="nil"/>
              <w:bottom w:val="single" w:sz="4" w:space="0" w:color="auto"/>
              <w:right w:val="single" w:sz="4" w:space="0" w:color="auto"/>
            </w:tcBorders>
            <w:shd w:val="clear" w:color="auto" w:fill="auto"/>
            <w:noWrap/>
            <w:vAlign w:val="center"/>
            <w:hideMark/>
          </w:tcPr>
          <w:p w14:paraId="33AEC33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0.7119 </w:t>
            </w:r>
          </w:p>
        </w:tc>
        <w:tc>
          <w:tcPr>
            <w:tcW w:w="0" w:type="auto"/>
            <w:tcBorders>
              <w:top w:val="nil"/>
              <w:left w:val="nil"/>
              <w:bottom w:val="single" w:sz="4" w:space="0" w:color="auto"/>
              <w:right w:val="single" w:sz="4" w:space="0" w:color="auto"/>
            </w:tcBorders>
            <w:shd w:val="clear" w:color="000000" w:fill="E6B8B7"/>
            <w:vAlign w:val="center"/>
            <w:hideMark/>
          </w:tcPr>
          <w:p w14:paraId="528411B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7.7 </w:t>
            </w:r>
          </w:p>
        </w:tc>
        <w:tc>
          <w:tcPr>
            <w:tcW w:w="0" w:type="auto"/>
            <w:tcBorders>
              <w:top w:val="nil"/>
              <w:left w:val="nil"/>
              <w:bottom w:val="single" w:sz="4" w:space="0" w:color="auto"/>
              <w:right w:val="single" w:sz="4" w:space="0" w:color="auto"/>
            </w:tcBorders>
            <w:shd w:val="clear" w:color="auto" w:fill="auto"/>
            <w:noWrap/>
            <w:vAlign w:val="center"/>
            <w:hideMark/>
          </w:tcPr>
          <w:p w14:paraId="2FA943B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0.8349 </w:t>
            </w:r>
          </w:p>
        </w:tc>
        <w:tc>
          <w:tcPr>
            <w:tcW w:w="0" w:type="auto"/>
            <w:tcBorders>
              <w:top w:val="nil"/>
              <w:left w:val="nil"/>
              <w:bottom w:val="single" w:sz="4" w:space="0" w:color="auto"/>
              <w:right w:val="single" w:sz="4" w:space="0" w:color="auto"/>
            </w:tcBorders>
            <w:shd w:val="clear" w:color="auto" w:fill="auto"/>
            <w:noWrap/>
            <w:vAlign w:val="center"/>
            <w:hideMark/>
          </w:tcPr>
          <w:p w14:paraId="0B96DAC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0.8133 </w:t>
            </w:r>
          </w:p>
        </w:tc>
        <w:tc>
          <w:tcPr>
            <w:tcW w:w="0" w:type="auto"/>
            <w:tcBorders>
              <w:top w:val="nil"/>
              <w:left w:val="nil"/>
              <w:bottom w:val="single" w:sz="4" w:space="0" w:color="auto"/>
              <w:right w:val="single" w:sz="4" w:space="0" w:color="auto"/>
            </w:tcBorders>
            <w:shd w:val="clear" w:color="auto" w:fill="auto"/>
            <w:noWrap/>
            <w:vAlign w:val="center"/>
            <w:hideMark/>
          </w:tcPr>
          <w:p w14:paraId="3554F43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0.6687 </w:t>
            </w:r>
          </w:p>
        </w:tc>
      </w:tr>
      <w:tr w:rsidR="002C3ABF" w:rsidRPr="00F631FB" w14:paraId="55CC2F7F"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3C40FD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0.3 </w:t>
            </w:r>
          </w:p>
        </w:tc>
        <w:tc>
          <w:tcPr>
            <w:tcW w:w="0" w:type="auto"/>
            <w:tcBorders>
              <w:top w:val="nil"/>
              <w:left w:val="nil"/>
              <w:bottom w:val="single" w:sz="4" w:space="0" w:color="auto"/>
              <w:right w:val="single" w:sz="4" w:space="0" w:color="auto"/>
            </w:tcBorders>
            <w:shd w:val="clear" w:color="auto" w:fill="auto"/>
            <w:noWrap/>
            <w:vAlign w:val="center"/>
            <w:hideMark/>
          </w:tcPr>
          <w:p w14:paraId="639FC2B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4.0573 </w:t>
            </w:r>
          </w:p>
        </w:tc>
        <w:tc>
          <w:tcPr>
            <w:tcW w:w="0" w:type="auto"/>
            <w:tcBorders>
              <w:top w:val="nil"/>
              <w:left w:val="nil"/>
              <w:bottom w:val="single" w:sz="4" w:space="0" w:color="auto"/>
              <w:right w:val="single" w:sz="4" w:space="0" w:color="auto"/>
            </w:tcBorders>
            <w:shd w:val="clear" w:color="auto" w:fill="auto"/>
            <w:noWrap/>
            <w:vAlign w:val="center"/>
            <w:hideMark/>
          </w:tcPr>
          <w:p w14:paraId="02FE58C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4.1253 </w:t>
            </w:r>
          </w:p>
        </w:tc>
        <w:tc>
          <w:tcPr>
            <w:tcW w:w="0" w:type="auto"/>
            <w:tcBorders>
              <w:top w:val="nil"/>
              <w:left w:val="nil"/>
              <w:bottom w:val="single" w:sz="4" w:space="0" w:color="auto"/>
              <w:right w:val="single" w:sz="4" w:space="0" w:color="auto"/>
            </w:tcBorders>
            <w:shd w:val="clear" w:color="auto" w:fill="auto"/>
            <w:noWrap/>
            <w:vAlign w:val="center"/>
            <w:hideMark/>
          </w:tcPr>
          <w:p w14:paraId="72A174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3.6907 </w:t>
            </w:r>
          </w:p>
        </w:tc>
        <w:tc>
          <w:tcPr>
            <w:tcW w:w="0" w:type="auto"/>
            <w:tcBorders>
              <w:top w:val="nil"/>
              <w:left w:val="nil"/>
              <w:bottom w:val="single" w:sz="4" w:space="0" w:color="auto"/>
              <w:right w:val="single" w:sz="4" w:space="0" w:color="auto"/>
            </w:tcBorders>
            <w:shd w:val="clear" w:color="000000" w:fill="E6B8B7"/>
            <w:vAlign w:val="center"/>
            <w:hideMark/>
          </w:tcPr>
          <w:p w14:paraId="36F6D6C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2.8 </w:t>
            </w:r>
          </w:p>
        </w:tc>
        <w:tc>
          <w:tcPr>
            <w:tcW w:w="0" w:type="auto"/>
            <w:tcBorders>
              <w:top w:val="nil"/>
              <w:left w:val="nil"/>
              <w:bottom w:val="single" w:sz="4" w:space="0" w:color="auto"/>
              <w:right w:val="single" w:sz="4" w:space="0" w:color="auto"/>
            </w:tcBorders>
            <w:shd w:val="clear" w:color="auto" w:fill="auto"/>
            <w:noWrap/>
            <w:vAlign w:val="center"/>
            <w:hideMark/>
          </w:tcPr>
          <w:p w14:paraId="3699B0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0.9724 </w:t>
            </w:r>
          </w:p>
        </w:tc>
        <w:tc>
          <w:tcPr>
            <w:tcW w:w="0" w:type="auto"/>
            <w:tcBorders>
              <w:top w:val="nil"/>
              <w:left w:val="nil"/>
              <w:bottom w:val="single" w:sz="4" w:space="0" w:color="auto"/>
              <w:right w:val="single" w:sz="4" w:space="0" w:color="auto"/>
            </w:tcBorders>
            <w:shd w:val="clear" w:color="auto" w:fill="auto"/>
            <w:noWrap/>
            <w:vAlign w:val="center"/>
            <w:hideMark/>
          </w:tcPr>
          <w:p w14:paraId="4124ABB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0.9706 </w:t>
            </w:r>
          </w:p>
        </w:tc>
        <w:tc>
          <w:tcPr>
            <w:tcW w:w="0" w:type="auto"/>
            <w:tcBorders>
              <w:top w:val="nil"/>
              <w:left w:val="nil"/>
              <w:bottom w:val="single" w:sz="4" w:space="0" w:color="auto"/>
              <w:right w:val="single" w:sz="4" w:space="0" w:color="auto"/>
            </w:tcBorders>
            <w:shd w:val="clear" w:color="auto" w:fill="auto"/>
            <w:noWrap/>
            <w:vAlign w:val="center"/>
            <w:hideMark/>
          </w:tcPr>
          <w:p w14:paraId="36DC79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0.8371 </w:t>
            </w:r>
          </w:p>
        </w:tc>
        <w:tc>
          <w:tcPr>
            <w:tcW w:w="0" w:type="auto"/>
            <w:tcBorders>
              <w:top w:val="nil"/>
              <w:left w:val="nil"/>
              <w:bottom w:val="single" w:sz="4" w:space="0" w:color="auto"/>
              <w:right w:val="single" w:sz="4" w:space="0" w:color="auto"/>
            </w:tcBorders>
            <w:shd w:val="clear" w:color="000000" w:fill="E6B8B7"/>
            <w:noWrap/>
            <w:vAlign w:val="center"/>
            <w:hideMark/>
          </w:tcPr>
          <w:p w14:paraId="433B690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5.3 </w:t>
            </w:r>
          </w:p>
        </w:tc>
        <w:tc>
          <w:tcPr>
            <w:tcW w:w="0" w:type="auto"/>
            <w:tcBorders>
              <w:top w:val="nil"/>
              <w:left w:val="nil"/>
              <w:bottom w:val="single" w:sz="4" w:space="0" w:color="auto"/>
              <w:right w:val="single" w:sz="4" w:space="0" w:color="auto"/>
            </w:tcBorders>
            <w:shd w:val="clear" w:color="auto" w:fill="auto"/>
            <w:noWrap/>
            <w:vAlign w:val="center"/>
            <w:hideMark/>
          </w:tcPr>
          <w:p w14:paraId="5938FA4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0.8612 </w:t>
            </w:r>
          </w:p>
        </w:tc>
        <w:tc>
          <w:tcPr>
            <w:tcW w:w="0" w:type="auto"/>
            <w:tcBorders>
              <w:top w:val="nil"/>
              <w:left w:val="nil"/>
              <w:bottom w:val="single" w:sz="4" w:space="0" w:color="auto"/>
              <w:right w:val="single" w:sz="4" w:space="0" w:color="auto"/>
            </w:tcBorders>
            <w:shd w:val="clear" w:color="auto" w:fill="auto"/>
            <w:noWrap/>
            <w:vAlign w:val="center"/>
            <w:hideMark/>
          </w:tcPr>
          <w:p w14:paraId="79E71DC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0.8462 </w:t>
            </w:r>
          </w:p>
        </w:tc>
        <w:tc>
          <w:tcPr>
            <w:tcW w:w="0" w:type="auto"/>
            <w:tcBorders>
              <w:top w:val="nil"/>
              <w:left w:val="nil"/>
              <w:bottom w:val="single" w:sz="4" w:space="0" w:color="auto"/>
              <w:right w:val="single" w:sz="4" w:space="0" w:color="auto"/>
            </w:tcBorders>
            <w:shd w:val="clear" w:color="auto" w:fill="auto"/>
            <w:noWrap/>
            <w:vAlign w:val="center"/>
            <w:hideMark/>
          </w:tcPr>
          <w:p w14:paraId="326D87C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0.7091 </w:t>
            </w:r>
          </w:p>
        </w:tc>
        <w:tc>
          <w:tcPr>
            <w:tcW w:w="0" w:type="auto"/>
            <w:tcBorders>
              <w:top w:val="nil"/>
              <w:left w:val="nil"/>
              <w:bottom w:val="single" w:sz="4" w:space="0" w:color="auto"/>
              <w:right w:val="single" w:sz="4" w:space="0" w:color="auto"/>
            </w:tcBorders>
            <w:shd w:val="clear" w:color="000000" w:fill="E6B8B7"/>
            <w:vAlign w:val="center"/>
            <w:hideMark/>
          </w:tcPr>
          <w:p w14:paraId="2EFD965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7.8 </w:t>
            </w:r>
          </w:p>
        </w:tc>
        <w:tc>
          <w:tcPr>
            <w:tcW w:w="0" w:type="auto"/>
            <w:tcBorders>
              <w:top w:val="nil"/>
              <w:left w:val="nil"/>
              <w:bottom w:val="single" w:sz="4" w:space="0" w:color="auto"/>
              <w:right w:val="single" w:sz="4" w:space="0" w:color="auto"/>
            </w:tcBorders>
            <w:shd w:val="clear" w:color="auto" w:fill="auto"/>
            <w:noWrap/>
            <w:vAlign w:val="center"/>
            <w:hideMark/>
          </w:tcPr>
          <w:p w14:paraId="517E177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0.8342 </w:t>
            </w:r>
          </w:p>
        </w:tc>
        <w:tc>
          <w:tcPr>
            <w:tcW w:w="0" w:type="auto"/>
            <w:tcBorders>
              <w:top w:val="nil"/>
              <w:left w:val="nil"/>
              <w:bottom w:val="single" w:sz="4" w:space="0" w:color="auto"/>
              <w:right w:val="single" w:sz="4" w:space="0" w:color="auto"/>
            </w:tcBorders>
            <w:shd w:val="clear" w:color="auto" w:fill="auto"/>
            <w:noWrap/>
            <w:vAlign w:val="center"/>
            <w:hideMark/>
          </w:tcPr>
          <w:p w14:paraId="6D5649F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0.8124 </w:t>
            </w:r>
          </w:p>
        </w:tc>
        <w:tc>
          <w:tcPr>
            <w:tcW w:w="0" w:type="auto"/>
            <w:tcBorders>
              <w:top w:val="nil"/>
              <w:left w:val="nil"/>
              <w:bottom w:val="single" w:sz="4" w:space="0" w:color="auto"/>
              <w:right w:val="single" w:sz="4" w:space="0" w:color="auto"/>
            </w:tcBorders>
            <w:shd w:val="clear" w:color="auto" w:fill="auto"/>
            <w:noWrap/>
            <w:vAlign w:val="center"/>
            <w:hideMark/>
          </w:tcPr>
          <w:p w14:paraId="225FF1C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0.6676 </w:t>
            </w:r>
          </w:p>
        </w:tc>
      </w:tr>
      <w:tr w:rsidR="002C3ABF" w:rsidRPr="00F631FB" w14:paraId="75268F75"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546F5C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0.4 </w:t>
            </w:r>
          </w:p>
        </w:tc>
        <w:tc>
          <w:tcPr>
            <w:tcW w:w="0" w:type="auto"/>
            <w:tcBorders>
              <w:top w:val="nil"/>
              <w:left w:val="nil"/>
              <w:bottom w:val="single" w:sz="4" w:space="0" w:color="auto"/>
              <w:right w:val="single" w:sz="4" w:space="0" w:color="auto"/>
            </w:tcBorders>
            <w:shd w:val="clear" w:color="auto" w:fill="auto"/>
            <w:noWrap/>
            <w:vAlign w:val="center"/>
            <w:hideMark/>
          </w:tcPr>
          <w:p w14:paraId="5E508B1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3.0430 </w:t>
            </w:r>
          </w:p>
        </w:tc>
        <w:tc>
          <w:tcPr>
            <w:tcW w:w="0" w:type="auto"/>
            <w:tcBorders>
              <w:top w:val="nil"/>
              <w:left w:val="nil"/>
              <w:bottom w:val="single" w:sz="4" w:space="0" w:color="auto"/>
              <w:right w:val="single" w:sz="4" w:space="0" w:color="auto"/>
            </w:tcBorders>
            <w:shd w:val="clear" w:color="auto" w:fill="auto"/>
            <w:noWrap/>
            <w:vAlign w:val="center"/>
            <w:hideMark/>
          </w:tcPr>
          <w:p w14:paraId="52F403F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3.0940 </w:t>
            </w:r>
          </w:p>
        </w:tc>
        <w:tc>
          <w:tcPr>
            <w:tcW w:w="0" w:type="auto"/>
            <w:tcBorders>
              <w:top w:val="nil"/>
              <w:left w:val="nil"/>
              <w:bottom w:val="single" w:sz="4" w:space="0" w:color="auto"/>
              <w:right w:val="single" w:sz="4" w:space="0" w:color="auto"/>
            </w:tcBorders>
            <w:shd w:val="clear" w:color="auto" w:fill="auto"/>
            <w:noWrap/>
            <w:vAlign w:val="center"/>
            <w:hideMark/>
          </w:tcPr>
          <w:p w14:paraId="7648C6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2.7680 </w:t>
            </w:r>
          </w:p>
        </w:tc>
        <w:tc>
          <w:tcPr>
            <w:tcW w:w="0" w:type="auto"/>
            <w:tcBorders>
              <w:top w:val="nil"/>
              <w:left w:val="nil"/>
              <w:bottom w:val="single" w:sz="4" w:space="0" w:color="auto"/>
              <w:right w:val="single" w:sz="4" w:space="0" w:color="auto"/>
            </w:tcBorders>
            <w:shd w:val="clear" w:color="000000" w:fill="E6B8B7"/>
            <w:vAlign w:val="center"/>
            <w:hideMark/>
          </w:tcPr>
          <w:p w14:paraId="60FC25D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2.9 </w:t>
            </w:r>
          </w:p>
        </w:tc>
        <w:tc>
          <w:tcPr>
            <w:tcW w:w="0" w:type="auto"/>
            <w:tcBorders>
              <w:top w:val="nil"/>
              <w:left w:val="nil"/>
              <w:bottom w:val="single" w:sz="4" w:space="0" w:color="auto"/>
              <w:right w:val="single" w:sz="4" w:space="0" w:color="auto"/>
            </w:tcBorders>
            <w:shd w:val="clear" w:color="auto" w:fill="auto"/>
            <w:noWrap/>
            <w:vAlign w:val="center"/>
            <w:hideMark/>
          </w:tcPr>
          <w:p w14:paraId="4445389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0.9642 </w:t>
            </w:r>
          </w:p>
        </w:tc>
        <w:tc>
          <w:tcPr>
            <w:tcW w:w="0" w:type="auto"/>
            <w:tcBorders>
              <w:top w:val="nil"/>
              <w:left w:val="nil"/>
              <w:bottom w:val="single" w:sz="4" w:space="0" w:color="auto"/>
              <w:right w:val="single" w:sz="4" w:space="0" w:color="auto"/>
            </w:tcBorders>
            <w:shd w:val="clear" w:color="auto" w:fill="auto"/>
            <w:noWrap/>
            <w:vAlign w:val="center"/>
            <w:hideMark/>
          </w:tcPr>
          <w:p w14:paraId="2E98161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0.9618 </w:t>
            </w:r>
          </w:p>
        </w:tc>
        <w:tc>
          <w:tcPr>
            <w:tcW w:w="0" w:type="auto"/>
            <w:tcBorders>
              <w:top w:val="nil"/>
              <w:left w:val="nil"/>
              <w:bottom w:val="single" w:sz="4" w:space="0" w:color="auto"/>
              <w:right w:val="single" w:sz="4" w:space="0" w:color="auto"/>
            </w:tcBorders>
            <w:shd w:val="clear" w:color="auto" w:fill="auto"/>
            <w:noWrap/>
            <w:vAlign w:val="center"/>
            <w:hideMark/>
          </w:tcPr>
          <w:p w14:paraId="1B94AD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0.8285 </w:t>
            </w:r>
          </w:p>
        </w:tc>
        <w:tc>
          <w:tcPr>
            <w:tcW w:w="0" w:type="auto"/>
            <w:tcBorders>
              <w:top w:val="nil"/>
              <w:left w:val="nil"/>
              <w:bottom w:val="single" w:sz="4" w:space="0" w:color="auto"/>
              <w:right w:val="single" w:sz="4" w:space="0" w:color="auto"/>
            </w:tcBorders>
            <w:shd w:val="clear" w:color="000000" w:fill="E6B8B7"/>
            <w:noWrap/>
            <w:vAlign w:val="center"/>
            <w:hideMark/>
          </w:tcPr>
          <w:p w14:paraId="31DE45D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5.4 </w:t>
            </w:r>
          </w:p>
        </w:tc>
        <w:tc>
          <w:tcPr>
            <w:tcW w:w="0" w:type="auto"/>
            <w:tcBorders>
              <w:top w:val="nil"/>
              <w:left w:val="nil"/>
              <w:bottom w:val="single" w:sz="4" w:space="0" w:color="auto"/>
              <w:right w:val="single" w:sz="4" w:space="0" w:color="auto"/>
            </w:tcBorders>
            <w:shd w:val="clear" w:color="auto" w:fill="auto"/>
            <w:noWrap/>
            <w:vAlign w:val="center"/>
            <w:hideMark/>
          </w:tcPr>
          <w:p w14:paraId="3729DAB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0.8594 </w:t>
            </w:r>
          </w:p>
        </w:tc>
        <w:tc>
          <w:tcPr>
            <w:tcW w:w="0" w:type="auto"/>
            <w:tcBorders>
              <w:top w:val="nil"/>
              <w:left w:val="nil"/>
              <w:bottom w:val="single" w:sz="4" w:space="0" w:color="auto"/>
              <w:right w:val="single" w:sz="4" w:space="0" w:color="auto"/>
            </w:tcBorders>
            <w:shd w:val="clear" w:color="auto" w:fill="auto"/>
            <w:noWrap/>
            <w:vAlign w:val="center"/>
            <w:hideMark/>
          </w:tcPr>
          <w:p w14:paraId="5BB86C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0.8439 </w:t>
            </w:r>
          </w:p>
        </w:tc>
        <w:tc>
          <w:tcPr>
            <w:tcW w:w="0" w:type="auto"/>
            <w:tcBorders>
              <w:top w:val="nil"/>
              <w:left w:val="nil"/>
              <w:bottom w:val="single" w:sz="4" w:space="0" w:color="auto"/>
              <w:right w:val="single" w:sz="4" w:space="0" w:color="auto"/>
            </w:tcBorders>
            <w:shd w:val="clear" w:color="auto" w:fill="auto"/>
            <w:noWrap/>
            <w:vAlign w:val="center"/>
            <w:hideMark/>
          </w:tcPr>
          <w:p w14:paraId="4D1DE8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0.7065 </w:t>
            </w:r>
          </w:p>
        </w:tc>
        <w:tc>
          <w:tcPr>
            <w:tcW w:w="0" w:type="auto"/>
            <w:tcBorders>
              <w:top w:val="nil"/>
              <w:left w:val="nil"/>
              <w:bottom w:val="single" w:sz="4" w:space="0" w:color="auto"/>
              <w:right w:val="single" w:sz="4" w:space="0" w:color="auto"/>
            </w:tcBorders>
            <w:shd w:val="clear" w:color="000000" w:fill="E6B8B7"/>
            <w:vAlign w:val="center"/>
            <w:hideMark/>
          </w:tcPr>
          <w:p w14:paraId="0F64F6D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7.9 </w:t>
            </w:r>
          </w:p>
        </w:tc>
        <w:tc>
          <w:tcPr>
            <w:tcW w:w="0" w:type="auto"/>
            <w:tcBorders>
              <w:top w:val="nil"/>
              <w:left w:val="nil"/>
              <w:bottom w:val="single" w:sz="4" w:space="0" w:color="auto"/>
              <w:right w:val="single" w:sz="4" w:space="0" w:color="auto"/>
            </w:tcBorders>
            <w:shd w:val="clear" w:color="auto" w:fill="auto"/>
            <w:noWrap/>
            <w:vAlign w:val="center"/>
            <w:hideMark/>
          </w:tcPr>
          <w:p w14:paraId="2F5F348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0.8335 </w:t>
            </w:r>
          </w:p>
        </w:tc>
        <w:tc>
          <w:tcPr>
            <w:tcW w:w="0" w:type="auto"/>
            <w:tcBorders>
              <w:top w:val="nil"/>
              <w:left w:val="nil"/>
              <w:bottom w:val="single" w:sz="4" w:space="0" w:color="auto"/>
              <w:right w:val="single" w:sz="4" w:space="0" w:color="auto"/>
            </w:tcBorders>
            <w:shd w:val="clear" w:color="auto" w:fill="auto"/>
            <w:noWrap/>
            <w:vAlign w:val="center"/>
            <w:hideMark/>
          </w:tcPr>
          <w:p w14:paraId="727015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0.8116 </w:t>
            </w:r>
          </w:p>
        </w:tc>
        <w:tc>
          <w:tcPr>
            <w:tcW w:w="0" w:type="auto"/>
            <w:tcBorders>
              <w:top w:val="nil"/>
              <w:left w:val="nil"/>
              <w:bottom w:val="single" w:sz="4" w:space="0" w:color="auto"/>
              <w:right w:val="single" w:sz="4" w:space="0" w:color="auto"/>
            </w:tcBorders>
            <w:shd w:val="clear" w:color="auto" w:fill="auto"/>
            <w:noWrap/>
            <w:vAlign w:val="center"/>
            <w:hideMark/>
          </w:tcPr>
          <w:p w14:paraId="50EB7CF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0.6665 </w:t>
            </w:r>
          </w:p>
        </w:tc>
      </w:tr>
      <w:tr w:rsidR="002C3ABF" w:rsidRPr="00F631FB" w14:paraId="02FBBD2E"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5A796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0.5 </w:t>
            </w:r>
          </w:p>
        </w:tc>
        <w:tc>
          <w:tcPr>
            <w:tcW w:w="0" w:type="auto"/>
            <w:tcBorders>
              <w:top w:val="nil"/>
              <w:left w:val="nil"/>
              <w:bottom w:val="single" w:sz="4" w:space="0" w:color="auto"/>
              <w:right w:val="single" w:sz="4" w:space="0" w:color="auto"/>
            </w:tcBorders>
            <w:shd w:val="clear" w:color="auto" w:fill="auto"/>
            <w:noWrap/>
            <w:vAlign w:val="center"/>
            <w:hideMark/>
          </w:tcPr>
          <w:p w14:paraId="20EF847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2.4344 </w:t>
            </w:r>
          </w:p>
        </w:tc>
        <w:tc>
          <w:tcPr>
            <w:tcW w:w="0" w:type="auto"/>
            <w:tcBorders>
              <w:top w:val="nil"/>
              <w:left w:val="nil"/>
              <w:bottom w:val="single" w:sz="4" w:space="0" w:color="auto"/>
              <w:right w:val="single" w:sz="4" w:space="0" w:color="auto"/>
            </w:tcBorders>
            <w:shd w:val="clear" w:color="auto" w:fill="auto"/>
            <w:noWrap/>
            <w:vAlign w:val="center"/>
            <w:hideMark/>
          </w:tcPr>
          <w:p w14:paraId="1FB87C6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2.4752 </w:t>
            </w:r>
          </w:p>
        </w:tc>
        <w:tc>
          <w:tcPr>
            <w:tcW w:w="0" w:type="auto"/>
            <w:tcBorders>
              <w:top w:val="nil"/>
              <w:left w:val="nil"/>
              <w:bottom w:val="single" w:sz="4" w:space="0" w:color="auto"/>
              <w:right w:val="single" w:sz="4" w:space="0" w:color="auto"/>
            </w:tcBorders>
            <w:shd w:val="clear" w:color="auto" w:fill="auto"/>
            <w:noWrap/>
            <w:vAlign w:val="center"/>
            <w:hideMark/>
          </w:tcPr>
          <w:p w14:paraId="038857D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2.2144 </w:t>
            </w:r>
          </w:p>
        </w:tc>
        <w:tc>
          <w:tcPr>
            <w:tcW w:w="0" w:type="auto"/>
            <w:tcBorders>
              <w:top w:val="nil"/>
              <w:left w:val="nil"/>
              <w:bottom w:val="single" w:sz="4" w:space="0" w:color="auto"/>
              <w:right w:val="single" w:sz="4" w:space="0" w:color="auto"/>
            </w:tcBorders>
            <w:shd w:val="clear" w:color="000000" w:fill="E6B8B7"/>
            <w:vAlign w:val="center"/>
            <w:hideMark/>
          </w:tcPr>
          <w:p w14:paraId="209F0C0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3.0 </w:t>
            </w:r>
          </w:p>
        </w:tc>
        <w:tc>
          <w:tcPr>
            <w:tcW w:w="0" w:type="auto"/>
            <w:tcBorders>
              <w:top w:val="nil"/>
              <w:left w:val="nil"/>
              <w:bottom w:val="single" w:sz="4" w:space="0" w:color="auto"/>
              <w:right w:val="single" w:sz="4" w:space="0" w:color="auto"/>
            </w:tcBorders>
            <w:shd w:val="clear" w:color="auto" w:fill="auto"/>
            <w:noWrap/>
            <w:vAlign w:val="center"/>
            <w:hideMark/>
          </w:tcPr>
          <w:p w14:paraId="109D4D7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0.9564 </w:t>
            </w:r>
          </w:p>
        </w:tc>
        <w:tc>
          <w:tcPr>
            <w:tcW w:w="0" w:type="auto"/>
            <w:tcBorders>
              <w:top w:val="nil"/>
              <w:left w:val="nil"/>
              <w:bottom w:val="single" w:sz="4" w:space="0" w:color="auto"/>
              <w:right w:val="single" w:sz="4" w:space="0" w:color="auto"/>
            </w:tcBorders>
            <w:shd w:val="clear" w:color="auto" w:fill="auto"/>
            <w:noWrap/>
            <w:vAlign w:val="center"/>
            <w:hideMark/>
          </w:tcPr>
          <w:p w14:paraId="7DB1E82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0.9534 </w:t>
            </w:r>
          </w:p>
        </w:tc>
        <w:tc>
          <w:tcPr>
            <w:tcW w:w="0" w:type="auto"/>
            <w:tcBorders>
              <w:top w:val="nil"/>
              <w:left w:val="nil"/>
              <w:bottom w:val="single" w:sz="4" w:space="0" w:color="auto"/>
              <w:right w:val="single" w:sz="4" w:space="0" w:color="auto"/>
            </w:tcBorders>
            <w:shd w:val="clear" w:color="auto" w:fill="auto"/>
            <w:noWrap/>
            <w:vAlign w:val="center"/>
            <w:hideMark/>
          </w:tcPr>
          <w:p w14:paraId="2D233DA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0.8204 </w:t>
            </w:r>
          </w:p>
        </w:tc>
        <w:tc>
          <w:tcPr>
            <w:tcW w:w="0" w:type="auto"/>
            <w:tcBorders>
              <w:top w:val="nil"/>
              <w:left w:val="nil"/>
              <w:bottom w:val="single" w:sz="4" w:space="0" w:color="auto"/>
              <w:right w:val="single" w:sz="4" w:space="0" w:color="auto"/>
            </w:tcBorders>
            <w:shd w:val="clear" w:color="000000" w:fill="E6B8B7"/>
            <w:noWrap/>
            <w:vAlign w:val="center"/>
            <w:hideMark/>
          </w:tcPr>
          <w:p w14:paraId="3C00759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5.5 </w:t>
            </w:r>
          </w:p>
        </w:tc>
        <w:tc>
          <w:tcPr>
            <w:tcW w:w="0" w:type="auto"/>
            <w:tcBorders>
              <w:top w:val="nil"/>
              <w:left w:val="nil"/>
              <w:bottom w:val="single" w:sz="4" w:space="0" w:color="auto"/>
              <w:right w:val="single" w:sz="4" w:space="0" w:color="auto"/>
            </w:tcBorders>
            <w:shd w:val="clear" w:color="auto" w:fill="auto"/>
            <w:noWrap/>
            <w:vAlign w:val="center"/>
            <w:hideMark/>
          </w:tcPr>
          <w:p w14:paraId="78AC512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0.8577 </w:t>
            </w:r>
          </w:p>
        </w:tc>
        <w:tc>
          <w:tcPr>
            <w:tcW w:w="0" w:type="auto"/>
            <w:tcBorders>
              <w:top w:val="nil"/>
              <w:left w:val="nil"/>
              <w:bottom w:val="single" w:sz="4" w:space="0" w:color="auto"/>
              <w:right w:val="single" w:sz="4" w:space="0" w:color="auto"/>
            </w:tcBorders>
            <w:shd w:val="clear" w:color="auto" w:fill="auto"/>
            <w:noWrap/>
            <w:vAlign w:val="center"/>
            <w:hideMark/>
          </w:tcPr>
          <w:p w14:paraId="05B379C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51538AF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0.7040 </w:t>
            </w:r>
          </w:p>
        </w:tc>
        <w:tc>
          <w:tcPr>
            <w:tcW w:w="0" w:type="auto"/>
            <w:tcBorders>
              <w:top w:val="nil"/>
              <w:left w:val="nil"/>
              <w:bottom w:val="single" w:sz="4" w:space="0" w:color="auto"/>
              <w:right w:val="single" w:sz="4" w:space="0" w:color="auto"/>
            </w:tcBorders>
            <w:shd w:val="clear" w:color="000000" w:fill="E6B8B7"/>
            <w:vAlign w:val="center"/>
            <w:hideMark/>
          </w:tcPr>
          <w:p w14:paraId="0D068D4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8.0 </w:t>
            </w:r>
          </w:p>
        </w:tc>
        <w:tc>
          <w:tcPr>
            <w:tcW w:w="0" w:type="auto"/>
            <w:tcBorders>
              <w:top w:val="nil"/>
              <w:left w:val="nil"/>
              <w:bottom w:val="single" w:sz="4" w:space="0" w:color="auto"/>
              <w:right w:val="single" w:sz="4" w:space="0" w:color="auto"/>
            </w:tcBorders>
            <w:shd w:val="clear" w:color="auto" w:fill="auto"/>
            <w:noWrap/>
            <w:vAlign w:val="center"/>
            <w:hideMark/>
          </w:tcPr>
          <w:p w14:paraId="4F67BA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0.8328 </w:t>
            </w:r>
          </w:p>
        </w:tc>
        <w:tc>
          <w:tcPr>
            <w:tcW w:w="0" w:type="auto"/>
            <w:tcBorders>
              <w:top w:val="nil"/>
              <w:left w:val="nil"/>
              <w:bottom w:val="single" w:sz="4" w:space="0" w:color="auto"/>
              <w:right w:val="single" w:sz="4" w:space="0" w:color="auto"/>
            </w:tcBorders>
            <w:shd w:val="clear" w:color="auto" w:fill="auto"/>
            <w:noWrap/>
            <w:vAlign w:val="center"/>
            <w:hideMark/>
          </w:tcPr>
          <w:p w14:paraId="597B353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0.8108 </w:t>
            </w:r>
          </w:p>
        </w:tc>
        <w:tc>
          <w:tcPr>
            <w:tcW w:w="0" w:type="auto"/>
            <w:tcBorders>
              <w:top w:val="nil"/>
              <w:left w:val="nil"/>
              <w:bottom w:val="single" w:sz="4" w:space="0" w:color="auto"/>
              <w:right w:val="single" w:sz="4" w:space="0" w:color="auto"/>
            </w:tcBorders>
            <w:shd w:val="clear" w:color="auto" w:fill="auto"/>
            <w:noWrap/>
            <w:vAlign w:val="center"/>
            <w:hideMark/>
          </w:tcPr>
          <w:p w14:paraId="66B684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0.6655 </w:t>
            </w:r>
          </w:p>
        </w:tc>
      </w:tr>
      <w:tr w:rsidR="002C3ABF" w:rsidRPr="00F631FB" w14:paraId="561A29DB"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E9536D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0.6 </w:t>
            </w:r>
          </w:p>
        </w:tc>
        <w:tc>
          <w:tcPr>
            <w:tcW w:w="0" w:type="auto"/>
            <w:tcBorders>
              <w:top w:val="nil"/>
              <w:left w:val="nil"/>
              <w:bottom w:val="single" w:sz="4" w:space="0" w:color="auto"/>
              <w:right w:val="single" w:sz="4" w:space="0" w:color="auto"/>
            </w:tcBorders>
            <w:shd w:val="clear" w:color="auto" w:fill="auto"/>
            <w:noWrap/>
            <w:vAlign w:val="center"/>
            <w:hideMark/>
          </w:tcPr>
          <w:p w14:paraId="0D65F1F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2.0287 </w:t>
            </w:r>
          </w:p>
        </w:tc>
        <w:tc>
          <w:tcPr>
            <w:tcW w:w="0" w:type="auto"/>
            <w:tcBorders>
              <w:top w:val="nil"/>
              <w:left w:val="nil"/>
              <w:bottom w:val="single" w:sz="4" w:space="0" w:color="auto"/>
              <w:right w:val="single" w:sz="4" w:space="0" w:color="auto"/>
            </w:tcBorders>
            <w:shd w:val="clear" w:color="auto" w:fill="auto"/>
            <w:noWrap/>
            <w:vAlign w:val="center"/>
            <w:hideMark/>
          </w:tcPr>
          <w:p w14:paraId="1B002D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2.0627 </w:t>
            </w:r>
          </w:p>
        </w:tc>
        <w:tc>
          <w:tcPr>
            <w:tcW w:w="0" w:type="auto"/>
            <w:tcBorders>
              <w:top w:val="nil"/>
              <w:left w:val="nil"/>
              <w:bottom w:val="single" w:sz="4" w:space="0" w:color="auto"/>
              <w:right w:val="single" w:sz="4" w:space="0" w:color="auto"/>
            </w:tcBorders>
            <w:shd w:val="clear" w:color="auto" w:fill="auto"/>
            <w:noWrap/>
            <w:vAlign w:val="center"/>
            <w:hideMark/>
          </w:tcPr>
          <w:p w14:paraId="70E43D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1.8453 </w:t>
            </w:r>
          </w:p>
        </w:tc>
        <w:tc>
          <w:tcPr>
            <w:tcW w:w="0" w:type="auto"/>
            <w:tcBorders>
              <w:top w:val="nil"/>
              <w:left w:val="nil"/>
              <w:bottom w:val="single" w:sz="4" w:space="0" w:color="auto"/>
              <w:right w:val="single" w:sz="4" w:space="0" w:color="auto"/>
            </w:tcBorders>
            <w:shd w:val="clear" w:color="000000" w:fill="E6B8B7"/>
            <w:vAlign w:val="center"/>
            <w:hideMark/>
          </w:tcPr>
          <w:p w14:paraId="7F25BA6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3.1 </w:t>
            </w:r>
          </w:p>
        </w:tc>
        <w:tc>
          <w:tcPr>
            <w:tcW w:w="0" w:type="auto"/>
            <w:tcBorders>
              <w:top w:val="nil"/>
              <w:left w:val="nil"/>
              <w:bottom w:val="single" w:sz="4" w:space="0" w:color="auto"/>
              <w:right w:val="single" w:sz="4" w:space="0" w:color="auto"/>
            </w:tcBorders>
            <w:shd w:val="clear" w:color="auto" w:fill="auto"/>
            <w:noWrap/>
            <w:vAlign w:val="center"/>
            <w:hideMark/>
          </w:tcPr>
          <w:p w14:paraId="656CAB9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0.9490 </w:t>
            </w:r>
          </w:p>
        </w:tc>
        <w:tc>
          <w:tcPr>
            <w:tcW w:w="0" w:type="auto"/>
            <w:tcBorders>
              <w:top w:val="nil"/>
              <w:left w:val="nil"/>
              <w:bottom w:val="single" w:sz="4" w:space="0" w:color="auto"/>
              <w:right w:val="single" w:sz="4" w:space="0" w:color="auto"/>
            </w:tcBorders>
            <w:shd w:val="clear" w:color="auto" w:fill="auto"/>
            <w:noWrap/>
            <w:vAlign w:val="center"/>
            <w:hideMark/>
          </w:tcPr>
          <w:p w14:paraId="150016F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0.9455 </w:t>
            </w:r>
          </w:p>
        </w:tc>
        <w:tc>
          <w:tcPr>
            <w:tcW w:w="0" w:type="auto"/>
            <w:tcBorders>
              <w:top w:val="nil"/>
              <w:left w:val="nil"/>
              <w:bottom w:val="single" w:sz="4" w:space="0" w:color="auto"/>
              <w:right w:val="single" w:sz="4" w:space="0" w:color="auto"/>
            </w:tcBorders>
            <w:shd w:val="clear" w:color="auto" w:fill="auto"/>
            <w:noWrap/>
            <w:vAlign w:val="center"/>
            <w:hideMark/>
          </w:tcPr>
          <w:p w14:paraId="3F7E3B1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0.8126 </w:t>
            </w:r>
          </w:p>
        </w:tc>
        <w:tc>
          <w:tcPr>
            <w:tcW w:w="0" w:type="auto"/>
            <w:tcBorders>
              <w:top w:val="nil"/>
              <w:left w:val="nil"/>
              <w:bottom w:val="single" w:sz="4" w:space="0" w:color="auto"/>
              <w:right w:val="single" w:sz="4" w:space="0" w:color="auto"/>
            </w:tcBorders>
            <w:shd w:val="clear" w:color="000000" w:fill="E6B8B7"/>
            <w:noWrap/>
            <w:vAlign w:val="center"/>
            <w:hideMark/>
          </w:tcPr>
          <w:p w14:paraId="68AE3CD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5.6 </w:t>
            </w:r>
          </w:p>
        </w:tc>
        <w:tc>
          <w:tcPr>
            <w:tcW w:w="0" w:type="auto"/>
            <w:tcBorders>
              <w:top w:val="nil"/>
              <w:left w:val="nil"/>
              <w:bottom w:val="single" w:sz="4" w:space="0" w:color="auto"/>
              <w:right w:val="single" w:sz="4" w:space="0" w:color="auto"/>
            </w:tcBorders>
            <w:shd w:val="clear" w:color="auto" w:fill="auto"/>
            <w:noWrap/>
            <w:vAlign w:val="center"/>
            <w:hideMark/>
          </w:tcPr>
          <w:p w14:paraId="7F601F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0.8560 </w:t>
            </w:r>
          </w:p>
        </w:tc>
        <w:tc>
          <w:tcPr>
            <w:tcW w:w="0" w:type="auto"/>
            <w:tcBorders>
              <w:top w:val="nil"/>
              <w:left w:val="nil"/>
              <w:bottom w:val="single" w:sz="4" w:space="0" w:color="auto"/>
              <w:right w:val="single" w:sz="4" w:space="0" w:color="auto"/>
            </w:tcBorders>
            <w:shd w:val="clear" w:color="auto" w:fill="auto"/>
            <w:noWrap/>
            <w:vAlign w:val="center"/>
            <w:hideMark/>
          </w:tcPr>
          <w:p w14:paraId="259607F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0.8398 </w:t>
            </w:r>
          </w:p>
        </w:tc>
        <w:tc>
          <w:tcPr>
            <w:tcW w:w="0" w:type="auto"/>
            <w:tcBorders>
              <w:top w:val="nil"/>
              <w:left w:val="nil"/>
              <w:bottom w:val="single" w:sz="4" w:space="0" w:color="auto"/>
              <w:right w:val="single" w:sz="4" w:space="0" w:color="auto"/>
            </w:tcBorders>
            <w:shd w:val="clear" w:color="auto" w:fill="auto"/>
            <w:noWrap/>
            <w:vAlign w:val="center"/>
            <w:hideMark/>
          </w:tcPr>
          <w:p w14:paraId="07BCF27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0.7016 </w:t>
            </w:r>
          </w:p>
        </w:tc>
        <w:tc>
          <w:tcPr>
            <w:tcW w:w="0" w:type="auto"/>
            <w:tcBorders>
              <w:top w:val="nil"/>
              <w:left w:val="nil"/>
              <w:bottom w:val="single" w:sz="4" w:space="0" w:color="auto"/>
              <w:right w:val="single" w:sz="4" w:space="0" w:color="auto"/>
            </w:tcBorders>
            <w:shd w:val="clear" w:color="000000" w:fill="E6B8B7"/>
            <w:vAlign w:val="center"/>
            <w:hideMark/>
          </w:tcPr>
          <w:p w14:paraId="76AD8CC0"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8.1 </w:t>
            </w:r>
          </w:p>
        </w:tc>
        <w:tc>
          <w:tcPr>
            <w:tcW w:w="0" w:type="auto"/>
            <w:tcBorders>
              <w:top w:val="nil"/>
              <w:left w:val="nil"/>
              <w:bottom w:val="single" w:sz="4" w:space="0" w:color="auto"/>
              <w:right w:val="single" w:sz="4" w:space="0" w:color="auto"/>
            </w:tcBorders>
            <w:shd w:val="clear" w:color="auto" w:fill="auto"/>
            <w:noWrap/>
            <w:vAlign w:val="center"/>
            <w:hideMark/>
          </w:tcPr>
          <w:p w14:paraId="7AFD885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0.8322 </w:t>
            </w:r>
          </w:p>
        </w:tc>
        <w:tc>
          <w:tcPr>
            <w:tcW w:w="0" w:type="auto"/>
            <w:tcBorders>
              <w:top w:val="nil"/>
              <w:left w:val="nil"/>
              <w:bottom w:val="single" w:sz="4" w:space="0" w:color="auto"/>
              <w:right w:val="single" w:sz="4" w:space="0" w:color="auto"/>
            </w:tcBorders>
            <w:shd w:val="clear" w:color="auto" w:fill="auto"/>
            <w:noWrap/>
            <w:vAlign w:val="center"/>
            <w:hideMark/>
          </w:tcPr>
          <w:p w14:paraId="6B63CB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0.8100 </w:t>
            </w:r>
          </w:p>
        </w:tc>
        <w:tc>
          <w:tcPr>
            <w:tcW w:w="0" w:type="auto"/>
            <w:tcBorders>
              <w:top w:val="nil"/>
              <w:left w:val="nil"/>
              <w:bottom w:val="single" w:sz="4" w:space="0" w:color="auto"/>
              <w:right w:val="single" w:sz="4" w:space="0" w:color="auto"/>
            </w:tcBorders>
            <w:shd w:val="clear" w:color="auto" w:fill="auto"/>
            <w:noWrap/>
            <w:vAlign w:val="center"/>
            <w:hideMark/>
          </w:tcPr>
          <w:p w14:paraId="6E8742C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0.6644 </w:t>
            </w:r>
          </w:p>
        </w:tc>
      </w:tr>
      <w:tr w:rsidR="002C3ABF" w:rsidRPr="00F631FB" w14:paraId="1DC78B5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4C494B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0.7 </w:t>
            </w:r>
          </w:p>
        </w:tc>
        <w:tc>
          <w:tcPr>
            <w:tcW w:w="0" w:type="auto"/>
            <w:tcBorders>
              <w:top w:val="nil"/>
              <w:left w:val="nil"/>
              <w:bottom w:val="single" w:sz="4" w:space="0" w:color="auto"/>
              <w:right w:val="single" w:sz="4" w:space="0" w:color="auto"/>
            </w:tcBorders>
            <w:shd w:val="clear" w:color="auto" w:fill="auto"/>
            <w:noWrap/>
            <w:vAlign w:val="center"/>
            <w:hideMark/>
          </w:tcPr>
          <w:p w14:paraId="448B233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1.7389 </w:t>
            </w:r>
          </w:p>
        </w:tc>
        <w:tc>
          <w:tcPr>
            <w:tcW w:w="0" w:type="auto"/>
            <w:tcBorders>
              <w:top w:val="nil"/>
              <w:left w:val="nil"/>
              <w:bottom w:val="single" w:sz="4" w:space="0" w:color="auto"/>
              <w:right w:val="single" w:sz="4" w:space="0" w:color="auto"/>
            </w:tcBorders>
            <w:shd w:val="clear" w:color="auto" w:fill="auto"/>
            <w:noWrap/>
            <w:vAlign w:val="center"/>
            <w:hideMark/>
          </w:tcPr>
          <w:p w14:paraId="28D3389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1.7680 </w:t>
            </w:r>
          </w:p>
        </w:tc>
        <w:tc>
          <w:tcPr>
            <w:tcW w:w="0" w:type="auto"/>
            <w:tcBorders>
              <w:top w:val="nil"/>
              <w:left w:val="nil"/>
              <w:bottom w:val="single" w:sz="4" w:space="0" w:color="auto"/>
              <w:right w:val="single" w:sz="4" w:space="0" w:color="auto"/>
            </w:tcBorders>
            <w:shd w:val="clear" w:color="auto" w:fill="auto"/>
            <w:noWrap/>
            <w:vAlign w:val="center"/>
            <w:hideMark/>
          </w:tcPr>
          <w:p w14:paraId="4A2FE95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1.5817 </w:t>
            </w:r>
          </w:p>
        </w:tc>
        <w:tc>
          <w:tcPr>
            <w:tcW w:w="0" w:type="auto"/>
            <w:tcBorders>
              <w:top w:val="nil"/>
              <w:left w:val="nil"/>
              <w:bottom w:val="single" w:sz="4" w:space="0" w:color="auto"/>
              <w:right w:val="single" w:sz="4" w:space="0" w:color="auto"/>
            </w:tcBorders>
            <w:shd w:val="clear" w:color="000000" w:fill="E6B8B7"/>
            <w:vAlign w:val="center"/>
            <w:hideMark/>
          </w:tcPr>
          <w:p w14:paraId="2B180760"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3.2 </w:t>
            </w:r>
          </w:p>
        </w:tc>
        <w:tc>
          <w:tcPr>
            <w:tcW w:w="0" w:type="auto"/>
            <w:tcBorders>
              <w:top w:val="nil"/>
              <w:left w:val="nil"/>
              <w:bottom w:val="single" w:sz="4" w:space="0" w:color="auto"/>
              <w:right w:val="single" w:sz="4" w:space="0" w:color="auto"/>
            </w:tcBorders>
            <w:shd w:val="clear" w:color="auto" w:fill="auto"/>
            <w:noWrap/>
            <w:vAlign w:val="center"/>
            <w:hideMark/>
          </w:tcPr>
          <w:p w14:paraId="53DFB40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0.9420 </w:t>
            </w:r>
          </w:p>
        </w:tc>
        <w:tc>
          <w:tcPr>
            <w:tcW w:w="0" w:type="auto"/>
            <w:tcBorders>
              <w:top w:val="nil"/>
              <w:left w:val="nil"/>
              <w:bottom w:val="single" w:sz="4" w:space="0" w:color="auto"/>
              <w:right w:val="single" w:sz="4" w:space="0" w:color="auto"/>
            </w:tcBorders>
            <w:shd w:val="clear" w:color="auto" w:fill="auto"/>
            <w:noWrap/>
            <w:vAlign w:val="center"/>
            <w:hideMark/>
          </w:tcPr>
          <w:p w14:paraId="48098B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0.9379 </w:t>
            </w:r>
          </w:p>
        </w:tc>
        <w:tc>
          <w:tcPr>
            <w:tcW w:w="0" w:type="auto"/>
            <w:tcBorders>
              <w:top w:val="nil"/>
              <w:left w:val="nil"/>
              <w:bottom w:val="single" w:sz="4" w:space="0" w:color="auto"/>
              <w:right w:val="single" w:sz="4" w:space="0" w:color="auto"/>
            </w:tcBorders>
            <w:shd w:val="clear" w:color="auto" w:fill="auto"/>
            <w:noWrap/>
            <w:vAlign w:val="center"/>
            <w:hideMark/>
          </w:tcPr>
          <w:p w14:paraId="312CAD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0.8053 </w:t>
            </w:r>
          </w:p>
        </w:tc>
        <w:tc>
          <w:tcPr>
            <w:tcW w:w="0" w:type="auto"/>
            <w:tcBorders>
              <w:top w:val="nil"/>
              <w:left w:val="nil"/>
              <w:bottom w:val="single" w:sz="4" w:space="0" w:color="auto"/>
              <w:right w:val="single" w:sz="4" w:space="0" w:color="auto"/>
            </w:tcBorders>
            <w:shd w:val="clear" w:color="000000" w:fill="E6B8B7"/>
            <w:noWrap/>
            <w:vAlign w:val="center"/>
            <w:hideMark/>
          </w:tcPr>
          <w:p w14:paraId="1A01B4D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5.7 </w:t>
            </w:r>
          </w:p>
        </w:tc>
        <w:tc>
          <w:tcPr>
            <w:tcW w:w="0" w:type="auto"/>
            <w:tcBorders>
              <w:top w:val="nil"/>
              <w:left w:val="nil"/>
              <w:bottom w:val="single" w:sz="4" w:space="0" w:color="auto"/>
              <w:right w:val="single" w:sz="4" w:space="0" w:color="auto"/>
            </w:tcBorders>
            <w:shd w:val="clear" w:color="auto" w:fill="auto"/>
            <w:noWrap/>
            <w:vAlign w:val="center"/>
            <w:hideMark/>
          </w:tcPr>
          <w:p w14:paraId="4E83BA0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0.8544 </w:t>
            </w:r>
          </w:p>
        </w:tc>
        <w:tc>
          <w:tcPr>
            <w:tcW w:w="0" w:type="auto"/>
            <w:tcBorders>
              <w:top w:val="nil"/>
              <w:left w:val="nil"/>
              <w:bottom w:val="single" w:sz="4" w:space="0" w:color="auto"/>
              <w:right w:val="single" w:sz="4" w:space="0" w:color="auto"/>
            </w:tcBorders>
            <w:shd w:val="clear" w:color="auto" w:fill="auto"/>
            <w:noWrap/>
            <w:vAlign w:val="center"/>
            <w:hideMark/>
          </w:tcPr>
          <w:p w14:paraId="2E85810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0.8379 </w:t>
            </w:r>
          </w:p>
        </w:tc>
        <w:tc>
          <w:tcPr>
            <w:tcW w:w="0" w:type="auto"/>
            <w:tcBorders>
              <w:top w:val="nil"/>
              <w:left w:val="nil"/>
              <w:bottom w:val="single" w:sz="4" w:space="0" w:color="auto"/>
              <w:right w:val="single" w:sz="4" w:space="0" w:color="auto"/>
            </w:tcBorders>
            <w:shd w:val="clear" w:color="auto" w:fill="auto"/>
            <w:noWrap/>
            <w:vAlign w:val="center"/>
            <w:hideMark/>
          </w:tcPr>
          <w:p w14:paraId="52B3D07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0.6994 </w:t>
            </w:r>
          </w:p>
        </w:tc>
        <w:tc>
          <w:tcPr>
            <w:tcW w:w="0" w:type="auto"/>
            <w:tcBorders>
              <w:top w:val="nil"/>
              <w:left w:val="nil"/>
              <w:bottom w:val="single" w:sz="4" w:space="0" w:color="auto"/>
              <w:right w:val="single" w:sz="4" w:space="0" w:color="auto"/>
            </w:tcBorders>
            <w:shd w:val="clear" w:color="000000" w:fill="E6B8B7"/>
            <w:vAlign w:val="center"/>
            <w:hideMark/>
          </w:tcPr>
          <w:p w14:paraId="575261A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8.2 </w:t>
            </w:r>
          </w:p>
        </w:tc>
        <w:tc>
          <w:tcPr>
            <w:tcW w:w="0" w:type="auto"/>
            <w:tcBorders>
              <w:top w:val="nil"/>
              <w:left w:val="nil"/>
              <w:bottom w:val="single" w:sz="4" w:space="0" w:color="auto"/>
              <w:right w:val="single" w:sz="4" w:space="0" w:color="auto"/>
            </w:tcBorders>
            <w:shd w:val="clear" w:color="auto" w:fill="auto"/>
            <w:noWrap/>
            <w:vAlign w:val="center"/>
            <w:hideMark/>
          </w:tcPr>
          <w:p w14:paraId="0E78B1B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0.8316 </w:t>
            </w:r>
          </w:p>
        </w:tc>
        <w:tc>
          <w:tcPr>
            <w:tcW w:w="0" w:type="auto"/>
            <w:tcBorders>
              <w:top w:val="nil"/>
              <w:left w:val="nil"/>
              <w:bottom w:val="single" w:sz="4" w:space="0" w:color="auto"/>
              <w:right w:val="single" w:sz="4" w:space="0" w:color="auto"/>
            </w:tcBorders>
            <w:shd w:val="clear" w:color="auto" w:fill="auto"/>
            <w:noWrap/>
            <w:vAlign w:val="center"/>
            <w:hideMark/>
          </w:tcPr>
          <w:p w14:paraId="4745700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0.8092 </w:t>
            </w:r>
          </w:p>
        </w:tc>
        <w:tc>
          <w:tcPr>
            <w:tcW w:w="0" w:type="auto"/>
            <w:tcBorders>
              <w:top w:val="nil"/>
              <w:left w:val="nil"/>
              <w:bottom w:val="single" w:sz="4" w:space="0" w:color="auto"/>
              <w:right w:val="single" w:sz="4" w:space="0" w:color="auto"/>
            </w:tcBorders>
            <w:shd w:val="clear" w:color="auto" w:fill="auto"/>
            <w:noWrap/>
            <w:vAlign w:val="center"/>
            <w:hideMark/>
          </w:tcPr>
          <w:p w14:paraId="4DE679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0.6634 </w:t>
            </w:r>
          </w:p>
        </w:tc>
      </w:tr>
      <w:tr w:rsidR="002C3ABF" w:rsidRPr="00F631FB" w14:paraId="075F040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B3A17D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0.8 </w:t>
            </w:r>
          </w:p>
        </w:tc>
        <w:tc>
          <w:tcPr>
            <w:tcW w:w="0" w:type="auto"/>
            <w:tcBorders>
              <w:top w:val="nil"/>
              <w:left w:val="nil"/>
              <w:bottom w:val="single" w:sz="4" w:space="0" w:color="auto"/>
              <w:right w:val="single" w:sz="4" w:space="0" w:color="auto"/>
            </w:tcBorders>
            <w:shd w:val="clear" w:color="auto" w:fill="auto"/>
            <w:noWrap/>
            <w:vAlign w:val="center"/>
            <w:hideMark/>
          </w:tcPr>
          <w:p w14:paraId="4EB1A7F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1.5215 </w:t>
            </w:r>
          </w:p>
        </w:tc>
        <w:tc>
          <w:tcPr>
            <w:tcW w:w="0" w:type="auto"/>
            <w:tcBorders>
              <w:top w:val="nil"/>
              <w:left w:val="nil"/>
              <w:bottom w:val="single" w:sz="4" w:space="0" w:color="auto"/>
              <w:right w:val="single" w:sz="4" w:space="0" w:color="auto"/>
            </w:tcBorders>
            <w:shd w:val="clear" w:color="auto" w:fill="auto"/>
            <w:noWrap/>
            <w:vAlign w:val="center"/>
            <w:hideMark/>
          </w:tcPr>
          <w:p w14:paraId="10866BA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1.5470 </w:t>
            </w:r>
          </w:p>
        </w:tc>
        <w:tc>
          <w:tcPr>
            <w:tcW w:w="0" w:type="auto"/>
            <w:tcBorders>
              <w:top w:val="nil"/>
              <w:left w:val="nil"/>
              <w:bottom w:val="single" w:sz="4" w:space="0" w:color="auto"/>
              <w:right w:val="single" w:sz="4" w:space="0" w:color="auto"/>
            </w:tcBorders>
            <w:shd w:val="clear" w:color="auto" w:fill="auto"/>
            <w:noWrap/>
            <w:vAlign w:val="center"/>
            <w:hideMark/>
          </w:tcPr>
          <w:p w14:paraId="0FDDB2B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1.3840 </w:t>
            </w:r>
          </w:p>
        </w:tc>
        <w:tc>
          <w:tcPr>
            <w:tcW w:w="0" w:type="auto"/>
            <w:tcBorders>
              <w:top w:val="nil"/>
              <w:left w:val="nil"/>
              <w:bottom w:val="single" w:sz="4" w:space="0" w:color="auto"/>
              <w:right w:val="single" w:sz="4" w:space="0" w:color="auto"/>
            </w:tcBorders>
            <w:shd w:val="clear" w:color="000000" w:fill="E6B8B7"/>
            <w:vAlign w:val="center"/>
            <w:hideMark/>
          </w:tcPr>
          <w:p w14:paraId="471E4C1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3.3 </w:t>
            </w:r>
          </w:p>
        </w:tc>
        <w:tc>
          <w:tcPr>
            <w:tcW w:w="0" w:type="auto"/>
            <w:tcBorders>
              <w:top w:val="nil"/>
              <w:left w:val="nil"/>
              <w:bottom w:val="single" w:sz="4" w:space="0" w:color="auto"/>
              <w:right w:val="single" w:sz="4" w:space="0" w:color="auto"/>
            </w:tcBorders>
            <w:shd w:val="clear" w:color="auto" w:fill="auto"/>
            <w:noWrap/>
            <w:vAlign w:val="center"/>
            <w:hideMark/>
          </w:tcPr>
          <w:p w14:paraId="705A8D0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0.9354 </w:t>
            </w:r>
          </w:p>
        </w:tc>
        <w:tc>
          <w:tcPr>
            <w:tcW w:w="0" w:type="auto"/>
            <w:tcBorders>
              <w:top w:val="nil"/>
              <w:left w:val="nil"/>
              <w:bottom w:val="single" w:sz="4" w:space="0" w:color="auto"/>
              <w:right w:val="single" w:sz="4" w:space="0" w:color="auto"/>
            </w:tcBorders>
            <w:shd w:val="clear" w:color="auto" w:fill="auto"/>
            <w:noWrap/>
            <w:vAlign w:val="center"/>
            <w:hideMark/>
          </w:tcPr>
          <w:p w14:paraId="5CE17B5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0.9307 </w:t>
            </w:r>
          </w:p>
        </w:tc>
        <w:tc>
          <w:tcPr>
            <w:tcW w:w="0" w:type="auto"/>
            <w:tcBorders>
              <w:top w:val="nil"/>
              <w:left w:val="nil"/>
              <w:bottom w:val="single" w:sz="4" w:space="0" w:color="auto"/>
              <w:right w:val="single" w:sz="4" w:space="0" w:color="auto"/>
            </w:tcBorders>
            <w:shd w:val="clear" w:color="auto" w:fill="auto"/>
            <w:noWrap/>
            <w:vAlign w:val="center"/>
            <w:hideMark/>
          </w:tcPr>
          <w:p w14:paraId="5144C5B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0.7982 </w:t>
            </w:r>
          </w:p>
        </w:tc>
        <w:tc>
          <w:tcPr>
            <w:tcW w:w="0" w:type="auto"/>
            <w:tcBorders>
              <w:top w:val="nil"/>
              <w:left w:val="nil"/>
              <w:bottom w:val="single" w:sz="4" w:space="0" w:color="auto"/>
              <w:right w:val="single" w:sz="4" w:space="0" w:color="auto"/>
            </w:tcBorders>
            <w:shd w:val="clear" w:color="000000" w:fill="E6B8B7"/>
            <w:noWrap/>
            <w:vAlign w:val="center"/>
            <w:hideMark/>
          </w:tcPr>
          <w:p w14:paraId="5662D26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5.8 </w:t>
            </w:r>
          </w:p>
        </w:tc>
        <w:tc>
          <w:tcPr>
            <w:tcW w:w="0" w:type="auto"/>
            <w:tcBorders>
              <w:top w:val="nil"/>
              <w:left w:val="nil"/>
              <w:bottom w:val="single" w:sz="4" w:space="0" w:color="auto"/>
              <w:right w:val="single" w:sz="4" w:space="0" w:color="auto"/>
            </w:tcBorders>
            <w:shd w:val="clear" w:color="auto" w:fill="auto"/>
            <w:noWrap/>
            <w:vAlign w:val="center"/>
            <w:hideMark/>
          </w:tcPr>
          <w:p w14:paraId="282EA5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0.8529 </w:t>
            </w:r>
          </w:p>
        </w:tc>
        <w:tc>
          <w:tcPr>
            <w:tcW w:w="0" w:type="auto"/>
            <w:tcBorders>
              <w:top w:val="nil"/>
              <w:left w:val="nil"/>
              <w:bottom w:val="single" w:sz="4" w:space="0" w:color="auto"/>
              <w:right w:val="single" w:sz="4" w:space="0" w:color="auto"/>
            </w:tcBorders>
            <w:shd w:val="clear" w:color="auto" w:fill="auto"/>
            <w:noWrap/>
            <w:vAlign w:val="center"/>
            <w:hideMark/>
          </w:tcPr>
          <w:p w14:paraId="20803DD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0.8360 </w:t>
            </w:r>
          </w:p>
        </w:tc>
        <w:tc>
          <w:tcPr>
            <w:tcW w:w="0" w:type="auto"/>
            <w:tcBorders>
              <w:top w:val="nil"/>
              <w:left w:val="nil"/>
              <w:bottom w:val="single" w:sz="4" w:space="0" w:color="auto"/>
              <w:right w:val="single" w:sz="4" w:space="0" w:color="auto"/>
            </w:tcBorders>
            <w:shd w:val="clear" w:color="auto" w:fill="auto"/>
            <w:noWrap/>
            <w:vAlign w:val="center"/>
            <w:hideMark/>
          </w:tcPr>
          <w:p w14:paraId="72D257A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0.6972 </w:t>
            </w:r>
          </w:p>
        </w:tc>
        <w:tc>
          <w:tcPr>
            <w:tcW w:w="0" w:type="auto"/>
            <w:tcBorders>
              <w:top w:val="nil"/>
              <w:left w:val="nil"/>
              <w:bottom w:val="single" w:sz="4" w:space="0" w:color="auto"/>
              <w:right w:val="single" w:sz="4" w:space="0" w:color="auto"/>
            </w:tcBorders>
            <w:shd w:val="clear" w:color="000000" w:fill="E6B8B7"/>
            <w:vAlign w:val="center"/>
            <w:hideMark/>
          </w:tcPr>
          <w:p w14:paraId="0A7A3C2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8.3 </w:t>
            </w:r>
          </w:p>
        </w:tc>
        <w:tc>
          <w:tcPr>
            <w:tcW w:w="0" w:type="auto"/>
            <w:tcBorders>
              <w:top w:val="nil"/>
              <w:left w:val="nil"/>
              <w:bottom w:val="single" w:sz="4" w:space="0" w:color="auto"/>
              <w:right w:val="single" w:sz="4" w:space="0" w:color="auto"/>
            </w:tcBorders>
            <w:shd w:val="clear" w:color="auto" w:fill="auto"/>
            <w:noWrap/>
            <w:vAlign w:val="center"/>
            <w:hideMark/>
          </w:tcPr>
          <w:p w14:paraId="0E624F8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0.8310 </w:t>
            </w:r>
          </w:p>
        </w:tc>
        <w:tc>
          <w:tcPr>
            <w:tcW w:w="0" w:type="auto"/>
            <w:tcBorders>
              <w:top w:val="nil"/>
              <w:left w:val="nil"/>
              <w:bottom w:val="single" w:sz="4" w:space="0" w:color="auto"/>
              <w:right w:val="single" w:sz="4" w:space="0" w:color="auto"/>
            </w:tcBorders>
            <w:shd w:val="clear" w:color="auto" w:fill="auto"/>
            <w:noWrap/>
            <w:vAlign w:val="center"/>
            <w:hideMark/>
          </w:tcPr>
          <w:p w14:paraId="6C92B49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0.8084 </w:t>
            </w:r>
          </w:p>
        </w:tc>
        <w:tc>
          <w:tcPr>
            <w:tcW w:w="0" w:type="auto"/>
            <w:tcBorders>
              <w:top w:val="nil"/>
              <w:left w:val="nil"/>
              <w:bottom w:val="single" w:sz="4" w:space="0" w:color="auto"/>
              <w:right w:val="single" w:sz="4" w:space="0" w:color="auto"/>
            </w:tcBorders>
            <w:shd w:val="clear" w:color="auto" w:fill="auto"/>
            <w:noWrap/>
            <w:vAlign w:val="center"/>
            <w:hideMark/>
          </w:tcPr>
          <w:p w14:paraId="532682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0.6624 </w:t>
            </w:r>
          </w:p>
        </w:tc>
      </w:tr>
      <w:tr w:rsidR="002C3ABF" w:rsidRPr="00F631FB" w14:paraId="5E263B6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29436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0.9 </w:t>
            </w:r>
          </w:p>
        </w:tc>
        <w:tc>
          <w:tcPr>
            <w:tcW w:w="0" w:type="auto"/>
            <w:tcBorders>
              <w:top w:val="nil"/>
              <w:left w:val="nil"/>
              <w:bottom w:val="single" w:sz="4" w:space="0" w:color="auto"/>
              <w:right w:val="single" w:sz="4" w:space="0" w:color="auto"/>
            </w:tcBorders>
            <w:shd w:val="clear" w:color="auto" w:fill="auto"/>
            <w:noWrap/>
            <w:vAlign w:val="center"/>
            <w:hideMark/>
          </w:tcPr>
          <w:p w14:paraId="410C74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1.3524 </w:t>
            </w:r>
          </w:p>
        </w:tc>
        <w:tc>
          <w:tcPr>
            <w:tcW w:w="0" w:type="auto"/>
            <w:tcBorders>
              <w:top w:val="nil"/>
              <w:left w:val="nil"/>
              <w:bottom w:val="single" w:sz="4" w:space="0" w:color="auto"/>
              <w:right w:val="single" w:sz="4" w:space="0" w:color="auto"/>
            </w:tcBorders>
            <w:shd w:val="clear" w:color="auto" w:fill="auto"/>
            <w:noWrap/>
            <w:vAlign w:val="center"/>
            <w:hideMark/>
          </w:tcPr>
          <w:p w14:paraId="15E7E6E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1.3751 </w:t>
            </w:r>
          </w:p>
        </w:tc>
        <w:tc>
          <w:tcPr>
            <w:tcW w:w="0" w:type="auto"/>
            <w:tcBorders>
              <w:top w:val="nil"/>
              <w:left w:val="nil"/>
              <w:bottom w:val="single" w:sz="4" w:space="0" w:color="auto"/>
              <w:right w:val="single" w:sz="4" w:space="0" w:color="auto"/>
            </w:tcBorders>
            <w:shd w:val="clear" w:color="auto" w:fill="auto"/>
            <w:noWrap/>
            <w:vAlign w:val="center"/>
            <w:hideMark/>
          </w:tcPr>
          <w:p w14:paraId="7C912C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1.2302 </w:t>
            </w:r>
          </w:p>
        </w:tc>
        <w:tc>
          <w:tcPr>
            <w:tcW w:w="0" w:type="auto"/>
            <w:tcBorders>
              <w:top w:val="nil"/>
              <w:left w:val="nil"/>
              <w:bottom w:val="single" w:sz="4" w:space="0" w:color="auto"/>
              <w:right w:val="single" w:sz="4" w:space="0" w:color="auto"/>
            </w:tcBorders>
            <w:shd w:val="clear" w:color="000000" w:fill="E6B8B7"/>
            <w:vAlign w:val="center"/>
            <w:hideMark/>
          </w:tcPr>
          <w:p w14:paraId="68696BE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3.4 </w:t>
            </w:r>
          </w:p>
        </w:tc>
        <w:tc>
          <w:tcPr>
            <w:tcW w:w="0" w:type="auto"/>
            <w:tcBorders>
              <w:top w:val="nil"/>
              <w:left w:val="nil"/>
              <w:bottom w:val="single" w:sz="4" w:space="0" w:color="auto"/>
              <w:right w:val="single" w:sz="4" w:space="0" w:color="auto"/>
            </w:tcBorders>
            <w:shd w:val="clear" w:color="auto" w:fill="auto"/>
            <w:noWrap/>
            <w:vAlign w:val="center"/>
            <w:hideMark/>
          </w:tcPr>
          <w:p w14:paraId="2F5E950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0.9292 </w:t>
            </w:r>
          </w:p>
        </w:tc>
        <w:tc>
          <w:tcPr>
            <w:tcW w:w="0" w:type="auto"/>
            <w:tcBorders>
              <w:top w:val="nil"/>
              <w:left w:val="nil"/>
              <w:bottom w:val="single" w:sz="4" w:space="0" w:color="auto"/>
              <w:right w:val="single" w:sz="4" w:space="0" w:color="auto"/>
            </w:tcBorders>
            <w:shd w:val="clear" w:color="auto" w:fill="auto"/>
            <w:noWrap/>
            <w:vAlign w:val="center"/>
            <w:hideMark/>
          </w:tcPr>
          <w:p w14:paraId="5A88FCC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0.9239 </w:t>
            </w:r>
          </w:p>
        </w:tc>
        <w:tc>
          <w:tcPr>
            <w:tcW w:w="0" w:type="auto"/>
            <w:tcBorders>
              <w:top w:val="nil"/>
              <w:left w:val="nil"/>
              <w:bottom w:val="single" w:sz="4" w:space="0" w:color="auto"/>
              <w:right w:val="single" w:sz="4" w:space="0" w:color="auto"/>
            </w:tcBorders>
            <w:shd w:val="clear" w:color="auto" w:fill="auto"/>
            <w:noWrap/>
            <w:vAlign w:val="center"/>
            <w:hideMark/>
          </w:tcPr>
          <w:p w14:paraId="545604B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0.7914 </w:t>
            </w:r>
          </w:p>
        </w:tc>
        <w:tc>
          <w:tcPr>
            <w:tcW w:w="0" w:type="auto"/>
            <w:tcBorders>
              <w:top w:val="nil"/>
              <w:left w:val="nil"/>
              <w:bottom w:val="single" w:sz="4" w:space="0" w:color="auto"/>
              <w:right w:val="single" w:sz="4" w:space="0" w:color="auto"/>
            </w:tcBorders>
            <w:shd w:val="clear" w:color="000000" w:fill="E6B8B7"/>
            <w:noWrap/>
            <w:vAlign w:val="center"/>
            <w:hideMark/>
          </w:tcPr>
          <w:p w14:paraId="03005AB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5.9 </w:t>
            </w:r>
          </w:p>
        </w:tc>
        <w:tc>
          <w:tcPr>
            <w:tcW w:w="0" w:type="auto"/>
            <w:tcBorders>
              <w:top w:val="nil"/>
              <w:left w:val="nil"/>
              <w:bottom w:val="single" w:sz="4" w:space="0" w:color="auto"/>
              <w:right w:val="single" w:sz="4" w:space="0" w:color="auto"/>
            </w:tcBorders>
            <w:shd w:val="clear" w:color="auto" w:fill="auto"/>
            <w:noWrap/>
            <w:vAlign w:val="center"/>
            <w:hideMark/>
          </w:tcPr>
          <w:p w14:paraId="3FA5F8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0.8515 </w:t>
            </w:r>
          </w:p>
        </w:tc>
        <w:tc>
          <w:tcPr>
            <w:tcW w:w="0" w:type="auto"/>
            <w:tcBorders>
              <w:top w:val="nil"/>
              <w:left w:val="nil"/>
              <w:bottom w:val="single" w:sz="4" w:space="0" w:color="auto"/>
              <w:right w:val="single" w:sz="4" w:space="0" w:color="auto"/>
            </w:tcBorders>
            <w:shd w:val="clear" w:color="auto" w:fill="auto"/>
            <w:noWrap/>
            <w:vAlign w:val="center"/>
            <w:hideMark/>
          </w:tcPr>
          <w:p w14:paraId="5D3DF92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0.8343 </w:t>
            </w:r>
          </w:p>
        </w:tc>
        <w:tc>
          <w:tcPr>
            <w:tcW w:w="0" w:type="auto"/>
            <w:tcBorders>
              <w:top w:val="nil"/>
              <w:left w:val="nil"/>
              <w:bottom w:val="single" w:sz="4" w:space="0" w:color="auto"/>
              <w:right w:val="single" w:sz="4" w:space="0" w:color="auto"/>
            </w:tcBorders>
            <w:shd w:val="clear" w:color="auto" w:fill="auto"/>
            <w:noWrap/>
            <w:vAlign w:val="center"/>
            <w:hideMark/>
          </w:tcPr>
          <w:p w14:paraId="2D8CC85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0.6952 </w:t>
            </w:r>
          </w:p>
        </w:tc>
        <w:tc>
          <w:tcPr>
            <w:tcW w:w="0" w:type="auto"/>
            <w:tcBorders>
              <w:top w:val="nil"/>
              <w:left w:val="nil"/>
              <w:bottom w:val="single" w:sz="4" w:space="0" w:color="auto"/>
              <w:right w:val="single" w:sz="4" w:space="0" w:color="auto"/>
            </w:tcBorders>
            <w:shd w:val="clear" w:color="000000" w:fill="E6B8B7"/>
            <w:vAlign w:val="center"/>
            <w:hideMark/>
          </w:tcPr>
          <w:p w14:paraId="0CEE12F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8.4 </w:t>
            </w:r>
          </w:p>
        </w:tc>
        <w:tc>
          <w:tcPr>
            <w:tcW w:w="0" w:type="auto"/>
            <w:tcBorders>
              <w:top w:val="nil"/>
              <w:left w:val="nil"/>
              <w:bottom w:val="single" w:sz="4" w:space="0" w:color="auto"/>
              <w:right w:val="single" w:sz="4" w:space="0" w:color="auto"/>
            </w:tcBorders>
            <w:shd w:val="clear" w:color="auto" w:fill="auto"/>
            <w:noWrap/>
            <w:vAlign w:val="center"/>
            <w:hideMark/>
          </w:tcPr>
          <w:p w14:paraId="245A360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0.8304 </w:t>
            </w:r>
          </w:p>
        </w:tc>
        <w:tc>
          <w:tcPr>
            <w:tcW w:w="0" w:type="auto"/>
            <w:tcBorders>
              <w:top w:val="nil"/>
              <w:left w:val="nil"/>
              <w:bottom w:val="single" w:sz="4" w:space="0" w:color="auto"/>
              <w:right w:val="single" w:sz="4" w:space="0" w:color="auto"/>
            </w:tcBorders>
            <w:shd w:val="clear" w:color="auto" w:fill="auto"/>
            <w:noWrap/>
            <w:vAlign w:val="center"/>
            <w:hideMark/>
          </w:tcPr>
          <w:p w14:paraId="33D8133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0.8076 </w:t>
            </w:r>
          </w:p>
        </w:tc>
        <w:tc>
          <w:tcPr>
            <w:tcW w:w="0" w:type="auto"/>
            <w:tcBorders>
              <w:top w:val="nil"/>
              <w:left w:val="nil"/>
              <w:bottom w:val="single" w:sz="4" w:space="0" w:color="auto"/>
              <w:right w:val="single" w:sz="4" w:space="0" w:color="auto"/>
            </w:tcBorders>
            <w:shd w:val="clear" w:color="auto" w:fill="auto"/>
            <w:noWrap/>
            <w:vAlign w:val="center"/>
            <w:hideMark/>
          </w:tcPr>
          <w:p w14:paraId="03653EC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0.6614 </w:t>
            </w:r>
          </w:p>
        </w:tc>
      </w:tr>
      <w:tr w:rsidR="002C3ABF" w:rsidRPr="00F631FB" w14:paraId="107D4BA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BC283F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1.0 </w:t>
            </w:r>
          </w:p>
        </w:tc>
        <w:tc>
          <w:tcPr>
            <w:tcW w:w="0" w:type="auto"/>
            <w:tcBorders>
              <w:top w:val="nil"/>
              <w:left w:val="nil"/>
              <w:bottom w:val="single" w:sz="4" w:space="0" w:color="auto"/>
              <w:right w:val="single" w:sz="4" w:space="0" w:color="auto"/>
            </w:tcBorders>
            <w:shd w:val="clear" w:color="auto" w:fill="auto"/>
            <w:noWrap/>
            <w:vAlign w:val="center"/>
            <w:hideMark/>
          </w:tcPr>
          <w:p w14:paraId="704E4E0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1.2172 </w:t>
            </w:r>
          </w:p>
        </w:tc>
        <w:tc>
          <w:tcPr>
            <w:tcW w:w="0" w:type="auto"/>
            <w:tcBorders>
              <w:top w:val="nil"/>
              <w:left w:val="nil"/>
              <w:bottom w:val="single" w:sz="4" w:space="0" w:color="auto"/>
              <w:right w:val="single" w:sz="4" w:space="0" w:color="auto"/>
            </w:tcBorders>
            <w:shd w:val="clear" w:color="auto" w:fill="auto"/>
            <w:noWrap/>
            <w:vAlign w:val="center"/>
            <w:hideMark/>
          </w:tcPr>
          <w:p w14:paraId="07139F7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1.2376 </w:t>
            </w:r>
          </w:p>
        </w:tc>
        <w:tc>
          <w:tcPr>
            <w:tcW w:w="0" w:type="auto"/>
            <w:tcBorders>
              <w:top w:val="nil"/>
              <w:left w:val="nil"/>
              <w:bottom w:val="single" w:sz="4" w:space="0" w:color="auto"/>
              <w:right w:val="single" w:sz="4" w:space="0" w:color="auto"/>
            </w:tcBorders>
            <w:shd w:val="clear" w:color="auto" w:fill="auto"/>
            <w:noWrap/>
            <w:vAlign w:val="center"/>
            <w:hideMark/>
          </w:tcPr>
          <w:p w14:paraId="16DA1C2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1.1072 </w:t>
            </w:r>
          </w:p>
        </w:tc>
        <w:tc>
          <w:tcPr>
            <w:tcW w:w="0" w:type="auto"/>
            <w:tcBorders>
              <w:top w:val="nil"/>
              <w:left w:val="nil"/>
              <w:bottom w:val="single" w:sz="4" w:space="0" w:color="auto"/>
              <w:right w:val="single" w:sz="4" w:space="0" w:color="auto"/>
            </w:tcBorders>
            <w:shd w:val="clear" w:color="000000" w:fill="E6B8B7"/>
            <w:vAlign w:val="center"/>
            <w:hideMark/>
          </w:tcPr>
          <w:p w14:paraId="487708A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3.5 </w:t>
            </w:r>
          </w:p>
        </w:tc>
        <w:tc>
          <w:tcPr>
            <w:tcW w:w="0" w:type="auto"/>
            <w:tcBorders>
              <w:top w:val="nil"/>
              <w:left w:val="nil"/>
              <w:bottom w:val="single" w:sz="4" w:space="0" w:color="auto"/>
              <w:right w:val="single" w:sz="4" w:space="0" w:color="auto"/>
            </w:tcBorders>
            <w:shd w:val="clear" w:color="auto" w:fill="auto"/>
            <w:noWrap/>
            <w:vAlign w:val="center"/>
            <w:hideMark/>
          </w:tcPr>
          <w:p w14:paraId="19935AD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0.9234 </w:t>
            </w:r>
          </w:p>
        </w:tc>
        <w:tc>
          <w:tcPr>
            <w:tcW w:w="0" w:type="auto"/>
            <w:tcBorders>
              <w:top w:val="nil"/>
              <w:left w:val="nil"/>
              <w:bottom w:val="single" w:sz="4" w:space="0" w:color="auto"/>
              <w:right w:val="single" w:sz="4" w:space="0" w:color="auto"/>
            </w:tcBorders>
            <w:shd w:val="clear" w:color="auto" w:fill="auto"/>
            <w:noWrap/>
            <w:vAlign w:val="center"/>
            <w:hideMark/>
          </w:tcPr>
          <w:p w14:paraId="450FB2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0.9175 </w:t>
            </w:r>
          </w:p>
        </w:tc>
        <w:tc>
          <w:tcPr>
            <w:tcW w:w="0" w:type="auto"/>
            <w:tcBorders>
              <w:top w:val="nil"/>
              <w:left w:val="nil"/>
              <w:bottom w:val="single" w:sz="4" w:space="0" w:color="auto"/>
              <w:right w:val="single" w:sz="4" w:space="0" w:color="auto"/>
            </w:tcBorders>
            <w:shd w:val="clear" w:color="auto" w:fill="auto"/>
            <w:noWrap/>
            <w:vAlign w:val="center"/>
            <w:hideMark/>
          </w:tcPr>
          <w:p w14:paraId="0635650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0.7849 </w:t>
            </w:r>
          </w:p>
        </w:tc>
        <w:tc>
          <w:tcPr>
            <w:tcW w:w="0" w:type="auto"/>
            <w:tcBorders>
              <w:top w:val="nil"/>
              <w:left w:val="nil"/>
              <w:bottom w:val="single" w:sz="4" w:space="0" w:color="auto"/>
              <w:right w:val="single" w:sz="4" w:space="0" w:color="auto"/>
            </w:tcBorders>
            <w:shd w:val="clear" w:color="000000" w:fill="E6B8B7"/>
            <w:noWrap/>
            <w:vAlign w:val="center"/>
            <w:hideMark/>
          </w:tcPr>
          <w:p w14:paraId="49710D4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6.0 </w:t>
            </w:r>
          </w:p>
        </w:tc>
        <w:tc>
          <w:tcPr>
            <w:tcW w:w="0" w:type="auto"/>
            <w:tcBorders>
              <w:top w:val="nil"/>
              <w:left w:val="nil"/>
              <w:bottom w:val="single" w:sz="4" w:space="0" w:color="auto"/>
              <w:right w:val="single" w:sz="4" w:space="0" w:color="auto"/>
            </w:tcBorders>
            <w:shd w:val="clear" w:color="auto" w:fill="auto"/>
            <w:noWrap/>
            <w:vAlign w:val="center"/>
            <w:hideMark/>
          </w:tcPr>
          <w:p w14:paraId="1117AAA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0.8502 </w:t>
            </w:r>
          </w:p>
        </w:tc>
        <w:tc>
          <w:tcPr>
            <w:tcW w:w="0" w:type="auto"/>
            <w:tcBorders>
              <w:top w:val="nil"/>
              <w:left w:val="nil"/>
              <w:bottom w:val="single" w:sz="4" w:space="0" w:color="auto"/>
              <w:right w:val="single" w:sz="4" w:space="0" w:color="auto"/>
            </w:tcBorders>
            <w:shd w:val="clear" w:color="auto" w:fill="auto"/>
            <w:noWrap/>
            <w:vAlign w:val="center"/>
            <w:hideMark/>
          </w:tcPr>
          <w:p w14:paraId="53F96E5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0.8327 </w:t>
            </w:r>
          </w:p>
        </w:tc>
        <w:tc>
          <w:tcPr>
            <w:tcW w:w="0" w:type="auto"/>
            <w:tcBorders>
              <w:top w:val="nil"/>
              <w:left w:val="nil"/>
              <w:bottom w:val="single" w:sz="4" w:space="0" w:color="auto"/>
              <w:right w:val="single" w:sz="4" w:space="0" w:color="auto"/>
            </w:tcBorders>
            <w:shd w:val="clear" w:color="auto" w:fill="auto"/>
            <w:noWrap/>
            <w:vAlign w:val="center"/>
            <w:hideMark/>
          </w:tcPr>
          <w:p w14:paraId="230A5AD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0.6932 </w:t>
            </w:r>
          </w:p>
        </w:tc>
        <w:tc>
          <w:tcPr>
            <w:tcW w:w="0" w:type="auto"/>
            <w:tcBorders>
              <w:top w:val="nil"/>
              <w:left w:val="nil"/>
              <w:bottom w:val="single" w:sz="4" w:space="0" w:color="auto"/>
              <w:right w:val="single" w:sz="4" w:space="0" w:color="auto"/>
            </w:tcBorders>
            <w:shd w:val="clear" w:color="000000" w:fill="E6B8B7"/>
            <w:vAlign w:val="center"/>
            <w:hideMark/>
          </w:tcPr>
          <w:p w14:paraId="5F4AD6A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8.5 </w:t>
            </w:r>
          </w:p>
        </w:tc>
        <w:tc>
          <w:tcPr>
            <w:tcW w:w="0" w:type="auto"/>
            <w:tcBorders>
              <w:top w:val="nil"/>
              <w:left w:val="nil"/>
              <w:bottom w:val="single" w:sz="4" w:space="0" w:color="auto"/>
              <w:right w:val="single" w:sz="4" w:space="0" w:color="auto"/>
            </w:tcBorders>
            <w:shd w:val="clear" w:color="auto" w:fill="auto"/>
            <w:noWrap/>
            <w:vAlign w:val="center"/>
            <w:hideMark/>
          </w:tcPr>
          <w:p w14:paraId="5519662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0.8298 </w:t>
            </w:r>
          </w:p>
        </w:tc>
        <w:tc>
          <w:tcPr>
            <w:tcW w:w="0" w:type="auto"/>
            <w:tcBorders>
              <w:top w:val="nil"/>
              <w:left w:val="nil"/>
              <w:bottom w:val="single" w:sz="4" w:space="0" w:color="auto"/>
              <w:right w:val="single" w:sz="4" w:space="0" w:color="auto"/>
            </w:tcBorders>
            <w:shd w:val="clear" w:color="auto" w:fill="auto"/>
            <w:noWrap/>
            <w:vAlign w:val="center"/>
            <w:hideMark/>
          </w:tcPr>
          <w:p w14:paraId="4A71142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0.8068 </w:t>
            </w:r>
          </w:p>
        </w:tc>
        <w:tc>
          <w:tcPr>
            <w:tcW w:w="0" w:type="auto"/>
            <w:tcBorders>
              <w:top w:val="nil"/>
              <w:left w:val="nil"/>
              <w:bottom w:val="single" w:sz="4" w:space="0" w:color="auto"/>
              <w:right w:val="single" w:sz="4" w:space="0" w:color="auto"/>
            </w:tcBorders>
            <w:shd w:val="clear" w:color="auto" w:fill="auto"/>
            <w:noWrap/>
            <w:vAlign w:val="center"/>
            <w:hideMark/>
          </w:tcPr>
          <w:p w14:paraId="6F1EED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0.6605 </w:t>
            </w:r>
          </w:p>
        </w:tc>
      </w:tr>
      <w:tr w:rsidR="002C3ABF" w:rsidRPr="00F631FB" w14:paraId="3C76981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1CC5F5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1.1 </w:t>
            </w:r>
          </w:p>
        </w:tc>
        <w:tc>
          <w:tcPr>
            <w:tcW w:w="0" w:type="auto"/>
            <w:tcBorders>
              <w:top w:val="nil"/>
              <w:left w:val="nil"/>
              <w:bottom w:val="single" w:sz="4" w:space="0" w:color="auto"/>
              <w:right w:val="single" w:sz="4" w:space="0" w:color="auto"/>
            </w:tcBorders>
            <w:shd w:val="clear" w:color="auto" w:fill="auto"/>
            <w:noWrap/>
            <w:vAlign w:val="center"/>
            <w:hideMark/>
          </w:tcPr>
          <w:p w14:paraId="0872A1B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1.1980 </w:t>
            </w:r>
          </w:p>
        </w:tc>
        <w:tc>
          <w:tcPr>
            <w:tcW w:w="0" w:type="auto"/>
            <w:tcBorders>
              <w:top w:val="nil"/>
              <w:left w:val="nil"/>
              <w:bottom w:val="single" w:sz="4" w:space="0" w:color="auto"/>
              <w:right w:val="single" w:sz="4" w:space="0" w:color="auto"/>
            </w:tcBorders>
            <w:shd w:val="clear" w:color="auto" w:fill="auto"/>
            <w:noWrap/>
            <w:vAlign w:val="center"/>
            <w:hideMark/>
          </w:tcPr>
          <w:p w14:paraId="30B2AEC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1.2156 </w:t>
            </w:r>
          </w:p>
        </w:tc>
        <w:tc>
          <w:tcPr>
            <w:tcW w:w="0" w:type="auto"/>
            <w:tcBorders>
              <w:top w:val="nil"/>
              <w:left w:val="nil"/>
              <w:bottom w:val="single" w:sz="4" w:space="0" w:color="auto"/>
              <w:right w:val="single" w:sz="4" w:space="0" w:color="auto"/>
            </w:tcBorders>
            <w:shd w:val="clear" w:color="auto" w:fill="auto"/>
            <w:noWrap/>
            <w:vAlign w:val="center"/>
            <w:hideMark/>
          </w:tcPr>
          <w:p w14:paraId="51E855E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1.0829 </w:t>
            </w:r>
          </w:p>
        </w:tc>
        <w:tc>
          <w:tcPr>
            <w:tcW w:w="0" w:type="auto"/>
            <w:tcBorders>
              <w:top w:val="nil"/>
              <w:left w:val="nil"/>
              <w:bottom w:val="single" w:sz="4" w:space="0" w:color="auto"/>
              <w:right w:val="single" w:sz="4" w:space="0" w:color="auto"/>
            </w:tcBorders>
            <w:shd w:val="clear" w:color="000000" w:fill="E6B8B7"/>
            <w:vAlign w:val="center"/>
            <w:hideMark/>
          </w:tcPr>
          <w:p w14:paraId="59341C3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3.6 </w:t>
            </w:r>
          </w:p>
        </w:tc>
        <w:tc>
          <w:tcPr>
            <w:tcW w:w="0" w:type="auto"/>
            <w:tcBorders>
              <w:top w:val="nil"/>
              <w:left w:val="nil"/>
              <w:bottom w:val="single" w:sz="4" w:space="0" w:color="auto"/>
              <w:right w:val="single" w:sz="4" w:space="0" w:color="auto"/>
            </w:tcBorders>
            <w:shd w:val="clear" w:color="auto" w:fill="auto"/>
            <w:noWrap/>
            <w:vAlign w:val="center"/>
            <w:hideMark/>
          </w:tcPr>
          <w:p w14:paraId="3F2B44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0.9179 </w:t>
            </w:r>
          </w:p>
        </w:tc>
        <w:tc>
          <w:tcPr>
            <w:tcW w:w="0" w:type="auto"/>
            <w:tcBorders>
              <w:top w:val="nil"/>
              <w:left w:val="nil"/>
              <w:bottom w:val="single" w:sz="4" w:space="0" w:color="auto"/>
              <w:right w:val="single" w:sz="4" w:space="0" w:color="auto"/>
            </w:tcBorders>
            <w:shd w:val="clear" w:color="auto" w:fill="auto"/>
            <w:noWrap/>
            <w:vAlign w:val="center"/>
            <w:hideMark/>
          </w:tcPr>
          <w:p w14:paraId="79F53F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0.9114 </w:t>
            </w:r>
          </w:p>
        </w:tc>
        <w:tc>
          <w:tcPr>
            <w:tcW w:w="0" w:type="auto"/>
            <w:tcBorders>
              <w:top w:val="nil"/>
              <w:left w:val="nil"/>
              <w:bottom w:val="single" w:sz="4" w:space="0" w:color="auto"/>
              <w:right w:val="single" w:sz="4" w:space="0" w:color="auto"/>
            </w:tcBorders>
            <w:shd w:val="clear" w:color="auto" w:fill="auto"/>
            <w:noWrap/>
            <w:vAlign w:val="center"/>
            <w:hideMark/>
          </w:tcPr>
          <w:p w14:paraId="5093638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0.7788 </w:t>
            </w:r>
          </w:p>
        </w:tc>
        <w:tc>
          <w:tcPr>
            <w:tcW w:w="0" w:type="auto"/>
            <w:tcBorders>
              <w:top w:val="nil"/>
              <w:left w:val="nil"/>
              <w:bottom w:val="single" w:sz="4" w:space="0" w:color="auto"/>
              <w:right w:val="single" w:sz="4" w:space="0" w:color="auto"/>
            </w:tcBorders>
            <w:shd w:val="clear" w:color="000000" w:fill="E6B8B7"/>
            <w:noWrap/>
            <w:vAlign w:val="center"/>
            <w:hideMark/>
          </w:tcPr>
          <w:p w14:paraId="415F10E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6.1 </w:t>
            </w:r>
          </w:p>
        </w:tc>
        <w:tc>
          <w:tcPr>
            <w:tcW w:w="0" w:type="auto"/>
            <w:tcBorders>
              <w:top w:val="nil"/>
              <w:left w:val="nil"/>
              <w:bottom w:val="single" w:sz="4" w:space="0" w:color="auto"/>
              <w:right w:val="single" w:sz="4" w:space="0" w:color="auto"/>
            </w:tcBorders>
            <w:shd w:val="clear" w:color="auto" w:fill="auto"/>
            <w:noWrap/>
            <w:vAlign w:val="center"/>
            <w:hideMark/>
          </w:tcPr>
          <w:p w14:paraId="77196C3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0.8490 </w:t>
            </w:r>
          </w:p>
        </w:tc>
        <w:tc>
          <w:tcPr>
            <w:tcW w:w="0" w:type="auto"/>
            <w:tcBorders>
              <w:top w:val="nil"/>
              <w:left w:val="nil"/>
              <w:bottom w:val="single" w:sz="4" w:space="0" w:color="auto"/>
              <w:right w:val="single" w:sz="4" w:space="0" w:color="auto"/>
            </w:tcBorders>
            <w:shd w:val="clear" w:color="auto" w:fill="auto"/>
            <w:noWrap/>
            <w:vAlign w:val="center"/>
            <w:hideMark/>
          </w:tcPr>
          <w:p w14:paraId="2558D66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0.8311 </w:t>
            </w:r>
          </w:p>
        </w:tc>
        <w:tc>
          <w:tcPr>
            <w:tcW w:w="0" w:type="auto"/>
            <w:tcBorders>
              <w:top w:val="nil"/>
              <w:left w:val="nil"/>
              <w:bottom w:val="single" w:sz="4" w:space="0" w:color="auto"/>
              <w:right w:val="single" w:sz="4" w:space="0" w:color="auto"/>
            </w:tcBorders>
            <w:shd w:val="clear" w:color="auto" w:fill="auto"/>
            <w:noWrap/>
            <w:vAlign w:val="center"/>
            <w:hideMark/>
          </w:tcPr>
          <w:p w14:paraId="5C25898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0.6913 </w:t>
            </w:r>
          </w:p>
        </w:tc>
        <w:tc>
          <w:tcPr>
            <w:tcW w:w="0" w:type="auto"/>
            <w:tcBorders>
              <w:top w:val="nil"/>
              <w:left w:val="nil"/>
              <w:bottom w:val="single" w:sz="4" w:space="0" w:color="auto"/>
              <w:right w:val="single" w:sz="4" w:space="0" w:color="auto"/>
            </w:tcBorders>
            <w:shd w:val="clear" w:color="000000" w:fill="E6B8B7"/>
            <w:vAlign w:val="center"/>
            <w:hideMark/>
          </w:tcPr>
          <w:p w14:paraId="2719D9A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8.6 </w:t>
            </w:r>
          </w:p>
        </w:tc>
        <w:tc>
          <w:tcPr>
            <w:tcW w:w="0" w:type="auto"/>
            <w:tcBorders>
              <w:top w:val="nil"/>
              <w:left w:val="nil"/>
              <w:bottom w:val="single" w:sz="4" w:space="0" w:color="auto"/>
              <w:right w:val="single" w:sz="4" w:space="0" w:color="auto"/>
            </w:tcBorders>
            <w:shd w:val="clear" w:color="auto" w:fill="auto"/>
            <w:noWrap/>
            <w:vAlign w:val="center"/>
            <w:hideMark/>
          </w:tcPr>
          <w:p w14:paraId="25BFE5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0.8292 </w:t>
            </w:r>
          </w:p>
        </w:tc>
        <w:tc>
          <w:tcPr>
            <w:tcW w:w="0" w:type="auto"/>
            <w:tcBorders>
              <w:top w:val="nil"/>
              <w:left w:val="nil"/>
              <w:bottom w:val="single" w:sz="4" w:space="0" w:color="auto"/>
              <w:right w:val="single" w:sz="4" w:space="0" w:color="auto"/>
            </w:tcBorders>
            <w:shd w:val="clear" w:color="auto" w:fill="auto"/>
            <w:noWrap/>
            <w:vAlign w:val="center"/>
            <w:hideMark/>
          </w:tcPr>
          <w:p w14:paraId="4DC73B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0.8060 </w:t>
            </w:r>
          </w:p>
        </w:tc>
        <w:tc>
          <w:tcPr>
            <w:tcW w:w="0" w:type="auto"/>
            <w:tcBorders>
              <w:top w:val="nil"/>
              <w:left w:val="nil"/>
              <w:bottom w:val="single" w:sz="4" w:space="0" w:color="auto"/>
              <w:right w:val="single" w:sz="4" w:space="0" w:color="auto"/>
            </w:tcBorders>
            <w:shd w:val="clear" w:color="auto" w:fill="auto"/>
            <w:noWrap/>
            <w:vAlign w:val="center"/>
            <w:hideMark/>
          </w:tcPr>
          <w:p w14:paraId="6F481C6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0.6595 </w:t>
            </w:r>
          </w:p>
        </w:tc>
      </w:tr>
      <w:tr w:rsidR="002C3ABF" w:rsidRPr="00F631FB" w14:paraId="573D935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CB5DA8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1.2 </w:t>
            </w:r>
          </w:p>
        </w:tc>
        <w:tc>
          <w:tcPr>
            <w:tcW w:w="0" w:type="auto"/>
            <w:tcBorders>
              <w:top w:val="nil"/>
              <w:left w:val="nil"/>
              <w:bottom w:val="single" w:sz="4" w:space="0" w:color="auto"/>
              <w:right w:val="single" w:sz="4" w:space="0" w:color="auto"/>
            </w:tcBorders>
            <w:shd w:val="clear" w:color="auto" w:fill="auto"/>
            <w:noWrap/>
            <w:vAlign w:val="center"/>
            <w:hideMark/>
          </w:tcPr>
          <w:p w14:paraId="578CAE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1.1795 </w:t>
            </w:r>
          </w:p>
        </w:tc>
        <w:tc>
          <w:tcPr>
            <w:tcW w:w="0" w:type="auto"/>
            <w:tcBorders>
              <w:top w:val="nil"/>
              <w:left w:val="nil"/>
              <w:bottom w:val="single" w:sz="4" w:space="0" w:color="auto"/>
              <w:right w:val="single" w:sz="4" w:space="0" w:color="auto"/>
            </w:tcBorders>
            <w:shd w:val="clear" w:color="auto" w:fill="auto"/>
            <w:noWrap/>
            <w:vAlign w:val="center"/>
            <w:hideMark/>
          </w:tcPr>
          <w:p w14:paraId="4B1CC42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1.1947 </w:t>
            </w:r>
          </w:p>
        </w:tc>
        <w:tc>
          <w:tcPr>
            <w:tcW w:w="0" w:type="auto"/>
            <w:tcBorders>
              <w:top w:val="nil"/>
              <w:left w:val="nil"/>
              <w:bottom w:val="single" w:sz="4" w:space="0" w:color="auto"/>
              <w:right w:val="single" w:sz="4" w:space="0" w:color="auto"/>
            </w:tcBorders>
            <w:shd w:val="clear" w:color="auto" w:fill="auto"/>
            <w:noWrap/>
            <w:vAlign w:val="center"/>
            <w:hideMark/>
          </w:tcPr>
          <w:p w14:paraId="299ECA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000000" w:fill="E6B8B7"/>
            <w:vAlign w:val="center"/>
            <w:hideMark/>
          </w:tcPr>
          <w:p w14:paraId="4BBE829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14:paraId="66A523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0.9127 </w:t>
            </w:r>
          </w:p>
        </w:tc>
        <w:tc>
          <w:tcPr>
            <w:tcW w:w="0" w:type="auto"/>
            <w:tcBorders>
              <w:top w:val="nil"/>
              <w:left w:val="nil"/>
              <w:bottom w:val="single" w:sz="4" w:space="0" w:color="auto"/>
              <w:right w:val="single" w:sz="4" w:space="0" w:color="auto"/>
            </w:tcBorders>
            <w:shd w:val="clear" w:color="auto" w:fill="auto"/>
            <w:noWrap/>
            <w:vAlign w:val="center"/>
            <w:hideMark/>
          </w:tcPr>
          <w:p w14:paraId="6850431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0.9056 </w:t>
            </w:r>
          </w:p>
        </w:tc>
        <w:tc>
          <w:tcPr>
            <w:tcW w:w="0" w:type="auto"/>
            <w:tcBorders>
              <w:top w:val="nil"/>
              <w:left w:val="nil"/>
              <w:bottom w:val="single" w:sz="4" w:space="0" w:color="auto"/>
              <w:right w:val="single" w:sz="4" w:space="0" w:color="auto"/>
            </w:tcBorders>
            <w:shd w:val="clear" w:color="auto" w:fill="auto"/>
            <w:noWrap/>
            <w:vAlign w:val="center"/>
            <w:hideMark/>
          </w:tcPr>
          <w:p w14:paraId="6A299AE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0.7730 </w:t>
            </w:r>
          </w:p>
        </w:tc>
        <w:tc>
          <w:tcPr>
            <w:tcW w:w="0" w:type="auto"/>
            <w:tcBorders>
              <w:top w:val="nil"/>
              <w:left w:val="nil"/>
              <w:bottom w:val="single" w:sz="4" w:space="0" w:color="auto"/>
              <w:right w:val="single" w:sz="4" w:space="0" w:color="auto"/>
            </w:tcBorders>
            <w:shd w:val="clear" w:color="000000" w:fill="E6B8B7"/>
            <w:noWrap/>
            <w:vAlign w:val="center"/>
            <w:hideMark/>
          </w:tcPr>
          <w:p w14:paraId="59292EF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6.2 </w:t>
            </w:r>
          </w:p>
        </w:tc>
        <w:tc>
          <w:tcPr>
            <w:tcW w:w="0" w:type="auto"/>
            <w:tcBorders>
              <w:top w:val="nil"/>
              <w:left w:val="nil"/>
              <w:bottom w:val="single" w:sz="4" w:space="0" w:color="auto"/>
              <w:right w:val="single" w:sz="4" w:space="0" w:color="auto"/>
            </w:tcBorders>
            <w:shd w:val="clear" w:color="auto" w:fill="auto"/>
            <w:noWrap/>
            <w:vAlign w:val="center"/>
            <w:hideMark/>
          </w:tcPr>
          <w:p w14:paraId="1BFBB4C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0.8478 </w:t>
            </w:r>
          </w:p>
        </w:tc>
        <w:tc>
          <w:tcPr>
            <w:tcW w:w="0" w:type="auto"/>
            <w:tcBorders>
              <w:top w:val="nil"/>
              <w:left w:val="nil"/>
              <w:bottom w:val="single" w:sz="4" w:space="0" w:color="auto"/>
              <w:right w:val="single" w:sz="4" w:space="0" w:color="auto"/>
            </w:tcBorders>
            <w:shd w:val="clear" w:color="auto" w:fill="auto"/>
            <w:noWrap/>
            <w:vAlign w:val="center"/>
            <w:hideMark/>
          </w:tcPr>
          <w:p w14:paraId="2252806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0.8296 </w:t>
            </w:r>
          </w:p>
        </w:tc>
        <w:tc>
          <w:tcPr>
            <w:tcW w:w="0" w:type="auto"/>
            <w:tcBorders>
              <w:top w:val="nil"/>
              <w:left w:val="nil"/>
              <w:bottom w:val="single" w:sz="4" w:space="0" w:color="auto"/>
              <w:right w:val="single" w:sz="4" w:space="0" w:color="auto"/>
            </w:tcBorders>
            <w:shd w:val="clear" w:color="auto" w:fill="auto"/>
            <w:noWrap/>
            <w:vAlign w:val="center"/>
            <w:hideMark/>
          </w:tcPr>
          <w:p w14:paraId="521572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0.6894 </w:t>
            </w:r>
          </w:p>
        </w:tc>
        <w:tc>
          <w:tcPr>
            <w:tcW w:w="0" w:type="auto"/>
            <w:tcBorders>
              <w:top w:val="nil"/>
              <w:left w:val="nil"/>
              <w:bottom w:val="single" w:sz="4" w:space="0" w:color="auto"/>
              <w:right w:val="single" w:sz="4" w:space="0" w:color="auto"/>
            </w:tcBorders>
            <w:shd w:val="clear" w:color="000000" w:fill="E6B8B7"/>
            <w:vAlign w:val="center"/>
            <w:hideMark/>
          </w:tcPr>
          <w:p w14:paraId="1BC5F74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8.7 </w:t>
            </w:r>
          </w:p>
        </w:tc>
        <w:tc>
          <w:tcPr>
            <w:tcW w:w="0" w:type="auto"/>
            <w:tcBorders>
              <w:top w:val="nil"/>
              <w:left w:val="nil"/>
              <w:bottom w:val="single" w:sz="4" w:space="0" w:color="auto"/>
              <w:right w:val="single" w:sz="4" w:space="0" w:color="auto"/>
            </w:tcBorders>
            <w:shd w:val="clear" w:color="auto" w:fill="auto"/>
            <w:noWrap/>
            <w:vAlign w:val="center"/>
            <w:hideMark/>
          </w:tcPr>
          <w:p w14:paraId="14AC375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0.8286 </w:t>
            </w:r>
          </w:p>
        </w:tc>
        <w:tc>
          <w:tcPr>
            <w:tcW w:w="0" w:type="auto"/>
            <w:tcBorders>
              <w:top w:val="nil"/>
              <w:left w:val="nil"/>
              <w:bottom w:val="single" w:sz="4" w:space="0" w:color="auto"/>
              <w:right w:val="single" w:sz="4" w:space="0" w:color="auto"/>
            </w:tcBorders>
            <w:shd w:val="clear" w:color="auto" w:fill="auto"/>
            <w:noWrap/>
            <w:vAlign w:val="center"/>
            <w:hideMark/>
          </w:tcPr>
          <w:p w14:paraId="2DD492B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0.8052 </w:t>
            </w:r>
          </w:p>
        </w:tc>
        <w:tc>
          <w:tcPr>
            <w:tcW w:w="0" w:type="auto"/>
            <w:tcBorders>
              <w:top w:val="nil"/>
              <w:left w:val="nil"/>
              <w:bottom w:val="single" w:sz="4" w:space="0" w:color="auto"/>
              <w:right w:val="single" w:sz="4" w:space="0" w:color="auto"/>
            </w:tcBorders>
            <w:shd w:val="clear" w:color="auto" w:fill="auto"/>
            <w:noWrap/>
            <w:vAlign w:val="center"/>
            <w:hideMark/>
          </w:tcPr>
          <w:p w14:paraId="4F0D95E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0.6586 </w:t>
            </w:r>
          </w:p>
        </w:tc>
      </w:tr>
      <w:tr w:rsidR="002C3ABF" w:rsidRPr="00F631FB" w14:paraId="099057B5"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0496BA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14:paraId="4BB4E99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1.1618 </w:t>
            </w:r>
          </w:p>
        </w:tc>
        <w:tc>
          <w:tcPr>
            <w:tcW w:w="0" w:type="auto"/>
            <w:tcBorders>
              <w:top w:val="nil"/>
              <w:left w:val="nil"/>
              <w:bottom w:val="single" w:sz="4" w:space="0" w:color="auto"/>
              <w:right w:val="single" w:sz="4" w:space="0" w:color="auto"/>
            </w:tcBorders>
            <w:shd w:val="clear" w:color="auto" w:fill="auto"/>
            <w:noWrap/>
            <w:vAlign w:val="center"/>
            <w:hideMark/>
          </w:tcPr>
          <w:p w14:paraId="76716D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1.1748 </w:t>
            </w:r>
          </w:p>
        </w:tc>
        <w:tc>
          <w:tcPr>
            <w:tcW w:w="0" w:type="auto"/>
            <w:tcBorders>
              <w:top w:val="nil"/>
              <w:left w:val="nil"/>
              <w:bottom w:val="single" w:sz="4" w:space="0" w:color="auto"/>
              <w:right w:val="single" w:sz="4" w:space="0" w:color="auto"/>
            </w:tcBorders>
            <w:shd w:val="clear" w:color="auto" w:fill="auto"/>
            <w:noWrap/>
            <w:vAlign w:val="center"/>
            <w:hideMark/>
          </w:tcPr>
          <w:p w14:paraId="788334D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1.0388 </w:t>
            </w:r>
          </w:p>
        </w:tc>
        <w:tc>
          <w:tcPr>
            <w:tcW w:w="0" w:type="auto"/>
            <w:tcBorders>
              <w:top w:val="nil"/>
              <w:left w:val="nil"/>
              <w:bottom w:val="single" w:sz="4" w:space="0" w:color="auto"/>
              <w:right w:val="single" w:sz="4" w:space="0" w:color="auto"/>
            </w:tcBorders>
            <w:shd w:val="clear" w:color="000000" w:fill="E6B8B7"/>
            <w:vAlign w:val="center"/>
            <w:hideMark/>
          </w:tcPr>
          <w:p w14:paraId="5C9039A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3.8 </w:t>
            </w:r>
          </w:p>
        </w:tc>
        <w:tc>
          <w:tcPr>
            <w:tcW w:w="0" w:type="auto"/>
            <w:tcBorders>
              <w:top w:val="nil"/>
              <w:left w:val="nil"/>
              <w:bottom w:val="single" w:sz="4" w:space="0" w:color="auto"/>
              <w:right w:val="single" w:sz="4" w:space="0" w:color="auto"/>
            </w:tcBorders>
            <w:shd w:val="clear" w:color="auto" w:fill="auto"/>
            <w:noWrap/>
            <w:vAlign w:val="center"/>
            <w:hideMark/>
          </w:tcPr>
          <w:p w14:paraId="23FFE7F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0.9078 </w:t>
            </w:r>
          </w:p>
        </w:tc>
        <w:tc>
          <w:tcPr>
            <w:tcW w:w="0" w:type="auto"/>
            <w:tcBorders>
              <w:top w:val="nil"/>
              <w:left w:val="nil"/>
              <w:bottom w:val="single" w:sz="4" w:space="0" w:color="auto"/>
              <w:right w:val="single" w:sz="4" w:space="0" w:color="auto"/>
            </w:tcBorders>
            <w:shd w:val="clear" w:color="auto" w:fill="auto"/>
            <w:noWrap/>
            <w:vAlign w:val="center"/>
            <w:hideMark/>
          </w:tcPr>
          <w:p w14:paraId="2B73196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0.9001 </w:t>
            </w:r>
          </w:p>
        </w:tc>
        <w:tc>
          <w:tcPr>
            <w:tcW w:w="0" w:type="auto"/>
            <w:tcBorders>
              <w:top w:val="nil"/>
              <w:left w:val="nil"/>
              <w:bottom w:val="single" w:sz="4" w:space="0" w:color="auto"/>
              <w:right w:val="single" w:sz="4" w:space="0" w:color="auto"/>
            </w:tcBorders>
            <w:shd w:val="clear" w:color="auto" w:fill="auto"/>
            <w:noWrap/>
            <w:vAlign w:val="center"/>
            <w:hideMark/>
          </w:tcPr>
          <w:p w14:paraId="79A2EF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0.7674 </w:t>
            </w:r>
          </w:p>
        </w:tc>
        <w:tc>
          <w:tcPr>
            <w:tcW w:w="0" w:type="auto"/>
            <w:tcBorders>
              <w:top w:val="nil"/>
              <w:left w:val="nil"/>
              <w:bottom w:val="single" w:sz="4" w:space="0" w:color="auto"/>
              <w:right w:val="single" w:sz="4" w:space="0" w:color="auto"/>
            </w:tcBorders>
            <w:shd w:val="clear" w:color="000000" w:fill="E6B8B7"/>
            <w:noWrap/>
            <w:vAlign w:val="center"/>
            <w:hideMark/>
          </w:tcPr>
          <w:p w14:paraId="7ABE218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6.3 </w:t>
            </w:r>
          </w:p>
        </w:tc>
        <w:tc>
          <w:tcPr>
            <w:tcW w:w="0" w:type="auto"/>
            <w:tcBorders>
              <w:top w:val="nil"/>
              <w:left w:val="nil"/>
              <w:bottom w:val="single" w:sz="4" w:space="0" w:color="auto"/>
              <w:right w:val="single" w:sz="4" w:space="0" w:color="auto"/>
            </w:tcBorders>
            <w:shd w:val="clear" w:color="auto" w:fill="auto"/>
            <w:noWrap/>
            <w:vAlign w:val="center"/>
            <w:hideMark/>
          </w:tcPr>
          <w:p w14:paraId="6B19413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0.8467 </w:t>
            </w:r>
          </w:p>
        </w:tc>
        <w:tc>
          <w:tcPr>
            <w:tcW w:w="0" w:type="auto"/>
            <w:tcBorders>
              <w:top w:val="nil"/>
              <w:left w:val="nil"/>
              <w:bottom w:val="single" w:sz="4" w:space="0" w:color="auto"/>
              <w:right w:val="single" w:sz="4" w:space="0" w:color="auto"/>
            </w:tcBorders>
            <w:shd w:val="clear" w:color="auto" w:fill="auto"/>
            <w:noWrap/>
            <w:vAlign w:val="center"/>
            <w:hideMark/>
          </w:tcPr>
          <w:p w14:paraId="42E88B1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0.8282 </w:t>
            </w:r>
          </w:p>
        </w:tc>
        <w:tc>
          <w:tcPr>
            <w:tcW w:w="0" w:type="auto"/>
            <w:tcBorders>
              <w:top w:val="nil"/>
              <w:left w:val="nil"/>
              <w:bottom w:val="single" w:sz="4" w:space="0" w:color="auto"/>
              <w:right w:val="single" w:sz="4" w:space="0" w:color="auto"/>
            </w:tcBorders>
            <w:shd w:val="clear" w:color="auto" w:fill="auto"/>
            <w:noWrap/>
            <w:vAlign w:val="center"/>
            <w:hideMark/>
          </w:tcPr>
          <w:p w14:paraId="6E2DBC2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0.6877 </w:t>
            </w:r>
          </w:p>
        </w:tc>
        <w:tc>
          <w:tcPr>
            <w:tcW w:w="0" w:type="auto"/>
            <w:tcBorders>
              <w:top w:val="nil"/>
              <w:left w:val="nil"/>
              <w:bottom w:val="single" w:sz="4" w:space="0" w:color="auto"/>
              <w:right w:val="single" w:sz="4" w:space="0" w:color="auto"/>
            </w:tcBorders>
            <w:shd w:val="clear" w:color="000000" w:fill="E6B8B7"/>
            <w:vAlign w:val="center"/>
            <w:hideMark/>
          </w:tcPr>
          <w:p w14:paraId="6B986EE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8.8 </w:t>
            </w:r>
          </w:p>
        </w:tc>
        <w:tc>
          <w:tcPr>
            <w:tcW w:w="0" w:type="auto"/>
            <w:tcBorders>
              <w:top w:val="nil"/>
              <w:left w:val="nil"/>
              <w:bottom w:val="single" w:sz="4" w:space="0" w:color="auto"/>
              <w:right w:val="single" w:sz="4" w:space="0" w:color="auto"/>
            </w:tcBorders>
            <w:shd w:val="clear" w:color="auto" w:fill="auto"/>
            <w:noWrap/>
            <w:vAlign w:val="center"/>
            <w:hideMark/>
          </w:tcPr>
          <w:p w14:paraId="51E441A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0.8280 </w:t>
            </w:r>
          </w:p>
        </w:tc>
        <w:tc>
          <w:tcPr>
            <w:tcW w:w="0" w:type="auto"/>
            <w:tcBorders>
              <w:top w:val="nil"/>
              <w:left w:val="nil"/>
              <w:bottom w:val="single" w:sz="4" w:space="0" w:color="auto"/>
              <w:right w:val="single" w:sz="4" w:space="0" w:color="auto"/>
            </w:tcBorders>
            <w:shd w:val="clear" w:color="auto" w:fill="auto"/>
            <w:noWrap/>
            <w:vAlign w:val="center"/>
            <w:hideMark/>
          </w:tcPr>
          <w:p w14:paraId="3CB78F7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0.8044 </w:t>
            </w:r>
          </w:p>
        </w:tc>
        <w:tc>
          <w:tcPr>
            <w:tcW w:w="0" w:type="auto"/>
            <w:tcBorders>
              <w:top w:val="nil"/>
              <w:left w:val="nil"/>
              <w:bottom w:val="single" w:sz="4" w:space="0" w:color="auto"/>
              <w:right w:val="single" w:sz="4" w:space="0" w:color="auto"/>
            </w:tcBorders>
            <w:shd w:val="clear" w:color="auto" w:fill="auto"/>
            <w:noWrap/>
            <w:vAlign w:val="center"/>
            <w:hideMark/>
          </w:tcPr>
          <w:p w14:paraId="690896D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0.6576 </w:t>
            </w:r>
          </w:p>
        </w:tc>
      </w:tr>
      <w:tr w:rsidR="002C3ABF" w:rsidRPr="00F631FB" w14:paraId="4F89B6A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1816FC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14:paraId="5DAAFC6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1.1448 </w:t>
            </w:r>
          </w:p>
        </w:tc>
        <w:tc>
          <w:tcPr>
            <w:tcW w:w="0" w:type="auto"/>
            <w:tcBorders>
              <w:top w:val="nil"/>
              <w:left w:val="nil"/>
              <w:bottom w:val="single" w:sz="4" w:space="0" w:color="auto"/>
              <w:right w:val="single" w:sz="4" w:space="0" w:color="auto"/>
            </w:tcBorders>
            <w:shd w:val="clear" w:color="auto" w:fill="auto"/>
            <w:noWrap/>
            <w:vAlign w:val="center"/>
            <w:hideMark/>
          </w:tcPr>
          <w:p w14:paraId="03A157E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1.1558 </w:t>
            </w:r>
          </w:p>
        </w:tc>
        <w:tc>
          <w:tcPr>
            <w:tcW w:w="0" w:type="auto"/>
            <w:tcBorders>
              <w:top w:val="nil"/>
              <w:left w:val="nil"/>
              <w:bottom w:val="single" w:sz="4" w:space="0" w:color="auto"/>
              <w:right w:val="single" w:sz="4" w:space="0" w:color="auto"/>
            </w:tcBorders>
            <w:shd w:val="clear" w:color="auto" w:fill="auto"/>
            <w:noWrap/>
            <w:vAlign w:val="center"/>
            <w:hideMark/>
          </w:tcPr>
          <w:p w14:paraId="5FB61A7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1.0188 </w:t>
            </w:r>
          </w:p>
        </w:tc>
        <w:tc>
          <w:tcPr>
            <w:tcW w:w="0" w:type="auto"/>
            <w:tcBorders>
              <w:top w:val="nil"/>
              <w:left w:val="nil"/>
              <w:bottom w:val="single" w:sz="4" w:space="0" w:color="auto"/>
              <w:right w:val="single" w:sz="4" w:space="0" w:color="auto"/>
            </w:tcBorders>
            <w:shd w:val="clear" w:color="000000" w:fill="E6B8B7"/>
            <w:vAlign w:val="center"/>
            <w:hideMark/>
          </w:tcPr>
          <w:p w14:paraId="682280D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3.9 </w:t>
            </w:r>
          </w:p>
        </w:tc>
        <w:tc>
          <w:tcPr>
            <w:tcW w:w="0" w:type="auto"/>
            <w:tcBorders>
              <w:top w:val="nil"/>
              <w:left w:val="nil"/>
              <w:bottom w:val="single" w:sz="4" w:space="0" w:color="auto"/>
              <w:right w:val="single" w:sz="4" w:space="0" w:color="auto"/>
            </w:tcBorders>
            <w:shd w:val="clear" w:color="auto" w:fill="auto"/>
            <w:noWrap/>
            <w:vAlign w:val="center"/>
            <w:hideMark/>
          </w:tcPr>
          <w:p w14:paraId="0EB51BF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0.9032 </w:t>
            </w:r>
          </w:p>
        </w:tc>
        <w:tc>
          <w:tcPr>
            <w:tcW w:w="0" w:type="auto"/>
            <w:tcBorders>
              <w:top w:val="nil"/>
              <w:left w:val="nil"/>
              <w:bottom w:val="single" w:sz="4" w:space="0" w:color="auto"/>
              <w:right w:val="single" w:sz="4" w:space="0" w:color="auto"/>
            </w:tcBorders>
            <w:shd w:val="clear" w:color="auto" w:fill="auto"/>
            <w:noWrap/>
            <w:vAlign w:val="center"/>
            <w:hideMark/>
          </w:tcPr>
          <w:p w14:paraId="54FD6E4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0.8949 </w:t>
            </w:r>
          </w:p>
        </w:tc>
        <w:tc>
          <w:tcPr>
            <w:tcW w:w="0" w:type="auto"/>
            <w:tcBorders>
              <w:top w:val="nil"/>
              <w:left w:val="nil"/>
              <w:bottom w:val="single" w:sz="4" w:space="0" w:color="auto"/>
              <w:right w:val="single" w:sz="4" w:space="0" w:color="auto"/>
            </w:tcBorders>
            <w:shd w:val="clear" w:color="auto" w:fill="auto"/>
            <w:noWrap/>
            <w:vAlign w:val="center"/>
            <w:hideMark/>
          </w:tcPr>
          <w:p w14:paraId="197C54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0.7621 </w:t>
            </w:r>
          </w:p>
        </w:tc>
        <w:tc>
          <w:tcPr>
            <w:tcW w:w="0" w:type="auto"/>
            <w:tcBorders>
              <w:top w:val="nil"/>
              <w:left w:val="nil"/>
              <w:bottom w:val="single" w:sz="4" w:space="0" w:color="auto"/>
              <w:right w:val="single" w:sz="4" w:space="0" w:color="auto"/>
            </w:tcBorders>
            <w:shd w:val="clear" w:color="000000" w:fill="E6B8B7"/>
            <w:noWrap/>
            <w:vAlign w:val="center"/>
            <w:hideMark/>
          </w:tcPr>
          <w:p w14:paraId="51B2B5F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6.4 </w:t>
            </w:r>
          </w:p>
        </w:tc>
        <w:tc>
          <w:tcPr>
            <w:tcW w:w="0" w:type="auto"/>
            <w:tcBorders>
              <w:top w:val="nil"/>
              <w:left w:val="nil"/>
              <w:bottom w:val="single" w:sz="4" w:space="0" w:color="auto"/>
              <w:right w:val="single" w:sz="4" w:space="0" w:color="auto"/>
            </w:tcBorders>
            <w:shd w:val="clear" w:color="auto" w:fill="auto"/>
            <w:noWrap/>
            <w:vAlign w:val="center"/>
            <w:hideMark/>
          </w:tcPr>
          <w:p w14:paraId="4FFBCD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0.8457 </w:t>
            </w:r>
          </w:p>
        </w:tc>
        <w:tc>
          <w:tcPr>
            <w:tcW w:w="0" w:type="auto"/>
            <w:tcBorders>
              <w:top w:val="nil"/>
              <w:left w:val="nil"/>
              <w:bottom w:val="single" w:sz="4" w:space="0" w:color="auto"/>
              <w:right w:val="single" w:sz="4" w:space="0" w:color="auto"/>
            </w:tcBorders>
            <w:shd w:val="clear" w:color="auto" w:fill="auto"/>
            <w:noWrap/>
            <w:vAlign w:val="center"/>
            <w:hideMark/>
          </w:tcPr>
          <w:p w14:paraId="09F8286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0.8269 </w:t>
            </w:r>
          </w:p>
        </w:tc>
        <w:tc>
          <w:tcPr>
            <w:tcW w:w="0" w:type="auto"/>
            <w:tcBorders>
              <w:top w:val="nil"/>
              <w:left w:val="nil"/>
              <w:bottom w:val="single" w:sz="4" w:space="0" w:color="auto"/>
              <w:right w:val="single" w:sz="4" w:space="0" w:color="auto"/>
            </w:tcBorders>
            <w:shd w:val="clear" w:color="auto" w:fill="auto"/>
            <w:noWrap/>
            <w:vAlign w:val="center"/>
            <w:hideMark/>
          </w:tcPr>
          <w:p w14:paraId="1032B5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0.6861 </w:t>
            </w:r>
          </w:p>
        </w:tc>
        <w:tc>
          <w:tcPr>
            <w:tcW w:w="0" w:type="auto"/>
            <w:tcBorders>
              <w:top w:val="nil"/>
              <w:left w:val="nil"/>
              <w:bottom w:val="single" w:sz="4" w:space="0" w:color="auto"/>
              <w:right w:val="single" w:sz="4" w:space="0" w:color="auto"/>
            </w:tcBorders>
            <w:shd w:val="clear" w:color="000000" w:fill="E6B8B7"/>
            <w:vAlign w:val="center"/>
            <w:hideMark/>
          </w:tcPr>
          <w:p w14:paraId="046DF260"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8.9 </w:t>
            </w:r>
          </w:p>
        </w:tc>
        <w:tc>
          <w:tcPr>
            <w:tcW w:w="0" w:type="auto"/>
            <w:tcBorders>
              <w:top w:val="nil"/>
              <w:left w:val="nil"/>
              <w:bottom w:val="single" w:sz="4" w:space="0" w:color="auto"/>
              <w:right w:val="single" w:sz="4" w:space="0" w:color="auto"/>
            </w:tcBorders>
            <w:shd w:val="clear" w:color="auto" w:fill="auto"/>
            <w:noWrap/>
            <w:vAlign w:val="center"/>
            <w:hideMark/>
          </w:tcPr>
          <w:p w14:paraId="08F7F20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0.8274 </w:t>
            </w:r>
          </w:p>
        </w:tc>
        <w:tc>
          <w:tcPr>
            <w:tcW w:w="0" w:type="auto"/>
            <w:tcBorders>
              <w:top w:val="nil"/>
              <w:left w:val="nil"/>
              <w:bottom w:val="single" w:sz="4" w:space="0" w:color="auto"/>
              <w:right w:val="single" w:sz="4" w:space="0" w:color="auto"/>
            </w:tcBorders>
            <w:shd w:val="clear" w:color="auto" w:fill="auto"/>
            <w:noWrap/>
            <w:vAlign w:val="center"/>
            <w:hideMark/>
          </w:tcPr>
          <w:p w14:paraId="2B0D47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0.8036 </w:t>
            </w:r>
          </w:p>
        </w:tc>
        <w:tc>
          <w:tcPr>
            <w:tcW w:w="0" w:type="auto"/>
            <w:tcBorders>
              <w:top w:val="nil"/>
              <w:left w:val="nil"/>
              <w:bottom w:val="single" w:sz="4" w:space="0" w:color="auto"/>
              <w:right w:val="single" w:sz="4" w:space="0" w:color="auto"/>
            </w:tcBorders>
            <w:shd w:val="clear" w:color="auto" w:fill="auto"/>
            <w:noWrap/>
            <w:vAlign w:val="center"/>
            <w:hideMark/>
          </w:tcPr>
          <w:p w14:paraId="376C446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0.6567 </w:t>
            </w:r>
          </w:p>
        </w:tc>
      </w:tr>
      <w:tr w:rsidR="002C3ABF" w:rsidRPr="00F631FB" w14:paraId="0F589F82"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1301EB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14:paraId="5E16753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1.1285 </w:t>
            </w:r>
          </w:p>
        </w:tc>
        <w:tc>
          <w:tcPr>
            <w:tcW w:w="0" w:type="auto"/>
            <w:tcBorders>
              <w:top w:val="nil"/>
              <w:left w:val="nil"/>
              <w:bottom w:val="single" w:sz="4" w:space="0" w:color="auto"/>
              <w:right w:val="single" w:sz="4" w:space="0" w:color="auto"/>
            </w:tcBorders>
            <w:shd w:val="clear" w:color="auto" w:fill="auto"/>
            <w:noWrap/>
            <w:vAlign w:val="center"/>
            <w:hideMark/>
          </w:tcPr>
          <w:p w14:paraId="1E9AD39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1.1378 </w:t>
            </w:r>
          </w:p>
        </w:tc>
        <w:tc>
          <w:tcPr>
            <w:tcW w:w="0" w:type="auto"/>
            <w:tcBorders>
              <w:top w:val="nil"/>
              <w:left w:val="nil"/>
              <w:bottom w:val="single" w:sz="4" w:space="0" w:color="auto"/>
              <w:right w:val="single" w:sz="4" w:space="0" w:color="auto"/>
            </w:tcBorders>
            <w:shd w:val="clear" w:color="auto" w:fill="auto"/>
            <w:noWrap/>
            <w:vAlign w:val="center"/>
            <w:hideMark/>
          </w:tcPr>
          <w:p w14:paraId="34B4D65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000000" w:fill="E6B8B7"/>
            <w:vAlign w:val="center"/>
            <w:hideMark/>
          </w:tcPr>
          <w:p w14:paraId="188FE38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4.0 </w:t>
            </w:r>
          </w:p>
        </w:tc>
        <w:tc>
          <w:tcPr>
            <w:tcW w:w="0" w:type="auto"/>
            <w:tcBorders>
              <w:top w:val="nil"/>
              <w:left w:val="nil"/>
              <w:bottom w:val="single" w:sz="4" w:space="0" w:color="auto"/>
              <w:right w:val="single" w:sz="4" w:space="0" w:color="auto"/>
            </w:tcBorders>
            <w:shd w:val="clear" w:color="auto" w:fill="auto"/>
            <w:noWrap/>
            <w:vAlign w:val="center"/>
            <w:hideMark/>
          </w:tcPr>
          <w:p w14:paraId="6318B20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0.8989 </w:t>
            </w:r>
          </w:p>
        </w:tc>
        <w:tc>
          <w:tcPr>
            <w:tcW w:w="0" w:type="auto"/>
            <w:tcBorders>
              <w:top w:val="nil"/>
              <w:left w:val="nil"/>
              <w:bottom w:val="single" w:sz="4" w:space="0" w:color="auto"/>
              <w:right w:val="single" w:sz="4" w:space="0" w:color="auto"/>
            </w:tcBorders>
            <w:shd w:val="clear" w:color="auto" w:fill="auto"/>
            <w:noWrap/>
            <w:vAlign w:val="center"/>
            <w:hideMark/>
          </w:tcPr>
          <w:p w14:paraId="45724CF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0.8900 </w:t>
            </w:r>
          </w:p>
        </w:tc>
        <w:tc>
          <w:tcPr>
            <w:tcW w:w="0" w:type="auto"/>
            <w:tcBorders>
              <w:top w:val="nil"/>
              <w:left w:val="nil"/>
              <w:bottom w:val="single" w:sz="4" w:space="0" w:color="auto"/>
              <w:right w:val="single" w:sz="4" w:space="0" w:color="auto"/>
            </w:tcBorders>
            <w:shd w:val="clear" w:color="auto" w:fill="auto"/>
            <w:noWrap/>
            <w:vAlign w:val="center"/>
            <w:hideMark/>
          </w:tcPr>
          <w:p w14:paraId="4CFEC5A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0.7571 </w:t>
            </w:r>
          </w:p>
        </w:tc>
        <w:tc>
          <w:tcPr>
            <w:tcW w:w="0" w:type="auto"/>
            <w:tcBorders>
              <w:top w:val="nil"/>
              <w:left w:val="nil"/>
              <w:bottom w:val="single" w:sz="4" w:space="0" w:color="auto"/>
              <w:right w:val="single" w:sz="4" w:space="0" w:color="auto"/>
            </w:tcBorders>
            <w:shd w:val="clear" w:color="000000" w:fill="E6B8B7"/>
            <w:noWrap/>
            <w:vAlign w:val="center"/>
            <w:hideMark/>
          </w:tcPr>
          <w:p w14:paraId="64F1FE3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6.5 </w:t>
            </w:r>
          </w:p>
        </w:tc>
        <w:tc>
          <w:tcPr>
            <w:tcW w:w="0" w:type="auto"/>
            <w:tcBorders>
              <w:top w:val="nil"/>
              <w:left w:val="nil"/>
              <w:bottom w:val="single" w:sz="4" w:space="0" w:color="auto"/>
              <w:right w:val="single" w:sz="4" w:space="0" w:color="auto"/>
            </w:tcBorders>
            <w:shd w:val="clear" w:color="auto" w:fill="auto"/>
            <w:noWrap/>
            <w:vAlign w:val="center"/>
            <w:hideMark/>
          </w:tcPr>
          <w:p w14:paraId="32B2A70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0.8447 </w:t>
            </w:r>
          </w:p>
        </w:tc>
        <w:tc>
          <w:tcPr>
            <w:tcW w:w="0" w:type="auto"/>
            <w:tcBorders>
              <w:top w:val="nil"/>
              <w:left w:val="nil"/>
              <w:bottom w:val="single" w:sz="4" w:space="0" w:color="auto"/>
              <w:right w:val="single" w:sz="4" w:space="0" w:color="auto"/>
            </w:tcBorders>
            <w:shd w:val="clear" w:color="auto" w:fill="auto"/>
            <w:noWrap/>
            <w:vAlign w:val="center"/>
            <w:hideMark/>
          </w:tcPr>
          <w:p w14:paraId="0ABE74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0.8257 </w:t>
            </w:r>
          </w:p>
        </w:tc>
        <w:tc>
          <w:tcPr>
            <w:tcW w:w="0" w:type="auto"/>
            <w:tcBorders>
              <w:top w:val="nil"/>
              <w:left w:val="nil"/>
              <w:bottom w:val="single" w:sz="4" w:space="0" w:color="auto"/>
              <w:right w:val="single" w:sz="4" w:space="0" w:color="auto"/>
            </w:tcBorders>
            <w:shd w:val="clear" w:color="auto" w:fill="auto"/>
            <w:noWrap/>
            <w:vAlign w:val="center"/>
            <w:hideMark/>
          </w:tcPr>
          <w:p w14:paraId="478C5F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0.6844 </w:t>
            </w:r>
          </w:p>
        </w:tc>
        <w:tc>
          <w:tcPr>
            <w:tcW w:w="0" w:type="auto"/>
            <w:tcBorders>
              <w:top w:val="nil"/>
              <w:left w:val="nil"/>
              <w:bottom w:val="single" w:sz="4" w:space="0" w:color="auto"/>
              <w:right w:val="single" w:sz="4" w:space="0" w:color="auto"/>
            </w:tcBorders>
            <w:shd w:val="clear" w:color="000000" w:fill="E6B8B7"/>
            <w:vAlign w:val="center"/>
            <w:hideMark/>
          </w:tcPr>
          <w:p w14:paraId="6F4936C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9.0 </w:t>
            </w:r>
          </w:p>
        </w:tc>
        <w:tc>
          <w:tcPr>
            <w:tcW w:w="0" w:type="auto"/>
            <w:tcBorders>
              <w:top w:val="nil"/>
              <w:left w:val="nil"/>
              <w:bottom w:val="single" w:sz="4" w:space="0" w:color="auto"/>
              <w:right w:val="single" w:sz="4" w:space="0" w:color="auto"/>
            </w:tcBorders>
            <w:shd w:val="clear" w:color="auto" w:fill="auto"/>
            <w:noWrap/>
            <w:vAlign w:val="center"/>
            <w:hideMark/>
          </w:tcPr>
          <w:p w14:paraId="66C854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0.8268 </w:t>
            </w:r>
          </w:p>
        </w:tc>
        <w:tc>
          <w:tcPr>
            <w:tcW w:w="0" w:type="auto"/>
            <w:tcBorders>
              <w:top w:val="nil"/>
              <w:left w:val="nil"/>
              <w:bottom w:val="single" w:sz="4" w:space="0" w:color="auto"/>
              <w:right w:val="single" w:sz="4" w:space="0" w:color="auto"/>
            </w:tcBorders>
            <w:shd w:val="clear" w:color="auto" w:fill="auto"/>
            <w:noWrap/>
            <w:vAlign w:val="center"/>
            <w:hideMark/>
          </w:tcPr>
          <w:p w14:paraId="2E64600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0.8028 </w:t>
            </w:r>
          </w:p>
        </w:tc>
        <w:tc>
          <w:tcPr>
            <w:tcW w:w="0" w:type="auto"/>
            <w:tcBorders>
              <w:top w:val="nil"/>
              <w:left w:val="nil"/>
              <w:bottom w:val="single" w:sz="4" w:space="0" w:color="auto"/>
              <w:right w:val="single" w:sz="4" w:space="0" w:color="auto"/>
            </w:tcBorders>
            <w:shd w:val="clear" w:color="auto" w:fill="auto"/>
            <w:noWrap/>
            <w:vAlign w:val="center"/>
            <w:hideMark/>
          </w:tcPr>
          <w:p w14:paraId="5BC428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0.6557 </w:t>
            </w:r>
          </w:p>
        </w:tc>
      </w:tr>
      <w:tr w:rsidR="002C3ABF" w:rsidRPr="00F631FB" w14:paraId="546ACE88"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5EBF5F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1.6 </w:t>
            </w:r>
          </w:p>
        </w:tc>
        <w:tc>
          <w:tcPr>
            <w:tcW w:w="0" w:type="auto"/>
            <w:tcBorders>
              <w:top w:val="nil"/>
              <w:left w:val="nil"/>
              <w:bottom w:val="single" w:sz="4" w:space="0" w:color="auto"/>
              <w:right w:val="single" w:sz="4" w:space="0" w:color="auto"/>
            </w:tcBorders>
            <w:shd w:val="clear" w:color="auto" w:fill="auto"/>
            <w:noWrap/>
            <w:vAlign w:val="center"/>
            <w:hideMark/>
          </w:tcPr>
          <w:p w14:paraId="584830B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1.1129 </w:t>
            </w:r>
          </w:p>
        </w:tc>
        <w:tc>
          <w:tcPr>
            <w:tcW w:w="0" w:type="auto"/>
            <w:tcBorders>
              <w:top w:val="nil"/>
              <w:left w:val="nil"/>
              <w:bottom w:val="single" w:sz="4" w:space="0" w:color="auto"/>
              <w:right w:val="single" w:sz="4" w:space="0" w:color="auto"/>
            </w:tcBorders>
            <w:shd w:val="clear" w:color="auto" w:fill="auto"/>
            <w:noWrap/>
            <w:vAlign w:val="center"/>
            <w:hideMark/>
          </w:tcPr>
          <w:p w14:paraId="6480CAF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1.1206 </w:t>
            </w:r>
          </w:p>
        </w:tc>
        <w:tc>
          <w:tcPr>
            <w:tcW w:w="0" w:type="auto"/>
            <w:tcBorders>
              <w:top w:val="nil"/>
              <w:left w:val="nil"/>
              <w:bottom w:val="single" w:sz="4" w:space="0" w:color="auto"/>
              <w:right w:val="single" w:sz="4" w:space="0" w:color="auto"/>
            </w:tcBorders>
            <w:shd w:val="clear" w:color="auto" w:fill="auto"/>
            <w:noWrap/>
            <w:vAlign w:val="center"/>
            <w:hideMark/>
          </w:tcPr>
          <w:p w14:paraId="3BF76FA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0.9824 </w:t>
            </w:r>
          </w:p>
        </w:tc>
        <w:tc>
          <w:tcPr>
            <w:tcW w:w="0" w:type="auto"/>
            <w:tcBorders>
              <w:top w:val="nil"/>
              <w:left w:val="nil"/>
              <w:bottom w:val="single" w:sz="4" w:space="0" w:color="auto"/>
              <w:right w:val="single" w:sz="4" w:space="0" w:color="auto"/>
            </w:tcBorders>
            <w:shd w:val="clear" w:color="000000" w:fill="E6B8B7"/>
            <w:vAlign w:val="center"/>
            <w:hideMark/>
          </w:tcPr>
          <w:p w14:paraId="1E8402B0"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4.1 </w:t>
            </w:r>
          </w:p>
        </w:tc>
        <w:tc>
          <w:tcPr>
            <w:tcW w:w="0" w:type="auto"/>
            <w:tcBorders>
              <w:top w:val="nil"/>
              <w:left w:val="nil"/>
              <w:bottom w:val="single" w:sz="4" w:space="0" w:color="auto"/>
              <w:right w:val="single" w:sz="4" w:space="0" w:color="auto"/>
            </w:tcBorders>
            <w:shd w:val="clear" w:color="auto" w:fill="auto"/>
            <w:noWrap/>
            <w:vAlign w:val="center"/>
            <w:hideMark/>
          </w:tcPr>
          <w:p w14:paraId="4967CE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0.8948 </w:t>
            </w:r>
          </w:p>
        </w:tc>
        <w:tc>
          <w:tcPr>
            <w:tcW w:w="0" w:type="auto"/>
            <w:tcBorders>
              <w:top w:val="nil"/>
              <w:left w:val="nil"/>
              <w:bottom w:val="single" w:sz="4" w:space="0" w:color="auto"/>
              <w:right w:val="single" w:sz="4" w:space="0" w:color="auto"/>
            </w:tcBorders>
            <w:shd w:val="clear" w:color="auto" w:fill="auto"/>
            <w:noWrap/>
            <w:vAlign w:val="center"/>
            <w:hideMark/>
          </w:tcPr>
          <w:p w14:paraId="2E62ABA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0.8854 </w:t>
            </w:r>
          </w:p>
        </w:tc>
        <w:tc>
          <w:tcPr>
            <w:tcW w:w="0" w:type="auto"/>
            <w:tcBorders>
              <w:top w:val="nil"/>
              <w:left w:val="nil"/>
              <w:bottom w:val="single" w:sz="4" w:space="0" w:color="auto"/>
              <w:right w:val="single" w:sz="4" w:space="0" w:color="auto"/>
            </w:tcBorders>
            <w:shd w:val="clear" w:color="auto" w:fill="auto"/>
            <w:noWrap/>
            <w:vAlign w:val="center"/>
            <w:hideMark/>
          </w:tcPr>
          <w:p w14:paraId="1A5F0DC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0.7523 </w:t>
            </w:r>
          </w:p>
        </w:tc>
        <w:tc>
          <w:tcPr>
            <w:tcW w:w="0" w:type="auto"/>
            <w:tcBorders>
              <w:top w:val="nil"/>
              <w:left w:val="nil"/>
              <w:bottom w:val="single" w:sz="4" w:space="0" w:color="auto"/>
              <w:right w:val="single" w:sz="4" w:space="0" w:color="auto"/>
            </w:tcBorders>
            <w:shd w:val="clear" w:color="000000" w:fill="E6B8B7"/>
            <w:noWrap/>
            <w:vAlign w:val="center"/>
            <w:hideMark/>
          </w:tcPr>
          <w:p w14:paraId="4BA0D11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6.6 </w:t>
            </w:r>
          </w:p>
        </w:tc>
        <w:tc>
          <w:tcPr>
            <w:tcW w:w="0" w:type="auto"/>
            <w:tcBorders>
              <w:top w:val="nil"/>
              <w:left w:val="nil"/>
              <w:bottom w:val="single" w:sz="4" w:space="0" w:color="auto"/>
              <w:right w:val="single" w:sz="4" w:space="0" w:color="auto"/>
            </w:tcBorders>
            <w:shd w:val="clear" w:color="auto" w:fill="auto"/>
            <w:noWrap/>
            <w:vAlign w:val="center"/>
            <w:hideMark/>
          </w:tcPr>
          <w:p w14:paraId="7382C0A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0.8437 </w:t>
            </w:r>
          </w:p>
        </w:tc>
        <w:tc>
          <w:tcPr>
            <w:tcW w:w="0" w:type="auto"/>
            <w:tcBorders>
              <w:top w:val="nil"/>
              <w:left w:val="nil"/>
              <w:bottom w:val="single" w:sz="4" w:space="0" w:color="auto"/>
              <w:right w:val="single" w:sz="4" w:space="0" w:color="auto"/>
            </w:tcBorders>
            <w:shd w:val="clear" w:color="auto" w:fill="auto"/>
            <w:noWrap/>
            <w:vAlign w:val="center"/>
            <w:hideMark/>
          </w:tcPr>
          <w:p w14:paraId="7A261B0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0.8245 </w:t>
            </w:r>
          </w:p>
        </w:tc>
        <w:tc>
          <w:tcPr>
            <w:tcW w:w="0" w:type="auto"/>
            <w:tcBorders>
              <w:top w:val="nil"/>
              <w:left w:val="nil"/>
              <w:bottom w:val="single" w:sz="4" w:space="0" w:color="auto"/>
              <w:right w:val="single" w:sz="4" w:space="0" w:color="auto"/>
            </w:tcBorders>
            <w:shd w:val="clear" w:color="auto" w:fill="auto"/>
            <w:noWrap/>
            <w:vAlign w:val="center"/>
            <w:hideMark/>
          </w:tcPr>
          <w:p w14:paraId="22E7399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0.6829 </w:t>
            </w:r>
          </w:p>
        </w:tc>
        <w:tc>
          <w:tcPr>
            <w:tcW w:w="0" w:type="auto"/>
            <w:tcBorders>
              <w:top w:val="nil"/>
              <w:left w:val="nil"/>
              <w:bottom w:val="single" w:sz="4" w:space="0" w:color="auto"/>
              <w:right w:val="single" w:sz="4" w:space="0" w:color="auto"/>
            </w:tcBorders>
            <w:shd w:val="clear" w:color="000000" w:fill="E6B8B7"/>
            <w:vAlign w:val="center"/>
            <w:hideMark/>
          </w:tcPr>
          <w:p w14:paraId="1B9997F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9.1 </w:t>
            </w:r>
          </w:p>
        </w:tc>
        <w:tc>
          <w:tcPr>
            <w:tcW w:w="0" w:type="auto"/>
            <w:tcBorders>
              <w:top w:val="nil"/>
              <w:left w:val="nil"/>
              <w:bottom w:val="single" w:sz="4" w:space="0" w:color="auto"/>
              <w:right w:val="single" w:sz="4" w:space="0" w:color="auto"/>
            </w:tcBorders>
            <w:shd w:val="clear" w:color="auto" w:fill="auto"/>
            <w:noWrap/>
            <w:vAlign w:val="center"/>
            <w:hideMark/>
          </w:tcPr>
          <w:p w14:paraId="6E68DD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0.8262 </w:t>
            </w:r>
          </w:p>
        </w:tc>
        <w:tc>
          <w:tcPr>
            <w:tcW w:w="0" w:type="auto"/>
            <w:tcBorders>
              <w:top w:val="nil"/>
              <w:left w:val="nil"/>
              <w:bottom w:val="single" w:sz="4" w:space="0" w:color="auto"/>
              <w:right w:val="single" w:sz="4" w:space="0" w:color="auto"/>
            </w:tcBorders>
            <w:shd w:val="clear" w:color="auto" w:fill="auto"/>
            <w:noWrap/>
            <w:vAlign w:val="center"/>
            <w:hideMark/>
          </w:tcPr>
          <w:p w14:paraId="47FF316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0.8020 </w:t>
            </w:r>
          </w:p>
        </w:tc>
        <w:tc>
          <w:tcPr>
            <w:tcW w:w="0" w:type="auto"/>
            <w:tcBorders>
              <w:top w:val="nil"/>
              <w:left w:val="nil"/>
              <w:bottom w:val="single" w:sz="4" w:space="0" w:color="auto"/>
              <w:right w:val="single" w:sz="4" w:space="0" w:color="auto"/>
            </w:tcBorders>
            <w:shd w:val="clear" w:color="auto" w:fill="auto"/>
            <w:noWrap/>
            <w:vAlign w:val="center"/>
            <w:hideMark/>
          </w:tcPr>
          <w:p w14:paraId="2418546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0.6548 </w:t>
            </w:r>
          </w:p>
        </w:tc>
      </w:tr>
      <w:tr w:rsidR="002C3ABF" w:rsidRPr="00F631FB" w14:paraId="6DF1AB06"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0820C7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1.7 </w:t>
            </w:r>
          </w:p>
        </w:tc>
        <w:tc>
          <w:tcPr>
            <w:tcW w:w="0" w:type="auto"/>
            <w:tcBorders>
              <w:top w:val="nil"/>
              <w:left w:val="nil"/>
              <w:bottom w:val="single" w:sz="4" w:space="0" w:color="auto"/>
              <w:right w:val="single" w:sz="4" w:space="0" w:color="auto"/>
            </w:tcBorders>
            <w:shd w:val="clear" w:color="auto" w:fill="auto"/>
            <w:noWrap/>
            <w:vAlign w:val="center"/>
            <w:hideMark/>
          </w:tcPr>
          <w:p w14:paraId="382477D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1.0980 </w:t>
            </w:r>
          </w:p>
        </w:tc>
        <w:tc>
          <w:tcPr>
            <w:tcW w:w="0" w:type="auto"/>
            <w:tcBorders>
              <w:top w:val="nil"/>
              <w:left w:val="nil"/>
              <w:bottom w:val="single" w:sz="4" w:space="0" w:color="auto"/>
              <w:right w:val="single" w:sz="4" w:space="0" w:color="auto"/>
            </w:tcBorders>
            <w:shd w:val="clear" w:color="auto" w:fill="auto"/>
            <w:noWrap/>
            <w:vAlign w:val="center"/>
            <w:hideMark/>
          </w:tcPr>
          <w:p w14:paraId="6A16215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1.1043 </w:t>
            </w:r>
          </w:p>
        </w:tc>
        <w:tc>
          <w:tcPr>
            <w:tcW w:w="0" w:type="auto"/>
            <w:tcBorders>
              <w:top w:val="nil"/>
              <w:left w:val="nil"/>
              <w:bottom w:val="single" w:sz="4" w:space="0" w:color="auto"/>
              <w:right w:val="single" w:sz="4" w:space="0" w:color="auto"/>
            </w:tcBorders>
            <w:shd w:val="clear" w:color="auto" w:fill="auto"/>
            <w:noWrap/>
            <w:vAlign w:val="center"/>
            <w:hideMark/>
          </w:tcPr>
          <w:p w14:paraId="6E09BC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0.9658 </w:t>
            </w:r>
          </w:p>
        </w:tc>
        <w:tc>
          <w:tcPr>
            <w:tcW w:w="0" w:type="auto"/>
            <w:tcBorders>
              <w:top w:val="nil"/>
              <w:left w:val="nil"/>
              <w:bottom w:val="single" w:sz="4" w:space="0" w:color="auto"/>
              <w:right w:val="single" w:sz="4" w:space="0" w:color="auto"/>
            </w:tcBorders>
            <w:shd w:val="clear" w:color="000000" w:fill="E6B8B7"/>
            <w:vAlign w:val="center"/>
            <w:hideMark/>
          </w:tcPr>
          <w:p w14:paraId="069EE48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4.2 </w:t>
            </w:r>
          </w:p>
        </w:tc>
        <w:tc>
          <w:tcPr>
            <w:tcW w:w="0" w:type="auto"/>
            <w:tcBorders>
              <w:top w:val="nil"/>
              <w:left w:val="nil"/>
              <w:bottom w:val="single" w:sz="4" w:space="0" w:color="auto"/>
              <w:right w:val="single" w:sz="4" w:space="0" w:color="auto"/>
            </w:tcBorders>
            <w:shd w:val="clear" w:color="auto" w:fill="auto"/>
            <w:noWrap/>
            <w:vAlign w:val="center"/>
            <w:hideMark/>
          </w:tcPr>
          <w:p w14:paraId="18B1766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0.8910 </w:t>
            </w:r>
          </w:p>
        </w:tc>
        <w:tc>
          <w:tcPr>
            <w:tcW w:w="0" w:type="auto"/>
            <w:tcBorders>
              <w:top w:val="nil"/>
              <w:left w:val="nil"/>
              <w:bottom w:val="single" w:sz="4" w:space="0" w:color="auto"/>
              <w:right w:val="single" w:sz="4" w:space="0" w:color="auto"/>
            </w:tcBorders>
            <w:shd w:val="clear" w:color="auto" w:fill="auto"/>
            <w:noWrap/>
            <w:vAlign w:val="center"/>
            <w:hideMark/>
          </w:tcPr>
          <w:p w14:paraId="6B17BD6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0.8811 </w:t>
            </w:r>
          </w:p>
        </w:tc>
        <w:tc>
          <w:tcPr>
            <w:tcW w:w="0" w:type="auto"/>
            <w:tcBorders>
              <w:top w:val="nil"/>
              <w:left w:val="nil"/>
              <w:bottom w:val="single" w:sz="4" w:space="0" w:color="auto"/>
              <w:right w:val="single" w:sz="4" w:space="0" w:color="auto"/>
            </w:tcBorders>
            <w:shd w:val="clear" w:color="auto" w:fill="auto"/>
            <w:noWrap/>
            <w:vAlign w:val="center"/>
            <w:hideMark/>
          </w:tcPr>
          <w:p w14:paraId="08C9376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0.7478 </w:t>
            </w:r>
          </w:p>
        </w:tc>
        <w:tc>
          <w:tcPr>
            <w:tcW w:w="0" w:type="auto"/>
            <w:tcBorders>
              <w:top w:val="nil"/>
              <w:left w:val="nil"/>
              <w:bottom w:val="single" w:sz="4" w:space="0" w:color="auto"/>
              <w:right w:val="single" w:sz="4" w:space="0" w:color="auto"/>
            </w:tcBorders>
            <w:shd w:val="clear" w:color="000000" w:fill="E6B8B7"/>
            <w:noWrap/>
            <w:vAlign w:val="center"/>
            <w:hideMark/>
          </w:tcPr>
          <w:p w14:paraId="2A5EA24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6.7 </w:t>
            </w:r>
          </w:p>
        </w:tc>
        <w:tc>
          <w:tcPr>
            <w:tcW w:w="0" w:type="auto"/>
            <w:tcBorders>
              <w:top w:val="nil"/>
              <w:left w:val="nil"/>
              <w:bottom w:val="single" w:sz="4" w:space="0" w:color="auto"/>
              <w:right w:val="single" w:sz="4" w:space="0" w:color="auto"/>
            </w:tcBorders>
            <w:shd w:val="clear" w:color="auto" w:fill="auto"/>
            <w:noWrap/>
            <w:vAlign w:val="center"/>
            <w:hideMark/>
          </w:tcPr>
          <w:p w14:paraId="0B83C1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0.8427 </w:t>
            </w:r>
          </w:p>
        </w:tc>
        <w:tc>
          <w:tcPr>
            <w:tcW w:w="0" w:type="auto"/>
            <w:tcBorders>
              <w:top w:val="nil"/>
              <w:left w:val="nil"/>
              <w:bottom w:val="single" w:sz="4" w:space="0" w:color="auto"/>
              <w:right w:val="single" w:sz="4" w:space="0" w:color="auto"/>
            </w:tcBorders>
            <w:shd w:val="clear" w:color="auto" w:fill="auto"/>
            <w:noWrap/>
            <w:vAlign w:val="center"/>
            <w:hideMark/>
          </w:tcPr>
          <w:p w14:paraId="5899971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0.8233 </w:t>
            </w:r>
          </w:p>
        </w:tc>
        <w:tc>
          <w:tcPr>
            <w:tcW w:w="0" w:type="auto"/>
            <w:tcBorders>
              <w:top w:val="nil"/>
              <w:left w:val="nil"/>
              <w:bottom w:val="single" w:sz="4" w:space="0" w:color="auto"/>
              <w:right w:val="single" w:sz="4" w:space="0" w:color="auto"/>
            </w:tcBorders>
            <w:shd w:val="clear" w:color="auto" w:fill="auto"/>
            <w:noWrap/>
            <w:vAlign w:val="center"/>
            <w:hideMark/>
          </w:tcPr>
          <w:p w14:paraId="1745CA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0.6813 </w:t>
            </w:r>
          </w:p>
        </w:tc>
        <w:tc>
          <w:tcPr>
            <w:tcW w:w="0" w:type="auto"/>
            <w:tcBorders>
              <w:top w:val="nil"/>
              <w:left w:val="nil"/>
              <w:bottom w:val="single" w:sz="4" w:space="0" w:color="auto"/>
              <w:right w:val="single" w:sz="4" w:space="0" w:color="auto"/>
            </w:tcBorders>
            <w:shd w:val="clear" w:color="000000" w:fill="E6B8B7"/>
            <w:vAlign w:val="center"/>
            <w:hideMark/>
          </w:tcPr>
          <w:p w14:paraId="6B76BAC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9.2 </w:t>
            </w:r>
          </w:p>
        </w:tc>
        <w:tc>
          <w:tcPr>
            <w:tcW w:w="0" w:type="auto"/>
            <w:tcBorders>
              <w:top w:val="nil"/>
              <w:left w:val="nil"/>
              <w:bottom w:val="single" w:sz="4" w:space="0" w:color="auto"/>
              <w:right w:val="single" w:sz="4" w:space="0" w:color="auto"/>
            </w:tcBorders>
            <w:shd w:val="clear" w:color="auto" w:fill="auto"/>
            <w:noWrap/>
            <w:vAlign w:val="center"/>
            <w:hideMark/>
          </w:tcPr>
          <w:p w14:paraId="44E9926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0.8256 </w:t>
            </w:r>
          </w:p>
        </w:tc>
        <w:tc>
          <w:tcPr>
            <w:tcW w:w="0" w:type="auto"/>
            <w:tcBorders>
              <w:top w:val="nil"/>
              <w:left w:val="nil"/>
              <w:bottom w:val="single" w:sz="4" w:space="0" w:color="auto"/>
              <w:right w:val="single" w:sz="4" w:space="0" w:color="auto"/>
            </w:tcBorders>
            <w:shd w:val="clear" w:color="auto" w:fill="auto"/>
            <w:noWrap/>
            <w:vAlign w:val="center"/>
            <w:hideMark/>
          </w:tcPr>
          <w:p w14:paraId="4FA184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0.8012 </w:t>
            </w:r>
          </w:p>
        </w:tc>
        <w:tc>
          <w:tcPr>
            <w:tcW w:w="0" w:type="auto"/>
            <w:tcBorders>
              <w:top w:val="nil"/>
              <w:left w:val="nil"/>
              <w:bottom w:val="single" w:sz="4" w:space="0" w:color="auto"/>
              <w:right w:val="single" w:sz="4" w:space="0" w:color="auto"/>
            </w:tcBorders>
            <w:shd w:val="clear" w:color="auto" w:fill="auto"/>
            <w:noWrap/>
            <w:vAlign w:val="center"/>
            <w:hideMark/>
          </w:tcPr>
          <w:p w14:paraId="026EC1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0.6538 </w:t>
            </w:r>
          </w:p>
        </w:tc>
      </w:tr>
      <w:tr w:rsidR="002C3ABF" w:rsidRPr="00F631FB" w14:paraId="4FD6E0A0"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B3AFD1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1.8 </w:t>
            </w:r>
          </w:p>
        </w:tc>
        <w:tc>
          <w:tcPr>
            <w:tcW w:w="0" w:type="auto"/>
            <w:tcBorders>
              <w:top w:val="nil"/>
              <w:left w:val="nil"/>
              <w:bottom w:val="single" w:sz="4" w:space="0" w:color="auto"/>
              <w:right w:val="single" w:sz="4" w:space="0" w:color="auto"/>
            </w:tcBorders>
            <w:shd w:val="clear" w:color="auto" w:fill="auto"/>
            <w:noWrap/>
            <w:vAlign w:val="center"/>
            <w:hideMark/>
          </w:tcPr>
          <w:p w14:paraId="510B57B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1.0836 </w:t>
            </w:r>
          </w:p>
        </w:tc>
        <w:tc>
          <w:tcPr>
            <w:tcW w:w="0" w:type="auto"/>
            <w:tcBorders>
              <w:top w:val="nil"/>
              <w:left w:val="nil"/>
              <w:bottom w:val="single" w:sz="4" w:space="0" w:color="auto"/>
              <w:right w:val="single" w:sz="4" w:space="0" w:color="auto"/>
            </w:tcBorders>
            <w:shd w:val="clear" w:color="auto" w:fill="auto"/>
            <w:noWrap/>
            <w:vAlign w:val="center"/>
            <w:hideMark/>
          </w:tcPr>
          <w:p w14:paraId="3B308F3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1.0888 </w:t>
            </w:r>
          </w:p>
        </w:tc>
        <w:tc>
          <w:tcPr>
            <w:tcW w:w="0" w:type="auto"/>
            <w:tcBorders>
              <w:top w:val="nil"/>
              <w:left w:val="nil"/>
              <w:bottom w:val="single" w:sz="4" w:space="0" w:color="auto"/>
              <w:right w:val="single" w:sz="4" w:space="0" w:color="auto"/>
            </w:tcBorders>
            <w:shd w:val="clear" w:color="auto" w:fill="auto"/>
            <w:noWrap/>
            <w:vAlign w:val="center"/>
            <w:hideMark/>
          </w:tcPr>
          <w:p w14:paraId="50F2663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0.9503 </w:t>
            </w:r>
          </w:p>
        </w:tc>
        <w:tc>
          <w:tcPr>
            <w:tcW w:w="0" w:type="auto"/>
            <w:tcBorders>
              <w:top w:val="nil"/>
              <w:left w:val="nil"/>
              <w:bottom w:val="single" w:sz="4" w:space="0" w:color="auto"/>
              <w:right w:val="single" w:sz="4" w:space="0" w:color="auto"/>
            </w:tcBorders>
            <w:shd w:val="clear" w:color="000000" w:fill="E6B8B7"/>
            <w:vAlign w:val="center"/>
            <w:hideMark/>
          </w:tcPr>
          <w:p w14:paraId="7E47A816"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4.3 </w:t>
            </w:r>
          </w:p>
        </w:tc>
        <w:tc>
          <w:tcPr>
            <w:tcW w:w="0" w:type="auto"/>
            <w:tcBorders>
              <w:top w:val="nil"/>
              <w:left w:val="nil"/>
              <w:bottom w:val="single" w:sz="4" w:space="0" w:color="auto"/>
              <w:right w:val="single" w:sz="4" w:space="0" w:color="auto"/>
            </w:tcBorders>
            <w:shd w:val="clear" w:color="auto" w:fill="auto"/>
            <w:noWrap/>
            <w:vAlign w:val="center"/>
            <w:hideMark/>
          </w:tcPr>
          <w:p w14:paraId="1E0853F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0.8874 </w:t>
            </w:r>
          </w:p>
        </w:tc>
        <w:tc>
          <w:tcPr>
            <w:tcW w:w="0" w:type="auto"/>
            <w:tcBorders>
              <w:top w:val="nil"/>
              <w:left w:val="nil"/>
              <w:bottom w:val="single" w:sz="4" w:space="0" w:color="auto"/>
              <w:right w:val="single" w:sz="4" w:space="0" w:color="auto"/>
            </w:tcBorders>
            <w:shd w:val="clear" w:color="auto" w:fill="auto"/>
            <w:noWrap/>
            <w:vAlign w:val="center"/>
            <w:hideMark/>
          </w:tcPr>
          <w:p w14:paraId="408A343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0.8770 </w:t>
            </w:r>
          </w:p>
        </w:tc>
        <w:tc>
          <w:tcPr>
            <w:tcW w:w="0" w:type="auto"/>
            <w:tcBorders>
              <w:top w:val="nil"/>
              <w:left w:val="nil"/>
              <w:bottom w:val="single" w:sz="4" w:space="0" w:color="auto"/>
              <w:right w:val="single" w:sz="4" w:space="0" w:color="auto"/>
            </w:tcBorders>
            <w:shd w:val="clear" w:color="auto" w:fill="auto"/>
            <w:noWrap/>
            <w:vAlign w:val="center"/>
            <w:hideMark/>
          </w:tcPr>
          <w:p w14:paraId="1102547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0.7433 </w:t>
            </w:r>
          </w:p>
        </w:tc>
        <w:tc>
          <w:tcPr>
            <w:tcW w:w="0" w:type="auto"/>
            <w:tcBorders>
              <w:top w:val="nil"/>
              <w:left w:val="nil"/>
              <w:bottom w:val="single" w:sz="4" w:space="0" w:color="auto"/>
              <w:right w:val="single" w:sz="4" w:space="0" w:color="auto"/>
            </w:tcBorders>
            <w:shd w:val="clear" w:color="000000" w:fill="E6B8B7"/>
            <w:noWrap/>
            <w:vAlign w:val="center"/>
            <w:hideMark/>
          </w:tcPr>
          <w:p w14:paraId="216EFFF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6.8 </w:t>
            </w:r>
          </w:p>
        </w:tc>
        <w:tc>
          <w:tcPr>
            <w:tcW w:w="0" w:type="auto"/>
            <w:tcBorders>
              <w:top w:val="nil"/>
              <w:left w:val="nil"/>
              <w:bottom w:val="single" w:sz="4" w:space="0" w:color="auto"/>
              <w:right w:val="single" w:sz="4" w:space="0" w:color="auto"/>
            </w:tcBorders>
            <w:shd w:val="clear" w:color="auto" w:fill="auto"/>
            <w:noWrap/>
            <w:vAlign w:val="center"/>
            <w:hideMark/>
          </w:tcPr>
          <w:p w14:paraId="3A5EA36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5BAFD6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0.8221 </w:t>
            </w:r>
          </w:p>
        </w:tc>
        <w:tc>
          <w:tcPr>
            <w:tcW w:w="0" w:type="auto"/>
            <w:tcBorders>
              <w:top w:val="nil"/>
              <w:left w:val="nil"/>
              <w:bottom w:val="single" w:sz="4" w:space="0" w:color="auto"/>
              <w:right w:val="single" w:sz="4" w:space="0" w:color="auto"/>
            </w:tcBorders>
            <w:shd w:val="clear" w:color="auto" w:fill="auto"/>
            <w:noWrap/>
            <w:vAlign w:val="center"/>
            <w:hideMark/>
          </w:tcPr>
          <w:p w14:paraId="03C7A0A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0.6798 </w:t>
            </w:r>
          </w:p>
        </w:tc>
        <w:tc>
          <w:tcPr>
            <w:tcW w:w="0" w:type="auto"/>
            <w:tcBorders>
              <w:top w:val="nil"/>
              <w:left w:val="nil"/>
              <w:bottom w:val="single" w:sz="4" w:space="0" w:color="auto"/>
              <w:right w:val="single" w:sz="4" w:space="0" w:color="auto"/>
            </w:tcBorders>
            <w:shd w:val="clear" w:color="000000" w:fill="E6B8B7"/>
            <w:vAlign w:val="center"/>
            <w:hideMark/>
          </w:tcPr>
          <w:p w14:paraId="1C6B7CB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9.3 </w:t>
            </w:r>
          </w:p>
        </w:tc>
        <w:tc>
          <w:tcPr>
            <w:tcW w:w="0" w:type="auto"/>
            <w:tcBorders>
              <w:top w:val="nil"/>
              <w:left w:val="nil"/>
              <w:bottom w:val="single" w:sz="4" w:space="0" w:color="auto"/>
              <w:right w:val="single" w:sz="4" w:space="0" w:color="auto"/>
            </w:tcBorders>
            <w:shd w:val="clear" w:color="auto" w:fill="auto"/>
            <w:noWrap/>
            <w:vAlign w:val="center"/>
            <w:hideMark/>
          </w:tcPr>
          <w:p w14:paraId="629D367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0.8250 </w:t>
            </w:r>
          </w:p>
        </w:tc>
        <w:tc>
          <w:tcPr>
            <w:tcW w:w="0" w:type="auto"/>
            <w:tcBorders>
              <w:top w:val="nil"/>
              <w:left w:val="nil"/>
              <w:bottom w:val="single" w:sz="4" w:space="0" w:color="auto"/>
              <w:right w:val="single" w:sz="4" w:space="0" w:color="auto"/>
            </w:tcBorders>
            <w:shd w:val="clear" w:color="auto" w:fill="auto"/>
            <w:noWrap/>
            <w:vAlign w:val="center"/>
            <w:hideMark/>
          </w:tcPr>
          <w:p w14:paraId="443FBBA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0.8004 </w:t>
            </w:r>
          </w:p>
        </w:tc>
        <w:tc>
          <w:tcPr>
            <w:tcW w:w="0" w:type="auto"/>
            <w:tcBorders>
              <w:top w:val="nil"/>
              <w:left w:val="nil"/>
              <w:bottom w:val="single" w:sz="4" w:space="0" w:color="auto"/>
              <w:right w:val="single" w:sz="4" w:space="0" w:color="auto"/>
            </w:tcBorders>
            <w:shd w:val="clear" w:color="auto" w:fill="auto"/>
            <w:noWrap/>
            <w:vAlign w:val="center"/>
            <w:hideMark/>
          </w:tcPr>
          <w:p w14:paraId="5C0F3E5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0.6529 </w:t>
            </w:r>
          </w:p>
        </w:tc>
      </w:tr>
      <w:tr w:rsidR="002C3ABF" w:rsidRPr="00F631FB" w14:paraId="75AB0B9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174383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14:paraId="629E350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1.0698 </w:t>
            </w:r>
          </w:p>
        </w:tc>
        <w:tc>
          <w:tcPr>
            <w:tcW w:w="0" w:type="auto"/>
            <w:tcBorders>
              <w:top w:val="nil"/>
              <w:left w:val="nil"/>
              <w:bottom w:val="single" w:sz="4" w:space="0" w:color="auto"/>
              <w:right w:val="single" w:sz="4" w:space="0" w:color="auto"/>
            </w:tcBorders>
            <w:shd w:val="clear" w:color="auto" w:fill="auto"/>
            <w:noWrap/>
            <w:vAlign w:val="center"/>
            <w:hideMark/>
          </w:tcPr>
          <w:p w14:paraId="6A6548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1.0741 </w:t>
            </w:r>
          </w:p>
        </w:tc>
        <w:tc>
          <w:tcPr>
            <w:tcW w:w="0" w:type="auto"/>
            <w:tcBorders>
              <w:top w:val="nil"/>
              <w:left w:val="nil"/>
              <w:bottom w:val="single" w:sz="4" w:space="0" w:color="auto"/>
              <w:right w:val="single" w:sz="4" w:space="0" w:color="auto"/>
            </w:tcBorders>
            <w:shd w:val="clear" w:color="auto" w:fill="auto"/>
            <w:noWrap/>
            <w:vAlign w:val="center"/>
            <w:hideMark/>
          </w:tcPr>
          <w:p w14:paraId="4A9E1E7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0.9361 </w:t>
            </w:r>
          </w:p>
        </w:tc>
        <w:tc>
          <w:tcPr>
            <w:tcW w:w="0" w:type="auto"/>
            <w:tcBorders>
              <w:top w:val="nil"/>
              <w:left w:val="nil"/>
              <w:bottom w:val="single" w:sz="4" w:space="0" w:color="auto"/>
              <w:right w:val="single" w:sz="4" w:space="0" w:color="auto"/>
            </w:tcBorders>
            <w:shd w:val="clear" w:color="000000" w:fill="E6B8B7"/>
            <w:vAlign w:val="center"/>
            <w:hideMark/>
          </w:tcPr>
          <w:p w14:paraId="2F02DC9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4.4 </w:t>
            </w:r>
          </w:p>
        </w:tc>
        <w:tc>
          <w:tcPr>
            <w:tcW w:w="0" w:type="auto"/>
            <w:tcBorders>
              <w:top w:val="nil"/>
              <w:left w:val="nil"/>
              <w:bottom w:val="single" w:sz="4" w:space="0" w:color="auto"/>
              <w:right w:val="single" w:sz="4" w:space="0" w:color="auto"/>
            </w:tcBorders>
            <w:shd w:val="clear" w:color="auto" w:fill="auto"/>
            <w:noWrap/>
            <w:vAlign w:val="center"/>
            <w:hideMark/>
          </w:tcPr>
          <w:p w14:paraId="1BD5A3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0.8840 </w:t>
            </w:r>
          </w:p>
        </w:tc>
        <w:tc>
          <w:tcPr>
            <w:tcW w:w="0" w:type="auto"/>
            <w:tcBorders>
              <w:top w:val="nil"/>
              <w:left w:val="nil"/>
              <w:bottom w:val="single" w:sz="4" w:space="0" w:color="auto"/>
              <w:right w:val="single" w:sz="4" w:space="0" w:color="auto"/>
            </w:tcBorders>
            <w:shd w:val="clear" w:color="auto" w:fill="auto"/>
            <w:noWrap/>
            <w:vAlign w:val="center"/>
            <w:hideMark/>
          </w:tcPr>
          <w:p w14:paraId="6DF2833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0.8731 </w:t>
            </w:r>
          </w:p>
        </w:tc>
        <w:tc>
          <w:tcPr>
            <w:tcW w:w="0" w:type="auto"/>
            <w:tcBorders>
              <w:top w:val="nil"/>
              <w:left w:val="nil"/>
              <w:bottom w:val="single" w:sz="4" w:space="0" w:color="auto"/>
              <w:right w:val="single" w:sz="4" w:space="0" w:color="auto"/>
            </w:tcBorders>
            <w:shd w:val="clear" w:color="auto" w:fill="auto"/>
            <w:noWrap/>
            <w:vAlign w:val="center"/>
            <w:hideMark/>
          </w:tcPr>
          <w:p w14:paraId="0B9FE1B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0.7391 </w:t>
            </w:r>
          </w:p>
        </w:tc>
        <w:tc>
          <w:tcPr>
            <w:tcW w:w="0" w:type="auto"/>
            <w:tcBorders>
              <w:top w:val="nil"/>
              <w:left w:val="nil"/>
              <w:bottom w:val="single" w:sz="4" w:space="0" w:color="auto"/>
              <w:right w:val="single" w:sz="4" w:space="0" w:color="auto"/>
            </w:tcBorders>
            <w:shd w:val="clear" w:color="000000" w:fill="E6B8B7"/>
            <w:noWrap/>
            <w:vAlign w:val="center"/>
            <w:hideMark/>
          </w:tcPr>
          <w:p w14:paraId="0FA4021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6.9 </w:t>
            </w:r>
          </w:p>
        </w:tc>
        <w:tc>
          <w:tcPr>
            <w:tcW w:w="0" w:type="auto"/>
            <w:tcBorders>
              <w:top w:val="nil"/>
              <w:left w:val="nil"/>
              <w:bottom w:val="single" w:sz="4" w:space="0" w:color="auto"/>
              <w:right w:val="single" w:sz="4" w:space="0" w:color="auto"/>
            </w:tcBorders>
            <w:shd w:val="clear" w:color="auto" w:fill="auto"/>
            <w:noWrap/>
            <w:vAlign w:val="center"/>
            <w:hideMark/>
          </w:tcPr>
          <w:p w14:paraId="21F07A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0.8409 </w:t>
            </w:r>
          </w:p>
        </w:tc>
        <w:tc>
          <w:tcPr>
            <w:tcW w:w="0" w:type="auto"/>
            <w:tcBorders>
              <w:top w:val="nil"/>
              <w:left w:val="nil"/>
              <w:bottom w:val="single" w:sz="4" w:space="0" w:color="auto"/>
              <w:right w:val="single" w:sz="4" w:space="0" w:color="auto"/>
            </w:tcBorders>
            <w:shd w:val="clear" w:color="auto" w:fill="auto"/>
            <w:noWrap/>
            <w:vAlign w:val="center"/>
            <w:hideMark/>
          </w:tcPr>
          <w:p w14:paraId="21A20E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0.8210 </w:t>
            </w:r>
          </w:p>
        </w:tc>
        <w:tc>
          <w:tcPr>
            <w:tcW w:w="0" w:type="auto"/>
            <w:tcBorders>
              <w:top w:val="nil"/>
              <w:left w:val="nil"/>
              <w:bottom w:val="single" w:sz="4" w:space="0" w:color="auto"/>
              <w:right w:val="single" w:sz="4" w:space="0" w:color="auto"/>
            </w:tcBorders>
            <w:shd w:val="clear" w:color="auto" w:fill="auto"/>
            <w:noWrap/>
            <w:vAlign w:val="center"/>
            <w:hideMark/>
          </w:tcPr>
          <w:p w14:paraId="61138D9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0.6785 </w:t>
            </w:r>
          </w:p>
        </w:tc>
        <w:tc>
          <w:tcPr>
            <w:tcW w:w="0" w:type="auto"/>
            <w:tcBorders>
              <w:top w:val="nil"/>
              <w:left w:val="nil"/>
              <w:bottom w:val="single" w:sz="4" w:space="0" w:color="auto"/>
              <w:right w:val="single" w:sz="4" w:space="0" w:color="auto"/>
            </w:tcBorders>
            <w:shd w:val="clear" w:color="000000" w:fill="E6B8B7"/>
            <w:vAlign w:val="center"/>
            <w:hideMark/>
          </w:tcPr>
          <w:p w14:paraId="462C613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9.4 </w:t>
            </w:r>
          </w:p>
        </w:tc>
        <w:tc>
          <w:tcPr>
            <w:tcW w:w="0" w:type="auto"/>
            <w:tcBorders>
              <w:top w:val="nil"/>
              <w:left w:val="nil"/>
              <w:bottom w:val="single" w:sz="4" w:space="0" w:color="auto"/>
              <w:right w:val="single" w:sz="4" w:space="0" w:color="auto"/>
            </w:tcBorders>
            <w:shd w:val="clear" w:color="auto" w:fill="auto"/>
            <w:noWrap/>
            <w:vAlign w:val="center"/>
            <w:hideMark/>
          </w:tcPr>
          <w:p w14:paraId="2F9AD9D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0.8244 </w:t>
            </w:r>
          </w:p>
        </w:tc>
        <w:tc>
          <w:tcPr>
            <w:tcW w:w="0" w:type="auto"/>
            <w:tcBorders>
              <w:top w:val="nil"/>
              <w:left w:val="nil"/>
              <w:bottom w:val="single" w:sz="4" w:space="0" w:color="auto"/>
              <w:right w:val="single" w:sz="4" w:space="0" w:color="auto"/>
            </w:tcBorders>
            <w:shd w:val="clear" w:color="auto" w:fill="auto"/>
            <w:noWrap/>
            <w:vAlign w:val="center"/>
            <w:hideMark/>
          </w:tcPr>
          <w:p w14:paraId="62A3086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0.7996 </w:t>
            </w:r>
          </w:p>
        </w:tc>
        <w:tc>
          <w:tcPr>
            <w:tcW w:w="0" w:type="auto"/>
            <w:tcBorders>
              <w:top w:val="nil"/>
              <w:left w:val="nil"/>
              <w:bottom w:val="single" w:sz="4" w:space="0" w:color="auto"/>
              <w:right w:val="single" w:sz="4" w:space="0" w:color="auto"/>
            </w:tcBorders>
            <w:shd w:val="clear" w:color="auto" w:fill="auto"/>
            <w:noWrap/>
            <w:vAlign w:val="center"/>
            <w:hideMark/>
          </w:tcPr>
          <w:p w14:paraId="238663B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0.6519 </w:t>
            </w:r>
          </w:p>
        </w:tc>
      </w:tr>
      <w:tr w:rsidR="002C3ABF" w:rsidRPr="00F631FB" w14:paraId="3997571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DE9541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2.0 </w:t>
            </w:r>
          </w:p>
        </w:tc>
        <w:tc>
          <w:tcPr>
            <w:tcW w:w="0" w:type="auto"/>
            <w:tcBorders>
              <w:top w:val="nil"/>
              <w:left w:val="nil"/>
              <w:bottom w:val="single" w:sz="4" w:space="0" w:color="auto"/>
              <w:right w:val="single" w:sz="4" w:space="0" w:color="auto"/>
            </w:tcBorders>
            <w:shd w:val="clear" w:color="auto" w:fill="auto"/>
            <w:noWrap/>
            <w:vAlign w:val="center"/>
            <w:hideMark/>
          </w:tcPr>
          <w:p w14:paraId="3B4C9A8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1.0568 </w:t>
            </w:r>
          </w:p>
        </w:tc>
        <w:tc>
          <w:tcPr>
            <w:tcW w:w="0" w:type="auto"/>
            <w:tcBorders>
              <w:top w:val="nil"/>
              <w:left w:val="nil"/>
              <w:bottom w:val="single" w:sz="4" w:space="0" w:color="auto"/>
              <w:right w:val="single" w:sz="4" w:space="0" w:color="auto"/>
            </w:tcBorders>
            <w:shd w:val="clear" w:color="auto" w:fill="auto"/>
            <w:noWrap/>
            <w:vAlign w:val="center"/>
            <w:hideMark/>
          </w:tcPr>
          <w:p w14:paraId="04D002A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auto" w:fill="auto"/>
            <w:noWrap/>
            <w:vAlign w:val="center"/>
            <w:hideMark/>
          </w:tcPr>
          <w:p w14:paraId="3B02BEE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0.9224 </w:t>
            </w:r>
          </w:p>
        </w:tc>
        <w:tc>
          <w:tcPr>
            <w:tcW w:w="0" w:type="auto"/>
            <w:tcBorders>
              <w:top w:val="nil"/>
              <w:left w:val="nil"/>
              <w:bottom w:val="single" w:sz="4" w:space="0" w:color="auto"/>
              <w:right w:val="single" w:sz="4" w:space="0" w:color="auto"/>
            </w:tcBorders>
            <w:shd w:val="clear" w:color="000000" w:fill="E6B8B7"/>
            <w:vAlign w:val="center"/>
            <w:hideMark/>
          </w:tcPr>
          <w:p w14:paraId="7363400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4.5 </w:t>
            </w:r>
          </w:p>
        </w:tc>
        <w:tc>
          <w:tcPr>
            <w:tcW w:w="0" w:type="auto"/>
            <w:tcBorders>
              <w:top w:val="nil"/>
              <w:left w:val="nil"/>
              <w:bottom w:val="single" w:sz="4" w:space="0" w:color="auto"/>
              <w:right w:val="single" w:sz="4" w:space="0" w:color="auto"/>
            </w:tcBorders>
            <w:shd w:val="clear" w:color="auto" w:fill="auto"/>
            <w:noWrap/>
            <w:vAlign w:val="center"/>
            <w:hideMark/>
          </w:tcPr>
          <w:p w14:paraId="419CDDC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0.8808 </w:t>
            </w:r>
          </w:p>
        </w:tc>
        <w:tc>
          <w:tcPr>
            <w:tcW w:w="0" w:type="auto"/>
            <w:tcBorders>
              <w:top w:val="nil"/>
              <w:left w:val="nil"/>
              <w:bottom w:val="single" w:sz="4" w:space="0" w:color="auto"/>
              <w:right w:val="single" w:sz="4" w:space="0" w:color="auto"/>
            </w:tcBorders>
            <w:shd w:val="clear" w:color="auto" w:fill="auto"/>
            <w:noWrap/>
            <w:vAlign w:val="center"/>
            <w:hideMark/>
          </w:tcPr>
          <w:p w14:paraId="39F612C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0.8694 </w:t>
            </w:r>
          </w:p>
        </w:tc>
        <w:tc>
          <w:tcPr>
            <w:tcW w:w="0" w:type="auto"/>
            <w:tcBorders>
              <w:top w:val="nil"/>
              <w:left w:val="nil"/>
              <w:bottom w:val="single" w:sz="4" w:space="0" w:color="auto"/>
              <w:right w:val="single" w:sz="4" w:space="0" w:color="auto"/>
            </w:tcBorders>
            <w:shd w:val="clear" w:color="auto" w:fill="auto"/>
            <w:noWrap/>
            <w:vAlign w:val="center"/>
            <w:hideMark/>
          </w:tcPr>
          <w:p w14:paraId="303A7E0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0.7350 </w:t>
            </w:r>
          </w:p>
        </w:tc>
        <w:tc>
          <w:tcPr>
            <w:tcW w:w="0" w:type="auto"/>
            <w:tcBorders>
              <w:top w:val="nil"/>
              <w:left w:val="nil"/>
              <w:bottom w:val="single" w:sz="4" w:space="0" w:color="auto"/>
              <w:right w:val="single" w:sz="4" w:space="0" w:color="auto"/>
            </w:tcBorders>
            <w:shd w:val="clear" w:color="000000" w:fill="E6B8B7"/>
            <w:noWrap/>
            <w:vAlign w:val="center"/>
            <w:hideMark/>
          </w:tcPr>
          <w:p w14:paraId="4F01E5C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7.0 </w:t>
            </w:r>
          </w:p>
        </w:tc>
        <w:tc>
          <w:tcPr>
            <w:tcW w:w="0" w:type="auto"/>
            <w:tcBorders>
              <w:top w:val="nil"/>
              <w:left w:val="nil"/>
              <w:bottom w:val="single" w:sz="4" w:space="0" w:color="auto"/>
              <w:right w:val="single" w:sz="4" w:space="0" w:color="auto"/>
            </w:tcBorders>
            <w:shd w:val="clear" w:color="auto" w:fill="auto"/>
            <w:noWrap/>
            <w:vAlign w:val="center"/>
            <w:hideMark/>
          </w:tcPr>
          <w:p w14:paraId="16D8DA3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0.8401 </w:t>
            </w:r>
          </w:p>
        </w:tc>
        <w:tc>
          <w:tcPr>
            <w:tcW w:w="0" w:type="auto"/>
            <w:tcBorders>
              <w:top w:val="nil"/>
              <w:left w:val="nil"/>
              <w:bottom w:val="single" w:sz="4" w:space="0" w:color="auto"/>
              <w:right w:val="single" w:sz="4" w:space="0" w:color="auto"/>
            </w:tcBorders>
            <w:shd w:val="clear" w:color="auto" w:fill="auto"/>
            <w:noWrap/>
            <w:vAlign w:val="center"/>
            <w:hideMark/>
          </w:tcPr>
          <w:p w14:paraId="183818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0.8199 </w:t>
            </w:r>
          </w:p>
        </w:tc>
        <w:tc>
          <w:tcPr>
            <w:tcW w:w="0" w:type="auto"/>
            <w:tcBorders>
              <w:top w:val="nil"/>
              <w:left w:val="nil"/>
              <w:bottom w:val="single" w:sz="4" w:space="0" w:color="auto"/>
              <w:right w:val="single" w:sz="4" w:space="0" w:color="auto"/>
            </w:tcBorders>
            <w:shd w:val="clear" w:color="auto" w:fill="auto"/>
            <w:noWrap/>
            <w:vAlign w:val="center"/>
            <w:hideMark/>
          </w:tcPr>
          <w:p w14:paraId="3B0024D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0.6772 </w:t>
            </w:r>
          </w:p>
        </w:tc>
        <w:tc>
          <w:tcPr>
            <w:tcW w:w="0" w:type="auto"/>
            <w:tcBorders>
              <w:top w:val="nil"/>
              <w:left w:val="nil"/>
              <w:bottom w:val="single" w:sz="4" w:space="0" w:color="auto"/>
              <w:right w:val="single" w:sz="4" w:space="0" w:color="auto"/>
            </w:tcBorders>
            <w:shd w:val="clear" w:color="000000" w:fill="E6B8B7"/>
            <w:vAlign w:val="center"/>
            <w:hideMark/>
          </w:tcPr>
          <w:p w14:paraId="0F91E55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9.5 </w:t>
            </w:r>
          </w:p>
        </w:tc>
        <w:tc>
          <w:tcPr>
            <w:tcW w:w="0" w:type="auto"/>
            <w:tcBorders>
              <w:top w:val="nil"/>
              <w:left w:val="nil"/>
              <w:bottom w:val="single" w:sz="4" w:space="0" w:color="auto"/>
              <w:right w:val="single" w:sz="4" w:space="0" w:color="auto"/>
            </w:tcBorders>
            <w:shd w:val="clear" w:color="auto" w:fill="auto"/>
            <w:noWrap/>
            <w:vAlign w:val="center"/>
            <w:hideMark/>
          </w:tcPr>
          <w:p w14:paraId="6B18B61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0.8238 </w:t>
            </w:r>
          </w:p>
        </w:tc>
        <w:tc>
          <w:tcPr>
            <w:tcW w:w="0" w:type="auto"/>
            <w:tcBorders>
              <w:top w:val="nil"/>
              <w:left w:val="nil"/>
              <w:bottom w:val="single" w:sz="4" w:space="0" w:color="auto"/>
              <w:right w:val="single" w:sz="4" w:space="0" w:color="auto"/>
            </w:tcBorders>
            <w:shd w:val="clear" w:color="auto" w:fill="auto"/>
            <w:noWrap/>
            <w:vAlign w:val="center"/>
            <w:hideMark/>
          </w:tcPr>
          <w:p w14:paraId="2E0D742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0.7988 </w:t>
            </w:r>
          </w:p>
        </w:tc>
        <w:tc>
          <w:tcPr>
            <w:tcW w:w="0" w:type="auto"/>
            <w:tcBorders>
              <w:top w:val="nil"/>
              <w:left w:val="nil"/>
              <w:bottom w:val="single" w:sz="4" w:space="0" w:color="auto"/>
              <w:right w:val="single" w:sz="4" w:space="0" w:color="auto"/>
            </w:tcBorders>
            <w:shd w:val="clear" w:color="auto" w:fill="auto"/>
            <w:noWrap/>
            <w:vAlign w:val="center"/>
            <w:hideMark/>
          </w:tcPr>
          <w:p w14:paraId="552CFA9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0.6510 </w:t>
            </w:r>
          </w:p>
        </w:tc>
      </w:tr>
      <w:tr w:rsidR="002C3ABF" w:rsidRPr="00F631FB" w14:paraId="73C555B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F3EE9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2.1 </w:t>
            </w:r>
          </w:p>
        </w:tc>
        <w:tc>
          <w:tcPr>
            <w:tcW w:w="0" w:type="auto"/>
            <w:tcBorders>
              <w:top w:val="nil"/>
              <w:left w:val="nil"/>
              <w:bottom w:val="single" w:sz="4" w:space="0" w:color="auto"/>
              <w:right w:val="single" w:sz="4" w:space="0" w:color="auto"/>
            </w:tcBorders>
            <w:shd w:val="clear" w:color="auto" w:fill="auto"/>
            <w:noWrap/>
            <w:vAlign w:val="center"/>
            <w:hideMark/>
          </w:tcPr>
          <w:p w14:paraId="1214A7F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1.0443 </w:t>
            </w:r>
          </w:p>
        </w:tc>
        <w:tc>
          <w:tcPr>
            <w:tcW w:w="0" w:type="auto"/>
            <w:tcBorders>
              <w:top w:val="nil"/>
              <w:left w:val="nil"/>
              <w:bottom w:val="single" w:sz="4" w:space="0" w:color="auto"/>
              <w:right w:val="single" w:sz="4" w:space="0" w:color="auto"/>
            </w:tcBorders>
            <w:shd w:val="clear" w:color="auto" w:fill="auto"/>
            <w:noWrap/>
            <w:vAlign w:val="center"/>
            <w:hideMark/>
          </w:tcPr>
          <w:p w14:paraId="3D7B8B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1.0468 </w:t>
            </w:r>
          </w:p>
        </w:tc>
        <w:tc>
          <w:tcPr>
            <w:tcW w:w="0" w:type="auto"/>
            <w:tcBorders>
              <w:top w:val="nil"/>
              <w:left w:val="nil"/>
              <w:bottom w:val="single" w:sz="4" w:space="0" w:color="auto"/>
              <w:right w:val="single" w:sz="4" w:space="0" w:color="auto"/>
            </w:tcBorders>
            <w:shd w:val="clear" w:color="auto" w:fill="auto"/>
            <w:noWrap/>
            <w:vAlign w:val="center"/>
            <w:hideMark/>
          </w:tcPr>
          <w:p w14:paraId="47B34EC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0.9096 </w:t>
            </w:r>
          </w:p>
        </w:tc>
        <w:tc>
          <w:tcPr>
            <w:tcW w:w="0" w:type="auto"/>
            <w:tcBorders>
              <w:top w:val="nil"/>
              <w:left w:val="nil"/>
              <w:bottom w:val="single" w:sz="4" w:space="0" w:color="auto"/>
              <w:right w:val="single" w:sz="4" w:space="0" w:color="auto"/>
            </w:tcBorders>
            <w:shd w:val="clear" w:color="000000" w:fill="E6B8B7"/>
            <w:vAlign w:val="center"/>
            <w:hideMark/>
          </w:tcPr>
          <w:p w14:paraId="44E2CA3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4.6 </w:t>
            </w:r>
          </w:p>
        </w:tc>
        <w:tc>
          <w:tcPr>
            <w:tcW w:w="0" w:type="auto"/>
            <w:tcBorders>
              <w:top w:val="nil"/>
              <w:left w:val="nil"/>
              <w:bottom w:val="single" w:sz="4" w:space="0" w:color="auto"/>
              <w:right w:val="single" w:sz="4" w:space="0" w:color="auto"/>
            </w:tcBorders>
            <w:shd w:val="clear" w:color="auto" w:fill="auto"/>
            <w:noWrap/>
            <w:vAlign w:val="center"/>
            <w:hideMark/>
          </w:tcPr>
          <w:p w14:paraId="4B738AB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0.8778 </w:t>
            </w:r>
          </w:p>
        </w:tc>
        <w:tc>
          <w:tcPr>
            <w:tcW w:w="0" w:type="auto"/>
            <w:tcBorders>
              <w:top w:val="nil"/>
              <w:left w:val="nil"/>
              <w:bottom w:val="single" w:sz="4" w:space="0" w:color="auto"/>
              <w:right w:val="single" w:sz="4" w:space="0" w:color="auto"/>
            </w:tcBorders>
            <w:shd w:val="clear" w:color="auto" w:fill="auto"/>
            <w:noWrap/>
            <w:vAlign w:val="center"/>
            <w:hideMark/>
          </w:tcPr>
          <w:p w14:paraId="2A9DBBA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0.8659 </w:t>
            </w:r>
          </w:p>
        </w:tc>
        <w:tc>
          <w:tcPr>
            <w:tcW w:w="0" w:type="auto"/>
            <w:tcBorders>
              <w:top w:val="nil"/>
              <w:left w:val="nil"/>
              <w:bottom w:val="single" w:sz="4" w:space="0" w:color="auto"/>
              <w:right w:val="single" w:sz="4" w:space="0" w:color="auto"/>
            </w:tcBorders>
            <w:shd w:val="clear" w:color="auto" w:fill="auto"/>
            <w:noWrap/>
            <w:vAlign w:val="center"/>
            <w:hideMark/>
          </w:tcPr>
          <w:p w14:paraId="003453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0.7311 </w:t>
            </w:r>
          </w:p>
        </w:tc>
        <w:tc>
          <w:tcPr>
            <w:tcW w:w="0" w:type="auto"/>
            <w:tcBorders>
              <w:top w:val="nil"/>
              <w:left w:val="nil"/>
              <w:bottom w:val="single" w:sz="4" w:space="0" w:color="auto"/>
              <w:right w:val="single" w:sz="4" w:space="0" w:color="auto"/>
            </w:tcBorders>
            <w:shd w:val="clear" w:color="000000" w:fill="E6B8B7"/>
            <w:noWrap/>
            <w:vAlign w:val="center"/>
            <w:hideMark/>
          </w:tcPr>
          <w:p w14:paraId="7279F5A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7.1 </w:t>
            </w:r>
          </w:p>
        </w:tc>
        <w:tc>
          <w:tcPr>
            <w:tcW w:w="0" w:type="auto"/>
            <w:tcBorders>
              <w:top w:val="nil"/>
              <w:left w:val="nil"/>
              <w:bottom w:val="single" w:sz="4" w:space="0" w:color="auto"/>
              <w:right w:val="single" w:sz="4" w:space="0" w:color="auto"/>
            </w:tcBorders>
            <w:shd w:val="clear" w:color="auto" w:fill="auto"/>
            <w:noWrap/>
            <w:vAlign w:val="center"/>
            <w:hideMark/>
          </w:tcPr>
          <w:p w14:paraId="4BD2B6A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0.8393 </w:t>
            </w:r>
          </w:p>
        </w:tc>
        <w:tc>
          <w:tcPr>
            <w:tcW w:w="0" w:type="auto"/>
            <w:tcBorders>
              <w:top w:val="nil"/>
              <w:left w:val="nil"/>
              <w:bottom w:val="single" w:sz="4" w:space="0" w:color="auto"/>
              <w:right w:val="single" w:sz="4" w:space="0" w:color="auto"/>
            </w:tcBorders>
            <w:shd w:val="clear" w:color="auto" w:fill="auto"/>
            <w:noWrap/>
            <w:vAlign w:val="center"/>
            <w:hideMark/>
          </w:tcPr>
          <w:p w14:paraId="6DB7085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0.8189 </w:t>
            </w:r>
          </w:p>
        </w:tc>
        <w:tc>
          <w:tcPr>
            <w:tcW w:w="0" w:type="auto"/>
            <w:tcBorders>
              <w:top w:val="nil"/>
              <w:left w:val="nil"/>
              <w:bottom w:val="single" w:sz="4" w:space="0" w:color="auto"/>
              <w:right w:val="single" w:sz="4" w:space="0" w:color="auto"/>
            </w:tcBorders>
            <w:shd w:val="clear" w:color="auto" w:fill="auto"/>
            <w:noWrap/>
            <w:vAlign w:val="center"/>
            <w:hideMark/>
          </w:tcPr>
          <w:p w14:paraId="21C8480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0.6759 </w:t>
            </w:r>
          </w:p>
        </w:tc>
        <w:tc>
          <w:tcPr>
            <w:tcW w:w="0" w:type="auto"/>
            <w:tcBorders>
              <w:top w:val="nil"/>
              <w:left w:val="nil"/>
              <w:bottom w:val="single" w:sz="4" w:space="0" w:color="auto"/>
              <w:right w:val="single" w:sz="4" w:space="0" w:color="auto"/>
            </w:tcBorders>
            <w:shd w:val="clear" w:color="000000" w:fill="E6B8B7"/>
            <w:vAlign w:val="center"/>
            <w:hideMark/>
          </w:tcPr>
          <w:p w14:paraId="1B80EF2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9.6 </w:t>
            </w:r>
          </w:p>
        </w:tc>
        <w:tc>
          <w:tcPr>
            <w:tcW w:w="0" w:type="auto"/>
            <w:tcBorders>
              <w:top w:val="nil"/>
              <w:left w:val="nil"/>
              <w:bottom w:val="single" w:sz="4" w:space="0" w:color="auto"/>
              <w:right w:val="single" w:sz="4" w:space="0" w:color="auto"/>
            </w:tcBorders>
            <w:shd w:val="clear" w:color="auto" w:fill="auto"/>
            <w:noWrap/>
            <w:vAlign w:val="center"/>
            <w:hideMark/>
          </w:tcPr>
          <w:p w14:paraId="3C64134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0.8232 </w:t>
            </w:r>
          </w:p>
        </w:tc>
        <w:tc>
          <w:tcPr>
            <w:tcW w:w="0" w:type="auto"/>
            <w:tcBorders>
              <w:top w:val="nil"/>
              <w:left w:val="nil"/>
              <w:bottom w:val="single" w:sz="4" w:space="0" w:color="auto"/>
              <w:right w:val="single" w:sz="4" w:space="0" w:color="auto"/>
            </w:tcBorders>
            <w:shd w:val="clear" w:color="auto" w:fill="auto"/>
            <w:noWrap/>
            <w:vAlign w:val="center"/>
            <w:hideMark/>
          </w:tcPr>
          <w:p w14:paraId="664519C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0.7980 </w:t>
            </w:r>
          </w:p>
        </w:tc>
        <w:tc>
          <w:tcPr>
            <w:tcW w:w="0" w:type="auto"/>
            <w:tcBorders>
              <w:top w:val="nil"/>
              <w:left w:val="nil"/>
              <w:bottom w:val="single" w:sz="4" w:space="0" w:color="auto"/>
              <w:right w:val="single" w:sz="4" w:space="0" w:color="auto"/>
            </w:tcBorders>
            <w:shd w:val="clear" w:color="auto" w:fill="auto"/>
            <w:noWrap/>
            <w:vAlign w:val="center"/>
            <w:hideMark/>
          </w:tcPr>
          <w:p w14:paraId="03FBF3D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0.6500 </w:t>
            </w:r>
          </w:p>
        </w:tc>
      </w:tr>
      <w:tr w:rsidR="002C3ABF" w:rsidRPr="00F631FB" w14:paraId="5A5C24C2"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4754D0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2.2 </w:t>
            </w:r>
          </w:p>
        </w:tc>
        <w:tc>
          <w:tcPr>
            <w:tcW w:w="0" w:type="auto"/>
            <w:tcBorders>
              <w:top w:val="nil"/>
              <w:left w:val="nil"/>
              <w:bottom w:val="single" w:sz="4" w:space="0" w:color="auto"/>
              <w:right w:val="single" w:sz="4" w:space="0" w:color="auto"/>
            </w:tcBorders>
            <w:shd w:val="clear" w:color="auto" w:fill="auto"/>
            <w:noWrap/>
            <w:vAlign w:val="center"/>
            <w:hideMark/>
          </w:tcPr>
          <w:p w14:paraId="5319DF5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1.0325 </w:t>
            </w:r>
          </w:p>
        </w:tc>
        <w:tc>
          <w:tcPr>
            <w:tcW w:w="0" w:type="auto"/>
            <w:tcBorders>
              <w:top w:val="nil"/>
              <w:left w:val="nil"/>
              <w:bottom w:val="single" w:sz="4" w:space="0" w:color="auto"/>
              <w:right w:val="single" w:sz="4" w:space="0" w:color="auto"/>
            </w:tcBorders>
            <w:shd w:val="clear" w:color="auto" w:fill="auto"/>
            <w:noWrap/>
            <w:vAlign w:val="center"/>
            <w:hideMark/>
          </w:tcPr>
          <w:p w14:paraId="2299CA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1.0342 </w:t>
            </w:r>
          </w:p>
        </w:tc>
        <w:tc>
          <w:tcPr>
            <w:tcW w:w="0" w:type="auto"/>
            <w:tcBorders>
              <w:top w:val="nil"/>
              <w:left w:val="nil"/>
              <w:bottom w:val="single" w:sz="4" w:space="0" w:color="auto"/>
              <w:right w:val="single" w:sz="4" w:space="0" w:color="auto"/>
            </w:tcBorders>
            <w:shd w:val="clear" w:color="auto" w:fill="auto"/>
            <w:noWrap/>
            <w:vAlign w:val="center"/>
            <w:hideMark/>
          </w:tcPr>
          <w:p w14:paraId="00FD253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0.8975 </w:t>
            </w:r>
          </w:p>
        </w:tc>
        <w:tc>
          <w:tcPr>
            <w:tcW w:w="0" w:type="auto"/>
            <w:tcBorders>
              <w:top w:val="nil"/>
              <w:left w:val="nil"/>
              <w:bottom w:val="single" w:sz="4" w:space="0" w:color="auto"/>
              <w:right w:val="single" w:sz="4" w:space="0" w:color="auto"/>
            </w:tcBorders>
            <w:shd w:val="clear" w:color="000000" w:fill="E6B8B7"/>
            <w:vAlign w:val="center"/>
            <w:hideMark/>
          </w:tcPr>
          <w:p w14:paraId="0A88C70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4.7 </w:t>
            </w:r>
          </w:p>
        </w:tc>
        <w:tc>
          <w:tcPr>
            <w:tcW w:w="0" w:type="auto"/>
            <w:tcBorders>
              <w:top w:val="nil"/>
              <w:left w:val="nil"/>
              <w:bottom w:val="single" w:sz="4" w:space="0" w:color="auto"/>
              <w:right w:val="single" w:sz="4" w:space="0" w:color="auto"/>
            </w:tcBorders>
            <w:shd w:val="clear" w:color="auto" w:fill="auto"/>
            <w:noWrap/>
            <w:vAlign w:val="center"/>
            <w:hideMark/>
          </w:tcPr>
          <w:p w14:paraId="3C49406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0.8750 </w:t>
            </w:r>
          </w:p>
        </w:tc>
        <w:tc>
          <w:tcPr>
            <w:tcW w:w="0" w:type="auto"/>
            <w:tcBorders>
              <w:top w:val="nil"/>
              <w:left w:val="nil"/>
              <w:bottom w:val="single" w:sz="4" w:space="0" w:color="auto"/>
              <w:right w:val="single" w:sz="4" w:space="0" w:color="auto"/>
            </w:tcBorders>
            <w:shd w:val="clear" w:color="auto" w:fill="auto"/>
            <w:noWrap/>
            <w:vAlign w:val="center"/>
            <w:hideMark/>
          </w:tcPr>
          <w:p w14:paraId="6138660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0.8626 </w:t>
            </w:r>
          </w:p>
        </w:tc>
        <w:tc>
          <w:tcPr>
            <w:tcW w:w="0" w:type="auto"/>
            <w:tcBorders>
              <w:top w:val="nil"/>
              <w:left w:val="nil"/>
              <w:bottom w:val="single" w:sz="4" w:space="0" w:color="auto"/>
              <w:right w:val="single" w:sz="4" w:space="0" w:color="auto"/>
            </w:tcBorders>
            <w:shd w:val="clear" w:color="auto" w:fill="auto"/>
            <w:noWrap/>
            <w:vAlign w:val="center"/>
            <w:hideMark/>
          </w:tcPr>
          <w:p w14:paraId="4BAE07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0.7275 </w:t>
            </w:r>
          </w:p>
        </w:tc>
        <w:tc>
          <w:tcPr>
            <w:tcW w:w="0" w:type="auto"/>
            <w:tcBorders>
              <w:top w:val="nil"/>
              <w:left w:val="nil"/>
              <w:bottom w:val="single" w:sz="4" w:space="0" w:color="auto"/>
              <w:right w:val="single" w:sz="4" w:space="0" w:color="auto"/>
            </w:tcBorders>
            <w:shd w:val="clear" w:color="000000" w:fill="E6B8B7"/>
            <w:noWrap/>
            <w:vAlign w:val="center"/>
            <w:hideMark/>
          </w:tcPr>
          <w:p w14:paraId="6E63DE1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7.2 </w:t>
            </w:r>
          </w:p>
        </w:tc>
        <w:tc>
          <w:tcPr>
            <w:tcW w:w="0" w:type="auto"/>
            <w:tcBorders>
              <w:top w:val="nil"/>
              <w:left w:val="nil"/>
              <w:bottom w:val="single" w:sz="4" w:space="0" w:color="auto"/>
              <w:right w:val="single" w:sz="4" w:space="0" w:color="auto"/>
            </w:tcBorders>
            <w:shd w:val="clear" w:color="auto" w:fill="auto"/>
            <w:noWrap/>
            <w:vAlign w:val="center"/>
            <w:hideMark/>
          </w:tcPr>
          <w:p w14:paraId="084B477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0.8385 </w:t>
            </w:r>
          </w:p>
        </w:tc>
        <w:tc>
          <w:tcPr>
            <w:tcW w:w="0" w:type="auto"/>
            <w:tcBorders>
              <w:top w:val="nil"/>
              <w:left w:val="nil"/>
              <w:bottom w:val="single" w:sz="4" w:space="0" w:color="auto"/>
              <w:right w:val="single" w:sz="4" w:space="0" w:color="auto"/>
            </w:tcBorders>
            <w:shd w:val="clear" w:color="auto" w:fill="auto"/>
            <w:noWrap/>
            <w:vAlign w:val="center"/>
            <w:hideMark/>
          </w:tcPr>
          <w:p w14:paraId="4B00409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0.8179 </w:t>
            </w:r>
          </w:p>
        </w:tc>
        <w:tc>
          <w:tcPr>
            <w:tcW w:w="0" w:type="auto"/>
            <w:tcBorders>
              <w:top w:val="nil"/>
              <w:left w:val="nil"/>
              <w:bottom w:val="single" w:sz="4" w:space="0" w:color="auto"/>
              <w:right w:val="single" w:sz="4" w:space="0" w:color="auto"/>
            </w:tcBorders>
            <w:shd w:val="clear" w:color="auto" w:fill="auto"/>
            <w:noWrap/>
            <w:vAlign w:val="center"/>
            <w:hideMark/>
          </w:tcPr>
          <w:p w14:paraId="63B9F34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0.6746 </w:t>
            </w:r>
          </w:p>
        </w:tc>
        <w:tc>
          <w:tcPr>
            <w:tcW w:w="0" w:type="auto"/>
            <w:tcBorders>
              <w:top w:val="nil"/>
              <w:left w:val="nil"/>
              <w:bottom w:val="single" w:sz="4" w:space="0" w:color="auto"/>
              <w:right w:val="single" w:sz="4" w:space="0" w:color="auto"/>
            </w:tcBorders>
            <w:shd w:val="clear" w:color="000000" w:fill="E6B8B7"/>
            <w:vAlign w:val="center"/>
            <w:hideMark/>
          </w:tcPr>
          <w:p w14:paraId="6FB8087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9.7 </w:t>
            </w:r>
          </w:p>
        </w:tc>
        <w:tc>
          <w:tcPr>
            <w:tcW w:w="0" w:type="auto"/>
            <w:tcBorders>
              <w:top w:val="nil"/>
              <w:left w:val="nil"/>
              <w:bottom w:val="single" w:sz="4" w:space="0" w:color="auto"/>
              <w:right w:val="single" w:sz="4" w:space="0" w:color="auto"/>
            </w:tcBorders>
            <w:shd w:val="clear" w:color="auto" w:fill="auto"/>
            <w:noWrap/>
            <w:vAlign w:val="center"/>
            <w:hideMark/>
          </w:tcPr>
          <w:p w14:paraId="0229DD9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0.8226 </w:t>
            </w:r>
          </w:p>
        </w:tc>
        <w:tc>
          <w:tcPr>
            <w:tcW w:w="0" w:type="auto"/>
            <w:tcBorders>
              <w:top w:val="nil"/>
              <w:left w:val="nil"/>
              <w:bottom w:val="single" w:sz="4" w:space="0" w:color="auto"/>
              <w:right w:val="single" w:sz="4" w:space="0" w:color="auto"/>
            </w:tcBorders>
            <w:shd w:val="clear" w:color="auto" w:fill="auto"/>
            <w:noWrap/>
            <w:vAlign w:val="center"/>
            <w:hideMark/>
          </w:tcPr>
          <w:p w14:paraId="1B26458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0.7972 </w:t>
            </w:r>
          </w:p>
        </w:tc>
        <w:tc>
          <w:tcPr>
            <w:tcW w:w="0" w:type="auto"/>
            <w:tcBorders>
              <w:top w:val="nil"/>
              <w:left w:val="nil"/>
              <w:bottom w:val="single" w:sz="4" w:space="0" w:color="auto"/>
              <w:right w:val="single" w:sz="4" w:space="0" w:color="auto"/>
            </w:tcBorders>
            <w:shd w:val="clear" w:color="auto" w:fill="auto"/>
            <w:noWrap/>
            <w:vAlign w:val="center"/>
            <w:hideMark/>
          </w:tcPr>
          <w:p w14:paraId="2645AF2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0.6490 </w:t>
            </w:r>
          </w:p>
        </w:tc>
      </w:tr>
      <w:tr w:rsidR="002C3ABF" w:rsidRPr="00F631FB" w14:paraId="0D395C0A"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1BFB00E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2.3 </w:t>
            </w:r>
          </w:p>
        </w:tc>
        <w:tc>
          <w:tcPr>
            <w:tcW w:w="0" w:type="auto"/>
            <w:tcBorders>
              <w:top w:val="nil"/>
              <w:left w:val="nil"/>
              <w:bottom w:val="single" w:sz="4" w:space="0" w:color="auto"/>
              <w:right w:val="single" w:sz="4" w:space="0" w:color="auto"/>
            </w:tcBorders>
            <w:shd w:val="clear" w:color="auto" w:fill="auto"/>
            <w:noWrap/>
            <w:vAlign w:val="center"/>
            <w:hideMark/>
          </w:tcPr>
          <w:p w14:paraId="075EF41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1.0210 </w:t>
            </w:r>
          </w:p>
        </w:tc>
        <w:tc>
          <w:tcPr>
            <w:tcW w:w="0" w:type="auto"/>
            <w:tcBorders>
              <w:top w:val="nil"/>
              <w:left w:val="nil"/>
              <w:bottom w:val="single" w:sz="4" w:space="0" w:color="auto"/>
              <w:right w:val="single" w:sz="4" w:space="0" w:color="auto"/>
            </w:tcBorders>
            <w:shd w:val="clear" w:color="auto" w:fill="auto"/>
            <w:noWrap/>
            <w:vAlign w:val="center"/>
            <w:hideMark/>
          </w:tcPr>
          <w:p w14:paraId="60C5E89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1.0222 </w:t>
            </w:r>
          </w:p>
        </w:tc>
        <w:tc>
          <w:tcPr>
            <w:tcW w:w="0" w:type="auto"/>
            <w:tcBorders>
              <w:top w:val="nil"/>
              <w:left w:val="nil"/>
              <w:bottom w:val="single" w:sz="4" w:space="0" w:color="auto"/>
              <w:right w:val="single" w:sz="4" w:space="0" w:color="auto"/>
            </w:tcBorders>
            <w:shd w:val="clear" w:color="auto" w:fill="auto"/>
            <w:noWrap/>
            <w:vAlign w:val="center"/>
            <w:hideMark/>
          </w:tcPr>
          <w:p w14:paraId="237906C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0.8862 </w:t>
            </w:r>
          </w:p>
        </w:tc>
        <w:tc>
          <w:tcPr>
            <w:tcW w:w="0" w:type="auto"/>
            <w:tcBorders>
              <w:top w:val="nil"/>
              <w:left w:val="nil"/>
              <w:bottom w:val="single" w:sz="4" w:space="0" w:color="auto"/>
              <w:right w:val="single" w:sz="4" w:space="0" w:color="auto"/>
            </w:tcBorders>
            <w:shd w:val="clear" w:color="000000" w:fill="E6B8B7"/>
            <w:vAlign w:val="center"/>
            <w:hideMark/>
          </w:tcPr>
          <w:p w14:paraId="7506E2C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4.8 </w:t>
            </w:r>
          </w:p>
        </w:tc>
        <w:tc>
          <w:tcPr>
            <w:tcW w:w="0" w:type="auto"/>
            <w:tcBorders>
              <w:top w:val="nil"/>
              <w:left w:val="nil"/>
              <w:bottom w:val="single" w:sz="4" w:space="0" w:color="auto"/>
              <w:right w:val="single" w:sz="4" w:space="0" w:color="auto"/>
            </w:tcBorders>
            <w:shd w:val="clear" w:color="auto" w:fill="auto"/>
            <w:noWrap/>
            <w:vAlign w:val="center"/>
            <w:hideMark/>
          </w:tcPr>
          <w:p w14:paraId="2436D33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0.8723 </w:t>
            </w:r>
          </w:p>
        </w:tc>
        <w:tc>
          <w:tcPr>
            <w:tcW w:w="0" w:type="auto"/>
            <w:tcBorders>
              <w:top w:val="nil"/>
              <w:left w:val="nil"/>
              <w:bottom w:val="single" w:sz="4" w:space="0" w:color="auto"/>
              <w:right w:val="single" w:sz="4" w:space="0" w:color="auto"/>
            </w:tcBorders>
            <w:shd w:val="clear" w:color="auto" w:fill="auto"/>
            <w:noWrap/>
            <w:vAlign w:val="center"/>
            <w:hideMark/>
          </w:tcPr>
          <w:p w14:paraId="6652E18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0.8595 </w:t>
            </w:r>
          </w:p>
        </w:tc>
        <w:tc>
          <w:tcPr>
            <w:tcW w:w="0" w:type="auto"/>
            <w:tcBorders>
              <w:top w:val="nil"/>
              <w:left w:val="nil"/>
              <w:bottom w:val="single" w:sz="4" w:space="0" w:color="auto"/>
              <w:right w:val="single" w:sz="4" w:space="0" w:color="auto"/>
            </w:tcBorders>
            <w:shd w:val="clear" w:color="auto" w:fill="auto"/>
            <w:noWrap/>
            <w:vAlign w:val="center"/>
            <w:hideMark/>
          </w:tcPr>
          <w:p w14:paraId="14A35A2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0.7240 </w:t>
            </w:r>
          </w:p>
        </w:tc>
        <w:tc>
          <w:tcPr>
            <w:tcW w:w="0" w:type="auto"/>
            <w:tcBorders>
              <w:top w:val="nil"/>
              <w:left w:val="nil"/>
              <w:bottom w:val="single" w:sz="4" w:space="0" w:color="auto"/>
              <w:right w:val="single" w:sz="4" w:space="0" w:color="auto"/>
            </w:tcBorders>
            <w:shd w:val="clear" w:color="000000" w:fill="E6B8B7"/>
            <w:noWrap/>
            <w:vAlign w:val="center"/>
            <w:hideMark/>
          </w:tcPr>
          <w:p w14:paraId="59C7518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7.3 </w:t>
            </w:r>
          </w:p>
        </w:tc>
        <w:tc>
          <w:tcPr>
            <w:tcW w:w="0" w:type="auto"/>
            <w:tcBorders>
              <w:top w:val="nil"/>
              <w:left w:val="nil"/>
              <w:bottom w:val="single" w:sz="4" w:space="0" w:color="auto"/>
              <w:right w:val="single" w:sz="4" w:space="0" w:color="auto"/>
            </w:tcBorders>
            <w:shd w:val="clear" w:color="auto" w:fill="auto"/>
            <w:noWrap/>
            <w:vAlign w:val="center"/>
            <w:hideMark/>
          </w:tcPr>
          <w:p w14:paraId="4E8F986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0.8377 </w:t>
            </w:r>
          </w:p>
        </w:tc>
        <w:tc>
          <w:tcPr>
            <w:tcW w:w="0" w:type="auto"/>
            <w:tcBorders>
              <w:top w:val="nil"/>
              <w:left w:val="nil"/>
              <w:bottom w:val="single" w:sz="4" w:space="0" w:color="auto"/>
              <w:right w:val="single" w:sz="4" w:space="0" w:color="auto"/>
            </w:tcBorders>
            <w:shd w:val="clear" w:color="auto" w:fill="auto"/>
            <w:noWrap/>
            <w:vAlign w:val="center"/>
            <w:hideMark/>
          </w:tcPr>
          <w:p w14:paraId="75D7C5D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0.8169 </w:t>
            </w:r>
          </w:p>
        </w:tc>
        <w:tc>
          <w:tcPr>
            <w:tcW w:w="0" w:type="auto"/>
            <w:tcBorders>
              <w:top w:val="nil"/>
              <w:left w:val="nil"/>
              <w:bottom w:val="single" w:sz="4" w:space="0" w:color="auto"/>
              <w:right w:val="single" w:sz="4" w:space="0" w:color="auto"/>
            </w:tcBorders>
            <w:shd w:val="clear" w:color="auto" w:fill="auto"/>
            <w:noWrap/>
            <w:vAlign w:val="center"/>
            <w:hideMark/>
          </w:tcPr>
          <w:p w14:paraId="71CDE26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0.6734 </w:t>
            </w:r>
          </w:p>
        </w:tc>
        <w:tc>
          <w:tcPr>
            <w:tcW w:w="0" w:type="auto"/>
            <w:tcBorders>
              <w:top w:val="nil"/>
              <w:left w:val="nil"/>
              <w:bottom w:val="single" w:sz="4" w:space="0" w:color="auto"/>
              <w:right w:val="single" w:sz="4" w:space="0" w:color="auto"/>
            </w:tcBorders>
            <w:shd w:val="clear" w:color="000000" w:fill="E6B8B7"/>
            <w:vAlign w:val="center"/>
            <w:hideMark/>
          </w:tcPr>
          <w:p w14:paraId="0273A23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9.8 </w:t>
            </w:r>
          </w:p>
        </w:tc>
        <w:tc>
          <w:tcPr>
            <w:tcW w:w="0" w:type="auto"/>
            <w:tcBorders>
              <w:top w:val="nil"/>
              <w:left w:val="nil"/>
              <w:bottom w:val="single" w:sz="4" w:space="0" w:color="auto"/>
              <w:right w:val="single" w:sz="4" w:space="0" w:color="auto"/>
            </w:tcBorders>
            <w:shd w:val="clear" w:color="auto" w:fill="auto"/>
            <w:noWrap/>
            <w:vAlign w:val="center"/>
            <w:hideMark/>
          </w:tcPr>
          <w:p w14:paraId="292240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0.8220 </w:t>
            </w:r>
          </w:p>
        </w:tc>
        <w:tc>
          <w:tcPr>
            <w:tcW w:w="0" w:type="auto"/>
            <w:tcBorders>
              <w:top w:val="nil"/>
              <w:left w:val="nil"/>
              <w:bottom w:val="single" w:sz="4" w:space="0" w:color="auto"/>
              <w:right w:val="single" w:sz="4" w:space="0" w:color="auto"/>
            </w:tcBorders>
            <w:shd w:val="clear" w:color="auto" w:fill="auto"/>
            <w:noWrap/>
            <w:vAlign w:val="center"/>
            <w:hideMark/>
          </w:tcPr>
          <w:p w14:paraId="220189B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0.7964 </w:t>
            </w:r>
          </w:p>
        </w:tc>
        <w:tc>
          <w:tcPr>
            <w:tcW w:w="0" w:type="auto"/>
            <w:tcBorders>
              <w:top w:val="nil"/>
              <w:left w:val="nil"/>
              <w:bottom w:val="single" w:sz="4" w:space="0" w:color="auto"/>
              <w:right w:val="single" w:sz="4" w:space="0" w:color="auto"/>
            </w:tcBorders>
            <w:shd w:val="clear" w:color="auto" w:fill="auto"/>
            <w:noWrap/>
            <w:vAlign w:val="center"/>
            <w:hideMark/>
          </w:tcPr>
          <w:p w14:paraId="300D671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0.6481 </w:t>
            </w:r>
          </w:p>
        </w:tc>
      </w:tr>
      <w:tr w:rsidR="002C3ABF" w:rsidRPr="00F631FB" w14:paraId="158A8014"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6C8CAE5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2.4 </w:t>
            </w:r>
          </w:p>
        </w:tc>
        <w:tc>
          <w:tcPr>
            <w:tcW w:w="0" w:type="auto"/>
            <w:tcBorders>
              <w:top w:val="nil"/>
              <w:left w:val="nil"/>
              <w:bottom w:val="single" w:sz="4" w:space="0" w:color="auto"/>
              <w:right w:val="single" w:sz="4" w:space="0" w:color="auto"/>
            </w:tcBorders>
            <w:shd w:val="clear" w:color="auto" w:fill="auto"/>
            <w:noWrap/>
            <w:vAlign w:val="center"/>
            <w:hideMark/>
          </w:tcPr>
          <w:p w14:paraId="6C084C9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1.0102 </w:t>
            </w:r>
          </w:p>
        </w:tc>
        <w:tc>
          <w:tcPr>
            <w:tcW w:w="0" w:type="auto"/>
            <w:tcBorders>
              <w:top w:val="nil"/>
              <w:left w:val="nil"/>
              <w:bottom w:val="single" w:sz="4" w:space="0" w:color="auto"/>
              <w:right w:val="single" w:sz="4" w:space="0" w:color="auto"/>
            </w:tcBorders>
            <w:shd w:val="clear" w:color="auto" w:fill="auto"/>
            <w:noWrap/>
            <w:vAlign w:val="center"/>
            <w:hideMark/>
          </w:tcPr>
          <w:p w14:paraId="156F1DB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1.0108 </w:t>
            </w:r>
          </w:p>
        </w:tc>
        <w:tc>
          <w:tcPr>
            <w:tcW w:w="0" w:type="auto"/>
            <w:tcBorders>
              <w:top w:val="nil"/>
              <w:left w:val="nil"/>
              <w:bottom w:val="single" w:sz="4" w:space="0" w:color="auto"/>
              <w:right w:val="single" w:sz="4" w:space="0" w:color="auto"/>
            </w:tcBorders>
            <w:shd w:val="clear" w:color="auto" w:fill="auto"/>
            <w:noWrap/>
            <w:vAlign w:val="center"/>
            <w:hideMark/>
          </w:tcPr>
          <w:p w14:paraId="62D4B0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0.8753 </w:t>
            </w:r>
          </w:p>
        </w:tc>
        <w:tc>
          <w:tcPr>
            <w:tcW w:w="0" w:type="auto"/>
            <w:tcBorders>
              <w:top w:val="nil"/>
              <w:left w:val="nil"/>
              <w:bottom w:val="single" w:sz="4" w:space="0" w:color="auto"/>
              <w:right w:val="single" w:sz="4" w:space="0" w:color="auto"/>
            </w:tcBorders>
            <w:shd w:val="clear" w:color="000000" w:fill="E6B8B7"/>
            <w:vAlign w:val="center"/>
            <w:hideMark/>
          </w:tcPr>
          <w:p w14:paraId="147A8A3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4.9 </w:t>
            </w:r>
          </w:p>
        </w:tc>
        <w:tc>
          <w:tcPr>
            <w:tcW w:w="0" w:type="auto"/>
            <w:tcBorders>
              <w:top w:val="nil"/>
              <w:left w:val="nil"/>
              <w:bottom w:val="single" w:sz="4" w:space="0" w:color="auto"/>
              <w:right w:val="single" w:sz="4" w:space="0" w:color="auto"/>
            </w:tcBorders>
            <w:shd w:val="clear" w:color="auto" w:fill="auto"/>
            <w:noWrap/>
            <w:vAlign w:val="center"/>
            <w:hideMark/>
          </w:tcPr>
          <w:p w14:paraId="3C159A0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0.8698 </w:t>
            </w:r>
          </w:p>
        </w:tc>
        <w:tc>
          <w:tcPr>
            <w:tcW w:w="0" w:type="auto"/>
            <w:tcBorders>
              <w:top w:val="nil"/>
              <w:left w:val="nil"/>
              <w:bottom w:val="single" w:sz="4" w:space="0" w:color="auto"/>
              <w:right w:val="single" w:sz="4" w:space="0" w:color="auto"/>
            </w:tcBorders>
            <w:shd w:val="clear" w:color="auto" w:fill="auto"/>
            <w:noWrap/>
            <w:vAlign w:val="center"/>
            <w:hideMark/>
          </w:tcPr>
          <w:p w14:paraId="23C2D8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0.8566 </w:t>
            </w:r>
          </w:p>
        </w:tc>
        <w:tc>
          <w:tcPr>
            <w:tcW w:w="0" w:type="auto"/>
            <w:tcBorders>
              <w:top w:val="nil"/>
              <w:left w:val="nil"/>
              <w:bottom w:val="single" w:sz="4" w:space="0" w:color="auto"/>
              <w:right w:val="single" w:sz="4" w:space="0" w:color="auto"/>
            </w:tcBorders>
            <w:shd w:val="clear" w:color="auto" w:fill="auto"/>
            <w:noWrap/>
            <w:vAlign w:val="center"/>
            <w:hideMark/>
          </w:tcPr>
          <w:p w14:paraId="0508185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0.7208 </w:t>
            </w:r>
          </w:p>
        </w:tc>
        <w:tc>
          <w:tcPr>
            <w:tcW w:w="0" w:type="auto"/>
            <w:tcBorders>
              <w:top w:val="nil"/>
              <w:left w:val="nil"/>
              <w:bottom w:val="single" w:sz="4" w:space="0" w:color="auto"/>
              <w:right w:val="single" w:sz="4" w:space="0" w:color="auto"/>
            </w:tcBorders>
            <w:shd w:val="clear" w:color="000000" w:fill="E6B8B7"/>
            <w:noWrap/>
            <w:vAlign w:val="center"/>
            <w:hideMark/>
          </w:tcPr>
          <w:p w14:paraId="229BB10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7.4 </w:t>
            </w:r>
          </w:p>
        </w:tc>
        <w:tc>
          <w:tcPr>
            <w:tcW w:w="0" w:type="auto"/>
            <w:tcBorders>
              <w:top w:val="nil"/>
              <w:left w:val="nil"/>
              <w:bottom w:val="single" w:sz="4" w:space="0" w:color="auto"/>
              <w:right w:val="single" w:sz="4" w:space="0" w:color="auto"/>
            </w:tcBorders>
            <w:shd w:val="clear" w:color="auto" w:fill="auto"/>
            <w:noWrap/>
            <w:vAlign w:val="center"/>
            <w:hideMark/>
          </w:tcPr>
          <w:p w14:paraId="49E436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0.8370 </w:t>
            </w:r>
          </w:p>
        </w:tc>
        <w:tc>
          <w:tcPr>
            <w:tcW w:w="0" w:type="auto"/>
            <w:tcBorders>
              <w:top w:val="nil"/>
              <w:left w:val="nil"/>
              <w:bottom w:val="single" w:sz="4" w:space="0" w:color="auto"/>
              <w:right w:val="single" w:sz="4" w:space="0" w:color="auto"/>
            </w:tcBorders>
            <w:shd w:val="clear" w:color="auto" w:fill="auto"/>
            <w:noWrap/>
            <w:vAlign w:val="center"/>
            <w:hideMark/>
          </w:tcPr>
          <w:p w14:paraId="531C484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0.8160 </w:t>
            </w:r>
          </w:p>
        </w:tc>
        <w:tc>
          <w:tcPr>
            <w:tcW w:w="0" w:type="auto"/>
            <w:tcBorders>
              <w:top w:val="nil"/>
              <w:left w:val="nil"/>
              <w:bottom w:val="single" w:sz="4" w:space="0" w:color="auto"/>
              <w:right w:val="single" w:sz="4" w:space="0" w:color="auto"/>
            </w:tcBorders>
            <w:shd w:val="clear" w:color="auto" w:fill="auto"/>
            <w:noWrap/>
            <w:vAlign w:val="center"/>
            <w:hideMark/>
          </w:tcPr>
          <w:p w14:paraId="7F0E14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0.6721 </w:t>
            </w:r>
          </w:p>
        </w:tc>
        <w:tc>
          <w:tcPr>
            <w:tcW w:w="0" w:type="auto"/>
            <w:tcBorders>
              <w:top w:val="nil"/>
              <w:left w:val="nil"/>
              <w:bottom w:val="single" w:sz="4" w:space="0" w:color="auto"/>
              <w:right w:val="single" w:sz="4" w:space="0" w:color="auto"/>
            </w:tcBorders>
            <w:shd w:val="clear" w:color="000000" w:fill="E6B8B7"/>
            <w:vAlign w:val="center"/>
            <w:hideMark/>
          </w:tcPr>
          <w:p w14:paraId="5A250AE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9.9 </w:t>
            </w:r>
          </w:p>
        </w:tc>
        <w:tc>
          <w:tcPr>
            <w:tcW w:w="0" w:type="auto"/>
            <w:tcBorders>
              <w:top w:val="nil"/>
              <w:left w:val="nil"/>
              <w:bottom w:val="single" w:sz="4" w:space="0" w:color="auto"/>
              <w:right w:val="single" w:sz="4" w:space="0" w:color="auto"/>
            </w:tcBorders>
            <w:shd w:val="clear" w:color="auto" w:fill="auto"/>
            <w:noWrap/>
            <w:vAlign w:val="center"/>
            <w:hideMark/>
          </w:tcPr>
          <w:p w14:paraId="5A1FE5E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0.8214 </w:t>
            </w:r>
          </w:p>
        </w:tc>
        <w:tc>
          <w:tcPr>
            <w:tcW w:w="0" w:type="auto"/>
            <w:tcBorders>
              <w:top w:val="nil"/>
              <w:left w:val="nil"/>
              <w:bottom w:val="single" w:sz="4" w:space="0" w:color="auto"/>
              <w:right w:val="single" w:sz="4" w:space="0" w:color="auto"/>
            </w:tcBorders>
            <w:shd w:val="clear" w:color="auto" w:fill="auto"/>
            <w:noWrap/>
            <w:vAlign w:val="center"/>
            <w:hideMark/>
          </w:tcPr>
          <w:p w14:paraId="14C3D2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0.7956 </w:t>
            </w:r>
          </w:p>
        </w:tc>
        <w:tc>
          <w:tcPr>
            <w:tcW w:w="0" w:type="auto"/>
            <w:tcBorders>
              <w:top w:val="nil"/>
              <w:left w:val="nil"/>
              <w:bottom w:val="single" w:sz="4" w:space="0" w:color="auto"/>
              <w:right w:val="single" w:sz="4" w:space="0" w:color="auto"/>
            </w:tcBorders>
            <w:shd w:val="clear" w:color="auto" w:fill="auto"/>
            <w:noWrap/>
            <w:vAlign w:val="center"/>
            <w:hideMark/>
          </w:tcPr>
          <w:p w14:paraId="3774C3D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0.6471 </w:t>
            </w:r>
          </w:p>
        </w:tc>
      </w:tr>
      <w:tr w:rsidR="002C3ABF" w:rsidRPr="00F631FB" w14:paraId="0057D23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6038B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2.5 </w:t>
            </w:r>
          </w:p>
        </w:tc>
        <w:tc>
          <w:tcPr>
            <w:tcW w:w="0" w:type="auto"/>
            <w:tcBorders>
              <w:top w:val="nil"/>
              <w:left w:val="nil"/>
              <w:bottom w:val="single" w:sz="4" w:space="0" w:color="auto"/>
              <w:right w:val="single" w:sz="4" w:space="0" w:color="auto"/>
            </w:tcBorders>
            <w:shd w:val="clear" w:color="auto" w:fill="auto"/>
            <w:noWrap/>
            <w:vAlign w:val="center"/>
            <w:hideMark/>
          </w:tcPr>
          <w:p w14:paraId="6F6D6A5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5395C17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332B795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0.8651 </w:t>
            </w:r>
          </w:p>
        </w:tc>
        <w:tc>
          <w:tcPr>
            <w:tcW w:w="0" w:type="auto"/>
            <w:tcBorders>
              <w:top w:val="nil"/>
              <w:left w:val="nil"/>
              <w:bottom w:val="single" w:sz="4" w:space="0" w:color="auto"/>
              <w:right w:val="single" w:sz="4" w:space="0" w:color="auto"/>
            </w:tcBorders>
            <w:shd w:val="clear" w:color="000000" w:fill="E6B8B7"/>
            <w:vAlign w:val="center"/>
            <w:hideMark/>
          </w:tcPr>
          <w:p w14:paraId="25DB2EF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5.0 </w:t>
            </w:r>
          </w:p>
        </w:tc>
        <w:tc>
          <w:tcPr>
            <w:tcW w:w="0" w:type="auto"/>
            <w:tcBorders>
              <w:top w:val="nil"/>
              <w:left w:val="nil"/>
              <w:bottom w:val="single" w:sz="4" w:space="0" w:color="auto"/>
              <w:right w:val="single" w:sz="4" w:space="0" w:color="auto"/>
            </w:tcBorders>
            <w:shd w:val="clear" w:color="auto" w:fill="auto"/>
            <w:noWrap/>
            <w:vAlign w:val="center"/>
            <w:hideMark/>
          </w:tcPr>
          <w:p w14:paraId="64A669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0.8674 </w:t>
            </w:r>
          </w:p>
        </w:tc>
        <w:tc>
          <w:tcPr>
            <w:tcW w:w="0" w:type="auto"/>
            <w:tcBorders>
              <w:top w:val="nil"/>
              <w:left w:val="nil"/>
              <w:bottom w:val="single" w:sz="4" w:space="0" w:color="auto"/>
              <w:right w:val="single" w:sz="4" w:space="0" w:color="auto"/>
            </w:tcBorders>
            <w:shd w:val="clear" w:color="auto" w:fill="auto"/>
            <w:noWrap/>
            <w:vAlign w:val="center"/>
            <w:hideMark/>
          </w:tcPr>
          <w:p w14:paraId="5F3268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0.8538 </w:t>
            </w:r>
          </w:p>
        </w:tc>
        <w:tc>
          <w:tcPr>
            <w:tcW w:w="0" w:type="auto"/>
            <w:tcBorders>
              <w:top w:val="nil"/>
              <w:left w:val="nil"/>
              <w:bottom w:val="single" w:sz="4" w:space="0" w:color="auto"/>
              <w:right w:val="single" w:sz="4" w:space="0" w:color="auto"/>
            </w:tcBorders>
            <w:shd w:val="clear" w:color="auto" w:fill="auto"/>
            <w:noWrap/>
            <w:vAlign w:val="center"/>
            <w:hideMark/>
          </w:tcPr>
          <w:p w14:paraId="2BD0600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0.7176 </w:t>
            </w:r>
          </w:p>
        </w:tc>
        <w:tc>
          <w:tcPr>
            <w:tcW w:w="0" w:type="auto"/>
            <w:tcBorders>
              <w:top w:val="nil"/>
              <w:left w:val="nil"/>
              <w:bottom w:val="single" w:sz="4" w:space="0" w:color="auto"/>
              <w:right w:val="single" w:sz="4" w:space="0" w:color="auto"/>
            </w:tcBorders>
            <w:shd w:val="clear" w:color="000000" w:fill="E6B8B7"/>
            <w:noWrap/>
            <w:vAlign w:val="center"/>
            <w:hideMark/>
          </w:tcPr>
          <w:p w14:paraId="740090F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7.5 </w:t>
            </w:r>
          </w:p>
        </w:tc>
        <w:tc>
          <w:tcPr>
            <w:tcW w:w="0" w:type="auto"/>
            <w:tcBorders>
              <w:top w:val="nil"/>
              <w:left w:val="nil"/>
              <w:bottom w:val="single" w:sz="4" w:space="0" w:color="auto"/>
              <w:right w:val="single" w:sz="4" w:space="0" w:color="auto"/>
            </w:tcBorders>
            <w:shd w:val="clear" w:color="auto" w:fill="auto"/>
            <w:noWrap/>
            <w:vAlign w:val="center"/>
            <w:hideMark/>
          </w:tcPr>
          <w:p w14:paraId="54C5EB7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0.8363 </w:t>
            </w:r>
          </w:p>
        </w:tc>
        <w:tc>
          <w:tcPr>
            <w:tcW w:w="0" w:type="auto"/>
            <w:tcBorders>
              <w:top w:val="nil"/>
              <w:left w:val="nil"/>
              <w:bottom w:val="single" w:sz="4" w:space="0" w:color="auto"/>
              <w:right w:val="single" w:sz="4" w:space="0" w:color="auto"/>
            </w:tcBorders>
            <w:shd w:val="clear" w:color="auto" w:fill="auto"/>
            <w:noWrap/>
            <w:vAlign w:val="center"/>
            <w:hideMark/>
          </w:tcPr>
          <w:p w14:paraId="47E7BD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0.8151 </w:t>
            </w:r>
          </w:p>
        </w:tc>
        <w:tc>
          <w:tcPr>
            <w:tcW w:w="0" w:type="auto"/>
            <w:tcBorders>
              <w:top w:val="nil"/>
              <w:left w:val="nil"/>
              <w:bottom w:val="single" w:sz="4" w:space="0" w:color="auto"/>
              <w:right w:val="single" w:sz="4" w:space="0" w:color="auto"/>
            </w:tcBorders>
            <w:shd w:val="clear" w:color="auto" w:fill="auto"/>
            <w:noWrap/>
            <w:vAlign w:val="center"/>
            <w:hideMark/>
          </w:tcPr>
          <w:p w14:paraId="206B2AD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0.6709 </w:t>
            </w:r>
          </w:p>
        </w:tc>
        <w:tc>
          <w:tcPr>
            <w:tcW w:w="0" w:type="auto"/>
            <w:tcBorders>
              <w:top w:val="nil"/>
              <w:left w:val="nil"/>
              <w:bottom w:val="single" w:sz="4" w:space="0" w:color="auto"/>
              <w:right w:val="single" w:sz="4" w:space="0" w:color="auto"/>
            </w:tcBorders>
            <w:shd w:val="clear" w:color="000000" w:fill="E6B8B7"/>
            <w:vAlign w:val="center"/>
            <w:hideMark/>
          </w:tcPr>
          <w:p w14:paraId="4A56468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10.0 </w:t>
            </w:r>
          </w:p>
        </w:tc>
        <w:tc>
          <w:tcPr>
            <w:tcW w:w="0" w:type="auto"/>
            <w:tcBorders>
              <w:top w:val="nil"/>
              <w:left w:val="nil"/>
              <w:bottom w:val="single" w:sz="4" w:space="0" w:color="auto"/>
              <w:right w:val="single" w:sz="4" w:space="0" w:color="auto"/>
            </w:tcBorders>
            <w:shd w:val="clear" w:color="auto" w:fill="auto"/>
            <w:noWrap/>
            <w:vAlign w:val="center"/>
            <w:hideMark/>
          </w:tcPr>
          <w:p w14:paraId="6ADB8DA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0.8208 </w:t>
            </w:r>
          </w:p>
        </w:tc>
        <w:tc>
          <w:tcPr>
            <w:tcW w:w="0" w:type="auto"/>
            <w:tcBorders>
              <w:top w:val="nil"/>
              <w:left w:val="nil"/>
              <w:bottom w:val="single" w:sz="4" w:space="0" w:color="auto"/>
              <w:right w:val="single" w:sz="4" w:space="0" w:color="auto"/>
            </w:tcBorders>
            <w:shd w:val="clear" w:color="auto" w:fill="auto"/>
            <w:noWrap/>
            <w:vAlign w:val="center"/>
            <w:hideMark/>
          </w:tcPr>
          <w:p w14:paraId="03D5B11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0.7948 </w:t>
            </w:r>
          </w:p>
        </w:tc>
        <w:tc>
          <w:tcPr>
            <w:tcW w:w="0" w:type="auto"/>
            <w:tcBorders>
              <w:top w:val="nil"/>
              <w:left w:val="nil"/>
              <w:bottom w:val="single" w:sz="4" w:space="0" w:color="auto"/>
              <w:right w:val="single" w:sz="4" w:space="0" w:color="auto"/>
            </w:tcBorders>
            <w:shd w:val="clear" w:color="auto" w:fill="auto"/>
            <w:noWrap/>
            <w:vAlign w:val="center"/>
            <w:hideMark/>
          </w:tcPr>
          <w:p w14:paraId="37F656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0.6462 </w:t>
            </w:r>
          </w:p>
        </w:tc>
      </w:tr>
      <w:tr w:rsidR="002C3ABF" w:rsidRPr="00F631FB" w14:paraId="7319FFA7" w14:textId="77777777" w:rsidTr="004A2C77">
        <w:trPr>
          <w:trHeight w:hRule="exact" w:val="284"/>
          <w:jc w:val="center"/>
        </w:trPr>
        <w:tc>
          <w:tcPr>
            <w:tcW w:w="0" w:type="auto"/>
            <w:gridSpan w:val="16"/>
            <w:tcBorders>
              <w:top w:val="single" w:sz="4" w:space="0" w:color="auto"/>
              <w:left w:val="nil"/>
              <w:bottom w:val="nil"/>
              <w:right w:val="nil"/>
            </w:tcBorders>
            <w:shd w:val="clear" w:color="auto" w:fill="auto"/>
            <w:noWrap/>
            <w:vAlign w:val="center"/>
            <w:hideMark/>
          </w:tcPr>
          <w:p w14:paraId="4428FA60" w14:textId="77777777" w:rsidR="002C3ABF" w:rsidRPr="00F631FB" w:rsidRDefault="002C3ABF" w:rsidP="004A2C77">
            <w:pPr>
              <w:widowControl/>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说明：容积率大于10时的容积率修正系数按照以下公式计算：1～2级：X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＝0.8808－0.006R；3～7级：X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＝0.8748－0.008R；8～12级：X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＝0.7412－0.0095R。</w:t>
            </w:r>
          </w:p>
        </w:tc>
      </w:tr>
    </w:tbl>
    <w:p w14:paraId="47719C88" w14:textId="77777777" w:rsidR="002C3ABF" w:rsidRPr="00F631FB" w:rsidRDefault="002C3ABF" w:rsidP="002C3ABF">
      <w:pPr>
        <w:spacing w:line="360" w:lineRule="auto"/>
        <w:rPr>
          <w:rFonts w:ascii="Arial" w:eastAsia="仿宋_GB2312" w:hAnsi="Arial" w:cs="Arial"/>
          <w:sz w:val="28"/>
          <w:szCs w:val="28"/>
        </w:rPr>
        <w:sectPr w:rsidR="002C3ABF" w:rsidRPr="00F631FB" w:rsidSect="004A2C77">
          <w:pgSz w:w="16838" w:h="11906" w:orient="landscape"/>
          <w:pgMar w:top="2041" w:right="1134" w:bottom="1134" w:left="1134" w:header="1304" w:footer="1020" w:gutter="0"/>
          <w:cols w:space="425"/>
          <w:docGrid w:type="linesAndChars" w:linePitch="326"/>
        </w:sectPr>
      </w:pPr>
    </w:p>
    <w:p w14:paraId="1C6144FD"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lastRenderedPageBreak/>
        <w:t>根据上表，可查询对应的容积率系数为</w:t>
      </w:r>
      <w:r>
        <w:rPr>
          <w:rFonts w:ascii="Arial" w:eastAsia="仿宋_GB2312" w:hAnsi="Arial" w:cs="Arial"/>
          <w:sz w:val="28"/>
          <w:szCs w:val="29"/>
        </w:rPr>
        <w:t>0.8652</w:t>
      </w:r>
      <w:r w:rsidRPr="00F631FB">
        <w:rPr>
          <w:rFonts w:ascii="Arial" w:eastAsia="仿宋_GB2312" w:hAnsi="Arial" w:cs="Arial"/>
          <w:sz w:val="28"/>
          <w:szCs w:val="29"/>
        </w:rPr>
        <w:t>。</w:t>
      </w:r>
    </w:p>
    <w:p w14:paraId="5AA04FF6"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6</w:t>
      </w:r>
      <w:r w:rsidRPr="00F631FB">
        <w:rPr>
          <w:rFonts w:ascii="Arial" w:eastAsia="仿宋_GB2312" w:hAnsi="Arial" w:cs="Arial"/>
          <w:sz w:val="28"/>
        </w:rPr>
        <w:t>）因素修正系数的确定</w:t>
      </w:r>
    </w:p>
    <w:p w14:paraId="53287718"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26DAEAE"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因素修正系数</w:t>
      </w:r>
      <w:r w:rsidRPr="00F631FB">
        <w:rPr>
          <w:rFonts w:ascii="Arial" w:eastAsia="仿宋_GB2312" w:hAnsi="Arial" w:cs="Arial"/>
          <w:sz w:val="28"/>
        </w:rPr>
        <w:t>=1</w:t>
      </w:r>
      <w:r w:rsidRPr="00F631FB">
        <w:rPr>
          <w:rFonts w:ascii="Arial" w:eastAsia="仿宋_GB2312" w:hAnsi="Arial" w:cs="Arial"/>
          <w:sz w:val="28"/>
          <w:szCs w:val="29"/>
        </w:rPr>
        <w:t>＋</w:t>
      </w:r>
      <w:r w:rsidRPr="00F631FB">
        <w:rPr>
          <w:rFonts w:ascii="Arial" w:eastAsia="仿宋_GB2312" w:hAnsi="Arial" w:cs="Arial"/>
          <w:sz w:val="28"/>
        </w:rPr>
        <w:t>∑</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p>
    <w:p w14:paraId="54D336AE"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其中</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r w:rsidRPr="00F631FB">
        <w:rPr>
          <w:rFonts w:ascii="Arial" w:eastAsia="仿宋_GB2312" w:hAnsi="Arial" w:cs="Arial"/>
          <w:sz w:val="28"/>
        </w:rPr>
        <w:t>：第</w:t>
      </w:r>
      <w:proofErr w:type="spellStart"/>
      <w:r w:rsidRPr="00F631FB">
        <w:rPr>
          <w:rFonts w:ascii="Arial" w:eastAsia="仿宋_GB2312" w:hAnsi="Arial" w:cs="Arial"/>
          <w:sz w:val="28"/>
        </w:rPr>
        <w:t>i</w:t>
      </w:r>
      <w:proofErr w:type="spellEnd"/>
      <w:r w:rsidRPr="00F631FB">
        <w:rPr>
          <w:rFonts w:ascii="Arial" w:eastAsia="仿宋_GB2312" w:hAnsi="Arial" w:cs="Arial"/>
          <w:sz w:val="28"/>
        </w:rPr>
        <w:t>种因素的修正系数</w:t>
      </w:r>
    </w:p>
    <w:p w14:paraId="45E59983"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各因素的修正系数根据影响地价的因素权重和因素总修正幅度确定。</w:t>
      </w:r>
    </w:p>
    <w:p w14:paraId="143F0A70" w14:textId="77777777" w:rsidR="00814D19" w:rsidRPr="00F631FB" w:rsidRDefault="00814D19" w:rsidP="00814D19">
      <w:pPr>
        <w:spacing w:line="360" w:lineRule="auto"/>
        <w:jc w:val="center"/>
        <w:rPr>
          <w:rFonts w:ascii="Arial" w:eastAsia="仿宋_GB2312" w:hAnsi="Arial" w:cs="Arial"/>
          <w:b/>
          <w:bCs/>
          <w:szCs w:val="24"/>
        </w:rPr>
      </w:pPr>
      <w:r w:rsidRPr="00F631FB">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814D19" w:rsidRPr="00F631FB" w14:paraId="649E0A53" w14:textId="77777777" w:rsidTr="00CE438D">
        <w:trPr>
          <w:cantSplit/>
          <w:jc w:val="center"/>
        </w:trPr>
        <w:tc>
          <w:tcPr>
            <w:tcW w:w="2324" w:type="dxa"/>
            <w:gridSpan w:val="2"/>
            <w:shd w:val="clear" w:color="auto" w:fill="auto"/>
            <w:noWrap/>
            <w:vAlign w:val="center"/>
            <w:hideMark/>
          </w:tcPr>
          <w:p w14:paraId="518027FA"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w:t>
            </w:r>
          </w:p>
        </w:tc>
        <w:tc>
          <w:tcPr>
            <w:tcW w:w="2325" w:type="dxa"/>
            <w:gridSpan w:val="2"/>
            <w:shd w:val="clear" w:color="auto" w:fill="auto"/>
            <w:noWrap/>
            <w:vAlign w:val="center"/>
            <w:hideMark/>
          </w:tcPr>
          <w:p w14:paraId="3C8A91FD"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w:t>
            </w:r>
          </w:p>
        </w:tc>
        <w:tc>
          <w:tcPr>
            <w:tcW w:w="2325" w:type="dxa"/>
            <w:gridSpan w:val="2"/>
            <w:shd w:val="clear" w:color="auto" w:fill="auto"/>
            <w:noWrap/>
            <w:vAlign w:val="center"/>
            <w:hideMark/>
          </w:tcPr>
          <w:p w14:paraId="2B0F6D87"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w:t>
            </w:r>
          </w:p>
        </w:tc>
        <w:tc>
          <w:tcPr>
            <w:tcW w:w="2325" w:type="dxa"/>
            <w:gridSpan w:val="2"/>
            <w:shd w:val="clear" w:color="auto" w:fill="auto"/>
            <w:noWrap/>
            <w:vAlign w:val="center"/>
            <w:hideMark/>
          </w:tcPr>
          <w:p w14:paraId="09E9ACFD"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工业</w:t>
            </w:r>
          </w:p>
        </w:tc>
      </w:tr>
      <w:tr w:rsidR="00814D19" w:rsidRPr="00F631FB" w14:paraId="3350F676" w14:textId="77777777" w:rsidTr="00CE438D">
        <w:trPr>
          <w:cantSplit/>
          <w:jc w:val="center"/>
        </w:trPr>
        <w:tc>
          <w:tcPr>
            <w:tcW w:w="1702" w:type="dxa"/>
            <w:shd w:val="clear" w:color="auto" w:fill="auto"/>
            <w:noWrap/>
            <w:vAlign w:val="center"/>
            <w:hideMark/>
          </w:tcPr>
          <w:p w14:paraId="1DFEF6A2"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22" w:type="dxa"/>
            <w:shd w:val="clear" w:color="auto" w:fill="auto"/>
            <w:noWrap/>
            <w:vAlign w:val="center"/>
            <w:hideMark/>
          </w:tcPr>
          <w:p w14:paraId="59486E94"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46" w:type="dxa"/>
            <w:shd w:val="clear" w:color="auto" w:fill="auto"/>
            <w:noWrap/>
            <w:vAlign w:val="center"/>
            <w:hideMark/>
          </w:tcPr>
          <w:p w14:paraId="4AC719C7"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79" w:type="dxa"/>
            <w:shd w:val="clear" w:color="auto" w:fill="auto"/>
            <w:noWrap/>
            <w:vAlign w:val="center"/>
            <w:hideMark/>
          </w:tcPr>
          <w:p w14:paraId="5334C45A"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731" w:type="dxa"/>
            <w:shd w:val="clear" w:color="auto" w:fill="auto"/>
            <w:noWrap/>
            <w:vAlign w:val="center"/>
            <w:hideMark/>
          </w:tcPr>
          <w:p w14:paraId="2A5DA177"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594" w:type="dxa"/>
            <w:shd w:val="clear" w:color="auto" w:fill="auto"/>
            <w:noWrap/>
            <w:vAlign w:val="center"/>
            <w:hideMark/>
          </w:tcPr>
          <w:p w14:paraId="650813D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74" w:type="dxa"/>
            <w:shd w:val="clear" w:color="auto" w:fill="auto"/>
            <w:noWrap/>
            <w:vAlign w:val="center"/>
            <w:hideMark/>
          </w:tcPr>
          <w:p w14:paraId="01EF09FD"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51" w:type="dxa"/>
            <w:shd w:val="clear" w:color="auto" w:fill="auto"/>
            <w:noWrap/>
            <w:vAlign w:val="center"/>
            <w:hideMark/>
          </w:tcPr>
          <w:p w14:paraId="4A5ED652"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r>
      <w:tr w:rsidR="00814D19" w:rsidRPr="00F631FB" w14:paraId="2E56B863" w14:textId="77777777" w:rsidTr="00CE438D">
        <w:trPr>
          <w:cantSplit/>
          <w:jc w:val="center"/>
        </w:trPr>
        <w:tc>
          <w:tcPr>
            <w:tcW w:w="1702" w:type="dxa"/>
            <w:shd w:val="clear" w:color="auto" w:fill="auto"/>
            <w:vAlign w:val="center"/>
            <w:hideMark/>
          </w:tcPr>
          <w:p w14:paraId="440BE236"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商业繁华程度</w:t>
            </w:r>
          </w:p>
        </w:tc>
        <w:tc>
          <w:tcPr>
            <w:tcW w:w="622" w:type="dxa"/>
            <w:shd w:val="clear" w:color="auto" w:fill="auto"/>
            <w:vAlign w:val="center"/>
            <w:hideMark/>
          </w:tcPr>
          <w:p w14:paraId="16F20730"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c>
          <w:tcPr>
            <w:tcW w:w="1646" w:type="dxa"/>
            <w:shd w:val="clear" w:color="auto" w:fill="auto"/>
            <w:vAlign w:val="center"/>
            <w:hideMark/>
          </w:tcPr>
          <w:p w14:paraId="5E0A808C"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办公集聚程度</w:t>
            </w:r>
          </w:p>
        </w:tc>
        <w:tc>
          <w:tcPr>
            <w:tcW w:w="679" w:type="dxa"/>
            <w:shd w:val="clear" w:color="auto" w:fill="auto"/>
            <w:vAlign w:val="center"/>
            <w:hideMark/>
          </w:tcPr>
          <w:p w14:paraId="53F258F8"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24%</w:t>
            </w:r>
          </w:p>
        </w:tc>
        <w:tc>
          <w:tcPr>
            <w:tcW w:w="1731" w:type="dxa"/>
            <w:shd w:val="clear" w:color="auto" w:fill="auto"/>
            <w:vAlign w:val="center"/>
            <w:hideMark/>
          </w:tcPr>
          <w:p w14:paraId="134C0155"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居住社区成熟度</w:t>
            </w:r>
          </w:p>
        </w:tc>
        <w:tc>
          <w:tcPr>
            <w:tcW w:w="594" w:type="dxa"/>
            <w:shd w:val="clear" w:color="auto" w:fill="auto"/>
            <w:vAlign w:val="center"/>
            <w:hideMark/>
          </w:tcPr>
          <w:p w14:paraId="65DBC82F"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14%</w:t>
            </w:r>
          </w:p>
        </w:tc>
        <w:tc>
          <w:tcPr>
            <w:tcW w:w="1674" w:type="dxa"/>
            <w:shd w:val="clear" w:color="auto" w:fill="auto"/>
            <w:vAlign w:val="center"/>
            <w:hideMark/>
          </w:tcPr>
          <w:p w14:paraId="3B9B96A8"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产业集聚程度</w:t>
            </w:r>
          </w:p>
        </w:tc>
        <w:tc>
          <w:tcPr>
            <w:tcW w:w="651" w:type="dxa"/>
            <w:shd w:val="clear" w:color="auto" w:fill="auto"/>
            <w:vAlign w:val="center"/>
            <w:hideMark/>
          </w:tcPr>
          <w:p w14:paraId="5AEF6DD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26%</w:t>
            </w:r>
          </w:p>
        </w:tc>
      </w:tr>
      <w:tr w:rsidR="00814D19" w:rsidRPr="00F631FB" w14:paraId="4ED4BA6A" w14:textId="77777777" w:rsidTr="00CE438D">
        <w:trPr>
          <w:cantSplit/>
          <w:jc w:val="center"/>
        </w:trPr>
        <w:tc>
          <w:tcPr>
            <w:tcW w:w="1702" w:type="dxa"/>
            <w:shd w:val="clear" w:color="auto" w:fill="auto"/>
            <w:vAlign w:val="center"/>
            <w:hideMark/>
          </w:tcPr>
          <w:p w14:paraId="4FEC8688"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22" w:type="dxa"/>
            <w:shd w:val="clear" w:color="auto" w:fill="auto"/>
            <w:vAlign w:val="center"/>
            <w:hideMark/>
          </w:tcPr>
          <w:p w14:paraId="3FF1DDB5"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25%</w:t>
            </w:r>
          </w:p>
        </w:tc>
        <w:tc>
          <w:tcPr>
            <w:tcW w:w="1646" w:type="dxa"/>
            <w:shd w:val="clear" w:color="auto" w:fill="auto"/>
            <w:vAlign w:val="center"/>
            <w:hideMark/>
          </w:tcPr>
          <w:p w14:paraId="3CD33B7A"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79" w:type="dxa"/>
            <w:shd w:val="clear" w:color="auto" w:fill="auto"/>
            <w:vAlign w:val="center"/>
            <w:hideMark/>
          </w:tcPr>
          <w:p w14:paraId="0E9D7F2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731" w:type="dxa"/>
            <w:shd w:val="clear" w:color="auto" w:fill="auto"/>
            <w:vAlign w:val="center"/>
            <w:hideMark/>
          </w:tcPr>
          <w:p w14:paraId="4B24C29B"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594" w:type="dxa"/>
            <w:shd w:val="clear" w:color="auto" w:fill="auto"/>
            <w:vAlign w:val="center"/>
            <w:hideMark/>
          </w:tcPr>
          <w:p w14:paraId="5C4A854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674" w:type="dxa"/>
            <w:shd w:val="clear" w:color="auto" w:fill="auto"/>
            <w:vAlign w:val="center"/>
            <w:hideMark/>
          </w:tcPr>
          <w:p w14:paraId="31E8E8BD"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51" w:type="dxa"/>
            <w:shd w:val="clear" w:color="auto" w:fill="auto"/>
            <w:vAlign w:val="center"/>
            <w:hideMark/>
          </w:tcPr>
          <w:p w14:paraId="4F35679C"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r>
      <w:tr w:rsidR="00814D19" w:rsidRPr="00F631FB" w14:paraId="3BA4A9AB" w14:textId="77777777" w:rsidTr="00CE438D">
        <w:trPr>
          <w:cantSplit/>
          <w:jc w:val="center"/>
        </w:trPr>
        <w:tc>
          <w:tcPr>
            <w:tcW w:w="1702" w:type="dxa"/>
            <w:shd w:val="clear" w:color="auto" w:fill="auto"/>
            <w:vAlign w:val="center"/>
            <w:hideMark/>
          </w:tcPr>
          <w:p w14:paraId="5200602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22" w:type="dxa"/>
            <w:shd w:val="clear" w:color="auto" w:fill="auto"/>
            <w:vAlign w:val="center"/>
            <w:hideMark/>
          </w:tcPr>
          <w:p w14:paraId="73769F39"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28C737BB"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79" w:type="dxa"/>
            <w:shd w:val="clear" w:color="auto" w:fill="auto"/>
            <w:vAlign w:val="center"/>
            <w:hideMark/>
          </w:tcPr>
          <w:p w14:paraId="7DB1DBAB"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731" w:type="dxa"/>
            <w:shd w:val="clear" w:color="auto" w:fill="auto"/>
            <w:vAlign w:val="center"/>
            <w:hideMark/>
          </w:tcPr>
          <w:p w14:paraId="2B452E0D"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594" w:type="dxa"/>
            <w:shd w:val="clear" w:color="auto" w:fill="auto"/>
            <w:vAlign w:val="center"/>
            <w:hideMark/>
          </w:tcPr>
          <w:p w14:paraId="1804772D"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7E5CB3A3"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51" w:type="dxa"/>
            <w:shd w:val="clear" w:color="auto" w:fill="auto"/>
            <w:vAlign w:val="center"/>
            <w:hideMark/>
          </w:tcPr>
          <w:p w14:paraId="4564808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814D19" w:rsidRPr="00F631FB" w14:paraId="2A81253C" w14:textId="77777777" w:rsidTr="00CE438D">
        <w:trPr>
          <w:cantSplit/>
          <w:jc w:val="center"/>
        </w:trPr>
        <w:tc>
          <w:tcPr>
            <w:tcW w:w="1702" w:type="dxa"/>
            <w:shd w:val="clear" w:color="auto" w:fill="auto"/>
            <w:vAlign w:val="center"/>
            <w:hideMark/>
          </w:tcPr>
          <w:p w14:paraId="370DD60B"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22" w:type="dxa"/>
            <w:shd w:val="clear" w:color="auto" w:fill="auto"/>
            <w:vAlign w:val="center"/>
            <w:hideMark/>
          </w:tcPr>
          <w:p w14:paraId="28D9446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32230109"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79" w:type="dxa"/>
            <w:shd w:val="clear" w:color="auto" w:fill="auto"/>
            <w:vAlign w:val="center"/>
            <w:hideMark/>
          </w:tcPr>
          <w:p w14:paraId="03EB7E48"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731" w:type="dxa"/>
            <w:shd w:val="clear" w:color="auto" w:fill="auto"/>
            <w:vAlign w:val="center"/>
            <w:hideMark/>
          </w:tcPr>
          <w:p w14:paraId="7C58329F"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594" w:type="dxa"/>
            <w:shd w:val="clear" w:color="auto" w:fill="auto"/>
            <w:vAlign w:val="center"/>
            <w:hideMark/>
          </w:tcPr>
          <w:p w14:paraId="5E9AECE1"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787E5BF6"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651" w:type="dxa"/>
            <w:shd w:val="clear" w:color="auto" w:fill="auto"/>
            <w:vAlign w:val="center"/>
            <w:hideMark/>
          </w:tcPr>
          <w:p w14:paraId="229ADF9C"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r>
      <w:tr w:rsidR="00814D19" w:rsidRPr="00F631FB" w14:paraId="2E53A1E4" w14:textId="77777777" w:rsidTr="00CE438D">
        <w:trPr>
          <w:cantSplit/>
          <w:jc w:val="center"/>
        </w:trPr>
        <w:tc>
          <w:tcPr>
            <w:tcW w:w="1702" w:type="dxa"/>
            <w:shd w:val="clear" w:color="auto" w:fill="auto"/>
            <w:vAlign w:val="center"/>
            <w:hideMark/>
          </w:tcPr>
          <w:p w14:paraId="377E462A"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22" w:type="dxa"/>
            <w:shd w:val="clear" w:color="auto" w:fill="auto"/>
            <w:vAlign w:val="center"/>
            <w:hideMark/>
          </w:tcPr>
          <w:p w14:paraId="02568B29"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46" w:type="dxa"/>
            <w:shd w:val="clear" w:color="auto" w:fill="auto"/>
            <w:vAlign w:val="center"/>
            <w:hideMark/>
          </w:tcPr>
          <w:p w14:paraId="4D254576"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79" w:type="dxa"/>
            <w:shd w:val="clear" w:color="auto" w:fill="auto"/>
            <w:vAlign w:val="center"/>
            <w:hideMark/>
          </w:tcPr>
          <w:p w14:paraId="29E6A819"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10CB849A"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594" w:type="dxa"/>
            <w:shd w:val="clear" w:color="auto" w:fill="auto"/>
            <w:vAlign w:val="center"/>
            <w:hideMark/>
          </w:tcPr>
          <w:p w14:paraId="6AAAC04A"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339FC780"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51" w:type="dxa"/>
            <w:shd w:val="clear" w:color="auto" w:fill="auto"/>
            <w:vAlign w:val="center"/>
            <w:hideMark/>
          </w:tcPr>
          <w:p w14:paraId="13B55391"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814D19" w:rsidRPr="00F631FB" w14:paraId="3900F0E9" w14:textId="77777777" w:rsidTr="00CE438D">
        <w:trPr>
          <w:cantSplit/>
          <w:jc w:val="center"/>
        </w:trPr>
        <w:tc>
          <w:tcPr>
            <w:tcW w:w="1702" w:type="dxa"/>
            <w:shd w:val="clear" w:color="auto" w:fill="auto"/>
            <w:vAlign w:val="center"/>
            <w:hideMark/>
          </w:tcPr>
          <w:p w14:paraId="597674DA"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22" w:type="dxa"/>
            <w:shd w:val="clear" w:color="auto" w:fill="auto"/>
            <w:vAlign w:val="center"/>
            <w:hideMark/>
          </w:tcPr>
          <w:p w14:paraId="306DC4E9"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w:t>
            </w:r>
          </w:p>
        </w:tc>
        <w:tc>
          <w:tcPr>
            <w:tcW w:w="1646" w:type="dxa"/>
            <w:shd w:val="clear" w:color="auto" w:fill="auto"/>
            <w:vAlign w:val="center"/>
            <w:hideMark/>
          </w:tcPr>
          <w:p w14:paraId="7E27DFD4"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79" w:type="dxa"/>
            <w:shd w:val="clear" w:color="auto" w:fill="auto"/>
            <w:vAlign w:val="center"/>
            <w:hideMark/>
          </w:tcPr>
          <w:p w14:paraId="5AC2C944"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7DB01C47"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594" w:type="dxa"/>
            <w:shd w:val="clear" w:color="auto" w:fill="auto"/>
            <w:vAlign w:val="center"/>
            <w:hideMark/>
          </w:tcPr>
          <w:p w14:paraId="6839C32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74" w:type="dxa"/>
            <w:shd w:val="clear" w:color="auto" w:fill="auto"/>
            <w:vAlign w:val="center"/>
            <w:hideMark/>
          </w:tcPr>
          <w:p w14:paraId="0B01B16D"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51" w:type="dxa"/>
            <w:shd w:val="clear" w:color="auto" w:fill="auto"/>
            <w:vAlign w:val="center"/>
            <w:hideMark/>
          </w:tcPr>
          <w:p w14:paraId="5B0063C9"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814D19" w:rsidRPr="00F631FB" w14:paraId="35D8521D" w14:textId="77777777" w:rsidTr="00CE438D">
        <w:trPr>
          <w:cantSplit/>
          <w:jc w:val="center"/>
        </w:trPr>
        <w:tc>
          <w:tcPr>
            <w:tcW w:w="1702" w:type="dxa"/>
            <w:shd w:val="clear" w:color="auto" w:fill="auto"/>
            <w:vAlign w:val="center"/>
            <w:hideMark/>
          </w:tcPr>
          <w:p w14:paraId="7426DAC8"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22" w:type="dxa"/>
            <w:shd w:val="clear" w:color="auto" w:fill="auto"/>
            <w:vAlign w:val="center"/>
            <w:hideMark/>
          </w:tcPr>
          <w:p w14:paraId="11A41715"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5F162DCF"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79" w:type="dxa"/>
            <w:shd w:val="clear" w:color="auto" w:fill="auto"/>
            <w:vAlign w:val="center"/>
            <w:hideMark/>
          </w:tcPr>
          <w:p w14:paraId="70E84C57"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1AC5A643"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594" w:type="dxa"/>
            <w:shd w:val="clear" w:color="auto" w:fill="auto"/>
            <w:vAlign w:val="center"/>
            <w:hideMark/>
          </w:tcPr>
          <w:p w14:paraId="2B88072C"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674" w:type="dxa"/>
            <w:shd w:val="clear" w:color="auto" w:fill="auto"/>
            <w:vAlign w:val="center"/>
            <w:hideMark/>
          </w:tcPr>
          <w:p w14:paraId="1C87EA9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51" w:type="dxa"/>
            <w:shd w:val="clear" w:color="auto" w:fill="auto"/>
            <w:vAlign w:val="center"/>
            <w:hideMark/>
          </w:tcPr>
          <w:p w14:paraId="25407BC1"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r>
      <w:tr w:rsidR="00814D19" w:rsidRPr="00F631FB" w14:paraId="6D80C69E" w14:textId="77777777" w:rsidTr="00CE438D">
        <w:trPr>
          <w:cantSplit/>
          <w:jc w:val="center"/>
        </w:trPr>
        <w:tc>
          <w:tcPr>
            <w:tcW w:w="1702" w:type="dxa"/>
            <w:shd w:val="clear" w:color="auto" w:fill="auto"/>
            <w:vAlign w:val="center"/>
            <w:hideMark/>
          </w:tcPr>
          <w:p w14:paraId="46D2E273"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22" w:type="dxa"/>
            <w:shd w:val="clear" w:color="auto" w:fill="auto"/>
            <w:vAlign w:val="center"/>
            <w:hideMark/>
          </w:tcPr>
          <w:p w14:paraId="23462D4C"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10%</w:t>
            </w:r>
          </w:p>
        </w:tc>
        <w:tc>
          <w:tcPr>
            <w:tcW w:w="1646" w:type="dxa"/>
            <w:shd w:val="clear" w:color="auto" w:fill="auto"/>
            <w:vAlign w:val="center"/>
            <w:hideMark/>
          </w:tcPr>
          <w:p w14:paraId="56447614"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79" w:type="dxa"/>
            <w:shd w:val="clear" w:color="auto" w:fill="auto"/>
            <w:vAlign w:val="center"/>
            <w:hideMark/>
          </w:tcPr>
          <w:p w14:paraId="1B72C352"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731" w:type="dxa"/>
            <w:shd w:val="clear" w:color="auto" w:fill="auto"/>
            <w:vAlign w:val="center"/>
            <w:hideMark/>
          </w:tcPr>
          <w:p w14:paraId="1CBBE367"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594" w:type="dxa"/>
            <w:shd w:val="clear" w:color="auto" w:fill="auto"/>
            <w:vAlign w:val="center"/>
            <w:hideMark/>
          </w:tcPr>
          <w:p w14:paraId="6F0FAC40"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c>
          <w:tcPr>
            <w:tcW w:w="1674" w:type="dxa"/>
            <w:shd w:val="clear" w:color="auto" w:fill="auto"/>
            <w:vAlign w:val="center"/>
            <w:hideMark/>
          </w:tcPr>
          <w:p w14:paraId="474FF82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环境状况</w:t>
            </w:r>
          </w:p>
        </w:tc>
        <w:tc>
          <w:tcPr>
            <w:tcW w:w="651" w:type="dxa"/>
            <w:shd w:val="clear" w:color="auto" w:fill="auto"/>
            <w:vAlign w:val="center"/>
            <w:hideMark/>
          </w:tcPr>
          <w:p w14:paraId="61F0C9F6"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814D19" w:rsidRPr="00F631FB" w14:paraId="290E2510" w14:textId="77777777" w:rsidTr="00CE438D">
        <w:trPr>
          <w:cantSplit/>
          <w:jc w:val="center"/>
        </w:trPr>
        <w:tc>
          <w:tcPr>
            <w:tcW w:w="1702" w:type="dxa"/>
            <w:shd w:val="clear" w:color="auto" w:fill="auto"/>
            <w:vAlign w:val="center"/>
            <w:hideMark/>
          </w:tcPr>
          <w:p w14:paraId="00509CF4"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22" w:type="dxa"/>
            <w:shd w:val="clear" w:color="auto" w:fill="auto"/>
            <w:vAlign w:val="center"/>
            <w:hideMark/>
          </w:tcPr>
          <w:p w14:paraId="2FA1F25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646" w:type="dxa"/>
            <w:shd w:val="clear" w:color="auto" w:fill="auto"/>
            <w:vAlign w:val="center"/>
            <w:hideMark/>
          </w:tcPr>
          <w:p w14:paraId="72DBBCB0"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79" w:type="dxa"/>
            <w:shd w:val="clear" w:color="auto" w:fill="auto"/>
            <w:vAlign w:val="center"/>
            <w:hideMark/>
          </w:tcPr>
          <w:p w14:paraId="72E2B188"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7DC1A983"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与区域中心的接近程度</w:t>
            </w:r>
          </w:p>
        </w:tc>
        <w:tc>
          <w:tcPr>
            <w:tcW w:w="594" w:type="dxa"/>
            <w:shd w:val="clear" w:color="auto" w:fill="auto"/>
            <w:vAlign w:val="center"/>
            <w:hideMark/>
          </w:tcPr>
          <w:p w14:paraId="0990F137"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188290B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c>
          <w:tcPr>
            <w:tcW w:w="651" w:type="dxa"/>
            <w:shd w:val="clear" w:color="auto" w:fill="auto"/>
            <w:vAlign w:val="center"/>
            <w:hideMark/>
          </w:tcPr>
          <w:p w14:paraId="63F7809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r>
    </w:tbl>
    <w:p w14:paraId="40A0BB2A" w14:textId="344685F5" w:rsidR="007A3D09" w:rsidRDefault="007A3D09" w:rsidP="00814D19">
      <w:pPr>
        <w:spacing w:line="480" w:lineRule="auto"/>
        <w:ind w:firstLineChars="200" w:firstLine="560"/>
        <w:rPr>
          <w:rFonts w:ascii="Arial" w:eastAsia="仿宋_GB2312" w:hAnsi="Arial" w:cs="Arial"/>
          <w:sz w:val="28"/>
          <w:szCs w:val="28"/>
        </w:rPr>
      </w:pPr>
      <w:r>
        <w:rPr>
          <w:rFonts w:ascii="Arial" w:eastAsia="仿宋_GB2312" w:hAnsi="Arial" w:cs="Arial" w:hint="eastAsia"/>
          <w:sz w:val="28"/>
          <w:szCs w:val="28"/>
        </w:rPr>
        <w:t>（转下页）</w:t>
      </w:r>
    </w:p>
    <w:p w14:paraId="6B5A4BEB" w14:textId="77777777" w:rsidR="007A3D09" w:rsidRDefault="007A3D09" w:rsidP="00814D19">
      <w:pPr>
        <w:spacing w:line="480" w:lineRule="auto"/>
        <w:ind w:firstLineChars="200" w:firstLine="560"/>
        <w:rPr>
          <w:rFonts w:ascii="Arial" w:eastAsia="仿宋_GB2312" w:hAnsi="Arial" w:cs="Arial"/>
          <w:sz w:val="28"/>
          <w:szCs w:val="28"/>
        </w:rPr>
      </w:pPr>
      <w:r>
        <w:rPr>
          <w:rFonts w:ascii="Arial" w:eastAsia="仿宋_GB2312" w:hAnsi="Arial" w:cs="Arial"/>
          <w:sz w:val="28"/>
          <w:szCs w:val="28"/>
        </w:rPr>
        <w:br w:type="page"/>
      </w:r>
    </w:p>
    <w:p w14:paraId="09B41C3D" w14:textId="29F65CFE" w:rsidR="002C3ABF" w:rsidRPr="00F631FB" w:rsidRDefault="00814D19" w:rsidP="00814D19">
      <w:pPr>
        <w:spacing w:line="480" w:lineRule="auto"/>
        <w:ind w:firstLineChars="200" w:firstLine="560"/>
        <w:rPr>
          <w:rFonts w:ascii="Arial" w:eastAsia="仿宋_GB2312" w:hAnsi="Arial" w:cs="Arial"/>
          <w:sz w:val="21"/>
          <w:szCs w:val="21"/>
        </w:rPr>
      </w:pPr>
      <w:r w:rsidRPr="00F631FB">
        <w:rPr>
          <w:rFonts w:ascii="Arial" w:eastAsia="仿宋_GB2312" w:hAnsi="Arial" w:cs="Arial"/>
          <w:sz w:val="28"/>
          <w:szCs w:val="28"/>
        </w:rPr>
        <w:lastRenderedPageBreak/>
        <w:t>估价对象位于</w:t>
      </w:r>
      <w:r>
        <w:rPr>
          <w:rFonts w:ascii="Arial" w:eastAsia="仿宋_GB2312" w:hAnsi="Arial" w:cs="Arial" w:hint="eastAsia"/>
          <w:sz w:val="28"/>
          <w:szCs w:val="28"/>
        </w:rPr>
        <w:t>居住类二级</w:t>
      </w:r>
      <w:r w:rsidRPr="00F631FB">
        <w:rPr>
          <w:rFonts w:ascii="Arial" w:eastAsia="仿宋_GB2312" w:hAnsi="Arial" w:cs="Arial"/>
          <w:sz w:val="28"/>
          <w:szCs w:val="28"/>
        </w:rPr>
        <w:t>地价区，该级别《区片基准地价因素总修正幅度表》如下：</w:t>
      </w:r>
    </w:p>
    <w:tbl>
      <w:tblPr>
        <w:tblW w:w="9666" w:type="dxa"/>
        <w:jc w:val="center"/>
        <w:tblLook w:val="04A0" w:firstRow="1" w:lastRow="0" w:firstColumn="1" w:lastColumn="0" w:noHBand="0" w:noVBand="1"/>
      </w:tblPr>
      <w:tblGrid>
        <w:gridCol w:w="678"/>
        <w:gridCol w:w="1018"/>
        <w:gridCol w:w="979"/>
        <w:gridCol w:w="864"/>
        <w:gridCol w:w="1276"/>
        <w:gridCol w:w="1134"/>
        <w:gridCol w:w="1417"/>
        <w:gridCol w:w="1230"/>
        <w:gridCol w:w="1070"/>
      </w:tblGrid>
      <w:tr w:rsidR="00814D19" w:rsidRPr="002C7FBA" w14:paraId="44812D0F" w14:textId="77777777" w:rsidTr="00CD340C">
        <w:trPr>
          <w:trHeight w:val="20"/>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D4825" w14:textId="77777777" w:rsidR="00814D19" w:rsidRPr="002C7FBA" w:rsidRDefault="00814D19" w:rsidP="00CD340C">
            <w:pPr>
              <w:widowControl/>
              <w:adjustRightInd/>
              <w:spacing w:line="240" w:lineRule="auto"/>
              <w:textAlignment w:val="auto"/>
              <w:rPr>
                <w:rFonts w:ascii="Arial" w:eastAsia="仿宋_GB2312" w:hAnsi="Arial" w:cs="Arial"/>
                <w:b/>
                <w:bCs/>
                <w:color w:val="000000"/>
                <w:sz w:val="18"/>
                <w:szCs w:val="18"/>
              </w:rPr>
            </w:pPr>
            <w:r w:rsidRPr="00814D19">
              <w:rPr>
                <w:rFonts w:ascii="Arial" w:eastAsia="仿宋_GB2312" w:hAnsi="Arial" w:cs="Arial"/>
                <w:sz w:val="18"/>
                <w:szCs w:val="24"/>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A59419"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商业</w:t>
            </w:r>
          </w:p>
        </w:tc>
        <w:tc>
          <w:tcPr>
            <w:tcW w:w="21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2F690F"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办公</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DE4674"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居住</w:t>
            </w:r>
          </w:p>
        </w:tc>
        <w:tc>
          <w:tcPr>
            <w:tcW w:w="23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41C076"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工业</w:t>
            </w:r>
          </w:p>
        </w:tc>
      </w:tr>
      <w:tr w:rsidR="00814D19" w:rsidRPr="002C7FBA" w14:paraId="437C8652"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2AAA6926" w14:textId="77777777" w:rsidR="00814D19" w:rsidRPr="002C7FBA" w:rsidRDefault="00814D19" w:rsidP="00CD340C">
            <w:pPr>
              <w:widowControl/>
              <w:spacing w:line="240" w:lineRule="auto"/>
              <w:rPr>
                <w:rFonts w:ascii="Arial" w:eastAsia="仿宋_GB2312" w:hAnsi="Arial" w:cs="Arial"/>
                <w:b/>
                <w:bCs/>
                <w:color w:val="000000"/>
                <w:sz w:val="18"/>
                <w:szCs w:val="18"/>
              </w:rPr>
            </w:pPr>
          </w:p>
        </w:tc>
        <w:tc>
          <w:tcPr>
            <w:tcW w:w="1018" w:type="dxa"/>
            <w:tcBorders>
              <w:top w:val="nil"/>
              <w:left w:val="nil"/>
              <w:bottom w:val="single" w:sz="4" w:space="0" w:color="auto"/>
              <w:right w:val="single" w:sz="4" w:space="0" w:color="auto"/>
            </w:tcBorders>
            <w:shd w:val="clear" w:color="auto" w:fill="auto"/>
            <w:noWrap/>
            <w:vAlign w:val="center"/>
            <w:hideMark/>
          </w:tcPr>
          <w:p w14:paraId="6690A255"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区片编号</w:t>
            </w:r>
          </w:p>
        </w:tc>
        <w:tc>
          <w:tcPr>
            <w:tcW w:w="979" w:type="dxa"/>
            <w:tcBorders>
              <w:top w:val="nil"/>
              <w:left w:val="nil"/>
              <w:bottom w:val="single" w:sz="4" w:space="0" w:color="auto"/>
              <w:right w:val="single" w:sz="4" w:space="0" w:color="auto"/>
            </w:tcBorders>
            <w:shd w:val="clear" w:color="auto" w:fill="auto"/>
            <w:noWrap/>
            <w:vAlign w:val="center"/>
            <w:hideMark/>
          </w:tcPr>
          <w:p w14:paraId="55B07450"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修正幅度</w:t>
            </w:r>
          </w:p>
        </w:tc>
        <w:tc>
          <w:tcPr>
            <w:tcW w:w="864" w:type="dxa"/>
            <w:tcBorders>
              <w:top w:val="nil"/>
              <w:left w:val="nil"/>
              <w:bottom w:val="single" w:sz="4" w:space="0" w:color="auto"/>
              <w:right w:val="single" w:sz="4" w:space="0" w:color="auto"/>
            </w:tcBorders>
            <w:shd w:val="clear" w:color="auto" w:fill="auto"/>
            <w:noWrap/>
            <w:vAlign w:val="center"/>
            <w:hideMark/>
          </w:tcPr>
          <w:p w14:paraId="6D6B0E4E"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区片编号</w:t>
            </w:r>
          </w:p>
        </w:tc>
        <w:tc>
          <w:tcPr>
            <w:tcW w:w="1276" w:type="dxa"/>
            <w:tcBorders>
              <w:top w:val="nil"/>
              <w:left w:val="nil"/>
              <w:bottom w:val="single" w:sz="4" w:space="0" w:color="auto"/>
              <w:right w:val="single" w:sz="4" w:space="0" w:color="auto"/>
            </w:tcBorders>
            <w:shd w:val="clear" w:color="auto" w:fill="auto"/>
            <w:noWrap/>
            <w:vAlign w:val="center"/>
            <w:hideMark/>
          </w:tcPr>
          <w:p w14:paraId="3F10C018"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修正幅度</w:t>
            </w:r>
          </w:p>
        </w:tc>
        <w:tc>
          <w:tcPr>
            <w:tcW w:w="1134" w:type="dxa"/>
            <w:tcBorders>
              <w:top w:val="nil"/>
              <w:left w:val="nil"/>
              <w:bottom w:val="single" w:sz="4" w:space="0" w:color="auto"/>
              <w:right w:val="single" w:sz="4" w:space="0" w:color="auto"/>
            </w:tcBorders>
            <w:shd w:val="clear" w:color="auto" w:fill="auto"/>
            <w:noWrap/>
            <w:vAlign w:val="center"/>
            <w:hideMark/>
          </w:tcPr>
          <w:p w14:paraId="00A63901"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区片编号</w:t>
            </w:r>
          </w:p>
        </w:tc>
        <w:tc>
          <w:tcPr>
            <w:tcW w:w="1417" w:type="dxa"/>
            <w:tcBorders>
              <w:top w:val="nil"/>
              <w:left w:val="nil"/>
              <w:bottom w:val="single" w:sz="4" w:space="0" w:color="auto"/>
              <w:right w:val="single" w:sz="4" w:space="0" w:color="auto"/>
            </w:tcBorders>
            <w:shd w:val="clear" w:color="auto" w:fill="auto"/>
            <w:noWrap/>
            <w:vAlign w:val="center"/>
            <w:hideMark/>
          </w:tcPr>
          <w:p w14:paraId="03E59E81"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修正幅度</w:t>
            </w:r>
          </w:p>
        </w:tc>
        <w:tc>
          <w:tcPr>
            <w:tcW w:w="1230" w:type="dxa"/>
            <w:tcBorders>
              <w:top w:val="nil"/>
              <w:left w:val="nil"/>
              <w:bottom w:val="single" w:sz="4" w:space="0" w:color="auto"/>
              <w:right w:val="single" w:sz="4" w:space="0" w:color="auto"/>
            </w:tcBorders>
            <w:shd w:val="clear" w:color="auto" w:fill="auto"/>
            <w:noWrap/>
            <w:vAlign w:val="center"/>
            <w:hideMark/>
          </w:tcPr>
          <w:p w14:paraId="1AFE64C1"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14:paraId="2C6BED54"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修正幅度</w:t>
            </w:r>
          </w:p>
        </w:tc>
      </w:tr>
      <w:tr w:rsidR="00814D19" w:rsidRPr="002C7FBA" w14:paraId="22F3D1E2" w14:textId="77777777" w:rsidTr="00CD340C">
        <w:trPr>
          <w:trHeight w:val="20"/>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39CEF8" w14:textId="77777777" w:rsidR="00814D19" w:rsidRPr="002C7FBA" w:rsidRDefault="00814D19" w:rsidP="00CD340C">
            <w:pPr>
              <w:widowControl/>
              <w:spacing w:line="240" w:lineRule="auto"/>
              <w:jc w:val="center"/>
              <w:rPr>
                <w:rFonts w:ascii="Arial" w:eastAsia="仿宋_GB2312" w:hAnsi="Arial" w:cs="Arial"/>
                <w:color w:val="000000"/>
                <w:sz w:val="18"/>
                <w:szCs w:val="18"/>
              </w:rPr>
            </w:pPr>
            <w:r w:rsidRPr="002C7FBA">
              <w:rPr>
                <w:rFonts w:ascii="Arial" w:eastAsia="仿宋_GB2312" w:hAnsi="Arial" w:cs="Arial"/>
                <w:color w:val="000000"/>
                <w:sz w:val="18"/>
                <w:szCs w:val="18"/>
              </w:rPr>
              <w:t>二级</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13C5D3B7"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2757E23B"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±8.9</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718EC799"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D8C3471"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７．３％</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6C49044"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DDF69E7"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８．２％</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0EEE9DA9"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—01</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73230E98"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r>
      <w:tr w:rsidR="00814D19" w:rsidRPr="002C7FBA" w14:paraId="68EEE1A9"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7EC79DE5"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B014F61"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—02</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0C4F1961"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±8.9</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518D493F"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3FD9C4"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７．３％</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09212EA"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EC6543"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８．２％</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5DF59567"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—02</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317176FF"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r>
      <w:tr w:rsidR="00814D19" w:rsidRPr="002C7FBA" w14:paraId="35521FFA"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2F54061C"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57B215C"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—03</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1FBBA150"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±6.1</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7C283A33"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E4DA2F3"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７．１％</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37117D2"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4ABC16F"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９．６％</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5C2899C3"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—03</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1C9FB0E6"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r>
      <w:tr w:rsidR="00814D19" w:rsidRPr="002C7FBA" w14:paraId="0AF5EB87"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2AA18B0B"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125FFAF1"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—04</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072AB025"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±6.9</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0BB41E96"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8061B3D"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６．５％</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4FB639"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60E71FD"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６．６％</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6337C31C"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—04</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6D44FEF5"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r>
      <w:tr w:rsidR="00814D19" w:rsidRPr="002C7FBA" w14:paraId="6C3AE6C3"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17594A86"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578CBE29"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—05</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4D680FAC"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±10.0</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2C2E1F17"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06B7486"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６．５％</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61F0E0"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962A40F"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７．０％</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283C9AEF"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—05</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3810813E"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r>
      <w:tr w:rsidR="00814D19" w:rsidRPr="002C7FBA" w14:paraId="11E8DC82"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2AB3AC5F"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9E870C8"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—06</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753B924D"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±9.8</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09689886"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CB00C99"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８．９％</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DFFABC"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3A2DE22"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８．９％</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3A307E0B"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—06</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71602E9B"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r>
      <w:tr w:rsidR="00814D19" w:rsidRPr="002C7FBA" w14:paraId="61B474ED"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2D6025CB"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5C96A9EC"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—07</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1B01A006"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±7.0</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2864BF21"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C050A43"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９．３％</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8678BCD"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76AFAAF"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９．６％</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4E1FE2CA"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—07</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384C49B5"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r>
      <w:tr w:rsidR="00814D19" w:rsidRPr="002C7FBA" w14:paraId="5535A563"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62F68F92"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27EECE53"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—08</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0F6E0A6A"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±9.5</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0B924A32"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63510CC"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CD2112A"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1E954CB"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4F66D619"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37305B91"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06DE3081"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0616AD65"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2F06BAC8"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—09</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30386240"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±7.4</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7E1DF1AF"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DCDCEDE"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９．９％</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860413"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F57162F"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6AFAD546"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33D4D438"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6833DF88"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14F77545"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745A9894"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—10</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529C4EAA"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±9.9</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5182B4FC"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E661099"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７．６％</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978A62"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CA4B268"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８．７％</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055D33B3"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63950D80"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60DD5AD4"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29136429"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67F6471E"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6E133C03"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±9.8</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72F2316D"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05F29FE"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８．５％</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DAD7CD"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F95CE34"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８．２％</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31148F1D"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7CC30680"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67A4CBB3"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26F25A73"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3A84A2AD"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—12</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0D61A9D5"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±6.6</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76BD01D4"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FC1DB9"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６．４％</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0D17DA"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B58D145"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６．５％</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4961446B"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338A9C8E"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2C550467"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3827833F"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5EE2CCF8"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—13</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3DDE3211"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±8.0</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10338634"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3B02C12"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９．８％</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976457"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2F1211E"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９．８％</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179048A1"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153EFBF8"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7B13A8DC"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5496BCCE"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35D61F6D"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—14</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72806459"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±9.9</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42969CAC"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7055385"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９．８％</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61D169"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DAB768C"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９．１％</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45EFA4B0"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158DC6E3"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5D7D92DF"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3C41FB2E"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A4DE5E8"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—15</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2979D916"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±8.9</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4289F8BC"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21812AC"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９．７％</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0912A2D"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C0BC415"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７．０％</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7A6E3B42"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71E446D0"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58C34295"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357851D9"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63E8CDB1"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—16</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7527F3A9"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±8.9</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18BB9DF9"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0A80B6E"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CB8114"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F23E1DE"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８．１％</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6E9CB007"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0C19E718"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5C463D47"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55DE372D"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8F7AC83"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979" w:type="dxa"/>
            <w:tcBorders>
              <w:top w:val="single" w:sz="4" w:space="0" w:color="auto"/>
              <w:left w:val="nil"/>
              <w:bottom w:val="single" w:sz="4" w:space="0" w:color="auto"/>
              <w:right w:val="nil"/>
            </w:tcBorders>
            <w:shd w:val="clear" w:color="auto" w:fill="auto"/>
            <w:noWrap/>
            <w:vAlign w:val="center"/>
            <w:hideMark/>
          </w:tcPr>
          <w:p w14:paraId="60A1FE65" w14:textId="77777777" w:rsidR="00814D19" w:rsidRPr="00814D19" w:rsidRDefault="00814D19" w:rsidP="00CD340C">
            <w:pPr>
              <w:widowControl/>
              <w:adjustRightInd/>
              <w:spacing w:line="240" w:lineRule="auto"/>
              <w:ind w:firstLineChars="100" w:firstLine="180"/>
              <w:textAlignment w:val="auto"/>
              <w:rPr>
                <w:rFonts w:ascii="Arial" w:eastAsia="仿宋_GB2312" w:hAnsi="Arial" w:cs="Arial"/>
                <w:sz w:val="18"/>
                <w:szCs w:val="24"/>
              </w:rPr>
            </w:pP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95C9B"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9528013"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９．６％</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D08239C"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C4ACED3"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９．３％</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2CED1C24"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1F5D605B"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75523AB0"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0DA9ABCE"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130BD9A"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979" w:type="dxa"/>
            <w:tcBorders>
              <w:top w:val="single" w:sz="4" w:space="0" w:color="auto"/>
              <w:left w:val="nil"/>
              <w:bottom w:val="single" w:sz="4" w:space="0" w:color="auto"/>
              <w:right w:val="nil"/>
            </w:tcBorders>
            <w:shd w:val="clear" w:color="auto" w:fill="auto"/>
            <w:noWrap/>
            <w:vAlign w:val="center"/>
            <w:hideMark/>
          </w:tcPr>
          <w:p w14:paraId="05E68687" w14:textId="77777777" w:rsidR="00814D19" w:rsidRPr="00814D19" w:rsidRDefault="00814D19" w:rsidP="00CD340C">
            <w:pPr>
              <w:widowControl/>
              <w:adjustRightInd/>
              <w:spacing w:line="240" w:lineRule="auto"/>
              <w:ind w:firstLineChars="100" w:firstLine="180"/>
              <w:textAlignment w:val="auto"/>
              <w:rPr>
                <w:rFonts w:ascii="Arial" w:eastAsia="仿宋_GB2312" w:hAnsi="Arial" w:cs="Arial"/>
                <w:sz w:val="18"/>
                <w:szCs w:val="24"/>
              </w:rPr>
            </w:pP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3AAC1"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87A936B"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７．６％</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1763988"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F89B8BA"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９．２％</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51807264"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47B13BDC"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6A66FD72" w14:textId="77777777" w:rsidTr="00CD340C">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6EA274FC" w14:textId="77777777" w:rsidR="00814D19" w:rsidRPr="002C7FBA" w:rsidRDefault="00814D19" w:rsidP="00CD340C">
            <w:pPr>
              <w:widowControl/>
              <w:spacing w:line="240" w:lineRule="auto"/>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696EDBE9"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979" w:type="dxa"/>
            <w:tcBorders>
              <w:top w:val="single" w:sz="4" w:space="0" w:color="auto"/>
              <w:left w:val="nil"/>
              <w:bottom w:val="single" w:sz="4" w:space="0" w:color="auto"/>
              <w:right w:val="nil"/>
            </w:tcBorders>
            <w:shd w:val="clear" w:color="auto" w:fill="auto"/>
            <w:noWrap/>
            <w:vAlign w:val="center"/>
            <w:hideMark/>
          </w:tcPr>
          <w:p w14:paraId="5CF756EE" w14:textId="77777777" w:rsidR="00814D19" w:rsidRPr="00814D19" w:rsidRDefault="00814D19" w:rsidP="00CD340C">
            <w:pPr>
              <w:widowControl/>
              <w:adjustRightInd/>
              <w:spacing w:line="240" w:lineRule="auto"/>
              <w:ind w:firstLineChars="100" w:firstLine="180"/>
              <w:textAlignment w:val="auto"/>
              <w:rPr>
                <w:rFonts w:ascii="Arial" w:eastAsia="仿宋_GB2312" w:hAnsi="Arial" w:cs="Arial"/>
                <w:sz w:val="18"/>
                <w:szCs w:val="24"/>
              </w:rPr>
            </w:pP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EC7C6"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2D2AC33"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７．６％</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725265A"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73D0E0F"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９．２％</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4C51143D"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5D824A3D" w14:textId="77777777" w:rsidR="00814D19" w:rsidRPr="00814D19" w:rsidRDefault="00814D19" w:rsidP="00CD340C">
            <w:pPr>
              <w:widowControl/>
              <w:adjustRightInd/>
              <w:spacing w:line="240" w:lineRule="auto"/>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bl>
    <w:p w14:paraId="41922607" w14:textId="77777777" w:rsidR="007A3D09" w:rsidRDefault="007A3D09" w:rsidP="007A3D09">
      <w:pPr>
        <w:spacing w:line="480" w:lineRule="auto"/>
        <w:ind w:firstLineChars="200" w:firstLine="560"/>
        <w:rPr>
          <w:rFonts w:ascii="Arial" w:eastAsia="仿宋_GB2312" w:hAnsi="Arial" w:cs="Arial"/>
          <w:sz w:val="28"/>
          <w:szCs w:val="28"/>
        </w:rPr>
      </w:pPr>
      <w:r>
        <w:rPr>
          <w:rFonts w:ascii="Arial" w:eastAsia="仿宋_GB2312" w:hAnsi="Arial" w:cs="Arial" w:hint="eastAsia"/>
          <w:sz w:val="28"/>
          <w:szCs w:val="28"/>
        </w:rPr>
        <w:t>（转下页）</w:t>
      </w:r>
    </w:p>
    <w:p w14:paraId="1799B656" w14:textId="77777777" w:rsidR="007A3D09" w:rsidRDefault="007A3D09" w:rsidP="007A3D09">
      <w:pPr>
        <w:spacing w:line="360" w:lineRule="auto"/>
        <w:rPr>
          <w:rFonts w:ascii="Arial" w:eastAsia="仿宋_GB2312" w:hAnsi="Arial" w:cs="Arial"/>
          <w:b/>
          <w:bCs/>
          <w:szCs w:val="24"/>
        </w:rPr>
      </w:pPr>
      <w:r>
        <w:rPr>
          <w:rFonts w:ascii="Arial" w:eastAsia="仿宋_GB2312" w:hAnsi="Arial" w:cs="Arial"/>
          <w:b/>
          <w:bCs/>
          <w:szCs w:val="24"/>
        </w:rPr>
        <w:br w:type="page"/>
      </w:r>
    </w:p>
    <w:p w14:paraId="37C7A57F" w14:textId="0C9051AB" w:rsidR="00814D19" w:rsidRPr="00F631FB" w:rsidRDefault="00814D19" w:rsidP="00814D19">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1"/>
        <w:gridCol w:w="1600"/>
        <w:gridCol w:w="1402"/>
        <w:gridCol w:w="1391"/>
        <w:gridCol w:w="1419"/>
        <w:gridCol w:w="1495"/>
      </w:tblGrid>
      <w:tr w:rsidR="00CD340C" w:rsidRPr="00F631FB" w14:paraId="257270DE" w14:textId="77777777" w:rsidTr="00CD340C">
        <w:trPr>
          <w:trHeight w:val="20"/>
          <w:jc w:val="center"/>
        </w:trPr>
        <w:tc>
          <w:tcPr>
            <w:tcW w:w="1066" w:type="pct"/>
            <w:tcBorders>
              <w:tl2br w:val="single" w:sz="8" w:space="0" w:color="auto"/>
            </w:tcBorders>
            <w:vAlign w:val="center"/>
          </w:tcPr>
          <w:p w14:paraId="0124BCF3" w14:textId="77777777" w:rsidR="00814D19" w:rsidRPr="00814D19" w:rsidRDefault="00814D19" w:rsidP="00814D19">
            <w:pPr>
              <w:widowControl/>
              <w:adjustRightInd/>
              <w:spacing w:line="240" w:lineRule="auto"/>
              <w:jc w:val="right"/>
              <w:textAlignment w:val="auto"/>
              <w:rPr>
                <w:rFonts w:ascii="Arial" w:eastAsia="仿宋_GB2312" w:hAnsi="Arial" w:cs="Arial"/>
                <w:sz w:val="18"/>
                <w:szCs w:val="18"/>
              </w:rPr>
            </w:pPr>
            <w:r w:rsidRPr="00814D19">
              <w:rPr>
                <w:rFonts w:ascii="Arial" w:eastAsia="仿宋_GB2312" w:hAnsi="Arial" w:cs="Arial"/>
                <w:sz w:val="18"/>
                <w:szCs w:val="18"/>
              </w:rPr>
              <w:t>等级</w:t>
            </w:r>
          </w:p>
          <w:p w14:paraId="79717883" w14:textId="77777777" w:rsidR="00814D19" w:rsidRPr="00814D19" w:rsidRDefault="00814D19" w:rsidP="00814D19">
            <w:pPr>
              <w:widowControl/>
              <w:adjustRightInd/>
              <w:spacing w:line="240" w:lineRule="auto"/>
              <w:textAlignment w:val="auto"/>
              <w:rPr>
                <w:rFonts w:ascii="Arial" w:eastAsia="仿宋_GB2312" w:hAnsi="Arial" w:cs="Arial"/>
                <w:sz w:val="18"/>
                <w:szCs w:val="18"/>
              </w:rPr>
            </w:pPr>
            <w:r w:rsidRPr="00814D19">
              <w:rPr>
                <w:rFonts w:ascii="Arial" w:eastAsia="仿宋_GB2312" w:hAnsi="Arial" w:cs="Arial"/>
                <w:sz w:val="18"/>
                <w:szCs w:val="18"/>
              </w:rPr>
              <w:t>影响因素</w:t>
            </w:r>
          </w:p>
        </w:tc>
        <w:tc>
          <w:tcPr>
            <w:tcW w:w="861" w:type="pct"/>
            <w:vAlign w:val="center"/>
          </w:tcPr>
          <w:p w14:paraId="11292950"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好</w:t>
            </w:r>
          </w:p>
        </w:tc>
        <w:tc>
          <w:tcPr>
            <w:tcW w:w="755" w:type="pct"/>
            <w:vAlign w:val="center"/>
          </w:tcPr>
          <w:p w14:paraId="73229A7B"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较好</w:t>
            </w:r>
          </w:p>
        </w:tc>
        <w:tc>
          <w:tcPr>
            <w:tcW w:w="749" w:type="pct"/>
            <w:vAlign w:val="center"/>
          </w:tcPr>
          <w:p w14:paraId="118D5846"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一般</w:t>
            </w:r>
          </w:p>
        </w:tc>
        <w:tc>
          <w:tcPr>
            <w:tcW w:w="764" w:type="pct"/>
            <w:vAlign w:val="center"/>
          </w:tcPr>
          <w:p w14:paraId="76802502"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较差</w:t>
            </w:r>
          </w:p>
        </w:tc>
        <w:tc>
          <w:tcPr>
            <w:tcW w:w="805" w:type="pct"/>
            <w:vAlign w:val="center"/>
          </w:tcPr>
          <w:p w14:paraId="2D18A4AE"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差</w:t>
            </w:r>
          </w:p>
        </w:tc>
      </w:tr>
      <w:tr w:rsidR="00CD340C" w:rsidRPr="00F631FB" w14:paraId="086DDF16" w14:textId="77777777" w:rsidTr="00CD340C">
        <w:trPr>
          <w:trHeight w:val="20"/>
          <w:jc w:val="center"/>
        </w:trPr>
        <w:tc>
          <w:tcPr>
            <w:tcW w:w="1066" w:type="pct"/>
            <w:vAlign w:val="center"/>
          </w:tcPr>
          <w:p w14:paraId="3260BD54"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居住社区成熟度</w:t>
            </w:r>
          </w:p>
        </w:tc>
        <w:tc>
          <w:tcPr>
            <w:tcW w:w="861" w:type="pct"/>
            <w:vAlign w:val="center"/>
          </w:tcPr>
          <w:p w14:paraId="444C20B3"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居住社区成熟度好</w:t>
            </w:r>
          </w:p>
        </w:tc>
        <w:tc>
          <w:tcPr>
            <w:tcW w:w="755" w:type="pct"/>
          </w:tcPr>
          <w:p w14:paraId="378F3D0F" w14:textId="77777777" w:rsidR="00814D19" w:rsidRPr="00814D19" w:rsidRDefault="00814D19" w:rsidP="00814D19">
            <w:pPr>
              <w:spacing w:line="240" w:lineRule="auto"/>
              <w:rPr>
                <w:rFonts w:ascii="Arial" w:eastAsia="仿宋_GB2312" w:hAnsi="Arial" w:cs="Arial"/>
                <w:sz w:val="18"/>
                <w:szCs w:val="18"/>
              </w:rPr>
            </w:pPr>
            <w:r w:rsidRPr="00814D19">
              <w:rPr>
                <w:rFonts w:ascii="Arial" w:eastAsia="仿宋_GB2312" w:hAnsi="Arial" w:cs="Arial"/>
                <w:sz w:val="18"/>
                <w:szCs w:val="18"/>
              </w:rPr>
              <w:t>居住社区成熟度较好</w:t>
            </w:r>
          </w:p>
        </w:tc>
        <w:tc>
          <w:tcPr>
            <w:tcW w:w="749" w:type="pct"/>
          </w:tcPr>
          <w:p w14:paraId="0D262D9D" w14:textId="77777777" w:rsidR="00814D19" w:rsidRPr="00814D19" w:rsidRDefault="00814D19" w:rsidP="00814D19">
            <w:pPr>
              <w:spacing w:line="240" w:lineRule="auto"/>
              <w:rPr>
                <w:rFonts w:ascii="Arial" w:eastAsia="仿宋_GB2312" w:hAnsi="Arial" w:cs="Arial"/>
                <w:sz w:val="18"/>
                <w:szCs w:val="18"/>
              </w:rPr>
            </w:pPr>
            <w:r w:rsidRPr="00814D19">
              <w:rPr>
                <w:rFonts w:ascii="Arial" w:eastAsia="仿宋_GB2312" w:hAnsi="Arial" w:cs="Arial"/>
                <w:sz w:val="18"/>
                <w:szCs w:val="18"/>
              </w:rPr>
              <w:t>居住社区成熟度一般</w:t>
            </w:r>
          </w:p>
        </w:tc>
        <w:tc>
          <w:tcPr>
            <w:tcW w:w="764" w:type="pct"/>
          </w:tcPr>
          <w:p w14:paraId="0CB08641" w14:textId="77777777" w:rsidR="00814D19" w:rsidRPr="00814D19" w:rsidRDefault="00814D19" w:rsidP="00814D19">
            <w:pPr>
              <w:spacing w:line="240" w:lineRule="auto"/>
              <w:rPr>
                <w:rFonts w:ascii="Arial" w:eastAsia="仿宋_GB2312" w:hAnsi="Arial" w:cs="Arial"/>
                <w:sz w:val="18"/>
                <w:szCs w:val="18"/>
              </w:rPr>
            </w:pPr>
            <w:r w:rsidRPr="00814D19">
              <w:rPr>
                <w:rFonts w:ascii="Arial" w:eastAsia="仿宋_GB2312" w:hAnsi="Arial" w:cs="Arial"/>
                <w:sz w:val="18"/>
                <w:szCs w:val="18"/>
              </w:rPr>
              <w:t>居住社区成熟度较差</w:t>
            </w:r>
          </w:p>
        </w:tc>
        <w:tc>
          <w:tcPr>
            <w:tcW w:w="805" w:type="pct"/>
          </w:tcPr>
          <w:p w14:paraId="6B1B1126" w14:textId="77777777" w:rsidR="00814D19" w:rsidRPr="00814D19" w:rsidRDefault="00814D19" w:rsidP="00814D19">
            <w:pPr>
              <w:spacing w:line="240" w:lineRule="auto"/>
              <w:rPr>
                <w:rFonts w:ascii="Arial" w:eastAsia="仿宋_GB2312" w:hAnsi="Arial" w:cs="Arial"/>
                <w:sz w:val="18"/>
                <w:szCs w:val="18"/>
              </w:rPr>
            </w:pPr>
            <w:r w:rsidRPr="00814D19">
              <w:rPr>
                <w:rFonts w:ascii="Arial" w:eastAsia="仿宋_GB2312" w:hAnsi="Arial" w:cs="Arial"/>
                <w:sz w:val="18"/>
                <w:szCs w:val="18"/>
              </w:rPr>
              <w:t>居住社区成熟度差</w:t>
            </w:r>
          </w:p>
        </w:tc>
      </w:tr>
      <w:tr w:rsidR="00CD340C" w:rsidRPr="00F631FB" w14:paraId="2162C270" w14:textId="77777777" w:rsidTr="00CD340C">
        <w:trPr>
          <w:trHeight w:val="20"/>
          <w:jc w:val="center"/>
        </w:trPr>
        <w:tc>
          <w:tcPr>
            <w:tcW w:w="1066" w:type="pct"/>
            <w:vAlign w:val="center"/>
          </w:tcPr>
          <w:p w14:paraId="7A140144"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交通便捷度</w:t>
            </w:r>
          </w:p>
        </w:tc>
        <w:tc>
          <w:tcPr>
            <w:tcW w:w="861" w:type="pct"/>
            <w:vAlign w:val="center"/>
          </w:tcPr>
          <w:p w14:paraId="6C818955"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便捷</w:t>
            </w:r>
          </w:p>
        </w:tc>
        <w:tc>
          <w:tcPr>
            <w:tcW w:w="755" w:type="pct"/>
            <w:vAlign w:val="center"/>
          </w:tcPr>
          <w:p w14:paraId="407E76FE"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较便捷</w:t>
            </w:r>
          </w:p>
        </w:tc>
        <w:tc>
          <w:tcPr>
            <w:tcW w:w="749" w:type="pct"/>
            <w:vAlign w:val="center"/>
          </w:tcPr>
          <w:p w14:paraId="4EA7C484"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一般</w:t>
            </w:r>
          </w:p>
        </w:tc>
        <w:tc>
          <w:tcPr>
            <w:tcW w:w="764" w:type="pct"/>
            <w:vAlign w:val="center"/>
          </w:tcPr>
          <w:p w14:paraId="152AD86B"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较不便捷</w:t>
            </w:r>
          </w:p>
        </w:tc>
        <w:tc>
          <w:tcPr>
            <w:tcW w:w="805" w:type="pct"/>
            <w:vAlign w:val="center"/>
          </w:tcPr>
          <w:p w14:paraId="27BD39E5"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不便捷</w:t>
            </w:r>
          </w:p>
        </w:tc>
      </w:tr>
      <w:tr w:rsidR="00CD340C" w:rsidRPr="00F631FB" w14:paraId="14FF3597" w14:textId="77777777" w:rsidTr="00CD340C">
        <w:trPr>
          <w:trHeight w:val="20"/>
          <w:jc w:val="center"/>
        </w:trPr>
        <w:tc>
          <w:tcPr>
            <w:tcW w:w="1066" w:type="pct"/>
            <w:vAlign w:val="center"/>
          </w:tcPr>
          <w:p w14:paraId="64C9F7A9"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区域土地利用方向</w:t>
            </w:r>
          </w:p>
        </w:tc>
        <w:tc>
          <w:tcPr>
            <w:tcW w:w="861" w:type="pct"/>
            <w:vAlign w:val="center"/>
          </w:tcPr>
          <w:p w14:paraId="332EF858"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估价对象用途与周边土地利用方向一致</w:t>
            </w:r>
          </w:p>
        </w:tc>
        <w:tc>
          <w:tcPr>
            <w:tcW w:w="755" w:type="pct"/>
            <w:vAlign w:val="center"/>
          </w:tcPr>
          <w:p w14:paraId="2BFA1BAA"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proofErr w:type="gramStart"/>
            <w:r w:rsidRPr="00814D19">
              <w:rPr>
                <w:rFonts w:ascii="Arial" w:eastAsia="仿宋_GB2312" w:hAnsi="Arial" w:cs="Arial"/>
                <w:sz w:val="18"/>
                <w:szCs w:val="18"/>
              </w:rPr>
              <w:t>零星有</w:t>
            </w:r>
            <w:proofErr w:type="gramEnd"/>
            <w:r w:rsidRPr="00814D19">
              <w:rPr>
                <w:rFonts w:ascii="Arial" w:eastAsia="仿宋_GB2312" w:hAnsi="Arial" w:cs="Arial"/>
                <w:sz w:val="18"/>
                <w:szCs w:val="18"/>
              </w:rPr>
              <w:t>其他用地，基本不影响本宗地</w:t>
            </w:r>
          </w:p>
        </w:tc>
        <w:tc>
          <w:tcPr>
            <w:tcW w:w="749" w:type="pct"/>
            <w:vAlign w:val="center"/>
          </w:tcPr>
          <w:p w14:paraId="35041E7A"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有部分有其他用地，对本宗地略有影响</w:t>
            </w:r>
          </w:p>
        </w:tc>
        <w:tc>
          <w:tcPr>
            <w:tcW w:w="764" w:type="pct"/>
            <w:vAlign w:val="center"/>
          </w:tcPr>
          <w:p w14:paraId="7A12005D"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其他用地较多，对本宗地影响较大</w:t>
            </w:r>
          </w:p>
        </w:tc>
        <w:tc>
          <w:tcPr>
            <w:tcW w:w="805" w:type="pct"/>
            <w:vAlign w:val="center"/>
          </w:tcPr>
          <w:p w14:paraId="1FA4EC05"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全部为其他用地，对本宗地有大的影响</w:t>
            </w:r>
          </w:p>
        </w:tc>
      </w:tr>
      <w:tr w:rsidR="00CD340C" w:rsidRPr="00F631FB" w14:paraId="1C1BF11A" w14:textId="77777777" w:rsidTr="00CD340C">
        <w:trPr>
          <w:trHeight w:val="20"/>
          <w:jc w:val="center"/>
        </w:trPr>
        <w:tc>
          <w:tcPr>
            <w:tcW w:w="1066" w:type="pct"/>
            <w:vAlign w:val="center"/>
          </w:tcPr>
          <w:p w14:paraId="1DB7970F"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临路状况</w:t>
            </w:r>
          </w:p>
        </w:tc>
        <w:tc>
          <w:tcPr>
            <w:tcW w:w="861" w:type="pct"/>
            <w:vAlign w:val="center"/>
          </w:tcPr>
          <w:p w14:paraId="272ACC94"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proofErr w:type="gramStart"/>
            <w:r w:rsidRPr="00814D19">
              <w:rPr>
                <w:rFonts w:ascii="Arial" w:eastAsia="仿宋_GB2312" w:hAnsi="Arial" w:cs="Arial"/>
                <w:sz w:val="18"/>
                <w:szCs w:val="18"/>
              </w:rPr>
              <w:t>临城市</w:t>
            </w:r>
            <w:proofErr w:type="gramEnd"/>
            <w:r w:rsidRPr="00814D19">
              <w:rPr>
                <w:rFonts w:ascii="Arial" w:eastAsia="仿宋_GB2312" w:hAnsi="Arial" w:cs="Arial"/>
                <w:sz w:val="18"/>
                <w:szCs w:val="18"/>
              </w:rPr>
              <w:t>快速路或高速公路</w:t>
            </w:r>
          </w:p>
        </w:tc>
        <w:tc>
          <w:tcPr>
            <w:tcW w:w="755" w:type="pct"/>
            <w:vAlign w:val="center"/>
          </w:tcPr>
          <w:p w14:paraId="2FF71119"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proofErr w:type="gramStart"/>
            <w:r w:rsidRPr="00814D19">
              <w:rPr>
                <w:rFonts w:ascii="Arial" w:eastAsia="仿宋_GB2312" w:hAnsi="Arial" w:cs="Arial"/>
                <w:sz w:val="18"/>
                <w:szCs w:val="18"/>
              </w:rPr>
              <w:t>临城市</w:t>
            </w:r>
            <w:proofErr w:type="gramEnd"/>
            <w:r w:rsidRPr="00814D19">
              <w:rPr>
                <w:rFonts w:ascii="Arial" w:eastAsia="仿宋_GB2312" w:hAnsi="Arial" w:cs="Arial"/>
                <w:sz w:val="18"/>
                <w:szCs w:val="18"/>
              </w:rPr>
              <w:t>主干道</w:t>
            </w:r>
          </w:p>
        </w:tc>
        <w:tc>
          <w:tcPr>
            <w:tcW w:w="749" w:type="pct"/>
            <w:vAlign w:val="center"/>
          </w:tcPr>
          <w:p w14:paraId="3457C2ED"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proofErr w:type="gramStart"/>
            <w:r w:rsidRPr="00814D19">
              <w:rPr>
                <w:rFonts w:ascii="Arial" w:eastAsia="仿宋_GB2312" w:hAnsi="Arial" w:cs="Arial"/>
                <w:sz w:val="18"/>
                <w:szCs w:val="18"/>
              </w:rPr>
              <w:t>临城市</w:t>
            </w:r>
            <w:proofErr w:type="gramEnd"/>
            <w:r w:rsidRPr="00814D19">
              <w:rPr>
                <w:rFonts w:ascii="Arial" w:eastAsia="仿宋_GB2312" w:hAnsi="Arial" w:cs="Arial"/>
                <w:sz w:val="18"/>
                <w:szCs w:val="18"/>
              </w:rPr>
              <w:t>次干道</w:t>
            </w:r>
          </w:p>
        </w:tc>
        <w:tc>
          <w:tcPr>
            <w:tcW w:w="764" w:type="pct"/>
            <w:vAlign w:val="center"/>
          </w:tcPr>
          <w:p w14:paraId="25DDC595"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proofErr w:type="gramStart"/>
            <w:r w:rsidRPr="00814D19">
              <w:rPr>
                <w:rFonts w:ascii="Arial" w:eastAsia="仿宋_GB2312" w:hAnsi="Arial" w:cs="Arial"/>
                <w:sz w:val="18"/>
                <w:szCs w:val="18"/>
              </w:rPr>
              <w:t>临城市</w:t>
            </w:r>
            <w:proofErr w:type="gramEnd"/>
            <w:r w:rsidRPr="00814D19">
              <w:rPr>
                <w:rFonts w:ascii="Arial" w:eastAsia="仿宋_GB2312" w:hAnsi="Arial" w:cs="Arial"/>
                <w:sz w:val="18"/>
                <w:szCs w:val="18"/>
              </w:rPr>
              <w:t>支路</w:t>
            </w:r>
          </w:p>
        </w:tc>
        <w:tc>
          <w:tcPr>
            <w:tcW w:w="805" w:type="pct"/>
            <w:vAlign w:val="center"/>
          </w:tcPr>
          <w:p w14:paraId="47F1A38B"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临街坊路</w:t>
            </w:r>
          </w:p>
        </w:tc>
      </w:tr>
      <w:tr w:rsidR="00CD340C" w:rsidRPr="00F631FB" w14:paraId="4ADE4320" w14:textId="77777777" w:rsidTr="00CD340C">
        <w:trPr>
          <w:trHeight w:val="20"/>
          <w:jc w:val="center"/>
        </w:trPr>
        <w:tc>
          <w:tcPr>
            <w:tcW w:w="1066" w:type="pct"/>
            <w:vAlign w:val="center"/>
          </w:tcPr>
          <w:p w14:paraId="76FD319B"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公共服务设施状况</w:t>
            </w:r>
          </w:p>
        </w:tc>
        <w:tc>
          <w:tcPr>
            <w:tcW w:w="861" w:type="pct"/>
            <w:vAlign w:val="center"/>
          </w:tcPr>
          <w:p w14:paraId="6A650C3B"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配套完善</w:t>
            </w:r>
          </w:p>
        </w:tc>
        <w:tc>
          <w:tcPr>
            <w:tcW w:w="755" w:type="pct"/>
            <w:vAlign w:val="center"/>
          </w:tcPr>
          <w:p w14:paraId="41931644"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配套较完善</w:t>
            </w:r>
          </w:p>
        </w:tc>
        <w:tc>
          <w:tcPr>
            <w:tcW w:w="749" w:type="pct"/>
            <w:vAlign w:val="center"/>
          </w:tcPr>
          <w:p w14:paraId="42C9F895"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配套基本满足需要</w:t>
            </w:r>
          </w:p>
        </w:tc>
        <w:tc>
          <w:tcPr>
            <w:tcW w:w="764" w:type="pct"/>
            <w:vAlign w:val="center"/>
          </w:tcPr>
          <w:p w14:paraId="595249B7"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配套少</w:t>
            </w:r>
          </w:p>
        </w:tc>
        <w:tc>
          <w:tcPr>
            <w:tcW w:w="805" w:type="pct"/>
            <w:vAlign w:val="center"/>
          </w:tcPr>
          <w:p w14:paraId="44E2C64D"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配套极少</w:t>
            </w:r>
          </w:p>
        </w:tc>
      </w:tr>
      <w:tr w:rsidR="00CD340C" w:rsidRPr="00F631FB" w14:paraId="596BAE9D" w14:textId="77777777" w:rsidTr="00CD340C">
        <w:trPr>
          <w:trHeight w:val="20"/>
          <w:jc w:val="center"/>
        </w:trPr>
        <w:tc>
          <w:tcPr>
            <w:tcW w:w="1066" w:type="pct"/>
            <w:vAlign w:val="center"/>
          </w:tcPr>
          <w:p w14:paraId="4BC20395"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基础设施完备状况</w:t>
            </w:r>
          </w:p>
        </w:tc>
        <w:tc>
          <w:tcPr>
            <w:tcW w:w="861" w:type="pct"/>
            <w:vAlign w:val="center"/>
          </w:tcPr>
          <w:p w14:paraId="6D10469D"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七通</w:t>
            </w:r>
          </w:p>
        </w:tc>
        <w:tc>
          <w:tcPr>
            <w:tcW w:w="755" w:type="pct"/>
            <w:vAlign w:val="center"/>
          </w:tcPr>
          <w:p w14:paraId="2471ECEC"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六通</w:t>
            </w:r>
          </w:p>
        </w:tc>
        <w:tc>
          <w:tcPr>
            <w:tcW w:w="749" w:type="pct"/>
            <w:vAlign w:val="center"/>
          </w:tcPr>
          <w:p w14:paraId="419AE530"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五通</w:t>
            </w:r>
          </w:p>
        </w:tc>
        <w:tc>
          <w:tcPr>
            <w:tcW w:w="764" w:type="pct"/>
            <w:vAlign w:val="center"/>
          </w:tcPr>
          <w:p w14:paraId="6E5738E7"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四通</w:t>
            </w:r>
          </w:p>
        </w:tc>
        <w:tc>
          <w:tcPr>
            <w:tcW w:w="805" w:type="pct"/>
            <w:vAlign w:val="center"/>
          </w:tcPr>
          <w:p w14:paraId="232EE749"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三通</w:t>
            </w:r>
          </w:p>
        </w:tc>
      </w:tr>
      <w:tr w:rsidR="00CD340C" w:rsidRPr="00F631FB" w14:paraId="733AA6F2" w14:textId="77777777" w:rsidTr="00CD340C">
        <w:trPr>
          <w:trHeight w:val="20"/>
          <w:jc w:val="center"/>
        </w:trPr>
        <w:tc>
          <w:tcPr>
            <w:tcW w:w="1066" w:type="pct"/>
            <w:vAlign w:val="center"/>
          </w:tcPr>
          <w:p w14:paraId="1316A7BC"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宗地形状及可利用程度</w:t>
            </w:r>
          </w:p>
        </w:tc>
        <w:tc>
          <w:tcPr>
            <w:tcW w:w="861" w:type="pct"/>
            <w:vAlign w:val="center"/>
          </w:tcPr>
          <w:p w14:paraId="672DA3F2"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宗地形状规则</w:t>
            </w:r>
          </w:p>
        </w:tc>
        <w:tc>
          <w:tcPr>
            <w:tcW w:w="755" w:type="pct"/>
            <w:vAlign w:val="center"/>
          </w:tcPr>
          <w:p w14:paraId="5CF77426"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宗地形状较规则</w:t>
            </w:r>
          </w:p>
        </w:tc>
        <w:tc>
          <w:tcPr>
            <w:tcW w:w="749" w:type="pct"/>
            <w:vAlign w:val="center"/>
          </w:tcPr>
          <w:p w14:paraId="1C2FAB9A"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宗地形状不规则，但对宗地利用影响较小</w:t>
            </w:r>
          </w:p>
        </w:tc>
        <w:tc>
          <w:tcPr>
            <w:tcW w:w="764" w:type="pct"/>
            <w:vAlign w:val="center"/>
          </w:tcPr>
          <w:p w14:paraId="6BD6E598"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宗地形状不规则，对宗地利用有影响</w:t>
            </w:r>
          </w:p>
        </w:tc>
        <w:tc>
          <w:tcPr>
            <w:tcW w:w="805" w:type="pct"/>
            <w:vAlign w:val="center"/>
          </w:tcPr>
          <w:p w14:paraId="2E32F055"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宗地形状极其不规则，对宗地利用影响很大</w:t>
            </w:r>
          </w:p>
        </w:tc>
      </w:tr>
      <w:tr w:rsidR="00CD340C" w:rsidRPr="00F631FB" w14:paraId="7231CACE" w14:textId="77777777" w:rsidTr="00CD340C">
        <w:trPr>
          <w:trHeight w:val="20"/>
          <w:jc w:val="center"/>
        </w:trPr>
        <w:tc>
          <w:tcPr>
            <w:tcW w:w="1066" w:type="pct"/>
            <w:vAlign w:val="center"/>
          </w:tcPr>
          <w:p w14:paraId="2C23895A"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自然和人文环境状况</w:t>
            </w:r>
          </w:p>
        </w:tc>
        <w:tc>
          <w:tcPr>
            <w:tcW w:w="861" w:type="pct"/>
            <w:vAlign w:val="center"/>
          </w:tcPr>
          <w:p w14:paraId="6A5909D9"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自然和人文环境优良</w:t>
            </w:r>
          </w:p>
        </w:tc>
        <w:tc>
          <w:tcPr>
            <w:tcW w:w="755" w:type="pct"/>
            <w:vAlign w:val="center"/>
          </w:tcPr>
          <w:p w14:paraId="74DBC6F6"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自然和人文环境良好</w:t>
            </w:r>
          </w:p>
        </w:tc>
        <w:tc>
          <w:tcPr>
            <w:tcW w:w="749" w:type="pct"/>
            <w:vAlign w:val="center"/>
          </w:tcPr>
          <w:p w14:paraId="2E6CB23F"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自然和人文环境一般</w:t>
            </w:r>
          </w:p>
        </w:tc>
        <w:tc>
          <w:tcPr>
            <w:tcW w:w="764" w:type="pct"/>
            <w:vAlign w:val="center"/>
          </w:tcPr>
          <w:p w14:paraId="1AFEDD80"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自然和人文环境较差</w:t>
            </w:r>
          </w:p>
        </w:tc>
        <w:tc>
          <w:tcPr>
            <w:tcW w:w="805" w:type="pct"/>
            <w:vAlign w:val="center"/>
          </w:tcPr>
          <w:p w14:paraId="3E843D55"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自然和人文环境差</w:t>
            </w:r>
          </w:p>
        </w:tc>
      </w:tr>
      <w:tr w:rsidR="00CD340C" w:rsidRPr="00F631FB" w14:paraId="3F38D93B" w14:textId="77777777" w:rsidTr="00CD340C">
        <w:trPr>
          <w:trHeight w:val="20"/>
          <w:jc w:val="center"/>
        </w:trPr>
        <w:tc>
          <w:tcPr>
            <w:tcW w:w="1066" w:type="pct"/>
          </w:tcPr>
          <w:p w14:paraId="7B3E345F"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与区域中心接近程度好</w:t>
            </w:r>
          </w:p>
        </w:tc>
        <w:tc>
          <w:tcPr>
            <w:tcW w:w="861" w:type="pct"/>
          </w:tcPr>
          <w:p w14:paraId="1C6C2450" w14:textId="77777777" w:rsidR="00814D19" w:rsidRPr="00814D19" w:rsidRDefault="00814D19" w:rsidP="00814D19">
            <w:pPr>
              <w:spacing w:line="240" w:lineRule="auto"/>
              <w:rPr>
                <w:rFonts w:ascii="Arial" w:eastAsia="仿宋_GB2312" w:hAnsi="Arial" w:cs="Arial"/>
                <w:sz w:val="18"/>
                <w:szCs w:val="18"/>
              </w:rPr>
            </w:pPr>
            <w:r w:rsidRPr="00814D19">
              <w:rPr>
                <w:rFonts w:ascii="Arial" w:eastAsia="仿宋_GB2312" w:hAnsi="Arial" w:cs="Arial"/>
                <w:sz w:val="18"/>
                <w:szCs w:val="18"/>
              </w:rPr>
              <w:t>与区域中心接近程度好</w:t>
            </w:r>
          </w:p>
        </w:tc>
        <w:tc>
          <w:tcPr>
            <w:tcW w:w="755" w:type="pct"/>
          </w:tcPr>
          <w:p w14:paraId="7BB9D804"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与区域中心接近程度较好</w:t>
            </w:r>
          </w:p>
        </w:tc>
        <w:tc>
          <w:tcPr>
            <w:tcW w:w="749" w:type="pct"/>
          </w:tcPr>
          <w:p w14:paraId="23A1122F"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与区域中心接近程度一般</w:t>
            </w:r>
          </w:p>
        </w:tc>
        <w:tc>
          <w:tcPr>
            <w:tcW w:w="764" w:type="pct"/>
          </w:tcPr>
          <w:p w14:paraId="75434AF2"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与区域中心接近程度较远</w:t>
            </w:r>
          </w:p>
        </w:tc>
        <w:tc>
          <w:tcPr>
            <w:tcW w:w="805" w:type="pct"/>
          </w:tcPr>
          <w:p w14:paraId="319F16C2"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与区域中心接近程度差</w:t>
            </w:r>
          </w:p>
        </w:tc>
      </w:tr>
    </w:tbl>
    <w:p w14:paraId="02F29497" w14:textId="77777777" w:rsidR="00814D19" w:rsidRPr="00F631FB" w:rsidRDefault="00814D19" w:rsidP="00814D19">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估价对象地处</w:t>
      </w:r>
      <w:r>
        <w:rPr>
          <w:rFonts w:ascii="Arial" w:eastAsia="仿宋_GB2312" w:hAnsi="Arial" w:cs="Arial" w:hint="eastAsia"/>
          <w:sz w:val="28"/>
          <w:szCs w:val="28"/>
        </w:rPr>
        <w:t>居住类二级</w:t>
      </w:r>
      <w:r>
        <w:rPr>
          <w:rFonts w:ascii="Arial" w:eastAsia="仿宋_GB2312" w:hAnsi="Arial" w:cs="Arial"/>
          <w:sz w:val="28"/>
          <w:szCs w:val="28"/>
        </w:rPr>
        <w:t>II-03</w:t>
      </w:r>
      <w:r w:rsidRPr="00F631FB">
        <w:rPr>
          <w:rFonts w:ascii="Arial" w:eastAsia="仿宋_GB2312" w:hAnsi="Arial" w:cs="Arial"/>
          <w:sz w:val="28"/>
          <w:szCs w:val="28"/>
        </w:rPr>
        <w:t>区片，依据前述《区片基准地价因素总修正幅度表》、《北京市基准地价因素权重表》及《因素等级说明表》，整理出《等级系数表》如下：</w:t>
      </w:r>
    </w:p>
    <w:p w14:paraId="3BD915D1" w14:textId="77777777" w:rsidR="00814D19" w:rsidRPr="00F631FB" w:rsidRDefault="00814D19" w:rsidP="00814D19">
      <w:pPr>
        <w:spacing w:line="240" w:lineRule="auto"/>
        <w:jc w:val="center"/>
        <w:rPr>
          <w:rFonts w:ascii="Arial" w:eastAsia="仿宋_GB2312" w:hAnsi="Arial" w:cs="Arial"/>
          <w:b/>
          <w:bCs/>
          <w:szCs w:val="24"/>
        </w:rPr>
      </w:pPr>
      <w:r w:rsidRPr="00F631FB">
        <w:rPr>
          <w:rFonts w:ascii="Arial" w:eastAsia="仿宋_GB2312" w:hAnsi="Arial" w:cs="Arial"/>
          <w:b/>
          <w:bCs/>
          <w:szCs w:val="24"/>
        </w:rPr>
        <w:t>等级系数表</w:t>
      </w:r>
    </w:p>
    <w:tbl>
      <w:tblPr>
        <w:tblW w:w="5000" w:type="pct"/>
        <w:tblLook w:val="04A0" w:firstRow="1" w:lastRow="0" w:firstColumn="1" w:lastColumn="0" w:noHBand="0" w:noVBand="1"/>
      </w:tblPr>
      <w:tblGrid>
        <w:gridCol w:w="2697"/>
        <w:gridCol w:w="1319"/>
        <w:gridCol w:w="1319"/>
        <w:gridCol w:w="1319"/>
        <w:gridCol w:w="1319"/>
        <w:gridCol w:w="1315"/>
      </w:tblGrid>
      <w:tr w:rsidR="00814D19" w:rsidRPr="007933B6" w14:paraId="2CC89A63" w14:textId="77777777" w:rsidTr="00CE438D">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1226D5FC" w14:textId="2E095F5E" w:rsidR="00814D19" w:rsidRPr="007933B6" w:rsidRDefault="00814D19" w:rsidP="00CD340C">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 xml:space="preserve">        </w:t>
            </w:r>
            <w:r w:rsidR="00CD340C">
              <w:rPr>
                <w:rFonts w:ascii="Arial" w:eastAsia="仿宋_GB2312" w:hAnsi="Arial" w:cs="Arial"/>
                <w:sz w:val="18"/>
                <w:szCs w:val="18"/>
              </w:rPr>
              <w:t xml:space="preserve">             </w:t>
            </w:r>
            <w:r w:rsidRPr="007933B6">
              <w:rPr>
                <w:rFonts w:ascii="Arial" w:eastAsia="仿宋_GB2312" w:hAnsi="Arial" w:cs="Arial"/>
                <w:sz w:val="18"/>
                <w:szCs w:val="18"/>
              </w:rPr>
              <w:t>等级</w:t>
            </w:r>
            <w:r w:rsidRPr="007933B6">
              <w:rPr>
                <w:rFonts w:ascii="Arial" w:eastAsia="仿宋_GB2312" w:hAnsi="Arial" w:cs="Arial"/>
                <w:sz w:val="18"/>
                <w:szCs w:val="18"/>
              </w:rPr>
              <w:br/>
            </w:r>
            <w:r w:rsidRPr="007933B6">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76EBDCF7" w14:textId="77777777" w:rsidR="00814D19" w:rsidRPr="007933B6" w:rsidRDefault="00814D19" w:rsidP="00CE438D">
            <w:pPr>
              <w:widowControl/>
              <w:adjustRightInd/>
              <w:spacing w:line="240" w:lineRule="auto"/>
              <w:jc w:val="center"/>
              <w:textAlignment w:val="auto"/>
              <w:rPr>
                <w:rFonts w:ascii="Arial" w:eastAsia="仿宋_GB2312" w:hAnsi="Arial" w:cs="Arial"/>
                <w:sz w:val="18"/>
                <w:szCs w:val="18"/>
              </w:rPr>
            </w:pPr>
            <w:r w:rsidRPr="007933B6">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8E751" w14:textId="77777777" w:rsidR="00814D19" w:rsidRPr="007933B6" w:rsidRDefault="00814D19" w:rsidP="00CE438D">
            <w:pPr>
              <w:widowControl/>
              <w:adjustRightInd/>
              <w:spacing w:line="240" w:lineRule="auto"/>
              <w:jc w:val="center"/>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EE45F" w14:textId="77777777" w:rsidR="00814D19" w:rsidRPr="007933B6" w:rsidRDefault="00814D19" w:rsidP="00CE438D">
            <w:pPr>
              <w:widowControl/>
              <w:adjustRightInd/>
              <w:spacing w:line="240" w:lineRule="auto"/>
              <w:jc w:val="center"/>
              <w:textAlignment w:val="auto"/>
              <w:rPr>
                <w:rFonts w:ascii="Arial" w:eastAsia="仿宋_GB2312" w:hAnsi="Arial" w:cs="Arial"/>
                <w:sz w:val="18"/>
                <w:szCs w:val="18"/>
              </w:rPr>
            </w:pPr>
            <w:r w:rsidRPr="007933B6">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BD11A" w14:textId="77777777" w:rsidR="00814D19" w:rsidRPr="007933B6" w:rsidRDefault="00814D19" w:rsidP="00CE438D">
            <w:pPr>
              <w:widowControl/>
              <w:adjustRightInd/>
              <w:spacing w:line="240" w:lineRule="auto"/>
              <w:jc w:val="center"/>
              <w:textAlignment w:val="auto"/>
              <w:rPr>
                <w:rFonts w:ascii="Arial" w:eastAsia="仿宋_GB2312" w:hAnsi="Arial" w:cs="Arial"/>
                <w:sz w:val="18"/>
                <w:szCs w:val="18"/>
              </w:rPr>
            </w:pPr>
            <w:r w:rsidRPr="007933B6">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19BF3" w14:textId="77777777" w:rsidR="00814D19" w:rsidRPr="007933B6" w:rsidRDefault="00814D19" w:rsidP="00CE438D">
            <w:pPr>
              <w:widowControl/>
              <w:adjustRightInd/>
              <w:spacing w:line="240" w:lineRule="auto"/>
              <w:jc w:val="center"/>
              <w:textAlignment w:val="auto"/>
              <w:rPr>
                <w:rFonts w:ascii="Arial" w:eastAsia="仿宋_GB2312" w:hAnsi="Arial" w:cs="Arial"/>
                <w:sz w:val="18"/>
                <w:szCs w:val="18"/>
              </w:rPr>
            </w:pPr>
            <w:r w:rsidRPr="007933B6">
              <w:rPr>
                <w:rFonts w:ascii="Arial" w:eastAsia="仿宋_GB2312" w:hAnsi="Arial" w:cs="Arial"/>
                <w:sz w:val="18"/>
                <w:szCs w:val="18"/>
              </w:rPr>
              <w:t>差</w:t>
            </w:r>
          </w:p>
        </w:tc>
      </w:tr>
      <w:tr w:rsidR="00814D19" w:rsidRPr="007933B6" w14:paraId="39BB0669" w14:textId="77777777" w:rsidTr="007A3D09">
        <w:trPr>
          <w:trHeight w:val="419"/>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26D78B0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35FD54D3"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52ABEED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28F716F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2A3989B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7C64952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p>
        </w:tc>
      </w:tr>
      <w:tr w:rsidR="00814D19" w:rsidRPr="007933B6" w14:paraId="2F773BF9" w14:textId="77777777" w:rsidTr="00CE438D">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6F1ACC1"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居住社区成熟度</w:t>
            </w:r>
          </w:p>
        </w:tc>
        <w:tc>
          <w:tcPr>
            <w:tcW w:w="710" w:type="pct"/>
            <w:tcBorders>
              <w:top w:val="nil"/>
              <w:left w:val="nil"/>
              <w:bottom w:val="single" w:sz="4" w:space="0" w:color="auto"/>
              <w:right w:val="single" w:sz="4" w:space="0" w:color="auto"/>
            </w:tcBorders>
            <w:shd w:val="clear" w:color="auto" w:fill="auto"/>
            <w:noWrap/>
            <w:hideMark/>
          </w:tcPr>
          <w:p w14:paraId="107D5450"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1.34%</w:t>
            </w:r>
          </w:p>
        </w:tc>
        <w:tc>
          <w:tcPr>
            <w:tcW w:w="710" w:type="pct"/>
            <w:tcBorders>
              <w:top w:val="nil"/>
              <w:left w:val="nil"/>
              <w:bottom w:val="single" w:sz="4" w:space="0" w:color="auto"/>
              <w:right w:val="single" w:sz="4" w:space="0" w:color="auto"/>
            </w:tcBorders>
            <w:shd w:val="clear" w:color="auto" w:fill="auto"/>
            <w:noWrap/>
            <w:hideMark/>
          </w:tcPr>
          <w:p w14:paraId="33183FA1"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0.67%</w:t>
            </w:r>
          </w:p>
        </w:tc>
        <w:tc>
          <w:tcPr>
            <w:tcW w:w="710" w:type="pct"/>
            <w:tcBorders>
              <w:top w:val="nil"/>
              <w:left w:val="nil"/>
              <w:bottom w:val="single" w:sz="4" w:space="0" w:color="auto"/>
              <w:right w:val="single" w:sz="4" w:space="0" w:color="auto"/>
            </w:tcBorders>
            <w:shd w:val="clear" w:color="auto" w:fill="auto"/>
            <w:noWrap/>
            <w:hideMark/>
          </w:tcPr>
          <w:p w14:paraId="444DD0AA"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784AE70A"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-0.67%</w:t>
            </w:r>
          </w:p>
        </w:tc>
        <w:tc>
          <w:tcPr>
            <w:tcW w:w="708" w:type="pct"/>
            <w:tcBorders>
              <w:top w:val="nil"/>
              <w:left w:val="nil"/>
              <w:bottom w:val="single" w:sz="4" w:space="0" w:color="auto"/>
              <w:right w:val="single" w:sz="4" w:space="0" w:color="auto"/>
            </w:tcBorders>
            <w:shd w:val="clear" w:color="auto" w:fill="auto"/>
            <w:noWrap/>
            <w:hideMark/>
          </w:tcPr>
          <w:p w14:paraId="6C8E704D"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-1.34%</w:t>
            </w:r>
          </w:p>
        </w:tc>
      </w:tr>
      <w:tr w:rsidR="00814D19" w:rsidRPr="007933B6" w14:paraId="59B8CC68" w14:textId="77777777" w:rsidTr="00CE438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C449EFE"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交通便捷度</w:t>
            </w:r>
          </w:p>
        </w:tc>
        <w:tc>
          <w:tcPr>
            <w:tcW w:w="710" w:type="pct"/>
            <w:tcBorders>
              <w:top w:val="nil"/>
              <w:left w:val="nil"/>
              <w:bottom w:val="single" w:sz="4" w:space="0" w:color="auto"/>
              <w:right w:val="single" w:sz="4" w:space="0" w:color="auto"/>
            </w:tcBorders>
            <w:shd w:val="clear" w:color="auto" w:fill="auto"/>
            <w:noWrap/>
            <w:hideMark/>
          </w:tcPr>
          <w:p w14:paraId="3F94407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2.88%</w:t>
            </w:r>
          </w:p>
        </w:tc>
        <w:tc>
          <w:tcPr>
            <w:tcW w:w="710" w:type="pct"/>
            <w:tcBorders>
              <w:top w:val="nil"/>
              <w:left w:val="nil"/>
              <w:bottom w:val="single" w:sz="4" w:space="0" w:color="auto"/>
              <w:right w:val="single" w:sz="4" w:space="0" w:color="auto"/>
            </w:tcBorders>
            <w:shd w:val="clear" w:color="auto" w:fill="auto"/>
            <w:noWrap/>
            <w:hideMark/>
          </w:tcPr>
          <w:p w14:paraId="3579753D"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1.44%</w:t>
            </w:r>
          </w:p>
        </w:tc>
        <w:tc>
          <w:tcPr>
            <w:tcW w:w="710" w:type="pct"/>
            <w:tcBorders>
              <w:top w:val="nil"/>
              <w:left w:val="nil"/>
              <w:bottom w:val="single" w:sz="4" w:space="0" w:color="auto"/>
              <w:right w:val="single" w:sz="4" w:space="0" w:color="auto"/>
            </w:tcBorders>
            <w:shd w:val="clear" w:color="auto" w:fill="auto"/>
            <w:noWrap/>
            <w:hideMark/>
          </w:tcPr>
          <w:p w14:paraId="0F93697F"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2542F9CA"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-1.44%</w:t>
            </w:r>
          </w:p>
        </w:tc>
        <w:tc>
          <w:tcPr>
            <w:tcW w:w="708" w:type="pct"/>
            <w:tcBorders>
              <w:top w:val="nil"/>
              <w:left w:val="nil"/>
              <w:bottom w:val="single" w:sz="4" w:space="0" w:color="auto"/>
              <w:right w:val="single" w:sz="4" w:space="0" w:color="auto"/>
            </w:tcBorders>
            <w:shd w:val="clear" w:color="auto" w:fill="auto"/>
            <w:noWrap/>
            <w:hideMark/>
          </w:tcPr>
          <w:p w14:paraId="15758D42"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-2.88%</w:t>
            </w:r>
          </w:p>
        </w:tc>
      </w:tr>
      <w:tr w:rsidR="00814D19" w:rsidRPr="007933B6" w14:paraId="371E9913" w14:textId="77777777" w:rsidTr="00CE438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1868AC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区域土地利用方向</w:t>
            </w:r>
          </w:p>
        </w:tc>
        <w:tc>
          <w:tcPr>
            <w:tcW w:w="710" w:type="pct"/>
            <w:tcBorders>
              <w:top w:val="nil"/>
              <w:left w:val="nil"/>
              <w:bottom w:val="single" w:sz="4" w:space="0" w:color="auto"/>
              <w:right w:val="single" w:sz="4" w:space="0" w:color="auto"/>
            </w:tcBorders>
            <w:shd w:val="clear" w:color="auto" w:fill="auto"/>
            <w:noWrap/>
            <w:hideMark/>
          </w:tcPr>
          <w:p w14:paraId="418785D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0.76%</w:t>
            </w:r>
          </w:p>
        </w:tc>
        <w:tc>
          <w:tcPr>
            <w:tcW w:w="710" w:type="pct"/>
            <w:tcBorders>
              <w:top w:val="nil"/>
              <w:left w:val="nil"/>
              <w:bottom w:val="single" w:sz="4" w:space="0" w:color="auto"/>
              <w:right w:val="single" w:sz="4" w:space="0" w:color="auto"/>
            </w:tcBorders>
            <w:shd w:val="clear" w:color="auto" w:fill="auto"/>
            <w:noWrap/>
            <w:hideMark/>
          </w:tcPr>
          <w:p w14:paraId="072702E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7EA7BB79"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03D0037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-0.38%</w:t>
            </w:r>
          </w:p>
        </w:tc>
        <w:tc>
          <w:tcPr>
            <w:tcW w:w="708" w:type="pct"/>
            <w:tcBorders>
              <w:top w:val="nil"/>
              <w:left w:val="nil"/>
              <w:bottom w:val="single" w:sz="4" w:space="0" w:color="auto"/>
              <w:right w:val="single" w:sz="4" w:space="0" w:color="auto"/>
            </w:tcBorders>
            <w:shd w:val="clear" w:color="auto" w:fill="auto"/>
            <w:noWrap/>
            <w:hideMark/>
          </w:tcPr>
          <w:p w14:paraId="5E211B3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-0.76%</w:t>
            </w:r>
          </w:p>
        </w:tc>
      </w:tr>
      <w:tr w:rsidR="00814D19" w:rsidRPr="007933B6" w14:paraId="2F4AE2B2" w14:textId="77777777" w:rsidTr="00CE438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BE3444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临路状况</w:t>
            </w:r>
          </w:p>
        </w:tc>
        <w:tc>
          <w:tcPr>
            <w:tcW w:w="710" w:type="pct"/>
            <w:tcBorders>
              <w:top w:val="nil"/>
              <w:left w:val="nil"/>
              <w:bottom w:val="single" w:sz="4" w:space="0" w:color="auto"/>
              <w:right w:val="single" w:sz="4" w:space="0" w:color="auto"/>
            </w:tcBorders>
            <w:shd w:val="clear" w:color="auto" w:fill="auto"/>
            <w:noWrap/>
            <w:hideMark/>
          </w:tcPr>
          <w:p w14:paraId="48BFDBA5"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035A2016"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0.19%</w:t>
            </w:r>
          </w:p>
        </w:tc>
        <w:tc>
          <w:tcPr>
            <w:tcW w:w="710" w:type="pct"/>
            <w:tcBorders>
              <w:top w:val="nil"/>
              <w:left w:val="nil"/>
              <w:bottom w:val="single" w:sz="4" w:space="0" w:color="auto"/>
              <w:right w:val="single" w:sz="4" w:space="0" w:color="auto"/>
            </w:tcBorders>
            <w:shd w:val="clear" w:color="auto" w:fill="auto"/>
            <w:noWrap/>
            <w:hideMark/>
          </w:tcPr>
          <w:p w14:paraId="338DA8F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5C989FD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-0.19%</w:t>
            </w:r>
          </w:p>
        </w:tc>
        <w:tc>
          <w:tcPr>
            <w:tcW w:w="708" w:type="pct"/>
            <w:tcBorders>
              <w:top w:val="nil"/>
              <w:left w:val="nil"/>
              <w:bottom w:val="single" w:sz="4" w:space="0" w:color="auto"/>
              <w:right w:val="single" w:sz="4" w:space="0" w:color="auto"/>
            </w:tcBorders>
            <w:shd w:val="clear" w:color="auto" w:fill="auto"/>
            <w:noWrap/>
            <w:hideMark/>
          </w:tcPr>
          <w:p w14:paraId="6638E23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-0.38%</w:t>
            </w:r>
          </w:p>
        </w:tc>
      </w:tr>
      <w:tr w:rsidR="00814D19" w:rsidRPr="007933B6" w14:paraId="59D78293" w14:textId="77777777" w:rsidTr="00CE438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6E79F8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公共服务设施状况</w:t>
            </w:r>
          </w:p>
        </w:tc>
        <w:tc>
          <w:tcPr>
            <w:tcW w:w="710" w:type="pct"/>
            <w:tcBorders>
              <w:top w:val="nil"/>
              <w:left w:val="nil"/>
              <w:bottom w:val="single" w:sz="4" w:space="0" w:color="auto"/>
              <w:right w:val="single" w:sz="4" w:space="0" w:color="auto"/>
            </w:tcBorders>
            <w:shd w:val="clear" w:color="auto" w:fill="auto"/>
            <w:noWrap/>
            <w:hideMark/>
          </w:tcPr>
          <w:p w14:paraId="5EDFE83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0.76%</w:t>
            </w:r>
          </w:p>
        </w:tc>
        <w:tc>
          <w:tcPr>
            <w:tcW w:w="710" w:type="pct"/>
            <w:tcBorders>
              <w:top w:val="nil"/>
              <w:left w:val="nil"/>
              <w:bottom w:val="single" w:sz="4" w:space="0" w:color="auto"/>
              <w:right w:val="single" w:sz="4" w:space="0" w:color="auto"/>
            </w:tcBorders>
            <w:shd w:val="clear" w:color="auto" w:fill="auto"/>
            <w:noWrap/>
            <w:hideMark/>
          </w:tcPr>
          <w:p w14:paraId="4EDC6E9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798B137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67774F3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-0.38%</w:t>
            </w:r>
          </w:p>
        </w:tc>
        <w:tc>
          <w:tcPr>
            <w:tcW w:w="708" w:type="pct"/>
            <w:tcBorders>
              <w:top w:val="nil"/>
              <w:left w:val="nil"/>
              <w:bottom w:val="single" w:sz="4" w:space="0" w:color="auto"/>
              <w:right w:val="single" w:sz="4" w:space="0" w:color="auto"/>
            </w:tcBorders>
            <w:shd w:val="clear" w:color="auto" w:fill="auto"/>
            <w:noWrap/>
            <w:hideMark/>
          </w:tcPr>
          <w:p w14:paraId="6726E2C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-0.76%</w:t>
            </w:r>
          </w:p>
        </w:tc>
      </w:tr>
      <w:tr w:rsidR="00814D19" w:rsidRPr="007933B6" w14:paraId="6DB2C1CC" w14:textId="77777777" w:rsidTr="00CE438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3BB932C5"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基础设施完备状况</w:t>
            </w:r>
          </w:p>
        </w:tc>
        <w:tc>
          <w:tcPr>
            <w:tcW w:w="710" w:type="pct"/>
            <w:tcBorders>
              <w:top w:val="nil"/>
              <w:left w:val="nil"/>
              <w:bottom w:val="single" w:sz="4" w:space="0" w:color="auto"/>
              <w:right w:val="single" w:sz="4" w:space="0" w:color="auto"/>
            </w:tcBorders>
            <w:shd w:val="clear" w:color="auto" w:fill="auto"/>
            <w:noWrap/>
            <w:hideMark/>
          </w:tcPr>
          <w:p w14:paraId="4ADD8296"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1.14%</w:t>
            </w:r>
          </w:p>
        </w:tc>
        <w:tc>
          <w:tcPr>
            <w:tcW w:w="710" w:type="pct"/>
            <w:tcBorders>
              <w:top w:val="nil"/>
              <w:left w:val="nil"/>
              <w:bottom w:val="single" w:sz="4" w:space="0" w:color="auto"/>
              <w:right w:val="single" w:sz="4" w:space="0" w:color="auto"/>
            </w:tcBorders>
            <w:shd w:val="clear" w:color="auto" w:fill="auto"/>
            <w:noWrap/>
            <w:hideMark/>
          </w:tcPr>
          <w:p w14:paraId="2EE79839"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0.57%</w:t>
            </w:r>
          </w:p>
        </w:tc>
        <w:tc>
          <w:tcPr>
            <w:tcW w:w="710" w:type="pct"/>
            <w:tcBorders>
              <w:top w:val="nil"/>
              <w:left w:val="nil"/>
              <w:bottom w:val="single" w:sz="4" w:space="0" w:color="auto"/>
              <w:right w:val="single" w:sz="4" w:space="0" w:color="auto"/>
            </w:tcBorders>
            <w:shd w:val="clear" w:color="auto" w:fill="auto"/>
            <w:noWrap/>
            <w:hideMark/>
          </w:tcPr>
          <w:p w14:paraId="05C7937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5471A82E"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-0.57%</w:t>
            </w:r>
          </w:p>
        </w:tc>
        <w:tc>
          <w:tcPr>
            <w:tcW w:w="708" w:type="pct"/>
            <w:tcBorders>
              <w:top w:val="nil"/>
              <w:left w:val="nil"/>
              <w:bottom w:val="single" w:sz="4" w:space="0" w:color="auto"/>
              <w:right w:val="single" w:sz="4" w:space="0" w:color="auto"/>
            </w:tcBorders>
            <w:shd w:val="clear" w:color="auto" w:fill="auto"/>
            <w:noWrap/>
            <w:hideMark/>
          </w:tcPr>
          <w:p w14:paraId="274DC60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-1.14%</w:t>
            </w:r>
          </w:p>
        </w:tc>
      </w:tr>
      <w:tr w:rsidR="00814D19" w:rsidRPr="007933B6" w14:paraId="4C63BB29" w14:textId="77777777" w:rsidTr="00CE438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DC1A558"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宗地形状及可利用程度</w:t>
            </w:r>
          </w:p>
        </w:tc>
        <w:tc>
          <w:tcPr>
            <w:tcW w:w="710" w:type="pct"/>
            <w:tcBorders>
              <w:top w:val="nil"/>
              <w:left w:val="nil"/>
              <w:bottom w:val="single" w:sz="4" w:space="0" w:color="auto"/>
              <w:right w:val="single" w:sz="4" w:space="0" w:color="auto"/>
            </w:tcBorders>
            <w:shd w:val="clear" w:color="auto" w:fill="auto"/>
            <w:noWrap/>
            <w:hideMark/>
          </w:tcPr>
          <w:p w14:paraId="08F1131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0.48%</w:t>
            </w:r>
          </w:p>
        </w:tc>
        <w:tc>
          <w:tcPr>
            <w:tcW w:w="710" w:type="pct"/>
            <w:tcBorders>
              <w:top w:val="nil"/>
              <w:left w:val="nil"/>
              <w:bottom w:val="single" w:sz="4" w:space="0" w:color="auto"/>
              <w:right w:val="single" w:sz="4" w:space="0" w:color="auto"/>
            </w:tcBorders>
            <w:shd w:val="clear" w:color="auto" w:fill="auto"/>
            <w:noWrap/>
            <w:hideMark/>
          </w:tcPr>
          <w:p w14:paraId="2375FF0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0.24%</w:t>
            </w:r>
          </w:p>
        </w:tc>
        <w:tc>
          <w:tcPr>
            <w:tcW w:w="710" w:type="pct"/>
            <w:tcBorders>
              <w:top w:val="nil"/>
              <w:left w:val="nil"/>
              <w:bottom w:val="single" w:sz="4" w:space="0" w:color="auto"/>
              <w:right w:val="single" w:sz="4" w:space="0" w:color="auto"/>
            </w:tcBorders>
            <w:shd w:val="clear" w:color="auto" w:fill="auto"/>
            <w:noWrap/>
            <w:hideMark/>
          </w:tcPr>
          <w:p w14:paraId="00C630DA"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4E4CC53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-0.24%</w:t>
            </w:r>
          </w:p>
        </w:tc>
        <w:tc>
          <w:tcPr>
            <w:tcW w:w="708" w:type="pct"/>
            <w:tcBorders>
              <w:top w:val="nil"/>
              <w:left w:val="nil"/>
              <w:bottom w:val="single" w:sz="4" w:space="0" w:color="auto"/>
              <w:right w:val="single" w:sz="4" w:space="0" w:color="auto"/>
            </w:tcBorders>
            <w:shd w:val="clear" w:color="auto" w:fill="auto"/>
            <w:noWrap/>
            <w:hideMark/>
          </w:tcPr>
          <w:p w14:paraId="72373E73"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-0.48%</w:t>
            </w:r>
          </w:p>
        </w:tc>
      </w:tr>
      <w:tr w:rsidR="00814D19" w:rsidRPr="007933B6" w14:paraId="68E913FE" w14:textId="77777777" w:rsidTr="00CE438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90FF7A0"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自然和人文环境状况</w:t>
            </w:r>
          </w:p>
        </w:tc>
        <w:tc>
          <w:tcPr>
            <w:tcW w:w="710" w:type="pct"/>
            <w:tcBorders>
              <w:top w:val="nil"/>
              <w:left w:val="nil"/>
              <w:bottom w:val="single" w:sz="4" w:space="0" w:color="auto"/>
              <w:right w:val="single" w:sz="4" w:space="0" w:color="auto"/>
            </w:tcBorders>
            <w:shd w:val="clear" w:color="auto" w:fill="auto"/>
            <w:noWrap/>
            <w:hideMark/>
          </w:tcPr>
          <w:p w14:paraId="649B85E5"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1.44%</w:t>
            </w:r>
          </w:p>
        </w:tc>
        <w:tc>
          <w:tcPr>
            <w:tcW w:w="710" w:type="pct"/>
            <w:tcBorders>
              <w:top w:val="nil"/>
              <w:left w:val="nil"/>
              <w:bottom w:val="single" w:sz="4" w:space="0" w:color="auto"/>
              <w:right w:val="single" w:sz="4" w:space="0" w:color="auto"/>
            </w:tcBorders>
            <w:shd w:val="clear" w:color="auto" w:fill="auto"/>
            <w:noWrap/>
            <w:hideMark/>
          </w:tcPr>
          <w:p w14:paraId="3D6C9B0D"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0.72%</w:t>
            </w:r>
          </w:p>
        </w:tc>
        <w:tc>
          <w:tcPr>
            <w:tcW w:w="710" w:type="pct"/>
            <w:tcBorders>
              <w:top w:val="nil"/>
              <w:left w:val="nil"/>
              <w:bottom w:val="single" w:sz="4" w:space="0" w:color="auto"/>
              <w:right w:val="single" w:sz="4" w:space="0" w:color="auto"/>
            </w:tcBorders>
            <w:shd w:val="clear" w:color="auto" w:fill="auto"/>
            <w:noWrap/>
            <w:hideMark/>
          </w:tcPr>
          <w:p w14:paraId="0A851B0A"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2F6B15E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-0.72%</w:t>
            </w:r>
          </w:p>
        </w:tc>
        <w:tc>
          <w:tcPr>
            <w:tcW w:w="708" w:type="pct"/>
            <w:tcBorders>
              <w:top w:val="nil"/>
              <w:left w:val="nil"/>
              <w:bottom w:val="single" w:sz="4" w:space="0" w:color="auto"/>
              <w:right w:val="single" w:sz="4" w:space="0" w:color="auto"/>
            </w:tcBorders>
            <w:shd w:val="clear" w:color="auto" w:fill="auto"/>
            <w:noWrap/>
            <w:hideMark/>
          </w:tcPr>
          <w:p w14:paraId="3A339BB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-1.44%</w:t>
            </w:r>
          </w:p>
        </w:tc>
      </w:tr>
      <w:tr w:rsidR="00814D19" w:rsidRPr="007933B6" w14:paraId="417DD9DB" w14:textId="77777777" w:rsidTr="00CE438D">
        <w:trPr>
          <w:trHeight w:val="270"/>
        </w:trPr>
        <w:tc>
          <w:tcPr>
            <w:tcW w:w="1452" w:type="pct"/>
            <w:tcBorders>
              <w:top w:val="nil"/>
              <w:left w:val="single" w:sz="4" w:space="0" w:color="auto"/>
              <w:bottom w:val="single" w:sz="4" w:space="0" w:color="auto"/>
              <w:right w:val="single" w:sz="4" w:space="0" w:color="auto"/>
            </w:tcBorders>
            <w:shd w:val="clear" w:color="auto" w:fill="auto"/>
            <w:noWrap/>
            <w:hideMark/>
          </w:tcPr>
          <w:p w14:paraId="50B0DBAD"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与区域中心接近程度好</w:t>
            </w:r>
          </w:p>
        </w:tc>
        <w:tc>
          <w:tcPr>
            <w:tcW w:w="710" w:type="pct"/>
            <w:tcBorders>
              <w:top w:val="nil"/>
              <w:left w:val="nil"/>
              <w:bottom w:val="single" w:sz="4" w:space="0" w:color="auto"/>
              <w:right w:val="single" w:sz="4" w:space="0" w:color="auto"/>
            </w:tcBorders>
            <w:shd w:val="clear" w:color="auto" w:fill="auto"/>
            <w:noWrap/>
            <w:hideMark/>
          </w:tcPr>
          <w:p w14:paraId="2BE864F9"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0D76783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0.19%</w:t>
            </w:r>
          </w:p>
        </w:tc>
        <w:tc>
          <w:tcPr>
            <w:tcW w:w="710" w:type="pct"/>
            <w:tcBorders>
              <w:top w:val="nil"/>
              <w:left w:val="nil"/>
              <w:bottom w:val="single" w:sz="4" w:space="0" w:color="auto"/>
              <w:right w:val="single" w:sz="4" w:space="0" w:color="auto"/>
            </w:tcBorders>
            <w:shd w:val="clear" w:color="auto" w:fill="auto"/>
            <w:noWrap/>
            <w:hideMark/>
          </w:tcPr>
          <w:p w14:paraId="14EF25C2"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3588516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-0.19%</w:t>
            </w:r>
          </w:p>
        </w:tc>
        <w:tc>
          <w:tcPr>
            <w:tcW w:w="708" w:type="pct"/>
            <w:tcBorders>
              <w:top w:val="nil"/>
              <w:left w:val="nil"/>
              <w:bottom w:val="single" w:sz="4" w:space="0" w:color="auto"/>
              <w:right w:val="single" w:sz="4" w:space="0" w:color="auto"/>
            </w:tcBorders>
            <w:shd w:val="clear" w:color="auto" w:fill="auto"/>
            <w:noWrap/>
            <w:hideMark/>
          </w:tcPr>
          <w:p w14:paraId="49A7B2A9"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-0.38%</w:t>
            </w:r>
          </w:p>
        </w:tc>
      </w:tr>
    </w:tbl>
    <w:p w14:paraId="141B85F2" w14:textId="77777777" w:rsidR="00814D19" w:rsidRPr="00F631FB" w:rsidRDefault="00814D19" w:rsidP="00814D19">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单位：</w:t>
      </w:r>
      <w:r w:rsidRPr="00F631FB">
        <w:rPr>
          <w:rFonts w:ascii="Arial" w:eastAsia="仿宋_GB2312" w:hAnsi="Arial" w:cs="Arial"/>
          <w:sz w:val="18"/>
          <w:szCs w:val="24"/>
        </w:rPr>
        <w:t>%</w:t>
      </w:r>
    </w:p>
    <w:p w14:paraId="7EEE5127" w14:textId="4B72A8B7" w:rsidR="00814D19" w:rsidRPr="00F631FB" w:rsidRDefault="00814D19" w:rsidP="00814D19">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估价对象因素修正系数表</w:t>
      </w:r>
    </w:p>
    <w:tbl>
      <w:tblPr>
        <w:tblW w:w="9280" w:type="dxa"/>
        <w:jc w:val="center"/>
        <w:tblLayout w:type="fixed"/>
        <w:tblLook w:val="04A0" w:firstRow="1" w:lastRow="0" w:firstColumn="1" w:lastColumn="0" w:noHBand="0" w:noVBand="1"/>
      </w:tblPr>
      <w:tblGrid>
        <w:gridCol w:w="572"/>
        <w:gridCol w:w="2127"/>
        <w:gridCol w:w="4819"/>
        <w:gridCol w:w="709"/>
        <w:gridCol w:w="1053"/>
      </w:tblGrid>
      <w:tr w:rsidR="00814D19" w:rsidRPr="007933B6" w14:paraId="3EFA0374" w14:textId="77777777" w:rsidTr="00CE438D">
        <w:trPr>
          <w:trHeight w:val="20"/>
          <w:tblHeader/>
          <w:jc w:val="center"/>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C46DF"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序号</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7279CA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影响因素</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55B24D26"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4467C6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等级</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0F1F4DD8"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修正系数</w:t>
            </w:r>
          </w:p>
        </w:tc>
      </w:tr>
      <w:tr w:rsidR="00814D19" w:rsidRPr="007933B6" w14:paraId="6EC48A4D"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8634485"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a</w:t>
            </w:r>
          </w:p>
        </w:tc>
        <w:tc>
          <w:tcPr>
            <w:tcW w:w="2127" w:type="dxa"/>
            <w:tcBorders>
              <w:top w:val="nil"/>
              <w:left w:val="nil"/>
              <w:bottom w:val="single" w:sz="4" w:space="0" w:color="auto"/>
              <w:right w:val="single" w:sz="4" w:space="0" w:color="auto"/>
            </w:tcBorders>
            <w:shd w:val="clear" w:color="auto" w:fill="auto"/>
            <w:vAlign w:val="center"/>
            <w:hideMark/>
          </w:tcPr>
          <w:p w14:paraId="334871D1"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居住社区成熟度</w:t>
            </w:r>
          </w:p>
        </w:tc>
        <w:tc>
          <w:tcPr>
            <w:tcW w:w="4819" w:type="dxa"/>
            <w:tcBorders>
              <w:top w:val="nil"/>
              <w:left w:val="nil"/>
              <w:bottom w:val="single" w:sz="4" w:space="0" w:color="auto"/>
              <w:right w:val="single" w:sz="4" w:space="0" w:color="auto"/>
            </w:tcBorders>
            <w:shd w:val="clear" w:color="auto" w:fill="auto"/>
            <w:vAlign w:val="center"/>
            <w:hideMark/>
          </w:tcPr>
          <w:p w14:paraId="7D432E0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估价对象周边有海淀南路</w:t>
            </w:r>
            <w:r w:rsidRPr="007933B6">
              <w:rPr>
                <w:rFonts w:ascii="Arial" w:eastAsia="仿宋_GB2312" w:hAnsi="Arial" w:cs="Arial"/>
                <w:sz w:val="18"/>
                <w:szCs w:val="18"/>
              </w:rPr>
              <w:t>24</w:t>
            </w:r>
            <w:r w:rsidRPr="007933B6">
              <w:rPr>
                <w:rFonts w:ascii="Arial" w:eastAsia="仿宋_GB2312" w:hAnsi="Arial" w:cs="Arial"/>
                <w:sz w:val="18"/>
                <w:szCs w:val="18"/>
              </w:rPr>
              <w:t>号院、飞达社区、海淀区苏州街</w:t>
            </w:r>
            <w:r w:rsidRPr="007933B6">
              <w:rPr>
                <w:rFonts w:ascii="Arial" w:eastAsia="仿宋_GB2312" w:hAnsi="Arial" w:cs="Arial"/>
                <w:sz w:val="18"/>
                <w:szCs w:val="18"/>
              </w:rPr>
              <w:t>77</w:t>
            </w:r>
            <w:r w:rsidRPr="007933B6">
              <w:rPr>
                <w:rFonts w:ascii="Arial" w:eastAsia="仿宋_GB2312" w:hAnsi="Arial" w:cs="Arial"/>
                <w:sz w:val="18"/>
                <w:szCs w:val="18"/>
              </w:rPr>
              <w:t>号院、倒座庙</w:t>
            </w:r>
            <w:r w:rsidRPr="007933B6">
              <w:rPr>
                <w:rFonts w:ascii="Arial" w:eastAsia="仿宋_GB2312" w:hAnsi="Arial" w:cs="Arial"/>
                <w:sz w:val="18"/>
                <w:szCs w:val="18"/>
              </w:rPr>
              <w:t>1</w:t>
            </w:r>
            <w:r w:rsidRPr="007933B6">
              <w:rPr>
                <w:rFonts w:ascii="Arial" w:eastAsia="仿宋_GB2312" w:hAnsi="Arial" w:cs="Arial"/>
                <w:sz w:val="18"/>
                <w:szCs w:val="18"/>
              </w:rPr>
              <w:t>号院、海淀南路</w:t>
            </w:r>
            <w:r w:rsidRPr="007933B6">
              <w:rPr>
                <w:rFonts w:ascii="Arial" w:eastAsia="仿宋_GB2312" w:hAnsi="Arial" w:cs="Arial"/>
                <w:sz w:val="18"/>
                <w:szCs w:val="18"/>
              </w:rPr>
              <w:t>31</w:t>
            </w:r>
            <w:r w:rsidRPr="007933B6">
              <w:rPr>
                <w:rFonts w:ascii="Arial" w:eastAsia="仿宋_GB2312" w:hAnsi="Arial" w:cs="Arial"/>
                <w:sz w:val="18"/>
                <w:szCs w:val="18"/>
              </w:rPr>
              <w:t>号院等居住小区，入住率较好，居住社区成熟度较好。</w:t>
            </w:r>
          </w:p>
        </w:tc>
        <w:tc>
          <w:tcPr>
            <w:tcW w:w="709" w:type="dxa"/>
            <w:tcBorders>
              <w:top w:val="nil"/>
              <w:left w:val="nil"/>
              <w:bottom w:val="single" w:sz="4" w:space="0" w:color="auto"/>
              <w:right w:val="single" w:sz="4" w:space="0" w:color="auto"/>
            </w:tcBorders>
            <w:shd w:val="clear" w:color="auto" w:fill="auto"/>
            <w:vAlign w:val="center"/>
            <w:hideMark/>
          </w:tcPr>
          <w:p w14:paraId="154A7B5F"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656BAC79"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0.67%</w:t>
            </w:r>
          </w:p>
        </w:tc>
      </w:tr>
      <w:tr w:rsidR="00814D19" w:rsidRPr="007933B6" w14:paraId="32FD98A2"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4FA9ED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b</w:t>
            </w:r>
          </w:p>
        </w:tc>
        <w:tc>
          <w:tcPr>
            <w:tcW w:w="2127" w:type="dxa"/>
            <w:tcBorders>
              <w:top w:val="nil"/>
              <w:left w:val="nil"/>
              <w:bottom w:val="single" w:sz="4" w:space="0" w:color="auto"/>
              <w:right w:val="single" w:sz="4" w:space="0" w:color="auto"/>
            </w:tcBorders>
            <w:shd w:val="clear" w:color="auto" w:fill="auto"/>
            <w:vAlign w:val="center"/>
            <w:hideMark/>
          </w:tcPr>
          <w:p w14:paraId="1DAC631E"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交通便捷度</w:t>
            </w:r>
          </w:p>
        </w:tc>
        <w:tc>
          <w:tcPr>
            <w:tcW w:w="4819" w:type="dxa"/>
            <w:tcBorders>
              <w:top w:val="nil"/>
              <w:left w:val="nil"/>
              <w:bottom w:val="single" w:sz="4" w:space="0" w:color="auto"/>
              <w:right w:val="single" w:sz="4" w:space="0" w:color="auto"/>
            </w:tcBorders>
            <w:shd w:val="clear" w:color="auto" w:fill="auto"/>
            <w:vAlign w:val="center"/>
            <w:hideMark/>
          </w:tcPr>
          <w:p w14:paraId="79633489"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估价对象紧邻城市主干道</w:t>
            </w:r>
            <w:r w:rsidRPr="007933B6">
              <w:rPr>
                <w:rFonts w:ascii="Arial" w:eastAsia="仿宋_GB2312" w:hAnsi="Arial" w:cs="Arial"/>
                <w:sz w:val="18"/>
                <w:szCs w:val="18"/>
              </w:rPr>
              <w:t>—</w:t>
            </w:r>
            <w:r w:rsidRPr="007933B6">
              <w:rPr>
                <w:rFonts w:ascii="Arial" w:eastAsia="仿宋_GB2312" w:hAnsi="Arial" w:cs="Arial"/>
                <w:sz w:val="18"/>
                <w:szCs w:val="18"/>
              </w:rPr>
              <w:t>海淀南路、苏州街，南距北三环西路约</w:t>
            </w:r>
            <w:r w:rsidRPr="007933B6">
              <w:rPr>
                <w:rFonts w:ascii="Arial" w:eastAsia="仿宋_GB2312" w:hAnsi="Arial" w:cs="Arial"/>
                <w:sz w:val="18"/>
                <w:szCs w:val="18"/>
              </w:rPr>
              <w:t>1500</w:t>
            </w:r>
            <w:r w:rsidRPr="007933B6">
              <w:rPr>
                <w:rFonts w:ascii="Arial" w:eastAsia="仿宋_GB2312" w:hAnsi="Arial" w:cs="Arial"/>
                <w:sz w:val="18"/>
                <w:szCs w:val="18"/>
              </w:rPr>
              <w:t>米，距北京首都国际机场约</w:t>
            </w:r>
            <w:r w:rsidRPr="007933B6">
              <w:rPr>
                <w:rFonts w:ascii="Arial" w:eastAsia="仿宋_GB2312" w:hAnsi="Arial" w:cs="Arial"/>
                <w:sz w:val="18"/>
                <w:szCs w:val="18"/>
              </w:rPr>
              <w:t>29</w:t>
            </w:r>
            <w:r w:rsidRPr="007933B6">
              <w:rPr>
                <w:rFonts w:ascii="Arial" w:eastAsia="仿宋_GB2312" w:hAnsi="Arial" w:cs="Arial"/>
                <w:sz w:val="18"/>
                <w:szCs w:val="18"/>
              </w:rPr>
              <w:t>公里，距北京站约</w:t>
            </w:r>
            <w:r w:rsidRPr="007933B6">
              <w:rPr>
                <w:rFonts w:ascii="Arial" w:eastAsia="仿宋_GB2312" w:hAnsi="Arial" w:cs="Arial"/>
                <w:sz w:val="18"/>
                <w:szCs w:val="18"/>
              </w:rPr>
              <w:t>13</w:t>
            </w:r>
            <w:r w:rsidRPr="007933B6">
              <w:rPr>
                <w:rFonts w:ascii="Arial" w:eastAsia="仿宋_GB2312" w:hAnsi="Arial" w:cs="Arial"/>
                <w:sz w:val="18"/>
                <w:szCs w:val="18"/>
              </w:rPr>
              <w:t>公里，紧邻地铁</w:t>
            </w:r>
            <w:r w:rsidRPr="007933B6">
              <w:rPr>
                <w:rFonts w:ascii="Arial" w:eastAsia="仿宋_GB2312" w:hAnsi="Arial" w:cs="Arial"/>
                <w:sz w:val="18"/>
                <w:szCs w:val="18"/>
              </w:rPr>
              <w:t>10</w:t>
            </w:r>
            <w:r w:rsidRPr="007933B6">
              <w:rPr>
                <w:rFonts w:ascii="Arial" w:eastAsia="仿宋_GB2312" w:hAnsi="Arial" w:cs="Arial"/>
                <w:sz w:val="18"/>
                <w:szCs w:val="18"/>
              </w:rPr>
              <w:t>、</w:t>
            </w:r>
            <w:r w:rsidRPr="007933B6">
              <w:rPr>
                <w:rFonts w:ascii="Arial" w:eastAsia="仿宋_GB2312" w:hAnsi="Arial" w:cs="Arial"/>
                <w:sz w:val="18"/>
                <w:szCs w:val="18"/>
              </w:rPr>
              <w:t>16</w:t>
            </w:r>
            <w:r w:rsidRPr="007933B6">
              <w:rPr>
                <w:rFonts w:ascii="Arial" w:eastAsia="仿宋_GB2312" w:hAnsi="Arial" w:cs="Arial"/>
                <w:sz w:val="18"/>
                <w:szCs w:val="18"/>
              </w:rPr>
              <w:t>号线（苏州街站），周边有</w:t>
            </w:r>
            <w:r w:rsidRPr="007933B6">
              <w:rPr>
                <w:rFonts w:ascii="Arial" w:eastAsia="仿宋_GB2312" w:hAnsi="Arial" w:cs="Arial"/>
                <w:sz w:val="18"/>
                <w:szCs w:val="18"/>
              </w:rPr>
              <w:t>304</w:t>
            </w:r>
            <w:r w:rsidRPr="007933B6">
              <w:rPr>
                <w:rFonts w:ascii="Arial" w:eastAsia="仿宋_GB2312" w:hAnsi="Arial" w:cs="Arial"/>
                <w:sz w:val="18"/>
                <w:szCs w:val="18"/>
              </w:rPr>
              <w:t>路、</w:t>
            </w:r>
            <w:r w:rsidRPr="007933B6">
              <w:rPr>
                <w:rFonts w:ascii="Arial" w:eastAsia="仿宋_GB2312" w:hAnsi="Arial" w:cs="Arial"/>
                <w:sz w:val="18"/>
                <w:szCs w:val="18"/>
              </w:rPr>
              <w:t>307</w:t>
            </w:r>
            <w:r w:rsidRPr="007933B6">
              <w:rPr>
                <w:rFonts w:ascii="Arial" w:eastAsia="仿宋_GB2312" w:hAnsi="Arial" w:cs="Arial"/>
                <w:sz w:val="18"/>
                <w:szCs w:val="18"/>
              </w:rPr>
              <w:t>路、</w:t>
            </w:r>
            <w:r w:rsidRPr="007933B6">
              <w:rPr>
                <w:rFonts w:ascii="Arial" w:eastAsia="仿宋_GB2312" w:hAnsi="Arial" w:cs="Arial"/>
                <w:sz w:val="18"/>
                <w:szCs w:val="18"/>
              </w:rPr>
              <w:t>386</w:t>
            </w:r>
            <w:r w:rsidRPr="007933B6">
              <w:rPr>
                <w:rFonts w:ascii="Arial" w:eastAsia="仿宋_GB2312" w:hAnsi="Arial" w:cs="Arial"/>
                <w:sz w:val="18"/>
                <w:szCs w:val="18"/>
              </w:rPr>
              <w:t>路、</w:t>
            </w:r>
            <w:r w:rsidRPr="007933B6">
              <w:rPr>
                <w:rFonts w:ascii="Arial" w:eastAsia="仿宋_GB2312" w:hAnsi="Arial" w:cs="Arial"/>
                <w:sz w:val="18"/>
                <w:szCs w:val="18"/>
              </w:rPr>
              <w:t>630</w:t>
            </w:r>
            <w:r w:rsidRPr="007933B6">
              <w:rPr>
                <w:rFonts w:ascii="Arial" w:eastAsia="仿宋_GB2312" w:hAnsi="Arial" w:cs="Arial"/>
                <w:sz w:val="18"/>
                <w:szCs w:val="18"/>
              </w:rPr>
              <w:t>路、</w:t>
            </w:r>
            <w:r w:rsidRPr="007933B6">
              <w:rPr>
                <w:rFonts w:ascii="Arial" w:eastAsia="仿宋_GB2312" w:hAnsi="Arial" w:cs="Arial"/>
                <w:sz w:val="18"/>
                <w:szCs w:val="18"/>
              </w:rPr>
              <w:t>634</w:t>
            </w:r>
            <w:r w:rsidRPr="007933B6">
              <w:rPr>
                <w:rFonts w:ascii="Arial" w:eastAsia="仿宋_GB2312" w:hAnsi="Arial" w:cs="Arial"/>
                <w:sz w:val="18"/>
                <w:szCs w:val="18"/>
              </w:rPr>
              <w:t>路、</w:t>
            </w:r>
            <w:r w:rsidRPr="007933B6">
              <w:rPr>
                <w:rFonts w:ascii="Arial" w:eastAsia="仿宋_GB2312" w:hAnsi="Arial" w:cs="Arial"/>
                <w:sz w:val="18"/>
                <w:szCs w:val="18"/>
              </w:rPr>
              <w:t>671</w:t>
            </w:r>
            <w:r w:rsidRPr="007933B6">
              <w:rPr>
                <w:rFonts w:ascii="Arial" w:eastAsia="仿宋_GB2312" w:hAnsi="Arial" w:cs="Arial"/>
                <w:sz w:val="18"/>
                <w:szCs w:val="18"/>
              </w:rPr>
              <w:t>路等多条公交线路通过，综合评价交通便捷度较好。</w:t>
            </w:r>
          </w:p>
        </w:tc>
        <w:tc>
          <w:tcPr>
            <w:tcW w:w="709" w:type="dxa"/>
            <w:tcBorders>
              <w:top w:val="nil"/>
              <w:left w:val="nil"/>
              <w:bottom w:val="single" w:sz="4" w:space="0" w:color="auto"/>
              <w:right w:val="single" w:sz="4" w:space="0" w:color="auto"/>
            </w:tcBorders>
            <w:shd w:val="clear" w:color="auto" w:fill="auto"/>
            <w:vAlign w:val="center"/>
            <w:hideMark/>
          </w:tcPr>
          <w:p w14:paraId="6DE36646"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47D78B08"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1.44%</w:t>
            </w:r>
          </w:p>
        </w:tc>
      </w:tr>
      <w:tr w:rsidR="00814D19" w:rsidRPr="007933B6" w14:paraId="284CF89E"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5D559D1"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c</w:t>
            </w:r>
          </w:p>
        </w:tc>
        <w:tc>
          <w:tcPr>
            <w:tcW w:w="2127" w:type="dxa"/>
            <w:tcBorders>
              <w:top w:val="nil"/>
              <w:left w:val="nil"/>
              <w:bottom w:val="single" w:sz="4" w:space="0" w:color="auto"/>
              <w:right w:val="single" w:sz="4" w:space="0" w:color="auto"/>
            </w:tcBorders>
            <w:shd w:val="clear" w:color="auto" w:fill="auto"/>
            <w:vAlign w:val="center"/>
            <w:hideMark/>
          </w:tcPr>
          <w:p w14:paraId="24E36E09"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区域土地利用方向</w:t>
            </w:r>
          </w:p>
        </w:tc>
        <w:tc>
          <w:tcPr>
            <w:tcW w:w="4819" w:type="dxa"/>
            <w:tcBorders>
              <w:top w:val="nil"/>
              <w:left w:val="nil"/>
              <w:bottom w:val="single" w:sz="4" w:space="0" w:color="auto"/>
              <w:right w:val="single" w:sz="4" w:space="0" w:color="auto"/>
            </w:tcBorders>
            <w:shd w:val="clear" w:color="auto" w:fill="auto"/>
            <w:vAlign w:val="center"/>
            <w:hideMark/>
          </w:tcPr>
          <w:p w14:paraId="44011135"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14:paraId="77FDF218"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643D8CBC"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0.38%</w:t>
            </w:r>
          </w:p>
        </w:tc>
      </w:tr>
      <w:tr w:rsidR="00814D19" w:rsidRPr="007933B6" w14:paraId="2F91BC01"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BEA839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d</w:t>
            </w:r>
          </w:p>
        </w:tc>
        <w:tc>
          <w:tcPr>
            <w:tcW w:w="2127" w:type="dxa"/>
            <w:tcBorders>
              <w:top w:val="nil"/>
              <w:left w:val="nil"/>
              <w:bottom w:val="single" w:sz="4" w:space="0" w:color="auto"/>
              <w:right w:val="single" w:sz="4" w:space="0" w:color="auto"/>
            </w:tcBorders>
            <w:shd w:val="clear" w:color="auto" w:fill="auto"/>
            <w:vAlign w:val="center"/>
            <w:hideMark/>
          </w:tcPr>
          <w:p w14:paraId="5EC7088D"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临路状况</w:t>
            </w:r>
          </w:p>
        </w:tc>
        <w:tc>
          <w:tcPr>
            <w:tcW w:w="4819" w:type="dxa"/>
            <w:tcBorders>
              <w:top w:val="nil"/>
              <w:left w:val="nil"/>
              <w:bottom w:val="single" w:sz="4" w:space="0" w:color="auto"/>
              <w:right w:val="single" w:sz="4" w:space="0" w:color="auto"/>
            </w:tcBorders>
            <w:shd w:val="clear" w:color="auto" w:fill="auto"/>
            <w:vAlign w:val="center"/>
            <w:hideMark/>
          </w:tcPr>
          <w:p w14:paraId="149FFB1E"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城市主干道</w:t>
            </w:r>
            <w:r w:rsidRPr="007933B6">
              <w:rPr>
                <w:rFonts w:ascii="Arial" w:eastAsia="仿宋_GB2312" w:hAnsi="Arial" w:cs="Arial"/>
                <w:sz w:val="18"/>
                <w:szCs w:val="18"/>
              </w:rPr>
              <w:t>—</w:t>
            </w:r>
            <w:r w:rsidRPr="007933B6">
              <w:rPr>
                <w:rFonts w:ascii="Arial" w:eastAsia="仿宋_GB2312" w:hAnsi="Arial" w:cs="Arial"/>
                <w:sz w:val="18"/>
                <w:szCs w:val="18"/>
              </w:rPr>
              <w:t>海淀南路</w:t>
            </w:r>
          </w:p>
        </w:tc>
        <w:tc>
          <w:tcPr>
            <w:tcW w:w="709" w:type="dxa"/>
            <w:tcBorders>
              <w:top w:val="nil"/>
              <w:left w:val="nil"/>
              <w:bottom w:val="single" w:sz="4" w:space="0" w:color="auto"/>
              <w:right w:val="single" w:sz="4" w:space="0" w:color="auto"/>
            </w:tcBorders>
            <w:shd w:val="clear" w:color="auto" w:fill="auto"/>
            <w:vAlign w:val="center"/>
            <w:hideMark/>
          </w:tcPr>
          <w:p w14:paraId="587164F8"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113B6B58"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0.19%</w:t>
            </w:r>
          </w:p>
        </w:tc>
      </w:tr>
      <w:tr w:rsidR="00814D19" w:rsidRPr="007933B6" w14:paraId="434D1818"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4E62C36"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e</w:t>
            </w:r>
          </w:p>
        </w:tc>
        <w:tc>
          <w:tcPr>
            <w:tcW w:w="2127" w:type="dxa"/>
            <w:tcBorders>
              <w:top w:val="nil"/>
              <w:left w:val="nil"/>
              <w:bottom w:val="single" w:sz="4" w:space="0" w:color="auto"/>
              <w:right w:val="single" w:sz="4" w:space="0" w:color="auto"/>
            </w:tcBorders>
            <w:shd w:val="clear" w:color="auto" w:fill="auto"/>
            <w:vAlign w:val="center"/>
            <w:hideMark/>
          </w:tcPr>
          <w:p w14:paraId="0D3ACFCA"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公共服务设施状况</w:t>
            </w:r>
          </w:p>
        </w:tc>
        <w:tc>
          <w:tcPr>
            <w:tcW w:w="4819" w:type="dxa"/>
            <w:tcBorders>
              <w:top w:val="nil"/>
              <w:left w:val="nil"/>
              <w:bottom w:val="single" w:sz="4" w:space="0" w:color="auto"/>
              <w:right w:val="single" w:sz="4" w:space="0" w:color="auto"/>
            </w:tcBorders>
            <w:shd w:val="clear" w:color="auto" w:fill="auto"/>
            <w:vAlign w:val="center"/>
            <w:hideMark/>
          </w:tcPr>
          <w:p w14:paraId="2442266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购物场所（新中关购物中心、</w:t>
            </w:r>
            <w:proofErr w:type="gramStart"/>
            <w:r w:rsidRPr="007933B6">
              <w:rPr>
                <w:rFonts w:ascii="Arial" w:eastAsia="仿宋_GB2312" w:hAnsi="Arial" w:cs="Arial"/>
                <w:sz w:val="18"/>
                <w:szCs w:val="18"/>
              </w:rPr>
              <w:t>领展购物</w:t>
            </w:r>
            <w:proofErr w:type="gramEnd"/>
            <w:r w:rsidRPr="007933B6">
              <w:rPr>
                <w:rFonts w:ascii="Arial" w:eastAsia="仿宋_GB2312" w:hAnsi="Arial" w:cs="Arial"/>
                <w:sz w:val="18"/>
                <w:szCs w:val="18"/>
              </w:rPr>
              <w:t>广场（中关村店）、</w:t>
            </w:r>
            <w:r w:rsidRPr="007933B6">
              <w:rPr>
                <w:rFonts w:ascii="Arial" w:eastAsia="仿宋_GB2312" w:hAnsi="Arial" w:cs="Arial"/>
                <w:sz w:val="18"/>
                <w:szCs w:val="18"/>
              </w:rPr>
              <w:t>BHG MALL</w:t>
            </w:r>
            <w:r w:rsidRPr="007933B6">
              <w:rPr>
                <w:rFonts w:ascii="Arial" w:eastAsia="仿宋_GB2312" w:hAnsi="Arial" w:cs="Arial"/>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709" w:type="dxa"/>
            <w:tcBorders>
              <w:top w:val="nil"/>
              <w:left w:val="nil"/>
              <w:bottom w:val="single" w:sz="4" w:space="0" w:color="auto"/>
              <w:right w:val="single" w:sz="4" w:space="0" w:color="auto"/>
            </w:tcBorders>
            <w:shd w:val="clear" w:color="auto" w:fill="auto"/>
            <w:vAlign w:val="center"/>
            <w:hideMark/>
          </w:tcPr>
          <w:p w14:paraId="18C7920A"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3B3A3697"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0.38%</w:t>
            </w:r>
          </w:p>
        </w:tc>
      </w:tr>
      <w:tr w:rsidR="00814D19" w:rsidRPr="007933B6" w14:paraId="398B6099"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FA2375E"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f</w:t>
            </w:r>
          </w:p>
        </w:tc>
        <w:tc>
          <w:tcPr>
            <w:tcW w:w="2127" w:type="dxa"/>
            <w:tcBorders>
              <w:top w:val="nil"/>
              <w:left w:val="nil"/>
              <w:bottom w:val="single" w:sz="4" w:space="0" w:color="auto"/>
              <w:right w:val="single" w:sz="4" w:space="0" w:color="auto"/>
            </w:tcBorders>
            <w:shd w:val="clear" w:color="auto" w:fill="auto"/>
            <w:vAlign w:val="center"/>
            <w:hideMark/>
          </w:tcPr>
          <w:p w14:paraId="0D330B83"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基础设施完备状况</w:t>
            </w:r>
          </w:p>
        </w:tc>
        <w:tc>
          <w:tcPr>
            <w:tcW w:w="4819" w:type="dxa"/>
            <w:tcBorders>
              <w:top w:val="nil"/>
              <w:left w:val="nil"/>
              <w:bottom w:val="single" w:sz="4" w:space="0" w:color="auto"/>
              <w:right w:val="single" w:sz="4" w:space="0" w:color="auto"/>
            </w:tcBorders>
            <w:shd w:val="clear" w:color="auto" w:fill="auto"/>
            <w:vAlign w:val="center"/>
            <w:hideMark/>
          </w:tcPr>
          <w:p w14:paraId="7A4D458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七通</w:t>
            </w:r>
          </w:p>
        </w:tc>
        <w:tc>
          <w:tcPr>
            <w:tcW w:w="709" w:type="dxa"/>
            <w:tcBorders>
              <w:top w:val="nil"/>
              <w:left w:val="nil"/>
              <w:bottom w:val="single" w:sz="4" w:space="0" w:color="auto"/>
              <w:right w:val="single" w:sz="4" w:space="0" w:color="auto"/>
            </w:tcBorders>
            <w:shd w:val="clear" w:color="auto" w:fill="auto"/>
            <w:vAlign w:val="center"/>
            <w:hideMark/>
          </w:tcPr>
          <w:p w14:paraId="01713AF1"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14:paraId="6FEEDC6E"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1.14%</w:t>
            </w:r>
          </w:p>
        </w:tc>
      </w:tr>
      <w:tr w:rsidR="00814D19" w:rsidRPr="007933B6" w14:paraId="117F2E3C"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3059D88"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g</w:t>
            </w:r>
          </w:p>
        </w:tc>
        <w:tc>
          <w:tcPr>
            <w:tcW w:w="2127" w:type="dxa"/>
            <w:tcBorders>
              <w:top w:val="nil"/>
              <w:left w:val="nil"/>
              <w:bottom w:val="single" w:sz="4" w:space="0" w:color="auto"/>
              <w:right w:val="single" w:sz="4" w:space="0" w:color="auto"/>
            </w:tcBorders>
            <w:shd w:val="clear" w:color="auto" w:fill="auto"/>
            <w:vAlign w:val="center"/>
            <w:hideMark/>
          </w:tcPr>
          <w:p w14:paraId="79793CF9"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宗地形状及可利用程度</w:t>
            </w:r>
          </w:p>
        </w:tc>
        <w:tc>
          <w:tcPr>
            <w:tcW w:w="4819" w:type="dxa"/>
            <w:tcBorders>
              <w:top w:val="nil"/>
              <w:left w:val="nil"/>
              <w:bottom w:val="single" w:sz="4" w:space="0" w:color="auto"/>
              <w:right w:val="single" w:sz="4" w:space="0" w:color="auto"/>
            </w:tcBorders>
            <w:shd w:val="clear" w:color="auto" w:fill="auto"/>
            <w:vAlign w:val="center"/>
            <w:hideMark/>
          </w:tcPr>
          <w:p w14:paraId="3B25231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宗地形状较规则</w:t>
            </w:r>
          </w:p>
        </w:tc>
        <w:tc>
          <w:tcPr>
            <w:tcW w:w="709" w:type="dxa"/>
            <w:tcBorders>
              <w:top w:val="nil"/>
              <w:left w:val="nil"/>
              <w:bottom w:val="single" w:sz="4" w:space="0" w:color="auto"/>
              <w:right w:val="single" w:sz="4" w:space="0" w:color="auto"/>
            </w:tcBorders>
            <w:shd w:val="clear" w:color="auto" w:fill="auto"/>
            <w:vAlign w:val="center"/>
            <w:hideMark/>
          </w:tcPr>
          <w:p w14:paraId="1AC08606"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66E24508"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0.24%</w:t>
            </w:r>
          </w:p>
        </w:tc>
      </w:tr>
      <w:tr w:rsidR="00814D19" w:rsidRPr="007933B6" w14:paraId="177841E2"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71D5D9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h</w:t>
            </w:r>
          </w:p>
        </w:tc>
        <w:tc>
          <w:tcPr>
            <w:tcW w:w="2127" w:type="dxa"/>
            <w:tcBorders>
              <w:top w:val="nil"/>
              <w:left w:val="nil"/>
              <w:bottom w:val="single" w:sz="4" w:space="0" w:color="auto"/>
              <w:right w:val="single" w:sz="4" w:space="0" w:color="auto"/>
            </w:tcBorders>
            <w:shd w:val="clear" w:color="auto" w:fill="auto"/>
            <w:vAlign w:val="center"/>
            <w:hideMark/>
          </w:tcPr>
          <w:p w14:paraId="1C9CEAC9"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自然和人文环境状况</w:t>
            </w:r>
          </w:p>
        </w:tc>
        <w:tc>
          <w:tcPr>
            <w:tcW w:w="4819" w:type="dxa"/>
            <w:tcBorders>
              <w:top w:val="nil"/>
              <w:left w:val="nil"/>
              <w:bottom w:val="single" w:sz="4" w:space="0" w:color="auto"/>
              <w:right w:val="single" w:sz="4" w:space="0" w:color="auto"/>
            </w:tcBorders>
            <w:shd w:val="clear" w:color="auto" w:fill="auto"/>
            <w:vAlign w:val="center"/>
            <w:hideMark/>
          </w:tcPr>
          <w:p w14:paraId="4AE7F4F0"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周边</w:t>
            </w:r>
            <w:r w:rsidRPr="007933B6">
              <w:rPr>
                <w:rFonts w:ascii="Arial" w:eastAsia="仿宋_GB2312" w:hAnsi="Arial" w:cs="Arial"/>
                <w:sz w:val="18"/>
                <w:szCs w:val="18"/>
              </w:rPr>
              <w:t>2</w:t>
            </w:r>
            <w:r w:rsidRPr="007933B6">
              <w:rPr>
                <w:rFonts w:ascii="Arial" w:eastAsia="仿宋_GB2312" w:hAnsi="Arial" w:cs="Arial"/>
                <w:sz w:val="18"/>
                <w:szCs w:val="18"/>
              </w:rPr>
              <w:t>公里内有海淀公园、知春公园、</w:t>
            </w:r>
            <w:proofErr w:type="gramStart"/>
            <w:r w:rsidRPr="007933B6">
              <w:rPr>
                <w:rFonts w:ascii="Arial" w:eastAsia="仿宋_GB2312" w:hAnsi="Arial" w:cs="Arial"/>
                <w:sz w:val="18"/>
                <w:szCs w:val="18"/>
              </w:rPr>
              <w:t>巴沟山水园</w:t>
            </w:r>
            <w:proofErr w:type="gramEnd"/>
            <w:r w:rsidRPr="007933B6">
              <w:rPr>
                <w:rFonts w:ascii="Arial" w:eastAsia="仿宋_GB2312" w:hAnsi="Arial" w:cs="Arial"/>
                <w:sz w:val="18"/>
                <w:szCs w:val="18"/>
              </w:rPr>
              <w:t>等；中国人民大学、北京大学等人文设施，综合考虑自然环境与人文环境较好。</w:t>
            </w:r>
          </w:p>
        </w:tc>
        <w:tc>
          <w:tcPr>
            <w:tcW w:w="709" w:type="dxa"/>
            <w:tcBorders>
              <w:top w:val="nil"/>
              <w:left w:val="nil"/>
              <w:bottom w:val="single" w:sz="4" w:space="0" w:color="auto"/>
              <w:right w:val="single" w:sz="4" w:space="0" w:color="auto"/>
            </w:tcBorders>
            <w:shd w:val="clear" w:color="auto" w:fill="auto"/>
            <w:vAlign w:val="center"/>
            <w:hideMark/>
          </w:tcPr>
          <w:p w14:paraId="3FAC85D0"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5896423F"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0.72%</w:t>
            </w:r>
          </w:p>
        </w:tc>
      </w:tr>
      <w:tr w:rsidR="00814D19" w:rsidRPr="007933B6" w14:paraId="5942A8BE"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B842A2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proofErr w:type="spellStart"/>
            <w:r w:rsidRPr="007933B6">
              <w:rPr>
                <w:rFonts w:ascii="Arial" w:eastAsia="仿宋_GB2312" w:hAnsi="Arial" w:cs="Arial"/>
                <w:sz w:val="18"/>
                <w:szCs w:val="18"/>
              </w:rPr>
              <w:t>i</w:t>
            </w:r>
            <w:proofErr w:type="spellEnd"/>
          </w:p>
        </w:tc>
        <w:tc>
          <w:tcPr>
            <w:tcW w:w="2127" w:type="dxa"/>
            <w:tcBorders>
              <w:top w:val="nil"/>
              <w:left w:val="nil"/>
              <w:bottom w:val="single" w:sz="4" w:space="0" w:color="auto"/>
              <w:right w:val="single" w:sz="4" w:space="0" w:color="auto"/>
            </w:tcBorders>
            <w:shd w:val="clear" w:color="auto" w:fill="auto"/>
            <w:vAlign w:val="center"/>
            <w:hideMark/>
          </w:tcPr>
          <w:p w14:paraId="18521D12"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与区域中心接近程度好</w:t>
            </w:r>
          </w:p>
        </w:tc>
        <w:tc>
          <w:tcPr>
            <w:tcW w:w="4819" w:type="dxa"/>
            <w:tcBorders>
              <w:top w:val="nil"/>
              <w:left w:val="nil"/>
              <w:bottom w:val="single" w:sz="4" w:space="0" w:color="auto"/>
              <w:right w:val="single" w:sz="4" w:space="0" w:color="auto"/>
            </w:tcBorders>
            <w:shd w:val="clear" w:color="auto" w:fill="auto"/>
            <w:vAlign w:val="center"/>
            <w:hideMark/>
          </w:tcPr>
          <w:p w14:paraId="2131FB9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较接近</w:t>
            </w:r>
          </w:p>
        </w:tc>
        <w:tc>
          <w:tcPr>
            <w:tcW w:w="709" w:type="dxa"/>
            <w:tcBorders>
              <w:top w:val="nil"/>
              <w:left w:val="nil"/>
              <w:bottom w:val="single" w:sz="4" w:space="0" w:color="auto"/>
              <w:right w:val="single" w:sz="4" w:space="0" w:color="auto"/>
            </w:tcBorders>
            <w:shd w:val="clear" w:color="auto" w:fill="auto"/>
            <w:vAlign w:val="center"/>
            <w:hideMark/>
          </w:tcPr>
          <w:p w14:paraId="158E286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09B0A8A6"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0.19%</w:t>
            </w:r>
          </w:p>
        </w:tc>
      </w:tr>
      <w:tr w:rsidR="00814D19" w:rsidRPr="007933B6" w14:paraId="1E98B9BD" w14:textId="77777777" w:rsidTr="00CE438D">
        <w:trPr>
          <w:trHeight w:val="20"/>
          <w:jc w:val="center"/>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5062F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合计（</w:t>
            </w:r>
            <w:r w:rsidRPr="007933B6">
              <w:rPr>
                <w:rFonts w:ascii="Arial" w:eastAsia="仿宋_GB2312" w:hAnsi="Arial" w:cs="Arial"/>
                <w:sz w:val="18"/>
                <w:szCs w:val="18"/>
              </w:rPr>
              <w:t>∑K</w:t>
            </w:r>
            <w:r w:rsidRPr="007933B6">
              <w:rPr>
                <w:rFonts w:ascii="Arial" w:eastAsia="仿宋_GB2312" w:hAnsi="Arial" w:cs="Arial"/>
                <w:sz w:val="18"/>
                <w:szCs w:val="18"/>
                <w:vertAlign w:val="subscript"/>
              </w:rPr>
              <w:t>i</w:t>
            </w:r>
            <w:r w:rsidRPr="007933B6">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3FF113FD"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5.35</w:t>
            </w:r>
            <w:r w:rsidRPr="007933B6">
              <w:rPr>
                <w:rFonts w:ascii="Arial" w:eastAsia="仿宋_GB2312" w:hAnsi="Arial" w:cs="Arial"/>
                <w:sz w:val="18"/>
                <w:szCs w:val="18"/>
              </w:rPr>
              <w:t>%</w:t>
            </w:r>
          </w:p>
        </w:tc>
      </w:tr>
      <w:tr w:rsidR="00814D19" w:rsidRPr="007933B6" w14:paraId="046D39E8" w14:textId="77777777" w:rsidTr="00CE438D">
        <w:trPr>
          <w:trHeight w:val="20"/>
          <w:jc w:val="center"/>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41A3F8E"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因素修正系数（</w:t>
            </w:r>
            <w:r w:rsidRPr="007933B6">
              <w:rPr>
                <w:rFonts w:ascii="Arial" w:eastAsia="仿宋_GB2312" w:hAnsi="Arial" w:cs="Arial"/>
                <w:sz w:val="18"/>
                <w:szCs w:val="18"/>
              </w:rPr>
              <w:t>1+∑K</w:t>
            </w:r>
            <w:r w:rsidRPr="007933B6">
              <w:rPr>
                <w:rFonts w:ascii="Arial" w:eastAsia="仿宋_GB2312" w:hAnsi="Arial" w:cs="Arial"/>
                <w:sz w:val="18"/>
                <w:szCs w:val="18"/>
                <w:vertAlign w:val="subscript"/>
              </w:rPr>
              <w:t>i</w:t>
            </w:r>
            <w:r w:rsidRPr="007933B6">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5E0517C1"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1.0</w:t>
            </w:r>
            <w:r>
              <w:rPr>
                <w:rFonts w:ascii="Arial" w:eastAsia="仿宋_GB2312" w:hAnsi="Arial" w:cs="Arial"/>
                <w:sz w:val="18"/>
                <w:szCs w:val="18"/>
              </w:rPr>
              <w:t>535</w:t>
            </w:r>
          </w:p>
        </w:tc>
      </w:tr>
    </w:tbl>
    <w:p w14:paraId="6D53373F" w14:textId="77777777" w:rsidR="00814D19" w:rsidRPr="00F631FB" w:rsidRDefault="00814D19" w:rsidP="00814D19">
      <w:pPr>
        <w:spacing w:line="240" w:lineRule="exact"/>
        <w:rPr>
          <w:rFonts w:ascii="Arial" w:eastAsia="仿宋_GB2312" w:hAnsi="Arial" w:cs="Arial"/>
          <w:sz w:val="18"/>
          <w:szCs w:val="24"/>
        </w:rPr>
      </w:pPr>
    </w:p>
    <w:p w14:paraId="2C7B4E0B" w14:textId="77777777" w:rsidR="00814D19" w:rsidRPr="00F631FB" w:rsidRDefault="00814D19" w:rsidP="00814D19">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7</w:t>
      </w:r>
      <w:r w:rsidRPr="00F631FB">
        <w:rPr>
          <w:rFonts w:ascii="Arial" w:eastAsia="仿宋_GB2312" w:hAnsi="Arial" w:cs="Arial"/>
          <w:sz w:val="28"/>
          <w:szCs w:val="28"/>
        </w:rPr>
        <w:t>）估价对象</w:t>
      </w:r>
      <w:r w:rsidRPr="00F631FB">
        <w:rPr>
          <w:rFonts w:ascii="Arial" w:eastAsia="仿宋_GB2312" w:hAnsi="Arial" w:cs="Arial" w:hint="eastAsia"/>
          <w:sz w:val="28"/>
          <w:szCs w:val="28"/>
        </w:rPr>
        <w:t>住宅</w:t>
      </w:r>
      <w:r w:rsidRPr="00F631FB">
        <w:rPr>
          <w:rFonts w:ascii="Arial" w:eastAsia="仿宋_GB2312" w:hAnsi="Arial" w:cs="Arial"/>
          <w:sz w:val="28"/>
          <w:szCs w:val="28"/>
        </w:rPr>
        <w:t>楼面熟地价</w:t>
      </w:r>
    </w:p>
    <w:p w14:paraId="116DD40A" w14:textId="77777777" w:rsidR="00814D19" w:rsidRPr="00F631FB" w:rsidRDefault="00814D19" w:rsidP="00814D19">
      <w:pPr>
        <w:spacing w:line="360" w:lineRule="auto"/>
        <w:ind w:firstLineChars="200" w:firstLine="560"/>
        <w:jc w:val="both"/>
        <w:rPr>
          <w:rFonts w:ascii="Arial" w:eastAsia="仿宋_GB2312" w:hAnsi="Arial" w:cs="Arial"/>
          <w:snapToGrid w:val="0"/>
          <w:sz w:val="28"/>
        </w:rPr>
      </w:pPr>
      <w:r w:rsidRPr="00F631FB">
        <w:rPr>
          <w:rFonts w:ascii="Arial" w:eastAsia="仿宋_GB2312" w:hAnsi="Arial" w:cs="Arial"/>
          <w:snapToGrid w:val="0"/>
          <w:sz w:val="28"/>
        </w:rPr>
        <w:t>楼面熟地价</w:t>
      </w:r>
    </w:p>
    <w:p w14:paraId="3D6C4785" w14:textId="77777777" w:rsidR="00814D19" w:rsidRPr="00F631FB" w:rsidRDefault="00814D19" w:rsidP="00814D19">
      <w:pPr>
        <w:spacing w:line="360" w:lineRule="auto"/>
        <w:ind w:firstLineChars="200" w:firstLine="580"/>
        <w:jc w:val="both"/>
        <w:rPr>
          <w:rFonts w:ascii="Arial" w:eastAsia="仿宋_GB2312" w:hAnsi="Arial" w:cs="Arial"/>
          <w:snapToGrid w:val="0"/>
          <w:sz w:val="28"/>
        </w:rPr>
      </w:pPr>
      <w:r w:rsidRPr="00F631FB">
        <w:rPr>
          <w:rFonts w:ascii="Arial" w:eastAsia="仿宋_GB2312" w:hAnsi="Arial" w:cs="Arial"/>
          <w:sz w:val="29"/>
          <w:szCs w:val="29"/>
        </w:rPr>
        <w:t>＝</w:t>
      </w:r>
      <w:r w:rsidRPr="00F631FB">
        <w:rPr>
          <w:rFonts w:ascii="Arial" w:eastAsia="仿宋_GB2312" w:hAnsi="Arial" w:cs="Arial"/>
          <w:snapToGrid w:val="0"/>
          <w:sz w:val="28"/>
        </w:rPr>
        <w:t>适用的基准地价</w:t>
      </w:r>
      <w:r w:rsidRPr="00F631FB">
        <w:rPr>
          <w:rFonts w:ascii="Arial" w:eastAsia="仿宋_GB2312" w:hAnsi="Arial" w:cs="Arial"/>
          <w:sz w:val="29"/>
          <w:szCs w:val="29"/>
        </w:rPr>
        <w:t>×</w:t>
      </w:r>
      <w:r w:rsidRPr="00F631FB">
        <w:rPr>
          <w:rFonts w:ascii="Arial" w:eastAsia="仿宋_GB2312" w:hAnsi="Arial" w:cs="Arial"/>
          <w:snapToGrid w:val="0"/>
          <w:sz w:val="28"/>
        </w:rPr>
        <w:t>用途修正系数</w:t>
      </w:r>
      <w:r w:rsidRPr="00F631FB">
        <w:rPr>
          <w:rFonts w:ascii="Arial" w:eastAsia="仿宋_GB2312" w:hAnsi="Arial" w:cs="Arial"/>
          <w:sz w:val="29"/>
          <w:szCs w:val="29"/>
        </w:rPr>
        <w:t>×</w:t>
      </w:r>
      <w:r w:rsidRPr="00F631FB">
        <w:rPr>
          <w:rFonts w:ascii="Arial" w:eastAsia="仿宋_GB2312" w:hAnsi="Arial" w:cs="Arial"/>
          <w:snapToGrid w:val="0"/>
          <w:sz w:val="28"/>
        </w:rPr>
        <w:t>期日修正系数</w:t>
      </w:r>
      <w:r w:rsidRPr="00F631FB">
        <w:rPr>
          <w:rFonts w:ascii="Arial" w:eastAsia="仿宋_GB2312" w:hAnsi="Arial" w:cs="Arial"/>
          <w:sz w:val="29"/>
          <w:szCs w:val="29"/>
        </w:rPr>
        <w:t>×</w:t>
      </w:r>
      <w:r w:rsidRPr="00F631FB">
        <w:rPr>
          <w:rFonts w:ascii="Arial" w:eastAsia="仿宋_GB2312" w:hAnsi="Arial" w:cs="Arial"/>
          <w:snapToGrid w:val="0"/>
          <w:sz w:val="28"/>
        </w:rPr>
        <w:t>年期修正系数</w:t>
      </w:r>
    </w:p>
    <w:p w14:paraId="7E008285" w14:textId="77777777" w:rsidR="00814D19" w:rsidRPr="00F631FB" w:rsidRDefault="00814D19" w:rsidP="00814D19">
      <w:pPr>
        <w:spacing w:line="360" w:lineRule="auto"/>
        <w:ind w:firstLineChars="300" w:firstLine="870"/>
        <w:jc w:val="both"/>
        <w:rPr>
          <w:rFonts w:ascii="Arial" w:eastAsia="仿宋_GB2312" w:hAnsi="Arial" w:cs="Arial"/>
          <w:sz w:val="28"/>
        </w:rPr>
      </w:pPr>
      <w:r w:rsidRPr="00F631FB">
        <w:rPr>
          <w:rFonts w:ascii="Arial" w:eastAsia="仿宋_GB2312" w:hAnsi="Arial" w:cs="Arial"/>
          <w:sz w:val="29"/>
          <w:szCs w:val="29"/>
        </w:rPr>
        <w:t>×</w:t>
      </w:r>
      <w:r w:rsidRPr="00F631FB">
        <w:rPr>
          <w:rFonts w:ascii="Arial" w:eastAsia="仿宋_GB2312" w:hAnsi="Arial" w:cs="Arial"/>
          <w:snapToGrid w:val="0"/>
          <w:sz w:val="28"/>
        </w:rPr>
        <w:t>容积率修正系数</w:t>
      </w:r>
      <w:r w:rsidRPr="00F631FB">
        <w:rPr>
          <w:rFonts w:ascii="Arial" w:eastAsia="仿宋_GB2312" w:hAnsi="Arial" w:cs="Arial"/>
          <w:sz w:val="29"/>
          <w:szCs w:val="29"/>
        </w:rPr>
        <w:t>×</w:t>
      </w:r>
      <w:r w:rsidRPr="00F631FB">
        <w:rPr>
          <w:rFonts w:ascii="Arial" w:eastAsia="仿宋_GB2312" w:hAnsi="Arial" w:cs="Arial"/>
          <w:snapToGrid w:val="0"/>
          <w:sz w:val="28"/>
        </w:rPr>
        <w:t>因素修正系数</w:t>
      </w:r>
    </w:p>
    <w:p w14:paraId="749C13E9" w14:textId="77777777" w:rsidR="00814D19" w:rsidRPr="00F631FB" w:rsidRDefault="00814D19" w:rsidP="00814D19">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Pr>
          <w:rFonts w:ascii="Arial" w:eastAsia="仿宋_GB2312" w:hAnsi="Arial" w:cs="Arial"/>
          <w:sz w:val="28"/>
        </w:rPr>
        <w:t>27492</w:t>
      </w:r>
      <w:r w:rsidRPr="00F631FB">
        <w:rPr>
          <w:rFonts w:ascii="Arial" w:eastAsia="仿宋_GB2312" w:hAnsi="Arial" w:cs="Arial"/>
          <w:sz w:val="29"/>
          <w:szCs w:val="29"/>
        </w:rPr>
        <w:t>×1×</w:t>
      </w:r>
      <w:r w:rsidRPr="00F631FB">
        <w:rPr>
          <w:rFonts w:ascii="Arial" w:eastAsia="仿宋_GB2312" w:hAnsi="Arial" w:cs="Arial"/>
          <w:sz w:val="28"/>
        </w:rPr>
        <w:t>1.</w:t>
      </w:r>
      <w:r w:rsidRPr="00F631FB">
        <w:rPr>
          <w:rFonts w:ascii="Arial" w:eastAsia="仿宋_GB2312" w:hAnsi="Arial" w:cs="Arial" w:hint="eastAsia"/>
          <w:sz w:val="28"/>
        </w:rPr>
        <w:t>77</w:t>
      </w:r>
      <w:r>
        <w:rPr>
          <w:rFonts w:ascii="Arial" w:eastAsia="仿宋_GB2312" w:hAnsi="Arial" w:cs="Arial"/>
          <w:sz w:val="28"/>
        </w:rPr>
        <w:t>97</w:t>
      </w:r>
      <w:r w:rsidRPr="00F631FB">
        <w:rPr>
          <w:rFonts w:ascii="Arial" w:eastAsia="仿宋_GB2312" w:hAnsi="Arial" w:cs="Arial"/>
          <w:sz w:val="29"/>
          <w:szCs w:val="29"/>
        </w:rPr>
        <w:t>×</w:t>
      </w:r>
      <w:r w:rsidRPr="00F631FB">
        <w:rPr>
          <w:rFonts w:ascii="Arial" w:eastAsia="仿宋_GB2312" w:hAnsi="Arial" w:cs="Arial"/>
          <w:sz w:val="28"/>
        </w:rPr>
        <w:t>1</w:t>
      </w:r>
      <w:r w:rsidRPr="00F631FB">
        <w:rPr>
          <w:rFonts w:ascii="Arial" w:eastAsia="仿宋_GB2312" w:hAnsi="Arial" w:cs="Arial"/>
          <w:sz w:val="29"/>
          <w:szCs w:val="29"/>
        </w:rPr>
        <w:t>×</w:t>
      </w:r>
      <w:r w:rsidRPr="00F631FB">
        <w:rPr>
          <w:rFonts w:ascii="Arial" w:eastAsia="仿宋_GB2312" w:hAnsi="Arial" w:cs="Arial" w:hint="eastAsia"/>
          <w:sz w:val="28"/>
        </w:rPr>
        <w:t>0.</w:t>
      </w:r>
      <w:r>
        <w:rPr>
          <w:rFonts w:ascii="Arial" w:eastAsia="仿宋_GB2312" w:hAnsi="Arial" w:cs="Arial"/>
          <w:sz w:val="28"/>
        </w:rPr>
        <w:t>8652</w:t>
      </w:r>
      <w:r w:rsidRPr="00F631FB">
        <w:rPr>
          <w:rFonts w:ascii="Arial" w:eastAsia="仿宋_GB2312" w:hAnsi="Arial" w:cs="Arial"/>
          <w:sz w:val="29"/>
          <w:szCs w:val="29"/>
        </w:rPr>
        <w:t>×1.0</w:t>
      </w:r>
      <w:r>
        <w:rPr>
          <w:rFonts w:ascii="Arial" w:eastAsia="仿宋_GB2312" w:hAnsi="Arial" w:cs="Arial"/>
          <w:sz w:val="29"/>
          <w:szCs w:val="29"/>
        </w:rPr>
        <w:t>535</w:t>
      </w:r>
      <w:r w:rsidRPr="00F631FB">
        <w:rPr>
          <w:rFonts w:ascii="Arial" w:eastAsia="仿宋_GB2312" w:hAnsi="Arial" w:cs="Arial"/>
          <w:sz w:val="29"/>
          <w:szCs w:val="29"/>
        </w:rPr>
        <w:t>＝</w:t>
      </w:r>
      <w:r>
        <w:rPr>
          <w:rFonts w:ascii="Arial" w:eastAsia="仿宋_GB2312" w:hAnsi="Arial" w:cs="Arial"/>
          <w:sz w:val="29"/>
          <w:szCs w:val="29"/>
        </w:rPr>
        <w:t>44597</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6B84317F" w14:textId="77777777" w:rsidR="00814D19" w:rsidRPr="00F631FB" w:rsidRDefault="00814D19" w:rsidP="00814D19">
      <w:pPr>
        <w:spacing w:line="360" w:lineRule="auto"/>
        <w:ind w:left="420"/>
        <w:jc w:val="both"/>
        <w:rPr>
          <w:rFonts w:ascii="Arial" w:eastAsia="仿宋_GB2312" w:hAnsi="Arial" w:cs="Arial"/>
          <w:b/>
          <w:sz w:val="28"/>
        </w:rPr>
      </w:pPr>
      <w:r w:rsidRPr="00F631FB">
        <w:rPr>
          <w:rFonts w:ascii="Arial" w:eastAsia="仿宋_GB2312" w:hAnsi="Arial" w:cs="Arial"/>
          <w:b/>
          <w:sz w:val="28"/>
          <w:szCs w:val="28"/>
        </w:rPr>
        <w:lastRenderedPageBreak/>
        <w:t>（</w:t>
      </w:r>
      <w:r w:rsidRPr="00F631FB">
        <w:rPr>
          <w:rFonts w:ascii="Arial" w:eastAsia="仿宋_GB2312" w:hAnsi="Arial" w:cs="Arial"/>
          <w:b/>
          <w:sz w:val="28"/>
          <w:szCs w:val="28"/>
        </w:rPr>
        <w:t>2</w:t>
      </w:r>
      <w:r w:rsidRPr="00F631FB">
        <w:rPr>
          <w:rFonts w:ascii="Arial" w:eastAsia="仿宋_GB2312" w:hAnsi="Arial" w:cs="Arial"/>
          <w:b/>
          <w:sz w:val="28"/>
          <w:szCs w:val="28"/>
        </w:rPr>
        <w:t>）</w:t>
      </w:r>
      <w:r w:rsidRPr="00F631FB">
        <w:rPr>
          <w:rFonts w:ascii="Arial" w:eastAsia="仿宋_GB2312" w:hAnsi="Arial" w:cs="Arial" w:hint="eastAsia"/>
          <w:b/>
          <w:sz w:val="28"/>
          <w:szCs w:val="28"/>
        </w:rPr>
        <w:t>求</w:t>
      </w:r>
      <w:r w:rsidRPr="00F631FB">
        <w:rPr>
          <w:rFonts w:ascii="Arial" w:eastAsia="仿宋_GB2312" w:hAnsi="Arial" w:cs="Arial"/>
          <w:b/>
          <w:sz w:val="28"/>
        </w:rPr>
        <w:t>取估价对象地下</w:t>
      </w:r>
      <w:r>
        <w:rPr>
          <w:rFonts w:ascii="Arial" w:eastAsia="仿宋_GB2312" w:hAnsi="Arial" w:cs="Arial" w:hint="eastAsia"/>
          <w:b/>
          <w:sz w:val="28"/>
        </w:rPr>
        <w:t>车库</w:t>
      </w:r>
      <w:r w:rsidRPr="00F631FB">
        <w:rPr>
          <w:rFonts w:ascii="Arial" w:eastAsia="仿宋_GB2312" w:hAnsi="Arial" w:cs="Arial"/>
          <w:b/>
          <w:sz w:val="28"/>
        </w:rPr>
        <w:t>用房楼面熟地价</w:t>
      </w:r>
      <w:r w:rsidRPr="00F631FB">
        <w:rPr>
          <w:rFonts w:ascii="Arial" w:eastAsia="仿宋_GB2312" w:hAnsi="Arial" w:cs="Arial" w:hint="eastAsia"/>
          <w:b/>
          <w:sz w:val="28"/>
        </w:rPr>
        <w:t>（土地剩余使用年限</w:t>
      </w:r>
      <w:r>
        <w:rPr>
          <w:rFonts w:ascii="Arial" w:eastAsia="仿宋_GB2312" w:hAnsi="Arial" w:cs="Arial"/>
          <w:b/>
          <w:sz w:val="28"/>
        </w:rPr>
        <w:t>50</w:t>
      </w:r>
      <w:r w:rsidRPr="00F631FB">
        <w:rPr>
          <w:rFonts w:ascii="Arial" w:eastAsia="仿宋_GB2312" w:hAnsi="Arial" w:cs="Arial" w:hint="eastAsia"/>
          <w:b/>
          <w:sz w:val="28"/>
        </w:rPr>
        <w:t>年）</w:t>
      </w:r>
    </w:p>
    <w:p w14:paraId="496BC29C" w14:textId="77777777" w:rsidR="00814D19" w:rsidRPr="00F631FB" w:rsidRDefault="00814D19" w:rsidP="00814D19">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w:t>
      </w:r>
      <w:r>
        <w:rPr>
          <w:rFonts w:ascii="Arial" w:eastAsia="仿宋_GB2312" w:hAnsi="Arial" w:cs="Arial" w:hint="eastAsia"/>
          <w:sz w:val="28"/>
        </w:rPr>
        <w:t>车库</w:t>
      </w:r>
      <w:r w:rsidRPr="00F631FB">
        <w:rPr>
          <w:rFonts w:ascii="Arial" w:eastAsia="仿宋_GB2312" w:hAnsi="Arial" w:cs="Arial"/>
          <w:sz w:val="28"/>
        </w:rPr>
        <w:t>依据地上主用途比准类别确定地下空间修正系数，地上主用途为</w:t>
      </w:r>
      <w:r w:rsidRPr="00F631FB">
        <w:rPr>
          <w:rFonts w:ascii="Arial" w:eastAsia="仿宋_GB2312" w:hAnsi="Arial" w:cs="Arial" w:hint="eastAsia"/>
          <w:sz w:val="28"/>
        </w:rPr>
        <w:t>住宅</w:t>
      </w:r>
      <w:r w:rsidRPr="00F631FB">
        <w:rPr>
          <w:rFonts w:ascii="Arial" w:eastAsia="仿宋_GB2312" w:hAnsi="Arial" w:cs="Arial"/>
          <w:sz w:val="28"/>
        </w:rPr>
        <w:t>用地，地处</w:t>
      </w:r>
      <w:r>
        <w:rPr>
          <w:rFonts w:ascii="Arial" w:eastAsia="仿宋_GB2312" w:hAnsi="Arial" w:cs="Arial" w:hint="eastAsia"/>
          <w:sz w:val="28"/>
        </w:rPr>
        <w:t>居住类二级</w:t>
      </w:r>
      <w:r w:rsidRPr="00F631FB">
        <w:rPr>
          <w:rFonts w:ascii="Arial" w:eastAsia="仿宋_GB2312" w:hAnsi="Arial" w:cs="Arial"/>
          <w:sz w:val="28"/>
        </w:rPr>
        <w:t>地价区，需根据《北京市基准地价地下空间修正系数表》进行用途修正。地下空间修正系数表详见下表：</w:t>
      </w:r>
    </w:p>
    <w:p w14:paraId="4615A839" w14:textId="77777777" w:rsidR="00814D19" w:rsidRPr="00F631FB" w:rsidRDefault="00814D19" w:rsidP="00814D19">
      <w:pPr>
        <w:spacing w:line="360" w:lineRule="auto"/>
        <w:jc w:val="center"/>
        <w:rPr>
          <w:rFonts w:ascii="Arial" w:eastAsia="仿宋_GB2312" w:hAnsi="Arial" w:cs="Arial"/>
          <w:sz w:val="28"/>
        </w:rPr>
      </w:pPr>
      <w:r w:rsidRPr="00F631FB">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814D19" w:rsidRPr="00DA69CD" w14:paraId="428B69B3" w14:textId="77777777" w:rsidTr="00CE438D">
        <w:trPr>
          <w:cantSplit/>
          <w:jc w:val="center"/>
        </w:trPr>
        <w:tc>
          <w:tcPr>
            <w:tcW w:w="1135" w:type="dxa"/>
            <w:vMerge w:val="restart"/>
            <w:shd w:val="clear" w:color="auto" w:fill="auto"/>
            <w:vAlign w:val="center"/>
            <w:hideMark/>
          </w:tcPr>
          <w:p w14:paraId="47E36C79"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地下空间用途</w:t>
            </w:r>
          </w:p>
        </w:tc>
        <w:tc>
          <w:tcPr>
            <w:tcW w:w="1843" w:type="dxa"/>
            <w:vMerge w:val="restart"/>
            <w:shd w:val="clear" w:color="auto" w:fill="auto"/>
            <w:vAlign w:val="center"/>
            <w:hideMark/>
          </w:tcPr>
          <w:p w14:paraId="7AC528A8"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适用基准地价</w:t>
            </w:r>
          </w:p>
        </w:tc>
        <w:tc>
          <w:tcPr>
            <w:tcW w:w="2126" w:type="dxa"/>
            <w:vMerge w:val="restart"/>
            <w:shd w:val="clear" w:color="auto" w:fill="auto"/>
            <w:vAlign w:val="center"/>
            <w:hideMark/>
          </w:tcPr>
          <w:p w14:paraId="78B5B8E7"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楼层</w:t>
            </w:r>
          </w:p>
        </w:tc>
        <w:tc>
          <w:tcPr>
            <w:tcW w:w="4195" w:type="dxa"/>
            <w:gridSpan w:val="3"/>
            <w:shd w:val="clear" w:color="auto" w:fill="auto"/>
            <w:vAlign w:val="center"/>
            <w:hideMark/>
          </w:tcPr>
          <w:p w14:paraId="6E836A21"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地下空间修正系数</w:t>
            </w:r>
          </w:p>
        </w:tc>
      </w:tr>
      <w:tr w:rsidR="00814D19" w:rsidRPr="00DA69CD" w14:paraId="457FB215" w14:textId="77777777" w:rsidTr="00CE438D">
        <w:trPr>
          <w:cantSplit/>
          <w:jc w:val="center"/>
        </w:trPr>
        <w:tc>
          <w:tcPr>
            <w:tcW w:w="1135" w:type="dxa"/>
            <w:vMerge/>
            <w:vAlign w:val="center"/>
            <w:hideMark/>
          </w:tcPr>
          <w:p w14:paraId="7962DFA6"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p>
        </w:tc>
        <w:tc>
          <w:tcPr>
            <w:tcW w:w="1843" w:type="dxa"/>
            <w:vMerge/>
            <w:vAlign w:val="center"/>
            <w:hideMark/>
          </w:tcPr>
          <w:p w14:paraId="612AEB86"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p>
        </w:tc>
        <w:tc>
          <w:tcPr>
            <w:tcW w:w="2126" w:type="dxa"/>
            <w:vMerge/>
            <w:vAlign w:val="center"/>
            <w:hideMark/>
          </w:tcPr>
          <w:p w14:paraId="469A5636"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p>
        </w:tc>
        <w:tc>
          <w:tcPr>
            <w:tcW w:w="1418" w:type="dxa"/>
            <w:shd w:val="clear" w:color="auto" w:fill="auto"/>
            <w:vAlign w:val="center"/>
            <w:hideMark/>
          </w:tcPr>
          <w:p w14:paraId="29EA29FD"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一至二级</w:t>
            </w:r>
          </w:p>
        </w:tc>
        <w:tc>
          <w:tcPr>
            <w:tcW w:w="1417" w:type="dxa"/>
            <w:shd w:val="clear" w:color="auto" w:fill="auto"/>
            <w:vAlign w:val="center"/>
            <w:hideMark/>
          </w:tcPr>
          <w:p w14:paraId="1759969F"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三至七级</w:t>
            </w:r>
          </w:p>
        </w:tc>
        <w:tc>
          <w:tcPr>
            <w:tcW w:w="1360" w:type="dxa"/>
            <w:shd w:val="clear" w:color="auto" w:fill="auto"/>
            <w:vAlign w:val="center"/>
            <w:hideMark/>
          </w:tcPr>
          <w:p w14:paraId="62F3FEB8"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八至十二级</w:t>
            </w:r>
          </w:p>
        </w:tc>
      </w:tr>
      <w:tr w:rsidR="00814D19" w:rsidRPr="00DA69CD" w14:paraId="7B906F60" w14:textId="77777777" w:rsidTr="00CE438D">
        <w:trPr>
          <w:cantSplit/>
          <w:jc w:val="center"/>
        </w:trPr>
        <w:tc>
          <w:tcPr>
            <w:tcW w:w="1135" w:type="dxa"/>
            <w:shd w:val="clear" w:color="auto" w:fill="auto"/>
            <w:vAlign w:val="center"/>
            <w:hideMark/>
          </w:tcPr>
          <w:p w14:paraId="4EDFB648"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地下车库</w:t>
            </w:r>
          </w:p>
        </w:tc>
        <w:tc>
          <w:tcPr>
            <w:tcW w:w="1843" w:type="dxa"/>
            <w:shd w:val="clear" w:color="auto" w:fill="auto"/>
            <w:vAlign w:val="center"/>
            <w:hideMark/>
          </w:tcPr>
          <w:p w14:paraId="7760BC26"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地上主用途比准类别</w:t>
            </w:r>
          </w:p>
        </w:tc>
        <w:tc>
          <w:tcPr>
            <w:tcW w:w="2126" w:type="dxa"/>
            <w:shd w:val="clear" w:color="auto" w:fill="auto"/>
            <w:vAlign w:val="center"/>
            <w:hideMark/>
          </w:tcPr>
          <w:p w14:paraId="551EEF65"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w:t>
            </w:r>
          </w:p>
        </w:tc>
        <w:tc>
          <w:tcPr>
            <w:tcW w:w="1418" w:type="dxa"/>
            <w:shd w:val="clear" w:color="auto" w:fill="auto"/>
            <w:hideMark/>
          </w:tcPr>
          <w:p w14:paraId="1ED2DD9F"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0.25</w:t>
            </w:r>
          </w:p>
        </w:tc>
        <w:tc>
          <w:tcPr>
            <w:tcW w:w="1417" w:type="dxa"/>
            <w:shd w:val="clear" w:color="auto" w:fill="auto"/>
            <w:hideMark/>
          </w:tcPr>
          <w:p w14:paraId="1A8CCDC4"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0.2</w:t>
            </w:r>
          </w:p>
        </w:tc>
        <w:tc>
          <w:tcPr>
            <w:tcW w:w="1360" w:type="dxa"/>
            <w:shd w:val="clear" w:color="auto" w:fill="auto"/>
            <w:hideMark/>
          </w:tcPr>
          <w:p w14:paraId="26BEAA1A"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0.15</w:t>
            </w:r>
          </w:p>
        </w:tc>
      </w:tr>
    </w:tbl>
    <w:p w14:paraId="6F0D9E19" w14:textId="77777777" w:rsidR="00814D19" w:rsidRPr="00F631FB" w:rsidRDefault="00814D19" w:rsidP="00814D19">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依据上表，估价对象</w:t>
      </w:r>
      <w:r w:rsidRPr="00F631FB">
        <w:rPr>
          <w:rFonts w:ascii="Arial" w:eastAsia="仿宋_GB2312" w:hAnsi="Arial" w:cs="Arial"/>
          <w:sz w:val="28"/>
          <w:szCs w:val="28"/>
        </w:rPr>
        <w:t>土地级别为</w:t>
      </w:r>
      <w:r>
        <w:rPr>
          <w:rFonts w:ascii="Arial" w:eastAsia="仿宋_GB2312" w:hAnsi="Arial" w:cs="Arial" w:hint="eastAsia"/>
          <w:sz w:val="28"/>
          <w:szCs w:val="28"/>
        </w:rPr>
        <w:t>居住类二级</w:t>
      </w:r>
      <w:r w:rsidRPr="00F631FB">
        <w:rPr>
          <w:rFonts w:ascii="Arial" w:eastAsia="仿宋_GB2312" w:hAnsi="Arial" w:cs="Arial"/>
          <w:sz w:val="28"/>
          <w:szCs w:val="28"/>
        </w:rPr>
        <w:t>，地下</w:t>
      </w:r>
      <w:r w:rsidRPr="00F631FB">
        <w:rPr>
          <w:rFonts w:ascii="Arial" w:eastAsia="仿宋_GB2312" w:hAnsi="Arial" w:cs="Arial" w:hint="eastAsia"/>
          <w:sz w:val="28"/>
          <w:szCs w:val="28"/>
        </w:rPr>
        <w:t>仓储</w:t>
      </w:r>
      <w:r w:rsidRPr="00F631FB">
        <w:rPr>
          <w:rFonts w:ascii="Arial" w:eastAsia="仿宋_GB2312" w:hAnsi="Arial" w:cs="Arial"/>
          <w:sz w:val="28"/>
          <w:szCs w:val="28"/>
        </w:rPr>
        <w:t>地下空间修正系数为</w:t>
      </w:r>
      <w:r>
        <w:rPr>
          <w:rFonts w:ascii="Arial" w:eastAsia="仿宋_GB2312" w:hAnsi="Arial" w:cs="Arial"/>
          <w:sz w:val="28"/>
          <w:szCs w:val="28"/>
        </w:rPr>
        <w:t>0.25</w:t>
      </w:r>
      <w:r w:rsidRPr="00F631FB">
        <w:rPr>
          <w:rFonts w:ascii="Arial" w:eastAsia="仿宋_GB2312" w:hAnsi="Arial" w:cs="Arial"/>
          <w:sz w:val="28"/>
          <w:szCs w:val="28"/>
        </w:rPr>
        <w:t>。</w:t>
      </w:r>
    </w:p>
    <w:p w14:paraId="78771865" w14:textId="77777777" w:rsidR="00814D19" w:rsidRPr="00F631FB" w:rsidRDefault="00814D19" w:rsidP="00814D19">
      <w:pPr>
        <w:overflowPunct w:val="0"/>
        <w:spacing w:line="360" w:lineRule="auto"/>
        <w:ind w:firstLineChars="200" w:firstLine="562"/>
        <w:jc w:val="both"/>
        <w:textAlignment w:val="auto"/>
        <w:rPr>
          <w:rFonts w:ascii="Arial" w:eastAsia="仿宋_GB2312" w:hAnsi="Arial" w:cs="Arial"/>
          <w:b/>
          <w:sz w:val="28"/>
          <w:szCs w:val="28"/>
        </w:rPr>
      </w:pPr>
      <w:r w:rsidRPr="00F631FB">
        <w:rPr>
          <w:rFonts w:ascii="Arial" w:eastAsia="仿宋_GB2312" w:hAnsi="Arial" w:cs="Arial"/>
          <w:b/>
          <w:sz w:val="28"/>
          <w:szCs w:val="28"/>
        </w:rPr>
        <w:t>年期修正系数的确定</w:t>
      </w:r>
    </w:p>
    <w:p w14:paraId="0BEFC984"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091272F2"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其中：</w:t>
      </w:r>
    </w:p>
    <w:p w14:paraId="23D064EA"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sz w:val="28"/>
          <w:szCs w:val="28"/>
        </w:rPr>
        <w:t>土地还原率</w:t>
      </w:r>
    </w:p>
    <w:p w14:paraId="0CBC24ED"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宗地剩余土地使用年限</w:t>
      </w:r>
    </w:p>
    <w:p w14:paraId="28E14941"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基准地价规定的相应用途土地使用年限</w:t>
      </w:r>
    </w:p>
    <w:p w14:paraId="65C3FC15"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商业、办公、居住、工业用途的土地还原利率原则上按同期中国人民银行公布的一年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款利率分别上浮</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10</w:t>
      </w:r>
      <w:r w:rsidRPr="00F631FB">
        <w:rPr>
          <w:rFonts w:ascii="Arial" w:eastAsia="仿宋_GB2312" w:hAnsi="Arial" w:cs="Arial"/>
          <w:sz w:val="28"/>
          <w:szCs w:val="28"/>
        </w:rPr>
        <w:t>％确定。估价对象地上主用途为</w:t>
      </w:r>
      <w:r w:rsidRPr="00F631FB">
        <w:rPr>
          <w:rFonts w:ascii="Arial" w:eastAsia="仿宋_GB2312" w:hAnsi="Arial" w:cs="Arial" w:hint="eastAsia"/>
          <w:sz w:val="28"/>
          <w:szCs w:val="28"/>
        </w:rPr>
        <w:t>住宅</w:t>
      </w:r>
      <w:r w:rsidRPr="00F631FB">
        <w:rPr>
          <w:rFonts w:ascii="Arial" w:eastAsia="仿宋_GB2312" w:hAnsi="Arial" w:cs="Arial"/>
          <w:sz w:val="28"/>
          <w:szCs w:val="28"/>
        </w:rPr>
        <w:t>，现行一年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24</w:t>
      </w:r>
      <w:r w:rsidRPr="00F631FB">
        <w:rPr>
          <w:rFonts w:ascii="Arial" w:eastAsia="仿宋_GB2312" w:hAnsi="Arial" w:cs="Arial"/>
          <w:sz w:val="28"/>
          <w:szCs w:val="28"/>
        </w:rPr>
        <w:t>日发布）为</w:t>
      </w:r>
      <w:r w:rsidRPr="00F631FB">
        <w:rPr>
          <w:rFonts w:ascii="Arial" w:eastAsia="仿宋_GB2312" w:hAnsi="Arial" w:cs="Arial"/>
          <w:sz w:val="28"/>
          <w:szCs w:val="28"/>
        </w:rPr>
        <w:t>4.35%</w:t>
      </w:r>
      <w:r w:rsidRPr="00F631FB">
        <w:rPr>
          <w:rFonts w:ascii="Arial" w:eastAsia="仿宋_GB2312" w:hAnsi="Arial" w:cs="Arial"/>
          <w:sz w:val="28"/>
          <w:szCs w:val="28"/>
        </w:rPr>
        <w:t>。则有：</w:t>
      </w:r>
    </w:p>
    <w:p w14:paraId="2AAA97AF"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土地还原率＝</w:t>
      </w:r>
      <w:r w:rsidRPr="00F631FB">
        <w:rPr>
          <w:rFonts w:ascii="Arial" w:eastAsia="仿宋_GB2312" w:hAnsi="Arial" w:cs="Arial"/>
          <w:sz w:val="28"/>
          <w:szCs w:val="28"/>
        </w:rPr>
        <w:t>4.35%×</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=5.0%</w:t>
      </w:r>
    </w:p>
    <w:p w14:paraId="6D89D72F"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w:t>
      </w:r>
      <w:r w:rsidRPr="00F631FB">
        <w:rPr>
          <w:rFonts w:ascii="Arial" w:eastAsia="仿宋_GB2312" w:hAnsi="Arial" w:cs="Arial" w:hint="eastAsia"/>
          <w:sz w:val="28"/>
          <w:szCs w:val="28"/>
        </w:rPr>
        <w:t>地下</w:t>
      </w:r>
      <w:r>
        <w:rPr>
          <w:rFonts w:ascii="Arial" w:eastAsia="仿宋_GB2312" w:hAnsi="Arial" w:cs="Arial" w:hint="eastAsia"/>
          <w:sz w:val="28"/>
          <w:szCs w:val="28"/>
        </w:rPr>
        <w:t>车库</w:t>
      </w:r>
      <w:r w:rsidRPr="00F631FB">
        <w:rPr>
          <w:rFonts w:ascii="Arial" w:eastAsia="仿宋_GB2312" w:hAnsi="Arial" w:cs="Arial"/>
          <w:sz w:val="28"/>
          <w:szCs w:val="28"/>
        </w:rPr>
        <w:t>剩余土地使用年限设定为</w:t>
      </w:r>
      <w:r>
        <w:rPr>
          <w:rFonts w:ascii="Arial" w:eastAsia="仿宋_GB2312" w:hAnsi="Arial" w:cs="Arial"/>
          <w:sz w:val="28"/>
          <w:szCs w:val="28"/>
        </w:rPr>
        <w:t>50</w:t>
      </w:r>
      <w:r w:rsidRPr="00F631FB">
        <w:rPr>
          <w:rFonts w:ascii="Arial" w:eastAsia="仿宋_GB2312" w:hAnsi="Arial" w:cs="Arial"/>
          <w:sz w:val="28"/>
          <w:szCs w:val="28"/>
        </w:rPr>
        <w:t>年，</w:t>
      </w:r>
      <w:r w:rsidRPr="00F631FB">
        <w:rPr>
          <w:rFonts w:ascii="Arial" w:eastAsia="仿宋_GB2312" w:hAnsi="Arial" w:cs="Arial" w:hint="eastAsia"/>
          <w:sz w:val="28"/>
          <w:szCs w:val="28"/>
        </w:rPr>
        <w:t>地下</w:t>
      </w:r>
      <w:r>
        <w:rPr>
          <w:rFonts w:ascii="Arial" w:eastAsia="仿宋_GB2312" w:hAnsi="Arial" w:cs="Arial" w:hint="eastAsia"/>
          <w:sz w:val="28"/>
          <w:szCs w:val="28"/>
        </w:rPr>
        <w:t>车库</w:t>
      </w:r>
      <w:r w:rsidRPr="00F631FB">
        <w:rPr>
          <w:rFonts w:ascii="Arial" w:eastAsia="仿宋_GB2312" w:hAnsi="Arial" w:cs="Arial"/>
          <w:sz w:val="28"/>
          <w:szCs w:val="28"/>
        </w:rPr>
        <w:t>用途法定用</w:t>
      </w:r>
      <w:r w:rsidRPr="00F631FB">
        <w:rPr>
          <w:rFonts w:ascii="Arial" w:eastAsia="仿宋_GB2312" w:hAnsi="Arial" w:cs="Arial"/>
          <w:sz w:val="28"/>
          <w:szCs w:val="28"/>
        </w:rPr>
        <w:lastRenderedPageBreak/>
        <w:t>途最高出让年限为</w:t>
      </w:r>
      <w:r w:rsidRPr="00F631FB">
        <w:rPr>
          <w:rFonts w:ascii="Arial" w:eastAsia="仿宋_GB2312" w:hAnsi="Arial" w:cs="Arial"/>
          <w:sz w:val="28"/>
          <w:szCs w:val="28"/>
        </w:rPr>
        <w:t>50</w:t>
      </w:r>
      <w:r w:rsidRPr="00F631FB">
        <w:rPr>
          <w:rFonts w:ascii="Arial" w:eastAsia="仿宋_GB2312" w:hAnsi="Arial" w:cs="Arial"/>
          <w:sz w:val="28"/>
          <w:szCs w:val="28"/>
        </w:rPr>
        <w:t>年，则有：</w:t>
      </w:r>
    </w:p>
    <w:p w14:paraId="5C111245"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p>
    <w:p w14:paraId="15F6C5FF"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371694D0"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5.0%</w:t>
      </w:r>
      <w:r w:rsidRPr="00F631FB">
        <w:rPr>
          <w:rFonts w:ascii="Arial" w:eastAsia="仿宋_GB2312" w:hAnsi="Arial" w:cs="Arial"/>
          <w:sz w:val="28"/>
          <w:szCs w:val="28"/>
        </w:rPr>
        <w:t>）</w:t>
      </w:r>
      <w:r>
        <w:rPr>
          <w:rFonts w:ascii="Arial" w:eastAsia="仿宋_GB2312" w:hAnsi="Arial" w:cs="Arial"/>
          <w:sz w:val="28"/>
          <w:szCs w:val="28"/>
          <w:vertAlign w:val="superscript"/>
        </w:rPr>
        <w:t>50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5.0%</w:t>
      </w:r>
      <w:r w:rsidRPr="00F631FB">
        <w:rPr>
          <w:rFonts w:ascii="Arial" w:eastAsia="仿宋_GB2312" w:hAnsi="Arial" w:cs="Arial"/>
          <w:sz w:val="28"/>
          <w:szCs w:val="28"/>
        </w:rPr>
        <w:t>）</w:t>
      </w:r>
      <w:r w:rsidRPr="00F631FB">
        <w:rPr>
          <w:rFonts w:ascii="Arial" w:eastAsia="仿宋_GB2312" w:hAnsi="Arial" w:cs="Arial"/>
          <w:sz w:val="28"/>
          <w:szCs w:val="28"/>
          <w:vertAlign w:val="superscript"/>
        </w:rPr>
        <w:t>50</w:t>
      </w:r>
      <w:r w:rsidRPr="00F631FB">
        <w:rPr>
          <w:rFonts w:ascii="Arial" w:eastAsia="仿宋_GB2312" w:hAnsi="Arial" w:cs="Arial"/>
          <w:sz w:val="28"/>
          <w:szCs w:val="28"/>
        </w:rPr>
        <w:t>）</w:t>
      </w:r>
    </w:p>
    <w:p w14:paraId="7857CCD8"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b/>
          <w:sz w:val="28"/>
        </w:rPr>
      </w:pPr>
      <w:r w:rsidRPr="00F631FB">
        <w:rPr>
          <w:rFonts w:ascii="Arial" w:eastAsia="仿宋_GB2312" w:hAnsi="Arial" w:cs="Arial"/>
          <w:sz w:val="28"/>
          <w:szCs w:val="28"/>
        </w:rPr>
        <w:t>＝</w:t>
      </w:r>
      <w:r>
        <w:rPr>
          <w:rFonts w:ascii="Arial" w:eastAsia="仿宋_GB2312" w:hAnsi="Arial" w:cs="Arial"/>
          <w:sz w:val="28"/>
          <w:szCs w:val="28"/>
        </w:rPr>
        <w:t>1</w:t>
      </w:r>
    </w:p>
    <w:p w14:paraId="5B5A8024" w14:textId="77777777" w:rsidR="00814D19" w:rsidRPr="00F631FB" w:rsidRDefault="00814D19" w:rsidP="00814D19">
      <w:pPr>
        <w:spacing w:beforeLines="50" w:before="163" w:line="360" w:lineRule="auto"/>
        <w:ind w:firstLineChars="200" w:firstLine="562"/>
        <w:jc w:val="both"/>
        <w:rPr>
          <w:rFonts w:ascii="Arial" w:eastAsia="仿宋_GB2312" w:hAnsi="Arial" w:cs="Arial"/>
          <w:sz w:val="28"/>
          <w:szCs w:val="28"/>
        </w:rPr>
      </w:pPr>
      <w:r w:rsidRPr="00F631FB">
        <w:rPr>
          <w:rFonts w:ascii="Arial" w:eastAsia="仿宋_GB2312" w:hAnsi="Arial" w:cs="Arial"/>
          <w:b/>
          <w:sz w:val="28"/>
          <w:szCs w:val="28"/>
        </w:rPr>
        <w:t>地下</w:t>
      </w:r>
      <w:r>
        <w:rPr>
          <w:rFonts w:ascii="Arial" w:eastAsia="仿宋_GB2312" w:hAnsi="Arial" w:cs="Arial" w:hint="eastAsia"/>
          <w:b/>
          <w:sz w:val="28"/>
          <w:szCs w:val="28"/>
        </w:rPr>
        <w:t>车库</w:t>
      </w:r>
      <w:r w:rsidRPr="00F631FB">
        <w:rPr>
          <w:rFonts w:ascii="Arial" w:eastAsia="仿宋_GB2312" w:hAnsi="Arial" w:cs="Arial"/>
          <w:b/>
          <w:sz w:val="28"/>
          <w:szCs w:val="28"/>
        </w:rPr>
        <w:t>适用基准地价、期日修正系数、</w:t>
      </w:r>
      <w:proofErr w:type="gramStart"/>
      <w:r w:rsidRPr="00F631FB">
        <w:rPr>
          <w:rFonts w:ascii="Arial" w:eastAsia="仿宋_GB2312" w:hAnsi="Arial" w:cs="Arial"/>
          <w:b/>
          <w:sz w:val="28"/>
          <w:szCs w:val="28"/>
        </w:rPr>
        <w:t>及因素</w:t>
      </w:r>
      <w:proofErr w:type="gramEnd"/>
      <w:r w:rsidRPr="00F631FB">
        <w:rPr>
          <w:rFonts w:ascii="Arial" w:eastAsia="仿宋_GB2312" w:hAnsi="Arial" w:cs="Arial"/>
          <w:b/>
          <w:sz w:val="28"/>
          <w:szCs w:val="28"/>
        </w:rPr>
        <w:t>修正系数同地上居住用途基准地价系数修正法求取过程及结果，则：</w:t>
      </w:r>
    </w:p>
    <w:p w14:paraId="39F2C0B7" w14:textId="77777777" w:rsidR="00814D19" w:rsidRPr="00F631FB" w:rsidRDefault="00814D19" w:rsidP="00814D19">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地下</w:t>
      </w:r>
      <w:r>
        <w:rPr>
          <w:rFonts w:ascii="Arial" w:eastAsia="仿宋_GB2312" w:hAnsi="Arial" w:cs="Arial" w:hint="eastAsia"/>
          <w:sz w:val="28"/>
          <w:szCs w:val="28"/>
        </w:rPr>
        <w:t>车库</w:t>
      </w:r>
      <w:r w:rsidRPr="00F631FB">
        <w:rPr>
          <w:rFonts w:ascii="Arial" w:eastAsia="仿宋_GB2312" w:hAnsi="Arial" w:cs="Arial"/>
          <w:sz w:val="28"/>
          <w:szCs w:val="28"/>
        </w:rPr>
        <w:t>楼面熟地价</w:t>
      </w:r>
    </w:p>
    <w:p w14:paraId="30D80BF1" w14:textId="77777777" w:rsidR="00814D19" w:rsidRPr="00F631FB" w:rsidRDefault="00814D19" w:rsidP="00814D19">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＝适用基准地价（参照地上主用途</w:t>
      </w:r>
      <w:r w:rsidRPr="00F631FB">
        <w:rPr>
          <w:rFonts w:ascii="Arial" w:eastAsia="仿宋_GB2312" w:hAnsi="Arial" w:cs="Arial" w:hint="eastAsia"/>
          <w:sz w:val="28"/>
          <w:szCs w:val="28"/>
        </w:rPr>
        <w:t>居住</w:t>
      </w:r>
      <w:r w:rsidRPr="00F631FB">
        <w:rPr>
          <w:rFonts w:ascii="Arial" w:eastAsia="仿宋_GB2312" w:hAnsi="Arial" w:cs="Arial"/>
          <w:sz w:val="28"/>
          <w:szCs w:val="28"/>
        </w:rPr>
        <w:t>用途比准类别）</w:t>
      </w:r>
      <w:r w:rsidRPr="00F631FB">
        <w:rPr>
          <w:rFonts w:ascii="Arial" w:eastAsia="仿宋_GB2312" w:hAnsi="Arial" w:cs="Arial"/>
          <w:sz w:val="28"/>
          <w:szCs w:val="28"/>
        </w:rPr>
        <w:t>×</w:t>
      </w:r>
      <w:r w:rsidRPr="00F631FB">
        <w:rPr>
          <w:rFonts w:ascii="Arial" w:eastAsia="仿宋_GB2312" w:hAnsi="Arial" w:cs="Arial"/>
          <w:sz w:val="28"/>
          <w:szCs w:val="28"/>
        </w:rPr>
        <w:t>期日修正系数</w:t>
      </w:r>
      <w:r w:rsidRPr="00F631FB">
        <w:rPr>
          <w:rFonts w:ascii="Arial" w:eastAsia="仿宋_GB2312" w:hAnsi="Arial" w:cs="Arial"/>
          <w:sz w:val="28"/>
          <w:szCs w:val="28"/>
        </w:rPr>
        <w:t>×</w:t>
      </w:r>
      <w:r w:rsidRPr="00F631FB">
        <w:rPr>
          <w:rFonts w:ascii="Arial" w:eastAsia="仿宋_GB2312" w:hAnsi="Arial" w:cs="Arial"/>
          <w:sz w:val="28"/>
          <w:szCs w:val="28"/>
        </w:rPr>
        <w:t>年期修正系数</w:t>
      </w:r>
      <w:r w:rsidRPr="00F631FB">
        <w:rPr>
          <w:rFonts w:ascii="Arial" w:eastAsia="仿宋_GB2312" w:hAnsi="Arial" w:cs="Arial"/>
          <w:sz w:val="28"/>
          <w:szCs w:val="28"/>
        </w:rPr>
        <w:t>×</w:t>
      </w:r>
      <w:r w:rsidRPr="00F631FB">
        <w:rPr>
          <w:rFonts w:ascii="Arial" w:eastAsia="仿宋_GB2312" w:hAnsi="Arial" w:cs="Arial"/>
          <w:sz w:val="28"/>
          <w:szCs w:val="28"/>
        </w:rPr>
        <w:t>因素修正系数</w:t>
      </w:r>
      <w:r w:rsidRPr="00F631FB">
        <w:rPr>
          <w:rFonts w:ascii="Arial" w:eastAsia="仿宋_GB2312" w:hAnsi="Arial" w:cs="Arial"/>
          <w:sz w:val="28"/>
          <w:szCs w:val="28"/>
        </w:rPr>
        <w:t>×</w:t>
      </w:r>
      <w:r w:rsidRPr="00F631FB">
        <w:rPr>
          <w:rFonts w:ascii="Arial" w:eastAsia="仿宋_GB2312" w:hAnsi="Arial" w:cs="Arial"/>
          <w:sz w:val="28"/>
          <w:szCs w:val="28"/>
        </w:rPr>
        <w:t>相应用途地下空间修正系数</w:t>
      </w:r>
    </w:p>
    <w:p w14:paraId="6B4EDFC2" w14:textId="77777777" w:rsidR="00814D19" w:rsidRPr="00F631FB" w:rsidRDefault="00814D19" w:rsidP="00814D19">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Pr>
          <w:rFonts w:ascii="Arial" w:eastAsia="仿宋_GB2312" w:hAnsi="Arial" w:cs="Arial"/>
          <w:sz w:val="28"/>
          <w:szCs w:val="28"/>
        </w:rPr>
        <w:t>22910</w:t>
      </w:r>
      <w:r w:rsidRPr="00F631FB">
        <w:rPr>
          <w:rFonts w:ascii="Arial" w:eastAsia="仿宋_GB2312" w:hAnsi="Arial" w:cs="Arial"/>
          <w:sz w:val="28"/>
          <w:szCs w:val="28"/>
        </w:rPr>
        <w:t>×1.77</w:t>
      </w:r>
      <w:r>
        <w:rPr>
          <w:rFonts w:ascii="Arial" w:eastAsia="仿宋_GB2312" w:hAnsi="Arial" w:cs="Arial"/>
          <w:sz w:val="28"/>
          <w:szCs w:val="28"/>
        </w:rPr>
        <w:t>97×1</w:t>
      </w:r>
      <w:r w:rsidRPr="00F631FB">
        <w:rPr>
          <w:rFonts w:ascii="Arial" w:eastAsia="仿宋_GB2312" w:hAnsi="Arial" w:cs="Arial"/>
          <w:sz w:val="28"/>
          <w:szCs w:val="28"/>
        </w:rPr>
        <w:t>×1.0</w:t>
      </w:r>
      <w:r>
        <w:rPr>
          <w:rFonts w:ascii="Arial" w:eastAsia="仿宋_GB2312" w:hAnsi="Arial" w:cs="Arial"/>
          <w:sz w:val="28"/>
          <w:szCs w:val="28"/>
        </w:rPr>
        <w:t>535</w:t>
      </w:r>
      <w:r w:rsidRPr="00F631FB">
        <w:rPr>
          <w:rFonts w:ascii="Arial" w:eastAsia="仿宋_GB2312" w:hAnsi="Arial" w:cs="Arial"/>
          <w:sz w:val="28"/>
          <w:szCs w:val="28"/>
        </w:rPr>
        <w:t>×0.25</w:t>
      </w:r>
    </w:p>
    <w:p w14:paraId="5DAC105F" w14:textId="4BEB130E" w:rsidR="002C3ABF" w:rsidRPr="00814D19" w:rsidRDefault="00814D19" w:rsidP="00814D19">
      <w:pPr>
        <w:spacing w:line="48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Pr>
          <w:rFonts w:ascii="Arial" w:eastAsia="仿宋_GB2312" w:hAnsi="Arial" w:cs="Arial"/>
          <w:sz w:val="28"/>
          <w:szCs w:val="28"/>
        </w:rPr>
        <w:t>10739</w:t>
      </w:r>
      <w:r w:rsidRPr="00F631FB">
        <w:rPr>
          <w:rFonts w:ascii="Arial" w:eastAsia="仿宋_GB2312" w:hAnsi="Arial" w:cs="Arial"/>
          <w:sz w:val="28"/>
          <w:szCs w:val="28"/>
        </w:rPr>
        <w:t>（元</w:t>
      </w:r>
      <w:r w:rsidRPr="00F631FB">
        <w:rPr>
          <w:rFonts w:ascii="Arial" w:eastAsia="仿宋_GB2312" w:hAnsi="Arial" w:cs="Arial"/>
          <w:sz w:val="28"/>
          <w:szCs w:val="28"/>
        </w:rPr>
        <w:t>/</w:t>
      </w:r>
      <w:r w:rsidRPr="00F631FB">
        <w:rPr>
          <w:rFonts w:ascii="Arial" w:eastAsia="仿宋_GB2312" w:hAnsi="Arial" w:cs="Arial"/>
          <w:sz w:val="28"/>
          <w:szCs w:val="28"/>
        </w:rPr>
        <w:t>平方米）</w:t>
      </w:r>
    </w:p>
    <w:p w14:paraId="752F3575" w14:textId="2F22C151" w:rsidR="00CC5B95" w:rsidRPr="00F631FB" w:rsidRDefault="00CC5B95" w:rsidP="002C3ABF">
      <w:pPr>
        <w:spacing w:line="480" w:lineRule="auto"/>
        <w:rPr>
          <w:rFonts w:ascii="Arial" w:eastAsia="仿宋_GB2312" w:hAnsi="Arial" w:cs="Arial"/>
          <w:sz w:val="28"/>
          <w:szCs w:val="28"/>
        </w:rPr>
      </w:pPr>
    </w:p>
    <w:p w14:paraId="635F04FC" w14:textId="77777777" w:rsidR="00CC5B95" w:rsidRPr="00F631FB" w:rsidRDefault="00CC5B95" w:rsidP="002C3ABF">
      <w:pPr>
        <w:spacing w:line="480" w:lineRule="auto"/>
        <w:rPr>
          <w:rFonts w:ascii="Arial" w:eastAsia="仿宋_GB2312" w:hAnsi="Arial" w:cs="Arial"/>
          <w:sz w:val="28"/>
          <w:szCs w:val="28"/>
        </w:rPr>
      </w:pPr>
    </w:p>
    <w:p w14:paraId="25BC91EA" w14:textId="77777777" w:rsidR="002C3ABF" w:rsidRDefault="002C3ABF" w:rsidP="002C3ABF">
      <w:pPr>
        <w:spacing w:line="360" w:lineRule="auto"/>
        <w:ind w:firstLineChars="200" w:firstLine="420"/>
        <w:rPr>
          <w:rFonts w:ascii="Arial" w:eastAsia="仿宋_GB2312" w:hAnsi="Arial" w:cs="Arial"/>
          <w:sz w:val="21"/>
        </w:rPr>
      </w:pPr>
    </w:p>
    <w:p w14:paraId="1D3BAABA" w14:textId="77777777" w:rsidR="00814D19" w:rsidRDefault="00814D19" w:rsidP="002C3ABF">
      <w:pPr>
        <w:spacing w:line="360" w:lineRule="auto"/>
        <w:ind w:firstLineChars="200" w:firstLine="420"/>
        <w:rPr>
          <w:rFonts w:ascii="Arial" w:eastAsia="仿宋_GB2312" w:hAnsi="Arial" w:cs="Arial"/>
          <w:sz w:val="21"/>
        </w:rPr>
      </w:pPr>
    </w:p>
    <w:p w14:paraId="5499A34C" w14:textId="77777777" w:rsidR="00814D19" w:rsidRDefault="00814D19" w:rsidP="002C3ABF">
      <w:pPr>
        <w:spacing w:line="360" w:lineRule="auto"/>
        <w:ind w:firstLineChars="200" w:firstLine="420"/>
        <w:rPr>
          <w:rFonts w:ascii="Arial" w:eastAsia="仿宋_GB2312" w:hAnsi="Arial" w:cs="Arial"/>
          <w:sz w:val="21"/>
        </w:rPr>
      </w:pPr>
    </w:p>
    <w:p w14:paraId="0602EE26" w14:textId="77777777" w:rsidR="00814D19" w:rsidRDefault="00814D19" w:rsidP="002C3ABF">
      <w:pPr>
        <w:spacing w:line="360" w:lineRule="auto"/>
        <w:ind w:firstLineChars="200" w:firstLine="420"/>
        <w:rPr>
          <w:rFonts w:ascii="Arial" w:eastAsia="仿宋_GB2312" w:hAnsi="Arial" w:cs="Arial"/>
          <w:sz w:val="21"/>
        </w:rPr>
      </w:pPr>
    </w:p>
    <w:p w14:paraId="1DD5E134" w14:textId="77777777" w:rsidR="00814D19" w:rsidRDefault="00814D19" w:rsidP="002C3ABF">
      <w:pPr>
        <w:spacing w:line="360" w:lineRule="auto"/>
        <w:ind w:firstLineChars="200" w:firstLine="420"/>
        <w:rPr>
          <w:rFonts w:ascii="Arial" w:eastAsia="仿宋_GB2312" w:hAnsi="Arial" w:cs="Arial"/>
          <w:sz w:val="21"/>
        </w:rPr>
      </w:pPr>
    </w:p>
    <w:p w14:paraId="329590EE" w14:textId="77777777" w:rsidR="00814D19" w:rsidRDefault="00814D19" w:rsidP="002C3ABF">
      <w:pPr>
        <w:spacing w:line="360" w:lineRule="auto"/>
        <w:ind w:firstLineChars="200" w:firstLine="420"/>
        <w:rPr>
          <w:rFonts w:ascii="Arial" w:eastAsia="仿宋_GB2312" w:hAnsi="Arial" w:cs="Arial"/>
          <w:sz w:val="21"/>
        </w:rPr>
      </w:pPr>
    </w:p>
    <w:p w14:paraId="3F429FD9" w14:textId="77777777" w:rsidR="00814D19" w:rsidRDefault="00814D19" w:rsidP="002C3ABF">
      <w:pPr>
        <w:spacing w:line="360" w:lineRule="auto"/>
        <w:ind w:firstLineChars="200" w:firstLine="420"/>
        <w:rPr>
          <w:rFonts w:ascii="Arial" w:eastAsia="仿宋_GB2312" w:hAnsi="Arial" w:cs="Arial"/>
          <w:sz w:val="21"/>
        </w:rPr>
      </w:pPr>
    </w:p>
    <w:p w14:paraId="30C3869E" w14:textId="77777777" w:rsidR="00814D19" w:rsidRDefault="00814D19" w:rsidP="002C3ABF">
      <w:pPr>
        <w:spacing w:line="360" w:lineRule="auto"/>
        <w:ind w:firstLineChars="200" w:firstLine="420"/>
        <w:rPr>
          <w:rFonts w:ascii="Arial" w:eastAsia="仿宋_GB2312" w:hAnsi="Arial" w:cs="Arial"/>
          <w:sz w:val="21"/>
        </w:rPr>
      </w:pPr>
    </w:p>
    <w:p w14:paraId="7DEBD874" w14:textId="77777777" w:rsidR="00814D19" w:rsidRDefault="00814D19" w:rsidP="002C3ABF">
      <w:pPr>
        <w:spacing w:line="360" w:lineRule="auto"/>
        <w:ind w:firstLineChars="200" w:firstLine="420"/>
        <w:rPr>
          <w:rFonts w:ascii="Arial" w:eastAsia="仿宋_GB2312" w:hAnsi="Arial" w:cs="Arial"/>
          <w:sz w:val="21"/>
        </w:rPr>
      </w:pPr>
    </w:p>
    <w:p w14:paraId="2B4B5D8B" w14:textId="77777777" w:rsidR="00814D19" w:rsidRPr="00F631FB" w:rsidRDefault="00814D19" w:rsidP="00814D19">
      <w:pPr>
        <w:spacing w:line="360" w:lineRule="auto"/>
        <w:ind w:left="420"/>
        <w:jc w:val="both"/>
        <w:rPr>
          <w:rFonts w:ascii="Arial" w:eastAsia="仿宋_GB2312" w:hAnsi="Arial" w:cs="Arial"/>
          <w:b/>
          <w:sz w:val="28"/>
        </w:rPr>
      </w:pPr>
      <w:r w:rsidRPr="00F631FB">
        <w:rPr>
          <w:rFonts w:ascii="Arial" w:eastAsia="仿宋_GB2312" w:hAnsi="Arial" w:cs="Arial"/>
          <w:b/>
          <w:sz w:val="28"/>
          <w:szCs w:val="28"/>
        </w:rPr>
        <w:lastRenderedPageBreak/>
        <w:t>（</w:t>
      </w:r>
      <w:r w:rsidRPr="00F631FB">
        <w:rPr>
          <w:rFonts w:ascii="Arial" w:eastAsia="仿宋_GB2312" w:hAnsi="Arial" w:cs="Arial"/>
          <w:b/>
          <w:sz w:val="28"/>
          <w:szCs w:val="28"/>
        </w:rPr>
        <w:t>3</w:t>
      </w:r>
      <w:r w:rsidRPr="00F631FB">
        <w:rPr>
          <w:rFonts w:ascii="Arial" w:eastAsia="仿宋_GB2312" w:hAnsi="Arial" w:cs="Arial"/>
          <w:b/>
          <w:sz w:val="28"/>
          <w:szCs w:val="28"/>
        </w:rPr>
        <w:t>）</w:t>
      </w:r>
      <w:r w:rsidRPr="00F631FB">
        <w:rPr>
          <w:rFonts w:ascii="Arial" w:eastAsia="仿宋_GB2312" w:hAnsi="Arial" w:cs="Arial"/>
          <w:b/>
          <w:sz w:val="28"/>
        </w:rPr>
        <w:t>求取估价对象</w:t>
      </w:r>
      <w:r>
        <w:rPr>
          <w:rFonts w:ascii="Arial" w:eastAsia="仿宋_GB2312" w:hAnsi="Arial" w:cs="Arial" w:hint="eastAsia"/>
          <w:b/>
          <w:sz w:val="28"/>
        </w:rPr>
        <w:t>地上</w:t>
      </w:r>
      <w:r w:rsidRPr="00F631FB">
        <w:rPr>
          <w:rFonts w:ascii="Arial" w:eastAsia="仿宋_GB2312" w:hAnsi="Arial" w:cs="Arial"/>
          <w:b/>
          <w:sz w:val="28"/>
        </w:rPr>
        <w:t>商业</w:t>
      </w:r>
      <w:r w:rsidRPr="00F631FB">
        <w:rPr>
          <w:rFonts w:ascii="Arial" w:eastAsia="仿宋_GB2312" w:hAnsi="Arial" w:cs="Arial"/>
          <w:b/>
          <w:sz w:val="28"/>
          <w:szCs w:val="28"/>
        </w:rPr>
        <w:t>楼面</w:t>
      </w:r>
      <w:r w:rsidRPr="00F631FB">
        <w:rPr>
          <w:rFonts w:ascii="Arial" w:eastAsia="仿宋_GB2312" w:hAnsi="Arial" w:cs="Arial"/>
          <w:b/>
          <w:sz w:val="28"/>
        </w:rPr>
        <w:t>熟地价</w:t>
      </w:r>
      <w:r w:rsidRPr="00F631FB">
        <w:rPr>
          <w:rFonts w:ascii="Arial" w:eastAsia="仿宋_GB2312" w:hAnsi="Arial" w:cs="Arial" w:hint="eastAsia"/>
          <w:b/>
          <w:sz w:val="28"/>
        </w:rPr>
        <w:t>（土地剩余使用年限</w:t>
      </w:r>
      <w:r w:rsidRPr="00F631FB">
        <w:rPr>
          <w:rFonts w:ascii="Arial" w:eastAsia="仿宋_GB2312" w:hAnsi="Arial" w:cs="Arial"/>
          <w:b/>
          <w:sz w:val="28"/>
        </w:rPr>
        <w:t>40</w:t>
      </w:r>
      <w:r w:rsidRPr="00F631FB">
        <w:rPr>
          <w:rFonts w:ascii="Arial" w:eastAsia="仿宋_GB2312" w:hAnsi="Arial" w:cs="Arial" w:hint="eastAsia"/>
          <w:b/>
          <w:sz w:val="28"/>
        </w:rPr>
        <w:t>年）</w:t>
      </w:r>
    </w:p>
    <w:p w14:paraId="05505EC3"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）宗地适用基准地价水平的确定</w:t>
      </w:r>
    </w:p>
    <w:p w14:paraId="77501A54" w14:textId="23389345" w:rsidR="00814D19" w:rsidRDefault="00814D19" w:rsidP="00814D1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A</w:t>
      </w:r>
      <w:r w:rsidRPr="00F631FB">
        <w:rPr>
          <w:rFonts w:ascii="Arial" w:eastAsia="仿宋_GB2312" w:hAnsi="Arial" w:cs="Arial"/>
          <w:sz w:val="28"/>
        </w:rPr>
        <w:t>）根据《北京市基准地价更新成果》，估价对象地上商业相应用途基准地价参照《北京市区片基准地价表》确定。估价对象位于</w:t>
      </w:r>
      <w:r>
        <w:rPr>
          <w:rFonts w:ascii="Arial" w:eastAsia="仿宋_GB2312" w:hAnsi="Arial" w:cs="Arial"/>
          <w:sz w:val="28"/>
        </w:rPr>
        <w:t>海淀区苏州街</w:t>
      </w:r>
      <w:r w:rsidRPr="00F631FB">
        <w:rPr>
          <w:rFonts w:ascii="Arial" w:eastAsia="仿宋_GB2312" w:hAnsi="Arial" w:cs="Arial"/>
          <w:sz w:val="28"/>
        </w:rPr>
        <w:t>，土地级别为商业类</w:t>
      </w:r>
      <w:r>
        <w:rPr>
          <w:rFonts w:ascii="Arial" w:eastAsia="仿宋_GB2312" w:hAnsi="Arial" w:cs="Arial" w:hint="eastAsia"/>
          <w:sz w:val="28"/>
        </w:rPr>
        <w:t>三</w:t>
      </w:r>
      <w:r w:rsidRPr="00F631FB">
        <w:rPr>
          <w:rFonts w:ascii="Arial" w:eastAsia="仿宋_GB2312" w:hAnsi="Arial" w:cs="Arial"/>
          <w:sz w:val="28"/>
        </w:rPr>
        <w:t>级地价区，属商业用途</w:t>
      </w:r>
      <w:r>
        <w:rPr>
          <w:rFonts w:ascii="Arial" w:eastAsia="仿宋_GB2312" w:hAnsi="Arial" w:cs="Arial"/>
          <w:sz w:val="28"/>
        </w:rPr>
        <w:t>III-06</w:t>
      </w:r>
      <w:r w:rsidRPr="00F631FB">
        <w:rPr>
          <w:rFonts w:ascii="Arial" w:eastAsia="仿宋_GB2312" w:hAnsi="Arial" w:cs="Arial"/>
          <w:sz w:val="28"/>
        </w:rPr>
        <w:t>区片。北京市各用途</w:t>
      </w:r>
      <w:r w:rsidR="00A92F3E">
        <w:rPr>
          <w:rFonts w:ascii="Arial" w:eastAsia="仿宋_GB2312" w:hAnsi="Arial" w:cs="Arial" w:hint="eastAsia"/>
          <w:sz w:val="28"/>
        </w:rPr>
        <w:t>二</w:t>
      </w:r>
      <w:r w:rsidRPr="00F631FB">
        <w:rPr>
          <w:rFonts w:ascii="Arial" w:eastAsia="仿宋_GB2312" w:hAnsi="Arial" w:cs="Arial"/>
          <w:sz w:val="28"/>
        </w:rPr>
        <w:t>级区片基准地价</w:t>
      </w:r>
      <w:r>
        <w:rPr>
          <w:rFonts w:ascii="Arial" w:eastAsia="仿宋_GB2312" w:hAnsi="Arial" w:cs="Arial" w:hint="eastAsia"/>
          <w:sz w:val="28"/>
        </w:rPr>
        <w:t>见下表：</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814D19" w:rsidRPr="00E74C4E" w14:paraId="69EBA9FF" w14:textId="77777777" w:rsidTr="00CE438D">
        <w:trPr>
          <w:trHeight w:val="285"/>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F1142"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15FDD8"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B844BF"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324832"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08AD42"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814D19" w:rsidRPr="00E74C4E" w14:paraId="14DD8B49" w14:textId="77777777" w:rsidTr="00CE438D">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10E5807E" w14:textId="77777777" w:rsidR="00814D19" w:rsidRPr="00E74C4E" w:rsidRDefault="00814D19" w:rsidP="00CE438D">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14:paraId="4F7F27FB"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5C2DA997"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5ECFE4CA"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6888F88A"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69B3BA32"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2EFAF7DE"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6D03C21B"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443A8A6F"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r>
      <w:tr w:rsidR="00814D19" w:rsidRPr="00E74C4E" w14:paraId="6975AD6B" w14:textId="77777777" w:rsidTr="00CE438D">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14:paraId="1235238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三级</w:t>
            </w:r>
          </w:p>
        </w:tc>
        <w:tc>
          <w:tcPr>
            <w:tcW w:w="1003" w:type="dxa"/>
            <w:tcBorders>
              <w:top w:val="nil"/>
              <w:left w:val="nil"/>
              <w:bottom w:val="single" w:sz="4" w:space="0" w:color="auto"/>
              <w:right w:val="single" w:sz="4" w:space="0" w:color="auto"/>
            </w:tcBorders>
            <w:shd w:val="clear" w:color="auto" w:fill="auto"/>
            <w:vAlign w:val="center"/>
            <w:hideMark/>
          </w:tcPr>
          <w:p w14:paraId="1BA0816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Ⅲ—01</w:t>
            </w:r>
          </w:p>
        </w:tc>
        <w:tc>
          <w:tcPr>
            <w:tcW w:w="1003" w:type="dxa"/>
            <w:tcBorders>
              <w:top w:val="nil"/>
              <w:left w:val="nil"/>
              <w:bottom w:val="single" w:sz="4" w:space="0" w:color="auto"/>
              <w:right w:val="single" w:sz="4" w:space="0" w:color="auto"/>
            </w:tcBorders>
            <w:shd w:val="clear" w:color="auto" w:fill="auto"/>
            <w:vAlign w:val="center"/>
            <w:hideMark/>
          </w:tcPr>
          <w:p w14:paraId="77912F5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22090</w:t>
            </w:r>
          </w:p>
        </w:tc>
        <w:tc>
          <w:tcPr>
            <w:tcW w:w="1003" w:type="dxa"/>
            <w:tcBorders>
              <w:top w:val="nil"/>
              <w:left w:val="nil"/>
              <w:bottom w:val="single" w:sz="4" w:space="0" w:color="auto"/>
              <w:right w:val="single" w:sz="4" w:space="0" w:color="auto"/>
            </w:tcBorders>
            <w:shd w:val="clear" w:color="auto" w:fill="auto"/>
            <w:vAlign w:val="center"/>
            <w:hideMark/>
          </w:tcPr>
          <w:p w14:paraId="17D1540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Ⅲ—01</w:t>
            </w:r>
          </w:p>
        </w:tc>
        <w:tc>
          <w:tcPr>
            <w:tcW w:w="1004" w:type="dxa"/>
            <w:tcBorders>
              <w:top w:val="nil"/>
              <w:left w:val="nil"/>
              <w:bottom w:val="single" w:sz="4" w:space="0" w:color="auto"/>
              <w:right w:val="single" w:sz="4" w:space="0" w:color="auto"/>
            </w:tcBorders>
            <w:shd w:val="clear" w:color="auto" w:fill="auto"/>
            <w:vAlign w:val="center"/>
            <w:hideMark/>
          </w:tcPr>
          <w:p w14:paraId="54905D8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21860</w:t>
            </w:r>
          </w:p>
        </w:tc>
        <w:tc>
          <w:tcPr>
            <w:tcW w:w="1003" w:type="dxa"/>
            <w:tcBorders>
              <w:top w:val="nil"/>
              <w:left w:val="nil"/>
              <w:bottom w:val="single" w:sz="4" w:space="0" w:color="auto"/>
              <w:right w:val="single" w:sz="4" w:space="0" w:color="auto"/>
            </w:tcBorders>
            <w:shd w:val="clear" w:color="auto" w:fill="auto"/>
            <w:vAlign w:val="center"/>
            <w:hideMark/>
          </w:tcPr>
          <w:p w14:paraId="4161534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Ⅲ—01</w:t>
            </w:r>
          </w:p>
        </w:tc>
        <w:tc>
          <w:tcPr>
            <w:tcW w:w="1003" w:type="dxa"/>
            <w:tcBorders>
              <w:top w:val="nil"/>
              <w:left w:val="nil"/>
              <w:bottom w:val="single" w:sz="4" w:space="0" w:color="auto"/>
              <w:right w:val="single" w:sz="4" w:space="0" w:color="auto"/>
            </w:tcBorders>
            <w:shd w:val="clear" w:color="auto" w:fill="auto"/>
            <w:vAlign w:val="center"/>
            <w:hideMark/>
          </w:tcPr>
          <w:p w14:paraId="4DC54E1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19380</w:t>
            </w:r>
          </w:p>
        </w:tc>
        <w:tc>
          <w:tcPr>
            <w:tcW w:w="1559" w:type="dxa"/>
            <w:tcBorders>
              <w:top w:val="nil"/>
              <w:left w:val="nil"/>
              <w:bottom w:val="single" w:sz="4" w:space="0" w:color="auto"/>
              <w:right w:val="single" w:sz="4" w:space="0" w:color="auto"/>
            </w:tcBorders>
            <w:shd w:val="clear" w:color="auto" w:fill="auto"/>
            <w:vAlign w:val="center"/>
            <w:hideMark/>
          </w:tcPr>
          <w:p w14:paraId="2552C7F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Ⅲ—01</w:t>
            </w:r>
          </w:p>
        </w:tc>
        <w:tc>
          <w:tcPr>
            <w:tcW w:w="1004" w:type="dxa"/>
            <w:tcBorders>
              <w:top w:val="nil"/>
              <w:left w:val="nil"/>
              <w:bottom w:val="single" w:sz="4" w:space="0" w:color="auto"/>
              <w:right w:val="single" w:sz="4" w:space="0" w:color="auto"/>
            </w:tcBorders>
            <w:shd w:val="clear" w:color="auto" w:fill="auto"/>
            <w:vAlign w:val="center"/>
            <w:hideMark/>
          </w:tcPr>
          <w:p w14:paraId="73CF0EB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6610</w:t>
            </w:r>
          </w:p>
        </w:tc>
      </w:tr>
      <w:tr w:rsidR="00814D19" w:rsidRPr="00E74C4E" w14:paraId="2AFF5F84"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628AE1C6"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504451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Ⅲ—02</w:t>
            </w:r>
          </w:p>
        </w:tc>
        <w:tc>
          <w:tcPr>
            <w:tcW w:w="1003" w:type="dxa"/>
            <w:tcBorders>
              <w:top w:val="nil"/>
              <w:left w:val="nil"/>
              <w:bottom w:val="single" w:sz="4" w:space="0" w:color="auto"/>
              <w:right w:val="single" w:sz="4" w:space="0" w:color="auto"/>
            </w:tcBorders>
            <w:shd w:val="clear" w:color="auto" w:fill="auto"/>
            <w:vAlign w:val="center"/>
            <w:hideMark/>
          </w:tcPr>
          <w:p w14:paraId="0FDB6D3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21380</w:t>
            </w:r>
          </w:p>
        </w:tc>
        <w:tc>
          <w:tcPr>
            <w:tcW w:w="1003" w:type="dxa"/>
            <w:tcBorders>
              <w:top w:val="nil"/>
              <w:left w:val="nil"/>
              <w:bottom w:val="single" w:sz="4" w:space="0" w:color="auto"/>
              <w:right w:val="single" w:sz="4" w:space="0" w:color="auto"/>
            </w:tcBorders>
            <w:shd w:val="clear" w:color="auto" w:fill="auto"/>
            <w:vAlign w:val="center"/>
            <w:hideMark/>
          </w:tcPr>
          <w:p w14:paraId="6FFA3D2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Ⅲ—02</w:t>
            </w:r>
          </w:p>
        </w:tc>
        <w:tc>
          <w:tcPr>
            <w:tcW w:w="1004" w:type="dxa"/>
            <w:tcBorders>
              <w:top w:val="nil"/>
              <w:left w:val="nil"/>
              <w:bottom w:val="single" w:sz="4" w:space="0" w:color="auto"/>
              <w:right w:val="single" w:sz="4" w:space="0" w:color="auto"/>
            </w:tcBorders>
            <w:shd w:val="clear" w:color="auto" w:fill="auto"/>
            <w:vAlign w:val="center"/>
            <w:hideMark/>
          </w:tcPr>
          <w:p w14:paraId="6E0927B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19930</w:t>
            </w:r>
          </w:p>
        </w:tc>
        <w:tc>
          <w:tcPr>
            <w:tcW w:w="1003" w:type="dxa"/>
            <w:tcBorders>
              <w:top w:val="nil"/>
              <w:left w:val="nil"/>
              <w:bottom w:val="single" w:sz="4" w:space="0" w:color="auto"/>
              <w:right w:val="single" w:sz="4" w:space="0" w:color="auto"/>
            </w:tcBorders>
            <w:shd w:val="clear" w:color="auto" w:fill="auto"/>
            <w:vAlign w:val="center"/>
            <w:hideMark/>
          </w:tcPr>
          <w:p w14:paraId="7046290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Ⅲ—02</w:t>
            </w:r>
          </w:p>
        </w:tc>
        <w:tc>
          <w:tcPr>
            <w:tcW w:w="1003" w:type="dxa"/>
            <w:tcBorders>
              <w:top w:val="nil"/>
              <w:left w:val="nil"/>
              <w:bottom w:val="single" w:sz="4" w:space="0" w:color="auto"/>
              <w:right w:val="single" w:sz="4" w:space="0" w:color="auto"/>
            </w:tcBorders>
            <w:shd w:val="clear" w:color="auto" w:fill="auto"/>
            <w:vAlign w:val="center"/>
            <w:hideMark/>
          </w:tcPr>
          <w:p w14:paraId="4EA16B6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19860</w:t>
            </w:r>
          </w:p>
        </w:tc>
        <w:tc>
          <w:tcPr>
            <w:tcW w:w="1559" w:type="dxa"/>
            <w:tcBorders>
              <w:top w:val="nil"/>
              <w:left w:val="nil"/>
              <w:bottom w:val="single" w:sz="4" w:space="0" w:color="auto"/>
              <w:right w:val="single" w:sz="4" w:space="0" w:color="auto"/>
            </w:tcBorders>
            <w:shd w:val="clear" w:color="auto" w:fill="auto"/>
            <w:vAlign w:val="center"/>
            <w:hideMark/>
          </w:tcPr>
          <w:p w14:paraId="21A32C1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Ⅲ—02</w:t>
            </w:r>
          </w:p>
        </w:tc>
        <w:tc>
          <w:tcPr>
            <w:tcW w:w="1004" w:type="dxa"/>
            <w:tcBorders>
              <w:top w:val="nil"/>
              <w:left w:val="nil"/>
              <w:bottom w:val="single" w:sz="4" w:space="0" w:color="auto"/>
              <w:right w:val="single" w:sz="4" w:space="0" w:color="auto"/>
            </w:tcBorders>
            <w:shd w:val="clear" w:color="auto" w:fill="auto"/>
            <w:vAlign w:val="center"/>
            <w:hideMark/>
          </w:tcPr>
          <w:p w14:paraId="0BDFFD2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6010</w:t>
            </w:r>
          </w:p>
        </w:tc>
      </w:tr>
      <w:tr w:rsidR="00814D19" w:rsidRPr="00E74C4E" w14:paraId="401A78FF"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22001416"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80F4E4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Ⅲ—03</w:t>
            </w:r>
          </w:p>
        </w:tc>
        <w:tc>
          <w:tcPr>
            <w:tcW w:w="1003" w:type="dxa"/>
            <w:tcBorders>
              <w:top w:val="nil"/>
              <w:left w:val="nil"/>
              <w:bottom w:val="single" w:sz="4" w:space="0" w:color="auto"/>
              <w:right w:val="single" w:sz="4" w:space="0" w:color="auto"/>
            </w:tcBorders>
            <w:shd w:val="clear" w:color="auto" w:fill="auto"/>
            <w:vAlign w:val="center"/>
            <w:hideMark/>
          </w:tcPr>
          <w:p w14:paraId="7E3A11A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21670</w:t>
            </w:r>
          </w:p>
        </w:tc>
        <w:tc>
          <w:tcPr>
            <w:tcW w:w="1003" w:type="dxa"/>
            <w:tcBorders>
              <w:top w:val="nil"/>
              <w:left w:val="nil"/>
              <w:bottom w:val="single" w:sz="4" w:space="0" w:color="auto"/>
              <w:right w:val="single" w:sz="4" w:space="0" w:color="auto"/>
            </w:tcBorders>
            <w:shd w:val="clear" w:color="auto" w:fill="auto"/>
            <w:vAlign w:val="center"/>
            <w:hideMark/>
          </w:tcPr>
          <w:p w14:paraId="14C3AE8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Ⅲ—03</w:t>
            </w:r>
          </w:p>
        </w:tc>
        <w:tc>
          <w:tcPr>
            <w:tcW w:w="1004" w:type="dxa"/>
            <w:tcBorders>
              <w:top w:val="nil"/>
              <w:left w:val="nil"/>
              <w:bottom w:val="single" w:sz="4" w:space="0" w:color="auto"/>
              <w:right w:val="single" w:sz="4" w:space="0" w:color="auto"/>
            </w:tcBorders>
            <w:shd w:val="clear" w:color="auto" w:fill="auto"/>
            <w:vAlign w:val="center"/>
            <w:hideMark/>
          </w:tcPr>
          <w:p w14:paraId="320A29F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20660</w:t>
            </w:r>
          </w:p>
        </w:tc>
        <w:tc>
          <w:tcPr>
            <w:tcW w:w="1003" w:type="dxa"/>
            <w:tcBorders>
              <w:top w:val="nil"/>
              <w:left w:val="nil"/>
              <w:bottom w:val="single" w:sz="4" w:space="0" w:color="auto"/>
              <w:right w:val="single" w:sz="4" w:space="0" w:color="auto"/>
            </w:tcBorders>
            <w:shd w:val="clear" w:color="auto" w:fill="auto"/>
            <w:vAlign w:val="center"/>
            <w:hideMark/>
          </w:tcPr>
          <w:p w14:paraId="4AF8847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Ⅲ—03</w:t>
            </w:r>
          </w:p>
        </w:tc>
        <w:tc>
          <w:tcPr>
            <w:tcW w:w="1003" w:type="dxa"/>
            <w:tcBorders>
              <w:top w:val="nil"/>
              <w:left w:val="nil"/>
              <w:bottom w:val="single" w:sz="4" w:space="0" w:color="auto"/>
              <w:right w:val="single" w:sz="4" w:space="0" w:color="auto"/>
            </w:tcBorders>
            <w:shd w:val="clear" w:color="auto" w:fill="auto"/>
            <w:vAlign w:val="center"/>
            <w:hideMark/>
          </w:tcPr>
          <w:p w14:paraId="3AFE37E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20290</w:t>
            </w:r>
          </w:p>
        </w:tc>
        <w:tc>
          <w:tcPr>
            <w:tcW w:w="1559" w:type="dxa"/>
            <w:tcBorders>
              <w:top w:val="nil"/>
              <w:left w:val="nil"/>
              <w:bottom w:val="single" w:sz="4" w:space="0" w:color="auto"/>
              <w:right w:val="single" w:sz="4" w:space="0" w:color="auto"/>
            </w:tcBorders>
            <w:shd w:val="clear" w:color="auto" w:fill="auto"/>
            <w:vAlign w:val="center"/>
            <w:hideMark/>
          </w:tcPr>
          <w:p w14:paraId="45B4342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Ⅲ—03</w:t>
            </w:r>
          </w:p>
        </w:tc>
        <w:tc>
          <w:tcPr>
            <w:tcW w:w="1004" w:type="dxa"/>
            <w:tcBorders>
              <w:top w:val="nil"/>
              <w:left w:val="nil"/>
              <w:bottom w:val="single" w:sz="4" w:space="0" w:color="auto"/>
              <w:right w:val="single" w:sz="4" w:space="0" w:color="auto"/>
            </w:tcBorders>
            <w:shd w:val="clear" w:color="auto" w:fill="auto"/>
            <w:vAlign w:val="center"/>
            <w:hideMark/>
          </w:tcPr>
          <w:p w14:paraId="2D41605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5840</w:t>
            </w:r>
          </w:p>
        </w:tc>
      </w:tr>
      <w:tr w:rsidR="00814D19" w:rsidRPr="00E74C4E" w14:paraId="2780B881"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52A0A4BA"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7DC687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Ⅲ—04</w:t>
            </w:r>
          </w:p>
        </w:tc>
        <w:tc>
          <w:tcPr>
            <w:tcW w:w="1003" w:type="dxa"/>
            <w:tcBorders>
              <w:top w:val="nil"/>
              <w:left w:val="nil"/>
              <w:bottom w:val="single" w:sz="4" w:space="0" w:color="auto"/>
              <w:right w:val="single" w:sz="4" w:space="0" w:color="auto"/>
            </w:tcBorders>
            <w:shd w:val="clear" w:color="auto" w:fill="auto"/>
            <w:vAlign w:val="center"/>
            <w:hideMark/>
          </w:tcPr>
          <w:p w14:paraId="5DA0382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22280</w:t>
            </w:r>
          </w:p>
        </w:tc>
        <w:tc>
          <w:tcPr>
            <w:tcW w:w="1003" w:type="dxa"/>
            <w:tcBorders>
              <w:top w:val="nil"/>
              <w:left w:val="nil"/>
              <w:bottom w:val="single" w:sz="4" w:space="0" w:color="auto"/>
              <w:right w:val="single" w:sz="4" w:space="0" w:color="auto"/>
            </w:tcBorders>
            <w:shd w:val="clear" w:color="auto" w:fill="auto"/>
            <w:vAlign w:val="center"/>
            <w:hideMark/>
          </w:tcPr>
          <w:p w14:paraId="66962BE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Ⅲ—04</w:t>
            </w:r>
          </w:p>
        </w:tc>
        <w:tc>
          <w:tcPr>
            <w:tcW w:w="1004" w:type="dxa"/>
            <w:tcBorders>
              <w:top w:val="nil"/>
              <w:left w:val="nil"/>
              <w:bottom w:val="single" w:sz="4" w:space="0" w:color="auto"/>
              <w:right w:val="single" w:sz="4" w:space="0" w:color="auto"/>
            </w:tcBorders>
            <w:shd w:val="clear" w:color="auto" w:fill="auto"/>
            <w:vAlign w:val="center"/>
            <w:hideMark/>
          </w:tcPr>
          <w:p w14:paraId="2A1FBFB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21800</w:t>
            </w:r>
          </w:p>
        </w:tc>
        <w:tc>
          <w:tcPr>
            <w:tcW w:w="1003" w:type="dxa"/>
            <w:tcBorders>
              <w:top w:val="nil"/>
              <w:left w:val="nil"/>
              <w:bottom w:val="single" w:sz="4" w:space="0" w:color="auto"/>
              <w:right w:val="single" w:sz="4" w:space="0" w:color="auto"/>
            </w:tcBorders>
            <w:shd w:val="clear" w:color="auto" w:fill="auto"/>
            <w:vAlign w:val="center"/>
            <w:hideMark/>
          </w:tcPr>
          <w:p w14:paraId="1F0ADE8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Ⅲ—04</w:t>
            </w:r>
          </w:p>
        </w:tc>
        <w:tc>
          <w:tcPr>
            <w:tcW w:w="1003" w:type="dxa"/>
            <w:tcBorders>
              <w:top w:val="nil"/>
              <w:left w:val="nil"/>
              <w:bottom w:val="single" w:sz="4" w:space="0" w:color="auto"/>
              <w:right w:val="single" w:sz="4" w:space="0" w:color="auto"/>
            </w:tcBorders>
            <w:shd w:val="clear" w:color="auto" w:fill="auto"/>
            <w:vAlign w:val="center"/>
            <w:hideMark/>
          </w:tcPr>
          <w:p w14:paraId="7F0764A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17650</w:t>
            </w:r>
          </w:p>
        </w:tc>
        <w:tc>
          <w:tcPr>
            <w:tcW w:w="1559" w:type="dxa"/>
            <w:tcBorders>
              <w:top w:val="nil"/>
              <w:left w:val="nil"/>
              <w:bottom w:val="single" w:sz="4" w:space="0" w:color="auto"/>
              <w:right w:val="single" w:sz="4" w:space="0" w:color="auto"/>
            </w:tcBorders>
            <w:shd w:val="clear" w:color="auto" w:fill="auto"/>
            <w:vAlign w:val="center"/>
            <w:hideMark/>
          </w:tcPr>
          <w:p w14:paraId="59ACB6A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Ⅲ—04</w:t>
            </w:r>
          </w:p>
        </w:tc>
        <w:tc>
          <w:tcPr>
            <w:tcW w:w="1004" w:type="dxa"/>
            <w:tcBorders>
              <w:top w:val="nil"/>
              <w:left w:val="nil"/>
              <w:bottom w:val="single" w:sz="4" w:space="0" w:color="auto"/>
              <w:right w:val="single" w:sz="4" w:space="0" w:color="auto"/>
            </w:tcBorders>
            <w:shd w:val="clear" w:color="auto" w:fill="auto"/>
            <w:vAlign w:val="center"/>
            <w:hideMark/>
          </w:tcPr>
          <w:p w14:paraId="51E70A3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4690</w:t>
            </w:r>
          </w:p>
        </w:tc>
      </w:tr>
      <w:tr w:rsidR="00814D19" w:rsidRPr="00E74C4E" w14:paraId="3ADB9BD8"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1032E763"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BE36F2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Ⅲ—05</w:t>
            </w:r>
          </w:p>
        </w:tc>
        <w:tc>
          <w:tcPr>
            <w:tcW w:w="1003" w:type="dxa"/>
            <w:tcBorders>
              <w:top w:val="nil"/>
              <w:left w:val="nil"/>
              <w:bottom w:val="single" w:sz="4" w:space="0" w:color="auto"/>
              <w:right w:val="single" w:sz="4" w:space="0" w:color="auto"/>
            </w:tcBorders>
            <w:shd w:val="clear" w:color="auto" w:fill="auto"/>
            <w:vAlign w:val="center"/>
            <w:hideMark/>
          </w:tcPr>
          <w:p w14:paraId="2F2ACDE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22130</w:t>
            </w:r>
          </w:p>
        </w:tc>
        <w:tc>
          <w:tcPr>
            <w:tcW w:w="1003" w:type="dxa"/>
            <w:tcBorders>
              <w:top w:val="nil"/>
              <w:left w:val="nil"/>
              <w:bottom w:val="single" w:sz="4" w:space="0" w:color="auto"/>
              <w:right w:val="single" w:sz="4" w:space="0" w:color="auto"/>
            </w:tcBorders>
            <w:shd w:val="clear" w:color="auto" w:fill="auto"/>
            <w:vAlign w:val="center"/>
            <w:hideMark/>
          </w:tcPr>
          <w:p w14:paraId="182A085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Ⅲ—05</w:t>
            </w:r>
          </w:p>
        </w:tc>
        <w:tc>
          <w:tcPr>
            <w:tcW w:w="1004" w:type="dxa"/>
            <w:tcBorders>
              <w:top w:val="nil"/>
              <w:left w:val="nil"/>
              <w:bottom w:val="single" w:sz="4" w:space="0" w:color="auto"/>
              <w:right w:val="single" w:sz="4" w:space="0" w:color="auto"/>
            </w:tcBorders>
            <w:shd w:val="clear" w:color="auto" w:fill="auto"/>
            <w:vAlign w:val="center"/>
            <w:hideMark/>
          </w:tcPr>
          <w:p w14:paraId="1F8F8B6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20460</w:t>
            </w:r>
          </w:p>
        </w:tc>
        <w:tc>
          <w:tcPr>
            <w:tcW w:w="1003" w:type="dxa"/>
            <w:tcBorders>
              <w:top w:val="nil"/>
              <w:left w:val="nil"/>
              <w:bottom w:val="single" w:sz="4" w:space="0" w:color="auto"/>
              <w:right w:val="single" w:sz="4" w:space="0" w:color="auto"/>
            </w:tcBorders>
            <w:shd w:val="clear" w:color="auto" w:fill="auto"/>
            <w:vAlign w:val="center"/>
            <w:hideMark/>
          </w:tcPr>
          <w:p w14:paraId="60E41AC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Ⅲ—05</w:t>
            </w:r>
          </w:p>
        </w:tc>
        <w:tc>
          <w:tcPr>
            <w:tcW w:w="1003" w:type="dxa"/>
            <w:tcBorders>
              <w:top w:val="nil"/>
              <w:left w:val="nil"/>
              <w:bottom w:val="single" w:sz="4" w:space="0" w:color="auto"/>
              <w:right w:val="single" w:sz="4" w:space="0" w:color="auto"/>
            </w:tcBorders>
            <w:shd w:val="clear" w:color="auto" w:fill="auto"/>
            <w:vAlign w:val="center"/>
            <w:hideMark/>
          </w:tcPr>
          <w:p w14:paraId="29E32F4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18500</w:t>
            </w:r>
          </w:p>
        </w:tc>
        <w:tc>
          <w:tcPr>
            <w:tcW w:w="1559" w:type="dxa"/>
            <w:tcBorders>
              <w:top w:val="nil"/>
              <w:left w:val="nil"/>
              <w:bottom w:val="single" w:sz="4" w:space="0" w:color="auto"/>
              <w:right w:val="single" w:sz="4" w:space="0" w:color="auto"/>
            </w:tcBorders>
            <w:shd w:val="clear" w:color="auto" w:fill="auto"/>
            <w:vAlign w:val="center"/>
            <w:hideMark/>
          </w:tcPr>
          <w:p w14:paraId="0B98EC5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Ⅲ—05</w:t>
            </w:r>
          </w:p>
        </w:tc>
        <w:tc>
          <w:tcPr>
            <w:tcW w:w="1004" w:type="dxa"/>
            <w:tcBorders>
              <w:top w:val="nil"/>
              <w:left w:val="nil"/>
              <w:bottom w:val="single" w:sz="4" w:space="0" w:color="auto"/>
              <w:right w:val="single" w:sz="4" w:space="0" w:color="auto"/>
            </w:tcBorders>
            <w:shd w:val="clear" w:color="auto" w:fill="auto"/>
            <w:vAlign w:val="center"/>
            <w:hideMark/>
          </w:tcPr>
          <w:p w14:paraId="04AEA42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5340</w:t>
            </w:r>
          </w:p>
        </w:tc>
      </w:tr>
      <w:tr w:rsidR="00814D19" w:rsidRPr="00E74C4E" w14:paraId="4E50E42C"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15F6921A"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F4FA0C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Ⅲ—06</w:t>
            </w:r>
          </w:p>
        </w:tc>
        <w:tc>
          <w:tcPr>
            <w:tcW w:w="1003" w:type="dxa"/>
            <w:tcBorders>
              <w:top w:val="nil"/>
              <w:left w:val="nil"/>
              <w:bottom w:val="single" w:sz="4" w:space="0" w:color="auto"/>
              <w:right w:val="single" w:sz="4" w:space="0" w:color="auto"/>
            </w:tcBorders>
            <w:shd w:val="clear" w:color="auto" w:fill="auto"/>
            <w:vAlign w:val="center"/>
            <w:hideMark/>
          </w:tcPr>
          <w:p w14:paraId="1CD6AD2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22070</w:t>
            </w:r>
          </w:p>
        </w:tc>
        <w:tc>
          <w:tcPr>
            <w:tcW w:w="1003" w:type="dxa"/>
            <w:tcBorders>
              <w:top w:val="nil"/>
              <w:left w:val="nil"/>
              <w:bottom w:val="single" w:sz="4" w:space="0" w:color="auto"/>
              <w:right w:val="single" w:sz="4" w:space="0" w:color="auto"/>
            </w:tcBorders>
            <w:shd w:val="clear" w:color="auto" w:fill="auto"/>
            <w:vAlign w:val="center"/>
            <w:hideMark/>
          </w:tcPr>
          <w:p w14:paraId="72BDB55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Ⅲ—06</w:t>
            </w:r>
          </w:p>
        </w:tc>
        <w:tc>
          <w:tcPr>
            <w:tcW w:w="1004" w:type="dxa"/>
            <w:tcBorders>
              <w:top w:val="nil"/>
              <w:left w:val="nil"/>
              <w:bottom w:val="single" w:sz="4" w:space="0" w:color="auto"/>
              <w:right w:val="single" w:sz="4" w:space="0" w:color="auto"/>
            </w:tcBorders>
            <w:shd w:val="clear" w:color="auto" w:fill="auto"/>
            <w:vAlign w:val="center"/>
            <w:hideMark/>
          </w:tcPr>
          <w:p w14:paraId="72E2B45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20110</w:t>
            </w:r>
          </w:p>
        </w:tc>
        <w:tc>
          <w:tcPr>
            <w:tcW w:w="1003" w:type="dxa"/>
            <w:tcBorders>
              <w:top w:val="nil"/>
              <w:left w:val="nil"/>
              <w:bottom w:val="single" w:sz="4" w:space="0" w:color="auto"/>
              <w:right w:val="single" w:sz="4" w:space="0" w:color="auto"/>
            </w:tcBorders>
            <w:shd w:val="clear" w:color="auto" w:fill="auto"/>
            <w:vAlign w:val="center"/>
            <w:hideMark/>
          </w:tcPr>
          <w:p w14:paraId="7E2CDFB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Ⅲ—06</w:t>
            </w:r>
          </w:p>
        </w:tc>
        <w:tc>
          <w:tcPr>
            <w:tcW w:w="1003" w:type="dxa"/>
            <w:tcBorders>
              <w:top w:val="nil"/>
              <w:left w:val="nil"/>
              <w:bottom w:val="single" w:sz="4" w:space="0" w:color="auto"/>
              <w:right w:val="single" w:sz="4" w:space="0" w:color="auto"/>
            </w:tcBorders>
            <w:shd w:val="clear" w:color="auto" w:fill="auto"/>
            <w:vAlign w:val="center"/>
            <w:hideMark/>
          </w:tcPr>
          <w:p w14:paraId="1A90652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18830</w:t>
            </w:r>
          </w:p>
        </w:tc>
        <w:tc>
          <w:tcPr>
            <w:tcW w:w="1559" w:type="dxa"/>
            <w:tcBorders>
              <w:top w:val="nil"/>
              <w:left w:val="nil"/>
              <w:bottom w:val="single" w:sz="4" w:space="0" w:color="auto"/>
              <w:right w:val="single" w:sz="4" w:space="0" w:color="auto"/>
            </w:tcBorders>
            <w:shd w:val="clear" w:color="auto" w:fill="auto"/>
            <w:vAlign w:val="center"/>
            <w:hideMark/>
          </w:tcPr>
          <w:p w14:paraId="308536A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Ⅲ—06</w:t>
            </w:r>
          </w:p>
        </w:tc>
        <w:tc>
          <w:tcPr>
            <w:tcW w:w="1004" w:type="dxa"/>
            <w:tcBorders>
              <w:top w:val="nil"/>
              <w:left w:val="nil"/>
              <w:bottom w:val="single" w:sz="4" w:space="0" w:color="auto"/>
              <w:right w:val="single" w:sz="4" w:space="0" w:color="auto"/>
            </w:tcBorders>
            <w:shd w:val="clear" w:color="auto" w:fill="auto"/>
            <w:vAlign w:val="center"/>
            <w:hideMark/>
          </w:tcPr>
          <w:p w14:paraId="018E61F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5190</w:t>
            </w:r>
          </w:p>
        </w:tc>
      </w:tr>
      <w:tr w:rsidR="00814D19" w:rsidRPr="00E74C4E" w14:paraId="00B6B355"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104E429B"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55DF25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Ⅲ—07</w:t>
            </w:r>
          </w:p>
        </w:tc>
        <w:tc>
          <w:tcPr>
            <w:tcW w:w="1003" w:type="dxa"/>
            <w:tcBorders>
              <w:top w:val="nil"/>
              <w:left w:val="nil"/>
              <w:bottom w:val="single" w:sz="4" w:space="0" w:color="auto"/>
              <w:right w:val="single" w:sz="4" w:space="0" w:color="auto"/>
            </w:tcBorders>
            <w:shd w:val="clear" w:color="auto" w:fill="auto"/>
            <w:vAlign w:val="center"/>
            <w:hideMark/>
          </w:tcPr>
          <w:p w14:paraId="2027297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22240</w:t>
            </w:r>
          </w:p>
        </w:tc>
        <w:tc>
          <w:tcPr>
            <w:tcW w:w="1003" w:type="dxa"/>
            <w:tcBorders>
              <w:top w:val="nil"/>
              <w:left w:val="nil"/>
              <w:bottom w:val="single" w:sz="4" w:space="0" w:color="auto"/>
              <w:right w:val="single" w:sz="4" w:space="0" w:color="auto"/>
            </w:tcBorders>
            <w:shd w:val="clear" w:color="auto" w:fill="auto"/>
            <w:vAlign w:val="center"/>
            <w:hideMark/>
          </w:tcPr>
          <w:p w14:paraId="196E414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Ⅲ—07</w:t>
            </w:r>
          </w:p>
        </w:tc>
        <w:tc>
          <w:tcPr>
            <w:tcW w:w="1004" w:type="dxa"/>
            <w:tcBorders>
              <w:top w:val="nil"/>
              <w:left w:val="nil"/>
              <w:bottom w:val="single" w:sz="4" w:space="0" w:color="auto"/>
              <w:right w:val="single" w:sz="4" w:space="0" w:color="auto"/>
            </w:tcBorders>
            <w:shd w:val="clear" w:color="auto" w:fill="auto"/>
            <w:vAlign w:val="center"/>
            <w:hideMark/>
          </w:tcPr>
          <w:p w14:paraId="35CAF71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19550</w:t>
            </w:r>
          </w:p>
        </w:tc>
        <w:tc>
          <w:tcPr>
            <w:tcW w:w="1003" w:type="dxa"/>
            <w:tcBorders>
              <w:top w:val="nil"/>
              <w:left w:val="nil"/>
              <w:bottom w:val="single" w:sz="4" w:space="0" w:color="auto"/>
              <w:right w:val="single" w:sz="4" w:space="0" w:color="auto"/>
            </w:tcBorders>
            <w:shd w:val="clear" w:color="auto" w:fill="auto"/>
            <w:vAlign w:val="center"/>
            <w:hideMark/>
          </w:tcPr>
          <w:p w14:paraId="467707D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Ⅲ—07</w:t>
            </w:r>
          </w:p>
        </w:tc>
        <w:tc>
          <w:tcPr>
            <w:tcW w:w="1003" w:type="dxa"/>
            <w:tcBorders>
              <w:top w:val="nil"/>
              <w:left w:val="nil"/>
              <w:bottom w:val="single" w:sz="4" w:space="0" w:color="auto"/>
              <w:right w:val="single" w:sz="4" w:space="0" w:color="auto"/>
            </w:tcBorders>
            <w:shd w:val="clear" w:color="auto" w:fill="auto"/>
            <w:vAlign w:val="center"/>
            <w:hideMark/>
          </w:tcPr>
          <w:p w14:paraId="5F73FFE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19220</w:t>
            </w:r>
          </w:p>
        </w:tc>
        <w:tc>
          <w:tcPr>
            <w:tcW w:w="1559" w:type="dxa"/>
            <w:tcBorders>
              <w:top w:val="nil"/>
              <w:left w:val="nil"/>
              <w:bottom w:val="single" w:sz="4" w:space="0" w:color="auto"/>
              <w:right w:val="single" w:sz="4" w:space="0" w:color="auto"/>
            </w:tcBorders>
            <w:shd w:val="clear" w:color="auto" w:fill="auto"/>
            <w:vAlign w:val="center"/>
            <w:hideMark/>
          </w:tcPr>
          <w:p w14:paraId="002CD0A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Ⅲ—07</w:t>
            </w:r>
          </w:p>
        </w:tc>
        <w:tc>
          <w:tcPr>
            <w:tcW w:w="1004" w:type="dxa"/>
            <w:tcBorders>
              <w:top w:val="nil"/>
              <w:left w:val="nil"/>
              <w:bottom w:val="single" w:sz="4" w:space="0" w:color="auto"/>
              <w:right w:val="single" w:sz="4" w:space="0" w:color="auto"/>
            </w:tcBorders>
            <w:shd w:val="clear" w:color="auto" w:fill="auto"/>
            <w:vAlign w:val="center"/>
            <w:hideMark/>
          </w:tcPr>
          <w:p w14:paraId="524D760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5800</w:t>
            </w:r>
          </w:p>
        </w:tc>
      </w:tr>
      <w:tr w:rsidR="00814D19" w:rsidRPr="00E74C4E" w14:paraId="37B4FF0E"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7C0A873C"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3AF3145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Ⅲ—08</w:t>
            </w:r>
          </w:p>
        </w:tc>
        <w:tc>
          <w:tcPr>
            <w:tcW w:w="1003" w:type="dxa"/>
            <w:tcBorders>
              <w:top w:val="nil"/>
              <w:left w:val="nil"/>
              <w:bottom w:val="single" w:sz="4" w:space="0" w:color="auto"/>
              <w:right w:val="single" w:sz="4" w:space="0" w:color="auto"/>
            </w:tcBorders>
            <w:shd w:val="clear" w:color="auto" w:fill="auto"/>
            <w:vAlign w:val="center"/>
            <w:hideMark/>
          </w:tcPr>
          <w:p w14:paraId="1A5F2EA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19750</w:t>
            </w:r>
          </w:p>
        </w:tc>
        <w:tc>
          <w:tcPr>
            <w:tcW w:w="1003" w:type="dxa"/>
            <w:tcBorders>
              <w:top w:val="nil"/>
              <w:left w:val="nil"/>
              <w:bottom w:val="single" w:sz="4" w:space="0" w:color="auto"/>
              <w:right w:val="single" w:sz="4" w:space="0" w:color="auto"/>
            </w:tcBorders>
            <w:shd w:val="clear" w:color="auto" w:fill="auto"/>
            <w:vAlign w:val="center"/>
            <w:hideMark/>
          </w:tcPr>
          <w:p w14:paraId="508EBF7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Ⅲ—08</w:t>
            </w:r>
          </w:p>
        </w:tc>
        <w:tc>
          <w:tcPr>
            <w:tcW w:w="1004" w:type="dxa"/>
            <w:tcBorders>
              <w:top w:val="nil"/>
              <w:left w:val="nil"/>
              <w:bottom w:val="single" w:sz="4" w:space="0" w:color="auto"/>
              <w:right w:val="single" w:sz="4" w:space="0" w:color="auto"/>
            </w:tcBorders>
            <w:shd w:val="clear" w:color="auto" w:fill="auto"/>
            <w:vAlign w:val="center"/>
            <w:hideMark/>
          </w:tcPr>
          <w:p w14:paraId="0F536A6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19790</w:t>
            </w:r>
          </w:p>
        </w:tc>
        <w:tc>
          <w:tcPr>
            <w:tcW w:w="1003" w:type="dxa"/>
            <w:tcBorders>
              <w:top w:val="nil"/>
              <w:left w:val="nil"/>
              <w:bottom w:val="single" w:sz="4" w:space="0" w:color="auto"/>
              <w:right w:val="single" w:sz="4" w:space="0" w:color="auto"/>
            </w:tcBorders>
            <w:shd w:val="clear" w:color="auto" w:fill="auto"/>
            <w:vAlign w:val="center"/>
            <w:hideMark/>
          </w:tcPr>
          <w:p w14:paraId="0E24EFA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Ⅲ—08</w:t>
            </w:r>
          </w:p>
        </w:tc>
        <w:tc>
          <w:tcPr>
            <w:tcW w:w="1003" w:type="dxa"/>
            <w:tcBorders>
              <w:top w:val="nil"/>
              <w:left w:val="nil"/>
              <w:bottom w:val="single" w:sz="4" w:space="0" w:color="auto"/>
              <w:right w:val="single" w:sz="4" w:space="0" w:color="auto"/>
            </w:tcBorders>
            <w:shd w:val="clear" w:color="auto" w:fill="auto"/>
            <w:vAlign w:val="center"/>
            <w:hideMark/>
          </w:tcPr>
          <w:p w14:paraId="3A0A4FB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18510</w:t>
            </w:r>
          </w:p>
        </w:tc>
        <w:tc>
          <w:tcPr>
            <w:tcW w:w="1559" w:type="dxa"/>
            <w:tcBorders>
              <w:top w:val="nil"/>
              <w:left w:val="nil"/>
              <w:bottom w:val="single" w:sz="4" w:space="0" w:color="auto"/>
              <w:right w:val="single" w:sz="4" w:space="0" w:color="auto"/>
            </w:tcBorders>
            <w:shd w:val="clear" w:color="auto" w:fill="auto"/>
            <w:vAlign w:val="center"/>
            <w:hideMark/>
          </w:tcPr>
          <w:p w14:paraId="38A0802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Ⅲ—08</w:t>
            </w:r>
          </w:p>
        </w:tc>
        <w:tc>
          <w:tcPr>
            <w:tcW w:w="1004" w:type="dxa"/>
            <w:tcBorders>
              <w:top w:val="nil"/>
              <w:left w:val="nil"/>
              <w:bottom w:val="single" w:sz="4" w:space="0" w:color="auto"/>
              <w:right w:val="single" w:sz="4" w:space="0" w:color="auto"/>
            </w:tcBorders>
            <w:shd w:val="clear" w:color="auto" w:fill="auto"/>
            <w:vAlign w:val="center"/>
            <w:hideMark/>
          </w:tcPr>
          <w:p w14:paraId="0061819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6520</w:t>
            </w:r>
          </w:p>
        </w:tc>
      </w:tr>
      <w:tr w:rsidR="00814D19" w:rsidRPr="00E74C4E" w14:paraId="475643C3"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35A99255"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55F8B5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Ⅲ—09</w:t>
            </w:r>
          </w:p>
        </w:tc>
        <w:tc>
          <w:tcPr>
            <w:tcW w:w="1003" w:type="dxa"/>
            <w:tcBorders>
              <w:top w:val="nil"/>
              <w:left w:val="nil"/>
              <w:bottom w:val="single" w:sz="4" w:space="0" w:color="auto"/>
              <w:right w:val="single" w:sz="4" w:space="0" w:color="auto"/>
            </w:tcBorders>
            <w:shd w:val="clear" w:color="auto" w:fill="auto"/>
            <w:vAlign w:val="center"/>
            <w:hideMark/>
          </w:tcPr>
          <w:p w14:paraId="7D72495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22380</w:t>
            </w:r>
          </w:p>
        </w:tc>
        <w:tc>
          <w:tcPr>
            <w:tcW w:w="1003" w:type="dxa"/>
            <w:tcBorders>
              <w:top w:val="nil"/>
              <w:left w:val="nil"/>
              <w:bottom w:val="single" w:sz="4" w:space="0" w:color="auto"/>
              <w:right w:val="single" w:sz="4" w:space="0" w:color="auto"/>
            </w:tcBorders>
            <w:shd w:val="clear" w:color="auto" w:fill="auto"/>
            <w:vAlign w:val="center"/>
            <w:hideMark/>
          </w:tcPr>
          <w:p w14:paraId="2475B28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Ⅲ—09</w:t>
            </w:r>
          </w:p>
        </w:tc>
        <w:tc>
          <w:tcPr>
            <w:tcW w:w="1004" w:type="dxa"/>
            <w:tcBorders>
              <w:top w:val="nil"/>
              <w:left w:val="nil"/>
              <w:bottom w:val="single" w:sz="4" w:space="0" w:color="auto"/>
              <w:right w:val="single" w:sz="4" w:space="0" w:color="auto"/>
            </w:tcBorders>
            <w:shd w:val="clear" w:color="auto" w:fill="auto"/>
            <w:vAlign w:val="center"/>
            <w:hideMark/>
          </w:tcPr>
          <w:p w14:paraId="524DD56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18530</w:t>
            </w:r>
          </w:p>
        </w:tc>
        <w:tc>
          <w:tcPr>
            <w:tcW w:w="1003" w:type="dxa"/>
            <w:tcBorders>
              <w:top w:val="nil"/>
              <w:left w:val="nil"/>
              <w:bottom w:val="single" w:sz="4" w:space="0" w:color="auto"/>
              <w:right w:val="single" w:sz="4" w:space="0" w:color="auto"/>
            </w:tcBorders>
            <w:shd w:val="clear" w:color="auto" w:fill="auto"/>
            <w:vAlign w:val="center"/>
            <w:hideMark/>
          </w:tcPr>
          <w:p w14:paraId="0F00C8C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Ⅲ—09</w:t>
            </w:r>
          </w:p>
        </w:tc>
        <w:tc>
          <w:tcPr>
            <w:tcW w:w="1003" w:type="dxa"/>
            <w:tcBorders>
              <w:top w:val="nil"/>
              <w:left w:val="nil"/>
              <w:bottom w:val="single" w:sz="4" w:space="0" w:color="auto"/>
              <w:right w:val="single" w:sz="4" w:space="0" w:color="auto"/>
            </w:tcBorders>
            <w:shd w:val="clear" w:color="auto" w:fill="auto"/>
            <w:vAlign w:val="center"/>
            <w:hideMark/>
          </w:tcPr>
          <w:p w14:paraId="2C22630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17930</w:t>
            </w:r>
          </w:p>
        </w:tc>
        <w:tc>
          <w:tcPr>
            <w:tcW w:w="1559" w:type="dxa"/>
            <w:tcBorders>
              <w:top w:val="nil"/>
              <w:left w:val="nil"/>
              <w:bottom w:val="single" w:sz="4" w:space="0" w:color="auto"/>
              <w:right w:val="single" w:sz="4" w:space="0" w:color="auto"/>
            </w:tcBorders>
            <w:shd w:val="clear" w:color="auto" w:fill="auto"/>
            <w:vAlign w:val="center"/>
            <w:hideMark/>
          </w:tcPr>
          <w:p w14:paraId="3E3D4E3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Ⅲ—09</w:t>
            </w:r>
          </w:p>
        </w:tc>
        <w:tc>
          <w:tcPr>
            <w:tcW w:w="1004" w:type="dxa"/>
            <w:tcBorders>
              <w:top w:val="nil"/>
              <w:left w:val="nil"/>
              <w:bottom w:val="single" w:sz="4" w:space="0" w:color="auto"/>
              <w:right w:val="single" w:sz="4" w:space="0" w:color="auto"/>
            </w:tcBorders>
            <w:shd w:val="clear" w:color="auto" w:fill="auto"/>
            <w:vAlign w:val="center"/>
            <w:hideMark/>
          </w:tcPr>
          <w:p w14:paraId="50EDA16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6270</w:t>
            </w:r>
          </w:p>
        </w:tc>
      </w:tr>
      <w:tr w:rsidR="00814D19" w:rsidRPr="00E74C4E" w14:paraId="6C2F5F02"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53726B07"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780C78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Ⅲ—10</w:t>
            </w:r>
          </w:p>
        </w:tc>
        <w:tc>
          <w:tcPr>
            <w:tcW w:w="1003" w:type="dxa"/>
            <w:tcBorders>
              <w:top w:val="nil"/>
              <w:left w:val="nil"/>
              <w:bottom w:val="single" w:sz="4" w:space="0" w:color="auto"/>
              <w:right w:val="single" w:sz="4" w:space="0" w:color="auto"/>
            </w:tcBorders>
            <w:shd w:val="clear" w:color="auto" w:fill="auto"/>
            <w:vAlign w:val="center"/>
            <w:hideMark/>
          </w:tcPr>
          <w:p w14:paraId="52746E8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20200</w:t>
            </w:r>
          </w:p>
        </w:tc>
        <w:tc>
          <w:tcPr>
            <w:tcW w:w="1003" w:type="dxa"/>
            <w:tcBorders>
              <w:top w:val="nil"/>
              <w:left w:val="nil"/>
              <w:bottom w:val="single" w:sz="4" w:space="0" w:color="auto"/>
              <w:right w:val="single" w:sz="4" w:space="0" w:color="auto"/>
            </w:tcBorders>
            <w:shd w:val="clear" w:color="auto" w:fill="auto"/>
            <w:vAlign w:val="center"/>
            <w:hideMark/>
          </w:tcPr>
          <w:p w14:paraId="57C0DFA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Ⅲ—10</w:t>
            </w:r>
          </w:p>
        </w:tc>
        <w:tc>
          <w:tcPr>
            <w:tcW w:w="1004" w:type="dxa"/>
            <w:tcBorders>
              <w:top w:val="nil"/>
              <w:left w:val="nil"/>
              <w:bottom w:val="single" w:sz="4" w:space="0" w:color="auto"/>
              <w:right w:val="single" w:sz="4" w:space="0" w:color="auto"/>
            </w:tcBorders>
            <w:shd w:val="clear" w:color="auto" w:fill="auto"/>
            <w:vAlign w:val="center"/>
            <w:hideMark/>
          </w:tcPr>
          <w:p w14:paraId="1D50BC6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20070</w:t>
            </w:r>
          </w:p>
        </w:tc>
        <w:tc>
          <w:tcPr>
            <w:tcW w:w="1003" w:type="dxa"/>
            <w:tcBorders>
              <w:top w:val="nil"/>
              <w:left w:val="nil"/>
              <w:bottom w:val="single" w:sz="4" w:space="0" w:color="auto"/>
              <w:right w:val="single" w:sz="4" w:space="0" w:color="auto"/>
            </w:tcBorders>
            <w:shd w:val="clear" w:color="auto" w:fill="auto"/>
            <w:vAlign w:val="center"/>
            <w:hideMark/>
          </w:tcPr>
          <w:p w14:paraId="3D58476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Ⅲ—10</w:t>
            </w:r>
          </w:p>
        </w:tc>
        <w:tc>
          <w:tcPr>
            <w:tcW w:w="1003" w:type="dxa"/>
            <w:tcBorders>
              <w:top w:val="nil"/>
              <w:left w:val="nil"/>
              <w:bottom w:val="single" w:sz="4" w:space="0" w:color="auto"/>
              <w:right w:val="single" w:sz="4" w:space="0" w:color="auto"/>
            </w:tcBorders>
            <w:shd w:val="clear" w:color="auto" w:fill="auto"/>
            <w:vAlign w:val="center"/>
            <w:hideMark/>
          </w:tcPr>
          <w:p w14:paraId="7EB83D0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19950</w:t>
            </w:r>
          </w:p>
        </w:tc>
        <w:tc>
          <w:tcPr>
            <w:tcW w:w="1559" w:type="dxa"/>
            <w:tcBorders>
              <w:top w:val="nil"/>
              <w:left w:val="nil"/>
              <w:bottom w:val="single" w:sz="4" w:space="0" w:color="auto"/>
              <w:right w:val="single" w:sz="4" w:space="0" w:color="auto"/>
            </w:tcBorders>
            <w:shd w:val="clear" w:color="auto" w:fill="auto"/>
            <w:vAlign w:val="center"/>
            <w:hideMark/>
          </w:tcPr>
          <w:p w14:paraId="7D09B34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7830335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525E5CD6"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705CC30A"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31B3457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Ⅲ—11</w:t>
            </w:r>
          </w:p>
        </w:tc>
        <w:tc>
          <w:tcPr>
            <w:tcW w:w="1003" w:type="dxa"/>
            <w:tcBorders>
              <w:top w:val="nil"/>
              <w:left w:val="nil"/>
              <w:bottom w:val="single" w:sz="4" w:space="0" w:color="auto"/>
              <w:right w:val="single" w:sz="4" w:space="0" w:color="auto"/>
            </w:tcBorders>
            <w:shd w:val="clear" w:color="auto" w:fill="auto"/>
            <w:vAlign w:val="center"/>
            <w:hideMark/>
          </w:tcPr>
          <w:p w14:paraId="457C3F7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19300</w:t>
            </w:r>
          </w:p>
        </w:tc>
        <w:tc>
          <w:tcPr>
            <w:tcW w:w="1003" w:type="dxa"/>
            <w:tcBorders>
              <w:top w:val="nil"/>
              <w:left w:val="nil"/>
              <w:bottom w:val="single" w:sz="4" w:space="0" w:color="auto"/>
              <w:right w:val="single" w:sz="4" w:space="0" w:color="auto"/>
            </w:tcBorders>
            <w:shd w:val="clear" w:color="auto" w:fill="auto"/>
            <w:vAlign w:val="center"/>
            <w:hideMark/>
          </w:tcPr>
          <w:p w14:paraId="4A9CA22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Ⅲ—11</w:t>
            </w:r>
          </w:p>
        </w:tc>
        <w:tc>
          <w:tcPr>
            <w:tcW w:w="1004" w:type="dxa"/>
            <w:tcBorders>
              <w:top w:val="nil"/>
              <w:left w:val="nil"/>
              <w:bottom w:val="single" w:sz="4" w:space="0" w:color="auto"/>
              <w:right w:val="single" w:sz="4" w:space="0" w:color="auto"/>
            </w:tcBorders>
            <w:shd w:val="clear" w:color="auto" w:fill="auto"/>
            <w:vAlign w:val="center"/>
            <w:hideMark/>
          </w:tcPr>
          <w:p w14:paraId="7604D8A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20360</w:t>
            </w:r>
          </w:p>
        </w:tc>
        <w:tc>
          <w:tcPr>
            <w:tcW w:w="1003" w:type="dxa"/>
            <w:tcBorders>
              <w:top w:val="nil"/>
              <w:left w:val="nil"/>
              <w:bottom w:val="single" w:sz="4" w:space="0" w:color="auto"/>
              <w:right w:val="single" w:sz="4" w:space="0" w:color="auto"/>
            </w:tcBorders>
            <w:shd w:val="clear" w:color="auto" w:fill="auto"/>
            <w:vAlign w:val="center"/>
            <w:hideMark/>
          </w:tcPr>
          <w:p w14:paraId="32F7700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Ⅲ—11</w:t>
            </w:r>
          </w:p>
        </w:tc>
        <w:tc>
          <w:tcPr>
            <w:tcW w:w="1003" w:type="dxa"/>
            <w:tcBorders>
              <w:top w:val="nil"/>
              <w:left w:val="nil"/>
              <w:bottom w:val="single" w:sz="4" w:space="0" w:color="auto"/>
              <w:right w:val="single" w:sz="4" w:space="0" w:color="auto"/>
            </w:tcBorders>
            <w:shd w:val="clear" w:color="auto" w:fill="auto"/>
            <w:vAlign w:val="center"/>
            <w:hideMark/>
          </w:tcPr>
          <w:p w14:paraId="5990B63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20230</w:t>
            </w:r>
          </w:p>
        </w:tc>
        <w:tc>
          <w:tcPr>
            <w:tcW w:w="1559" w:type="dxa"/>
            <w:tcBorders>
              <w:top w:val="nil"/>
              <w:left w:val="nil"/>
              <w:bottom w:val="single" w:sz="4" w:space="0" w:color="auto"/>
              <w:right w:val="single" w:sz="4" w:space="0" w:color="auto"/>
            </w:tcBorders>
            <w:shd w:val="clear" w:color="auto" w:fill="auto"/>
            <w:vAlign w:val="center"/>
            <w:hideMark/>
          </w:tcPr>
          <w:p w14:paraId="1FAA823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B5260F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0EA2A319"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091C62AD"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1022DA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Ⅲ—12</w:t>
            </w:r>
          </w:p>
        </w:tc>
        <w:tc>
          <w:tcPr>
            <w:tcW w:w="1003" w:type="dxa"/>
            <w:tcBorders>
              <w:top w:val="nil"/>
              <w:left w:val="nil"/>
              <w:bottom w:val="single" w:sz="4" w:space="0" w:color="auto"/>
              <w:right w:val="single" w:sz="4" w:space="0" w:color="auto"/>
            </w:tcBorders>
            <w:shd w:val="clear" w:color="auto" w:fill="auto"/>
            <w:vAlign w:val="center"/>
            <w:hideMark/>
          </w:tcPr>
          <w:p w14:paraId="6B9E89A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20210</w:t>
            </w:r>
          </w:p>
        </w:tc>
        <w:tc>
          <w:tcPr>
            <w:tcW w:w="1003" w:type="dxa"/>
            <w:tcBorders>
              <w:top w:val="nil"/>
              <w:left w:val="nil"/>
              <w:bottom w:val="single" w:sz="4" w:space="0" w:color="auto"/>
              <w:right w:val="single" w:sz="4" w:space="0" w:color="auto"/>
            </w:tcBorders>
            <w:shd w:val="clear" w:color="auto" w:fill="auto"/>
            <w:vAlign w:val="center"/>
            <w:hideMark/>
          </w:tcPr>
          <w:p w14:paraId="3C14B78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Ⅲ—12</w:t>
            </w:r>
          </w:p>
        </w:tc>
        <w:tc>
          <w:tcPr>
            <w:tcW w:w="1004" w:type="dxa"/>
            <w:tcBorders>
              <w:top w:val="nil"/>
              <w:left w:val="nil"/>
              <w:bottom w:val="single" w:sz="4" w:space="0" w:color="auto"/>
              <w:right w:val="single" w:sz="4" w:space="0" w:color="auto"/>
            </w:tcBorders>
            <w:shd w:val="clear" w:color="auto" w:fill="auto"/>
            <w:vAlign w:val="center"/>
            <w:hideMark/>
          </w:tcPr>
          <w:p w14:paraId="01D144F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19060</w:t>
            </w:r>
          </w:p>
        </w:tc>
        <w:tc>
          <w:tcPr>
            <w:tcW w:w="1003" w:type="dxa"/>
            <w:tcBorders>
              <w:top w:val="nil"/>
              <w:left w:val="nil"/>
              <w:bottom w:val="single" w:sz="4" w:space="0" w:color="auto"/>
              <w:right w:val="single" w:sz="4" w:space="0" w:color="auto"/>
            </w:tcBorders>
            <w:shd w:val="clear" w:color="auto" w:fill="auto"/>
            <w:vAlign w:val="center"/>
            <w:hideMark/>
          </w:tcPr>
          <w:p w14:paraId="544F241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Ⅲ—12</w:t>
            </w:r>
          </w:p>
        </w:tc>
        <w:tc>
          <w:tcPr>
            <w:tcW w:w="1003" w:type="dxa"/>
            <w:tcBorders>
              <w:top w:val="nil"/>
              <w:left w:val="nil"/>
              <w:bottom w:val="single" w:sz="4" w:space="0" w:color="auto"/>
              <w:right w:val="single" w:sz="4" w:space="0" w:color="auto"/>
            </w:tcBorders>
            <w:shd w:val="clear" w:color="auto" w:fill="auto"/>
            <w:vAlign w:val="center"/>
            <w:hideMark/>
          </w:tcPr>
          <w:p w14:paraId="7B28BCA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18890</w:t>
            </w:r>
          </w:p>
        </w:tc>
        <w:tc>
          <w:tcPr>
            <w:tcW w:w="1559" w:type="dxa"/>
            <w:tcBorders>
              <w:top w:val="nil"/>
              <w:left w:val="nil"/>
              <w:bottom w:val="single" w:sz="4" w:space="0" w:color="auto"/>
              <w:right w:val="single" w:sz="4" w:space="0" w:color="auto"/>
            </w:tcBorders>
            <w:shd w:val="clear" w:color="auto" w:fill="auto"/>
            <w:vAlign w:val="center"/>
            <w:hideMark/>
          </w:tcPr>
          <w:p w14:paraId="64DA674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29B7E39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37F93137"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1057B301"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F7AD45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Ⅲ—13</w:t>
            </w:r>
          </w:p>
        </w:tc>
        <w:tc>
          <w:tcPr>
            <w:tcW w:w="1003" w:type="dxa"/>
            <w:tcBorders>
              <w:top w:val="nil"/>
              <w:left w:val="nil"/>
              <w:bottom w:val="single" w:sz="4" w:space="0" w:color="auto"/>
              <w:right w:val="single" w:sz="4" w:space="0" w:color="auto"/>
            </w:tcBorders>
            <w:shd w:val="clear" w:color="auto" w:fill="auto"/>
            <w:vAlign w:val="center"/>
            <w:hideMark/>
          </w:tcPr>
          <w:p w14:paraId="76305F5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20560</w:t>
            </w:r>
          </w:p>
        </w:tc>
        <w:tc>
          <w:tcPr>
            <w:tcW w:w="1003" w:type="dxa"/>
            <w:tcBorders>
              <w:top w:val="nil"/>
              <w:left w:val="nil"/>
              <w:bottom w:val="single" w:sz="4" w:space="0" w:color="auto"/>
              <w:right w:val="single" w:sz="4" w:space="0" w:color="auto"/>
            </w:tcBorders>
            <w:shd w:val="clear" w:color="auto" w:fill="auto"/>
            <w:vAlign w:val="center"/>
            <w:hideMark/>
          </w:tcPr>
          <w:p w14:paraId="38C7BCF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Ⅲ—13</w:t>
            </w:r>
          </w:p>
        </w:tc>
        <w:tc>
          <w:tcPr>
            <w:tcW w:w="1004" w:type="dxa"/>
            <w:tcBorders>
              <w:top w:val="nil"/>
              <w:left w:val="nil"/>
              <w:bottom w:val="single" w:sz="4" w:space="0" w:color="auto"/>
              <w:right w:val="single" w:sz="4" w:space="0" w:color="auto"/>
            </w:tcBorders>
            <w:shd w:val="clear" w:color="auto" w:fill="auto"/>
            <w:vAlign w:val="center"/>
            <w:hideMark/>
          </w:tcPr>
          <w:p w14:paraId="61A8461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21040</w:t>
            </w:r>
          </w:p>
        </w:tc>
        <w:tc>
          <w:tcPr>
            <w:tcW w:w="1003" w:type="dxa"/>
            <w:tcBorders>
              <w:top w:val="nil"/>
              <w:left w:val="nil"/>
              <w:bottom w:val="single" w:sz="4" w:space="0" w:color="auto"/>
              <w:right w:val="single" w:sz="4" w:space="0" w:color="auto"/>
            </w:tcBorders>
            <w:shd w:val="clear" w:color="auto" w:fill="auto"/>
            <w:vAlign w:val="center"/>
            <w:hideMark/>
          </w:tcPr>
          <w:p w14:paraId="0F95A05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Ⅲ—13</w:t>
            </w:r>
          </w:p>
        </w:tc>
        <w:tc>
          <w:tcPr>
            <w:tcW w:w="1003" w:type="dxa"/>
            <w:tcBorders>
              <w:top w:val="nil"/>
              <w:left w:val="nil"/>
              <w:bottom w:val="single" w:sz="4" w:space="0" w:color="auto"/>
              <w:right w:val="single" w:sz="4" w:space="0" w:color="auto"/>
            </w:tcBorders>
            <w:shd w:val="clear" w:color="auto" w:fill="auto"/>
            <w:vAlign w:val="center"/>
            <w:hideMark/>
          </w:tcPr>
          <w:p w14:paraId="7A352E7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20740</w:t>
            </w:r>
          </w:p>
        </w:tc>
        <w:tc>
          <w:tcPr>
            <w:tcW w:w="1559" w:type="dxa"/>
            <w:tcBorders>
              <w:top w:val="nil"/>
              <w:left w:val="nil"/>
              <w:bottom w:val="single" w:sz="4" w:space="0" w:color="auto"/>
              <w:right w:val="single" w:sz="4" w:space="0" w:color="auto"/>
            </w:tcBorders>
            <w:shd w:val="clear" w:color="auto" w:fill="auto"/>
            <w:vAlign w:val="center"/>
            <w:hideMark/>
          </w:tcPr>
          <w:p w14:paraId="6543F3D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7AEED89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422925CA"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6DE1E2B8"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DC3A19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Ⅲ—14</w:t>
            </w:r>
          </w:p>
        </w:tc>
        <w:tc>
          <w:tcPr>
            <w:tcW w:w="1003" w:type="dxa"/>
            <w:tcBorders>
              <w:top w:val="nil"/>
              <w:left w:val="nil"/>
              <w:bottom w:val="single" w:sz="4" w:space="0" w:color="auto"/>
              <w:right w:val="single" w:sz="4" w:space="0" w:color="auto"/>
            </w:tcBorders>
            <w:shd w:val="clear" w:color="auto" w:fill="auto"/>
            <w:vAlign w:val="center"/>
            <w:hideMark/>
          </w:tcPr>
          <w:p w14:paraId="251AAAF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19280</w:t>
            </w:r>
          </w:p>
        </w:tc>
        <w:tc>
          <w:tcPr>
            <w:tcW w:w="1003" w:type="dxa"/>
            <w:tcBorders>
              <w:top w:val="nil"/>
              <w:left w:val="nil"/>
              <w:bottom w:val="single" w:sz="4" w:space="0" w:color="auto"/>
              <w:right w:val="single" w:sz="4" w:space="0" w:color="auto"/>
            </w:tcBorders>
            <w:shd w:val="clear" w:color="auto" w:fill="auto"/>
            <w:vAlign w:val="center"/>
            <w:hideMark/>
          </w:tcPr>
          <w:p w14:paraId="0B1DBDC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Ⅲ—14</w:t>
            </w:r>
          </w:p>
        </w:tc>
        <w:tc>
          <w:tcPr>
            <w:tcW w:w="1004" w:type="dxa"/>
            <w:tcBorders>
              <w:top w:val="nil"/>
              <w:left w:val="nil"/>
              <w:bottom w:val="single" w:sz="4" w:space="0" w:color="auto"/>
              <w:right w:val="single" w:sz="4" w:space="0" w:color="auto"/>
            </w:tcBorders>
            <w:shd w:val="clear" w:color="auto" w:fill="auto"/>
            <w:vAlign w:val="center"/>
            <w:hideMark/>
          </w:tcPr>
          <w:p w14:paraId="0F05E19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22940</w:t>
            </w:r>
          </w:p>
        </w:tc>
        <w:tc>
          <w:tcPr>
            <w:tcW w:w="1003" w:type="dxa"/>
            <w:tcBorders>
              <w:top w:val="nil"/>
              <w:left w:val="nil"/>
              <w:bottom w:val="single" w:sz="4" w:space="0" w:color="auto"/>
              <w:right w:val="single" w:sz="4" w:space="0" w:color="auto"/>
            </w:tcBorders>
            <w:shd w:val="clear" w:color="auto" w:fill="auto"/>
            <w:vAlign w:val="center"/>
            <w:hideMark/>
          </w:tcPr>
          <w:p w14:paraId="6FAC527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Ⅲ—14</w:t>
            </w:r>
          </w:p>
        </w:tc>
        <w:tc>
          <w:tcPr>
            <w:tcW w:w="1003" w:type="dxa"/>
            <w:tcBorders>
              <w:top w:val="nil"/>
              <w:left w:val="nil"/>
              <w:bottom w:val="single" w:sz="4" w:space="0" w:color="auto"/>
              <w:right w:val="single" w:sz="4" w:space="0" w:color="auto"/>
            </w:tcBorders>
            <w:shd w:val="clear" w:color="auto" w:fill="auto"/>
            <w:vAlign w:val="center"/>
            <w:hideMark/>
          </w:tcPr>
          <w:p w14:paraId="40E3AB2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22500</w:t>
            </w:r>
          </w:p>
        </w:tc>
        <w:tc>
          <w:tcPr>
            <w:tcW w:w="1559" w:type="dxa"/>
            <w:tcBorders>
              <w:top w:val="nil"/>
              <w:left w:val="nil"/>
              <w:bottom w:val="single" w:sz="4" w:space="0" w:color="auto"/>
              <w:right w:val="single" w:sz="4" w:space="0" w:color="auto"/>
            </w:tcBorders>
            <w:shd w:val="clear" w:color="auto" w:fill="auto"/>
            <w:vAlign w:val="center"/>
            <w:hideMark/>
          </w:tcPr>
          <w:p w14:paraId="792A5CA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9321A5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5A37AF98"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3F9B9A56"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F7CBAE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Ⅲ—15</w:t>
            </w:r>
          </w:p>
        </w:tc>
        <w:tc>
          <w:tcPr>
            <w:tcW w:w="1003" w:type="dxa"/>
            <w:tcBorders>
              <w:top w:val="nil"/>
              <w:left w:val="nil"/>
              <w:bottom w:val="single" w:sz="4" w:space="0" w:color="auto"/>
              <w:right w:val="single" w:sz="4" w:space="0" w:color="auto"/>
            </w:tcBorders>
            <w:shd w:val="clear" w:color="auto" w:fill="auto"/>
            <w:vAlign w:val="center"/>
            <w:hideMark/>
          </w:tcPr>
          <w:p w14:paraId="7F1BB5D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21520</w:t>
            </w:r>
          </w:p>
        </w:tc>
        <w:tc>
          <w:tcPr>
            <w:tcW w:w="1003" w:type="dxa"/>
            <w:tcBorders>
              <w:top w:val="nil"/>
              <w:left w:val="nil"/>
              <w:bottom w:val="single" w:sz="4" w:space="0" w:color="auto"/>
              <w:right w:val="single" w:sz="4" w:space="0" w:color="auto"/>
            </w:tcBorders>
            <w:shd w:val="clear" w:color="auto" w:fill="auto"/>
            <w:vAlign w:val="center"/>
            <w:hideMark/>
          </w:tcPr>
          <w:p w14:paraId="651CE01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Ⅲ—15</w:t>
            </w:r>
          </w:p>
        </w:tc>
        <w:tc>
          <w:tcPr>
            <w:tcW w:w="1004" w:type="dxa"/>
            <w:tcBorders>
              <w:top w:val="nil"/>
              <w:left w:val="nil"/>
              <w:bottom w:val="single" w:sz="4" w:space="0" w:color="auto"/>
              <w:right w:val="single" w:sz="4" w:space="0" w:color="auto"/>
            </w:tcBorders>
            <w:shd w:val="clear" w:color="auto" w:fill="auto"/>
            <w:vAlign w:val="center"/>
            <w:hideMark/>
          </w:tcPr>
          <w:p w14:paraId="1FCD8F2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19230</w:t>
            </w:r>
          </w:p>
        </w:tc>
        <w:tc>
          <w:tcPr>
            <w:tcW w:w="1003" w:type="dxa"/>
            <w:tcBorders>
              <w:top w:val="nil"/>
              <w:left w:val="nil"/>
              <w:bottom w:val="single" w:sz="4" w:space="0" w:color="auto"/>
              <w:right w:val="single" w:sz="4" w:space="0" w:color="auto"/>
            </w:tcBorders>
            <w:shd w:val="clear" w:color="auto" w:fill="auto"/>
            <w:vAlign w:val="center"/>
            <w:hideMark/>
          </w:tcPr>
          <w:p w14:paraId="2BF87E0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Ⅲ—15</w:t>
            </w:r>
          </w:p>
        </w:tc>
        <w:tc>
          <w:tcPr>
            <w:tcW w:w="1003" w:type="dxa"/>
            <w:tcBorders>
              <w:top w:val="nil"/>
              <w:left w:val="nil"/>
              <w:bottom w:val="single" w:sz="4" w:space="0" w:color="auto"/>
              <w:right w:val="single" w:sz="4" w:space="0" w:color="auto"/>
            </w:tcBorders>
            <w:shd w:val="clear" w:color="auto" w:fill="auto"/>
            <w:vAlign w:val="center"/>
            <w:hideMark/>
          </w:tcPr>
          <w:p w14:paraId="77072C8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18540</w:t>
            </w:r>
          </w:p>
        </w:tc>
        <w:tc>
          <w:tcPr>
            <w:tcW w:w="1559" w:type="dxa"/>
            <w:tcBorders>
              <w:top w:val="nil"/>
              <w:left w:val="nil"/>
              <w:bottom w:val="single" w:sz="4" w:space="0" w:color="auto"/>
              <w:right w:val="single" w:sz="4" w:space="0" w:color="auto"/>
            </w:tcBorders>
            <w:shd w:val="clear" w:color="auto" w:fill="auto"/>
            <w:vAlign w:val="center"/>
            <w:hideMark/>
          </w:tcPr>
          <w:p w14:paraId="694519E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1AFF965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0F899FD1"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25583D33"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530A55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Ⅲ—16</w:t>
            </w:r>
          </w:p>
        </w:tc>
        <w:tc>
          <w:tcPr>
            <w:tcW w:w="1003" w:type="dxa"/>
            <w:tcBorders>
              <w:top w:val="nil"/>
              <w:left w:val="nil"/>
              <w:bottom w:val="single" w:sz="4" w:space="0" w:color="auto"/>
              <w:right w:val="single" w:sz="4" w:space="0" w:color="auto"/>
            </w:tcBorders>
            <w:shd w:val="clear" w:color="auto" w:fill="auto"/>
            <w:vAlign w:val="center"/>
            <w:hideMark/>
          </w:tcPr>
          <w:p w14:paraId="7643F64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23260</w:t>
            </w:r>
          </w:p>
        </w:tc>
        <w:tc>
          <w:tcPr>
            <w:tcW w:w="1003" w:type="dxa"/>
            <w:tcBorders>
              <w:top w:val="nil"/>
              <w:left w:val="nil"/>
              <w:bottom w:val="single" w:sz="4" w:space="0" w:color="auto"/>
              <w:right w:val="single" w:sz="4" w:space="0" w:color="auto"/>
            </w:tcBorders>
            <w:shd w:val="clear" w:color="auto" w:fill="auto"/>
            <w:vAlign w:val="center"/>
            <w:hideMark/>
          </w:tcPr>
          <w:p w14:paraId="284D30A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Ⅲ—16</w:t>
            </w:r>
          </w:p>
        </w:tc>
        <w:tc>
          <w:tcPr>
            <w:tcW w:w="1004" w:type="dxa"/>
            <w:tcBorders>
              <w:top w:val="nil"/>
              <w:left w:val="nil"/>
              <w:bottom w:val="single" w:sz="4" w:space="0" w:color="auto"/>
              <w:right w:val="single" w:sz="4" w:space="0" w:color="auto"/>
            </w:tcBorders>
            <w:shd w:val="clear" w:color="auto" w:fill="auto"/>
            <w:vAlign w:val="center"/>
            <w:hideMark/>
          </w:tcPr>
          <w:p w14:paraId="344F7B1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21180</w:t>
            </w:r>
          </w:p>
        </w:tc>
        <w:tc>
          <w:tcPr>
            <w:tcW w:w="1003" w:type="dxa"/>
            <w:tcBorders>
              <w:top w:val="nil"/>
              <w:left w:val="nil"/>
              <w:bottom w:val="single" w:sz="4" w:space="0" w:color="auto"/>
              <w:right w:val="single" w:sz="4" w:space="0" w:color="auto"/>
            </w:tcBorders>
            <w:shd w:val="clear" w:color="auto" w:fill="auto"/>
            <w:vAlign w:val="center"/>
            <w:hideMark/>
          </w:tcPr>
          <w:p w14:paraId="6832CD3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Ⅲ—16</w:t>
            </w:r>
          </w:p>
        </w:tc>
        <w:tc>
          <w:tcPr>
            <w:tcW w:w="1003" w:type="dxa"/>
            <w:tcBorders>
              <w:top w:val="nil"/>
              <w:left w:val="nil"/>
              <w:bottom w:val="single" w:sz="4" w:space="0" w:color="auto"/>
              <w:right w:val="single" w:sz="4" w:space="0" w:color="auto"/>
            </w:tcBorders>
            <w:shd w:val="clear" w:color="auto" w:fill="auto"/>
            <w:vAlign w:val="center"/>
            <w:hideMark/>
          </w:tcPr>
          <w:p w14:paraId="7FF7B45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20730</w:t>
            </w:r>
          </w:p>
        </w:tc>
        <w:tc>
          <w:tcPr>
            <w:tcW w:w="1559" w:type="dxa"/>
            <w:tcBorders>
              <w:top w:val="nil"/>
              <w:left w:val="nil"/>
              <w:bottom w:val="single" w:sz="4" w:space="0" w:color="auto"/>
              <w:right w:val="single" w:sz="4" w:space="0" w:color="auto"/>
            </w:tcBorders>
            <w:shd w:val="clear" w:color="auto" w:fill="auto"/>
            <w:vAlign w:val="center"/>
            <w:hideMark/>
          </w:tcPr>
          <w:p w14:paraId="5CCE1CA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A2E5BE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612E9C99"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2DC4CD0C"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1FB211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Ⅲ—17</w:t>
            </w:r>
          </w:p>
        </w:tc>
        <w:tc>
          <w:tcPr>
            <w:tcW w:w="1003" w:type="dxa"/>
            <w:tcBorders>
              <w:top w:val="nil"/>
              <w:left w:val="nil"/>
              <w:bottom w:val="single" w:sz="4" w:space="0" w:color="auto"/>
              <w:right w:val="single" w:sz="4" w:space="0" w:color="auto"/>
            </w:tcBorders>
            <w:shd w:val="clear" w:color="auto" w:fill="auto"/>
            <w:vAlign w:val="center"/>
            <w:hideMark/>
          </w:tcPr>
          <w:p w14:paraId="4A3095F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19610</w:t>
            </w:r>
          </w:p>
        </w:tc>
        <w:tc>
          <w:tcPr>
            <w:tcW w:w="1003" w:type="dxa"/>
            <w:tcBorders>
              <w:top w:val="nil"/>
              <w:left w:val="nil"/>
              <w:bottom w:val="single" w:sz="4" w:space="0" w:color="auto"/>
              <w:right w:val="single" w:sz="4" w:space="0" w:color="auto"/>
            </w:tcBorders>
            <w:shd w:val="clear" w:color="auto" w:fill="auto"/>
            <w:vAlign w:val="center"/>
            <w:hideMark/>
          </w:tcPr>
          <w:p w14:paraId="44F60A4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Ⅲ—17</w:t>
            </w:r>
          </w:p>
        </w:tc>
        <w:tc>
          <w:tcPr>
            <w:tcW w:w="1004" w:type="dxa"/>
            <w:tcBorders>
              <w:top w:val="nil"/>
              <w:left w:val="nil"/>
              <w:bottom w:val="single" w:sz="4" w:space="0" w:color="auto"/>
              <w:right w:val="single" w:sz="4" w:space="0" w:color="auto"/>
            </w:tcBorders>
            <w:shd w:val="clear" w:color="auto" w:fill="auto"/>
            <w:vAlign w:val="center"/>
            <w:hideMark/>
          </w:tcPr>
          <w:p w14:paraId="2DF4648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18090</w:t>
            </w:r>
          </w:p>
        </w:tc>
        <w:tc>
          <w:tcPr>
            <w:tcW w:w="1003" w:type="dxa"/>
            <w:tcBorders>
              <w:top w:val="nil"/>
              <w:left w:val="nil"/>
              <w:bottom w:val="single" w:sz="4" w:space="0" w:color="auto"/>
              <w:right w:val="single" w:sz="4" w:space="0" w:color="auto"/>
            </w:tcBorders>
            <w:shd w:val="clear" w:color="auto" w:fill="auto"/>
            <w:vAlign w:val="center"/>
            <w:hideMark/>
          </w:tcPr>
          <w:p w14:paraId="13C1BE7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Ⅲ—17</w:t>
            </w:r>
          </w:p>
        </w:tc>
        <w:tc>
          <w:tcPr>
            <w:tcW w:w="1003" w:type="dxa"/>
            <w:tcBorders>
              <w:top w:val="nil"/>
              <w:left w:val="nil"/>
              <w:bottom w:val="single" w:sz="4" w:space="0" w:color="auto"/>
              <w:right w:val="single" w:sz="4" w:space="0" w:color="auto"/>
            </w:tcBorders>
            <w:shd w:val="clear" w:color="auto" w:fill="auto"/>
            <w:vAlign w:val="center"/>
            <w:hideMark/>
          </w:tcPr>
          <w:p w14:paraId="0AB4241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17970</w:t>
            </w:r>
          </w:p>
        </w:tc>
        <w:tc>
          <w:tcPr>
            <w:tcW w:w="1559" w:type="dxa"/>
            <w:tcBorders>
              <w:top w:val="nil"/>
              <w:left w:val="nil"/>
              <w:bottom w:val="single" w:sz="4" w:space="0" w:color="auto"/>
              <w:right w:val="single" w:sz="4" w:space="0" w:color="auto"/>
            </w:tcBorders>
            <w:shd w:val="clear" w:color="auto" w:fill="auto"/>
            <w:vAlign w:val="center"/>
            <w:hideMark/>
          </w:tcPr>
          <w:p w14:paraId="3BD91F7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13989F9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37060BA4"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543A7D63"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2E916B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Ⅲ—18</w:t>
            </w:r>
          </w:p>
        </w:tc>
        <w:tc>
          <w:tcPr>
            <w:tcW w:w="1003" w:type="dxa"/>
            <w:tcBorders>
              <w:top w:val="nil"/>
              <w:left w:val="nil"/>
              <w:bottom w:val="single" w:sz="4" w:space="0" w:color="auto"/>
              <w:right w:val="single" w:sz="4" w:space="0" w:color="auto"/>
            </w:tcBorders>
            <w:shd w:val="clear" w:color="auto" w:fill="auto"/>
            <w:vAlign w:val="center"/>
            <w:hideMark/>
          </w:tcPr>
          <w:p w14:paraId="2318EC2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21660</w:t>
            </w:r>
          </w:p>
        </w:tc>
        <w:tc>
          <w:tcPr>
            <w:tcW w:w="1003" w:type="dxa"/>
            <w:tcBorders>
              <w:top w:val="nil"/>
              <w:left w:val="nil"/>
              <w:bottom w:val="single" w:sz="4" w:space="0" w:color="auto"/>
              <w:right w:val="single" w:sz="4" w:space="0" w:color="auto"/>
            </w:tcBorders>
            <w:shd w:val="clear" w:color="auto" w:fill="auto"/>
            <w:vAlign w:val="center"/>
            <w:hideMark/>
          </w:tcPr>
          <w:p w14:paraId="0E2787A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Ⅲ—18</w:t>
            </w:r>
          </w:p>
        </w:tc>
        <w:tc>
          <w:tcPr>
            <w:tcW w:w="1004" w:type="dxa"/>
            <w:tcBorders>
              <w:top w:val="nil"/>
              <w:left w:val="nil"/>
              <w:bottom w:val="single" w:sz="4" w:space="0" w:color="auto"/>
              <w:right w:val="single" w:sz="4" w:space="0" w:color="auto"/>
            </w:tcBorders>
            <w:shd w:val="clear" w:color="auto" w:fill="auto"/>
            <w:vAlign w:val="center"/>
            <w:hideMark/>
          </w:tcPr>
          <w:p w14:paraId="1D8CE1F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19190</w:t>
            </w:r>
          </w:p>
        </w:tc>
        <w:tc>
          <w:tcPr>
            <w:tcW w:w="1003" w:type="dxa"/>
            <w:tcBorders>
              <w:top w:val="nil"/>
              <w:left w:val="nil"/>
              <w:bottom w:val="single" w:sz="4" w:space="0" w:color="auto"/>
              <w:right w:val="single" w:sz="4" w:space="0" w:color="auto"/>
            </w:tcBorders>
            <w:shd w:val="clear" w:color="auto" w:fill="auto"/>
            <w:vAlign w:val="center"/>
            <w:hideMark/>
          </w:tcPr>
          <w:p w14:paraId="40C4E28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Ⅲ—18</w:t>
            </w:r>
          </w:p>
        </w:tc>
        <w:tc>
          <w:tcPr>
            <w:tcW w:w="1003" w:type="dxa"/>
            <w:tcBorders>
              <w:top w:val="nil"/>
              <w:left w:val="nil"/>
              <w:bottom w:val="single" w:sz="4" w:space="0" w:color="auto"/>
              <w:right w:val="single" w:sz="4" w:space="0" w:color="auto"/>
            </w:tcBorders>
            <w:shd w:val="clear" w:color="auto" w:fill="auto"/>
            <w:vAlign w:val="center"/>
            <w:hideMark/>
          </w:tcPr>
          <w:p w14:paraId="5C33E25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19790</w:t>
            </w:r>
          </w:p>
        </w:tc>
        <w:tc>
          <w:tcPr>
            <w:tcW w:w="1559" w:type="dxa"/>
            <w:tcBorders>
              <w:top w:val="nil"/>
              <w:left w:val="nil"/>
              <w:bottom w:val="single" w:sz="4" w:space="0" w:color="auto"/>
              <w:right w:val="single" w:sz="4" w:space="0" w:color="auto"/>
            </w:tcBorders>
            <w:shd w:val="clear" w:color="auto" w:fill="auto"/>
            <w:vAlign w:val="center"/>
            <w:hideMark/>
          </w:tcPr>
          <w:p w14:paraId="4D7ED00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14FFDE7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0C2B3821"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7DF963F2"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37C452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Ⅲ—19</w:t>
            </w:r>
          </w:p>
        </w:tc>
        <w:tc>
          <w:tcPr>
            <w:tcW w:w="1003" w:type="dxa"/>
            <w:tcBorders>
              <w:top w:val="nil"/>
              <w:left w:val="nil"/>
              <w:bottom w:val="single" w:sz="4" w:space="0" w:color="auto"/>
              <w:right w:val="single" w:sz="4" w:space="0" w:color="auto"/>
            </w:tcBorders>
            <w:shd w:val="clear" w:color="auto" w:fill="auto"/>
            <w:vAlign w:val="center"/>
            <w:hideMark/>
          </w:tcPr>
          <w:p w14:paraId="3175EE5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18220</w:t>
            </w:r>
          </w:p>
        </w:tc>
        <w:tc>
          <w:tcPr>
            <w:tcW w:w="1003" w:type="dxa"/>
            <w:tcBorders>
              <w:top w:val="nil"/>
              <w:left w:val="nil"/>
              <w:bottom w:val="single" w:sz="4" w:space="0" w:color="auto"/>
              <w:right w:val="single" w:sz="4" w:space="0" w:color="auto"/>
            </w:tcBorders>
            <w:shd w:val="clear" w:color="auto" w:fill="auto"/>
            <w:vAlign w:val="center"/>
            <w:hideMark/>
          </w:tcPr>
          <w:p w14:paraId="14446AA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1FBC384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2C6AFD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Ⅲ—19</w:t>
            </w:r>
          </w:p>
        </w:tc>
        <w:tc>
          <w:tcPr>
            <w:tcW w:w="1003" w:type="dxa"/>
            <w:tcBorders>
              <w:top w:val="nil"/>
              <w:left w:val="nil"/>
              <w:bottom w:val="single" w:sz="4" w:space="0" w:color="auto"/>
              <w:right w:val="single" w:sz="4" w:space="0" w:color="auto"/>
            </w:tcBorders>
            <w:shd w:val="clear" w:color="auto" w:fill="auto"/>
            <w:vAlign w:val="center"/>
            <w:hideMark/>
          </w:tcPr>
          <w:p w14:paraId="6B54949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17220</w:t>
            </w:r>
          </w:p>
        </w:tc>
        <w:tc>
          <w:tcPr>
            <w:tcW w:w="1559" w:type="dxa"/>
            <w:tcBorders>
              <w:top w:val="nil"/>
              <w:left w:val="nil"/>
              <w:bottom w:val="single" w:sz="4" w:space="0" w:color="auto"/>
              <w:right w:val="single" w:sz="4" w:space="0" w:color="auto"/>
            </w:tcBorders>
            <w:shd w:val="clear" w:color="auto" w:fill="auto"/>
            <w:vAlign w:val="center"/>
            <w:hideMark/>
          </w:tcPr>
          <w:p w14:paraId="26D605C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7BA88CB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37CD540E" w14:textId="77777777" w:rsidTr="00CE438D">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7114EFF9" w14:textId="77777777" w:rsidR="00814D19" w:rsidRPr="00E74C4E" w:rsidRDefault="00814D19" w:rsidP="00CE438D">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14:paraId="4B47272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Ⅲ—20</w:t>
            </w:r>
          </w:p>
        </w:tc>
        <w:tc>
          <w:tcPr>
            <w:tcW w:w="1003" w:type="dxa"/>
            <w:tcBorders>
              <w:top w:val="nil"/>
              <w:left w:val="nil"/>
              <w:bottom w:val="single" w:sz="4" w:space="0" w:color="auto"/>
              <w:right w:val="single" w:sz="4" w:space="0" w:color="auto"/>
            </w:tcBorders>
            <w:shd w:val="clear" w:color="auto" w:fill="auto"/>
            <w:noWrap/>
            <w:vAlign w:val="center"/>
          </w:tcPr>
          <w:p w14:paraId="03B6F62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19430</w:t>
            </w:r>
          </w:p>
        </w:tc>
        <w:tc>
          <w:tcPr>
            <w:tcW w:w="1003" w:type="dxa"/>
            <w:tcBorders>
              <w:top w:val="nil"/>
              <w:left w:val="nil"/>
              <w:bottom w:val="single" w:sz="4" w:space="0" w:color="auto"/>
              <w:right w:val="single" w:sz="4" w:space="0" w:color="auto"/>
            </w:tcBorders>
            <w:shd w:val="clear" w:color="auto" w:fill="auto"/>
            <w:noWrap/>
            <w:vAlign w:val="center"/>
          </w:tcPr>
          <w:p w14:paraId="1D0D822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tcPr>
          <w:p w14:paraId="2A47833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noWrap/>
            <w:vAlign w:val="center"/>
          </w:tcPr>
          <w:p w14:paraId="1481956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Ⅲ—20</w:t>
            </w:r>
          </w:p>
        </w:tc>
        <w:tc>
          <w:tcPr>
            <w:tcW w:w="1003" w:type="dxa"/>
            <w:tcBorders>
              <w:top w:val="nil"/>
              <w:left w:val="nil"/>
              <w:bottom w:val="single" w:sz="4" w:space="0" w:color="auto"/>
              <w:right w:val="single" w:sz="4" w:space="0" w:color="auto"/>
            </w:tcBorders>
            <w:shd w:val="clear" w:color="auto" w:fill="auto"/>
            <w:noWrap/>
            <w:vAlign w:val="center"/>
          </w:tcPr>
          <w:p w14:paraId="4A4E0BC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17830</w:t>
            </w:r>
          </w:p>
        </w:tc>
        <w:tc>
          <w:tcPr>
            <w:tcW w:w="1559" w:type="dxa"/>
            <w:tcBorders>
              <w:top w:val="nil"/>
              <w:left w:val="nil"/>
              <w:bottom w:val="single" w:sz="4" w:space="0" w:color="auto"/>
              <w:right w:val="single" w:sz="4" w:space="0" w:color="auto"/>
            </w:tcBorders>
            <w:shd w:val="clear" w:color="auto" w:fill="auto"/>
            <w:noWrap/>
            <w:vAlign w:val="center"/>
          </w:tcPr>
          <w:p w14:paraId="2F27A0D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tcPr>
          <w:p w14:paraId="1E5180F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bl>
    <w:p w14:paraId="5B1E6C22"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1"/>
        </w:rPr>
      </w:pPr>
      <w:r w:rsidRPr="00F631FB">
        <w:rPr>
          <w:rFonts w:ascii="Arial" w:eastAsia="仿宋_GB2312" w:hAnsi="Arial" w:cs="Arial" w:hint="eastAsia"/>
          <w:sz w:val="28"/>
        </w:rPr>
        <w:t>则</w:t>
      </w:r>
      <w:r w:rsidRPr="00F631FB">
        <w:rPr>
          <w:rFonts w:ascii="Arial" w:eastAsia="仿宋_GB2312" w:hAnsi="Arial" w:cs="Arial"/>
          <w:sz w:val="28"/>
          <w:szCs w:val="21"/>
        </w:rPr>
        <w:t>估价对象所在</w:t>
      </w:r>
      <w:r w:rsidRPr="00F631FB">
        <w:rPr>
          <w:rFonts w:ascii="Arial" w:eastAsia="仿宋_GB2312" w:hAnsi="Arial" w:cs="Arial"/>
          <w:sz w:val="28"/>
        </w:rPr>
        <w:t>商业用途</w:t>
      </w:r>
      <w:r>
        <w:rPr>
          <w:rFonts w:ascii="Arial" w:eastAsia="仿宋_GB2312" w:hAnsi="Arial" w:cs="Arial"/>
          <w:sz w:val="28"/>
        </w:rPr>
        <w:t>III-06</w:t>
      </w:r>
      <w:r w:rsidRPr="00F631FB">
        <w:rPr>
          <w:rFonts w:ascii="Arial" w:eastAsia="仿宋_GB2312" w:hAnsi="Arial" w:cs="Arial"/>
          <w:sz w:val="28"/>
          <w:szCs w:val="21"/>
        </w:rPr>
        <w:t>区片的区片基准地价为</w:t>
      </w:r>
      <w:r>
        <w:rPr>
          <w:rFonts w:ascii="Arial" w:eastAsia="仿宋_GB2312" w:hAnsi="Arial" w:cs="Arial"/>
          <w:sz w:val="28"/>
          <w:szCs w:val="21"/>
        </w:rPr>
        <w:t>22070</w:t>
      </w:r>
      <w:r w:rsidRPr="00F631FB">
        <w:rPr>
          <w:rFonts w:ascii="Arial" w:eastAsia="仿宋_GB2312" w:hAnsi="Arial" w:cs="Arial"/>
          <w:sz w:val="28"/>
          <w:szCs w:val="21"/>
        </w:rPr>
        <w:t>元</w:t>
      </w:r>
      <w:r w:rsidRPr="00F631FB">
        <w:rPr>
          <w:rFonts w:ascii="Arial" w:eastAsia="仿宋_GB2312" w:hAnsi="Arial" w:cs="Arial"/>
          <w:sz w:val="28"/>
          <w:szCs w:val="21"/>
        </w:rPr>
        <w:t>/</w:t>
      </w:r>
      <w:r w:rsidRPr="00F631FB">
        <w:rPr>
          <w:rFonts w:ascii="Arial" w:eastAsia="仿宋_GB2312" w:hAnsi="Arial" w:cs="Arial"/>
          <w:sz w:val="28"/>
          <w:szCs w:val="21"/>
        </w:rPr>
        <w:t>平方米。</w:t>
      </w:r>
    </w:p>
    <w:p w14:paraId="39274665" w14:textId="77777777" w:rsidR="00814D19" w:rsidRPr="00F631FB" w:rsidRDefault="00814D19" w:rsidP="00814D19">
      <w:pPr>
        <w:spacing w:line="360" w:lineRule="auto"/>
        <w:ind w:firstLineChars="200" w:firstLine="560"/>
        <w:rPr>
          <w:rFonts w:ascii="Arial" w:eastAsia="仿宋_GB2312" w:hAnsi="Arial" w:cs="Arial"/>
          <w:i/>
          <w:sz w:val="28"/>
          <w:szCs w:val="29"/>
        </w:rPr>
      </w:pPr>
      <w:r w:rsidRPr="00F631FB">
        <w:rPr>
          <w:rFonts w:ascii="Arial" w:eastAsia="仿宋_GB2312" w:hAnsi="Arial" w:cs="Arial"/>
          <w:sz w:val="28"/>
          <w:szCs w:val="29"/>
        </w:rPr>
        <w:lastRenderedPageBreak/>
        <w:t>（</w:t>
      </w:r>
      <w:r w:rsidRPr="00F631FB">
        <w:rPr>
          <w:rFonts w:ascii="Arial" w:eastAsia="仿宋_GB2312" w:hAnsi="Arial" w:cs="Arial"/>
          <w:sz w:val="28"/>
          <w:szCs w:val="29"/>
        </w:rPr>
        <w:t>B</w:t>
      </w:r>
      <w:r w:rsidRPr="00F631FB">
        <w:rPr>
          <w:rFonts w:ascii="Arial" w:eastAsia="仿宋_GB2312" w:hAnsi="Arial" w:cs="Arial"/>
          <w:sz w:val="28"/>
          <w:szCs w:val="29"/>
        </w:rPr>
        <w:t>）商业</w:t>
      </w:r>
      <w:proofErr w:type="gramStart"/>
      <w:r w:rsidRPr="00F631FB">
        <w:rPr>
          <w:rFonts w:ascii="Arial" w:eastAsia="仿宋_GB2312" w:hAnsi="Arial" w:cs="Arial"/>
          <w:sz w:val="28"/>
          <w:szCs w:val="29"/>
        </w:rPr>
        <w:t>路线价</w:t>
      </w:r>
      <w:proofErr w:type="gramEnd"/>
      <w:r w:rsidRPr="00F631FB">
        <w:rPr>
          <w:rFonts w:ascii="Arial" w:eastAsia="仿宋_GB2312" w:hAnsi="Arial" w:cs="Arial"/>
          <w:sz w:val="28"/>
          <w:szCs w:val="29"/>
        </w:rPr>
        <w:t>修正</w:t>
      </w:r>
    </w:p>
    <w:p w14:paraId="32C455B4" w14:textId="77777777" w:rsidR="00814D19" w:rsidRPr="00F631FB" w:rsidRDefault="00814D19" w:rsidP="00814D19">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9"/>
        </w:rPr>
        <w:t>估价对象位于北京市海淀区</w:t>
      </w:r>
      <w:r>
        <w:rPr>
          <w:rFonts w:ascii="Arial" w:eastAsia="仿宋_GB2312" w:hAnsi="Arial" w:cs="Arial" w:hint="eastAsia"/>
          <w:sz w:val="28"/>
          <w:szCs w:val="29"/>
        </w:rPr>
        <w:t>苏州街站</w:t>
      </w:r>
      <w:r w:rsidRPr="00F631FB">
        <w:rPr>
          <w:rFonts w:ascii="Arial" w:eastAsia="仿宋_GB2312" w:hAnsi="Arial" w:cs="Arial"/>
          <w:sz w:val="28"/>
          <w:szCs w:val="29"/>
        </w:rPr>
        <w:t>，</w:t>
      </w:r>
      <w:r w:rsidRPr="00F631FB">
        <w:rPr>
          <w:rFonts w:ascii="Arial" w:eastAsia="仿宋_GB2312" w:hAnsi="Arial" w:cs="Arial"/>
          <w:sz w:val="28"/>
          <w:szCs w:val="28"/>
        </w:rPr>
        <w:t>不临《北京市基准地价更新成果》中所列</w:t>
      </w:r>
      <w:r w:rsidRPr="00F631FB">
        <w:rPr>
          <w:rFonts w:ascii="Arial" w:eastAsia="仿宋_GB2312" w:hAnsi="Arial" w:cs="Arial"/>
          <w:sz w:val="28"/>
          <w:szCs w:val="28"/>
        </w:rPr>
        <w:t>58</w:t>
      </w:r>
      <w:r w:rsidRPr="00F631FB">
        <w:rPr>
          <w:rFonts w:ascii="Arial" w:eastAsia="仿宋_GB2312" w:hAnsi="Arial" w:cs="Arial"/>
          <w:sz w:val="28"/>
          <w:szCs w:val="28"/>
        </w:rPr>
        <w:t>条商业街。不需进行商业</w:t>
      </w:r>
      <w:proofErr w:type="gramStart"/>
      <w:r w:rsidRPr="00F631FB">
        <w:rPr>
          <w:rFonts w:ascii="Arial" w:eastAsia="仿宋_GB2312" w:hAnsi="Arial" w:cs="Arial"/>
          <w:sz w:val="28"/>
          <w:szCs w:val="28"/>
        </w:rPr>
        <w:t>路线价</w:t>
      </w:r>
      <w:proofErr w:type="gramEnd"/>
      <w:r w:rsidRPr="00F631FB">
        <w:rPr>
          <w:rFonts w:ascii="Arial" w:eastAsia="仿宋_GB2312" w:hAnsi="Arial" w:cs="Arial"/>
          <w:sz w:val="28"/>
          <w:szCs w:val="28"/>
        </w:rPr>
        <w:t>修正。</w:t>
      </w:r>
    </w:p>
    <w:p w14:paraId="31189908" w14:textId="77777777" w:rsidR="00814D19" w:rsidRPr="00F631FB" w:rsidRDefault="00814D19" w:rsidP="00814D19">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C</w:t>
      </w:r>
      <w:r w:rsidRPr="00F631FB">
        <w:rPr>
          <w:rFonts w:ascii="Arial" w:eastAsia="仿宋_GB2312" w:hAnsi="Arial" w:cs="Arial"/>
          <w:sz w:val="28"/>
        </w:rPr>
        <w:t>）土地开发程度修正</w:t>
      </w:r>
    </w:p>
    <w:p w14:paraId="17B39C0E" w14:textId="41A7669F" w:rsidR="00814D19" w:rsidRPr="00F631FB" w:rsidRDefault="00814D19" w:rsidP="00814D19">
      <w:pPr>
        <w:spacing w:line="360" w:lineRule="auto"/>
        <w:ind w:firstLineChars="200" w:firstLine="560"/>
        <w:rPr>
          <w:rFonts w:ascii="Arial" w:eastAsia="仿宋_GB2312" w:hAnsi="Arial" w:cs="Arial"/>
          <w:sz w:val="28"/>
        </w:rPr>
      </w:pPr>
      <w:r w:rsidRPr="00F631FB">
        <w:rPr>
          <w:rFonts w:ascii="Arial" w:eastAsia="仿宋_GB2312" w:hAnsi="Arial" w:cs="Arial"/>
          <w:sz w:val="28"/>
        </w:rPr>
        <w:t>估价对象设定宗地土地开发程度为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（即通路、通电、通讯、通上水、通下水、通燃气、通热），估价对象所在区域为</w:t>
      </w:r>
      <w:r w:rsidR="00A92F3E">
        <w:rPr>
          <w:rFonts w:ascii="Arial" w:eastAsia="仿宋_GB2312" w:hAnsi="Arial" w:cs="Arial" w:hint="eastAsia"/>
          <w:sz w:val="28"/>
        </w:rPr>
        <w:t>二级</w:t>
      </w:r>
      <w:r w:rsidRPr="00F631FB">
        <w:rPr>
          <w:rFonts w:ascii="Arial" w:eastAsia="仿宋_GB2312" w:hAnsi="Arial" w:cs="Arial"/>
          <w:sz w:val="28"/>
        </w:rPr>
        <w:t>地价区，级别基准地价土地开发程度为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（即通路、通电、通讯、通上水、通下水、通燃气、通热），相应用途级别平均容积率为</w:t>
      </w:r>
      <w:r w:rsidRPr="00F631FB">
        <w:rPr>
          <w:rFonts w:ascii="Arial" w:eastAsia="仿宋_GB2312" w:hAnsi="Arial" w:cs="Arial"/>
          <w:sz w:val="28"/>
        </w:rPr>
        <w:t>2.5</w:t>
      </w:r>
      <w:r w:rsidRPr="00F631FB">
        <w:rPr>
          <w:rFonts w:ascii="Arial" w:eastAsia="仿宋_GB2312" w:hAnsi="Arial" w:cs="Arial"/>
          <w:sz w:val="28"/>
        </w:rPr>
        <w:t>。估价对象设定状况与级别开发程度一致，故此处不作修正。</w:t>
      </w:r>
    </w:p>
    <w:p w14:paraId="607677E3"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i/>
          <w:sz w:val="28"/>
        </w:rPr>
      </w:pPr>
      <w:r w:rsidRPr="00F631FB">
        <w:rPr>
          <w:rFonts w:ascii="Arial" w:eastAsia="仿宋_GB2312" w:hAnsi="Arial" w:cs="Arial"/>
          <w:sz w:val="28"/>
        </w:rPr>
        <w:t>2</w:t>
      </w:r>
      <w:r w:rsidRPr="00F631FB">
        <w:rPr>
          <w:rFonts w:ascii="Arial" w:eastAsia="仿宋_GB2312" w:hAnsi="Arial" w:cs="Arial"/>
          <w:sz w:val="28"/>
        </w:rPr>
        <w:t>）用途修正系数的确定</w:t>
      </w:r>
    </w:p>
    <w:p w14:paraId="3BE21F26"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《北京市基准地价更新成果》根据《土地利用现状分类》（</w:t>
      </w:r>
      <w:r w:rsidRPr="00F631FB">
        <w:rPr>
          <w:rFonts w:ascii="Arial" w:eastAsia="仿宋_GB2312" w:hAnsi="Arial" w:cs="Arial"/>
          <w:sz w:val="28"/>
          <w:szCs w:val="29"/>
        </w:rPr>
        <w:t>GB/T21010-2007</w:t>
      </w:r>
      <w:r w:rsidRPr="00F631F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6CD1CCEB"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估价对象用途为</w:t>
      </w:r>
      <w:r w:rsidRPr="00F631FB">
        <w:rPr>
          <w:rFonts w:ascii="Arial" w:eastAsia="仿宋_GB2312" w:hAnsi="Arial" w:cs="Arial" w:hint="eastAsia"/>
          <w:sz w:val="28"/>
        </w:rPr>
        <w:t>商业</w:t>
      </w:r>
      <w:r w:rsidRPr="00F631FB">
        <w:rPr>
          <w:rFonts w:ascii="Arial" w:eastAsia="仿宋_GB2312" w:hAnsi="Arial" w:cs="Arial"/>
          <w:sz w:val="28"/>
        </w:rPr>
        <w:t>，依据需《北京市基准地价用途修正系数表》进行用途修正。</w:t>
      </w:r>
      <w:r w:rsidRPr="00F631FB">
        <w:rPr>
          <w:rFonts w:ascii="Arial" w:eastAsia="仿宋_GB2312" w:hAnsi="Arial" w:cs="Arial" w:hint="eastAsia"/>
          <w:sz w:val="28"/>
        </w:rPr>
        <w:t>商业</w:t>
      </w:r>
      <w:r w:rsidRPr="00F631FB">
        <w:rPr>
          <w:rFonts w:ascii="Arial" w:eastAsia="仿宋_GB2312" w:hAnsi="Arial" w:cs="Arial"/>
          <w:sz w:val="28"/>
        </w:rPr>
        <w:t>用途修正系数表详见下表：</w:t>
      </w:r>
    </w:p>
    <w:p w14:paraId="47AF4496" w14:textId="77777777" w:rsidR="00814D19" w:rsidRPr="00F631FB" w:rsidRDefault="00814D19" w:rsidP="00814D19">
      <w:pPr>
        <w:spacing w:line="360" w:lineRule="auto"/>
        <w:jc w:val="center"/>
        <w:rPr>
          <w:rFonts w:ascii="Arial" w:eastAsia="仿宋_GB2312" w:hAnsi="Arial" w:cs="Arial"/>
          <w:bCs/>
          <w:szCs w:val="24"/>
        </w:rPr>
      </w:pPr>
      <w:r w:rsidRPr="00F631FB">
        <w:rPr>
          <w:rFonts w:ascii="Arial" w:eastAsia="仿宋_GB2312" w:hAnsi="Arial" w:cs="Arial"/>
          <w:b/>
          <w:bCs/>
          <w:szCs w:val="24"/>
        </w:rPr>
        <w:t>北京市基准地价用途修正系数表</w:t>
      </w:r>
      <w:r w:rsidRPr="00F631FB">
        <w:rPr>
          <w:rFonts w:ascii="Arial" w:eastAsia="仿宋_GB2312" w:hAnsi="Arial" w:cs="Arial" w:hint="eastAsia"/>
          <w:b/>
          <w:bCs/>
          <w:szCs w:val="24"/>
        </w:rPr>
        <w:t>（节选）</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1300"/>
        <w:gridCol w:w="6600"/>
        <w:gridCol w:w="654"/>
      </w:tblGrid>
      <w:tr w:rsidR="00814D19" w:rsidRPr="00F631FB" w14:paraId="13B2DA2E" w14:textId="77777777" w:rsidTr="00CD340C">
        <w:trPr>
          <w:trHeight w:val="615"/>
          <w:jc w:val="center"/>
        </w:trPr>
        <w:tc>
          <w:tcPr>
            <w:tcW w:w="659" w:type="dxa"/>
            <w:vMerge w:val="restart"/>
            <w:noWrap/>
            <w:vAlign w:val="center"/>
            <w:hideMark/>
          </w:tcPr>
          <w:p w14:paraId="29E71A04" w14:textId="77777777" w:rsidR="00814D19" w:rsidRPr="00F631FB" w:rsidRDefault="00814D19" w:rsidP="00CE438D">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商业</w:t>
            </w:r>
          </w:p>
        </w:tc>
        <w:tc>
          <w:tcPr>
            <w:tcW w:w="1300" w:type="dxa"/>
            <w:noWrap/>
            <w:vAlign w:val="center"/>
            <w:hideMark/>
          </w:tcPr>
          <w:p w14:paraId="21DDD808" w14:textId="77777777" w:rsidR="00814D19" w:rsidRPr="00F631FB" w:rsidRDefault="00814D19" w:rsidP="00CE438D">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比准类别</w:t>
            </w:r>
          </w:p>
        </w:tc>
        <w:tc>
          <w:tcPr>
            <w:tcW w:w="6600" w:type="dxa"/>
            <w:vAlign w:val="center"/>
            <w:hideMark/>
          </w:tcPr>
          <w:p w14:paraId="56B576CF" w14:textId="77777777" w:rsidR="00814D19" w:rsidRPr="00F631FB" w:rsidRDefault="00814D19" w:rsidP="00CE438D">
            <w:pPr>
              <w:widowControl/>
              <w:rPr>
                <w:rFonts w:ascii="Arial" w:eastAsia="仿宋_GB2312" w:hAnsi="Arial" w:cs="Arial"/>
                <w:color w:val="000000"/>
                <w:sz w:val="18"/>
                <w:szCs w:val="18"/>
              </w:rPr>
            </w:pPr>
            <w:r w:rsidRPr="00F631FB">
              <w:rPr>
                <w:rFonts w:ascii="Arial" w:eastAsia="仿宋_GB2312" w:hAnsi="Arial" w:cs="Arial"/>
                <w:color w:val="000000"/>
                <w:sz w:val="18"/>
                <w:szCs w:val="18"/>
              </w:rPr>
              <w:t>批发零售用地（指主要用于商品批发、零售的用地，包括商场、商店、超市、各类批发（零售）市场、加油站等及其附属的小型仓库、车间、工场等）</w:t>
            </w:r>
          </w:p>
        </w:tc>
        <w:tc>
          <w:tcPr>
            <w:tcW w:w="654" w:type="dxa"/>
            <w:noWrap/>
            <w:vAlign w:val="center"/>
            <w:hideMark/>
          </w:tcPr>
          <w:p w14:paraId="0A9BBD1E" w14:textId="77777777" w:rsidR="00814D19" w:rsidRPr="00F631FB" w:rsidRDefault="00814D19" w:rsidP="00CE438D">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1</w:t>
            </w:r>
          </w:p>
        </w:tc>
      </w:tr>
      <w:tr w:rsidR="00814D19" w:rsidRPr="00F631FB" w14:paraId="67E769E0" w14:textId="77777777" w:rsidTr="00CD340C">
        <w:trPr>
          <w:trHeight w:val="615"/>
          <w:jc w:val="center"/>
        </w:trPr>
        <w:tc>
          <w:tcPr>
            <w:tcW w:w="659" w:type="dxa"/>
            <w:vMerge/>
            <w:vAlign w:val="center"/>
            <w:hideMark/>
          </w:tcPr>
          <w:p w14:paraId="4F68C59E" w14:textId="77777777" w:rsidR="00814D19" w:rsidRPr="00F631FB" w:rsidRDefault="00814D19" w:rsidP="00CE438D">
            <w:pPr>
              <w:widowControl/>
              <w:rPr>
                <w:rFonts w:ascii="Arial" w:eastAsia="仿宋_GB2312" w:hAnsi="Arial" w:cs="Arial"/>
                <w:color w:val="000000"/>
                <w:sz w:val="18"/>
                <w:szCs w:val="18"/>
              </w:rPr>
            </w:pPr>
          </w:p>
        </w:tc>
        <w:tc>
          <w:tcPr>
            <w:tcW w:w="1300" w:type="dxa"/>
            <w:vMerge w:val="restart"/>
            <w:noWrap/>
            <w:vAlign w:val="center"/>
            <w:hideMark/>
          </w:tcPr>
          <w:p w14:paraId="01720D01" w14:textId="77777777" w:rsidR="00814D19" w:rsidRPr="00F631FB" w:rsidRDefault="00814D19" w:rsidP="00CE438D">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其他类别</w:t>
            </w:r>
          </w:p>
        </w:tc>
        <w:tc>
          <w:tcPr>
            <w:tcW w:w="6600" w:type="dxa"/>
            <w:vAlign w:val="center"/>
            <w:hideMark/>
          </w:tcPr>
          <w:p w14:paraId="0F69813C" w14:textId="77777777" w:rsidR="00814D19" w:rsidRPr="00F631FB" w:rsidRDefault="00814D19" w:rsidP="00CE438D">
            <w:pPr>
              <w:widowControl/>
              <w:rPr>
                <w:rFonts w:ascii="Arial" w:eastAsia="仿宋_GB2312" w:hAnsi="Arial" w:cs="Arial"/>
                <w:color w:val="000000"/>
                <w:sz w:val="18"/>
                <w:szCs w:val="18"/>
              </w:rPr>
            </w:pPr>
            <w:r w:rsidRPr="00F631FB">
              <w:rPr>
                <w:rFonts w:ascii="Arial" w:eastAsia="仿宋_GB2312" w:hAnsi="Arial" w:cs="Arial"/>
                <w:color w:val="000000"/>
                <w:sz w:val="18"/>
                <w:szCs w:val="18"/>
              </w:rPr>
              <w:t>住宿餐饮用地（指主要用于提供住宿、餐饮服务的用地，包括宾馆、酒店、饭店、旅馆、招待所、度假村、餐厅、酒吧等）</w:t>
            </w:r>
          </w:p>
        </w:tc>
        <w:tc>
          <w:tcPr>
            <w:tcW w:w="654" w:type="dxa"/>
            <w:noWrap/>
            <w:vAlign w:val="center"/>
            <w:hideMark/>
          </w:tcPr>
          <w:p w14:paraId="5D8F922B" w14:textId="77777777" w:rsidR="00814D19" w:rsidRPr="00F631FB" w:rsidRDefault="00814D19" w:rsidP="00CE438D">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0.9</w:t>
            </w:r>
          </w:p>
        </w:tc>
      </w:tr>
      <w:tr w:rsidR="00814D19" w:rsidRPr="00F631FB" w14:paraId="0B068792" w14:textId="77777777" w:rsidTr="00CD340C">
        <w:trPr>
          <w:trHeight w:val="405"/>
          <w:jc w:val="center"/>
        </w:trPr>
        <w:tc>
          <w:tcPr>
            <w:tcW w:w="659" w:type="dxa"/>
            <w:vMerge/>
            <w:vAlign w:val="center"/>
            <w:hideMark/>
          </w:tcPr>
          <w:p w14:paraId="33D5AE43" w14:textId="77777777" w:rsidR="00814D19" w:rsidRPr="00F631FB" w:rsidRDefault="00814D19" w:rsidP="00CE438D">
            <w:pPr>
              <w:widowControl/>
              <w:rPr>
                <w:rFonts w:ascii="Arial" w:eastAsia="仿宋_GB2312" w:hAnsi="Arial" w:cs="Arial"/>
                <w:color w:val="000000"/>
                <w:sz w:val="18"/>
                <w:szCs w:val="18"/>
              </w:rPr>
            </w:pPr>
          </w:p>
        </w:tc>
        <w:tc>
          <w:tcPr>
            <w:tcW w:w="0" w:type="auto"/>
            <w:vMerge/>
            <w:vAlign w:val="center"/>
            <w:hideMark/>
          </w:tcPr>
          <w:p w14:paraId="278B0BCB" w14:textId="77777777" w:rsidR="00814D19" w:rsidRPr="00F631FB" w:rsidRDefault="00814D19" w:rsidP="00CE438D">
            <w:pPr>
              <w:widowControl/>
              <w:rPr>
                <w:rFonts w:ascii="Arial" w:eastAsia="仿宋_GB2312" w:hAnsi="Arial" w:cs="Arial"/>
                <w:color w:val="000000"/>
                <w:sz w:val="18"/>
                <w:szCs w:val="18"/>
              </w:rPr>
            </w:pPr>
          </w:p>
        </w:tc>
        <w:tc>
          <w:tcPr>
            <w:tcW w:w="6600" w:type="dxa"/>
            <w:noWrap/>
            <w:vAlign w:val="center"/>
            <w:hideMark/>
          </w:tcPr>
          <w:p w14:paraId="1C504137" w14:textId="77777777" w:rsidR="00814D19" w:rsidRPr="00F631FB" w:rsidRDefault="00814D19" w:rsidP="00CE438D">
            <w:pPr>
              <w:widowControl/>
              <w:rPr>
                <w:rFonts w:ascii="Arial" w:eastAsia="仿宋_GB2312" w:hAnsi="Arial" w:cs="Arial"/>
                <w:color w:val="000000"/>
                <w:sz w:val="18"/>
                <w:szCs w:val="18"/>
              </w:rPr>
            </w:pPr>
            <w:r w:rsidRPr="00F631FB">
              <w:rPr>
                <w:rFonts w:ascii="Arial" w:eastAsia="仿宋_GB2312" w:hAnsi="Arial" w:cs="Arial"/>
                <w:color w:val="000000"/>
                <w:sz w:val="18"/>
                <w:szCs w:val="18"/>
              </w:rPr>
              <w:t>商务金融用地（指金融、证券、通讯、保险等营业网点用地）</w:t>
            </w:r>
          </w:p>
        </w:tc>
        <w:tc>
          <w:tcPr>
            <w:tcW w:w="654" w:type="dxa"/>
            <w:noWrap/>
            <w:vAlign w:val="center"/>
            <w:hideMark/>
          </w:tcPr>
          <w:p w14:paraId="4DE2A5FC" w14:textId="77777777" w:rsidR="00814D19" w:rsidRPr="00F631FB" w:rsidRDefault="00814D19" w:rsidP="00CE438D">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1.1</w:t>
            </w:r>
          </w:p>
        </w:tc>
      </w:tr>
      <w:tr w:rsidR="00814D19" w:rsidRPr="00F631FB" w14:paraId="10EEB22D" w14:textId="77777777" w:rsidTr="00CD340C">
        <w:trPr>
          <w:trHeight w:val="1050"/>
          <w:jc w:val="center"/>
        </w:trPr>
        <w:tc>
          <w:tcPr>
            <w:tcW w:w="659" w:type="dxa"/>
            <w:vMerge/>
            <w:vAlign w:val="center"/>
            <w:hideMark/>
          </w:tcPr>
          <w:p w14:paraId="148BA969" w14:textId="77777777" w:rsidR="00814D19" w:rsidRPr="00F631FB" w:rsidRDefault="00814D19" w:rsidP="00CE438D">
            <w:pPr>
              <w:widowControl/>
              <w:rPr>
                <w:rFonts w:ascii="Arial" w:eastAsia="仿宋_GB2312" w:hAnsi="Arial" w:cs="Arial"/>
                <w:color w:val="000000"/>
                <w:sz w:val="18"/>
                <w:szCs w:val="18"/>
              </w:rPr>
            </w:pPr>
          </w:p>
        </w:tc>
        <w:tc>
          <w:tcPr>
            <w:tcW w:w="0" w:type="auto"/>
            <w:vMerge/>
            <w:vAlign w:val="center"/>
            <w:hideMark/>
          </w:tcPr>
          <w:p w14:paraId="4CEECB8E" w14:textId="77777777" w:rsidR="00814D19" w:rsidRPr="00F631FB" w:rsidRDefault="00814D19" w:rsidP="00CE438D">
            <w:pPr>
              <w:widowControl/>
              <w:rPr>
                <w:rFonts w:ascii="Arial" w:eastAsia="仿宋_GB2312" w:hAnsi="Arial" w:cs="Arial"/>
                <w:color w:val="000000"/>
                <w:sz w:val="18"/>
                <w:szCs w:val="18"/>
              </w:rPr>
            </w:pPr>
          </w:p>
        </w:tc>
        <w:tc>
          <w:tcPr>
            <w:tcW w:w="6600" w:type="dxa"/>
            <w:vAlign w:val="center"/>
            <w:hideMark/>
          </w:tcPr>
          <w:p w14:paraId="0003D916" w14:textId="77777777" w:rsidR="00814D19" w:rsidRPr="00F631FB" w:rsidRDefault="00814D19" w:rsidP="00CE438D">
            <w:pPr>
              <w:widowControl/>
              <w:rPr>
                <w:rFonts w:ascii="Arial" w:eastAsia="仿宋_GB2312" w:hAnsi="Arial" w:cs="Arial"/>
                <w:color w:val="000000"/>
                <w:sz w:val="18"/>
                <w:szCs w:val="18"/>
              </w:rPr>
            </w:pPr>
            <w:r w:rsidRPr="00F631FB">
              <w:rPr>
                <w:rFonts w:ascii="Arial" w:eastAsia="仿宋_GB2312" w:hAnsi="Arial" w:cs="Arial"/>
                <w:color w:val="000000"/>
                <w:sz w:val="18"/>
                <w:szCs w:val="18"/>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654" w:type="dxa"/>
            <w:noWrap/>
            <w:vAlign w:val="center"/>
            <w:hideMark/>
          </w:tcPr>
          <w:p w14:paraId="2EABD3F2" w14:textId="77777777" w:rsidR="00814D19" w:rsidRPr="00F631FB" w:rsidRDefault="00814D19" w:rsidP="00CE438D">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0.8</w:t>
            </w:r>
          </w:p>
        </w:tc>
      </w:tr>
      <w:tr w:rsidR="00814D19" w:rsidRPr="00F631FB" w14:paraId="42EE3E77" w14:textId="77777777" w:rsidTr="00CD340C">
        <w:trPr>
          <w:trHeight w:val="405"/>
          <w:jc w:val="center"/>
        </w:trPr>
        <w:tc>
          <w:tcPr>
            <w:tcW w:w="659" w:type="dxa"/>
            <w:vMerge/>
            <w:vAlign w:val="center"/>
            <w:hideMark/>
          </w:tcPr>
          <w:p w14:paraId="30361FAF" w14:textId="77777777" w:rsidR="00814D19" w:rsidRPr="00F631FB" w:rsidRDefault="00814D19" w:rsidP="00CE438D">
            <w:pPr>
              <w:widowControl/>
              <w:rPr>
                <w:rFonts w:ascii="Arial" w:eastAsia="仿宋_GB2312" w:hAnsi="Arial" w:cs="Arial"/>
                <w:color w:val="000000"/>
                <w:sz w:val="18"/>
                <w:szCs w:val="18"/>
              </w:rPr>
            </w:pPr>
          </w:p>
        </w:tc>
        <w:tc>
          <w:tcPr>
            <w:tcW w:w="0" w:type="auto"/>
            <w:vMerge/>
            <w:vAlign w:val="center"/>
            <w:hideMark/>
          </w:tcPr>
          <w:p w14:paraId="276A48AA" w14:textId="77777777" w:rsidR="00814D19" w:rsidRPr="00F631FB" w:rsidRDefault="00814D19" w:rsidP="00CE438D">
            <w:pPr>
              <w:widowControl/>
              <w:rPr>
                <w:rFonts w:ascii="Arial" w:eastAsia="仿宋_GB2312" w:hAnsi="Arial" w:cs="Arial"/>
                <w:color w:val="000000"/>
                <w:sz w:val="18"/>
                <w:szCs w:val="18"/>
              </w:rPr>
            </w:pPr>
          </w:p>
        </w:tc>
        <w:tc>
          <w:tcPr>
            <w:tcW w:w="6600" w:type="dxa"/>
            <w:noWrap/>
            <w:vAlign w:val="center"/>
            <w:hideMark/>
          </w:tcPr>
          <w:p w14:paraId="337279E9" w14:textId="77777777" w:rsidR="00814D19" w:rsidRPr="00F631FB" w:rsidRDefault="00814D19" w:rsidP="00CE438D">
            <w:pPr>
              <w:widowControl/>
              <w:rPr>
                <w:rFonts w:ascii="Arial" w:eastAsia="仿宋_GB2312" w:hAnsi="Arial" w:cs="Arial"/>
                <w:color w:val="000000"/>
                <w:sz w:val="18"/>
                <w:szCs w:val="18"/>
              </w:rPr>
            </w:pPr>
            <w:r w:rsidRPr="00F631FB">
              <w:rPr>
                <w:rFonts w:ascii="Arial" w:eastAsia="仿宋_GB2312" w:hAnsi="Arial" w:cs="Arial"/>
                <w:color w:val="000000"/>
                <w:sz w:val="18"/>
                <w:szCs w:val="18"/>
              </w:rPr>
              <w:t>殡葬用地等特殊用地</w:t>
            </w:r>
          </w:p>
        </w:tc>
        <w:tc>
          <w:tcPr>
            <w:tcW w:w="654" w:type="dxa"/>
            <w:noWrap/>
            <w:vAlign w:val="center"/>
            <w:hideMark/>
          </w:tcPr>
          <w:p w14:paraId="49BBC12A" w14:textId="77777777" w:rsidR="00814D19" w:rsidRPr="00F631FB" w:rsidRDefault="00814D19" w:rsidP="00CE438D">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0.5</w:t>
            </w:r>
          </w:p>
        </w:tc>
      </w:tr>
    </w:tbl>
    <w:p w14:paraId="48DF2110" w14:textId="77777777" w:rsidR="00814D19" w:rsidRPr="00F631FB" w:rsidRDefault="00814D19" w:rsidP="00814D1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szCs w:val="28"/>
        </w:rPr>
        <w:t>依据上表，估价对象地上商业部分用途修正系数为</w:t>
      </w:r>
      <w:r w:rsidRPr="00F631FB">
        <w:rPr>
          <w:rFonts w:ascii="Arial" w:eastAsia="仿宋_GB2312" w:hAnsi="Arial" w:cs="Arial"/>
          <w:sz w:val="28"/>
          <w:szCs w:val="28"/>
        </w:rPr>
        <w:t>1</w:t>
      </w:r>
      <w:r w:rsidRPr="00F631FB">
        <w:rPr>
          <w:rFonts w:ascii="Arial" w:eastAsia="仿宋_GB2312" w:hAnsi="Arial" w:cs="Arial" w:hint="eastAsia"/>
          <w:sz w:val="28"/>
          <w:szCs w:val="28"/>
        </w:rPr>
        <w:t>。</w:t>
      </w:r>
    </w:p>
    <w:p w14:paraId="330447BE"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3</w:t>
      </w:r>
      <w:r w:rsidRPr="00F631FB">
        <w:rPr>
          <w:rFonts w:ascii="Arial" w:eastAsia="仿宋_GB2312" w:hAnsi="Arial" w:cs="Arial"/>
          <w:sz w:val="28"/>
        </w:rPr>
        <w:t>）</w:t>
      </w:r>
      <w:r w:rsidRPr="00F631FB">
        <w:rPr>
          <w:rFonts w:ascii="Arial" w:eastAsia="仿宋_GB2312" w:hAnsi="Arial" w:cs="Arial"/>
          <w:sz w:val="28"/>
          <w:szCs w:val="28"/>
        </w:rPr>
        <w:t>期日修正系数的确定</w:t>
      </w:r>
    </w:p>
    <w:p w14:paraId="46411133" w14:textId="77777777" w:rsidR="00814D19" w:rsidRPr="00F631FB" w:rsidRDefault="00814D19" w:rsidP="00814D19">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szCs w:val="28"/>
        </w:rPr>
        <w:t>北京市基准地价更新成果（二Ｏ一四年）》规定，基准地价期日修正系数必须以北京市地价动态监测成果公布的地价增值率为准。</w:t>
      </w:r>
    </w:p>
    <w:p w14:paraId="42CE2F1F" w14:textId="77777777" w:rsidR="00814D19" w:rsidRDefault="00814D19" w:rsidP="00814D19">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北京市基准地价更新成果的基准日为</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1</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日，本次评估的估价期日为</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15</w:t>
      </w:r>
      <w:r>
        <w:rPr>
          <w:rFonts w:ascii="Arial" w:eastAsia="仿宋_GB2312" w:hAnsi="Arial" w:cs="Arial"/>
          <w:sz w:val="28"/>
          <w:szCs w:val="28"/>
        </w:rPr>
        <w:t>日</w:t>
      </w:r>
      <w:r w:rsidRPr="00F631FB">
        <w:rPr>
          <w:rFonts w:ascii="Arial" w:eastAsia="仿宋_GB2312" w:hAnsi="Arial" w:cs="Arial"/>
          <w:sz w:val="28"/>
          <w:szCs w:val="28"/>
        </w:rPr>
        <w:t>，熟地价期日修正以北京市地价动态监测成果公布的地价增长率为准：</w:t>
      </w:r>
    </w:p>
    <w:p w14:paraId="49DC2642" w14:textId="77777777" w:rsidR="00814D19" w:rsidRPr="00F631FB" w:rsidRDefault="00814D19" w:rsidP="00814D19">
      <w:pPr>
        <w:spacing w:line="360" w:lineRule="auto"/>
        <w:jc w:val="center"/>
        <w:rPr>
          <w:rFonts w:ascii="Arial" w:eastAsia="仿宋_GB2312" w:hAnsi="Arial" w:cs="Arial"/>
          <w:sz w:val="28"/>
          <w:szCs w:val="28"/>
        </w:rPr>
      </w:pPr>
      <w:r w:rsidRPr="00F631FB">
        <w:rPr>
          <w:rFonts w:ascii="Arial" w:eastAsia="仿宋_GB2312" w:hAnsi="Arial" w:cs="Arial"/>
          <w:sz w:val="28"/>
          <w:szCs w:val="28"/>
        </w:rPr>
        <w:t>中国城市地价动态监测网站公布</w:t>
      </w:r>
    </w:p>
    <w:p w14:paraId="1DB490D7" w14:textId="77777777" w:rsidR="00814D19" w:rsidRPr="00F631FB" w:rsidRDefault="00814D19" w:rsidP="00814D19">
      <w:pPr>
        <w:spacing w:line="360" w:lineRule="auto"/>
        <w:ind w:firstLineChars="200" w:firstLine="482"/>
        <w:jc w:val="center"/>
        <w:rPr>
          <w:rFonts w:ascii="Arial" w:eastAsia="仿宋_GB2312" w:hAnsi="Arial" w:cs="Arial"/>
          <w:b/>
          <w:szCs w:val="24"/>
        </w:rPr>
      </w:pPr>
      <w:r w:rsidRPr="00F631FB">
        <w:rPr>
          <w:rFonts w:ascii="Arial" w:eastAsia="仿宋_GB2312" w:hAnsi="Arial" w:cs="Arial"/>
          <w:b/>
          <w:szCs w:val="24"/>
        </w:rPr>
        <w:t xml:space="preserve">                          </w:t>
      </w:r>
      <w:r w:rsidRPr="00F631FB">
        <w:rPr>
          <w:rFonts w:ascii="Arial" w:eastAsia="仿宋_GB2312" w:hAnsi="Arial" w:cs="Arial"/>
          <w:b/>
          <w:szCs w:val="24"/>
        </w:rPr>
        <w:t>北京市地价增长率</w:t>
      </w:r>
      <w:r w:rsidRPr="00F631FB">
        <w:rPr>
          <w:rFonts w:ascii="Arial" w:eastAsia="仿宋_GB2312" w:hAnsi="Arial" w:cs="Arial"/>
          <w:b/>
          <w:szCs w:val="24"/>
        </w:rPr>
        <w:t xml:space="preserve">                   </w:t>
      </w:r>
      <w:r w:rsidRPr="00F631FB">
        <w:rPr>
          <w:rFonts w:ascii="Arial" w:eastAsia="仿宋_GB2312" w:hAnsi="Arial" w:cs="Arial"/>
          <w:b/>
          <w:szCs w:val="24"/>
        </w:rPr>
        <w:t>单位</w:t>
      </w:r>
      <w:r w:rsidRPr="00F631FB">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814D19" w:rsidRPr="00F631FB" w14:paraId="077F6667" w14:textId="77777777" w:rsidTr="00CE438D">
        <w:trPr>
          <w:cantSplit/>
          <w:trHeight w:val="20"/>
          <w:tblHeader/>
          <w:jc w:val="center"/>
        </w:trPr>
        <w:tc>
          <w:tcPr>
            <w:tcW w:w="1550" w:type="dxa"/>
            <w:vAlign w:val="center"/>
          </w:tcPr>
          <w:p w14:paraId="332539E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年度</w:t>
            </w:r>
          </w:p>
        </w:tc>
        <w:tc>
          <w:tcPr>
            <w:tcW w:w="1550" w:type="dxa"/>
            <w:vAlign w:val="center"/>
          </w:tcPr>
          <w:p w14:paraId="362C57A6"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季度</w:t>
            </w:r>
          </w:p>
        </w:tc>
        <w:tc>
          <w:tcPr>
            <w:tcW w:w="1525" w:type="dxa"/>
            <w:vAlign w:val="center"/>
          </w:tcPr>
          <w:p w14:paraId="5E2B3C4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综合</w:t>
            </w:r>
          </w:p>
        </w:tc>
        <w:tc>
          <w:tcPr>
            <w:tcW w:w="1575" w:type="dxa"/>
            <w:vAlign w:val="center"/>
          </w:tcPr>
          <w:p w14:paraId="3BB3E90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商服</w:t>
            </w:r>
          </w:p>
        </w:tc>
        <w:tc>
          <w:tcPr>
            <w:tcW w:w="1550" w:type="dxa"/>
            <w:vAlign w:val="center"/>
          </w:tcPr>
          <w:p w14:paraId="0000643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住宅</w:t>
            </w:r>
          </w:p>
        </w:tc>
        <w:tc>
          <w:tcPr>
            <w:tcW w:w="1549" w:type="dxa"/>
            <w:vAlign w:val="center"/>
          </w:tcPr>
          <w:p w14:paraId="2A11CA0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工业</w:t>
            </w:r>
          </w:p>
        </w:tc>
      </w:tr>
      <w:tr w:rsidR="00814D19" w:rsidRPr="00F631FB" w14:paraId="170937CA" w14:textId="77777777" w:rsidTr="00CE438D">
        <w:trPr>
          <w:cantSplit/>
          <w:trHeight w:val="20"/>
          <w:tblHeader/>
          <w:jc w:val="center"/>
        </w:trPr>
        <w:tc>
          <w:tcPr>
            <w:tcW w:w="1550" w:type="dxa"/>
            <w:vMerge w:val="restart"/>
            <w:vAlign w:val="center"/>
          </w:tcPr>
          <w:p w14:paraId="3D883D1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2021</w:t>
            </w:r>
          </w:p>
        </w:tc>
        <w:tc>
          <w:tcPr>
            <w:tcW w:w="1550" w:type="dxa"/>
            <w:vAlign w:val="center"/>
          </w:tcPr>
          <w:p w14:paraId="2E9D1DC9" w14:textId="77777777" w:rsidR="00814D19" w:rsidRPr="00F631FB" w:rsidRDefault="00814D19" w:rsidP="00CE438D">
            <w:pPr>
              <w:spacing w:line="240" w:lineRule="auto"/>
              <w:jc w:val="center"/>
              <w:rPr>
                <w:rFonts w:ascii="Arial" w:eastAsia="仿宋_GB2312" w:hAnsi="Arial" w:cs="Arial"/>
                <w:sz w:val="21"/>
                <w:szCs w:val="21"/>
              </w:rPr>
            </w:pPr>
            <w:r w:rsidRPr="008C06DB">
              <w:rPr>
                <w:rFonts w:ascii="Arial" w:eastAsia="仿宋_GB2312" w:hAnsi="Arial" w:cs="Arial"/>
                <w:sz w:val="18"/>
                <w:szCs w:val="18"/>
              </w:rPr>
              <w:t>3</w:t>
            </w:r>
          </w:p>
        </w:tc>
        <w:tc>
          <w:tcPr>
            <w:tcW w:w="1525" w:type="dxa"/>
            <w:vAlign w:val="center"/>
          </w:tcPr>
          <w:p w14:paraId="5C8C6DDA" w14:textId="77777777" w:rsidR="00814D19" w:rsidRPr="00F631FB" w:rsidRDefault="00814D19" w:rsidP="00CE438D">
            <w:pPr>
              <w:spacing w:line="240" w:lineRule="auto"/>
              <w:jc w:val="center"/>
              <w:rPr>
                <w:rFonts w:ascii="Arial" w:eastAsia="仿宋_GB2312" w:hAnsi="Arial" w:cs="Arial"/>
                <w:sz w:val="21"/>
                <w:szCs w:val="21"/>
              </w:rPr>
            </w:pPr>
            <w:r w:rsidRPr="008C06DB">
              <w:rPr>
                <w:rFonts w:ascii="Arial" w:eastAsia="仿宋_GB2312" w:hAnsi="Arial" w:cs="Arial"/>
                <w:sz w:val="18"/>
                <w:szCs w:val="18"/>
              </w:rPr>
              <w:t>0.47</w:t>
            </w:r>
          </w:p>
        </w:tc>
        <w:tc>
          <w:tcPr>
            <w:tcW w:w="1575" w:type="dxa"/>
            <w:vAlign w:val="center"/>
          </w:tcPr>
          <w:p w14:paraId="125F2920" w14:textId="77777777" w:rsidR="00814D19" w:rsidRPr="00F631FB" w:rsidRDefault="00814D19" w:rsidP="00CE438D">
            <w:pPr>
              <w:spacing w:line="240" w:lineRule="auto"/>
              <w:jc w:val="center"/>
              <w:rPr>
                <w:rFonts w:ascii="Arial" w:eastAsia="仿宋_GB2312" w:hAnsi="Arial" w:cs="Arial"/>
                <w:sz w:val="21"/>
                <w:szCs w:val="21"/>
              </w:rPr>
            </w:pPr>
            <w:r w:rsidRPr="008C06DB">
              <w:rPr>
                <w:rFonts w:ascii="Arial" w:eastAsia="仿宋_GB2312" w:hAnsi="Arial" w:cs="Arial"/>
                <w:sz w:val="18"/>
                <w:szCs w:val="18"/>
              </w:rPr>
              <w:t>0.41</w:t>
            </w:r>
          </w:p>
        </w:tc>
        <w:tc>
          <w:tcPr>
            <w:tcW w:w="1550" w:type="dxa"/>
            <w:vAlign w:val="center"/>
          </w:tcPr>
          <w:p w14:paraId="67B97DCD" w14:textId="77777777" w:rsidR="00814D19" w:rsidRPr="00F631FB" w:rsidRDefault="00814D19" w:rsidP="00CE438D">
            <w:pPr>
              <w:spacing w:line="240" w:lineRule="auto"/>
              <w:jc w:val="center"/>
              <w:rPr>
                <w:rFonts w:ascii="Arial" w:eastAsia="仿宋_GB2312" w:hAnsi="Arial" w:cs="Arial"/>
                <w:sz w:val="21"/>
                <w:szCs w:val="21"/>
              </w:rPr>
            </w:pPr>
            <w:r w:rsidRPr="008C06DB">
              <w:rPr>
                <w:rFonts w:ascii="Arial" w:eastAsia="仿宋_GB2312" w:hAnsi="Arial" w:cs="Arial"/>
                <w:sz w:val="18"/>
                <w:szCs w:val="18"/>
              </w:rPr>
              <w:t>0.48</w:t>
            </w:r>
          </w:p>
        </w:tc>
        <w:tc>
          <w:tcPr>
            <w:tcW w:w="1549" w:type="dxa"/>
            <w:vAlign w:val="center"/>
          </w:tcPr>
          <w:p w14:paraId="521BFEC2" w14:textId="77777777" w:rsidR="00814D19" w:rsidRPr="00F631FB" w:rsidRDefault="00814D19" w:rsidP="00CE438D">
            <w:pPr>
              <w:spacing w:line="240" w:lineRule="auto"/>
              <w:jc w:val="center"/>
              <w:rPr>
                <w:rFonts w:ascii="Arial" w:eastAsia="仿宋_GB2312" w:hAnsi="Arial" w:cs="Arial"/>
                <w:sz w:val="21"/>
                <w:szCs w:val="21"/>
              </w:rPr>
            </w:pPr>
            <w:r w:rsidRPr="008C06DB">
              <w:rPr>
                <w:rFonts w:ascii="Arial" w:eastAsia="仿宋_GB2312" w:hAnsi="Arial" w:cs="Arial"/>
                <w:sz w:val="18"/>
                <w:szCs w:val="18"/>
              </w:rPr>
              <w:t>0.48</w:t>
            </w:r>
          </w:p>
        </w:tc>
      </w:tr>
      <w:tr w:rsidR="00814D19" w:rsidRPr="00F631FB" w14:paraId="1D309C70" w14:textId="77777777" w:rsidTr="00CE438D">
        <w:trPr>
          <w:cantSplit/>
          <w:trHeight w:val="20"/>
          <w:jc w:val="center"/>
        </w:trPr>
        <w:tc>
          <w:tcPr>
            <w:tcW w:w="1550" w:type="dxa"/>
            <w:vMerge/>
            <w:vAlign w:val="center"/>
          </w:tcPr>
          <w:p w14:paraId="57ADF5A8"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47B60D7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2</w:t>
            </w:r>
          </w:p>
        </w:tc>
        <w:tc>
          <w:tcPr>
            <w:tcW w:w="1525" w:type="dxa"/>
            <w:vAlign w:val="center"/>
          </w:tcPr>
          <w:p w14:paraId="2E305DF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0.92</w:t>
            </w:r>
          </w:p>
        </w:tc>
        <w:tc>
          <w:tcPr>
            <w:tcW w:w="1575" w:type="dxa"/>
            <w:vAlign w:val="center"/>
          </w:tcPr>
          <w:p w14:paraId="109263C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0.72</w:t>
            </w:r>
          </w:p>
        </w:tc>
        <w:tc>
          <w:tcPr>
            <w:tcW w:w="1550" w:type="dxa"/>
            <w:vAlign w:val="center"/>
          </w:tcPr>
          <w:p w14:paraId="5B0A1A2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0.95</w:t>
            </w:r>
          </w:p>
        </w:tc>
        <w:tc>
          <w:tcPr>
            <w:tcW w:w="1549" w:type="dxa"/>
            <w:vAlign w:val="center"/>
          </w:tcPr>
          <w:p w14:paraId="2D9A8D6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1.01</w:t>
            </w:r>
          </w:p>
        </w:tc>
      </w:tr>
      <w:tr w:rsidR="00814D19" w:rsidRPr="00F631FB" w14:paraId="36CFC261" w14:textId="77777777" w:rsidTr="00CE438D">
        <w:trPr>
          <w:cantSplit/>
          <w:trHeight w:val="20"/>
          <w:jc w:val="center"/>
        </w:trPr>
        <w:tc>
          <w:tcPr>
            <w:tcW w:w="1550" w:type="dxa"/>
            <w:vMerge/>
            <w:vAlign w:val="center"/>
          </w:tcPr>
          <w:p w14:paraId="6CEE489B"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0C644CE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7EE8329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0.97</w:t>
            </w:r>
          </w:p>
        </w:tc>
        <w:tc>
          <w:tcPr>
            <w:tcW w:w="1575" w:type="dxa"/>
            <w:vAlign w:val="center"/>
          </w:tcPr>
          <w:p w14:paraId="2CE95C1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0.16</w:t>
            </w:r>
          </w:p>
        </w:tc>
        <w:tc>
          <w:tcPr>
            <w:tcW w:w="1550" w:type="dxa"/>
            <w:vAlign w:val="center"/>
          </w:tcPr>
          <w:p w14:paraId="0F7EAFC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49" w:type="dxa"/>
            <w:vAlign w:val="center"/>
          </w:tcPr>
          <w:p w14:paraId="0A2B365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r>
      <w:tr w:rsidR="00814D19" w:rsidRPr="00F631FB" w14:paraId="6C1EE9BB" w14:textId="77777777" w:rsidTr="00CE438D">
        <w:trPr>
          <w:cantSplit/>
          <w:trHeight w:val="20"/>
          <w:jc w:val="center"/>
        </w:trPr>
        <w:tc>
          <w:tcPr>
            <w:tcW w:w="1550" w:type="dxa"/>
            <w:vMerge w:val="restart"/>
            <w:vAlign w:val="center"/>
          </w:tcPr>
          <w:p w14:paraId="5B60CDD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2020</w:t>
            </w:r>
          </w:p>
        </w:tc>
        <w:tc>
          <w:tcPr>
            <w:tcW w:w="1550" w:type="dxa"/>
            <w:vAlign w:val="center"/>
          </w:tcPr>
          <w:p w14:paraId="2BC6943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7C2FEDC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2.07</w:t>
            </w:r>
          </w:p>
        </w:tc>
        <w:tc>
          <w:tcPr>
            <w:tcW w:w="1575" w:type="dxa"/>
            <w:vAlign w:val="center"/>
          </w:tcPr>
          <w:p w14:paraId="55C193D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7E51103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2.35</w:t>
            </w:r>
          </w:p>
        </w:tc>
        <w:tc>
          <w:tcPr>
            <w:tcW w:w="1549" w:type="dxa"/>
            <w:vAlign w:val="center"/>
          </w:tcPr>
          <w:p w14:paraId="06E7226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2.69</w:t>
            </w:r>
          </w:p>
        </w:tc>
      </w:tr>
      <w:tr w:rsidR="00814D19" w:rsidRPr="00F631FB" w14:paraId="2747A32E" w14:textId="77777777" w:rsidTr="00CE438D">
        <w:trPr>
          <w:cantSplit/>
          <w:trHeight w:val="20"/>
          <w:jc w:val="center"/>
        </w:trPr>
        <w:tc>
          <w:tcPr>
            <w:tcW w:w="1550" w:type="dxa"/>
            <w:vMerge/>
            <w:vAlign w:val="center"/>
          </w:tcPr>
          <w:p w14:paraId="78F9ACDB"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1D694C9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6BAB05A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c>
          <w:tcPr>
            <w:tcW w:w="1575" w:type="dxa"/>
            <w:vAlign w:val="center"/>
          </w:tcPr>
          <w:p w14:paraId="1B04D39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-0.39</w:t>
            </w:r>
          </w:p>
        </w:tc>
        <w:tc>
          <w:tcPr>
            <w:tcW w:w="1550" w:type="dxa"/>
            <w:vAlign w:val="center"/>
          </w:tcPr>
          <w:p w14:paraId="23367F3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0.49</w:t>
            </w:r>
          </w:p>
        </w:tc>
        <w:tc>
          <w:tcPr>
            <w:tcW w:w="1549" w:type="dxa"/>
            <w:vAlign w:val="center"/>
          </w:tcPr>
          <w:p w14:paraId="7CBAD9E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0.07</w:t>
            </w:r>
          </w:p>
        </w:tc>
      </w:tr>
      <w:tr w:rsidR="00814D19" w:rsidRPr="00F631FB" w14:paraId="1CD2384F" w14:textId="77777777" w:rsidTr="00CE438D">
        <w:trPr>
          <w:cantSplit/>
          <w:trHeight w:val="20"/>
          <w:jc w:val="center"/>
        </w:trPr>
        <w:tc>
          <w:tcPr>
            <w:tcW w:w="1550" w:type="dxa"/>
            <w:vMerge/>
            <w:vAlign w:val="center"/>
          </w:tcPr>
          <w:p w14:paraId="024BF135"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36713B6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310073E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0.31</w:t>
            </w:r>
          </w:p>
        </w:tc>
        <w:tc>
          <w:tcPr>
            <w:tcW w:w="1575" w:type="dxa"/>
            <w:vAlign w:val="center"/>
          </w:tcPr>
          <w:p w14:paraId="796C1A98"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-0.78</w:t>
            </w:r>
          </w:p>
        </w:tc>
        <w:tc>
          <w:tcPr>
            <w:tcW w:w="1550" w:type="dxa"/>
            <w:vAlign w:val="center"/>
          </w:tcPr>
          <w:p w14:paraId="43452EB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0.5</w:t>
            </w:r>
          </w:p>
        </w:tc>
        <w:tc>
          <w:tcPr>
            <w:tcW w:w="1549" w:type="dxa"/>
            <w:vAlign w:val="center"/>
          </w:tcPr>
          <w:p w14:paraId="501DA866"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0.47</w:t>
            </w:r>
          </w:p>
        </w:tc>
      </w:tr>
      <w:tr w:rsidR="00814D19" w:rsidRPr="00F631FB" w14:paraId="0A6D1A36" w14:textId="77777777" w:rsidTr="00CE438D">
        <w:trPr>
          <w:cantSplit/>
          <w:trHeight w:val="20"/>
          <w:jc w:val="center"/>
        </w:trPr>
        <w:tc>
          <w:tcPr>
            <w:tcW w:w="1550" w:type="dxa"/>
            <w:vMerge/>
            <w:vAlign w:val="center"/>
          </w:tcPr>
          <w:p w14:paraId="47C6EDB7"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359A561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7CE60E5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75" w:type="dxa"/>
            <w:vAlign w:val="center"/>
          </w:tcPr>
          <w:p w14:paraId="20C20DB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-0.40</w:t>
            </w:r>
          </w:p>
        </w:tc>
        <w:tc>
          <w:tcPr>
            <w:tcW w:w="1550" w:type="dxa"/>
            <w:vAlign w:val="center"/>
          </w:tcPr>
          <w:p w14:paraId="4F949F6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49" w:type="dxa"/>
            <w:vAlign w:val="center"/>
          </w:tcPr>
          <w:p w14:paraId="13B46400"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0.27</w:t>
            </w:r>
          </w:p>
        </w:tc>
      </w:tr>
      <w:tr w:rsidR="00814D19" w:rsidRPr="00F631FB" w14:paraId="6E7F4F30" w14:textId="77777777" w:rsidTr="00CE438D">
        <w:trPr>
          <w:cantSplit/>
          <w:trHeight w:val="20"/>
          <w:jc w:val="center"/>
        </w:trPr>
        <w:tc>
          <w:tcPr>
            <w:tcW w:w="1550" w:type="dxa"/>
            <w:vMerge w:val="restart"/>
            <w:vAlign w:val="center"/>
          </w:tcPr>
          <w:p w14:paraId="169344A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2019</w:t>
            </w:r>
          </w:p>
        </w:tc>
        <w:tc>
          <w:tcPr>
            <w:tcW w:w="1550" w:type="dxa"/>
            <w:vAlign w:val="center"/>
          </w:tcPr>
          <w:p w14:paraId="2ABDE65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523A03A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0.45</w:t>
            </w:r>
          </w:p>
        </w:tc>
        <w:tc>
          <w:tcPr>
            <w:tcW w:w="1575" w:type="dxa"/>
            <w:vAlign w:val="center"/>
          </w:tcPr>
          <w:p w14:paraId="16ABD18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50" w:type="dxa"/>
            <w:vAlign w:val="center"/>
          </w:tcPr>
          <w:p w14:paraId="5892CF8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49" w:type="dxa"/>
            <w:vAlign w:val="center"/>
          </w:tcPr>
          <w:p w14:paraId="133189C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r>
      <w:tr w:rsidR="00814D19" w:rsidRPr="00F631FB" w14:paraId="36F737F0" w14:textId="77777777" w:rsidTr="00CE438D">
        <w:trPr>
          <w:cantSplit/>
          <w:trHeight w:val="20"/>
          <w:jc w:val="center"/>
        </w:trPr>
        <w:tc>
          <w:tcPr>
            <w:tcW w:w="1550" w:type="dxa"/>
            <w:vMerge/>
            <w:vAlign w:val="center"/>
          </w:tcPr>
          <w:p w14:paraId="250DD19C"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1E2F1A2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100BF54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0.61</w:t>
            </w:r>
          </w:p>
        </w:tc>
        <w:tc>
          <w:tcPr>
            <w:tcW w:w="1575" w:type="dxa"/>
            <w:vAlign w:val="center"/>
          </w:tcPr>
          <w:p w14:paraId="35CDA93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0.67</w:t>
            </w:r>
          </w:p>
        </w:tc>
        <w:tc>
          <w:tcPr>
            <w:tcW w:w="1550" w:type="dxa"/>
            <w:vAlign w:val="center"/>
          </w:tcPr>
          <w:p w14:paraId="2DE0951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49" w:type="dxa"/>
            <w:vAlign w:val="center"/>
          </w:tcPr>
          <w:p w14:paraId="1BC385F8"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r>
      <w:tr w:rsidR="00814D19" w:rsidRPr="00F631FB" w14:paraId="7889CCF8" w14:textId="77777777" w:rsidTr="00CE438D">
        <w:trPr>
          <w:cantSplit/>
          <w:trHeight w:val="20"/>
          <w:jc w:val="center"/>
        </w:trPr>
        <w:tc>
          <w:tcPr>
            <w:tcW w:w="1550" w:type="dxa"/>
            <w:vMerge/>
            <w:vAlign w:val="center"/>
          </w:tcPr>
          <w:p w14:paraId="4529B88C"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6C999BD6"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5BFC5DC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1.53</w:t>
            </w:r>
          </w:p>
        </w:tc>
        <w:tc>
          <w:tcPr>
            <w:tcW w:w="1575" w:type="dxa"/>
            <w:vAlign w:val="center"/>
          </w:tcPr>
          <w:p w14:paraId="7BA73B1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1.01</w:t>
            </w:r>
          </w:p>
        </w:tc>
        <w:tc>
          <w:tcPr>
            <w:tcW w:w="1550" w:type="dxa"/>
            <w:vAlign w:val="center"/>
          </w:tcPr>
          <w:p w14:paraId="5992D558"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1.62</w:t>
            </w:r>
          </w:p>
        </w:tc>
        <w:tc>
          <w:tcPr>
            <w:tcW w:w="1549" w:type="dxa"/>
            <w:vAlign w:val="center"/>
          </w:tcPr>
          <w:p w14:paraId="710F71B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1.25</w:t>
            </w:r>
          </w:p>
        </w:tc>
      </w:tr>
      <w:tr w:rsidR="00814D19" w:rsidRPr="00F631FB" w14:paraId="6E6EEC6A" w14:textId="77777777" w:rsidTr="00CE438D">
        <w:trPr>
          <w:cantSplit/>
          <w:trHeight w:val="20"/>
          <w:jc w:val="center"/>
        </w:trPr>
        <w:tc>
          <w:tcPr>
            <w:tcW w:w="1550" w:type="dxa"/>
            <w:vMerge/>
            <w:vAlign w:val="center"/>
          </w:tcPr>
          <w:p w14:paraId="59894A7E"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02FB9C1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09A0E44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75" w:type="dxa"/>
            <w:vAlign w:val="center"/>
          </w:tcPr>
          <w:p w14:paraId="7C62F05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7AAACA9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0.63</w:t>
            </w:r>
          </w:p>
        </w:tc>
        <w:tc>
          <w:tcPr>
            <w:tcW w:w="1549" w:type="dxa"/>
            <w:vAlign w:val="center"/>
          </w:tcPr>
          <w:p w14:paraId="052B6FD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1.13</w:t>
            </w:r>
          </w:p>
        </w:tc>
      </w:tr>
      <w:tr w:rsidR="00814D19" w:rsidRPr="00F631FB" w14:paraId="64A6EE0A" w14:textId="77777777" w:rsidTr="00CE438D">
        <w:trPr>
          <w:cantSplit/>
          <w:trHeight w:val="20"/>
          <w:jc w:val="center"/>
        </w:trPr>
        <w:tc>
          <w:tcPr>
            <w:tcW w:w="1550" w:type="dxa"/>
            <w:vMerge w:val="restart"/>
            <w:vAlign w:val="center"/>
          </w:tcPr>
          <w:p w14:paraId="30707FC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2018</w:t>
            </w:r>
          </w:p>
        </w:tc>
        <w:tc>
          <w:tcPr>
            <w:tcW w:w="1550" w:type="dxa"/>
            <w:vAlign w:val="center"/>
          </w:tcPr>
          <w:p w14:paraId="66E2535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13A472A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75" w:type="dxa"/>
            <w:vAlign w:val="center"/>
          </w:tcPr>
          <w:p w14:paraId="26CFF53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c>
          <w:tcPr>
            <w:tcW w:w="1550" w:type="dxa"/>
            <w:vAlign w:val="center"/>
          </w:tcPr>
          <w:p w14:paraId="12FE484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49" w:type="dxa"/>
            <w:vAlign w:val="center"/>
          </w:tcPr>
          <w:p w14:paraId="402849E0"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1.29</w:t>
            </w:r>
          </w:p>
        </w:tc>
      </w:tr>
      <w:tr w:rsidR="00814D19" w:rsidRPr="00F631FB" w14:paraId="6609236E" w14:textId="77777777" w:rsidTr="00CE438D">
        <w:trPr>
          <w:cantSplit/>
          <w:trHeight w:val="20"/>
          <w:jc w:val="center"/>
        </w:trPr>
        <w:tc>
          <w:tcPr>
            <w:tcW w:w="1550" w:type="dxa"/>
            <w:vMerge/>
            <w:vAlign w:val="center"/>
          </w:tcPr>
          <w:p w14:paraId="7306E366"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6A4EC43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6ACACEC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1.51</w:t>
            </w:r>
          </w:p>
        </w:tc>
        <w:tc>
          <w:tcPr>
            <w:tcW w:w="1575" w:type="dxa"/>
            <w:vAlign w:val="center"/>
          </w:tcPr>
          <w:p w14:paraId="016C26E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c>
          <w:tcPr>
            <w:tcW w:w="1550" w:type="dxa"/>
            <w:vAlign w:val="center"/>
          </w:tcPr>
          <w:p w14:paraId="2D1D27C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c>
          <w:tcPr>
            <w:tcW w:w="1549" w:type="dxa"/>
            <w:vAlign w:val="center"/>
          </w:tcPr>
          <w:p w14:paraId="528C28E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1.74</w:t>
            </w:r>
          </w:p>
        </w:tc>
      </w:tr>
      <w:tr w:rsidR="00814D19" w:rsidRPr="00F631FB" w14:paraId="11ABA604" w14:textId="77777777" w:rsidTr="00CE438D">
        <w:trPr>
          <w:cantSplit/>
          <w:trHeight w:val="20"/>
          <w:jc w:val="center"/>
        </w:trPr>
        <w:tc>
          <w:tcPr>
            <w:tcW w:w="1550" w:type="dxa"/>
            <w:vMerge/>
            <w:vAlign w:val="center"/>
          </w:tcPr>
          <w:p w14:paraId="07A11379"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4974BAA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1E28C31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1.49</w:t>
            </w:r>
          </w:p>
        </w:tc>
        <w:tc>
          <w:tcPr>
            <w:tcW w:w="1575" w:type="dxa"/>
            <w:vAlign w:val="center"/>
          </w:tcPr>
          <w:p w14:paraId="1CD185A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50" w:type="dxa"/>
            <w:vAlign w:val="center"/>
          </w:tcPr>
          <w:p w14:paraId="2D011CE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c>
          <w:tcPr>
            <w:tcW w:w="1549" w:type="dxa"/>
            <w:vAlign w:val="center"/>
          </w:tcPr>
          <w:p w14:paraId="1EBE9D7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2.44</w:t>
            </w:r>
          </w:p>
        </w:tc>
      </w:tr>
      <w:tr w:rsidR="00814D19" w:rsidRPr="00F631FB" w14:paraId="04ADF971" w14:textId="77777777" w:rsidTr="00CE438D">
        <w:trPr>
          <w:cantSplit/>
          <w:trHeight w:val="20"/>
          <w:jc w:val="center"/>
        </w:trPr>
        <w:tc>
          <w:tcPr>
            <w:tcW w:w="1550" w:type="dxa"/>
            <w:vMerge/>
            <w:vAlign w:val="center"/>
          </w:tcPr>
          <w:p w14:paraId="010C9B62"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5BB1AD5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4A546316"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1.7</w:t>
            </w:r>
          </w:p>
        </w:tc>
        <w:tc>
          <w:tcPr>
            <w:tcW w:w="1575" w:type="dxa"/>
            <w:vAlign w:val="center"/>
          </w:tcPr>
          <w:p w14:paraId="226A1EE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5C31656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1.64</w:t>
            </w:r>
          </w:p>
        </w:tc>
        <w:tc>
          <w:tcPr>
            <w:tcW w:w="1549" w:type="dxa"/>
            <w:vAlign w:val="center"/>
          </w:tcPr>
          <w:p w14:paraId="6E0D060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2.01</w:t>
            </w:r>
          </w:p>
        </w:tc>
      </w:tr>
      <w:tr w:rsidR="00814D19" w:rsidRPr="00F631FB" w14:paraId="5E9D095F" w14:textId="77777777" w:rsidTr="00CE438D">
        <w:trPr>
          <w:cantSplit/>
          <w:trHeight w:val="20"/>
          <w:jc w:val="center"/>
        </w:trPr>
        <w:tc>
          <w:tcPr>
            <w:tcW w:w="1550" w:type="dxa"/>
            <w:vMerge w:val="restart"/>
            <w:vAlign w:val="center"/>
          </w:tcPr>
          <w:p w14:paraId="214719E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2017</w:t>
            </w:r>
          </w:p>
        </w:tc>
        <w:tc>
          <w:tcPr>
            <w:tcW w:w="1550" w:type="dxa"/>
            <w:vAlign w:val="center"/>
          </w:tcPr>
          <w:p w14:paraId="3FBA639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6C8AED5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75" w:type="dxa"/>
            <w:vAlign w:val="center"/>
          </w:tcPr>
          <w:p w14:paraId="28C12FB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1.78</w:t>
            </w:r>
          </w:p>
        </w:tc>
        <w:tc>
          <w:tcPr>
            <w:tcW w:w="1550" w:type="dxa"/>
            <w:vAlign w:val="center"/>
          </w:tcPr>
          <w:p w14:paraId="1650C0B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49" w:type="dxa"/>
            <w:vAlign w:val="center"/>
          </w:tcPr>
          <w:p w14:paraId="32FE3DF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1.43</w:t>
            </w:r>
          </w:p>
        </w:tc>
      </w:tr>
      <w:tr w:rsidR="00814D19" w:rsidRPr="00F631FB" w14:paraId="2B42E1C8" w14:textId="77777777" w:rsidTr="00CE438D">
        <w:trPr>
          <w:cantSplit/>
          <w:trHeight w:val="20"/>
          <w:jc w:val="center"/>
        </w:trPr>
        <w:tc>
          <w:tcPr>
            <w:tcW w:w="1550" w:type="dxa"/>
            <w:vMerge/>
            <w:vAlign w:val="center"/>
          </w:tcPr>
          <w:p w14:paraId="497D6205"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6A2631D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565388C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2.98</w:t>
            </w:r>
          </w:p>
        </w:tc>
        <w:tc>
          <w:tcPr>
            <w:tcW w:w="1575" w:type="dxa"/>
            <w:vAlign w:val="center"/>
          </w:tcPr>
          <w:p w14:paraId="5DB4366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2.11</w:t>
            </w:r>
          </w:p>
        </w:tc>
        <w:tc>
          <w:tcPr>
            <w:tcW w:w="1550" w:type="dxa"/>
            <w:vAlign w:val="center"/>
          </w:tcPr>
          <w:p w14:paraId="6597F90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3.24</w:t>
            </w:r>
          </w:p>
        </w:tc>
        <w:tc>
          <w:tcPr>
            <w:tcW w:w="1549" w:type="dxa"/>
            <w:vAlign w:val="center"/>
          </w:tcPr>
          <w:p w14:paraId="1238E200"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1.72</w:t>
            </w:r>
          </w:p>
        </w:tc>
      </w:tr>
      <w:tr w:rsidR="00814D19" w:rsidRPr="00F631FB" w14:paraId="1CF8905C" w14:textId="77777777" w:rsidTr="00CE438D">
        <w:trPr>
          <w:cantSplit/>
          <w:trHeight w:val="20"/>
          <w:jc w:val="center"/>
        </w:trPr>
        <w:tc>
          <w:tcPr>
            <w:tcW w:w="1550" w:type="dxa"/>
            <w:vMerge/>
            <w:vAlign w:val="center"/>
          </w:tcPr>
          <w:p w14:paraId="3FDC8FF2"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0B8B0C0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705975E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3.4</w:t>
            </w:r>
          </w:p>
        </w:tc>
        <w:tc>
          <w:tcPr>
            <w:tcW w:w="1575" w:type="dxa"/>
            <w:vAlign w:val="center"/>
          </w:tcPr>
          <w:p w14:paraId="330E224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40469AB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3.82</w:t>
            </w:r>
          </w:p>
        </w:tc>
        <w:tc>
          <w:tcPr>
            <w:tcW w:w="1549" w:type="dxa"/>
            <w:vAlign w:val="center"/>
          </w:tcPr>
          <w:p w14:paraId="6FAB62C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1.68</w:t>
            </w:r>
          </w:p>
        </w:tc>
      </w:tr>
      <w:tr w:rsidR="00814D19" w:rsidRPr="00F631FB" w14:paraId="528F74E6" w14:textId="77777777" w:rsidTr="00CE438D">
        <w:trPr>
          <w:cantSplit/>
          <w:trHeight w:val="20"/>
          <w:jc w:val="center"/>
        </w:trPr>
        <w:tc>
          <w:tcPr>
            <w:tcW w:w="1550" w:type="dxa"/>
            <w:vMerge/>
            <w:vAlign w:val="center"/>
          </w:tcPr>
          <w:p w14:paraId="06C6D1D9"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146D1CB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38F2883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3.45</w:t>
            </w:r>
          </w:p>
        </w:tc>
        <w:tc>
          <w:tcPr>
            <w:tcW w:w="1575" w:type="dxa"/>
            <w:vAlign w:val="center"/>
          </w:tcPr>
          <w:p w14:paraId="4B61997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7A49A6D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3.92</w:t>
            </w:r>
          </w:p>
        </w:tc>
        <w:tc>
          <w:tcPr>
            <w:tcW w:w="1549" w:type="dxa"/>
            <w:vAlign w:val="center"/>
          </w:tcPr>
          <w:p w14:paraId="7691CDC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r>
      <w:tr w:rsidR="00814D19" w:rsidRPr="00F631FB" w14:paraId="7948BC35" w14:textId="77777777" w:rsidTr="00CE438D">
        <w:trPr>
          <w:cantSplit/>
          <w:trHeight w:val="20"/>
          <w:jc w:val="center"/>
        </w:trPr>
        <w:tc>
          <w:tcPr>
            <w:tcW w:w="1550" w:type="dxa"/>
            <w:vMerge w:val="restart"/>
            <w:vAlign w:val="center"/>
          </w:tcPr>
          <w:p w14:paraId="64848B4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2016</w:t>
            </w:r>
          </w:p>
        </w:tc>
        <w:tc>
          <w:tcPr>
            <w:tcW w:w="1550" w:type="dxa"/>
            <w:vAlign w:val="center"/>
          </w:tcPr>
          <w:p w14:paraId="4BDFCF9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642C123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4.56</w:t>
            </w:r>
          </w:p>
        </w:tc>
        <w:tc>
          <w:tcPr>
            <w:tcW w:w="1575" w:type="dxa"/>
            <w:vAlign w:val="center"/>
          </w:tcPr>
          <w:p w14:paraId="09C4E9C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2.15</w:t>
            </w:r>
          </w:p>
        </w:tc>
        <w:tc>
          <w:tcPr>
            <w:tcW w:w="1550" w:type="dxa"/>
            <w:vAlign w:val="center"/>
          </w:tcPr>
          <w:p w14:paraId="624970E6"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5.32</w:t>
            </w:r>
          </w:p>
        </w:tc>
        <w:tc>
          <w:tcPr>
            <w:tcW w:w="1549" w:type="dxa"/>
            <w:vAlign w:val="center"/>
          </w:tcPr>
          <w:p w14:paraId="367D203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1.57</w:t>
            </w:r>
          </w:p>
        </w:tc>
      </w:tr>
      <w:tr w:rsidR="00814D19" w:rsidRPr="00F631FB" w14:paraId="06BB8318" w14:textId="77777777" w:rsidTr="00CE438D">
        <w:trPr>
          <w:cantSplit/>
          <w:trHeight w:val="20"/>
          <w:jc w:val="center"/>
        </w:trPr>
        <w:tc>
          <w:tcPr>
            <w:tcW w:w="1550" w:type="dxa"/>
            <w:vMerge/>
            <w:vAlign w:val="center"/>
          </w:tcPr>
          <w:p w14:paraId="7669373C"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3D78EDE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634BD9E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4.12</w:t>
            </w:r>
          </w:p>
        </w:tc>
        <w:tc>
          <w:tcPr>
            <w:tcW w:w="1575" w:type="dxa"/>
            <w:vAlign w:val="center"/>
          </w:tcPr>
          <w:p w14:paraId="6FF2B5E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4D3A247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4.79</w:t>
            </w:r>
          </w:p>
        </w:tc>
        <w:tc>
          <w:tcPr>
            <w:tcW w:w="1549" w:type="dxa"/>
            <w:vAlign w:val="center"/>
          </w:tcPr>
          <w:p w14:paraId="4A96655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1.97</w:t>
            </w:r>
          </w:p>
        </w:tc>
      </w:tr>
      <w:tr w:rsidR="00814D19" w:rsidRPr="00F631FB" w14:paraId="5413F0D7" w14:textId="77777777" w:rsidTr="00CE438D">
        <w:trPr>
          <w:cantSplit/>
          <w:trHeight w:val="20"/>
          <w:jc w:val="center"/>
        </w:trPr>
        <w:tc>
          <w:tcPr>
            <w:tcW w:w="1550" w:type="dxa"/>
            <w:vMerge/>
            <w:vAlign w:val="center"/>
          </w:tcPr>
          <w:p w14:paraId="62A0EF2E"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5304B22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763307A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3.85</w:t>
            </w:r>
          </w:p>
        </w:tc>
        <w:tc>
          <w:tcPr>
            <w:tcW w:w="1575" w:type="dxa"/>
            <w:vAlign w:val="center"/>
          </w:tcPr>
          <w:p w14:paraId="1EB8DC06"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1.95</w:t>
            </w:r>
          </w:p>
        </w:tc>
        <w:tc>
          <w:tcPr>
            <w:tcW w:w="1550" w:type="dxa"/>
            <w:vAlign w:val="center"/>
          </w:tcPr>
          <w:p w14:paraId="34DD838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4.48</w:t>
            </w:r>
          </w:p>
        </w:tc>
        <w:tc>
          <w:tcPr>
            <w:tcW w:w="1549" w:type="dxa"/>
            <w:vAlign w:val="center"/>
          </w:tcPr>
          <w:p w14:paraId="310CD35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r>
      <w:tr w:rsidR="00814D19" w:rsidRPr="00F631FB" w14:paraId="046A9ACE" w14:textId="77777777" w:rsidTr="00CE438D">
        <w:trPr>
          <w:cantSplit/>
          <w:trHeight w:val="20"/>
          <w:jc w:val="center"/>
        </w:trPr>
        <w:tc>
          <w:tcPr>
            <w:tcW w:w="1550" w:type="dxa"/>
            <w:vMerge/>
            <w:vAlign w:val="center"/>
          </w:tcPr>
          <w:p w14:paraId="1C0B5235"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795D768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1198C02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4.09</w:t>
            </w:r>
          </w:p>
        </w:tc>
        <w:tc>
          <w:tcPr>
            <w:tcW w:w="1575" w:type="dxa"/>
            <w:vAlign w:val="center"/>
          </w:tcPr>
          <w:p w14:paraId="2C10917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2.93</w:t>
            </w:r>
          </w:p>
        </w:tc>
        <w:tc>
          <w:tcPr>
            <w:tcW w:w="1550" w:type="dxa"/>
            <w:vAlign w:val="center"/>
          </w:tcPr>
          <w:p w14:paraId="12A9D216"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4.54</w:t>
            </w:r>
          </w:p>
        </w:tc>
        <w:tc>
          <w:tcPr>
            <w:tcW w:w="1549" w:type="dxa"/>
            <w:vAlign w:val="center"/>
          </w:tcPr>
          <w:p w14:paraId="17ED448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1.48</w:t>
            </w:r>
          </w:p>
        </w:tc>
      </w:tr>
      <w:tr w:rsidR="00814D19" w:rsidRPr="00F631FB" w14:paraId="7B08113C" w14:textId="77777777" w:rsidTr="00CE438D">
        <w:trPr>
          <w:cantSplit/>
          <w:trHeight w:val="20"/>
          <w:jc w:val="center"/>
        </w:trPr>
        <w:tc>
          <w:tcPr>
            <w:tcW w:w="1550" w:type="dxa"/>
            <w:vMerge w:val="restart"/>
            <w:vAlign w:val="center"/>
          </w:tcPr>
          <w:p w14:paraId="08C18750"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2015</w:t>
            </w:r>
          </w:p>
        </w:tc>
        <w:tc>
          <w:tcPr>
            <w:tcW w:w="1550" w:type="dxa"/>
            <w:vAlign w:val="center"/>
          </w:tcPr>
          <w:p w14:paraId="0370BD9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17250B5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1.63</w:t>
            </w:r>
          </w:p>
        </w:tc>
        <w:tc>
          <w:tcPr>
            <w:tcW w:w="1575" w:type="dxa"/>
            <w:vAlign w:val="center"/>
          </w:tcPr>
          <w:p w14:paraId="032FD94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50" w:type="dxa"/>
            <w:vAlign w:val="center"/>
          </w:tcPr>
          <w:p w14:paraId="5DAF2AC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1.77</w:t>
            </w:r>
          </w:p>
        </w:tc>
        <w:tc>
          <w:tcPr>
            <w:tcW w:w="1549" w:type="dxa"/>
            <w:vAlign w:val="center"/>
          </w:tcPr>
          <w:p w14:paraId="2408A75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1.89</w:t>
            </w:r>
          </w:p>
        </w:tc>
      </w:tr>
      <w:tr w:rsidR="00814D19" w:rsidRPr="00F631FB" w14:paraId="6F9ABABA" w14:textId="77777777" w:rsidTr="00CE438D">
        <w:trPr>
          <w:cantSplit/>
          <w:trHeight w:val="20"/>
          <w:jc w:val="center"/>
        </w:trPr>
        <w:tc>
          <w:tcPr>
            <w:tcW w:w="1550" w:type="dxa"/>
            <w:vMerge/>
            <w:vAlign w:val="center"/>
          </w:tcPr>
          <w:p w14:paraId="7F8A3530"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74275F28"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257A70F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1.65</w:t>
            </w:r>
          </w:p>
        </w:tc>
        <w:tc>
          <w:tcPr>
            <w:tcW w:w="1575" w:type="dxa"/>
            <w:vAlign w:val="center"/>
          </w:tcPr>
          <w:p w14:paraId="654BF80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50" w:type="dxa"/>
            <w:vAlign w:val="center"/>
          </w:tcPr>
          <w:p w14:paraId="2E766DD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1.88</w:t>
            </w:r>
          </w:p>
        </w:tc>
        <w:tc>
          <w:tcPr>
            <w:tcW w:w="1549" w:type="dxa"/>
            <w:vAlign w:val="center"/>
          </w:tcPr>
          <w:p w14:paraId="1060E0B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1.26</w:t>
            </w:r>
          </w:p>
        </w:tc>
      </w:tr>
      <w:tr w:rsidR="00814D19" w:rsidRPr="00F631FB" w14:paraId="2799B4AA" w14:textId="77777777" w:rsidTr="00CE438D">
        <w:trPr>
          <w:cantSplit/>
          <w:trHeight w:val="20"/>
          <w:jc w:val="center"/>
        </w:trPr>
        <w:tc>
          <w:tcPr>
            <w:tcW w:w="1550" w:type="dxa"/>
            <w:vMerge/>
            <w:vAlign w:val="center"/>
          </w:tcPr>
          <w:p w14:paraId="1DFA6C61"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2B1C93F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0266271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0.77</w:t>
            </w:r>
          </w:p>
        </w:tc>
        <w:tc>
          <w:tcPr>
            <w:tcW w:w="1575" w:type="dxa"/>
            <w:vAlign w:val="center"/>
          </w:tcPr>
          <w:p w14:paraId="23F5FFC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0.69</w:t>
            </w:r>
          </w:p>
        </w:tc>
        <w:tc>
          <w:tcPr>
            <w:tcW w:w="1550" w:type="dxa"/>
            <w:vAlign w:val="center"/>
          </w:tcPr>
          <w:p w14:paraId="2F6198F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0.8</w:t>
            </w:r>
          </w:p>
        </w:tc>
        <w:tc>
          <w:tcPr>
            <w:tcW w:w="1549" w:type="dxa"/>
            <w:vAlign w:val="center"/>
          </w:tcPr>
          <w:p w14:paraId="4E36CE6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0.88</w:t>
            </w:r>
          </w:p>
        </w:tc>
      </w:tr>
      <w:tr w:rsidR="00814D19" w:rsidRPr="00F631FB" w14:paraId="353E047D" w14:textId="77777777" w:rsidTr="00CE438D">
        <w:trPr>
          <w:cantSplit/>
          <w:trHeight w:val="20"/>
          <w:jc w:val="center"/>
        </w:trPr>
        <w:tc>
          <w:tcPr>
            <w:tcW w:w="1550" w:type="dxa"/>
            <w:vMerge/>
            <w:vAlign w:val="center"/>
          </w:tcPr>
          <w:p w14:paraId="4EB4B6C6"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05D49BA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48651C3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0.51</w:t>
            </w:r>
          </w:p>
        </w:tc>
        <w:tc>
          <w:tcPr>
            <w:tcW w:w="1575" w:type="dxa"/>
            <w:vAlign w:val="center"/>
          </w:tcPr>
          <w:p w14:paraId="69F7E75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50" w:type="dxa"/>
            <w:vAlign w:val="center"/>
          </w:tcPr>
          <w:p w14:paraId="6673808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c>
          <w:tcPr>
            <w:tcW w:w="1549" w:type="dxa"/>
            <w:vAlign w:val="center"/>
          </w:tcPr>
          <w:p w14:paraId="781769A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0.93</w:t>
            </w:r>
          </w:p>
        </w:tc>
      </w:tr>
      <w:tr w:rsidR="00814D19" w:rsidRPr="00F631FB" w14:paraId="5F2DE8B3" w14:textId="77777777" w:rsidTr="00CE438D">
        <w:trPr>
          <w:cantSplit/>
          <w:trHeight w:val="20"/>
          <w:jc w:val="center"/>
        </w:trPr>
        <w:tc>
          <w:tcPr>
            <w:tcW w:w="1550" w:type="dxa"/>
            <w:vMerge w:val="restart"/>
            <w:vAlign w:val="center"/>
          </w:tcPr>
          <w:p w14:paraId="273F05F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2014</w:t>
            </w:r>
          </w:p>
        </w:tc>
        <w:tc>
          <w:tcPr>
            <w:tcW w:w="1550" w:type="dxa"/>
            <w:vAlign w:val="center"/>
          </w:tcPr>
          <w:p w14:paraId="37D4339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62CCDCE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75" w:type="dxa"/>
            <w:vAlign w:val="center"/>
          </w:tcPr>
          <w:p w14:paraId="6844A0E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0.41</w:t>
            </w:r>
          </w:p>
        </w:tc>
        <w:tc>
          <w:tcPr>
            <w:tcW w:w="1550" w:type="dxa"/>
            <w:vAlign w:val="center"/>
          </w:tcPr>
          <w:p w14:paraId="2BDE97B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49" w:type="dxa"/>
            <w:vAlign w:val="center"/>
          </w:tcPr>
          <w:p w14:paraId="156F0560"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0.89</w:t>
            </w:r>
          </w:p>
        </w:tc>
      </w:tr>
      <w:tr w:rsidR="00814D19" w:rsidRPr="00F631FB" w14:paraId="37D3EDC6" w14:textId="77777777" w:rsidTr="00CE438D">
        <w:trPr>
          <w:cantSplit/>
          <w:trHeight w:val="20"/>
          <w:jc w:val="center"/>
        </w:trPr>
        <w:tc>
          <w:tcPr>
            <w:tcW w:w="1550" w:type="dxa"/>
            <w:vMerge/>
            <w:vAlign w:val="center"/>
          </w:tcPr>
          <w:p w14:paraId="7F44F709"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13C6169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315CB41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0.83</w:t>
            </w:r>
          </w:p>
        </w:tc>
        <w:tc>
          <w:tcPr>
            <w:tcW w:w="1575" w:type="dxa"/>
            <w:vAlign w:val="center"/>
          </w:tcPr>
          <w:p w14:paraId="4C7569B0"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1.47</w:t>
            </w:r>
          </w:p>
        </w:tc>
        <w:tc>
          <w:tcPr>
            <w:tcW w:w="1550" w:type="dxa"/>
            <w:vAlign w:val="center"/>
          </w:tcPr>
          <w:p w14:paraId="4F645988"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0.65</w:t>
            </w:r>
          </w:p>
        </w:tc>
        <w:tc>
          <w:tcPr>
            <w:tcW w:w="1549" w:type="dxa"/>
            <w:vAlign w:val="center"/>
          </w:tcPr>
          <w:p w14:paraId="57CB930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0.72</w:t>
            </w:r>
          </w:p>
        </w:tc>
      </w:tr>
      <w:tr w:rsidR="00814D19" w:rsidRPr="00F631FB" w14:paraId="3319DA91" w14:textId="77777777" w:rsidTr="00CE438D">
        <w:trPr>
          <w:cantSplit/>
          <w:trHeight w:val="20"/>
          <w:jc w:val="center"/>
        </w:trPr>
        <w:tc>
          <w:tcPr>
            <w:tcW w:w="1550" w:type="dxa"/>
            <w:vMerge/>
            <w:vAlign w:val="center"/>
          </w:tcPr>
          <w:p w14:paraId="58559F4B"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67CCDC5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392D8BC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2.4</w:t>
            </w:r>
          </w:p>
        </w:tc>
        <w:tc>
          <w:tcPr>
            <w:tcW w:w="1575" w:type="dxa"/>
            <w:vAlign w:val="center"/>
          </w:tcPr>
          <w:p w14:paraId="23586ED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2.03</w:t>
            </w:r>
          </w:p>
        </w:tc>
        <w:tc>
          <w:tcPr>
            <w:tcW w:w="1550" w:type="dxa"/>
            <w:vAlign w:val="center"/>
          </w:tcPr>
          <w:p w14:paraId="12A2141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2.59</w:t>
            </w:r>
          </w:p>
        </w:tc>
        <w:tc>
          <w:tcPr>
            <w:tcW w:w="1549" w:type="dxa"/>
            <w:vAlign w:val="center"/>
          </w:tcPr>
          <w:p w14:paraId="6EEA71B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r>
      <w:tr w:rsidR="00814D19" w:rsidRPr="00F631FB" w14:paraId="58C4BD95" w14:textId="77777777" w:rsidTr="00CE438D">
        <w:trPr>
          <w:cantSplit/>
          <w:trHeight w:val="20"/>
          <w:jc w:val="center"/>
        </w:trPr>
        <w:tc>
          <w:tcPr>
            <w:tcW w:w="1550" w:type="dxa"/>
            <w:vMerge/>
            <w:vAlign w:val="center"/>
          </w:tcPr>
          <w:p w14:paraId="01E2B908"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71E11EE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646B6A3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2.97</w:t>
            </w:r>
          </w:p>
        </w:tc>
        <w:tc>
          <w:tcPr>
            <w:tcW w:w="1575" w:type="dxa"/>
            <w:vAlign w:val="center"/>
          </w:tcPr>
          <w:p w14:paraId="07D5EEB0"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2.34</w:t>
            </w:r>
          </w:p>
        </w:tc>
        <w:tc>
          <w:tcPr>
            <w:tcW w:w="1550" w:type="dxa"/>
            <w:vAlign w:val="center"/>
          </w:tcPr>
          <w:p w14:paraId="35328658"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3.28</w:t>
            </w:r>
          </w:p>
        </w:tc>
        <w:tc>
          <w:tcPr>
            <w:tcW w:w="1549" w:type="dxa"/>
            <w:vAlign w:val="center"/>
          </w:tcPr>
          <w:p w14:paraId="6E589E7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1.36</w:t>
            </w:r>
          </w:p>
        </w:tc>
      </w:tr>
    </w:tbl>
    <w:p w14:paraId="0EA9E25C" w14:textId="77777777" w:rsidR="00814D19" w:rsidRPr="00F631FB" w:rsidRDefault="00814D19" w:rsidP="00814D19">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则：</w:t>
      </w:r>
    </w:p>
    <w:p w14:paraId="265DA61C" w14:textId="062CB0B5" w:rsidR="00814D19" w:rsidRPr="00F631FB" w:rsidRDefault="00814D19" w:rsidP="00814D19">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参</w:t>
      </w:r>
      <w:r w:rsidRPr="00F631FB">
        <w:rPr>
          <w:rFonts w:ascii="Arial" w:eastAsia="仿宋_GB2312" w:hAnsi="Arial" w:cs="Arial"/>
          <w:sz w:val="28"/>
          <w:szCs w:val="28"/>
        </w:rPr>
        <w:t>照北京市规划和自然资源委员会对办理国有建设用地使用权</w:t>
      </w:r>
      <w:r w:rsidR="00E906EE">
        <w:rPr>
          <w:rFonts w:ascii="Arial" w:eastAsia="仿宋_GB2312" w:hAnsi="Arial" w:cs="Arial" w:hint="eastAsia"/>
          <w:sz w:val="28"/>
          <w:szCs w:val="28"/>
        </w:rPr>
        <w:t>招标</w:t>
      </w:r>
      <w:r w:rsidRPr="00F631FB">
        <w:rPr>
          <w:rFonts w:ascii="Arial" w:eastAsia="仿宋_GB2312" w:hAnsi="Arial" w:cs="Arial"/>
          <w:sz w:val="28"/>
          <w:szCs w:val="28"/>
        </w:rPr>
        <w:t>出让以及地价评审的要求，</w:t>
      </w:r>
      <w:r w:rsidRPr="00F631FB">
        <w:rPr>
          <w:rFonts w:ascii="Arial" w:eastAsia="仿宋_GB2312" w:hAnsi="Arial" w:cs="Arial" w:hint="eastAsia"/>
          <w:sz w:val="28"/>
          <w:szCs w:val="28"/>
        </w:rPr>
        <w:t>商业</w:t>
      </w:r>
      <w:r w:rsidRPr="00F631FB">
        <w:rPr>
          <w:rFonts w:ascii="Arial" w:eastAsia="仿宋_GB2312" w:hAnsi="Arial" w:cs="Arial"/>
          <w:sz w:val="28"/>
          <w:szCs w:val="28"/>
        </w:rPr>
        <w:t>用途地价增值率</w:t>
      </w:r>
      <w:proofErr w:type="gramStart"/>
      <w:r w:rsidRPr="00F631FB">
        <w:rPr>
          <w:rFonts w:ascii="Arial" w:eastAsia="仿宋_GB2312" w:hAnsi="Arial" w:cs="Arial"/>
          <w:sz w:val="28"/>
          <w:szCs w:val="28"/>
        </w:rPr>
        <w:t>采用商</w:t>
      </w:r>
      <w:proofErr w:type="gramEnd"/>
      <w:r w:rsidRPr="00F631FB">
        <w:rPr>
          <w:rFonts w:ascii="Arial" w:eastAsia="仿宋_GB2312" w:hAnsi="Arial" w:cs="Arial"/>
          <w:sz w:val="28"/>
          <w:szCs w:val="28"/>
        </w:rPr>
        <w:t>服用途的同期地价增长率。</w:t>
      </w:r>
      <w:r w:rsidRPr="00F631FB">
        <w:rPr>
          <w:rFonts w:ascii="Arial" w:eastAsia="仿宋_GB2312" w:hAnsi="Arial" w:cs="Arial"/>
          <w:sz w:val="28"/>
        </w:rPr>
        <w:t>本次评估中，期日修正系数为各季度增长率连乘值，即：</w:t>
      </w:r>
    </w:p>
    <w:p w14:paraId="71BA4CF8" w14:textId="77777777" w:rsidR="00814D19" w:rsidRPr="00F631FB" w:rsidRDefault="00814D19" w:rsidP="00814D19">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期日修正系数＝（</w:t>
      </w:r>
      <w:r w:rsidRPr="00F631FB">
        <w:rPr>
          <w:rFonts w:ascii="Arial" w:eastAsia="仿宋_GB2312" w:hAnsi="Arial" w:cs="Arial"/>
          <w:sz w:val="28"/>
        </w:rPr>
        <w:t>1+2.34%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1+2.03%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1+1.47%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1+0.54%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1+1.11%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1+2.93%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lastRenderedPageBreak/>
        <w:t>（</w:t>
      </w:r>
      <w:r w:rsidRPr="00F631FB">
        <w:rPr>
          <w:rFonts w:ascii="Arial" w:eastAsia="仿宋_GB2312" w:hAnsi="Arial" w:cs="Arial"/>
          <w:sz w:val="28"/>
        </w:rPr>
        <w:t>1+1.95%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1+2.15%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1+2.11%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1+1.78%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1+0.96%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1+1.41%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1+1.03%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1+1.01%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1-0.40%</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1-0.78%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1+0.16%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w:t>
      </w:r>
      <w:r w:rsidRPr="00F631FB">
        <w:rPr>
          <w:rFonts w:ascii="Arial" w:eastAsia="仿宋_GB2312" w:hAnsi="Arial" w:cs="Arial" w:hint="eastAsia"/>
          <w:sz w:val="28"/>
        </w:rPr>
        <w:t>72</w:t>
      </w:r>
      <w:r w:rsidRPr="00F631FB">
        <w:rPr>
          <w:rFonts w:ascii="Arial" w:eastAsia="仿宋_GB2312" w:hAnsi="Arial" w:cs="Arial"/>
          <w:sz w:val="28"/>
        </w:rPr>
        <w:t>%</w:t>
      </w:r>
      <w:r w:rsidRPr="00F631FB">
        <w:rPr>
          <w:rFonts w:ascii="Arial" w:eastAsia="仿宋_GB2312" w:hAnsi="Arial" w:cs="Arial"/>
          <w:sz w:val="28"/>
        </w:rPr>
        <w:t>）</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sz w:val="28"/>
        </w:rPr>
        <w:t>+0.41%</w:t>
      </w:r>
      <w:r>
        <w:rPr>
          <w:rFonts w:ascii="Arial" w:eastAsia="仿宋_GB2312" w:hAnsi="Arial" w:cs="Arial" w:hint="eastAsia"/>
          <w:sz w:val="28"/>
        </w:rPr>
        <w:t>）</w:t>
      </w:r>
      <w:r w:rsidRPr="00F631FB">
        <w:rPr>
          <w:rFonts w:ascii="Arial" w:eastAsia="仿宋_GB2312" w:hAnsi="Arial" w:cs="Arial"/>
          <w:sz w:val="28"/>
        </w:rPr>
        <w:t>=1.</w:t>
      </w:r>
      <w:r>
        <w:rPr>
          <w:rFonts w:ascii="Arial" w:eastAsia="仿宋_GB2312" w:hAnsi="Arial" w:cs="Arial"/>
          <w:sz w:val="28"/>
        </w:rPr>
        <w:t>3963</w:t>
      </w:r>
    </w:p>
    <w:p w14:paraId="1327CD44"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）年期修正系数的确定</w:t>
      </w:r>
    </w:p>
    <w:p w14:paraId="78FA7740"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3BBDD261"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其中：</w:t>
      </w:r>
    </w:p>
    <w:p w14:paraId="7C3C9E17"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sz w:val="28"/>
          <w:szCs w:val="28"/>
        </w:rPr>
        <w:t>土地还原率</w:t>
      </w:r>
    </w:p>
    <w:p w14:paraId="3C89C3CE"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宗地剩余土地使用年限</w:t>
      </w:r>
    </w:p>
    <w:p w14:paraId="0C297B99"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基准地价规定的相应用途土地使用年限</w:t>
      </w:r>
    </w:p>
    <w:p w14:paraId="2E77542E"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商业、办公、居住、工业用途的土地还原利率原则上按同期中国人民银行公布的一年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款利率分别上浮</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10</w:t>
      </w:r>
      <w:r w:rsidRPr="00F631FB">
        <w:rPr>
          <w:rFonts w:ascii="Arial" w:eastAsia="仿宋_GB2312" w:hAnsi="Arial" w:cs="Arial"/>
          <w:sz w:val="28"/>
          <w:szCs w:val="28"/>
        </w:rPr>
        <w:t>％确定。估价对象用途为商业，现行一年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24</w:t>
      </w:r>
      <w:r w:rsidRPr="00F631FB">
        <w:rPr>
          <w:rFonts w:ascii="Arial" w:eastAsia="仿宋_GB2312" w:hAnsi="Arial" w:cs="Arial"/>
          <w:sz w:val="28"/>
          <w:szCs w:val="28"/>
        </w:rPr>
        <w:t>日发布）为</w:t>
      </w:r>
      <w:r w:rsidRPr="00F631FB">
        <w:rPr>
          <w:rFonts w:ascii="Arial" w:eastAsia="仿宋_GB2312" w:hAnsi="Arial" w:cs="Arial"/>
          <w:sz w:val="28"/>
          <w:szCs w:val="28"/>
        </w:rPr>
        <w:t>4.35%</w:t>
      </w:r>
      <w:r w:rsidRPr="00F631FB">
        <w:rPr>
          <w:rFonts w:ascii="Arial" w:eastAsia="仿宋_GB2312" w:hAnsi="Arial" w:cs="Arial"/>
          <w:sz w:val="28"/>
          <w:szCs w:val="28"/>
        </w:rPr>
        <w:t>。则有：</w:t>
      </w:r>
    </w:p>
    <w:p w14:paraId="32E53A02"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土地还原率＝</w:t>
      </w:r>
      <w:r w:rsidRPr="00F631FB">
        <w:rPr>
          <w:rFonts w:ascii="Arial" w:eastAsia="仿宋_GB2312" w:hAnsi="Arial" w:cs="Arial"/>
          <w:sz w:val="28"/>
          <w:szCs w:val="28"/>
        </w:rPr>
        <w:t>4.35%×</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=5.4%</w:t>
      </w:r>
    </w:p>
    <w:p w14:paraId="1EEF3BA4"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估价对象设定剩余土地使用年限为</w:t>
      </w:r>
      <w:r w:rsidRPr="00F631FB">
        <w:rPr>
          <w:rFonts w:ascii="Arial" w:eastAsia="仿宋_GB2312" w:hAnsi="Arial" w:cs="Arial"/>
          <w:sz w:val="28"/>
          <w:szCs w:val="28"/>
        </w:rPr>
        <w:t>40</w:t>
      </w:r>
      <w:r w:rsidRPr="00F631FB">
        <w:rPr>
          <w:rFonts w:ascii="Arial" w:eastAsia="仿宋_GB2312" w:hAnsi="Arial" w:cs="Arial"/>
          <w:sz w:val="28"/>
          <w:szCs w:val="28"/>
        </w:rPr>
        <w:t>年，商业用途法定用途最高出让年限为</w:t>
      </w:r>
      <w:r w:rsidRPr="00F631FB">
        <w:rPr>
          <w:rFonts w:ascii="Arial" w:eastAsia="仿宋_GB2312" w:hAnsi="Arial" w:cs="Arial"/>
          <w:sz w:val="28"/>
          <w:szCs w:val="28"/>
        </w:rPr>
        <w:t>40</w:t>
      </w:r>
      <w:r w:rsidRPr="00F631FB">
        <w:rPr>
          <w:rFonts w:ascii="Arial" w:eastAsia="仿宋_GB2312" w:hAnsi="Arial" w:cs="Arial"/>
          <w:sz w:val="28"/>
          <w:szCs w:val="28"/>
        </w:rPr>
        <w:t>年，则有：</w:t>
      </w:r>
    </w:p>
    <w:p w14:paraId="5ACFBF0B"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p>
    <w:p w14:paraId="6EE0F93C"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47C676BF"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5.4%</w:t>
      </w:r>
      <w:r w:rsidRPr="00F631FB">
        <w:rPr>
          <w:rFonts w:ascii="Arial" w:eastAsia="仿宋_GB2312" w:hAnsi="Arial" w:cs="Arial"/>
          <w:sz w:val="28"/>
          <w:szCs w:val="28"/>
        </w:rPr>
        <w:t>）</w:t>
      </w:r>
      <w:r w:rsidRPr="00F631FB">
        <w:rPr>
          <w:rFonts w:ascii="Arial" w:eastAsia="仿宋_GB2312" w:hAnsi="Arial" w:cs="Arial"/>
          <w:sz w:val="28"/>
          <w:szCs w:val="28"/>
          <w:vertAlign w:val="superscript"/>
        </w:rPr>
        <w:t>40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5.4%</w:t>
      </w:r>
      <w:r w:rsidRPr="00F631FB">
        <w:rPr>
          <w:rFonts w:ascii="Arial" w:eastAsia="仿宋_GB2312" w:hAnsi="Arial" w:cs="Arial"/>
          <w:sz w:val="28"/>
          <w:szCs w:val="28"/>
        </w:rPr>
        <w:t>）</w:t>
      </w:r>
      <w:r w:rsidRPr="00F631FB">
        <w:rPr>
          <w:rFonts w:ascii="Arial" w:eastAsia="仿宋_GB2312" w:hAnsi="Arial" w:cs="Arial"/>
          <w:sz w:val="28"/>
          <w:szCs w:val="28"/>
          <w:vertAlign w:val="superscript"/>
        </w:rPr>
        <w:t>40</w:t>
      </w:r>
      <w:r w:rsidRPr="00F631FB">
        <w:rPr>
          <w:rFonts w:ascii="Arial" w:eastAsia="仿宋_GB2312" w:hAnsi="Arial" w:cs="Arial"/>
          <w:sz w:val="28"/>
          <w:szCs w:val="28"/>
        </w:rPr>
        <w:t>）</w:t>
      </w:r>
    </w:p>
    <w:p w14:paraId="23C65248"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lastRenderedPageBreak/>
        <w:t>＝</w:t>
      </w:r>
      <w:r w:rsidRPr="00F631FB">
        <w:rPr>
          <w:rFonts w:ascii="Arial" w:eastAsia="仿宋_GB2312" w:hAnsi="Arial" w:cs="Arial"/>
          <w:sz w:val="28"/>
          <w:szCs w:val="28"/>
        </w:rPr>
        <w:t>1</w:t>
      </w:r>
    </w:p>
    <w:p w14:paraId="0A4F6648"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5</w:t>
      </w:r>
      <w:r w:rsidRPr="00F631FB">
        <w:rPr>
          <w:rFonts w:ascii="Arial" w:eastAsia="仿宋_GB2312" w:hAnsi="Arial" w:cs="Arial"/>
          <w:sz w:val="28"/>
          <w:szCs w:val="28"/>
        </w:rPr>
        <w:t>）容积率修正系数的确定</w:t>
      </w:r>
    </w:p>
    <w:p w14:paraId="23138EA2" w14:textId="112520D4"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估价对象地上</w:t>
      </w:r>
      <w:r>
        <w:rPr>
          <w:rFonts w:ascii="Arial" w:eastAsia="仿宋_GB2312" w:hAnsi="Arial" w:cs="Arial"/>
          <w:sz w:val="28"/>
          <w:szCs w:val="28"/>
        </w:rPr>
        <w:t>容积率为</w:t>
      </w:r>
      <w:r>
        <w:rPr>
          <w:rFonts w:ascii="Arial" w:eastAsia="仿宋_GB2312" w:hAnsi="Arial" w:cs="Arial"/>
          <w:sz w:val="28"/>
          <w:szCs w:val="28"/>
        </w:rPr>
        <w:t>5.1</w:t>
      </w:r>
      <w:r w:rsidR="0042308B">
        <w:rPr>
          <w:rFonts w:ascii="Arial" w:eastAsia="仿宋_GB2312" w:hAnsi="Arial" w:cs="Arial"/>
          <w:sz w:val="28"/>
          <w:szCs w:val="28"/>
        </w:rPr>
        <w:t>0</w:t>
      </w:r>
      <w:r w:rsidRPr="00F631FB">
        <w:rPr>
          <w:rFonts w:ascii="Arial" w:eastAsia="仿宋_GB2312" w:hAnsi="Arial" w:cs="Arial"/>
          <w:sz w:val="28"/>
          <w:szCs w:val="28"/>
        </w:rPr>
        <w:t>，依据《北京市基准地价容积率修正系数表（</w:t>
      </w:r>
      <w:r w:rsidRPr="00F631FB">
        <w:rPr>
          <w:rFonts w:ascii="Arial" w:eastAsia="仿宋_GB2312" w:hAnsi="Arial" w:cs="Arial" w:hint="eastAsia"/>
          <w:sz w:val="28"/>
          <w:szCs w:val="28"/>
        </w:rPr>
        <w:t>商业</w:t>
      </w:r>
      <w:r w:rsidRPr="00F631FB">
        <w:rPr>
          <w:rFonts w:ascii="Arial" w:eastAsia="仿宋_GB2312" w:hAnsi="Arial" w:cs="Arial"/>
          <w:sz w:val="28"/>
          <w:szCs w:val="28"/>
        </w:rPr>
        <w:t>）》（详见下表）。</w:t>
      </w:r>
    </w:p>
    <w:p w14:paraId="4053925A"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p>
    <w:p w14:paraId="21123974" w14:textId="612254B2" w:rsidR="00814D19" w:rsidRPr="00F631FB" w:rsidRDefault="00814D19" w:rsidP="00814D19">
      <w:pPr>
        <w:spacing w:line="360" w:lineRule="auto"/>
        <w:ind w:firstLineChars="200" w:firstLine="560"/>
        <w:rPr>
          <w:rFonts w:ascii="Arial" w:eastAsia="仿宋_GB2312" w:hAnsi="Arial" w:cs="Arial"/>
          <w:sz w:val="21"/>
        </w:rPr>
        <w:sectPr w:rsidR="00814D19" w:rsidRPr="00F631FB" w:rsidSect="005E1306">
          <w:pgSz w:w="11906" w:h="16838"/>
          <w:pgMar w:top="1843" w:right="1134" w:bottom="1134" w:left="1134" w:header="1304" w:footer="1021" w:gutter="340"/>
          <w:cols w:space="425"/>
          <w:docGrid w:type="linesAndChars" w:linePitch="326"/>
        </w:sectPr>
      </w:pPr>
      <w:r w:rsidRPr="00F631FB">
        <w:rPr>
          <w:rFonts w:ascii="Arial" w:eastAsia="仿宋_GB2312" w:hAnsi="Arial" w:cs="Arial" w:hint="eastAsia"/>
          <w:sz w:val="28"/>
          <w:szCs w:val="28"/>
        </w:rPr>
        <w:t>（转下页）</w:t>
      </w:r>
    </w:p>
    <w:p w14:paraId="4FB3E703" w14:textId="77777777" w:rsidR="004A2C77" w:rsidRPr="00F631FB" w:rsidRDefault="004A2C77" w:rsidP="004A2C77">
      <w:pPr>
        <w:overflowPunct w:val="0"/>
        <w:spacing w:line="360" w:lineRule="auto"/>
        <w:ind w:firstLineChars="200" w:firstLine="580"/>
        <w:jc w:val="center"/>
        <w:textAlignment w:val="auto"/>
        <w:rPr>
          <w:rFonts w:ascii="Arial" w:eastAsia="仿宋_GB2312" w:hAnsi="Arial" w:cs="Arial"/>
          <w:sz w:val="28"/>
          <w:szCs w:val="28"/>
        </w:rPr>
      </w:pPr>
      <w:r w:rsidRPr="00F631FB">
        <w:rPr>
          <w:rFonts w:ascii="微软雅黑" w:eastAsia="微软雅黑" w:hAnsi="微软雅黑" w:cs="仿宋_GB2312" w:hint="eastAsia"/>
          <w:sz w:val="29"/>
          <w:szCs w:val="29"/>
        </w:rPr>
        <w:lastRenderedPageBreak/>
        <w:t>北京市基准地价容积率修正系数表（商业）</w:t>
      </w:r>
    </w:p>
    <w:tbl>
      <w:tblPr>
        <w:tblW w:w="15040" w:type="dxa"/>
        <w:tblInd w:w="93" w:type="dxa"/>
        <w:tblLook w:val="04A0" w:firstRow="1" w:lastRow="0" w:firstColumn="1" w:lastColumn="0" w:noHBand="0" w:noVBand="1"/>
      </w:tblPr>
      <w:tblGrid>
        <w:gridCol w:w="940"/>
        <w:gridCol w:w="940"/>
        <w:gridCol w:w="940"/>
        <w:gridCol w:w="940"/>
        <w:gridCol w:w="940"/>
        <w:gridCol w:w="940"/>
        <w:gridCol w:w="940"/>
        <w:gridCol w:w="940"/>
        <w:gridCol w:w="940"/>
        <w:gridCol w:w="940"/>
        <w:gridCol w:w="940"/>
        <w:gridCol w:w="940"/>
        <w:gridCol w:w="940"/>
        <w:gridCol w:w="940"/>
        <w:gridCol w:w="940"/>
        <w:gridCol w:w="940"/>
      </w:tblGrid>
      <w:tr w:rsidR="004A2C77" w:rsidRPr="00F631FB" w14:paraId="551E1371" w14:textId="77777777" w:rsidTr="004A2C77">
        <w:trPr>
          <w:trHeight w:hRule="exact" w:val="284"/>
        </w:trPr>
        <w:tc>
          <w:tcPr>
            <w:tcW w:w="940" w:type="dxa"/>
            <w:tcBorders>
              <w:top w:val="single" w:sz="4" w:space="0" w:color="auto"/>
              <w:left w:val="single" w:sz="4" w:space="0" w:color="auto"/>
              <w:bottom w:val="single" w:sz="4" w:space="0" w:color="auto"/>
              <w:right w:val="single" w:sz="4" w:space="0" w:color="auto"/>
            </w:tcBorders>
            <w:shd w:val="clear" w:color="auto" w:fill="E6B8B7"/>
            <w:noWrap/>
            <w:vAlign w:val="center"/>
            <w:hideMark/>
          </w:tcPr>
          <w:p w14:paraId="43B2407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2860286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0BFA544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1D7FFA5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51B4A21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19BA4FA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1B8F701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68CC372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7D6D160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5CF4021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1800C82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710B68E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5DC4D6A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636C02C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41B2C5D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025D6CA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r>
      <w:tr w:rsidR="004A2C77" w:rsidRPr="00F631FB" w14:paraId="7E026887"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DDCA88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0.1 </w:t>
            </w:r>
          </w:p>
        </w:tc>
        <w:tc>
          <w:tcPr>
            <w:tcW w:w="940" w:type="dxa"/>
            <w:tcBorders>
              <w:top w:val="nil"/>
              <w:left w:val="nil"/>
              <w:bottom w:val="single" w:sz="4" w:space="0" w:color="auto"/>
              <w:right w:val="single" w:sz="4" w:space="0" w:color="auto"/>
            </w:tcBorders>
            <w:noWrap/>
            <w:vAlign w:val="center"/>
            <w:hideMark/>
          </w:tcPr>
          <w:p w14:paraId="153AF32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15.0520 </w:t>
            </w:r>
          </w:p>
        </w:tc>
        <w:tc>
          <w:tcPr>
            <w:tcW w:w="940" w:type="dxa"/>
            <w:tcBorders>
              <w:top w:val="nil"/>
              <w:left w:val="nil"/>
              <w:bottom w:val="single" w:sz="4" w:space="0" w:color="auto"/>
              <w:right w:val="single" w:sz="4" w:space="0" w:color="auto"/>
            </w:tcBorders>
            <w:noWrap/>
            <w:vAlign w:val="center"/>
            <w:hideMark/>
          </w:tcPr>
          <w:p w14:paraId="118FE9F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14.2630 </w:t>
            </w:r>
          </w:p>
        </w:tc>
        <w:tc>
          <w:tcPr>
            <w:tcW w:w="940" w:type="dxa"/>
            <w:tcBorders>
              <w:top w:val="nil"/>
              <w:left w:val="nil"/>
              <w:bottom w:val="single" w:sz="4" w:space="0" w:color="auto"/>
              <w:right w:val="single" w:sz="4" w:space="0" w:color="auto"/>
            </w:tcBorders>
            <w:noWrap/>
            <w:vAlign w:val="center"/>
            <w:hideMark/>
          </w:tcPr>
          <w:p w14:paraId="590FF37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14.0970 </w:t>
            </w:r>
          </w:p>
        </w:tc>
        <w:tc>
          <w:tcPr>
            <w:tcW w:w="940" w:type="dxa"/>
            <w:tcBorders>
              <w:top w:val="nil"/>
              <w:left w:val="nil"/>
              <w:bottom w:val="single" w:sz="4" w:space="0" w:color="auto"/>
              <w:right w:val="single" w:sz="4" w:space="0" w:color="auto"/>
            </w:tcBorders>
            <w:shd w:val="clear" w:color="auto" w:fill="E6B8B7"/>
            <w:vAlign w:val="center"/>
            <w:hideMark/>
          </w:tcPr>
          <w:p w14:paraId="53FCC9D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2.6 </w:t>
            </w:r>
          </w:p>
        </w:tc>
        <w:tc>
          <w:tcPr>
            <w:tcW w:w="940" w:type="dxa"/>
            <w:tcBorders>
              <w:top w:val="nil"/>
              <w:left w:val="nil"/>
              <w:bottom w:val="single" w:sz="4" w:space="0" w:color="auto"/>
              <w:right w:val="single" w:sz="4" w:space="0" w:color="auto"/>
            </w:tcBorders>
            <w:noWrap/>
            <w:vAlign w:val="center"/>
            <w:hideMark/>
          </w:tcPr>
          <w:p w14:paraId="23D734B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1.0841 </w:t>
            </w:r>
          </w:p>
        </w:tc>
        <w:tc>
          <w:tcPr>
            <w:tcW w:w="940" w:type="dxa"/>
            <w:tcBorders>
              <w:top w:val="nil"/>
              <w:left w:val="nil"/>
              <w:bottom w:val="single" w:sz="4" w:space="0" w:color="auto"/>
              <w:right w:val="single" w:sz="4" w:space="0" w:color="auto"/>
            </w:tcBorders>
            <w:noWrap/>
            <w:vAlign w:val="center"/>
            <w:hideMark/>
          </w:tcPr>
          <w:p w14:paraId="120EFA0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0.9862 </w:t>
            </w:r>
          </w:p>
        </w:tc>
        <w:tc>
          <w:tcPr>
            <w:tcW w:w="940" w:type="dxa"/>
            <w:tcBorders>
              <w:top w:val="nil"/>
              <w:left w:val="nil"/>
              <w:bottom w:val="single" w:sz="4" w:space="0" w:color="auto"/>
              <w:right w:val="single" w:sz="4" w:space="0" w:color="auto"/>
            </w:tcBorders>
            <w:noWrap/>
            <w:vAlign w:val="center"/>
            <w:hideMark/>
          </w:tcPr>
          <w:p w14:paraId="639A76F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0.8730 </w:t>
            </w:r>
          </w:p>
        </w:tc>
        <w:tc>
          <w:tcPr>
            <w:tcW w:w="940" w:type="dxa"/>
            <w:tcBorders>
              <w:top w:val="nil"/>
              <w:left w:val="nil"/>
              <w:bottom w:val="single" w:sz="4" w:space="0" w:color="auto"/>
              <w:right w:val="single" w:sz="4" w:space="0" w:color="auto"/>
            </w:tcBorders>
            <w:shd w:val="clear" w:color="auto" w:fill="E6B8B7"/>
            <w:noWrap/>
            <w:vAlign w:val="center"/>
            <w:hideMark/>
          </w:tcPr>
          <w:p w14:paraId="37D2EA2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5.1 </w:t>
            </w:r>
          </w:p>
        </w:tc>
        <w:tc>
          <w:tcPr>
            <w:tcW w:w="940" w:type="dxa"/>
            <w:tcBorders>
              <w:top w:val="nil"/>
              <w:left w:val="nil"/>
              <w:bottom w:val="single" w:sz="4" w:space="0" w:color="auto"/>
              <w:right w:val="single" w:sz="4" w:space="0" w:color="auto"/>
            </w:tcBorders>
            <w:noWrap/>
            <w:vAlign w:val="center"/>
            <w:hideMark/>
          </w:tcPr>
          <w:p w14:paraId="316E914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0.9241 </w:t>
            </w:r>
          </w:p>
        </w:tc>
        <w:tc>
          <w:tcPr>
            <w:tcW w:w="940" w:type="dxa"/>
            <w:tcBorders>
              <w:top w:val="nil"/>
              <w:left w:val="nil"/>
              <w:bottom w:val="single" w:sz="4" w:space="0" w:color="auto"/>
              <w:right w:val="single" w:sz="4" w:space="0" w:color="auto"/>
            </w:tcBorders>
            <w:noWrap/>
            <w:vAlign w:val="center"/>
            <w:hideMark/>
          </w:tcPr>
          <w:p w14:paraId="79C7E47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0.8175 </w:t>
            </w:r>
          </w:p>
        </w:tc>
        <w:tc>
          <w:tcPr>
            <w:tcW w:w="940" w:type="dxa"/>
            <w:tcBorders>
              <w:top w:val="nil"/>
              <w:left w:val="nil"/>
              <w:bottom w:val="single" w:sz="4" w:space="0" w:color="auto"/>
              <w:right w:val="single" w:sz="4" w:space="0" w:color="auto"/>
            </w:tcBorders>
            <w:noWrap/>
            <w:vAlign w:val="center"/>
            <w:hideMark/>
          </w:tcPr>
          <w:p w14:paraId="0495D39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0.6590 </w:t>
            </w:r>
          </w:p>
        </w:tc>
        <w:tc>
          <w:tcPr>
            <w:tcW w:w="940" w:type="dxa"/>
            <w:tcBorders>
              <w:top w:val="nil"/>
              <w:left w:val="nil"/>
              <w:bottom w:val="single" w:sz="4" w:space="0" w:color="auto"/>
              <w:right w:val="single" w:sz="4" w:space="0" w:color="auto"/>
            </w:tcBorders>
            <w:shd w:val="clear" w:color="auto" w:fill="E6B8B7"/>
            <w:vAlign w:val="center"/>
            <w:hideMark/>
          </w:tcPr>
          <w:p w14:paraId="02E2769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7.6 </w:t>
            </w:r>
          </w:p>
        </w:tc>
        <w:tc>
          <w:tcPr>
            <w:tcW w:w="940" w:type="dxa"/>
            <w:tcBorders>
              <w:top w:val="nil"/>
              <w:left w:val="nil"/>
              <w:bottom w:val="single" w:sz="4" w:space="0" w:color="auto"/>
              <w:right w:val="single" w:sz="4" w:space="0" w:color="auto"/>
            </w:tcBorders>
            <w:noWrap/>
            <w:vAlign w:val="center"/>
            <w:hideMark/>
          </w:tcPr>
          <w:p w14:paraId="44EB22B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0.8684 </w:t>
            </w:r>
          </w:p>
        </w:tc>
        <w:tc>
          <w:tcPr>
            <w:tcW w:w="940" w:type="dxa"/>
            <w:tcBorders>
              <w:top w:val="nil"/>
              <w:left w:val="nil"/>
              <w:bottom w:val="single" w:sz="4" w:space="0" w:color="auto"/>
              <w:right w:val="single" w:sz="4" w:space="0" w:color="auto"/>
            </w:tcBorders>
            <w:noWrap/>
            <w:vAlign w:val="center"/>
            <w:hideMark/>
          </w:tcPr>
          <w:p w14:paraId="0B9FAD5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0.7568 </w:t>
            </w:r>
          </w:p>
        </w:tc>
        <w:tc>
          <w:tcPr>
            <w:tcW w:w="940" w:type="dxa"/>
            <w:tcBorders>
              <w:top w:val="nil"/>
              <w:left w:val="nil"/>
              <w:bottom w:val="single" w:sz="4" w:space="0" w:color="auto"/>
              <w:right w:val="single" w:sz="4" w:space="0" w:color="auto"/>
            </w:tcBorders>
            <w:noWrap/>
            <w:vAlign w:val="center"/>
            <w:hideMark/>
          </w:tcPr>
          <w:p w14:paraId="07CA7BF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0.5790 </w:t>
            </w:r>
          </w:p>
        </w:tc>
      </w:tr>
      <w:tr w:rsidR="004A2C77" w:rsidRPr="00F631FB" w14:paraId="479FB7B8"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D70ECE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0.2 </w:t>
            </w:r>
          </w:p>
        </w:tc>
        <w:tc>
          <w:tcPr>
            <w:tcW w:w="940" w:type="dxa"/>
            <w:tcBorders>
              <w:top w:val="nil"/>
              <w:left w:val="nil"/>
              <w:bottom w:val="single" w:sz="4" w:space="0" w:color="auto"/>
              <w:right w:val="single" w:sz="4" w:space="0" w:color="auto"/>
            </w:tcBorders>
            <w:noWrap/>
            <w:vAlign w:val="center"/>
            <w:hideMark/>
          </w:tcPr>
          <w:p w14:paraId="303DC02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7.5260 </w:t>
            </w:r>
          </w:p>
        </w:tc>
        <w:tc>
          <w:tcPr>
            <w:tcW w:w="940" w:type="dxa"/>
            <w:tcBorders>
              <w:top w:val="nil"/>
              <w:left w:val="nil"/>
              <w:bottom w:val="single" w:sz="4" w:space="0" w:color="auto"/>
              <w:right w:val="single" w:sz="4" w:space="0" w:color="auto"/>
            </w:tcBorders>
            <w:noWrap/>
            <w:vAlign w:val="center"/>
            <w:hideMark/>
          </w:tcPr>
          <w:p w14:paraId="4C0238C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7.1315 </w:t>
            </w:r>
          </w:p>
        </w:tc>
        <w:tc>
          <w:tcPr>
            <w:tcW w:w="940" w:type="dxa"/>
            <w:tcBorders>
              <w:top w:val="nil"/>
              <w:left w:val="nil"/>
              <w:bottom w:val="single" w:sz="4" w:space="0" w:color="auto"/>
              <w:right w:val="single" w:sz="4" w:space="0" w:color="auto"/>
            </w:tcBorders>
            <w:noWrap/>
            <w:vAlign w:val="center"/>
            <w:hideMark/>
          </w:tcPr>
          <w:p w14:paraId="0C49914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7.0485 </w:t>
            </w:r>
          </w:p>
        </w:tc>
        <w:tc>
          <w:tcPr>
            <w:tcW w:w="940" w:type="dxa"/>
            <w:tcBorders>
              <w:top w:val="nil"/>
              <w:left w:val="nil"/>
              <w:bottom w:val="single" w:sz="4" w:space="0" w:color="auto"/>
              <w:right w:val="single" w:sz="4" w:space="0" w:color="auto"/>
            </w:tcBorders>
            <w:shd w:val="clear" w:color="auto" w:fill="E6B8B7"/>
            <w:vAlign w:val="center"/>
            <w:hideMark/>
          </w:tcPr>
          <w:p w14:paraId="7D57EA5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2.7 </w:t>
            </w:r>
          </w:p>
        </w:tc>
        <w:tc>
          <w:tcPr>
            <w:tcW w:w="940" w:type="dxa"/>
            <w:tcBorders>
              <w:top w:val="nil"/>
              <w:left w:val="nil"/>
              <w:bottom w:val="single" w:sz="4" w:space="0" w:color="auto"/>
              <w:right w:val="single" w:sz="4" w:space="0" w:color="auto"/>
            </w:tcBorders>
            <w:noWrap/>
            <w:vAlign w:val="center"/>
            <w:hideMark/>
          </w:tcPr>
          <w:p w14:paraId="30C72F9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1.0716 </w:t>
            </w:r>
          </w:p>
        </w:tc>
        <w:tc>
          <w:tcPr>
            <w:tcW w:w="940" w:type="dxa"/>
            <w:tcBorders>
              <w:top w:val="nil"/>
              <w:left w:val="nil"/>
              <w:bottom w:val="single" w:sz="4" w:space="0" w:color="auto"/>
              <w:right w:val="single" w:sz="4" w:space="0" w:color="auto"/>
            </w:tcBorders>
            <w:noWrap/>
            <w:vAlign w:val="center"/>
            <w:hideMark/>
          </w:tcPr>
          <w:p w14:paraId="64791E5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0.9733 </w:t>
            </w:r>
          </w:p>
        </w:tc>
        <w:tc>
          <w:tcPr>
            <w:tcW w:w="940" w:type="dxa"/>
            <w:tcBorders>
              <w:top w:val="nil"/>
              <w:left w:val="nil"/>
              <w:bottom w:val="single" w:sz="4" w:space="0" w:color="auto"/>
              <w:right w:val="single" w:sz="4" w:space="0" w:color="auto"/>
            </w:tcBorders>
            <w:noWrap/>
            <w:vAlign w:val="center"/>
            <w:hideMark/>
          </w:tcPr>
          <w:p w14:paraId="158E378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0.8567 </w:t>
            </w:r>
          </w:p>
        </w:tc>
        <w:tc>
          <w:tcPr>
            <w:tcW w:w="940" w:type="dxa"/>
            <w:tcBorders>
              <w:top w:val="nil"/>
              <w:left w:val="nil"/>
              <w:bottom w:val="single" w:sz="4" w:space="0" w:color="auto"/>
              <w:right w:val="single" w:sz="4" w:space="0" w:color="auto"/>
            </w:tcBorders>
            <w:shd w:val="clear" w:color="auto" w:fill="E6B8B7"/>
            <w:noWrap/>
            <w:vAlign w:val="center"/>
            <w:hideMark/>
          </w:tcPr>
          <w:p w14:paraId="0BF48E1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5.2 </w:t>
            </w:r>
          </w:p>
        </w:tc>
        <w:tc>
          <w:tcPr>
            <w:tcW w:w="940" w:type="dxa"/>
            <w:tcBorders>
              <w:top w:val="nil"/>
              <w:left w:val="nil"/>
              <w:bottom w:val="single" w:sz="4" w:space="0" w:color="auto"/>
              <w:right w:val="single" w:sz="4" w:space="0" w:color="auto"/>
            </w:tcBorders>
            <w:noWrap/>
            <w:vAlign w:val="center"/>
            <w:hideMark/>
          </w:tcPr>
          <w:p w14:paraId="3FFC82C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0.9209 </w:t>
            </w:r>
          </w:p>
        </w:tc>
        <w:tc>
          <w:tcPr>
            <w:tcW w:w="940" w:type="dxa"/>
            <w:tcBorders>
              <w:top w:val="nil"/>
              <w:left w:val="nil"/>
              <w:bottom w:val="single" w:sz="4" w:space="0" w:color="auto"/>
              <w:right w:val="single" w:sz="4" w:space="0" w:color="auto"/>
            </w:tcBorders>
            <w:noWrap/>
            <w:vAlign w:val="center"/>
            <w:hideMark/>
          </w:tcPr>
          <w:p w14:paraId="553174B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0.8140 </w:t>
            </w:r>
          </w:p>
        </w:tc>
        <w:tc>
          <w:tcPr>
            <w:tcW w:w="940" w:type="dxa"/>
            <w:tcBorders>
              <w:top w:val="nil"/>
              <w:left w:val="nil"/>
              <w:bottom w:val="single" w:sz="4" w:space="0" w:color="auto"/>
              <w:right w:val="single" w:sz="4" w:space="0" w:color="auto"/>
            </w:tcBorders>
            <w:noWrap/>
            <w:vAlign w:val="center"/>
            <w:hideMark/>
          </w:tcPr>
          <w:p w14:paraId="65567BD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0.6545 </w:t>
            </w:r>
          </w:p>
        </w:tc>
        <w:tc>
          <w:tcPr>
            <w:tcW w:w="940" w:type="dxa"/>
            <w:tcBorders>
              <w:top w:val="nil"/>
              <w:left w:val="nil"/>
              <w:bottom w:val="single" w:sz="4" w:space="0" w:color="auto"/>
              <w:right w:val="single" w:sz="4" w:space="0" w:color="auto"/>
            </w:tcBorders>
            <w:shd w:val="clear" w:color="auto" w:fill="E6B8B7"/>
            <w:vAlign w:val="center"/>
            <w:hideMark/>
          </w:tcPr>
          <w:p w14:paraId="41D9191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7.7 </w:t>
            </w:r>
          </w:p>
        </w:tc>
        <w:tc>
          <w:tcPr>
            <w:tcW w:w="940" w:type="dxa"/>
            <w:tcBorders>
              <w:top w:val="nil"/>
              <w:left w:val="nil"/>
              <w:bottom w:val="single" w:sz="4" w:space="0" w:color="auto"/>
              <w:right w:val="single" w:sz="4" w:space="0" w:color="auto"/>
            </w:tcBorders>
            <w:noWrap/>
            <w:vAlign w:val="center"/>
            <w:hideMark/>
          </w:tcPr>
          <w:p w14:paraId="40A4F74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0.8669 </w:t>
            </w:r>
          </w:p>
        </w:tc>
        <w:tc>
          <w:tcPr>
            <w:tcW w:w="940" w:type="dxa"/>
            <w:tcBorders>
              <w:top w:val="nil"/>
              <w:left w:val="nil"/>
              <w:bottom w:val="single" w:sz="4" w:space="0" w:color="auto"/>
              <w:right w:val="single" w:sz="4" w:space="0" w:color="auto"/>
            </w:tcBorders>
            <w:noWrap/>
            <w:vAlign w:val="center"/>
            <w:hideMark/>
          </w:tcPr>
          <w:p w14:paraId="13AF29C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0.7550 </w:t>
            </w:r>
          </w:p>
        </w:tc>
        <w:tc>
          <w:tcPr>
            <w:tcW w:w="940" w:type="dxa"/>
            <w:tcBorders>
              <w:top w:val="nil"/>
              <w:left w:val="nil"/>
              <w:bottom w:val="single" w:sz="4" w:space="0" w:color="auto"/>
              <w:right w:val="single" w:sz="4" w:space="0" w:color="auto"/>
            </w:tcBorders>
            <w:noWrap/>
            <w:vAlign w:val="center"/>
            <w:hideMark/>
          </w:tcPr>
          <w:p w14:paraId="41E34A2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0.5767 </w:t>
            </w:r>
          </w:p>
        </w:tc>
      </w:tr>
      <w:tr w:rsidR="004A2C77" w:rsidRPr="00F631FB" w14:paraId="4CC5FB78"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557DE9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0.3 </w:t>
            </w:r>
          </w:p>
        </w:tc>
        <w:tc>
          <w:tcPr>
            <w:tcW w:w="940" w:type="dxa"/>
            <w:tcBorders>
              <w:top w:val="nil"/>
              <w:left w:val="nil"/>
              <w:bottom w:val="single" w:sz="4" w:space="0" w:color="auto"/>
              <w:right w:val="single" w:sz="4" w:space="0" w:color="auto"/>
            </w:tcBorders>
            <w:noWrap/>
            <w:vAlign w:val="center"/>
            <w:hideMark/>
          </w:tcPr>
          <w:p w14:paraId="270425E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5.0173 </w:t>
            </w:r>
          </w:p>
        </w:tc>
        <w:tc>
          <w:tcPr>
            <w:tcW w:w="940" w:type="dxa"/>
            <w:tcBorders>
              <w:top w:val="nil"/>
              <w:left w:val="nil"/>
              <w:bottom w:val="single" w:sz="4" w:space="0" w:color="auto"/>
              <w:right w:val="single" w:sz="4" w:space="0" w:color="auto"/>
            </w:tcBorders>
            <w:noWrap/>
            <w:vAlign w:val="center"/>
            <w:hideMark/>
          </w:tcPr>
          <w:p w14:paraId="652E9B8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4.7543 </w:t>
            </w:r>
          </w:p>
        </w:tc>
        <w:tc>
          <w:tcPr>
            <w:tcW w:w="940" w:type="dxa"/>
            <w:tcBorders>
              <w:top w:val="nil"/>
              <w:left w:val="nil"/>
              <w:bottom w:val="single" w:sz="4" w:space="0" w:color="auto"/>
              <w:right w:val="single" w:sz="4" w:space="0" w:color="auto"/>
            </w:tcBorders>
            <w:noWrap/>
            <w:vAlign w:val="center"/>
            <w:hideMark/>
          </w:tcPr>
          <w:p w14:paraId="4810917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4.6990 </w:t>
            </w:r>
          </w:p>
        </w:tc>
        <w:tc>
          <w:tcPr>
            <w:tcW w:w="940" w:type="dxa"/>
            <w:tcBorders>
              <w:top w:val="nil"/>
              <w:left w:val="nil"/>
              <w:bottom w:val="single" w:sz="4" w:space="0" w:color="auto"/>
              <w:right w:val="single" w:sz="4" w:space="0" w:color="auto"/>
            </w:tcBorders>
            <w:shd w:val="clear" w:color="auto" w:fill="E6B8B7"/>
            <w:vAlign w:val="center"/>
            <w:hideMark/>
          </w:tcPr>
          <w:p w14:paraId="3EAA11E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2.8 </w:t>
            </w:r>
          </w:p>
        </w:tc>
        <w:tc>
          <w:tcPr>
            <w:tcW w:w="940" w:type="dxa"/>
            <w:tcBorders>
              <w:top w:val="nil"/>
              <w:left w:val="nil"/>
              <w:bottom w:val="single" w:sz="4" w:space="0" w:color="auto"/>
              <w:right w:val="single" w:sz="4" w:space="0" w:color="auto"/>
            </w:tcBorders>
            <w:noWrap/>
            <w:vAlign w:val="center"/>
            <w:hideMark/>
          </w:tcPr>
          <w:p w14:paraId="1D7E565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1.0602 </w:t>
            </w:r>
          </w:p>
        </w:tc>
        <w:tc>
          <w:tcPr>
            <w:tcW w:w="940" w:type="dxa"/>
            <w:tcBorders>
              <w:top w:val="nil"/>
              <w:left w:val="nil"/>
              <w:bottom w:val="single" w:sz="4" w:space="0" w:color="auto"/>
              <w:right w:val="single" w:sz="4" w:space="0" w:color="auto"/>
            </w:tcBorders>
            <w:noWrap/>
            <w:vAlign w:val="center"/>
            <w:hideMark/>
          </w:tcPr>
          <w:p w14:paraId="12C305A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0.9616 </w:t>
            </w:r>
          </w:p>
        </w:tc>
        <w:tc>
          <w:tcPr>
            <w:tcW w:w="940" w:type="dxa"/>
            <w:tcBorders>
              <w:top w:val="nil"/>
              <w:left w:val="nil"/>
              <w:bottom w:val="single" w:sz="4" w:space="0" w:color="auto"/>
              <w:right w:val="single" w:sz="4" w:space="0" w:color="auto"/>
            </w:tcBorders>
            <w:noWrap/>
            <w:vAlign w:val="center"/>
            <w:hideMark/>
          </w:tcPr>
          <w:p w14:paraId="5EBC74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0.8417 </w:t>
            </w:r>
          </w:p>
        </w:tc>
        <w:tc>
          <w:tcPr>
            <w:tcW w:w="940" w:type="dxa"/>
            <w:tcBorders>
              <w:top w:val="nil"/>
              <w:left w:val="nil"/>
              <w:bottom w:val="single" w:sz="4" w:space="0" w:color="auto"/>
              <w:right w:val="single" w:sz="4" w:space="0" w:color="auto"/>
            </w:tcBorders>
            <w:shd w:val="clear" w:color="auto" w:fill="E6B8B7"/>
            <w:noWrap/>
            <w:vAlign w:val="center"/>
            <w:hideMark/>
          </w:tcPr>
          <w:p w14:paraId="7EBD83F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5.3 </w:t>
            </w:r>
          </w:p>
        </w:tc>
        <w:tc>
          <w:tcPr>
            <w:tcW w:w="940" w:type="dxa"/>
            <w:tcBorders>
              <w:top w:val="nil"/>
              <w:left w:val="nil"/>
              <w:bottom w:val="single" w:sz="4" w:space="0" w:color="auto"/>
              <w:right w:val="single" w:sz="4" w:space="0" w:color="auto"/>
            </w:tcBorders>
            <w:noWrap/>
            <w:vAlign w:val="center"/>
            <w:hideMark/>
          </w:tcPr>
          <w:p w14:paraId="477BB79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0.9179 </w:t>
            </w:r>
          </w:p>
        </w:tc>
        <w:tc>
          <w:tcPr>
            <w:tcW w:w="940" w:type="dxa"/>
            <w:tcBorders>
              <w:top w:val="nil"/>
              <w:left w:val="nil"/>
              <w:bottom w:val="single" w:sz="4" w:space="0" w:color="auto"/>
              <w:right w:val="single" w:sz="4" w:space="0" w:color="auto"/>
            </w:tcBorders>
            <w:noWrap/>
            <w:vAlign w:val="center"/>
            <w:hideMark/>
          </w:tcPr>
          <w:p w14:paraId="703F5CF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0.8106 </w:t>
            </w:r>
          </w:p>
        </w:tc>
        <w:tc>
          <w:tcPr>
            <w:tcW w:w="940" w:type="dxa"/>
            <w:tcBorders>
              <w:top w:val="nil"/>
              <w:left w:val="nil"/>
              <w:bottom w:val="single" w:sz="4" w:space="0" w:color="auto"/>
              <w:right w:val="single" w:sz="4" w:space="0" w:color="auto"/>
            </w:tcBorders>
            <w:noWrap/>
            <w:vAlign w:val="center"/>
            <w:hideMark/>
          </w:tcPr>
          <w:p w14:paraId="49DD8D2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0.6502 </w:t>
            </w:r>
          </w:p>
        </w:tc>
        <w:tc>
          <w:tcPr>
            <w:tcW w:w="940" w:type="dxa"/>
            <w:tcBorders>
              <w:top w:val="nil"/>
              <w:left w:val="nil"/>
              <w:bottom w:val="single" w:sz="4" w:space="0" w:color="auto"/>
              <w:right w:val="single" w:sz="4" w:space="0" w:color="auto"/>
            </w:tcBorders>
            <w:shd w:val="clear" w:color="auto" w:fill="E6B8B7"/>
            <w:vAlign w:val="center"/>
            <w:hideMark/>
          </w:tcPr>
          <w:p w14:paraId="537BDCF7"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7.8 </w:t>
            </w:r>
          </w:p>
        </w:tc>
        <w:tc>
          <w:tcPr>
            <w:tcW w:w="940" w:type="dxa"/>
            <w:tcBorders>
              <w:top w:val="nil"/>
              <w:left w:val="nil"/>
              <w:bottom w:val="single" w:sz="4" w:space="0" w:color="auto"/>
              <w:right w:val="single" w:sz="4" w:space="0" w:color="auto"/>
            </w:tcBorders>
            <w:noWrap/>
            <w:vAlign w:val="center"/>
            <w:hideMark/>
          </w:tcPr>
          <w:p w14:paraId="51D8CF7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0.8654 </w:t>
            </w:r>
          </w:p>
        </w:tc>
        <w:tc>
          <w:tcPr>
            <w:tcW w:w="940" w:type="dxa"/>
            <w:tcBorders>
              <w:top w:val="nil"/>
              <w:left w:val="nil"/>
              <w:bottom w:val="single" w:sz="4" w:space="0" w:color="auto"/>
              <w:right w:val="single" w:sz="4" w:space="0" w:color="auto"/>
            </w:tcBorders>
            <w:noWrap/>
            <w:vAlign w:val="center"/>
            <w:hideMark/>
          </w:tcPr>
          <w:p w14:paraId="059CCD8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0.7533 </w:t>
            </w:r>
          </w:p>
        </w:tc>
        <w:tc>
          <w:tcPr>
            <w:tcW w:w="940" w:type="dxa"/>
            <w:tcBorders>
              <w:top w:val="nil"/>
              <w:left w:val="nil"/>
              <w:bottom w:val="single" w:sz="4" w:space="0" w:color="auto"/>
              <w:right w:val="single" w:sz="4" w:space="0" w:color="auto"/>
            </w:tcBorders>
            <w:noWrap/>
            <w:vAlign w:val="center"/>
            <w:hideMark/>
          </w:tcPr>
          <w:p w14:paraId="6B8447D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0.5745 </w:t>
            </w:r>
          </w:p>
        </w:tc>
      </w:tr>
      <w:tr w:rsidR="004A2C77" w:rsidRPr="00F631FB" w14:paraId="01C698C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24D131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0.4 </w:t>
            </w:r>
          </w:p>
        </w:tc>
        <w:tc>
          <w:tcPr>
            <w:tcW w:w="940" w:type="dxa"/>
            <w:tcBorders>
              <w:top w:val="nil"/>
              <w:left w:val="nil"/>
              <w:bottom w:val="single" w:sz="4" w:space="0" w:color="auto"/>
              <w:right w:val="single" w:sz="4" w:space="0" w:color="auto"/>
            </w:tcBorders>
            <w:noWrap/>
            <w:vAlign w:val="center"/>
            <w:hideMark/>
          </w:tcPr>
          <w:p w14:paraId="41E34EA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3.7630 </w:t>
            </w:r>
          </w:p>
        </w:tc>
        <w:tc>
          <w:tcPr>
            <w:tcW w:w="940" w:type="dxa"/>
            <w:tcBorders>
              <w:top w:val="nil"/>
              <w:left w:val="nil"/>
              <w:bottom w:val="single" w:sz="4" w:space="0" w:color="auto"/>
              <w:right w:val="single" w:sz="4" w:space="0" w:color="auto"/>
            </w:tcBorders>
            <w:noWrap/>
            <w:vAlign w:val="center"/>
            <w:hideMark/>
          </w:tcPr>
          <w:p w14:paraId="484D0D9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3.5658 </w:t>
            </w:r>
          </w:p>
        </w:tc>
        <w:tc>
          <w:tcPr>
            <w:tcW w:w="940" w:type="dxa"/>
            <w:tcBorders>
              <w:top w:val="nil"/>
              <w:left w:val="nil"/>
              <w:bottom w:val="single" w:sz="4" w:space="0" w:color="auto"/>
              <w:right w:val="single" w:sz="4" w:space="0" w:color="auto"/>
            </w:tcBorders>
            <w:noWrap/>
            <w:vAlign w:val="center"/>
            <w:hideMark/>
          </w:tcPr>
          <w:p w14:paraId="4F0F718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3.5243 </w:t>
            </w:r>
          </w:p>
        </w:tc>
        <w:tc>
          <w:tcPr>
            <w:tcW w:w="940" w:type="dxa"/>
            <w:tcBorders>
              <w:top w:val="nil"/>
              <w:left w:val="nil"/>
              <w:bottom w:val="single" w:sz="4" w:space="0" w:color="auto"/>
              <w:right w:val="single" w:sz="4" w:space="0" w:color="auto"/>
            </w:tcBorders>
            <w:shd w:val="clear" w:color="auto" w:fill="E6B8B7"/>
            <w:vAlign w:val="center"/>
            <w:hideMark/>
          </w:tcPr>
          <w:p w14:paraId="1E827AA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2.9 </w:t>
            </w:r>
          </w:p>
        </w:tc>
        <w:tc>
          <w:tcPr>
            <w:tcW w:w="940" w:type="dxa"/>
            <w:tcBorders>
              <w:top w:val="nil"/>
              <w:left w:val="nil"/>
              <w:bottom w:val="single" w:sz="4" w:space="0" w:color="auto"/>
              <w:right w:val="single" w:sz="4" w:space="0" w:color="auto"/>
            </w:tcBorders>
            <w:noWrap/>
            <w:vAlign w:val="center"/>
            <w:hideMark/>
          </w:tcPr>
          <w:p w14:paraId="0EA7CD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1.0497 </w:t>
            </w:r>
          </w:p>
        </w:tc>
        <w:tc>
          <w:tcPr>
            <w:tcW w:w="940" w:type="dxa"/>
            <w:tcBorders>
              <w:top w:val="nil"/>
              <w:left w:val="nil"/>
              <w:bottom w:val="single" w:sz="4" w:space="0" w:color="auto"/>
              <w:right w:val="single" w:sz="4" w:space="0" w:color="auto"/>
            </w:tcBorders>
            <w:noWrap/>
            <w:vAlign w:val="center"/>
            <w:hideMark/>
          </w:tcPr>
          <w:p w14:paraId="5680C55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0.9509 </w:t>
            </w:r>
          </w:p>
        </w:tc>
        <w:tc>
          <w:tcPr>
            <w:tcW w:w="940" w:type="dxa"/>
            <w:tcBorders>
              <w:top w:val="nil"/>
              <w:left w:val="nil"/>
              <w:bottom w:val="single" w:sz="4" w:space="0" w:color="auto"/>
              <w:right w:val="single" w:sz="4" w:space="0" w:color="auto"/>
            </w:tcBorders>
            <w:noWrap/>
            <w:vAlign w:val="center"/>
            <w:hideMark/>
          </w:tcPr>
          <w:p w14:paraId="2520307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0.8281 </w:t>
            </w:r>
          </w:p>
        </w:tc>
        <w:tc>
          <w:tcPr>
            <w:tcW w:w="940" w:type="dxa"/>
            <w:tcBorders>
              <w:top w:val="nil"/>
              <w:left w:val="nil"/>
              <w:bottom w:val="single" w:sz="4" w:space="0" w:color="auto"/>
              <w:right w:val="single" w:sz="4" w:space="0" w:color="auto"/>
            </w:tcBorders>
            <w:shd w:val="clear" w:color="auto" w:fill="E6B8B7"/>
            <w:noWrap/>
            <w:vAlign w:val="center"/>
            <w:hideMark/>
          </w:tcPr>
          <w:p w14:paraId="5EEF269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5.4 </w:t>
            </w:r>
          </w:p>
        </w:tc>
        <w:tc>
          <w:tcPr>
            <w:tcW w:w="940" w:type="dxa"/>
            <w:tcBorders>
              <w:top w:val="nil"/>
              <w:left w:val="nil"/>
              <w:bottom w:val="single" w:sz="4" w:space="0" w:color="auto"/>
              <w:right w:val="single" w:sz="4" w:space="0" w:color="auto"/>
            </w:tcBorders>
            <w:noWrap/>
            <w:vAlign w:val="center"/>
            <w:hideMark/>
          </w:tcPr>
          <w:p w14:paraId="17A8F40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0.9149 </w:t>
            </w:r>
          </w:p>
        </w:tc>
        <w:tc>
          <w:tcPr>
            <w:tcW w:w="940" w:type="dxa"/>
            <w:tcBorders>
              <w:top w:val="nil"/>
              <w:left w:val="nil"/>
              <w:bottom w:val="single" w:sz="4" w:space="0" w:color="auto"/>
              <w:right w:val="single" w:sz="4" w:space="0" w:color="auto"/>
            </w:tcBorders>
            <w:noWrap/>
            <w:vAlign w:val="center"/>
            <w:hideMark/>
          </w:tcPr>
          <w:p w14:paraId="47A79E9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0.8074 </w:t>
            </w:r>
          </w:p>
        </w:tc>
        <w:tc>
          <w:tcPr>
            <w:tcW w:w="940" w:type="dxa"/>
            <w:tcBorders>
              <w:top w:val="nil"/>
              <w:left w:val="nil"/>
              <w:bottom w:val="single" w:sz="4" w:space="0" w:color="auto"/>
              <w:right w:val="single" w:sz="4" w:space="0" w:color="auto"/>
            </w:tcBorders>
            <w:noWrap/>
            <w:vAlign w:val="center"/>
            <w:hideMark/>
          </w:tcPr>
          <w:p w14:paraId="047B069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0.6459 </w:t>
            </w:r>
          </w:p>
        </w:tc>
        <w:tc>
          <w:tcPr>
            <w:tcW w:w="940" w:type="dxa"/>
            <w:tcBorders>
              <w:top w:val="nil"/>
              <w:left w:val="nil"/>
              <w:bottom w:val="single" w:sz="4" w:space="0" w:color="auto"/>
              <w:right w:val="single" w:sz="4" w:space="0" w:color="auto"/>
            </w:tcBorders>
            <w:shd w:val="clear" w:color="auto" w:fill="E6B8B7"/>
            <w:vAlign w:val="center"/>
            <w:hideMark/>
          </w:tcPr>
          <w:p w14:paraId="7EB836C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7.9 </w:t>
            </w:r>
          </w:p>
        </w:tc>
        <w:tc>
          <w:tcPr>
            <w:tcW w:w="940" w:type="dxa"/>
            <w:tcBorders>
              <w:top w:val="nil"/>
              <w:left w:val="nil"/>
              <w:bottom w:val="single" w:sz="4" w:space="0" w:color="auto"/>
              <w:right w:val="single" w:sz="4" w:space="0" w:color="auto"/>
            </w:tcBorders>
            <w:noWrap/>
            <w:vAlign w:val="center"/>
            <w:hideMark/>
          </w:tcPr>
          <w:p w14:paraId="7C1B4AE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0.8638 </w:t>
            </w:r>
          </w:p>
        </w:tc>
        <w:tc>
          <w:tcPr>
            <w:tcW w:w="940" w:type="dxa"/>
            <w:tcBorders>
              <w:top w:val="nil"/>
              <w:left w:val="nil"/>
              <w:bottom w:val="single" w:sz="4" w:space="0" w:color="auto"/>
              <w:right w:val="single" w:sz="4" w:space="0" w:color="auto"/>
            </w:tcBorders>
            <w:noWrap/>
            <w:vAlign w:val="center"/>
            <w:hideMark/>
          </w:tcPr>
          <w:p w14:paraId="3E15B0F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0.7517 </w:t>
            </w:r>
          </w:p>
        </w:tc>
        <w:tc>
          <w:tcPr>
            <w:tcW w:w="940" w:type="dxa"/>
            <w:tcBorders>
              <w:top w:val="nil"/>
              <w:left w:val="nil"/>
              <w:bottom w:val="single" w:sz="4" w:space="0" w:color="auto"/>
              <w:right w:val="single" w:sz="4" w:space="0" w:color="auto"/>
            </w:tcBorders>
            <w:noWrap/>
            <w:vAlign w:val="center"/>
            <w:hideMark/>
          </w:tcPr>
          <w:p w14:paraId="613322B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0.5722 </w:t>
            </w:r>
          </w:p>
        </w:tc>
      </w:tr>
      <w:tr w:rsidR="004A2C77" w:rsidRPr="00F631FB" w14:paraId="3D143112"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AE0A24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0.5 </w:t>
            </w:r>
          </w:p>
        </w:tc>
        <w:tc>
          <w:tcPr>
            <w:tcW w:w="940" w:type="dxa"/>
            <w:tcBorders>
              <w:top w:val="nil"/>
              <w:left w:val="nil"/>
              <w:bottom w:val="single" w:sz="4" w:space="0" w:color="auto"/>
              <w:right w:val="single" w:sz="4" w:space="0" w:color="auto"/>
            </w:tcBorders>
            <w:noWrap/>
            <w:vAlign w:val="center"/>
            <w:hideMark/>
          </w:tcPr>
          <w:p w14:paraId="56BF35C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3.0104 </w:t>
            </w:r>
          </w:p>
        </w:tc>
        <w:tc>
          <w:tcPr>
            <w:tcW w:w="940" w:type="dxa"/>
            <w:tcBorders>
              <w:top w:val="nil"/>
              <w:left w:val="nil"/>
              <w:bottom w:val="single" w:sz="4" w:space="0" w:color="auto"/>
              <w:right w:val="single" w:sz="4" w:space="0" w:color="auto"/>
            </w:tcBorders>
            <w:noWrap/>
            <w:vAlign w:val="center"/>
            <w:hideMark/>
          </w:tcPr>
          <w:p w14:paraId="007FAB1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2.8526 </w:t>
            </w:r>
          </w:p>
        </w:tc>
        <w:tc>
          <w:tcPr>
            <w:tcW w:w="940" w:type="dxa"/>
            <w:tcBorders>
              <w:top w:val="nil"/>
              <w:left w:val="nil"/>
              <w:bottom w:val="single" w:sz="4" w:space="0" w:color="auto"/>
              <w:right w:val="single" w:sz="4" w:space="0" w:color="auto"/>
            </w:tcBorders>
            <w:noWrap/>
            <w:vAlign w:val="center"/>
            <w:hideMark/>
          </w:tcPr>
          <w:p w14:paraId="3CD2DB2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2.8194 </w:t>
            </w:r>
          </w:p>
        </w:tc>
        <w:tc>
          <w:tcPr>
            <w:tcW w:w="940" w:type="dxa"/>
            <w:tcBorders>
              <w:top w:val="nil"/>
              <w:left w:val="nil"/>
              <w:bottom w:val="single" w:sz="4" w:space="0" w:color="auto"/>
              <w:right w:val="single" w:sz="4" w:space="0" w:color="auto"/>
            </w:tcBorders>
            <w:shd w:val="clear" w:color="auto" w:fill="E6B8B7"/>
            <w:vAlign w:val="center"/>
            <w:hideMark/>
          </w:tcPr>
          <w:p w14:paraId="002F676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3.0 </w:t>
            </w:r>
          </w:p>
        </w:tc>
        <w:tc>
          <w:tcPr>
            <w:tcW w:w="940" w:type="dxa"/>
            <w:tcBorders>
              <w:top w:val="nil"/>
              <w:left w:val="nil"/>
              <w:bottom w:val="single" w:sz="4" w:space="0" w:color="auto"/>
              <w:right w:val="single" w:sz="4" w:space="0" w:color="auto"/>
            </w:tcBorders>
            <w:noWrap/>
            <w:vAlign w:val="center"/>
            <w:hideMark/>
          </w:tcPr>
          <w:p w14:paraId="359EAAB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1.0401 </w:t>
            </w:r>
          </w:p>
        </w:tc>
        <w:tc>
          <w:tcPr>
            <w:tcW w:w="940" w:type="dxa"/>
            <w:tcBorders>
              <w:top w:val="nil"/>
              <w:left w:val="nil"/>
              <w:bottom w:val="single" w:sz="4" w:space="0" w:color="auto"/>
              <w:right w:val="single" w:sz="4" w:space="0" w:color="auto"/>
            </w:tcBorders>
            <w:noWrap/>
            <w:vAlign w:val="center"/>
            <w:hideMark/>
          </w:tcPr>
          <w:p w14:paraId="23090A14" w14:textId="5D2D214C"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0.</w:t>
            </w:r>
            <w:r w:rsidR="000B7D55">
              <w:rPr>
                <w:rFonts w:ascii="微软雅黑" w:eastAsia="微软雅黑" w:hAnsi="微软雅黑" w:cs="宋体" w:hint="eastAsia"/>
                <w:color w:val="000000"/>
                <w:sz w:val="15"/>
                <w:szCs w:val="15"/>
              </w:rPr>
              <w:t>9538</w:t>
            </w:r>
            <w:r w:rsidRPr="00F631FB">
              <w:rPr>
                <w:rFonts w:ascii="微软雅黑" w:eastAsia="微软雅黑" w:hAnsi="微软雅黑" w:cs="宋体" w:hint="eastAsia"/>
                <w:color w:val="000000"/>
                <w:sz w:val="15"/>
                <w:szCs w:val="15"/>
              </w:rPr>
              <w:t xml:space="preserve"> </w:t>
            </w:r>
          </w:p>
        </w:tc>
        <w:tc>
          <w:tcPr>
            <w:tcW w:w="940" w:type="dxa"/>
            <w:tcBorders>
              <w:top w:val="nil"/>
              <w:left w:val="nil"/>
              <w:bottom w:val="single" w:sz="4" w:space="0" w:color="auto"/>
              <w:right w:val="single" w:sz="4" w:space="0" w:color="auto"/>
            </w:tcBorders>
            <w:noWrap/>
            <w:vAlign w:val="center"/>
            <w:hideMark/>
          </w:tcPr>
          <w:p w14:paraId="2CD454F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0.8158 </w:t>
            </w:r>
          </w:p>
        </w:tc>
        <w:tc>
          <w:tcPr>
            <w:tcW w:w="940" w:type="dxa"/>
            <w:tcBorders>
              <w:top w:val="nil"/>
              <w:left w:val="nil"/>
              <w:bottom w:val="single" w:sz="4" w:space="0" w:color="auto"/>
              <w:right w:val="single" w:sz="4" w:space="0" w:color="auto"/>
            </w:tcBorders>
            <w:shd w:val="clear" w:color="auto" w:fill="E6B8B7"/>
            <w:noWrap/>
            <w:vAlign w:val="center"/>
            <w:hideMark/>
          </w:tcPr>
          <w:p w14:paraId="68CC6E4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5.5 </w:t>
            </w:r>
          </w:p>
        </w:tc>
        <w:tc>
          <w:tcPr>
            <w:tcW w:w="940" w:type="dxa"/>
            <w:tcBorders>
              <w:top w:val="nil"/>
              <w:left w:val="nil"/>
              <w:bottom w:val="single" w:sz="4" w:space="0" w:color="auto"/>
              <w:right w:val="single" w:sz="4" w:space="0" w:color="auto"/>
            </w:tcBorders>
            <w:noWrap/>
            <w:vAlign w:val="center"/>
            <w:hideMark/>
          </w:tcPr>
          <w:p w14:paraId="05B099B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0.9120 </w:t>
            </w:r>
          </w:p>
        </w:tc>
        <w:tc>
          <w:tcPr>
            <w:tcW w:w="940" w:type="dxa"/>
            <w:tcBorders>
              <w:top w:val="nil"/>
              <w:left w:val="nil"/>
              <w:bottom w:val="single" w:sz="4" w:space="0" w:color="auto"/>
              <w:right w:val="single" w:sz="4" w:space="0" w:color="auto"/>
            </w:tcBorders>
            <w:noWrap/>
            <w:vAlign w:val="center"/>
            <w:hideMark/>
          </w:tcPr>
          <w:p w14:paraId="630643E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0.8042 </w:t>
            </w:r>
          </w:p>
        </w:tc>
        <w:tc>
          <w:tcPr>
            <w:tcW w:w="940" w:type="dxa"/>
            <w:tcBorders>
              <w:top w:val="nil"/>
              <w:left w:val="nil"/>
              <w:bottom w:val="single" w:sz="4" w:space="0" w:color="auto"/>
              <w:right w:val="single" w:sz="4" w:space="0" w:color="auto"/>
            </w:tcBorders>
            <w:noWrap/>
            <w:vAlign w:val="center"/>
            <w:hideMark/>
          </w:tcPr>
          <w:p w14:paraId="026875E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0.6418 </w:t>
            </w:r>
          </w:p>
        </w:tc>
        <w:tc>
          <w:tcPr>
            <w:tcW w:w="940" w:type="dxa"/>
            <w:tcBorders>
              <w:top w:val="nil"/>
              <w:left w:val="nil"/>
              <w:bottom w:val="single" w:sz="4" w:space="0" w:color="auto"/>
              <w:right w:val="single" w:sz="4" w:space="0" w:color="auto"/>
            </w:tcBorders>
            <w:shd w:val="clear" w:color="auto" w:fill="E6B8B7"/>
            <w:vAlign w:val="center"/>
            <w:hideMark/>
          </w:tcPr>
          <w:p w14:paraId="7C80B99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8.0 </w:t>
            </w:r>
          </w:p>
        </w:tc>
        <w:tc>
          <w:tcPr>
            <w:tcW w:w="940" w:type="dxa"/>
            <w:tcBorders>
              <w:top w:val="nil"/>
              <w:left w:val="nil"/>
              <w:bottom w:val="single" w:sz="4" w:space="0" w:color="auto"/>
              <w:right w:val="single" w:sz="4" w:space="0" w:color="auto"/>
            </w:tcBorders>
            <w:noWrap/>
            <w:vAlign w:val="center"/>
            <w:hideMark/>
          </w:tcPr>
          <w:p w14:paraId="715DEF4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0.8624 </w:t>
            </w:r>
          </w:p>
        </w:tc>
        <w:tc>
          <w:tcPr>
            <w:tcW w:w="940" w:type="dxa"/>
            <w:tcBorders>
              <w:top w:val="nil"/>
              <w:left w:val="nil"/>
              <w:bottom w:val="single" w:sz="4" w:space="0" w:color="auto"/>
              <w:right w:val="single" w:sz="4" w:space="0" w:color="auto"/>
            </w:tcBorders>
            <w:noWrap/>
            <w:vAlign w:val="center"/>
            <w:hideMark/>
          </w:tcPr>
          <w:p w14:paraId="3BB0E0D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0.7500 </w:t>
            </w:r>
          </w:p>
        </w:tc>
        <w:tc>
          <w:tcPr>
            <w:tcW w:w="940" w:type="dxa"/>
            <w:tcBorders>
              <w:top w:val="nil"/>
              <w:left w:val="nil"/>
              <w:bottom w:val="single" w:sz="4" w:space="0" w:color="auto"/>
              <w:right w:val="single" w:sz="4" w:space="0" w:color="auto"/>
            </w:tcBorders>
            <w:noWrap/>
            <w:vAlign w:val="center"/>
            <w:hideMark/>
          </w:tcPr>
          <w:p w14:paraId="0BAE698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0.5699 </w:t>
            </w:r>
          </w:p>
        </w:tc>
      </w:tr>
      <w:tr w:rsidR="004A2C77" w:rsidRPr="00F631FB" w14:paraId="1D181B91"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AAB5A2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0.6 </w:t>
            </w:r>
          </w:p>
        </w:tc>
        <w:tc>
          <w:tcPr>
            <w:tcW w:w="940" w:type="dxa"/>
            <w:tcBorders>
              <w:top w:val="nil"/>
              <w:left w:val="nil"/>
              <w:bottom w:val="single" w:sz="4" w:space="0" w:color="auto"/>
              <w:right w:val="single" w:sz="4" w:space="0" w:color="auto"/>
            </w:tcBorders>
            <w:noWrap/>
            <w:vAlign w:val="center"/>
            <w:hideMark/>
          </w:tcPr>
          <w:p w14:paraId="2AAD6E9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2.5087 </w:t>
            </w:r>
          </w:p>
        </w:tc>
        <w:tc>
          <w:tcPr>
            <w:tcW w:w="940" w:type="dxa"/>
            <w:tcBorders>
              <w:top w:val="nil"/>
              <w:left w:val="nil"/>
              <w:bottom w:val="single" w:sz="4" w:space="0" w:color="auto"/>
              <w:right w:val="single" w:sz="4" w:space="0" w:color="auto"/>
            </w:tcBorders>
            <w:noWrap/>
            <w:vAlign w:val="center"/>
            <w:hideMark/>
          </w:tcPr>
          <w:p w14:paraId="5A7979F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2.3772 </w:t>
            </w:r>
          </w:p>
        </w:tc>
        <w:tc>
          <w:tcPr>
            <w:tcW w:w="940" w:type="dxa"/>
            <w:tcBorders>
              <w:top w:val="nil"/>
              <w:left w:val="nil"/>
              <w:bottom w:val="single" w:sz="4" w:space="0" w:color="auto"/>
              <w:right w:val="single" w:sz="4" w:space="0" w:color="auto"/>
            </w:tcBorders>
            <w:noWrap/>
            <w:vAlign w:val="center"/>
            <w:hideMark/>
          </w:tcPr>
          <w:p w14:paraId="0147E48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2.3495 </w:t>
            </w:r>
          </w:p>
        </w:tc>
        <w:tc>
          <w:tcPr>
            <w:tcW w:w="940" w:type="dxa"/>
            <w:tcBorders>
              <w:top w:val="nil"/>
              <w:left w:val="nil"/>
              <w:bottom w:val="single" w:sz="4" w:space="0" w:color="auto"/>
              <w:right w:val="single" w:sz="4" w:space="0" w:color="auto"/>
            </w:tcBorders>
            <w:shd w:val="clear" w:color="auto" w:fill="E6B8B7"/>
            <w:vAlign w:val="center"/>
            <w:hideMark/>
          </w:tcPr>
          <w:p w14:paraId="3E16B79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3.1 </w:t>
            </w:r>
          </w:p>
        </w:tc>
        <w:tc>
          <w:tcPr>
            <w:tcW w:w="940" w:type="dxa"/>
            <w:tcBorders>
              <w:top w:val="nil"/>
              <w:left w:val="nil"/>
              <w:bottom w:val="single" w:sz="4" w:space="0" w:color="auto"/>
              <w:right w:val="single" w:sz="4" w:space="0" w:color="auto"/>
            </w:tcBorders>
            <w:noWrap/>
            <w:vAlign w:val="center"/>
            <w:hideMark/>
          </w:tcPr>
          <w:p w14:paraId="088D8CE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1.0314 </w:t>
            </w:r>
          </w:p>
        </w:tc>
        <w:tc>
          <w:tcPr>
            <w:tcW w:w="940" w:type="dxa"/>
            <w:tcBorders>
              <w:top w:val="nil"/>
              <w:left w:val="nil"/>
              <w:bottom w:val="single" w:sz="4" w:space="0" w:color="auto"/>
              <w:right w:val="single" w:sz="4" w:space="0" w:color="auto"/>
            </w:tcBorders>
            <w:noWrap/>
            <w:vAlign w:val="center"/>
            <w:hideMark/>
          </w:tcPr>
          <w:p w14:paraId="39621FB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0.9317 </w:t>
            </w:r>
          </w:p>
        </w:tc>
        <w:tc>
          <w:tcPr>
            <w:tcW w:w="940" w:type="dxa"/>
            <w:tcBorders>
              <w:top w:val="nil"/>
              <w:left w:val="nil"/>
              <w:bottom w:val="single" w:sz="4" w:space="0" w:color="auto"/>
              <w:right w:val="single" w:sz="4" w:space="0" w:color="auto"/>
            </w:tcBorders>
            <w:noWrap/>
            <w:vAlign w:val="center"/>
            <w:hideMark/>
          </w:tcPr>
          <w:p w14:paraId="0467FED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0.8041 </w:t>
            </w:r>
          </w:p>
        </w:tc>
        <w:tc>
          <w:tcPr>
            <w:tcW w:w="940" w:type="dxa"/>
            <w:tcBorders>
              <w:top w:val="nil"/>
              <w:left w:val="nil"/>
              <w:bottom w:val="single" w:sz="4" w:space="0" w:color="auto"/>
              <w:right w:val="single" w:sz="4" w:space="0" w:color="auto"/>
            </w:tcBorders>
            <w:shd w:val="clear" w:color="auto" w:fill="E6B8B7"/>
            <w:noWrap/>
            <w:vAlign w:val="center"/>
            <w:hideMark/>
          </w:tcPr>
          <w:p w14:paraId="24A715A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5.6 </w:t>
            </w:r>
          </w:p>
        </w:tc>
        <w:tc>
          <w:tcPr>
            <w:tcW w:w="940" w:type="dxa"/>
            <w:tcBorders>
              <w:top w:val="nil"/>
              <w:left w:val="nil"/>
              <w:bottom w:val="single" w:sz="4" w:space="0" w:color="auto"/>
              <w:right w:val="single" w:sz="4" w:space="0" w:color="auto"/>
            </w:tcBorders>
            <w:noWrap/>
            <w:vAlign w:val="center"/>
            <w:hideMark/>
          </w:tcPr>
          <w:p w14:paraId="38F77CD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0.9091 </w:t>
            </w:r>
          </w:p>
        </w:tc>
        <w:tc>
          <w:tcPr>
            <w:tcW w:w="940" w:type="dxa"/>
            <w:tcBorders>
              <w:top w:val="nil"/>
              <w:left w:val="nil"/>
              <w:bottom w:val="single" w:sz="4" w:space="0" w:color="auto"/>
              <w:right w:val="single" w:sz="4" w:space="0" w:color="auto"/>
            </w:tcBorders>
            <w:noWrap/>
            <w:vAlign w:val="center"/>
            <w:hideMark/>
          </w:tcPr>
          <w:p w14:paraId="097C382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0.8012 </w:t>
            </w:r>
          </w:p>
        </w:tc>
        <w:tc>
          <w:tcPr>
            <w:tcW w:w="940" w:type="dxa"/>
            <w:tcBorders>
              <w:top w:val="nil"/>
              <w:left w:val="nil"/>
              <w:bottom w:val="single" w:sz="4" w:space="0" w:color="auto"/>
              <w:right w:val="single" w:sz="4" w:space="0" w:color="auto"/>
            </w:tcBorders>
            <w:noWrap/>
            <w:vAlign w:val="center"/>
            <w:hideMark/>
          </w:tcPr>
          <w:p w14:paraId="7D828B3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0.6379 </w:t>
            </w:r>
          </w:p>
        </w:tc>
        <w:tc>
          <w:tcPr>
            <w:tcW w:w="940" w:type="dxa"/>
            <w:tcBorders>
              <w:top w:val="nil"/>
              <w:left w:val="nil"/>
              <w:bottom w:val="single" w:sz="4" w:space="0" w:color="auto"/>
              <w:right w:val="single" w:sz="4" w:space="0" w:color="auto"/>
            </w:tcBorders>
            <w:shd w:val="clear" w:color="auto" w:fill="E6B8B7"/>
            <w:vAlign w:val="center"/>
            <w:hideMark/>
          </w:tcPr>
          <w:p w14:paraId="14241B3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8.1 </w:t>
            </w:r>
          </w:p>
        </w:tc>
        <w:tc>
          <w:tcPr>
            <w:tcW w:w="940" w:type="dxa"/>
            <w:tcBorders>
              <w:top w:val="nil"/>
              <w:left w:val="nil"/>
              <w:bottom w:val="single" w:sz="4" w:space="0" w:color="auto"/>
              <w:right w:val="single" w:sz="4" w:space="0" w:color="auto"/>
            </w:tcBorders>
            <w:noWrap/>
            <w:vAlign w:val="center"/>
            <w:hideMark/>
          </w:tcPr>
          <w:p w14:paraId="4835039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0.8610 </w:t>
            </w:r>
          </w:p>
        </w:tc>
        <w:tc>
          <w:tcPr>
            <w:tcW w:w="940" w:type="dxa"/>
            <w:tcBorders>
              <w:top w:val="nil"/>
              <w:left w:val="nil"/>
              <w:bottom w:val="single" w:sz="4" w:space="0" w:color="auto"/>
              <w:right w:val="single" w:sz="4" w:space="0" w:color="auto"/>
            </w:tcBorders>
            <w:noWrap/>
            <w:vAlign w:val="center"/>
            <w:hideMark/>
          </w:tcPr>
          <w:p w14:paraId="34D7A64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0.7485 </w:t>
            </w:r>
          </w:p>
        </w:tc>
        <w:tc>
          <w:tcPr>
            <w:tcW w:w="940" w:type="dxa"/>
            <w:tcBorders>
              <w:top w:val="nil"/>
              <w:left w:val="nil"/>
              <w:bottom w:val="single" w:sz="4" w:space="0" w:color="auto"/>
              <w:right w:val="single" w:sz="4" w:space="0" w:color="auto"/>
            </w:tcBorders>
            <w:noWrap/>
            <w:vAlign w:val="center"/>
            <w:hideMark/>
          </w:tcPr>
          <w:p w14:paraId="5013A7C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0.5678 </w:t>
            </w:r>
          </w:p>
        </w:tc>
      </w:tr>
      <w:tr w:rsidR="004A2C77" w:rsidRPr="00F631FB" w14:paraId="05579A3C"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0E64BD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0.7 </w:t>
            </w:r>
          </w:p>
        </w:tc>
        <w:tc>
          <w:tcPr>
            <w:tcW w:w="940" w:type="dxa"/>
            <w:tcBorders>
              <w:top w:val="nil"/>
              <w:left w:val="nil"/>
              <w:bottom w:val="single" w:sz="4" w:space="0" w:color="auto"/>
              <w:right w:val="single" w:sz="4" w:space="0" w:color="auto"/>
            </w:tcBorders>
            <w:noWrap/>
            <w:vAlign w:val="center"/>
            <w:hideMark/>
          </w:tcPr>
          <w:p w14:paraId="5DF8397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2.1503 </w:t>
            </w:r>
          </w:p>
        </w:tc>
        <w:tc>
          <w:tcPr>
            <w:tcW w:w="940" w:type="dxa"/>
            <w:tcBorders>
              <w:top w:val="nil"/>
              <w:left w:val="nil"/>
              <w:bottom w:val="single" w:sz="4" w:space="0" w:color="auto"/>
              <w:right w:val="single" w:sz="4" w:space="0" w:color="auto"/>
            </w:tcBorders>
            <w:noWrap/>
            <w:vAlign w:val="center"/>
            <w:hideMark/>
          </w:tcPr>
          <w:p w14:paraId="16C26E1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2.0376 </w:t>
            </w:r>
          </w:p>
        </w:tc>
        <w:tc>
          <w:tcPr>
            <w:tcW w:w="940" w:type="dxa"/>
            <w:tcBorders>
              <w:top w:val="nil"/>
              <w:left w:val="nil"/>
              <w:bottom w:val="single" w:sz="4" w:space="0" w:color="auto"/>
              <w:right w:val="single" w:sz="4" w:space="0" w:color="auto"/>
            </w:tcBorders>
            <w:noWrap/>
            <w:vAlign w:val="center"/>
            <w:hideMark/>
          </w:tcPr>
          <w:p w14:paraId="3C054D1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2.0139 </w:t>
            </w:r>
          </w:p>
        </w:tc>
        <w:tc>
          <w:tcPr>
            <w:tcW w:w="940" w:type="dxa"/>
            <w:tcBorders>
              <w:top w:val="nil"/>
              <w:left w:val="nil"/>
              <w:bottom w:val="single" w:sz="4" w:space="0" w:color="auto"/>
              <w:right w:val="single" w:sz="4" w:space="0" w:color="auto"/>
            </w:tcBorders>
            <w:shd w:val="clear" w:color="auto" w:fill="E6B8B7"/>
            <w:vAlign w:val="center"/>
            <w:hideMark/>
          </w:tcPr>
          <w:p w14:paraId="326BD0D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3.2 </w:t>
            </w:r>
          </w:p>
        </w:tc>
        <w:tc>
          <w:tcPr>
            <w:tcW w:w="940" w:type="dxa"/>
            <w:tcBorders>
              <w:top w:val="nil"/>
              <w:left w:val="nil"/>
              <w:bottom w:val="single" w:sz="4" w:space="0" w:color="auto"/>
              <w:right w:val="single" w:sz="4" w:space="0" w:color="auto"/>
            </w:tcBorders>
            <w:noWrap/>
            <w:vAlign w:val="center"/>
            <w:hideMark/>
          </w:tcPr>
          <w:p w14:paraId="6D386FC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1.0230 </w:t>
            </w:r>
          </w:p>
        </w:tc>
        <w:tc>
          <w:tcPr>
            <w:tcW w:w="940" w:type="dxa"/>
            <w:tcBorders>
              <w:top w:val="nil"/>
              <w:left w:val="nil"/>
              <w:bottom w:val="single" w:sz="4" w:space="0" w:color="auto"/>
              <w:right w:val="single" w:sz="4" w:space="0" w:color="auto"/>
            </w:tcBorders>
            <w:noWrap/>
            <w:vAlign w:val="center"/>
            <w:hideMark/>
          </w:tcPr>
          <w:p w14:paraId="2924CF5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0.9228 </w:t>
            </w:r>
          </w:p>
        </w:tc>
        <w:tc>
          <w:tcPr>
            <w:tcW w:w="940" w:type="dxa"/>
            <w:tcBorders>
              <w:top w:val="nil"/>
              <w:left w:val="nil"/>
              <w:bottom w:val="single" w:sz="4" w:space="0" w:color="auto"/>
              <w:right w:val="single" w:sz="4" w:space="0" w:color="auto"/>
            </w:tcBorders>
            <w:noWrap/>
            <w:vAlign w:val="center"/>
            <w:hideMark/>
          </w:tcPr>
          <w:p w14:paraId="04329F9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0.7930 </w:t>
            </w:r>
          </w:p>
        </w:tc>
        <w:tc>
          <w:tcPr>
            <w:tcW w:w="940" w:type="dxa"/>
            <w:tcBorders>
              <w:top w:val="nil"/>
              <w:left w:val="nil"/>
              <w:bottom w:val="single" w:sz="4" w:space="0" w:color="auto"/>
              <w:right w:val="single" w:sz="4" w:space="0" w:color="auto"/>
            </w:tcBorders>
            <w:shd w:val="clear" w:color="auto" w:fill="E6B8B7"/>
            <w:noWrap/>
            <w:vAlign w:val="center"/>
            <w:hideMark/>
          </w:tcPr>
          <w:p w14:paraId="2521F23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5.7 </w:t>
            </w:r>
          </w:p>
        </w:tc>
        <w:tc>
          <w:tcPr>
            <w:tcW w:w="940" w:type="dxa"/>
            <w:tcBorders>
              <w:top w:val="nil"/>
              <w:left w:val="nil"/>
              <w:bottom w:val="single" w:sz="4" w:space="0" w:color="auto"/>
              <w:right w:val="single" w:sz="4" w:space="0" w:color="auto"/>
            </w:tcBorders>
            <w:noWrap/>
            <w:vAlign w:val="center"/>
            <w:hideMark/>
          </w:tcPr>
          <w:p w14:paraId="22554FC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0.9064 </w:t>
            </w:r>
          </w:p>
        </w:tc>
        <w:tc>
          <w:tcPr>
            <w:tcW w:w="940" w:type="dxa"/>
            <w:tcBorders>
              <w:top w:val="nil"/>
              <w:left w:val="nil"/>
              <w:bottom w:val="single" w:sz="4" w:space="0" w:color="auto"/>
              <w:right w:val="single" w:sz="4" w:space="0" w:color="auto"/>
            </w:tcBorders>
            <w:noWrap/>
            <w:vAlign w:val="center"/>
            <w:hideMark/>
          </w:tcPr>
          <w:p w14:paraId="3DE2DA3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0.7982 </w:t>
            </w:r>
          </w:p>
        </w:tc>
        <w:tc>
          <w:tcPr>
            <w:tcW w:w="940" w:type="dxa"/>
            <w:tcBorders>
              <w:top w:val="nil"/>
              <w:left w:val="nil"/>
              <w:bottom w:val="single" w:sz="4" w:space="0" w:color="auto"/>
              <w:right w:val="single" w:sz="4" w:space="0" w:color="auto"/>
            </w:tcBorders>
            <w:noWrap/>
            <w:vAlign w:val="center"/>
            <w:hideMark/>
          </w:tcPr>
          <w:p w14:paraId="42DB388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0.6341 </w:t>
            </w:r>
          </w:p>
        </w:tc>
        <w:tc>
          <w:tcPr>
            <w:tcW w:w="940" w:type="dxa"/>
            <w:tcBorders>
              <w:top w:val="nil"/>
              <w:left w:val="nil"/>
              <w:bottom w:val="single" w:sz="4" w:space="0" w:color="auto"/>
              <w:right w:val="single" w:sz="4" w:space="0" w:color="auto"/>
            </w:tcBorders>
            <w:shd w:val="clear" w:color="auto" w:fill="E6B8B7"/>
            <w:vAlign w:val="center"/>
            <w:hideMark/>
          </w:tcPr>
          <w:p w14:paraId="6F14F2E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8.2 </w:t>
            </w:r>
          </w:p>
        </w:tc>
        <w:tc>
          <w:tcPr>
            <w:tcW w:w="940" w:type="dxa"/>
            <w:tcBorders>
              <w:top w:val="nil"/>
              <w:left w:val="nil"/>
              <w:bottom w:val="single" w:sz="4" w:space="0" w:color="auto"/>
              <w:right w:val="single" w:sz="4" w:space="0" w:color="auto"/>
            </w:tcBorders>
            <w:noWrap/>
            <w:vAlign w:val="center"/>
            <w:hideMark/>
          </w:tcPr>
          <w:p w14:paraId="11B8646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0.8597 </w:t>
            </w:r>
          </w:p>
        </w:tc>
        <w:tc>
          <w:tcPr>
            <w:tcW w:w="940" w:type="dxa"/>
            <w:tcBorders>
              <w:top w:val="nil"/>
              <w:left w:val="nil"/>
              <w:bottom w:val="single" w:sz="4" w:space="0" w:color="auto"/>
              <w:right w:val="single" w:sz="4" w:space="0" w:color="auto"/>
            </w:tcBorders>
            <w:noWrap/>
            <w:vAlign w:val="center"/>
            <w:hideMark/>
          </w:tcPr>
          <w:p w14:paraId="69F0E2C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0.7470 </w:t>
            </w:r>
          </w:p>
        </w:tc>
        <w:tc>
          <w:tcPr>
            <w:tcW w:w="940" w:type="dxa"/>
            <w:tcBorders>
              <w:top w:val="nil"/>
              <w:left w:val="nil"/>
              <w:bottom w:val="single" w:sz="4" w:space="0" w:color="auto"/>
              <w:right w:val="single" w:sz="4" w:space="0" w:color="auto"/>
            </w:tcBorders>
            <w:noWrap/>
            <w:vAlign w:val="center"/>
            <w:hideMark/>
          </w:tcPr>
          <w:p w14:paraId="593946A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0.5659 </w:t>
            </w:r>
          </w:p>
        </w:tc>
      </w:tr>
      <w:tr w:rsidR="004A2C77" w:rsidRPr="00F631FB" w14:paraId="38285CE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0CC49A0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0.8 </w:t>
            </w:r>
          </w:p>
        </w:tc>
        <w:tc>
          <w:tcPr>
            <w:tcW w:w="940" w:type="dxa"/>
            <w:tcBorders>
              <w:top w:val="nil"/>
              <w:left w:val="nil"/>
              <w:bottom w:val="single" w:sz="4" w:space="0" w:color="auto"/>
              <w:right w:val="single" w:sz="4" w:space="0" w:color="auto"/>
            </w:tcBorders>
            <w:noWrap/>
            <w:vAlign w:val="center"/>
            <w:hideMark/>
          </w:tcPr>
          <w:p w14:paraId="6D56F60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1.8815 </w:t>
            </w:r>
          </w:p>
        </w:tc>
        <w:tc>
          <w:tcPr>
            <w:tcW w:w="940" w:type="dxa"/>
            <w:tcBorders>
              <w:top w:val="nil"/>
              <w:left w:val="nil"/>
              <w:bottom w:val="single" w:sz="4" w:space="0" w:color="auto"/>
              <w:right w:val="single" w:sz="4" w:space="0" w:color="auto"/>
            </w:tcBorders>
            <w:noWrap/>
            <w:vAlign w:val="center"/>
            <w:hideMark/>
          </w:tcPr>
          <w:p w14:paraId="3C288C4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1.7829 </w:t>
            </w:r>
          </w:p>
        </w:tc>
        <w:tc>
          <w:tcPr>
            <w:tcW w:w="940" w:type="dxa"/>
            <w:tcBorders>
              <w:top w:val="nil"/>
              <w:left w:val="nil"/>
              <w:bottom w:val="single" w:sz="4" w:space="0" w:color="auto"/>
              <w:right w:val="single" w:sz="4" w:space="0" w:color="auto"/>
            </w:tcBorders>
            <w:noWrap/>
            <w:vAlign w:val="center"/>
            <w:hideMark/>
          </w:tcPr>
          <w:p w14:paraId="7A9A932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1.7621 </w:t>
            </w:r>
          </w:p>
        </w:tc>
        <w:tc>
          <w:tcPr>
            <w:tcW w:w="940" w:type="dxa"/>
            <w:tcBorders>
              <w:top w:val="nil"/>
              <w:left w:val="nil"/>
              <w:bottom w:val="single" w:sz="4" w:space="0" w:color="auto"/>
              <w:right w:val="single" w:sz="4" w:space="0" w:color="auto"/>
            </w:tcBorders>
            <w:shd w:val="clear" w:color="auto" w:fill="E6B8B7"/>
            <w:vAlign w:val="center"/>
            <w:hideMark/>
          </w:tcPr>
          <w:p w14:paraId="170D0A3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3.3 </w:t>
            </w:r>
          </w:p>
        </w:tc>
        <w:tc>
          <w:tcPr>
            <w:tcW w:w="940" w:type="dxa"/>
            <w:tcBorders>
              <w:top w:val="nil"/>
              <w:left w:val="nil"/>
              <w:bottom w:val="single" w:sz="4" w:space="0" w:color="auto"/>
              <w:right w:val="single" w:sz="4" w:space="0" w:color="auto"/>
            </w:tcBorders>
            <w:noWrap/>
            <w:vAlign w:val="center"/>
            <w:hideMark/>
          </w:tcPr>
          <w:p w14:paraId="6A4D333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1.0150 </w:t>
            </w:r>
          </w:p>
        </w:tc>
        <w:tc>
          <w:tcPr>
            <w:tcW w:w="940" w:type="dxa"/>
            <w:tcBorders>
              <w:top w:val="nil"/>
              <w:left w:val="nil"/>
              <w:bottom w:val="single" w:sz="4" w:space="0" w:color="auto"/>
              <w:right w:val="single" w:sz="4" w:space="0" w:color="auto"/>
            </w:tcBorders>
            <w:noWrap/>
            <w:vAlign w:val="center"/>
            <w:hideMark/>
          </w:tcPr>
          <w:p w14:paraId="2EB3E73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0.9144 </w:t>
            </w:r>
          </w:p>
        </w:tc>
        <w:tc>
          <w:tcPr>
            <w:tcW w:w="940" w:type="dxa"/>
            <w:tcBorders>
              <w:top w:val="nil"/>
              <w:left w:val="nil"/>
              <w:bottom w:val="single" w:sz="4" w:space="0" w:color="auto"/>
              <w:right w:val="single" w:sz="4" w:space="0" w:color="auto"/>
            </w:tcBorders>
            <w:noWrap/>
            <w:vAlign w:val="center"/>
            <w:hideMark/>
          </w:tcPr>
          <w:p w14:paraId="46BA992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0.7822 </w:t>
            </w:r>
          </w:p>
        </w:tc>
        <w:tc>
          <w:tcPr>
            <w:tcW w:w="940" w:type="dxa"/>
            <w:tcBorders>
              <w:top w:val="nil"/>
              <w:left w:val="nil"/>
              <w:bottom w:val="single" w:sz="4" w:space="0" w:color="auto"/>
              <w:right w:val="single" w:sz="4" w:space="0" w:color="auto"/>
            </w:tcBorders>
            <w:shd w:val="clear" w:color="auto" w:fill="E6B8B7"/>
            <w:noWrap/>
            <w:vAlign w:val="center"/>
            <w:hideMark/>
          </w:tcPr>
          <w:p w14:paraId="7F91408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5.8 </w:t>
            </w:r>
          </w:p>
        </w:tc>
        <w:tc>
          <w:tcPr>
            <w:tcW w:w="940" w:type="dxa"/>
            <w:tcBorders>
              <w:top w:val="nil"/>
              <w:left w:val="nil"/>
              <w:bottom w:val="single" w:sz="4" w:space="0" w:color="auto"/>
              <w:right w:val="single" w:sz="4" w:space="0" w:color="auto"/>
            </w:tcBorders>
            <w:noWrap/>
            <w:vAlign w:val="center"/>
            <w:hideMark/>
          </w:tcPr>
          <w:p w14:paraId="02658E6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0.9038 </w:t>
            </w:r>
          </w:p>
        </w:tc>
        <w:tc>
          <w:tcPr>
            <w:tcW w:w="940" w:type="dxa"/>
            <w:tcBorders>
              <w:top w:val="nil"/>
              <w:left w:val="nil"/>
              <w:bottom w:val="single" w:sz="4" w:space="0" w:color="auto"/>
              <w:right w:val="single" w:sz="4" w:space="0" w:color="auto"/>
            </w:tcBorders>
            <w:noWrap/>
            <w:vAlign w:val="center"/>
            <w:hideMark/>
          </w:tcPr>
          <w:p w14:paraId="0D15D08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0.7954 </w:t>
            </w:r>
          </w:p>
        </w:tc>
        <w:tc>
          <w:tcPr>
            <w:tcW w:w="940" w:type="dxa"/>
            <w:tcBorders>
              <w:top w:val="nil"/>
              <w:left w:val="nil"/>
              <w:bottom w:val="single" w:sz="4" w:space="0" w:color="auto"/>
              <w:right w:val="single" w:sz="4" w:space="0" w:color="auto"/>
            </w:tcBorders>
            <w:noWrap/>
            <w:vAlign w:val="center"/>
            <w:hideMark/>
          </w:tcPr>
          <w:p w14:paraId="18ED983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0.6304 </w:t>
            </w:r>
          </w:p>
        </w:tc>
        <w:tc>
          <w:tcPr>
            <w:tcW w:w="940" w:type="dxa"/>
            <w:tcBorders>
              <w:top w:val="nil"/>
              <w:left w:val="nil"/>
              <w:bottom w:val="single" w:sz="4" w:space="0" w:color="auto"/>
              <w:right w:val="single" w:sz="4" w:space="0" w:color="auto"/>
            </w:tcBorders>
            <w:shd w:val="clear" w:color="auto" w:fill="E6B8B7"/>
            <w:vAlign w:val="center"/>
            <w:hideMark/>
          </w:tcPr>
          <w:p w14:paraId="6DF5909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8.3 </w:t>
            </w:r>
          </w:p>
        </w:tc>
        <w:tc>
          <w:tcPr>
            <w:tcW w:w="940" w:type="dxa"/>
            <w:tcBorders>
              <w:top w:val="nil"/>
              <w:left w:val="nil"/>
              <w:bottom w:val="single" w:sz="4" w:space="0" w:color="auto"/>
              <w:right w:val="single" w:sz="4" w:space="0" w:color="auto"/>
            </w:tcBorders>
            <w:noWrap/>
            <w:vAlign w:val="center"/>
            <w:hideMark/>
          </w:tcPr>
          <w:p w14:paraId="00BA112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0.8584 </w:t>
            </w:r>
          </w:p>
        </w:tc>
        <w:tc>
          <w:tcPr>
            <w:tcW w:w="940" w:type="dxa"/>
            <w:tcBorders>
              <w:top w:val="nil"/>
              <w:left w:val="nil"/>
              <w:bottom w:val="single" w:sz="4" w:space="0" w:color="auto"/>
              <w:right w:val="single" w:sz="4" w:space="0" w:color="auto"/>
            </w:tcBorders>
            <w:noWrap/>
            <w:vAlign w:val="center"/>
            <w:hideMark/>
          </w:tcPr>
          <w:p w14:paraId="7D2F9CF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0.7456 </w:t>
            </w:r>
          </w:p>
        </w:tc>
        <w:tc>
          <w:tcPr>
            <w:tcW w:w="940" w:type="dxa"/>
            <w:tcBorders>
              <w:top w:val="nil"/>
              <w:left w:val="nil"/>
              <w:bottom w:val="single" w:sz="4" w:space="0" w:color="auto"/>
              <w:right w:val="single" w:sz="4" w:space="0" w:color="auto"/>
            </w:tcBorders>
            <w:noWrap/>
            <w:vAlign w:val="center"/>
            <w:hideMark/>
          </w:tcPr>
          <w:p w14:paraId="26A58D3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0.5639 </w:t>
            </w:r>
          </w:p>
        </w:tc>
      </w:tr>
      <w:tr w:rsidR="004A2C77" w:rsidRPr="00F631FB" w14:paraId="3C981E3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F814B3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0.9 </w:t>
            </w:r>
          </w:p>
        </w:tc>
        <w:tc>
          <w:tcPr>
            <w:tcW w:w="940" w:type="dxa"/>
            <w:tcBorders>
              <w:top w:val="nil"/>
              <w:left w:val="nil"/>
              <w:bottom w:val="single" w:sz="4" w:space="0" w:color="auto"/>
              <w:right w:val="single" w:sz="4" w:space="0" w:color="auto"/>
            </w:tcBorders>
            <w:noWrap/>
            <w:vAlign w:val="center"/>
            <w:hideMark/>
          </w:tcPr>
          <w:p w14:paraId="1E30088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1.6724 </w:t>
            </w:r>
          </w:p>
        </w:tc>
        <w:tc>
          <w:tcPr>
            <w:tcW w:w="940" w:type="dxa"/>
            <w:tcBorders>
              <w:top w:val="nil"/>
              <w:left w:val="nil"/>
              <w:bottom w:val="single" w:sz="4" w:space="0" w:color="auto"/>
              <w:right w:val="single" w:sz="4" w:space="0" w:color="auto"/>
            </w:tcBorders>
            <w:noWrap/>
            <w:vAlign w:val="center"/>
            <w:hideMark/>
          </w:tcPr>
          <w:p w14:paraId="33C4D54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1.5848 </w:t>
            </w:r>
          </w:p>
        </w:tc>
        <w:tc>
          <w:tcPr>
            <w:tcW w:w="940" w:type="dxa"/>
            <w:tcBorders>
              <w:top w:val="nil"/>
              <w:left w:val="nil"/>
              <w:bottom w:val="single" w:sz="4" w:space="0" w:color="auto"/>
              <w:right w:val="single" w:sz="4" w:space="0" w:color="auto"/>
            </w:tcBorders>
            <w:noWrap/>
            <w:vAlign w:val="center"/>
            <w:hideMark/>
          </w:tcPr>
          <w:p w14:paraId="2136C64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1.5663 </w:t>
            </w:r>
          </w:p>
        </w:tc>
        <w:tc>
          <w:tcPr>
            <w:tcW w:w="940" w:type="dxa"/>
            <w:tcBorders>
              <w:top w:val="nil"/>
              <w:left w:val="nil"/>
              <w:bottom w:val="single" w:sz="4" w:space="0" w:color="auto"/>
              <w:right w:val="single" w:sz="4" w:space="0" w:color="auto"/>
            </w:tcBorders>
            <w:shd w:val="clear" w:color="auto" w:fill="E6B8B7"/>
            <w:vAlign w:val="center"/>
            <w:hideMark/>
          </w:tcPr>
          <w:p w14:paraId="4D61888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3.4 </w:t>
            </w:r>
          </w:p>
        </w:tc>
        <w:tc>
          <w:tcPr>
            <w:tcW w:w="940" w:type="dxa"/>
            <w:tcBorders>
              <w:top w:val="nil"/>
              <w:left w:val="nil"/>
              <w:bottom w:val="single" w:sz="4" w:space="0" w:color="auto"/>
              <w:right w:val="single" w:sz="4" w:space="0" w:color="auto"/>
            </w:tcBorders>
            <w:noWrap/>
            <w:vAlign w:val="center"/>
            <w:hideMark/>
          </w:tcPr>
          <w:p w14:paraId="31C0859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1.0073 </w:t>
            </w:r>
          </w:p>
        </w:tc>
        <w:tc>
          <w:tcPr>
            <w:tcW w:w="940" w:type="dxa"/>
            <w:tcBorders>
              <w:top w:val="nil"/>
              <w:left w:val="nil"/>
              <w:bottom w:val="single" w:sz="4" w:space="0" w:color="auto"/>
              <w:right w:val="single" w:sz="4" w:space="0" w:color="auto"/>
            </w:tcBorders>
            <w:noWrap/>
            <w:vAlign w:val="center"/>
            <w:hideMark/>
          </w:tcPr>
          <w:p w14:paraId="41D252D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0.9063 </w:t>
            </w:r>
          </w:p>
        </w:tc>
        <w:tc>
          <w:tcPr>
            <w:tcW w:w="940" w:type="dxa"/>
            <w:tcBorders>
              <w:top w:val="nil"/>
              <w:left w:val="nil"/>
              <w:bottom w:val="single" w:sz="4" w:space="0" w:color="auto"/>
              <w:right w:val="single" w:sz="4" w:space="0" w:color="auto"/>
            </w:tcBorders>
            <w:noWrap/>
            <w:vAlign w:val="center"/>
            <w:hideMark/>
          </w:tcPr>
          <w:p w14:paraId="3CC1D40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0.7721 </w:t>
            </w:r>
          </w:p>
        </w:tc>
        <w:tc>
          <w:tcPr>
            <w:tcW w:w="940" w:type="dxa"/>
            <w:tcBorders>
              <w:top w:val="nil"/>
              <w:left w:val="nil"/>
              <w:bottom w:val="single" w:sz="4" w:space="0" w:color="auto"/>
              <w:right w:val="single" w:sz="4" w:space="0" w:color="auto"/>
            </w:tcBorders>
            <w:shd w:val="clear" w:color="auto" w:fill="E6B8B7"/>
            <w:noWrap/>
            <w:vAlign w:val="center"/>
            <w:hideMark/>
          </w:tcPr>
          <w:p w14:paraId="72F0186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5.9 </w:t>
            </w:r>
          </w:p>
        </w:tc>
        <w:tc>
          <w:tcPr>
            <w:tcW w:w="940" w:type="dxa"/>
            <w:tcBorders>
              <w:top w:val="nil"/>
              <w:left w:val="nil"/>
              <w:bottom w:val="single" w:sz="4" w:space="0" w:color="auto"/>
              <w:right w:val="single" w:sz="4" w:space="0" w:color="auto"/>
            </w:tcBorders>
            <w:noWrap/>
            <w:vAlign w:val="center"/>
            <w:hideMark/>
          </w:tcPr>
          <w:p w14:paraId="7FE473D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0.9013 </w:t>
            </w:r>
          </w:p>
        </w:tc>
        <w:tc>
          <w:tcPr>
            <w:tcW w:w="940" w:type="dxa"/>
            <w:tcBorders>
              <w:top w:val="nil"/>
              <w:left w:val="nil"/>
              <w:bottom w:val="single" w:sz="4" w:space="0" w:color="auto"/>
              <w:right w:val="single" w:sz="4" w:space="0" w:color="auto"/>
            </w:tcBorders>
            <w:noWrap/>
            <w:vAlign w:val="center"/>
            <w:hideMark/>
          </w:tcPr>
          <w:p w14:paraId="7A3DE6A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0.7927 </w:t>
            </w:r>
          </w:p>
        </w:tc>
        <w:tc>
          <w:tcPr>
            <w:tcW w:w="940" w:type="dxa"/>
            <w:tcBorders>
              <w:top w:val="nil"/>
              <w:left w:val="nil"/>
              <w:bottom w:val="single" w:sz="4" w:space="0" w:color="auto"/>
              <w:right w:val="single" w:sz="4" w:space="0" w:color="auto"/>
            </w:tcBorders>
            <w:noWrap/>
            <w:vAlign w:val="center"/>
            <w:hideMark/>
          </w:tcPr>
          <w:p w14:paraId="33C7BC1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0.6269 </w:t>
            </w:r>
          </w:p>
        </w:tc>
        <w:tc>
          <w:tcPr>
            <w:tcW w:w="940" w:type="dxa"/>
            <w:tcBorders>
              <w:top w:val="nil"/>
              <w:left w:val="nil"/>
              <w:bottom w:val="single" w:sz="4" w:space="0" w:color="auto"/>
              <w:right w:val="single" w:sz="4" w:space="0" w:color="auto"/>
            </w:tcBorders>
            <w:shd w:val="clear" w:color="auto" w:fill="E6B8B7"/>
            <w:vAlign w:val="center"/>
            <w:hideMark/>
          </w:tcPr>
          <w:p w14:paraId="1087833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8.4 </w:t>
            </w:r>
          </w:p>
        </w:tc>
        <w:tc>
          <w:tcPr>
            <w:tcW w:w="940" w:type="dxa"/>
            <w:tcBorders>
              <w:top w:val="nil"/>
              <w:left w:val="nil"/>
              <w:bottom w:val="single" w:sz="4" w:space="0" w:color="auto"/>
              <w:right w:val="single" w:sz="4" w:space="0" w:color="auto"/>
            </w:tcBorders>
            <w:noWrap/>
            <w:vAlign w:val="center"/>
            <w:hideMark/>
          </w:tcPr>
          <w:p w14:paraId="39C1AC0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0.8571 </w:t>
            </w:r>
          </w:p>
        </w:tc>
        <w:tc>
          <w:tcPr>
            <w:tcW w:w="940" w:type="dxa"/>
            <w:tcBorders>
              <w:top w:val="nil"/>
              <w:left w:val="nil"/>
              <w:bottom w:val="single" w:sz="4" w:space="0" w:color="auto"/>
              <w:right w:val="single" w:sz="4" w:space="0" w:color="auto"/>
            </w:tcBorders>
            <w:noWrap/>
            <w:vAlign w:val="center"/>
            <w:hideMark/>
          </w:tcPr>
          <w:p w14:paraId="55F224B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0.7442 </w:t>
            </w:r>
          </w:p>
        </w:tc>
        <w:tc>
          <w:tcPr>
            <w:tcW w:w="940" w:type="dxa"/>
            <w:tcBorders>
              <w:top w:val="nil"/>
              <w:left w:val="nil"/>
              <w:bottom w:val="single" w:sz="4" w:space="0" w:color="auto"/>
              <w:right w:val="single" w:sz="4" w:space="0" w:color="auto"/>
            </w:tcBorders>
            <w:noWrap/>
            <w:vAlign w:val="center"/>
            <w:hideMark/>
          </w:tcPr>
          <w:p w14:paraId="45788BC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0.5619 </w:t>
            </w:r>
          </w:p>
        </w:tc>
      </w:tr>
      <w:tr w:rsidR="004A2C77" w:rsidRPr="00F631FB" w14:paraId="64A695B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2CB657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1.0 </w:t>
            </w:r>
          </w:p>
        </w:tc>
        <w:tc>
          <w:tcPr>
            <w:tcW w:w="940" w:type="dxa"/>
            <w:tcBorders>
              <w:top w:val="nil"/>
              <w:left w:val="nil"/>
              <w:bottom w:val="single" w:sz="4" w:space="0" w:color="auto"/>
              <w:right w:val="single" w:sz="4" w:space="0" w:color="auto"/>
            </w:tcBorders>
            <w:noWrap/>
            <w:vAlign w:val="center"/>
            <w:hideMark/>
          </w:tcPr>
          <w:p w14:paraId="400159E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1.5052 </w:t>
            </w:r>
          </w:p>
        </w:tc>
        <w:tc>
          <w:tcPr>
            <w:tcW w:w="940" w:type="dxa"/>
            <w:tcBorders>
              <w:top w:val="nil"/>
              <w:left w:val="nil"/>
              <w:bottom w:val="single" w:sz="4" w:space="0" w:color="auto"/>
              <w:right w:val="single" w:sz="4" w:space="0" w:color="auto"/>
            </w:tcBorders>
            <w:noWrap/>
            <w:vAlign w:val="center"/>
            <w:hideMark/>
          </w:tcPr>
          <w:p w14:paraId="0EE1F50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1.4263 </w:t>
            </w:r>
          </w:p>
        </w:tc>
        <w:tc>
          <w:tcPr>
            <w:tcW w:w="940" w:type="dxa"/>
            <w:tcBorders>
              <w:top w:val="nil"/>
              <w:left w:val="nil"/>
              <w:bottom w:val="single" w:sz="4" w:space="0" w:color="auto"/>
              <w:right w:val="single" w:sz="4" w:space="0" w:color="auto"/>
            </w:tcBorders>
            <w:noWrap/>
            <w:vAlign w:val="center"/>
            <w:hideMark/>
          </w:tcPr>
          <w:p w14:paraId="0D82547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1.4097 </w:t>
            </w:r>
          </w:p>
        </w:tc>
        <w:tc>
          <w:tcPr>
            <w:tcW w:w="940" w:type="dxa"/>
            <w:tcBorders>
              <w:top w:val="nil"/>
              <w:left w:val="nil"/>
              <w:bottom w:val="single" w:sz="4" w:space="0" w:color="auto"/>
              <w:right w:val="single" w:sz="4" w:space="0" w:color="auto"/>
            </w:tcBorders>
            <w:shd w:val="clear" w:color="auto" w:fill="E6B8B7"/>
            <w:vAlign w:val="center"/>
            <w:hideMark/>
          </w:tcPr>
          <w:p w14:paraId="5BEFAFF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3.5 </w:t>
            </w:r>
          </w:p>
        </w:tc>
        <w:tc>
          <w:tcPr>
            <w:tcW w:w="940" w:type="dxa"/>
            <w:tcBorders>
              <w:top w:val="nil"/>
              <w:left w:val="nil"/>
              <w:bottom w:val="single" w:sz="4" w:space="0" w:color="auto"/>
              <w:right w:val="single" w:sz="4" w:space="0" w:color="auto"/>
            </w:tcBorders>
            <w:noWrap/>
            <w:vAlign w:val="center"/>
            <w:hideMark/>
          </w:tcPr>
          <w:p w14:paraId="153ED3A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noWrap/>
            <w:vAlign w:val="center"/>
            <w:hideMark/>
          </w:tcPr>
          <w:p w14:paraId="264977B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0.8987 </w:t>
            </w:r>
          </w:p>
        </w:tc>
        <w:tc>
          <w:tcPr>
            <w:tcW w:w="940" w:type="dxa"/>
            <w:tcBorders>
              <w:top w:val="nil"/>
              <w:left w:val="nil"/>
              <w:bottom w:val="single" w:sz="4" w:space="0" w:color="auto"/>
              <w:right w:val="single" w:sz="4" w:space="0" w:color="auto"/>
            </w:tcBorders>
            <w:noWrap/>
            <w:vAlign w:val="center"/>
            <w:hideMark/>
          </w:tcPr>
          <w:p w14:paraId="6B838CF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0.7624 </w:t>
            </w:r>
          </w:p>
        </w:tc>
        <w:tc>
          <w:tcPr>
            <w:tcW w:w="940" w:type="dxa"/>
            <w:tcBorders>
              <w:top w:val="nil"/>
              <w:left w:val="nil"/>
              <w:bottom w:val="single" w:sz="4" w:space="0" w:color="auto"/>
              <w:right w:val="single" w:sz="4" w:space="0" w:color="auto"/>
            </w:tcBorders>
            <w:shd w:val="clear" w:color="auto" w:fill="E6B8B7"/>
            <w:noWrap/>
            <w:vAlign w:val="center"/>
            <w:hideMark/>
          </w:tcPr>
          <w:p w14:paraId="30C3AA8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6.0 </w:t>
            </w:r>
          </w:p>
        </w:tc>
        <w:tc>
          <w:tcPr>
            <w:tcW w:w="940" w:type="dxa"/>
            <w:tcBorders>
              <w:top w:val="nil"/>
              <w:left w:val="nil"/>
              <w:bottom w:val="single" w:sz="4" w:space="0" w:color="auto"/>
              <w:right w:val="single" w:sz="4" w:space="0" w:color="auto"/>
            </w:tcBorders>
            <w:noWrap/>
            <w:vAlign w:val="center"/>
            <w:hideMark/>
          </w:tcPr>
          <w:p w14:paraId="5D7121D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0.8989 </w:t>
            </w:r>
          </w:p>
        </w:tc>
        <w:tc>
          <w:tcPr>
            <w:tcW w:w="940" w:type="dxa"/>
            <w:tcBorders>
              <w:top w:val="nil"/>
              <w:left w:val="nil"/>
              <w:bottom w:val="single" w:sz="4" w:space="0" w:color="auto"/>
              <w:right w:val="single" w:sz="4" w:space="0" w:color="auto"/>
            </w:tcBorders>
            <w:noWrap/>
            <w:vAlign w:val="center"/>
            <w:hideMark/>
          </w:tcPr>
          <w:p w14:paraId="582CA63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0.7902 </w:t>
            </w:r>
          </w:p>
        </w:tc>
        <w:tc>
          <w:tcPr>
            <w:tcW w:w="940" w:type="dxa"/>
            <w:tcBorders>
              <w:top w:val="nil"/>
              <w:left w:val="nil"/>
              <w:bottom w:val="single" w:sz="4" w:space="0" w:color="auto"/>
              <w:right w:val="single" w:sz="4" w:space="0" w:color="auto"/>
            </w:tcBorders>
            <w:noWrap/>
            <w:vAlign w:val="center"/>
            <w:hideMark/>
          </w:tcPr>
          <w:p w14:paraId="43F1C67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0.6235 </w:t>
            </w:r>
          </w:p>
        </w:tc>
        <w:tc>
          <w:tcPr>
            <w:tcW w:w="940" w:type="dxa"/>
            <w:tcBorders>
              <w:top w:val="nil"/>
              <w:left w:val="nil"/>
              <w:bottom w:val="single" w:sz="4" w:space="0" w:color="auto"/>
              <w:right w:val="single" w:sz="4" w:space="0" w:color="auto"/>
            </w:tcBorders>
            <w:shd w:val="clear" w:color="auto" w:fill="E6B8B7"/>
            <w:vAlign w:val="center"/>
            <w:hideMark/>
          </w:tcPr>
          <w:p w14:paraId="2D58142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8.5 </w:t>
            </w:r>
          </w:p>
        </w:tc>
        <w:tc>
          <w:tcPr>
            <w:tcW w:w="940" w:type="dxa"/>
            <w:tcBorders>
              <w:top w:val="nil"/>
              <w:left w:val="nil"/>
              <w:bottom w:val="single" w:sz="4" w:space="0" w:color="auto"/>
              <w:right w:val="single" w:sz="4" w:space="0" w:color="auto"/>
            </w:tcBorders>
            <w:noWrap/>
            <w:vAlign w:val="center"/>
            <w:hideMark/>
          </w:tcPr>
          <w:p w14:paraId="27091FB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0.8558 </w:t>
            </w:r>
          </w:p>
        </w:tc>
        <w:tc>
          <w:tcPr>
            <w:tcW w:w="940" w:type="dxa"/>
            <w:tcBorders>
              <w:top w:val="nil"/>
              <w:left w:val="nil"/>
              <w:bottom w:val="single" w:sz="4" w:space="0" w:color="auto"/>
              <w:right w:val="single" w:sz="4" w:space="0" w:color="auto"/>
            </w:tcBorders>
            <w:noWrap/>
            <w:vAlign w:val="center"/>
            <w:hideMark/>
          </w:tcPr>
          <w:p w14:paraId="24126E4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0.7427 </w:t>
            </w:r>
          </w:p>
        </w:tc>
        <w:tc>
          <w:tcPr>
            <w:tcW w:w="940" w:type="dxa"/>
            <w:tcBorders>
              <w:top w:val="nil"/>
              <w:left w:val="nil"/>
              <w:bottom w:val="single" w:sz="4" w:space="0" w:color="auto"/>
              <w:right w:val="single" w:sz="4" w:space="0" w:color="auto"/>
            </w:tcBorders>
            <w:noWrap/>
            <w:vAlign w:val="center"/>
            <w:hideMark/>
          </w:tcPr>
          <w:p w14:paraId="721D2F2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0.5599 </w:t>
            </w:r>
          </w:p>
        </w:tc>
      </w:tr>
      <w:tr w:rsidR="004A2C77" w:rsidRPr="00F631FB" w14:paraId="6A9B6269"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5CAE10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1.1 </w:t>
            </w:r>
          </w:p>
        </w:tc>
        <w:tc>
          <w:tcPr>
            <w:tcW w:w="940" w:type="dxa"/>
            <w:tcBorders>
              <w:top w:val="nil"/>
              <w:left w:val="nil"/>
              <w:bottom w:val="single" w:sz="4" w:space="0" w:color="auto"/>
              <w:right w:val="single" w:sz="4" w:space="0" w:color="auto"/>
            </w:tcBorders>
            <w:noWrap/>
            <w:vAlign w:val="center"/>
            <w:hideMark/>
          </w:tcPr>
          <w:p w14:paraId="3326B47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1.4509 </w:t>
            </w:r>
          </w:p>
        </w:tc>
        <w:tc>
          <w:tcPr>
            <w:tcW w:w="940" w:type="dxa"/>
            <w:tcBorders>
              <w:top w:val="nil"/>
              <w:left w:val="nil"/>
              <w:bottom w:val="single" w:sz="4" w:space="0" w:color="auto"/>
              <w:right w:val="single" w:sz="4" w:space="0" w:color="auto"/>
            </w:tcBorders>
            <w:noWrap/>
            <w:vAlign w:val="center"/>
            <w:hideMark/>
          </w:tcPr>
          <w:p w14:paraId="6EE4F4B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1.3698 </w:t>
            </w:r>
          </w:p>
        </w:tc>
        <w:tc>
          <w:tcPr>
            <w:tcW w:w="940" w:type="dxa"/>
            <w:tcBorders>
              <w:top w:val="nil"/>
              <w:left w:val="nil"/>
              <w:bottom w:val="single" w:sz="4" w:space="0" w:color="auto"/>
              <w:right w:val="single" w:sz="4" w:space="0" w:color="auto"/>
            </w:tcBorders>
            <w:noWrap/>
            <w:vAlign w:val="center"/>
            <w:hideMark/>
          </w:tcPr>
          <w:p w14:paraId="608C197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1.3430 </w:t>
            </w:r>
          </w:p>
        </w:tc>
        <w:tc>
          <w:tcPr>
            <w:tcW w:w="940" w:type="dxa"/>
            <w:tcBorders>
              <w:top w:val="nil"/>
              <w:left w:val="nil"/>
              <w:bottom w:val="single" w:sz="4" w:space="0" w:color="auto"/>
              <w:right w:val="single" w:sz="4" w:space="0" w:color="auto"/>
            </w:tcBorders>
            <w:shd w:val="clear" w:color="auto" w:fill="E6B8B7"/>
            <w:vAlign w:val="center"/>
            <w:hideMark/>
          </w:tcPr>
          <w:p w14:paraId="79BAE5E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3.6 </w:t>
            </w:r>
          </w:p>
        </w:tc>
        <w:tc>
          <w:tcPr>
            <w:tcW w:w="940" w:type="dxa"/>
            <w:tcBorders>
              <w:top w:val="nil"/>
              <w:left w:val="nil"/>
              <w:bottom w:val="single" w:sz="4" w:space="0" w:color="auto"/>
              <w:right w:val="single" w:sz="4" w:space="0" w:color="auto"/>
            </w:tcBorders>
            <w:noWrap/>
            <w:vAlign w:val="center"/>
            <w:hideMark/>
          </w:tcPr>
          <w:p w14:paraId="121243F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0.9933 </w:t>
            </w:r>
          </w:p>
        </w:tc>
        <w:tc>
          <w:tcPr>
            <w:tcW w:w="940" w:type="dxa"/>
            <w:tcBorders>
              <w:top w:val="nil"/>
              <w:left w:val="nil"/>
              <w:bottom w:val="single" w:sz="4" w:space="0" w:color="auto"/>
              <w:right w:val="single" w:sz="4" w:space="0" w:color="auto"/>
            </w:tcBorders>
            <w:noWrap/>
            <w:vAlign w:val="center"/>
            <w:hideMark/>
          </w:tcPr>
          <w:p w14:paraId="61C6BA3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0.8914 </w:t>
            </w:r>
          </w:p>
        </w:tc>
        <w:tc>
          <w:tcPr>
            <w:tcW w:w="940" w:type="dxa"/>
            <w:tcBorders>
              <w:top w:val="nil"/>
              <w:left w:val="nil"/>
              <w:bottom w:val="single" w:sz="4" w:space="0" w:color="auto"/>
              <w:right w:val="single" w:sz="4" w:space="0" w:color="auto"/>
            </w:tcBorders>
            <w:noWrap/>
            <w:vAlign w:val="center"/>
            <w:hideMark/>
          </w:tcPr>
          <w:p w14:paraId="1FE3AFF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0.7532 </w:t>
            </w:r>
          </w:p>
        </w:tc>
        <w:tc>
          <w:tcPr>
            <w:tcW w:w="940" w:type="dxa"/>
            <w:tcBorders>
              <w:top w:val="nil"/>
              <w:left w:val="nil"/>
              <w:bottom w:val="single" w:sz="4" w:space="0" w:color="auto"/>
              <w:right w:val="single" w:sz="4" w:space="0" w:color="auto"/>
            </w:tcBorders>
            <w:shd w:val="clear" w:color="auto" w:fill="E6B8B7"/>
            <w:noWrap/>
            <w:vAlign w:val="center"/>
            <w:hideMark/>
          </w:tcPr>
          <w:p w14:paraId="7CE38A7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6.1 </w:t>
            </w:r>
          </w:p>
        </w:tc>
        <w:tc>
          <w:tcPr>
            <w:tcW w:w="940" w:type="dxa"/>
            <w:tcBorders>
              <w:top w:val="nil"/>
              <w:left w:val="nil"/>
              <w:bottom w:val="single" w:sz="4" w:space="0" w:color="auto"/>
              <w:right w:val="single" w:sz="4" w:space="0" w:color="auto"/>
            </w:tcBorders>
            <w:noWrap/>
            <w:vAlign w:val="center"/>
            <w:hideMark/>
          </w:tcPr>
          <w:p w14:paraId="40433C3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0.8965 </w:t>
            </w:r>
          </w:p>
        </w:tc>
        <w:tc>
          <w:tcPr>
            <w:tcW w:w="940" w:type="dxa"/>
            <w:tcBorders>
              <w:top w:val="nil"/>
              <w:left w:val="nil"/>
              <w:bottom w:val="single" w:sz="4" w:space="0" w:color="auto"/>
              <w:right w:val="single" w:sz="4" w:space="0" w:color="auto"/>
            </w:tcBorders>
            <w:noWrap/>
            <w:vAlign w:val="center"/>
            <w:hideMark/>
          </w:tcPr>
          <w:p w14:paraId="6E68D22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0.7877 </w:t>
            </w:r>
          </w:p>
        </w:tc>
        <w:tc>
          <w:tcPr>
            <w:tcW w:w="940" w:type="dxa"/>
            <w:tcBorders>
              <w:top w:val="nil"/>
              <w:left w:val="nil"/>
              <w:bottom w:val="single" w:sz="4" w:space="0" w:color="auto"/>
              <w:right w:val="single" w:sz="4" w:space="0" w:color="auto"/>
            </w:tcBorders>
            <w:noWrap/>
            <w:vAlign w:val="center"/>
            <w:hideMark/>
          </w:tcPr>
          <w:p w14:paraId="4654194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0.6203 </w:t>
            </w:r>
          </w:p>
        </w:tc>
        <w:tc>
          <w:tcPr>
            <w:tcW w:w="940" w:type="dxa"/>
            <w:tcBorders>
              <w:top w:val="nil"/>
              <w:left w:val="nil"/>
              <w:bottom w:val="single" w:sz="4" w:space="0" w:color="auto"/>
              <w:right w:val="single" w:sz="4" w:space="0" w:color="auto"/>
            </w:tcBorders>
            <w:shd w:val="clear" w:color="auto" w:fill="E6B8B7"/>
            <w:vAlign w:val="center"/>
            <w:hideMark/>
          </w:tcPr>
          <w:p w14:paraId="2359DE3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8.6 </w:t>
            </w:r>
          </w:p>
        </w:tc>
        <w:tc>
          <w:tcPr>
            <w:tcW w:w="940" w:type="dxa"/>
            <w:tcBorders>
              <w:top w:val="nil"/>
              <w:left w:val="nil"/>
              <w:bottom w:val="single" w:sz="4" w:space="0" w:color="auto"/>
              <w:right w:val="single" w:sz="4" w:space="0" w:color="auto"/>
            </w:tcBorders>
            <w:noWrap/>
            <w:vAlign w:val="center"/>
            <w:hideMark/>
          </w:tcPr>
          <w:p w14:paraId="49AE59F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0.8545 </w:t>
            </w:r>
          </w:p>
        </w:tc>
        <w:tc>
          <w:tcPr>
            <w:tcW w:w="940" w:type="dxa"/>
            <w:tcBorders>
              <w:top w:val="nil"/>
              <w:left w:val="nil"/>
              <w:bottom w:val="single" w:sz="4" w:space="0" w:color="auto"/>
              <w:right w:val="single" w:sz="4" w:space="0" w:color="auto"/>
            </w:tcBorders>
            <w:noWrap/>
            <w:vAlign w:val="center"/>
            <w:hideMark/>
          </w:tcPr>
          <w:p w14:paraId="40BD3F5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0.7413 </w:t>
            </w:r>
          </w:p>
        </w:tc>
        <w:tc>
          <w:tcPr>
            <w:tcW w:w="940" w:type="dxa"/>
            <w:tcBorders>
              <w:top w:val="nil"/>
              <w:left w:val="nil"/>
              <w:bottom w:val="single" w:sz="4" w:space="0" w:color="auto"/>
              <w:right w:val="single" w:sz="4" w:space="0" w:color="auto"/>
            </w:tcBorders>
            <w:noWrap/>
            <w:vAlign w:val="center"/>
            <w:hideMark/>
          </w:tcPr>
          <w:p w14:paraId="3734408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0.5580 </w:t>
            </w:r>
          </w:p>
        </w:tc>
      </w:tr>
      <w:tr w:rsidR="004A2C77" w:rsidRPr="00F631FB" w14:paraId="3C640CE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61B564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1.2 </w:t>
            </w:r>
          </w:p>
        </w:tc>
        <w:tc>
          <w:tcPr>
            <w:tcW w:w="940" w:type="dxa"/>
            <w:tcBorders>
              <w:top w:val="nil"/>
              <w:left w:val="nil"/>
              <w:bottom w:val="single" w:sz="4" w:space="0" w:color="auto"/>
              <w:right w:val="single" w:sz="4" w:space="0" w:color="auto"/>
            </w:tcBorders>
            <w:noWrap/>
            <w:vAlign w:val="center"/>
            <w:hideMark/>
          </w:tcPr>
          <w:p w14:paraId="41C9862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1.4035 </w:t>
            </w:r>
          </w:p>
        </w:tc>
        <w:tc>
          <w:tcPr>
            <w:tcW w:w="940" w:type="dxa"/>
            <w:tcBorders>
              <w:top w:val="nil"/>
              <w:left w:val="nil"/>
              <w:bottom w:val="single" w:sz="4" w:space="0" w:color="auto"/>
              <w:right w:val="single" w:sz="4" w:space="0" w:color="auto"/>
            </w:tcBorders>
            <w:noWrap/>
            <w:vAlign w:val="center"/>
            <w:hideMark/>
          </w:tcPr>
          <w:p w14:paraId="6B2BA3D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1.3205 </w:t>
            </w:r>
          </w:p>
        </w:tc>
        <w:tc>
          <w:tcPr>
            <w:tcW w:w="940" w:type="dxa"/>
            <w:tcBorders>
              <w:top w:val="nil"/>
              <w:left w:val="nil"/>
              <w:bottom w:val="single" w:sz="4" w:space="0" w:color="auto"/>
              <w:right w:val="single" w:sz="4" w:space="0" w:color="auto"/>
            </w:tcBorders>
            <w:noWrap/>
            <w:vAlign w:val="center"/>
            <w:hideMark/>
          </w:tcPr>
          <w:p w14:paraId="043A232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1.2845 </w:t>
            </w:r>
          </w:p>
        </w:tc>
        <w:tc>
          <w:tcPr>
            <w:tcW w:w="940" w:type="dxa"/>
            <w:tcBorders>
              <w:top w:val="nil"/>
              <w:left w:val="nil"/>
              <w:bottom w:val="single" w:sz="4" w:space="0" w:color="auto"/>
              <w:right w:val="single" w:sz="4" w:space="0" w:color="auto"/>
            </w:tcBorders>
            <w:shd w:val="clear" w:color="auto" w:fill="E6B8B7"/>
            <w:vAlign w:val="center"/>
            <w:hideMark/>
          </w:tcPr>
          <w:p w14:paraId="4562C51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3.7 </w:t>
            </w:r>
          </w:p>
        </w:tc>
        <w:tc>
          <w:tcPr>
            <w:tcW w:w="940" w:type="dxa"/>
            <w:tcBorders>
              <w:top w:val="nil"/>
              <w:left w:val="nil"/>
              <w:bottom w:val="single" w:sz="4" w:space="0" w:color="auto"/>
              <w:right w:val="single" w:sz="4" w:space="0" w:color="auto"/>
            </w:tcBorders>
            <w:noWrap/>
            <w:vAlign w:val="center"/>
            <w:hideMark/>
          </w:tcPr>
          <w:p w14:paraId="792EDE5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0.9869 </w:t>
            </w:r>
          </w:p>
        </w:tc>
        <w:tc>
          <w:tcPr>
            <w:tcW w:w="940" w:type="dxa"/>
            <w:tcBorders>
              <w:top w:val="nil"/>
              <w:left w:val="nil"/>
              <w:bottom w:val="single" w:sz="4" w:space="0" w:color="auto"/>
              <w:right w:val="single" w:sz="4" w:space="0" w:color="auto"/>
            </w:tcBorders>
            <w:noWrap/>
            <w:vAlign w:val="center"/>
            <w:hideMark/>
          </w:tcPr>
          <w:p w14:paraId="161570A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0.8845 </w:t>
            </w:r>
          </w:p>
        </w:tc>
        <w:tc>
          <w:tcPr>
            <w:tcW w:w="940" w:type="dxa"/>
            <w:tcBorders>
              <w:top w:val="nil"/>
              <w:left w:val="nil"/>
              <w:bottom w:val="single" w:sz="4" w:space="0" w:color="auto"/>
              <w:right w:val="single" w:sz="4" w:space="0" w:color="auto"/>
            </w:tcBorders>
            <w:noWrap/>
            <w:vAlign w:val="center"/>
            <w:hideMark/>
          </w:tcPr>
          <w:p w14:paraId="4F905D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0.7446 </w:t>
            </w:r>
          </w:p>
        </w:tc>
        <w:tc>
          <w:tcPr>
            <w:tcW w:w="940" w:type="dxa"/>
            <w:tcBorders>
              <w:top w:val="nil"/>
              <w:left w:val="nil"/>
              <w:bottom w:val="single" w:sz="4" w:space="0" w:color="auto"/>
              <w:right w:val="single" w:sz="4" w:space="0" w:color="auto"/>
            </w:tcBorders>
            <w:shd w:val="clear" w:color="auto" w:fill="E6B8B7"/>
            <w:noWrap/>
            <w:vAlign w:val="center"/>
            <w:hideMark/>
          </w:tcPr>
          <w:p w14:paraId="704EFBD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6.2 </w:t>
            </w:r>
          </w:p>
        </w:tc>
        <w:tc>
          <w:tcPr>
            <w:tcW w:w="940" w:type="dxa"/>
            <w:tcBorders>
              <w:top w:val="nil"/>
              <w:left w:val="nil"/>
              <w:bottom w:val="single" w:sz="4" w:space="0" w:color="auto"/>
              <w:right w:val="single" w:sz="4" w:space="0" w:color="auto"/>
            </w:tcBorders>
            <w:noWrap/>
            <w:vAlign w:val="center"/>
            <w:hideMark/>
          </w:tcPr>
          <w:p w14:paraId="2120367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0.8943 </w:t>
            </w:r>
          </w:p>
        </w:tc>
        <w:tc>
          <w:tcPr>
            <w:tcW w:w="940" w:type="dxa"/>
            <w:tcBorders>
              <w:top w:val="nil"/>
              <w:left w:val="nil"/>
              <w:bottom w:val="single" w:sz="4" w:space="0" w:color="auto"/>
              <w:right w:val="single" w:sz="4" w:space="0" w:color="auto"/>
            </w:tcBorders>
            <w:noWrap/>
            <w:vAlign w:val="center"/>
            <w:hideMark/>
          </w:tcPr>
          <w:p w14:paraId="6BD5E7C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0.7852 </w:t>
            </w:r>
          </w:p>
        </w:tc>
        <w:tc>
          <w:tcPr>
            <w:tcW w:w="940" w:type="dxa"/>
            <w:tcBorders>
              <w:top w:val="nil"/>
              <w:left w:val="nil"/>
              <w:bottom w:val="single" w:sz="4" w:space="0" w:color="auto"/>
              <w:right w:val="single" w:sz="4" w:space="0" w:color="auto"/>
            </w:tcBorders>
            <w:noWrap/>
            <w:vAlign w:val="center"/>
            <w:hideMark/>
          </w:tcPr>
          <w:p w14:paraId="08292C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0.6172 </w:t>
            </w:r>
          </w:p>
        </w:tc>
        <w:tc>
          <w:tcPr>
            <w:tcW w:w="940" w:type="dxa"/>
            <w:tcBorders>
              <w:top w:val="nil"/>
              <w:left w:val="nil"/>
              <w:bottom w:val="single" w:sz="4" w:space="0" w:color="auto"/>
              <w:right w:val="single" w:sz="4" w:space="0" w:color="auto"/>
            </w:tcBorders>
            <w:shd w:val="clear" w:color="auto" w:fill="E6B8B7"/>
            <w:vAlign w:val="center"/>
            <w:hideMark/>
          </w:tcPr>
          <w:p w14:paraId="2E8C1DF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8.7 </w:t>
            </w:r>
          </w:p>
        </w:tc>
        <w:tc>
          <w:tcPr>
            <w:tcW w:w="940" w:type="dxa"/>
            <w:tcBorders>
              <w:top w:val="nil"/>
              <w:left w:val="nil"/>
              <w:bottom w:val="single" w:sz="4" w:space="0" w:color="auto"/>
              <w:right w:val="single" w:sz="4" w:space="0" w:color="auto"/>
            </w:tcBorders>
            <w:noWrap/>
            <w:vAlign w:val="center"/>
            <w:hideMark/>
          </w:tcPr>
          <w:p w14:paraId="5066FA8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0.8533 </w:t>
            </w:r>
          </w:p>
        </w:tc>
        <w:tc>
          <w:tcPr>
            <w:tcW w:w="940" w:type="dxa"/>
            <w:tcBorders>
              <w:top w:val="nil"/>
              <w:left w:val="nil"/>
              <w:bottom w:val="single" w:sz="4" w:space="0" w:color="auto"/>
              <w:right w:val="single" w:sz="4" w:space="0" w:color="auto"/>
            </w:tcBorders>
            <w:noWrap/>
            <w:vAlign w:val="center"/>
            <w:hideMark/>
          </w:tcPr>
          <w:p w14:paraId="19A6E14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0.7399 </w:t>
            </w:r>
          </w:p>
        </w:tc>
        <w:tc>
          <w:tcPr>
            <w:tcW w:w="940" w:type="dxa"/>
            <w:tcBorders>
              <w:top w:val="nil"/>
              <w:left w:val="nil"/>
              <w:bottom w:val="single" w:sz="4" w:space="0" w:color="auto"/>
              <w:right w:val="single" w:sz="4" w:space="0" w:color="auto"/>
            </w:tcBorders>
            <w:noWrap/>
            <w:vAlign w:val="center"/>
            <w:hideMark/>
          </w:tcPr>
          <w:p w14:paraId="321DCD9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0.5560 </w:t>
            </w:r>
          </w:p>
        </w:tc>
      </w:tr>
      <w:tr w:rsidR="004A2C77" w:rsidRPr="00F631FB" w14:paraId="509EBEAE"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55053A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1.3 </w:t>
            </w:r>
          </w:p>
        </w:tc>
        <w:tc>
          <w:tcPr>
            <w:tcW w:w="940" w:type="dxa"/>
            <w:tcBorders>
              <w:top w:val="nil"/>
              <w:left w:val="nil"/>
              <w:bottom w:val="single" w:sz="4" w:space="0" w:color="auto"/>
              <w:right w:val="single" w:sz="4" w:space="0" w:color="auto"/>
            </w:tcBorders>
            <w:noWrap/>
            <w:vAlign w:val="center"/>
            <w:hideMark/>
          </w:tcPr>
          <w:p w14:paraId="55A64E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1.3622 </w:t>
            </w:r>
          </w:p>
        </w:tc>
        <w:tc>
          <w:tcPr>
            <w:tcW w:w="940" w:type="dxa"/>
            <w:tcBorders>
              <w:top w:val="nil"/>
              <w:left w:val="nil"/>
              <w:bottom w:val="single" w:sz="4" w:space="0" w:color="auto"/>
              <w:right w:val="single" w:sz="4" w:space="0" w:color="auto"/>
            </w:tcBorders>
            <w:noWrap/>
            <w:vAlign w:val="center"/>
            <w:hideMark/>
          </w:tcPr>
          <w:p w14:paraId="681A1D8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1.2775 </w:t>
            </w:r>
          </w:p>
        </w:tc>
        <w:tc>
          <w:tcPr>
            <w:tcW w:w="940" w:type="dxa"/>
            <w:tcBorders>
              <w:top w:val="nil"/>
              <w:left w:val="nil"/>
              <w:bottom w:val="single" w:sz="4" w:space="0" w:color="auto"/>
              <w:right w:val="single" w:sz="4" w:space="0" w:color="auto"/>
            </w:tcBorders>
            <w:noWrap/>
            <w:vAlign w:val="center"/>
            <w:hideMark/>
          </w:tcPr>
          <w:p w14:paraId="4CECB88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1.2332 </w:t>
            </w:r>
          </w:p>
        </w:tc>
        <w:tc>
          <w:tcPr>
            <w:tcW w:w="940" w:type="dxa"/>
            <w:tcBorders>
              <w:top w:val="nil"/>
              <w:left w:val="nil"/>
              <w:bottom w:val="single" w:sz="4" w:space="0" w:color="auto"/>
              <w:right w:val="single" w:sz="4" w:space="0" w:color="auto"/>
            </w:tcBorders>
            <w:shd w:val="clear" w:color="auto" w:fill="E6B8B7"/>
            <w:vAlign w:val="center"/>
            <w:hideMark/>
          </w:tcPr>
          <w:p w14:paraId="306F50F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3.8 </w:t>
            </w:r>
          </w:p>
        </w:tc>
        <w:tc>
          <w:tcPr>
            <w:tcW w:w="940" w:type="dxa"/>
            <w:tcBorders>
              <w:top w:val="nil"/>
              <w:left w:val="nil"/>
              <w:bottom w:val="single" w:sz="4" w:space="0" w:color="auto"/>
              <w:right w:val="single" w:sz="4" w:space="0" w:color="auto"/>
            </w:tcBorders>
            <w:noWrap/>
            <w:vAlign w:val="center"/>
            <w:hideMark/>
          </w:tcPr>
          <w:p w14:paraId="398198E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0.9808 </w:t>
            </w:r>
          </w:p>
        </w:tc>
        <w:tc>
          <w:tcPr>
            <w:tcW w:w="940" w:type="dxa"/>
            <w:tcBorders>
              <w:top w:val="nil"/>
              <w:left w:val="nil"/>
              <w:bottom w:val="single" w:sz="4" w:space="0" w:color="auto"/>
              <w:right w:val="single" w:sz="4" w:space="0" w:color="auto"/>
            </w:tcBorders>
            <w:noWrap/>
            <w:vAlign w:val="center"/>
            <w:hideMark/>
          </w:tcPr>
          <w:p w14:paraId="3BD39DD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noWrap/>
            <w:vAlign w:val="center"/>
            <w:hideMark/>
          </w:tcPr>
          <w:p w14:paraId="405B760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0.7364 </w:t>
            </w:r>
          </w:p>
        </w:tc>
        <w:tc>
          <w:tcPr>
            <w:tcW w:w="940" w:type="dxa"/>
            <w:tcBorders>
              <w:top w:val="nil"/>
              <w:left w:val="nil"/>
              <w:bottom w:val="single" w:sz="4" w:space="0" w:color="auto"/>
              <w:right w:val="single" w:sz="4" w:space="0" w:color="auto"/>
            </w:tcBorders>
            <w:shd w:val="clear" w:color="auto" w:fill="E6B8B7"/>
            <w:noWrap/>
            <w:vAlign w:val="center"/>
            <w:hideMark/>
          </w:tcPr>
          <w:p w14:paraId="0FCCEA5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6.3 </w:t>
            </w:r>
          </w:p>
        </w:tc>
        <w:tc>
          <w:tcPr>
            <w:tcW w:w="940" w:type="dxa"/>
            <w:tcBorders>
              <w:top w:val="nil"/>
              <w:left w:val="nil"/>
              <w:bottom w:val="single" w:sz="4" w:space="0" w:color="auto"/>
              <w:right w:val="single" w:sz="4" w:space="0" w:color="auto"/>
            </w:tcBorders>
            <w:noWrap/>
            <w:vAlign w:val="center"/>
            <w:hideMark/>
          </w:tcPr>
          <w:p w14:paraId="434659E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0.8920 </w:t>
            </w:r>
          </w:p>
        </w:tc>
        <w:tc>
          <w:tcPr>
            <w:tcW w:w="940" w:type="dxa"/>
            <w:tcBorders>
              <w:top w:val="nil"/>
              <w:left w:val="nil"/>
              <w:bottom w:val="single" w:sz="4" w:space="0" w:color="auto"/>
              <w:right w:val="single" w:sz="4" w:space="0" w:color="auto"/>
            </w:tcBorders>
            <w:noWrap/>
            <w:vAlign w:val="center"/>
            <w:hideMark/>
          </w:tcPr>
          <w:p w14:paraId="7CF4C8E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0.7828 </w:t>
            </w:r>
          </w:p>
        </w:tc>
        <w:tc>
          <w:tcPr>
            <w:tcW w:w="940" w:type="dxa"/>
            <w:tcBorders>
              <w:top w:val="nil"/>
              <w:left w:val="nil"/>
              <w:bottom w:val="single" w:sz="4" w:space="0" w:color="auto"/>
              <w:right w:val="single" w:sz="4" w:space="0" w:color="auto"/>
            </w:tcBorders>
            <w:noWrap/>
            <w:vAlign w:val="center"/>
            <w:hideMark/>
          </w:tcPr>
          <w:p w14:paraId="55CBACF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0.6141 </w:t>
            </w:r>
          </w:p>
        </w:tc>
        <w:tc>
          <w:tcPr>
            <w:tcW w:w="940" w:type="dxa"/>
            <w:tcBorders>
              <w:top w:val="nil"/>
              <w:left w:val="nil"/>
              <w:bottom w:val="single" w:sz="4" w:space="0" w:color="auto"/>
              <w:right w:val="single" w:sz="4" w:space="0" w:color="auto"/>
            </w:tcBorders>
            <w:shd w:val="clear" w:color="auto" w:fill="E6B8B7"/>
            <w:vAlign w:val="center"/>
            <w:hideMark/>
          </w:tcPr>
          <w:p w14:paraId="01B76D5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8.8 </w:t>
            </w:r>
          </w:p>
        </w:tc>
        <w:tc>
          <w:tcPr>
            <w:tcW w:w="940" w:type="dxa"/>
            <w:tcBorders>
              <w:top w:val="nil"/>
              <w:left w:val="nil"/>
              <w:bottom w:val="single" w:sz="4" w:space="0" w:color="auto"/>
              <w:right w:val="single" w:sz="4" w:space="0" w:color="auto"/>
            </w:tcBorders>
            <w:noWrap/>
            <w:vAlign w:val="center"/>
            <w:hideMark/>
          </w:tcPr>
          <w:p w14:paraId="74EAE59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0.8521 </w:t>
            </w:r>
          </w:p>
        </w:tc>
        <w:tc>
          <w:tcPr>
            <w:tcW w:w="940" w:type="dxa"/>
            <w:tcBorders>
              <w:top w:val="nil"/>
              <w:left w:val="nil"/>
              <w:bottom w:val="single" w:sz="4" w:space="0" w:color="auto"/>
              <w:right w:val="single" w:sz="4" w:space="0" w:color="auto"/>
            </w:tcBorders>
            <w:noWrap/>
            <w:vAlign w:val="center"/>
            <w:hideMark/>
          </w:tcPr>
          <w:p w14:paraId="7275DDA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0.7385 </w:t>
            </w:r>
          </w:p>
        </w:tc>
        <w:tc>
          <w:tcPr>
            <w:tcW w:w="940" w:type="dxa"/>
            <w:tcBorders>
              <w:top w:val="nil"/>
              <w:left w:val="nil"/>
              <w:bottom w:val="single" w:sz="4" w:space="0" w:color="auto"/>
              <w:right w:val="single" w:sz="4" w:space="0" w:color="auto"/>
            </w:tcBorders>
            <w:noWrap/>
            <w:vAlign w:val="center"/>
            <w:hideMark/>
          </w:tcPr>
          <w:p w14:paraId="2EC4D7F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0.5542 </w:t>
            </w:r>
          </w:p>
        </w:tc>
      </w:tr>
      <w:tr w:rsidR="004A2C77" w:rsidRPr="00F631FB" w14:paraId="4471AD8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505F4C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1.4 </w:t>
            </w:r>
          </w:p>
        </w:tc>
        <w:tc>
          <w:tcPr>
            <w:tcW w:w="940" w:type="dxa"/>
            <w:tcBorders>
              <w:top w:val="nil"/>
              <w:left w:val="nil"/>
              <w:bottom w:val="single" w:sz="4" w:space="0" w:color="auto"/>
              <w:right w:val="single" w:sz="4" w:space="0" w:color="auto"/>
            </w:tcBorders>
            <w:noWrap/>
            <w:vAlign w:val="center"/>
            <w:hideMark/>
          </w:tcPr>
          <w:p w14:paraId="008C286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1.3262 </w:t>
            </w:r>
          </w:p>
        </w:tc>
        <w:tc>
          <w:tcPr>
            <w:tcW w:w="940" w:type="dxa"/>
            <w:tcBorders>
              <w:top w:val="nil"/>
              <w:left w:val="nil"/>
              <w:bottom w:val="single" w:sz="4" w:space="0" w:color="auto"/>
              <w:right w:val="single" w:sz="4" w:space="0" w:color="auto"/>
            </w:tcBorders>
            <w:noWrap/>
            <w:vAlign w:val="center"/>
            <w:hideMark/>
          </w:tcPr>
          <w:p w14:paraId="1BF77EA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1.2402 </w:t>
            </w:r>
          </w:p>
        </w:tc>
        <w:tc>
          <w:tcPr>
            <w:tcW w:w="940" w:type="dxa"/>
            <w:tcBorders>
              <w:top w:val="nil"/>
              <w:left w:val="nil"/>
              <w:bottom w:val="single" w:sz="4" w:space="0" w:color="auto"/>
              <w:right w:val="single" w:sz="4" w:space="0" w:color="auto"/>
            </w:tcBorders>
            <w:noWrap/>
            <w:vAlign w:val="center"/>
            <w:hideMark/>
          </w:tcPr>
          <w:p w14:paraId="00C2376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1.1882 </w:t>
            </w:r>
          </w:p>
        </w:tc>
        <w:tc>
          <w:tcPr>
            <w:tcW w:w="940" w:type="dxa"/>
            <w:tcBorders>
              <w:top w:val="nil"/>
              <w:left w:val="nil"/>
              <w:bottom w:val="single" w:sz="4" w:space="0" w:color="auto"/>
              <w:right w:val="single" w:sz="4" w:space="0" w:color="auto"/>
            </w:tcBorders>
            <w:shd w:val="clear" w:color="auto" w:fill="E6B8B7"/>
            <w:vAlign w:val="center"/>
            <w:hideMark/>
          </w:tcPr>
          <w:p w14:paraId="35D3C63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3.9 </w:t>
            </w:r>
          </w:p>
        </w:tc>
        <w:tc>
          <w:tcPr>
            <w:tcW w:w="940" w:type="dxa"/>
            <w:tcBorders>
              <w:top w:val="nil"/>
              <w:left w:val="nil"/>
              <w:bottom w:val="single" w:sz="4" w:space="0" w:color="auto"/>
              <w:right w:val="single" w:sz="4" w:space="0" w:color="auto"/>
            </w:tcBorders>
            <w:noWrap/>
            <w:vAlign w:val="center"/>
            <w:hideMark/>
          </w:tcPr>
          <w:p w14:paraId="1867133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0.9751 </w:t>
            </w:r>
          </w:p>
        </w:tc>
        <w:tc>
          <w:tcPr>
            <w:tcW w:w="940" w:type="dxa"/>
            <w:tcBorders>
              <w:top w:val="nil"/>
              <w:left w:val="nil"/>
              <w:bottom w:val="single" w:sz="4" w:space="0" w:color="auto"/>
              <w:right w:val="single" w:sz="4" w:space="0" w:color="auto"/>
            </w:tcBorders>
            <w:noWrap/>
            <w:vAlign w:val="center"/>
            <w:hideMark/>
          </w:tcPr>
          <w:p w14:paraId="4559F92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0.8721 </w:t>
            </w:r>
          </w:p>
        </w:tc>
        <w:tc>
          <w:tcPr>
            <w:tcW w:w="940" w:type="dxa"/>
            <w:tcBorders>
              <w:top w:val="nil"/>
              <w:left w:val="nil"/>
              <w:bottom w:val="single" w:sz="4" w:space="0" w:color="auto"/>
              <w:right w:val="single" w:sz="4" w:space="0" w:color="auto"/>
            </w:tcBorders>
            <w:noWrap/>
            <w:vAlign w:val="center"/>
            <w:hideMark/>
          </w:tcPr>
          <w:p w14:paraId="27B83FE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0.7288 </w:t>
            </w:r>
          </w:p>
        </w:tc>
        <w:tc>
          <w:tcPr>
            <w:tcW w:w="940" w:type="dxa"/>
            <w:tcBorders>
              <w:top w:val="nil"/>
              <w:left w:val="nil"/>
              <w:bottom w:val="single" w:sz="4" w:space="0" w:color="auto"/>
              <w:right w:val="single" w:sz="4" w:space="0" w:color="auto"/>
            </w:tcBorders>
            <w:shd w:val="clear" w:color="auto" w:fill="E6B8B7"/>
            <w:noWrap/>
            <w:vAlign w:val="center"/>
            <w:hideMark/>
          </w:tcPr>
          <w:p w14:paraId="62779E7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6.4 </w:t>
            </w:r>
          </w:p>
        </w:tc>
        <w:tc>
          <w:tcPr>
            <w:tcW w:w="940" w:type="dxa"/>
            <w:tcBorders>
              <w:top w:val="nil"/>
              <w:left w:val="nil"/>
              <w:bottom w:val="single" w:sz="4" w:space="0" w:color="auto"/>
              <w:right w:val="single" w:sz="4" w:space="0" w:color="auto"/>
            </w:tcBorders>
            <w:noWrap/>
            <w:vAlign w:val="center"/>
            <w:hideMark/>
          </w:tcPr>
          <w:p w14:paraId="2206FB2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0.8899 </w:t>
            </w:r>
          </w:p>
        </w:tc>
        <w:tc>
          <w:tcPr>
            <w:tcW w:w="940" w:type="dxa"/>
            <w:tcBorders>
              <w:top w:val="nil"/>
              <w:left w:val="nil"/>
              <w:bottom w:val="single" w:sz="4" w:space="0" w:color="auto"/>
              <w:right w:val="single" w:sz="4" w:space="0" w:color="auto"/>
            </w:tcBorders>
            <w:noWrap/>
            <w:vAlign w:val="center"/>
            <w:hideMark/>
          </w:tcPr>
          <w:p w14:paraId="00DD91F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0.7804 </w:t>
            </w:r>
          </w:p>
        </w:tc>
        <w:tc>
          <w:tcPr>
            <w:tcW w:w="940" w:type="dxa"/>
            <w:tcBorders>
              <w:top w:val="nil"/>
              <w:left w:val="nil"/>
              <w:bottom w:val="single" w:sz="4" w:space="0" w:color="auto"/>
              <w:right w:val="single" w:sz="4" w:space="0" w:color="auto"/>
            </w:tcBorders>
            <w:noWrap/>
            <w:vAlign w:val="center"/>
            <w:hideMark/>
          </w:tcPr>
          <w:p w14:paraId="4F3543D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0.6110 </w:t>
            </w:r>
          </w:p>
        </w:tc>
        <w:tc>
          <w:tcPr>
            <w:tcW w:w="940" w:type="dxa"/>
            <w:tcBorders>
              <w:top w:val="nil"/>
              <w:left w:val="nil"/>
              <w:bottom w:val="single" w:sz="4" w:space="0" w:color="auto"/>
              <w:right w:val="single" w:sz="4" w:space="0" w:color="auto"/>
            </w:tcBorders>
            <w:shd w:val="clear" w:color="auto" w:fill="E6B8B7"/>
            <w:vAlign w:val="center"/>
            <w:hideMark/>
          </w:tcPr>
          <w:p w14:paraId="49784EC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8.9 </w:t>
            </w:r>
          </w:p>
        </w:tc>
        <w:tc>
          <w:tcPr>
            <w:tcW w:w="940" w:type="dxa"/>
            <w:tcBorders>
              <w:top w:val="nil"/>
              <w:left w:val="nil"/>
              <w:bottom w:val="single" w:sz="4" w:space="0" w:color="auto"/>
              <w:right w:val="single" w:sz="4" w:space="0" w:color="auto"/>
            </w:tcBorders>
            <w:noWrap/>
            <w:vAlign w:val="center"/>
            <w:hideMark/>
          </w:tcPr>
          <w:p w14:paraId="2773B63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0.8510 </w:t>
            </w:r>
          </w:p>
        </w:tc>
        <w:tc>
          <w:tcPr>
            <w:tcW w:w="940" w:type="dxa"/>
            <w:tcBorders>
              <w:top w:val="nil"/>
              <w:left w:val="nil"/>
              <w:bottom w:val="single" w:sz="4" w:space="0" w:color="auto"/>
              <w:right w:val="single" w:sz="4" w:space="0" w:color="auto"/>
            </w:tcBorders>
            <w:noWrap/>
            <w:vAlign w:val="center"/>
            <w:hideMark/>
          </w:tcPr>
          <w:p w14:paraId="1D210D4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0.7372 </w:t>
            </w:r>
          </w:p>
        </w:tc>
        <w:tc>
          <w:tcPr>
            <w:tcW w:w="940" w:type="dxa"/>
            <w:tcBorders>
              <w:top w:val="nil"/>
              <w:left w:val="nil"/>
              <w:bottom w:val="single" w:sz="4" w:space="0" w:color="auto"/>
              <w:right w:val="single" w:sz="4" w:space="0" w:color="auto"/>
            </w:tcBorders>
            <w:noWrap/>
            <w:vAlign w:val="center"/>
            <w:hideMark/>
          </w:tcPr>
          <w:p w14:paraId="18064AD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0.5523 </w:t>
            </w:r>
          </w:p>
        </w:tc>
      </w:tr>
      <w:tr w:rsidR="004A2C77" w:rsidRPr="00F631FB" w14:paraId="22BD7EA0"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81A5627"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1.5 </w:t>
            </w:r>
          </w:p>
        </w:tc>
        <w:tc>
          <w:tcPr>
            <w:tcW w:w="940" w:type="dxa"/>
            <w:tcBorders>
              <w:top w:val="nil"/>
              <w:left w:val="nil"/>
              <w:bottom w:val="single" w:sz="4" w:space="0" w:color="auto"/>
              <w:right w:val="single" w:sz="4" w:space="0" w:color="auto"/>
            </w:tcBorders>
            <w:noWrap/>
            <w:vAlign w:val="center"/>
            <w:hideMark/>
          </w:tcPr>
          <w:p w14:paraId="0567EEA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1.2948 </w:t>
            </w:r>
          </w:p>
        </w:tc>
        <w:tc>
          <w:tcPr>
            <w:tcW w:w="940" w:type="dxa"/>
            <w:tcBorders>
              <w:top w:val="nil"/>
              <w:left w:val="nil"/>
              <w:bottom w:val="single" w:sz="4" w:space="0" w:color="auto"/>
              <w:right w:val="single" w:sz="4" w:space="0" w:color="auto"/>
            </w:tcBorders>
            <w:noWrap/>
            <w:vAlign w:val="center"/>
            <w:hideMark/>
          </w:tcPr>
          <w:p w14:paraId="7F3B90B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1.2075 </w:t>
            </w:r>
          </w:p>
        </w:tc>
        <w:tc>
          <w:tcPr>
            <w:tcW w:w="940" w:type="dxa"/>
            <w:tcBorders>
              <w:top w:val="nil"/>
              <w:left w:val="nil"/>
              <w:bottom w:val="single" w:sz="4" w:space="0" w:color="auto"/>
              <w:right w:val="single" w:sz="4" w:space="0" w:color="auto"/>
            </w:tcBorders>
            <w:noWrap/>
            <w:vAlign w:val="center"/>
            <w:hideMark/>
          </w:tcPr>
          <w:p w14:paraId="2B2C066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1.1486 </w:t>
            </w:r>
          </w:p>
        </w:tc>
        <w:tc>
          <w:tcPr>
            <w:tcW w:w="940" w:type="dxa"/>
            <w:tcBorders>
              <w:top w:val="nil"/>
              <w:left w:val="nil"/>
              <w:bottom w:val="single" w:sz="4" w:space="0" w:color="auto"/>
              <w:right w:val="single" w:sz="4" w:space="0" w:color="auto"/>
            </w:tcBorders>
            <w:shd w:val="clear" w:color="auto" w:fill="E6B8B7"/>
            <w:vAlign w:val="center"/>
            <w:hideMark/>
          </w:tcPr>
          <w:p w14:paraId="52FED81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4.0 </w:t>
            </w:r>
          </w:p>
        </w:tc>
        <w:tc>
          <w:tcPr>
            <w:tcW w:w="940" w:type="dxa"/>
            <w:tcBorders>
              <w:top w:val="nil"/>
              <w:left w:val="nil"/>
              <w:bottom w:val="single" w:sz="4" w:space="0" w:color="auto"/>
              <w:right w:val="single" w:sz="4" w:space="0" w:color="auto"/>
            </w:tcBorders>
            <w:noWrap/>
            <w:vAlign w:val="center"/>
            <w:hideMark/>
          </w:tcPr>
          <w:p w14:paraId="15B3C99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0.9699 </w:t>
            </w:r>
          </w:p>
        </w:tc>
        <w:tc>
          <w:tcPr>
            <w:tcW w:w="940" w:type="dxa"/>
            <w:tcBorders>
              <w:top w:val="nil"/>
              <w:left w:val="nil"/>
              <w:bottom w:val="single" w:sz="4" w:space="0" w:color="auto"/>
              <w:right w:val="single" w:sz="4" w:space="0" w:color="auto"/>
            </w:tcBorders>
            <w:noWrap/>
            <w:vAlign w:val="center"/>
            <w:hideMark/>
          </w:tcPr>
          <w:p w14:paraId="2D4854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0.8665 </w:t>
            </w:r>
          </w:p>
        </w:tc>
        <w:tc>
          <w:tcPr>
            <w:tcW w:w="940" w:type="dxa"/>
            <w:tcBorders>
              <w:top w:val="nil"/>
              <w:left w:val="nil"/>
              <w:bottom w:val="single" w:sz="4" w:space="0" w:color="auto"/>
              <w:right w:val="single" w:sz="4" w:space="0" w:color="auto"/>
            </w:tcBorders>
            <w:noWrap/>
            <w:vAlign w:val="center"/>
            <w:hideMark/>
          </w:tcPr>
          <w:p w14:paraId="4ADBE5D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0.7218 </w:t>
            </w:r>
          </w:p>
        </w:tc>
        <w:tc>
          <w:tcPr>
            <w:tcW w:w="940" w:type="dxa"/>
            <w:tcBorders>
              <w:top w:val="nil"/>
              <w:left w:val="nil"/>
              <w:bottom w:val="single" w:sz="4" w:space="0" w:color="auto"/>
              <w:right w:val="single" w:sz="4" w:space="0" w:color="auto"/>
            </w:tcBorders>
            <w:shd w:val="clear" w:color="auto" w:fill="E6B8B7"/>
            <w:noWrap/>
            <w:vAlign w:val="center"/>
            <w:hideMark/>
          </w:tcPr>
          <w:p w14:paraId="710E2A5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6.5 </w:t>
            </w:r>
          </w:p>
        </w:tc>
        <w:tc>
          <w:tcPr>
            <w:tcW w:w="940" w:type="dxa"/>
            <w:tcBorders>
              <w:top w:val="nil"/>
              <w:left w:val="nil"/>
              <w:bottom w:val="single" w:sz="4" w:space="0" w:color="auto"/>
              <w:right w:val="single" w:sz="4" w:space="0" w:color="auto"/>
            </w:tcBorders>
            <w:noWrap/>
            <w:vAlign w:val="center"/>
            <w:hideMark/>
          </w:tcPr>
          <w:p w14:paraId="477A803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0.8878 </w:t>
            </w:r>
          </w:p>
        </w:tc>
        <w:tc>
          <w:tcPr>
            <w:tcW w:w="940" w:type="dxa"/>
            <w:tcBorders>
              <w:top w:val="nil"/>
              <w:left w:val="nil"/>
              <w:bottom w:val="single" w:sz="4" w:space="0" w:color="auto"/>
              <w:right w:val="single" w:sz="4" w:space="0" w:color="auto"/>
            </w:tcBorders>
            <w:noWrap/>
            <w:vAlign w:val="center"/>
            <w:hideMark/>
          </w:tcPr>
          <w:p w14:paraId="4196156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0.7781 </w:t>
            </w:r>
          </w:p>
        </w:tc>
        <w:tc>
          <w:tcPr>
            <w:tcW w:w="940" w:type="dxa"/>
            <w:tcBorders>
              <w:top w:val="nil"/>
              <w:left w:val="nil"/>
              <w:bottom w:val="single" w:sz="4" w:space="0" w:color="auto"/>
              <w:right w:val="single" w:sz="4" w:space="0" w:color="auto"/>
            </w:tcBorders>
            <w:noWrap/>
            <w:vAlign w:val="center"/>
            <w:hideMark/>
          </w:tcPr>
          <w:p w14:paraId="35BFCC3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0.6080 </w:t>
            </w:r>
          </w:p>
        </w:tc>
        <w:tc>
          <w:tcPr>
            <w:tcW w:w="940" w:type="dxa"/>
            <w:tcBorders>
              <w:top w:val="nil"/>
              <w:left w:val="nil"/>
              <w:bottom w:val="single" w:sz="4" w:space="0" w:color="auto"/>
              <w:right w:val="single" w:sz="4" w:space="0" w:color="auto"/>
            </w:tcBorders>
            <w:shd w:val="clear" w:color="auto" w:fill="E6B8B7"/>
            <w:vAlign w:val="center"/>
            <w:hideMark/>
          </w:tcPr>
          <w:p w14:paraId="1A0A0B8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9.0 </w:t>
            </w:r>
          </w:p>
        </w:tc>
        <w:tc>
          <w:tcPr>
            <w:tcW w:w="940" w:type="dxa"/>
            <w:tcBorders>
              <w:top w:val="nil"/>
              <w:left w:val="nil"/>
              <w:bottom w:val="single" w:sz="4" w:space="0" w:color="auto"/>
              <w:right w:val="single" w:sz="4" w:space="0" w:color="auto"/>
            </w:tcBorders>
            <w:noWrap/>
            <w:vAlign w:val="center"/>
            <w:hideMark/>
          </w:tcPr>
          <w:p w14:paraId="0E68568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0.8498 </w:t>
            </w:r>
          </w:p>
        </w:tc>
        <w:tc>
          <w:tcPr>
            <w:tcW w:w="940" w:type="dxa"/>
            <w:tcBorders>
              <w:top w:val="nil"/>
              <w:left w:val="nil"/>
              <w:bottom w:val="single" w:sz="4" w:space="0" w:color="auto"/>
              <w:right w:val="single" w:sz="4" w:space="0" w:color="auto"/>
            </w:tcBorders>
            <w:noWrap/>
            <w:vAlign w:val="center"/>
            <w:hideMark/>
          </w:tcPr>
          <w:p w14:paraId="53CCBD9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0.7359 </w:t>
            </w:r>
          </w:p>
        </w:tc>
        <w:tc>
          <w:tcPr>
            <w:tcW w:w="940" w:type="dxa"/>
            <w:tcBorders>
              <w:top w:val="nil"/>
              <w:left w:val="nil"/>
              <w:bottom w:val="single" w:sz="4" w:space="0" w:color="auto"/>
              <w:right w:val="single" w:sz="4" w:space="0" w:color="auto"/>
            </w:tcBorders>
            <w:noWrap/>
            <w:vAlign w:val="center"/>
            <w:hideMark/>
          </w:tcPr>
          <w:p w14:paraId="7091C19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0.5505 </w:t>
            </w:r>
          </w:p>
        </w:tc>
      </w:tr>
      <w:tr w:rsidR="004A2C77" w:rsidRPr="00F631FB" w14:paraId="1A627011"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AAF8AD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1.6 </w:t>
            </w:r>
          </w:p>
        </w:tc>
        <w:tc>
          <w:tcPr>
            <w:tcW w:w="940" w:type="dxa"/>
            <w:tcBorders>
              <w:top w:val="nil"/>
              <w:left w:val="nil"/>
              <w:bottom w:val="single" w:sz="4" w:space="0" w:color="auto"/>
              <w:right w:val="single" w:sz="4" w:space="0" w:color="auto"/>
            </w:tcBorders>
            <w:noWrap/>
            <w:vAlign w:val="center"/>
            <w:hideMark/>
          </w:tcPr>
          <w:p w14:paraId="1B6DC48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1.2673 </w:t>
            </w:r>
          </w:p>
        </w:tc>
        <w:tc>
          <w:tcPr>
            <w:tcW w:w="940" w:type="dxa"/>
            <w:tcBorders>
              <w:top w:val="nil"/>
              <w:left w:val="nil"/>
              <w:bottom w:val="single" w:sz="4" w:space="0" w:color="auto"/>
              <w:right w:val="single" w:sz="4" w:space="0" w:color="auto"/>
            </w:tcBorders>
            <w:noWrap/>
            <w:vAlign w:val="center"/>
            <w:hideMark/>
          </w:tcPr>
          <w:p w14:paraId="5D193CE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1.1789 </w:t>
            </w:r>
          </w:p>
        </w:tc>
        <w:tc>
          <w:tcPr>
            <w:tcW w:w="940" w:type="dxa"/>
            <w:tcBorders>
              <w:top w:val="nil"/>
              <w:left w:val="nil"/>
              <w:bottom w:val="single" w:sz="4" w:space="0" w:color="auto"/>
              <w:right w:val="single" w:sz="4" w:space="0" w:color="auto"/>
            </w:tcBorders>
            <w:noWrap/>
            <w:vAlign w:val="center"/>
            <w:hideMark/>
          </w:tcPr>
          <w:p w14:paraId="2C41EC7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1.1135 </w:t>
            </w:r>
          </w:p>
        </w:tc>
        <w:tc>
          <w:tcPr>
            <w:tcW w:w="940" w:type="dxa"/>
            <w:tcBorders>
              <w:top w:val="nil"/>
              <w:left w:val="nil"/>
              <w:bottom w:val="single" w:sz="4" w:space="0" w:color="auto"/>
              <w:right w:val="single" w:sz="4" w:space="0" w:color="auto"/>
            </w:tcBorders>
            <w:shd w:val="clear" w:color="auto" w:fill="E6B8B7"/>
            <w:vAlign w:val="center"/>
            <w:hideMark/>
          </w:tcPr>
          <w:p w14:paraId="781971C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4.1 </w:t>
            </w:r>
          </w:p>
        </w:tc>
        <w:tc>
          <w:tcPr>
            <w:tcW w:w="940" w:type="dxa"/>
            <w:tcBorders>
              <w:top w:val="nil"/>
              <w:left w:val="nil"/>
              <w:bottom w:val="single" w:sz="4" w:space="0" w:color="auto"/>
              <w:right w:val="single" w:sz="4" w:space="0" w:color="auto"/>
            </w:tcBorders>
            <w:noWrap/>
            <w:vAlign w:val="center"/>
            <w:hideMark/>
          </w:tcPr>
          <w:p w14:paraId="0330179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0.9648 </w:t>
            </w:r>
          </w:p>
        </w:tc>
        <w:tc>
          <w:tcPr>
            <w:tcW w:w="940" w:type="dxa"/>
            <w:tcBorders>
              <w:top w:val="nil"/>
              <w:left w:val="nil"/>
              <w:bottom w:val="single" w:sz="4" w:space="0" w:color="auto"/>
              <w:right w:val="single" w:sz="4" w:space="0" w:color="auto"/>
            </w:tcBorders>
            <w:noWrap/>
            <w:vAlign w:val="center"/>
            <w:hideMark/>
          </w:tcPr>
          <w:p w14:paraId="6705222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0.8611 </w:t>
            </w:r>
          </w:p>
        </w:tc>
        <w:tc>
          <w:tcPr>
            <w:tcW w:w="940" w:type="dxa"/>
            <w:tcBorders>
              <w:top w:val="nil"/>
              <w:left w:val="nil"/>
              <w:bottom w:val="single" w:sz="4" w:space="0" w:color="auto"/>
              <w:right w:val="single" w:sz="4" w:space="0" w:color="auto"/>
            </w:tcBorders>
            <w:noWrap/>
            <w:vAlign w:val="center"/>
            <w:hideMark/>
          </w:tcPr>
          <w:p w14:paraId="4AFC953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0.7150 </w:t>
            </w:r>
          </w:p>
        </w:tc>
        <w:tc>
          <w:tcPr>
            <w:tcW w:w="940" w:type="dxa"/>
            <w:tcBorders>
              <w:top w:val="nil"/>
              <w:left w:val="nil"/>
              <w:bottom w:val="single" w:sz="4" w:space="0" w:color="auto"/>
              <w:right w:val="single" w:sz="4" w:space="0" w:color="auto"/>
            </w:tcBorders>
            <w:shd w:val="clear" w:color="auto" w:fill="E6B8B7"/>
            <w:noWrap/>
            <w:vAlign w:val="center"/>
            <w:hideMark/>
          </w:tcPr>
          <w:p w14:paraId="56F4C49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6.6 </w:t>
            </w:r>
          </w:p>
        </w:tc>
        <w:tc>
          <w:tcPr>
            <w:tcW w:w="940" w:type="dxa"/>
            <w:tcBorders>
              <w:top w:val="nil"/>
              <w:left w:val="nil"/>
              <w:bottom w:val="single" w:sz="4" w:space="0" w:color="auto"/>
              <w:right w:val="single" w:sz="4" w:space="0" w:color="auto"/>
            </w:tcBorders>
            <w:noWrap/>
            <w:vAlign w:val="center"/>
            <w:hideMark/>
          </w:tcPr>
          <w:p w14:paraId="07274A8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0.8858 </w:t>
            </w:r>
          </w:p>
        </w:tc>
        <w:tc>
          <w:tcPr>
            <w:tcW w:w="940" w:type="dxa"/>
            <w:tcBorders>
              <w:top w:val="nil"/>
              <w:left w:val="nil"/>
              <w:bottom w:val="single" w:sz="4" w:space="0" w:color="auto"/>
              <w:right w:val="single" w:sz="4" w:space="0" w:color="auto"/>
            </w:tcBorders>
            <w:noWrap/>
            <w:vAlign w:val="center"/>
            <w:hideMark/>
          </w:tcPr>
          <w:p w14:paraId="0963A75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0.7758 </w:t>
            </w:r>
          </w:p>
        </w:tc>
        <w:tc>
          <w:tcPr>
            <w:tcW w:w="940" w:type="dxa"/>
            <w:tcBorders>
              <w:top w:val="nil"/>
              <w:left w:val="nil"/>
              <w:bottom w:val="single" w:sz="4" w:space="0" w:color="auto"/>
              <w:right w:val="single" w:sz="4" w:space="0" w:color="auto"/>
            </w:tcBorders>
            <w:noWrap/>
            <w:vAlign w:val="center"/>
            <w:hideMark/>
          </w:tcPr>
          <w:p w14:paraId="4F177D3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0.6050 </w:t>
            </w:r>
          </w:p>
        </w:tc>
        <w:tc>
          <w:tcPr>
            <w:tcW w:w="940" w:type="dxa"/>
            <w:tcBorders>
              <w:top w:val="nil"/>
              <w:left w:val="nil"/>
              <w:bottom w:val="single" w:sz="4" w:space="0" w:color="auto"/>
              <w:right w:val="single" w:sz="4" w:space="0" w:color="auto"/>
            </w:tcBorders>
            <w:shd w:val="clear" w:color="auto" w:fill="E6B8B7"/>
            <w:vAlign w:val="center"/>
            <w:hideMark/>
          </w:tcPr>
          <w:p w14:paraId="532B5AD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9.1 </w:t>
            </w:r>
          </w:p>
        </w:tc>
        <w:tc>
          <w:tcPr>
            <w:tcW w:w="940" w:type="dxa"/>
            <w:tcBorders>
              <w:top w:val="nil"/>
              <w:left w:val="nil"/>
              <w:bottom w:val="single" w:sz="4" w:space="0" w:color="auto"/>
              <w:right w:val="single" w:sz="4" w:space="0" w:color="auto"/>
            </w:tcBorders>
            <w:noWrap/>
            <w:vAlign w:val="center"/>
            <w:hideMark/>
          </w:tcPr>
          <w:p w14:paraId="41486B8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0.8487 </w:t>
            </w:r>
          </w:p>
        </w:tc>
        <w:tc>
          <w:tcPr>
            <w:tcW w:w="940" w:type="dxa"/>
            <w:tcBorders>
              <w:top w:val="nil"/>
              <w:left w:val="nil"/>
              <w:bottom w:val="single" w:sz="4" w:space="0" w:color="auto"/>
              <w:right w:val="single" w:sz="4" w:space="0" w:color="auto"/>
            </w:tcBorders>
            <w:noWrap/>
            <w:vAlign w:val="center"/>
            <w:hideMark/>
          </w:tcPr>
          <w:p w14:paraId="1252053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0.7347 </w:t>
            </w:r>
          </w:p>
        </w:tc>
        <w:tc>
          <w:tcPr>
            <w:tcW w:w="940" w:type="dxa"/>
            <w:tcBorders>
              <w:top w:val="nil"/>
              <w:left w:val="nil"/>
              <w:bottom w:val="single" w:sz="4" w:space="0" w:color="auto"/>
              <w:right w:val="single" w:sz="4" w:space="0" w:color="auto"/>
            </w:tcBorders>
            <w:noWrap/>
            <w:vAlign w:val="center"/>
            <w:hideMark/>
          </w:tcPr>
          <w:p w14:paraId="6F9DF8E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0.5488 </w:t>
            </w:r>
          </w:p>
        </w:tc>
      </w:tr>
      <w:tr w:rsidR="004A2C77" w:rsidRPr="00F631FB" w14:paraId="688505CE"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D71EDD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1.7 </w:t>
            </w:r>
          </w:p>
        </w:tc>
        <w:tc>
          <w:tcPr>
            <w:tcW w:w="940" w:type="dxa"/>
            <w:tcBorders>
              <w:top w:val="nil"/>
              <w:left w:val="nil"/>
              <w:bottom w:val="single" w:sz="4" w:space="0" w:color="auto"/>
              <w:right w:val="single" w:sz="4" w:space="0" w:color="auto"/>
            </w:tcBorders>
            <w:noWrap/>
            <w:vAlign w:val="center"/>
            <w:hideMark/>
          </w:tcPr>
          <w:p w14:paraId="26BEAE7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1.2429 </w:t>
            </w:r>
          </w:p>
        </w:tc>
        <w:tc>
          <w:tcPr>
            <w:tcW w:w="940" w:type="dxa"/>
            <w:tcBorders>
              <w:top w:val="nil"/>
              <w:left w:val="nil"/>
              <w:bottom w:val="single" w:sz="4" w:space="0" w:color="auto"/>
              <w:right w:val="single" w:sz="4" w:space="0" w:color="auto"/>
            </w:tcBorders>
            <w:noWrap/>
            <w:vAlign w:val="center"/>
            <w:hideMark/>
          </w:tcPr>
          <w:p w14:paraId="7C37149E" w14:textId="3371ABE0"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w:t>
            </w:r>
            <w:r w:rsidR="00995EB3">
              <w:rPr>
                <w:rFonts w:ascii="微软雅黑" w:eastAsia="微软雅黑" w:hAnsi="微软雅黑" w:cs="宋体" w:hint="eastAsia"/>
                <w:color w:val="000000"/>
                <w:sz w:val="15"/>
                <w:szCs w:val="15"/>
              </w:rPr>
              <w:t>1493</w:t>
            </w:r>
            <w:r w:rsidRPr="00F631FB">
              <w:rPr>
                <w:rFonts w:ascii="微软雅黑" w:eastAsia="微软雅黑" w:hAnsi="微软雅黑" w:cs="宋体" w:hint="eastAsia"/>
                <w:color w:val="000000"/>
                <w:sz w:val="15"/>
                <w:szCs w:val="15"/>
              </w:rPr>
              <w:t xml:space="preserve"> </w:t>
            </w:r>
          </w:p>
        </w:tc>
        <w:tc>
          <w:tcPr>
            <w:tcW w:w="940" w:type="dxa"/>
            <w:tcBorders>
              <w:top w:val="nil"/>
              <w:left w:val="nil"/>
              <w:bottom w:val="single" w:sz="4" w:space="0" w:color="auto"/>
              <w:right w:val="single" w:sz="4" w:space="0" w:color="auto"/>
            </w:tcBorders>
            <w:noWrap/>
            <w:vAlign w:val="center"/>
            <w:hideMark/>
          </w:tcPr>
          <w:p w14:paraId="681EDCF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1.0820 </w:t>
            </w:r>
          </w:p>
        </w:tc>
        <w:tc>
          <w:tcPr>
            <w:tcW w:w="940" w:type="dxa"/>
            <w:tcBorders>
              <w:top w:val="nil"/>
              <w:left w:val="nil"/>
              <w:bottom w:val="single" w:sz="4" w:space="0" w:color="auto"/>
              <w:right w:val="single" w:sz="4" w:space="0" w:color="auto"/>
            </w:tcBorders>
            <w:shd w:val="clear" w:color="auto" w:fill="E6B8B7"/>
            <w:vAlign w:val="center"/>
            <w:hideMark/>
          </w:tcPr>
          <w:p w14:paraId="0310F63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4.2 </w:t>
            </w:r>
          </w:p>
        </w:tc>
        <w:tc>
          <w:tcPr>
            <w:tcW w:w="940" w:type="dxa"/>
            <w:tcBorders>
              <w:top w:val="nil"/>
              <w:left w:val="nil"/>
              <w:bottom w:val="single" w:sz="4" w:space="0" w:color="auto"/>
              <w:right w:val="single" w:sz="4" w:space="0" w:color="auto"/>
            </w:tcBorders>
            <w:noWrap/>
            <w:vAlign w:val="center"/>
            <w:hideMark/>
          </w:tcPr>
          <w:p w14:paraId="3CC130D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0.9600 </w:t>
            </w:r>
          </w:p>
        </w:tc>
        <w:tc>
          <w:tcPr>
            <w:tcW w:w="940" w:type="dxa"/>
            <w:tcBorders>
              <w:top w:val="nil"/>
              <w:left w:val="nil"/>
              <w:bottom w:val="single" w:sz="4" w:space="0" w:color="auto"/>
              <w:right w:val="single" w:sz="4" w:space="0" w:color="auto"/>
            </w:tcBorders>
            <w:noWrap/>
            <w:vAlign w:val="center"/>
            <w:hideMark/>
          </w:tcPr>
          <w:p w14:paraId="5A7C1BD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0.8560 </w:t>
            </w:r>
          </w:p>
        </w:tc>
        <w:tc>
          <w:tcPr>
            <w:tcW w:w="940" w:type="dxa"/>
            <w:tcBorders>
              <w:top w:val="nil"/>
              <w:left w:val="nil"/>
              <w:bottom w:val="single" w:sz="4" w:space="0" w:color="auto"/>
              <w:right w:val="single" w:sz="4" w:space="0" w:color="auto"/>
            </w:tcBorders>
            <w:noWrap/>
            <w:vAlign w:val="center"/>
            <w:hideMark/>
          </w:tcPr>
          <w:p w14:paraId="66453FF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0.7084 </w:t>
            </w:r>
          </w:p>
        </w:tc>
        <w:tc>
          <w:tcPr>
            <w:tcW w:w="940" w:type="dxa"/>
            <w:tcBorders>
              <w:top w:val="nil"/>
              <w:left w:val="nil"/>
              <w:bottom w:val="single" w:sz="4" w:space="0" w:color="auto"/>
              <w:right w:val="single" w:sz="4" w:space="0" w:color="auto"/>
            </w:tcBorders>
            <w:shd w:val="clear" w:color="auto" w:fill="E6B8B7"/>
            <w:noWrap/>
            <w:vAlign w:val="center"/>
            <w:hideMark/>
          </w:tcPr>
          <w:p w14:paraId="09B3519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6.7 </w:t>
            </w:r>
          </w:p>
        </w:tc>
        <w:tc>
          <w:tcPr>
            <w:tcW w:w="940" w:type="dxa"/>
            <w:tcBorders>
              <w:top w:val="nil"/>
              <w:left w:val="nil"/>
              <w:bottom w:val="single" w:sz="4" w:space="0" w:color="auto"/>
              <w:right w:val="single" w:sz="4" w:space="0" w:color="auto"/>
            </w:tcBorders>
            <w:noWrap/>
            <w:vAlign w:val="center"/>
            <w:hideMark/>
          </w:tcPr>
          <w:p w14:paraId="3F4E523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0.8838 </w:t>
            </w:r>
          </w:p>
        </w:tc>
        <w:tc>
          <w:tcPr>
            <w:tcW w:w="940" w:type="dxa"/>
            <w:tcBorders>
              <w:top w:val="nil"/>
              <w:left w:val="nil"/>
              <w:bottom w:val="single" w:sz="4" w:space="0" w:color="auto"/>
              <w:right w:val="single" w:sz="4" w:space="0" w:color="auto"/>
            </w:tcBorders>
            <w:noWrap/>
            <w:vAlign w:val="center"/>
            <w:hideMark/>
          </w:tcPr>
          <w:p w14:paraId="3AB5F1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0.7736 </w:t>
            </w:r>
          </w:p>
        </w:tc>
        <w:tc>
          <w:tcPr>
            <w:tcW w:w="940" w:type="dxa"/>
            <w:tcBorders>
              <w:top w:val="nil"/>
              <w:left w:val="nil"/>
              <w:bottom w:val="single" w:sz="4" w:space="0" w:color="auto"/>
              <w:right w:val="single" w:sz="4" w:space="0" w:color="auto"/>
            </w:tcBorders>
            <w:noWrap/>
            <w:vAlign w:val="center"/>
            <w:hideMark/>
          </w:tcPr>
          <w:p w14:paraId="70FC122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0.6021 </w:t>
            </w:r>
          </w:p>
        </w:tc>
        <w:tc>
          <w:tcPr>
            <w:tcW w:w="940" w:type="dxa"/>
            <w:tcBorders>
              <w:top w:val="nil"/>
              <w:left w:val="nil"/>
              <w:bottom w:val="single" w:sz="4" w:space="0" w:color="auto"/>
              <w:right w:val="single" w:sz="4" w:space="0" w:color="auto"/>
            </w:tcBorders>
            <w:shd w:val="clear" w:color="auto" w:fill="E6B8B7"/>
            <w:vAlign w:val="center"/>
            <w:hideMark/>
          </w:tcPr>
          <w:p w14:paraId="1151526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9.2 </w:t>
            </w:r>
          </w:p>
        </w:tc>
        <w:tc>
          <w:tcPr>
            <w:tcW w:w="940" w:type="dxa"/>
            <w:tcBorders>
              <w:top w:val="nil"/>
              <w:left w:val="nil"/>
              <w:bottom w:val="single" w:sz="4" w:space="0" w:color="auto"/>
              <w:right w:val="single" w:sz="4" w:space="0" w:color="auto"/>
            </w:tcBorders>
            <w:noWrap/>
            <w:vAlign w:val="center"/>
            <w:hideMark/>
          </w:tcPr>
          <w:p w14:paraId="77D363E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0.8477 </w:t>
            </w:r>
          </w:p>
        </w:tc>
        <w:tc>
          <w:tcPr>
            <w:tcW w:w="940" w:type="dxa"/>
            <w:tcBorders>
              <w:top w:val="nil"/>
              <w:left w:val="nil"/>
              <w:bottom w:val="single" w:sz="4" w:space="0" w:color="auto"/>
              <w:right w:val="single" w:sz="4" w:space="0" w:color="auto"/>
            </w:tcBorders>
            <w:noWrap/>
            <w:vAlign w:val="center"/>
            <w:hideMark/>
          </w:tcPr>
          <w:p w14:paraId="03AB917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0.7335 </w:t>
            </w:r>
          </w:p>
        </w:tc>
        <w:tc>
          <w:tcPr>
            <w:tcW w:w="940" w:type="dxa"/>
            <w:tcBorders>
              <w:top w:val="nil"/>
              <w:left w:val="nil"/>
              <w:bottom w:val="single" w:sz="4" w:space="0" w:color="auto"/>
              <w:right w:val="single" w:sz="4" w:space="0" w:color="auto"/>
            </w:tcBorders>
            <w:noWrap/>
            <w:vAlign w:val="center"/>
            <w:hideMark/>
          </w:tcPr>
          <w:p w14:paraId="67F9783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0.5471 </w:t>
            </w:r>
          </w:p>
        </w:tc>
      </w:tr>
      <w:tr w:rsidR="004A2C77" w:rsidRPr="00F631FB" w14:paraId="717BB3A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23CA267"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1.8 </w:t>
            </w:r>
          </w:p>
        </w:tc>
        <w:tc>
          <w:tcPr>
            <w:tcW w:w="940" w:type="dxa"/>
            <w:tcBorders>
              <w:top w:val="nil"/>
              <w:left w:val="nil"/>
              <w:bottom w:val="single" w:sz="4" w:space="0" w:color="auto"/>
              <w:right w:val="single" w:sz="4" w:space="0" w:color="auto"/>
            </w:tcBorders>
            <w:noWrap/>
            <w:vAlign w:val="center"/>
            <w:hideMark/>
          </w:tcPr>
          <w:p w14:paraId="7B2F18D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1.2207 </w:t>
            </w:r>
          </w:p>
        </w:tc>
        <w:tc>
          <w:tcPr>
            <w:tcW w:w="940" w:type="dxa"/>
            <w:tcBorders>
              <w:top w:val="nil"/>
              <w:left w:val="nil"/>
              <w:bottom w:val="single" w:sz="4" w:space="0" w:color="auto"/>
              <w:right w:val="single" w:sz="4" w:space="0" w:color="auto"/>
            </w:tcBorders>
            <w:noWrap/>
            <w:vAlign w:val="center"/>
            <w:hideMark/>
          </w:tcPr>
          <w:p w14:paraId="58D8DEA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1.1304 </w:t>
            </w:r>
          </w:p>
        </w:tc>
        <w:tc>
          <w:tcPr>
            <w:tcW w:w="940" w:type="dxa"/>
            <w:tcBorders>
              <w:top w:val="nil"/>
              <w:left w:val="nil"/>
              <w:bottom w:val="single" w:sz="4" w:space="0" w:color="auto"/>
              <w:right w:val="single" w:sz="4" w:space="0" w:color="auto"/>
            </w:tcBorders>
            <w:noWrap/>
            <w:vAlign w:val="center"/>
            <w:hideMark/>
          </w:tcPr>
          <w:p w14:paraId="12E176F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1.0532 </w:t>
            </w:r>
          </w:p>
        </w:tc>
        <w:tc>
          <w:tcPr>
            <w:tcW w:w="940" w:type="dxa"/>
            <w:tcBorders>
              <w:top w:val="nil"/>
              <w:left w:val="nil"/>
              <w:bottom w:val="single" w:sz="4" w:space="0" w:color="auto"/>
              <w:right w:val="single" w:sz="4" w:space="0" w:color="auto"/>
            </w:tcBorders>
            <w:shd w:val="clear" w:color="auto" w:fill="E6B8B7"/>
            <w:vAlign w:val="center"/>
            <w:hideMark/>
          </w:tcPr>
          <w:p w14:paraId="6E9DCF9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4.3 </w:t>
            </w:r>
          </w:p>
        </w:tc>
        <w:tc>
          <w:tcPr>
            <w:tcW w:w="940" w:type="dxa"/>
            <w:tcBorders>
              <w:top w:val="nil"/>
              <w:left w:val="nil"/>
              <w:bottom w:val="single" w:sz="4" w:space="0" w:color="auto"/>
              <w:right w:val="single" w:sz="4" w:space="0" w:color="auto"/>
            </w:tcBorders>
            <w:noWrap/>
            <w:vAlign w:val="center"/>
            <w:hideMark/>
          </w:tcPr>
          <w:p w14:paraId="37311F2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0.9553 </w:t>
            </w:r>
          </w:p>
        </w:tc>
        <w:tc>
          <w:tcPr>
            <w:tcW w:w="940" w:type="dxa"/>
            <w:tcBorders>
              <w:top w:val="nil"/>
              <w:left w:val="nil"/>
              <w:bottom w:val="single" w:sz="4" w:space="0" w:color="auto"/>
              <w:right w:val="single" w:sz="4" w:space="0" w:color="auto"/>
            </w:tcBorders>
            <w:noWrap/>
            <w:vAlign w:val="center"/>
            <w:hideMark/>
          </w:tcPr>
          <w:p w14:paraId="72860D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0.8510 </w:t>
            </w:r>
          </w:p>
        </w:tc>
        <w:tc>
          <w:tcPr>
            <w:tcW w:w="940" w:type="dxa"/>
            <w:tcBorders>
              <w:top w:val="nil"/>
              <w:left w:val="nil"/>
              <w:bottom w:val="single" w:sz="4" w:space="0" w:color="auto"/>
              <w:right w:val="single" w:sz="4" w:space="0" w:color="auto"/>
            </w:tcBorders>
            <w:noWrap/>
            <w:vAlign w:val="center"/>
            <w:hideMark/>
          </w:tcPr>
          <w:p w14:paraId="1BBC7B7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0.7020 </w:t>
            </w:r>
          </w:p>
        </w:tc>
        <w:tc>
          <w:tcPr>
            <w:tcW w:w="940" w:type="dxa"/>
            <w:tcBorders>
              <w:top w:val="nil"/>
              <w:left w:val="nil"/>
              <w:bottom w:val="single" w:sz="4" w:space="0" w:color="auto"/>
              <w:right w:val="single" w:sz="4" w:space="0" w:color="auto"/>
            </w:tcBorders>
            <w:shd w:val="clear" w:color="auto" w:fill="E6B8B7"/>
            <w:noWrap/>
            <w:vAlign w:val="center"/>
            <w:hideMark/>
          </w:tcPr>
          <w:p w14:paraId="28D9384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6.8 </w:t>
            </w:r>
          </w:p>
        </w:tc>
        <w:tc>
          <w:tcPr>
            <w:tcW w:w="940" w:type="dxa"/>
            <w:tcBorders>
              <w:top w:val="nil"/>
              <w:left w:val="nil"/>
              <w:bottom w:val="single" w:sz="4" w:space="0" w:color="auto"/>
              <w:right w:val="single" w:sz="4" w:space="0" w:color="auto"/>
            </w:tcBorders>
            <w:noWrap/>
            <w:vAlign w:val="center"/>
            <w:hideMark/>
          </w:tcPr>
          <w:p w14:paraId="3051EB6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0.8819 </w:t>
            </w:r>
          </w:p>
        </w:tc>
        <w:tc>
          <w:tcPr>
            <w:tcW w:w="940" w:type="dxa"/>
            <w:tcBorders>
              <w:top w:val="nil"/>
              <w:left w:val="nil"/>
              <w:bottom w:val="single" w:sz="4" w:space="0" w:color="auto"/>
              <w:right w:val="single" w:sz="4" w:space="0" w:color="auto"/>
            </w:tcBorders>
            <w:noWrap/>
            <w:vAlign w:val="center"/>
            <w:hideMark/>
          </w:tcPr>
          <w:p w14:paraId="51C03A1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0.7716 </w:t>
            </w:r>
          </w:p>
        </w:tc>
        <w:tc>
          <w:tcPr>
            <w:tcW w:w="940" w:type="dxa"/>
            <w:tcBorders>
              <w:top w:val="nil"/>
              <w:left w:val="nil"/>
              <w:bottom w:val="single" w:sz="4" w:space="0" w:color="auto"/>
              <w:right w:val="single" w:sz="4" w:space="0" w:color="auto"/>
            </w:tcBorders>
            <w:noWrap/>
            <w:vAlign w:val="center"/>
            <w:hideMark/>
          </w:tcPr>
          <w:p w14:paraId="56823BC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0.5993 </w:t>
            </w:r>
          </w:p>
        </w:tc>
        <w:tc>
          <w:tcPr>
            <w:tcW w:w="940" w:type="dxa"/>
            <w:tcBorders>
              <w:top w:val="nil"/>
              <w:left w:val="nil"/>
              <w:bottom w:val="single" w:sz="4" w:space="0" w:color="auto"/>
              <w:right w:val="single" w:sz="4" w:space="0" w:color="auto"/>
            </w:tcBorders>
            <w:shd w:val="clear" w:color="auto" w:fill="E6B8B7"/>
            <w:vAlign w:val="center"/>
            <w:hideMark/>
          </w:tcPr>
          <w:p w14:paraId="5D3B576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9.3 </w:t>
            </w:r>
          </w:p>
        </w:tc>
        <w:tc>
          <w:tcPr>
            <w:tcW w:w="940" w:type="dxa"/>
            <w:tcBorders>
              <w:top w:val="nil"/>
              <w:left w:val="nil"/>
              <w:bottom w:val="single" w:sz="4" w:space="0" w:color="auto"/>
              <w:right w:val="single" w:sz="4" w:space="0" w:color="auto"/>
            </w:tcBorders>
            <w:noWrap/>
            <w:vAlign w:val="center"/>
            <w:hideMark/>
          </w:tcPr>
          <w:p w14:paraId="48958AD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0.8466 </w:t>
            </w:r>
          </w:p>
        </w:tc>
        <w:tc>
          <w:tcPr>
            <w:tcW w:w="940" w:type="dxa"/>
            <w:tcBorders>
              <w:top w:val="nil"/>
              <w:left w:val="nil"/>
              <w:bottom w:val="single" w:sz="4" w:space="0" w:color="auto"/>
              <w:right w:val="single" w:sz="4" w:space="0" w:color="auto"/>
            </w:tcBorders>
            <w:noWrap/>
            <w:vAlign w:val="center"/>
            <w:hideMark/>
          </w:tcPr>
          <w:p w14:paraId="2BFB8A2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0.7323 </w:t>
            </w:r>
          </w:p>
        </w:tc>
        <w:tc>
          <w:tcPr>
            <w:tcW w:w="940" w:type="dxa"/>
            <w:tcBorders>
              <w:top w:val="nil"/>
              <w:left w:val="nil"/>
              <w:bottom w:val="single" w:sz="4" w:space="0" w:color="auto"/>
              <w:right w:val="single" w:sz="4" w:space="0" w:color="auto"/>
            </w:tcBorders>
            <w:noWrap/>
            <w:vAlign w:val="center"/>
            <w:hideMark/>
          </w:tcPr>
          <w:p w14:paraId="6BF001A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0.5454 </w:t>
            </w:r>
          </w:p>
        </w:tc>
      </w:tr>
      <w:tr w:rsidR="004A2C77" w:rsidRPr="00F631FB" w14:paraId="7A64CC1C"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1A763E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1.9 </w:t>
            </w:r>
          </w:p>
        </w:tc>
        <w:tc>
          <w:tcPr>
            <w:tcW w:w="940" w:type="dxa"/>
            <w:tcBorders>
              <w:top w:val="nil"/>
              <w:left w:val="nil"/>
              <w:bottom w:val="single" w:sz="4" w:space="0" w:color="auto"/>
              <w:right w:val="single" w:sz="4" w:space="0" w:color="auto"/>
            </w:tcBorders>
            <w:noWrap/>
            <w:vAlign w:val="center"/>
            <w:hideMark/>
          </w:tcPr>
          <w:p w14:paraId="7DB19B1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1.2000 </w:t>
            </w:r>
          </w:p>
        </w:tc>
        <w:tc>
          <w:tcPr>
            <w:tcW w:w="940" w:type="dxa"/>
            <w:tcBorders>
              <w:top w:val="nil"/>
              <w:left w:val="nil"/>
              <w:bottom w:val="single" w:sz="4" w:space="0" w:color="auto"/>
              <w:right w:val="single" w:sz="4" w:space="0" w:color="auto"/>
            </w:tcBorders>
            <w:noWrap/>
            <w:vAlign w:val="center"/>
            <w:hideMark/>
          </w:tcPr>
          <w:p w14:paraId="2196D3D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1.1089 </w:t>
            </w:r>
          </w:p>
        </w:tc>
        <w:tc>
          <w:tcPr>
            <w:tcW w:w="940" w:type="dxa"/>
            <w:tcBorders>
              <w:top w:val="nil"/>
              <w:left w:val="nil"/>
              <w:bottom w:val="single" w:sz="4" w:space="0" w:color="auto"/>
              <w:right w:val="single" w:sz="4" w:space="0" w:color="auto"/>
            </w:tcBorders>
            <w:noWrap/>
            <w:vAlign w:val="center"/>
            <w:hideMark/>
          </w:tcPr>
          <w:p w14:paraId="3248972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1.0261 </w:t>
            </w:r>
          </w:p>
        </w:tc>
        <w:tc>
          <w:tcPr>
            <w:tcW w:w="940" w:type="dxa"/>
            <w:tcBorders>
              <w:top w:val="nil"/>
              <w:left w:val="nil"/>
              <w:bottom w:val="single" w:sz="4" w:space="0" w:color="auto"/>
              <w:right w:val="single" w:sz="4" w:space="0" w:color="auto"/>
            </w:tcBorders>
            <w:shd w:val="clear" w:color="auto" w:fill="E6B8B7"/>
            <w:vAlign w:val="center"/>
            <w:hideMark/>
          </w:tcPr>
          <w:p w14:paraId="25DA61D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4.4 </w:t>
            </w:r>
          </w:p>
        </w:tc>
        <w:tc>
          <w:tcPr>
            <w:tcW w:w="940" w:type="dxa"/>
            <w:tcBorders>
              <w:top w:val="nil"/>
              <w:left w:val="nil"/>
              <w:bottom w:val="single" w:sz="4" w:space="0" w:color="auto"/>
              <w:right w:val="single" w:sz="4" w:space="0" w:color="auto"/>
            </w:tcBorders>
            <w:noWrap/>
            <w:vAlign w:val="center"/>
            <w:hideMark/>
          </w:tcPr>
          <w:p w14:paraId="45E77BC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0.9508 </w:t>
            </w:r>
          </w:p>
        </w:tc>
        <w:tc>
          <w:tcPr>
            <w:tcW w:w="940" w:type="dxa"/>
            <w:tcBorders>
              <w:top w:val="nil"/>
              <w:left w:val="nil"/>
              <w:bottom w:val="single" w:sz="4" w:space="0" w:color="auto"/>
              <w:right w:val="single" w:sz="4" w:space="0" w:color="auto"/>
            </w:tcBorders>
            <w:noWrap/>
            <w:vAlign w:val="center"/>
            <w:hideMark/>
          </w:tcPr>
          <w:p w14:paraId="5C85180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0.8462 </w:t>
            </w:r>
          </w:p>
        </w:tc>
        <w:tc>
          <w:tcPr>
            <w:tcW w:w="940" w:type="dxa"/>
            <w:tcBorders>
              <w:top w:val="nil"/>
              <w:left w:val="nil"/>
              <w:bottom w:val="single" w:sz="4" w:space="0" w:color="auto"/>
              <w:right w:val="single" w:sz="4" w:space="0" w:color="auto"/>
            </w:tcBorders>
            <w:noWrap/>
            <w:vAlign w:val="center"/>
            <w:hideMark/>
          </w:tcPr>
          <w:p w14:paraId="78F792F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0.6958 </w:t>
            </w:r>
          </w:p>
        </w:tc>
        <w:tc>
          <w:tcPr>
            <w:tcW w:w="940" w:type="dxa"/>
            <w:tcBorders>
              <w:top w:val="nil"/>
              <w:left w:val="nil"/>
              <w:bottom w:val="single" w:sz="4" w:space="0" w:color="auto"/>
              <w:right w:val="single" w:sz="4" w:space="0" w:color="auto"/>
            </w:tcBorders>
            <w:shd w:val="clear" w:color="auto" w:fill="E6B8B7"/>
            <w:noWrap/>
            <w:vAlign w:val="center"/>
            <w:hideMark/>
          </w:tcPr>
          <w:p w14:paraId="4CCEFAE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6.9 </w:t>
            </w:r>
          </w:p>
        </w:tc>
        <w:tc>
          <w:tcPr>
            <w:tcW w:w="940" w:type="dxa"/>
            <w:tcBorders>
              <w:top w:val="nil"/>
              <w:left w:val="nil"/>
              <w:bottom w:val="single" w:sz="4" w:space="0" w:color="auto"/>
              <w:right w:val="single" w:sz="4" w:space="0" w:color="auto"/>
            </w:tcBorders>
            <w:noWrap/>
            <w:vAlign w:val="center"/>
            <w:hideMark/>
          </w:tcPr>
          <w:p w14:paraId="3B7D629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0.8800 </w:t>
            </w:r>
          </w:p>
        </w:tc>
        <w:tc>
          <w:tcPr>
            <w:tcW w:w="940" w:type="dxa"/>
            <w:tcBorders>
              <w:top w:val="nil"/>
              <w:left w:val="nil"/>
              <w:bottom w:val="single" w:sz="4" w:space="0" w:color="auto"/>
              <w:right w:val="single" w:sz="4" w:space="0" w:color="auto"/>
            </w:tcBorders>
            <w:noWrap/>
            <w:vAlign w:val="center"/>
            <w:hideMark/>
          </w:tcPr>
          <w:p w14:paraId="543C04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0.7695 </w:t>
            </w:r>
          </w:p>
        </w:tc>
        <w:tc>
          <w:tcPr>
            <w:tcW w:w="940" w:type="dxa"/>
            <w:tcBorders>
              <w:top w:val="nil"/>
              <w:left w:val="nil"/>
              <w:bottom w:val="single" w:sz="4" w:space="0" w:color="auto"/>
              <w:right w:val="single" w:sz="4" w:space="0" w:color="auto"/>
            </w:tcBorders>
            <w:noWrap/>
            <w:vAlign w:val="center"/>
            <w:hideMark/>
          </w:tcPr>
          <w:p w14:paraId="1D82FE6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0.5964 </w:t>
            </w:r>
          </w:p>
        </w:tc>
        <w:tc>
          <w:tcPr>
            <w:tcW w:w="940" w:type="dxa"/>
            <w:tcBorders>
              <w:top w:val="nil"/>
              <w:left w:val="nil"/>
              <w:bottom w:val="single" w:sz="4" w:space="0" w:color="auto"/>
              <w:right w:val="single" w:sz="4" w:space="0" w:color="auto"/>
            </w:tcBorders>
            <w:shd w:val="clear" w:color="auto" w:fill="E6B8B7"/>
            <w:vAlign w:val="center"/>
            <w:hideMark/>
          </w:tcPr>
          <w:p w14:paraId="4566745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9.4 </w:t>
            </w:r>
          </w:p>
        </w:tc>
        <w:tc>
          <w:tcPr>
            <w:tcW w:w="940" w:type="dxa"/>
            <w:tcBorders>
              <w:top w:val="nil"/>
              <w:left w:val="nil"/>
              <w:bottom w:val="single" w:sz="4" w:space="0" w:color="auto"/>
              <w:right w:val="single" w:sz="4" w:space="0" w:color="auto"/>
            </w:tcBorders>
            <w:noWrap/>
            <w:vAlign w:val="center"/>
            <w:hideMark/>
          </w:tcPr>
          <w:p w14:paraId="068AB71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0.8455 </w:t>
            </w:r>
          </w:p>
        </w:tc>
        <w:tc>
          <w:tcPr>
            <w:tcW w:w="940" w:type="dxa"/>
            <w:tcBorders>
              <w:top w:val="nil"/>
              <w:left w:val="nil"/>
              <w:bottom w:val="single" w:sz="4" w:space="0" w:color="auto"/>
              <w:right w:val="single" w:sz="4" w:space="0" w:color="auto"/>
            </w:tcBorders>
            <w:noWrap/>
            <w:vAlign w:val="center"/>
            <w:hideMark/>
          </w:tcPr>
          <w:p w14:paraId="129E42F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0.7311 </w:t>
            </w:r>
          </w:p>
        </w:tc>
        <w:tc>
          <w:tcPr>
            <w:tcW w:w="940" w:type="dxa"/>
            <w:tcBorders>
              <w:top w:val="nil"/>
              <w:left w:val="nil"/>
              <w:bottom w:val="single" w:sz="4" w:space="0" w:color="auto"/>
              <w:right w:val="single" w:sz="4" w:space="0" w:color="auto"/>
            </w:tcBorders>
            <w:noWrap/>
            <w:vAlign w:val="center"/>
            <w:hideMark/>
          </w:tcPr>
          <w:p w14:paraId="5C7B1F1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0.5437 </w:t>
            </w:r>
          </w:p>
        </w:tc>
      </w:tr>
      <w:tr w:rsidR="004A2C77" w:rsidRPr="00F631FB" w14:paraId="30A1EC52"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07F739B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2.0 </w:t>
            </w:r>
          </w:p>
        </w:tc>
        <w:tc>
          <w:tcPr>
            <w:tcW w:w="940" w:type="dxa"/>
            <w:tcBorders>
              <w:top w:val="nil"/>
              <w:left w:val="nil"/>
              <w:bottom w:val="single" w:sz="4" w:space="0" w:color="auto"/>
              <w:right w:val="single" w:sz="4" w:space="0" w:color="auto"/>
            </w:tcBorders>
            <w:noWrap/>
            <w:vAlign w:val="center"/>
            <w:hideMark/>
          </w:tcPr>
          <w:p w14:paraId="326D2E5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1.1801 </w:t>
            </w:r>
          </w:p>
        </w:tc>
        <w:tc>
          <w:tcPr>
            <w:tcW w:w="940" w:type="dxa"/>
            <w:tcBorders>
              <w:top w:val="nil"/>
              <w:left w:val="nil"/>
              <w:bottom w:val="single" w:sz="4" w:space="0" w:color="auto"/>
              <w:right w:val="single" w:sz="4" w:space="0" w:color="auto"/>
            </w:tcBorders>
            <w:noWrap/>
            <w:vAlign w:val="center"/>
            <w:hideMark/>
          </w:tcPr>
          <w:p w14:paraId="2196AC4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1.0883 </w:t>
            </w:r>
          </w:p>
        </w:tc>
        <w:tc>
          <w:tcPr>
            <w:tcW w:w="940" w:type="dxa"/>
            <w:tcBorders>
              <w:top w:val="nil"/>
              <w:left w:val="nil"/>
              <w:bottom w:val="single" w:sz="4" w:space="0" w:color="auto"/>
              <w:right w:val="single" w:sz="4" w:space="0" w:color="auto"/>
            </w:tcBorders>
            <w:noWrap/>
            <w:vAlign w:val="center"/>
            <w:hideMark/>
          </w:tcPr>
          <w:p w14:paraId="2C5CB56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E6B8B7"/>
            <w:vAlign w:val="center"/>
            <w:hideMark/>
          </w:tcPr>
          <w:p w14:paraId="7BA8096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4.5 </w:t>
            </w:r>
          </w:p>
        </w:tc>
        <w:tc>
          <w:tcPr>
            <w:tcW w:w="940" w:type="dxa"/>
            <w:tcBorders>
              <w:top w:val="nil"/>
              <w:left w:val="nil"/>
              <w:bottom w:val="single" w:sz="4" w:space="0" w:color="auto"/>
              <w:right w:val="single" w:sz="4" w:space="0" w:color="auto"/>
            </w:tcBorders>
            <w:noWrap/>
            <w:vAlign w:val="center"/>
            <w:hideMark/>
          </w:tcPr>
          <w:p w14:paraId="787EB91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0.9464 </w:t>
            </w:r>
          </w:p>
        </w:tc>
        <w:tc>
          <w:tcPr>
            <w:tcW w:w="940" w:type="dxa"/>
            <w:tcBorders>
              <w:top w:val="nil"/>
              <w:left w:val="nil"/>
              <w:bottom w:val="single" w:sz="4" w:space="0" w:color="auto"/>
              <w:right w:val="single" w:sz="4" w:space="0" w:color="auto"/>
            </w:tcBorders>
            <w:noWrap/>
            <w:vAlign w:val="center"/>
            <w:hideMark/>
          </w:tcPr>
          <w:p w14:paraId="308EC7F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0.8415 </w:t>
            </w:r>
          </w:p>
        </w:tc>
        <w:tc>
          <w:tcPr>
            <w:tcW w:w="940" w:type="dxa"/>
            <w:tcBorders>
              <w:top w:val="nil"/>
              <w:left w:val="nil"/>
              <w:bottom w:val="single" w:sz="4" w:space="0" w:color="auto"/>
              <w:right w:val="single" w:sz="4" w:space="0" w:color="auto"/>
            </w:tcBorders>
            <w:noWrap/>
            <w:vAlign w:val="center"/>
            <w:hideMark/>
          </w:tcPr>
          <w:p w14:paraId="709A6C9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0.6899 </w:t>
            </w:r>
          </w:p>
        </w:tc>
        <w:tc>
          <w:tcPr>
            <w:tcW w:w="940" w:type="dxa"/>
            <w:tcBorders>
              <w:top w:val="nil"/>
              <w:left w:val="nil"/>
              <w:bottom w:val="single" w:sz="4" w:space="0" w:color="auto"/>
              <w:right w:val="single" w:sz="4" w:space="0" w:color="auto"/>
            </w:tcBorders>
            <w:shd w:val="clear" w:color="auto" w:fill="E6B8B7"/>
            <w:noWrap/>
            <w:vAlign w:val="center"/>
            <w:hideMark/>
          </w:tcPr>
          <w:p w14:paraId="6F45454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7.0 </w:t>
            </w:r>
          </w:p>
        </w:tc>
        <w:tc>
          <w:tcPr>
            <w:tcW w:w="940" w:type="dxa"/>
            <w:tcBorders>
              <w:top w:val="nil"/>
              <w:left w:val="nil"/>
              <w:bottom w:val="single" w:sz="4" w:space="0" w:color="auto"/>
              <w:right w:val="single" w:sz="4" w:space="0" w:color="auto"/>
            </w:tcBorders>
            <w:noWrap/>
            <w:vAlign w:val="center"/>
            <w:hideMark/>
          </w:tcPr>
          <w:p w14:paraId="4F7FC66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0.8782 </w:t>
            </w:r>
          </w:p>
        </w:tc>
        <w:tc>
          <w:tcPr>
            <w:tcW w:w="940" w:type="dxa"/>
            <w:tcBorders>
              <w:top w:val="nil"/>
              <w:left w:val="nil"/>
              <w:bottom w:val="single" w:sz="4" w:space="0" w:color="auto"/>
              <w:right w:val="single" w:sz="4" w:space="0" w:color="auto"/>
            </w:tcBorders>
            <w:noWrap/>
            <w:vAlign w:val="center"/>
            <w:hideMark/>
          </w:tcPr>
          <w:p w14:paraId="73EA4E6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0.7675 </w:t>
            </w:r>
          </w:p>
        </w:tc>
        <w:tc>
          <w:tcPr>
            <w:tcW w:w="940" w:type="dxa"/>
            <w:tcBorders>
              <w:top w:val="nil"/>
              <w:left w:val="nil"/>
              <w:bottom w:val="single" w:sz="4" w:space="0" w:color="auto"/>
              <w:right w:val="single" w:sz="4" w:space="0" w:color="auto"/>
            </w:tcBorders>
            <w:noWrap/>
            <w:vAlign w:val="center"/>
            <w:hideMark/>
          </w:tcPr>
          <w:p w14:paraId="7ECDC29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0.5936 </w:t>
            </w:r>
          </w:p>
        </w:tc>
        <w:tc>
          <w:tcPr>
            <w:tcW w:w="940" w:type="dxa"/>
            <w:tcBorders>
              <w:top w:val="nil"/>
              <w:left w:val="nil"/>
              <w:bottom w:val="single" w:sz="4" w:space="0" w:color="auto"/>
              <w:right w:val="single" w:sz="4" w:space="0" w:color="auto"/>
            </w:tcBorders>
            <w:shd w:val="clear" w:color="auto" w:fill="E6B8B7"/>
            <w:vAlign w:val="center"/>
            <w:hideMark/>
          </w:tcPr>
          <w:p w14:paraId="36AF15A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9.5 </w:t>
            </w:r>
          </w:p>
        </w:tc>
        <w:tc>
          <w:tcPr>
            <w:tcW w:w="940" w:type="dxa"/>
            <w:tcBorders>
              <w:top w:val="nil"/>
              <w:left w:val="nil"/>
              <w:bottom w:val="single" w:sz="4" w:space="0" w:color="auto"/>
              <w:right w:val="single" w:sz="4" w:space="0" w:color="auto"/>
            </w:tcBorders>
            <w:noWrap/>
            <w:vAlign w:val="center"/>
            <w:hideMark/>
          </w:tcPr>
          <w:p w14:paraId="75DEE98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0.8445 </w:t>
            </w:r>
          </w:p>
        </w:tc>
        <w:tc>
          <w:tcPr>
            <w:tcW w:w="940" w:type="dxa"/>
            <w:tcBorders>
              <w:top w:val="nil"/>
              <w:left w:val="nil"/>
              <w:bottom w:val="single" w:sz="4" w:space="0" w:color="auto"/>
              <w:right w:val="single" w:sz="4" w:space="0" w:color="auto"/>
            </w:tcBorders>
            <w:noWrap/>
            <w:vAlign w:val="center"/>
            <w:hideMark/>
          </w:tcPr>
          <w:p w14:paraId="03B0F66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0.7299 </w:t>
            </w:r>
          </w:p>
        </w:tc>
        <w:tc>
          <w:tcPr>
            <w:tcW w:w="940" w:type="dxa"/>
            <w:tcBorders>
              <w:top w:val="nil"/>
              <w:left w:val="nil"/>
              <w:bottom w:val="single" w:sz="4" w:space="0" w:color="auto"/>
              <w:right w:val="single" w:sz="4" w:space="0" w:color="auto"/>
            </w:tcBorders>
            <w:noWrap/>
            <w:vAlign w:val="center"/>
            <w:hideMark/>
          </w:tcPr>
          <w:p w14:paraId="36E9565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0.5420 </w:t>
            </w:r>
          </w:p>
        </w:tc>
      </w:tr>
      <w:tr w:rsidR="004A2C77" w:rsidRPr="00F631FB" w14:paraId="5852D9A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4EF3DFC7"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2.1 </w:t>
            </w:r>
          </w:p>
        </w:tc>
        <w:tc>
          <w:tcPr>
            <w:tcW w:w="940" w:type="dxa"/>
            <w:tcBorders>
              <w:top w:val="nil"/>
              <w:left w:val="nil"/>
              <w:bottom w:val="single" w:sz="4" w:space="0" w:color="auto"/>
              <w:right w:val="single" w:sz="4" w:space="0" w:color="auto"/>
            </w:tcBorders>
            <w:noWrap/>
            <w:vAlign w:val="center"/>
            <w:hideMark/>
          </w:tcPr>
          <w:p w14:paraId="7CDCB4E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1.1616 </w:t>
            </w:r>
          </w:p>
        </w:tc>
        <w:tc>
          <w:tcPr>
            <w:tcW w:w="940" w:type="dxa"/>
            <w:tcBorders>
              <w:top w:val="nil"/>
              <w:left w:val="nil"/>
              <w:bottom w:val="single" w:sz="4" w:space="0" w:color="auto"/>
              <w:right w:val="single" w:sz="4" w:space="0" w:color="auto"/>
            </w:tcBorders>
            <w:noWrap/>
            <w:vAlign w:val="center"/>
            <w:hideMark/>
          </w:tcPr>
          <w:p w14:paraId="3A14D31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1.0685 </w:t>
            </w:r>
          </w:p>
        </w:tc>
        <w:tc>
          <w:tcPr>
            <w:tcW w:w="940" w:type="dxa"/>
            <w:tcBorders>
              <w:top w:val="nil"/>
              <w:left w:val="nil"/>
              <w:bottom w:val="single" w:sz="4" w:space="0" w:color="auto"/>
              <w:right w:val="single" w:sz="4" w:space="0" w:color="auto"/>
            </w:tcBorders>
            <w:noWrap/>
            <w:vAlign w:val="center"/>
            <w:hideMark/>
          </w:tcPr>
          <w:p w14:paraId="4BF2023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0.9755 </w:t>
            </w:r>
          </w:p>
        </w:tc>
        <w:tc>
          <w:tcPr>
            <w:tcW w:w="940" w:type="dxa"/>
            <w:tcBorders>
              <w:top w:val="nil"/>
              <w:left w:val="nil"/>
              <w:bottom w:val="single" w:sz="4" w:space="0" w:color="auto"/>
              <w:right w:val="single" w:sz="4" w:space="0" w:color="auto"/>
            </w:tcBorders>
            <w:shd w:val="clear" w:color="auto" w:fill="E6B8B7"/>
            <w:vAlign w:val="center"/>
            <w:hideMark/>
          </w:tcPr>
          <w:p w14:paraId="1E4C36C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4.6 </w:t>
            </w:r>
          </w:p>
        </w:tc>
        <w:tc>
          <w:tcPr>
            <w:tcW w:w="940" w:type="dxa"/>
            <w:tcBorders>
              <w:top w:val="nil"/>
              <w:left w:val="nil"/>
              <w:bottom w:val="single" w:sz="4" w:space="0" w:color="auto"/>
              <w:right w:val="single" w:sz="4" w:space="0" w:color="auto"/>
            </w:tcBorders>
            <w:noWrap/>
            <w:vAlign w:val="center"/>
            <w:hideMark/>
          </w:tcPr>
          <w:p w14:paraId="6CDD28C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0.9423 </w:t>
            </w:r>
          </w:p>
        </w:tc>
        <w:tc>
          <w:tcPr>
            <w:tcW w:w="940" w:type="dxa"/>
            <w:tcBorders>
              <w:top w:val="nil"/>
              <w:left w:val="nil"/>
              <w:bottom w:val="single" w:sz="4" w:space="0" w:color="auto"/>
              <w:right w:val="single" w:sz="4" w:space="0" w:color="auto"/>
            </w:tcBorders>
            <w:noWrap/>
            <w:vAlign w:val="center"/>
            <w:hideMark/>
          </w:tcPr>
          <w:p w14:paraId="7B717F7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0.8371 </w:t>
            </w:r>
          </w:p>
        </w:tc>
        <w:tc>
          <w:tcPr>
            <w:tcW w:w="940" w:type="dxa"/>
            <w:tcBorders>
              <w:top w:val="nil"/>
              <w:left w:val="nil"/>
              <w:bottom w:val="single" w:sz="4" w:space="0" w:color="auto"/>
              <w:right w:val="single" w:sz="4" w:space="0" w:color="auto"/>
            </w:tcBorders>
            <w:noWrap/>
            <w:vAlign w:val="center"/>
            <w:hideMark/>
          </w:tcPr>
          <w:p w14:paraId="4C3465D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0.6843 </w:t>
            </w:r>
          </w:p>
        </w:tc>
        <w:tc>
          <w:tcPr>
            <w:tcW w:w="940" w:type="dxa"/>
            <w:tcBorders>
              <w:top w:val="nil"/>
              <w:left w:val="nil"/>
              <w:bottom w:val="single" w:sz="4" w:space="0" w:color="auto"/>
              <w:right w:val="single" w:sz="4" w:space="0" w:color="auto"/>
            </w:tcBorders>
            <w:shd w:val="clear" w:color="auto" w:fill="E6B8B7"/>
            <w:noWrap/>
            <w:vAlign w:val="center"/>
            <w:hideMark/>
          </w:tcPr>
          <w:p w14:paraId="11334F4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7.1 </w:t>
            </w:r>
          </w:p>
        </w:tc>
        <w:tc>
          <w:tcPr>
            <w:tcW w:w="940" w:type="dxa"/>
            <w:tcBorders>
              <w:top w:val="nil"/>
              <w:left w:val="nil"/>
              <w:bottom w:val="single" w:sz="4" w:space="0" w:color="auto"/>
              <w:right w:val="single" w:sz="4" w:space="0" w:color="auto"/>
            </w:tcBorders>
            <w:noWrap/>
            <w:vAlign w:val="center"/>
            <w:hideMark/>
          </w:tcPr>
          <w:p w14:paraId="7874574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0.8766 </w:t>
            </w:r>
          </w:p>
        </w:tc>
        <w:tc>
          <w:tcPr>
            <w:tcW w:w="940" w:type="dxa"/>
            <w:tcBorders>
              <w:top w:val="nil"/>
              <w:left w:val="nil"/>
              <w:bottom w:val="single" w:sz="4" w:space="0" w:color="auto"/>
              <w:right w:val="single" w:sz="4" w:space="0" w:color="auto"/>
            </w:tcBorders>
            <w:noWrap/>
            <w:vAlign w:val="center"/>
            <w:hideMark/>
          </w:tcPr>
          <w:p w14:paraId="22449FB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0.7657 </w:t>
            </w:r>
          </w:p>
        </w:tc>
        <w:tc>
          <w:tcPr>
            <w:tcW w:w="940" w:type="dxa"/>
            <w:tcBorders>
              <w:top w:val="nil"/>
              <w:left w:val="nil"/>
              <w:bottom w:val="single" w:sz="4" w:space="0" w:color="auto"/>
              <w:right w:val="single" w:sz="4" w:space="0" w:color="auto"/>
            </w:tcBorders>
            <w:noWrap/>
            <w:vAlign w:val="center"/>
            <w:hideMark/>
          </w:tcPr>
          <w:p w14:paraId="3DAF615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0.5911 </w:t>
            </w:r>
          </w:p>
        </w:tc>
        <w:tc>
          <w:tcPr>
            <w:tcW w:w="940" w:type="dxa"/>
            <w:tcBorders>
              <w:top w:val="nil"/>
              <w:left w:val="nil"/>
              <w:bottom w:val="single" w:sz="4" w:space="0" w:color="auto"/>
              <w:right w:val="single" w:sz="4" w:space="0" w:color="auto"/>
            </w:tcBorders>
            <w:shd w:val="clear" w:color="auto" w:fill="E6B8B7"/>
            <w:vAlign w:val="center"/>
            <w:hideMark/>
          </w:tcPr>
          <w:p w14:paraId="0C35C26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9.6 </w:t>
            </w:r>
          </w:p>
        </w:tc>
        <w:tc>
          <w:tcPr>
            <w:tcW w:w="940" w:type="dxa"/>
            <w:tcBorders>
              <w:top w:val="nil"/>
              <w:left w:val="nil"/>
              <w:bottom w:val="single" w:sz="4" w:space="0" w:color="auto"/>
              <w:right w:val="single" w:sz="4" w:space="0" w:color="auto"/>
            </w:tcBorders>
            <w:noWrap/>
            <w:vAlign w:val="center"/>
            <w:hideMark/>
          </w:tcPr>
          <w:p w14:paraId="0570096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0.8434 </w:t>
            </w:r>
          </w:p>
        </w:tc>
        <w:tc>
          <w:tcPr>
            <w:tcW w:w="940" w:type="dxa"/>
            <w:tcBorders>
              <w:top w:val="nil"/>
              <w:left w:val="nil"/>
              <w:bottom w:val="single" w:sz="4" w:space="0" w:color="auto"/>
              <w:right w:val="single" w:sz="4" w:space="0" w:color="auto"/>
            </w:tcBorders>
            <w:noWrap/>
            <w:vAlign w:val="center"/>
            <w:hideMark/>
          </w:tcPr>
          <w:p w14:paraId="3625139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0.7287 </w:t>
            </w:r>
          </w:p>
        </w:tc>
        <w:tc>
          <w:tcPr>
            <w:tcW w:w="940" w:type="dxa"/>
            <w:tcBorders>
              <w:top w:val="nil"/>
              <w:left w:val="nil"/>
              <w:bottom w:val="single" w:sz="4" w:space="0" w:color="auto"/>
              <w:right w:val="single" w:sz="4" w:space="0" w:color="auto"/>
            </w:tcBorders>
            <w:noWrap/>
            <w:vAlign w:val="center"/>
            <w:hideMark/>
          </w:tcPr>
          <w:p w14:paraId="476DBF5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0.5403 </w:t>
            </w:r>
          </w:p>
        </w:tc>
      </w:tr>
      <w:tr w:rsidR="004A2C77" w:rsidRPr="00F631FB" w14:paraId="312027A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7D75B6F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2.2 </w:t>
            </w:r>
          </w:p>
        </w:tc>
        <w:tc>
          <w:tcPr>
            <w:tcW w:w="940" w:type="dxa"/>
            <w:tcBorders>
              <w:top w:val="nil"/>
              <w:left w:val="nil"/>
              <w:bottom w:val="single" w:sz="4" w:space="0" w:color="auto"/>
              <w:right w:val="single" w:sz="4" w:space="0" w:color="auto"/>
            </w:tcBorders>
            <w:noWrap/>
            <w:vAlign w:val="center"/>
            <w:hideMark/>
          </w:tcPr>
          <w:p w14:paraId="27F8D18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1.1441 </w:t>
            </w:r>
          </w:p>
        </w:tc>
        <w:tc>
          <w:tcPr>
            <w:tcW w:w="940" w:type="dxa"/>
            <w:tcBorders>
              <w:top w:val="nil"/>
              <w:left w:val="nil"/>
              <w:bottom w:val="single" w:sz="4" w:space="0" w:color="auto"/>
              <w:right w:val="single" w:sz="4" w:space="0" w:color="auto"/>
            </w:tcBorders>
            <w:noWrap/>
            <w:vAlign w:val="center"/>
            <w:hideMark/>
          </w:tcPr>
          <w:p w14:paraId="0F8B4A6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1.0497 </w:t>
            </w:r>
          </w:p>
        </w:tc>
        <w:tc>
          <w:tcPr>
            <w:tcW w:w="940" w:type="dxa"/>
            <w:tcBorders>
              <w:top w:val="nil"/>
              <w:left w:val="nil"/>
              <w:bottom w:val="single" w:sz="4" w:space="0" w:color="auto"/>
              <w:right w:val="single" w:sz="4" w:space="0" w:color="auto"/>
            </w:tcBorders>
            <w:noWrap/>
            <w:vAlign w:val="center"/>
            <w:hideMark/>
          </w:tcPr>
          <w:p w14:paraId="6DB28F9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0.9523 </w:t>
            </w:r>
          </w:p>
        </w:tc>
        <w:tc>
          <w:tcPr>
            <w:tcW w:w="940" w:type="dxa"/>
            <w:tcBorders>
              <w:top w:val="nil"/>
              <w:left w:val="nil"/>
              <w:bottom w:val="single" w:sz="4" w:space="0" w:color="auto"/>
              <w:right w:val="single" w:sz="4" w:space="0" w:color="auto"/>
            </w:tcBorders>
            <w:shd w:val="clear" w:color="auto" w:fill="E6B8B7"/>
            <w:vAlign w:val="center"/>
            <w:hideMark/>
          </w:tcPr>
          <w:p w14:paraId="763B477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4.7 </w:t>
            </w:r>
          </w:p>
        </w:tc>
        <w:tc>
          <w:tcPr>
            <w:tcW w:w="940" w:type="dxa"/>
            <w:tcBorders>
              <w:top w:val="nil"/>
              <w:left w:val="nil"/>
              <w:bottom w:val="single" w:sz="4" w:space="0" w:color="auto"/>
              <w:right w:val="single" w:sz="4" w:space="0" w:color="auto"/>
            </w:tcBorders>
            <w:noWrap/>
            <w:vAlign w:val="center"/>
            <w:hideMark/>
          </w:tcPr>
          <w:p w14:paraId="5B32195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0.9383 </w:t>
            </w:r>
          </w:p>
        </w:tc>
        <w:tc>
          <w:tcPr>
            <w:tcW w:w="940" w:type="dxa"/>
            <w:tcBorders>
              <w:top w:val="nil"/>
              <w:left w:val="nil"/>
              <w:bottom w:val="single" w:sz="4" w:space="0" w:color="auto"/>
              <w:right w:val="single" w:sz="4" w:space="0" w:color="auto"/>
            </w:tcBorders>
            <w:noWrap/>
            <w:vAlign w:val="center"/>
            <w:hideMark/>
          </w:tcPr>
          <w:p w14:paraId="2C04035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0.8328 </w:t>
            </w:r>
          </w:p>
        </w:tc>
        <w:tc>
          <w:tcPr>
            <w:tcW w:w="940" w:type="dxa"/>
            <w:tcBorders>
              <w:top w:val="nil"/>
              <w:left w:val="nil"/>
              <w:bottom w:val="single" w:sz="4" w:space="0" w:color="auto"/>
              <w:right w:val="single" w:sz="4" w:space="0" w:color="auto"/>
            </w:tcBorders>
            <w:noWrap/>
            <w:vAlign w:val="center"/>
            <w:hideMark/>
          </w:tcPr>
          <w:p w14:paraId="3100F26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0.6788 </w:t>
            </w:r>
          </w:p>
        </w:tc>
        <w:tc>
          <w:tcPr>
            <w:tcW w:w="940" w:type="dxa"/>
            <w:tcBorders>
              <w:top w:val="nil"/>
              <w:left w:val="nil"/>
              <w:bottom w:val="single" w:sz="4" w:space="0" w:color="auto"/>
              <w:right w:val="single" w:sz="4" w:space="0" w:color="auto"/>
            </w:tcBorders>
            <w:shd w:val="clear" w:color="auto" w:fill="E6B8B7"/>
            <w:noWrap/>
            <w:vAlign w:val="center"/>
            <w:hideMark/>
          </w:tcPr>
          <w:p w14:paraId="0C6126E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7.2 </w:t>
            </w:r>
          </w:p>
        </w:tc>
        <w:tc>
          <w:tcPr>
            <w:tcW w:w="940" w:type="dxa"/>
            <w:tcBorders>
              <w:top w:val="nil"/>
              <w:left w:val="nil"/>
              <w:bottom w:val="single" w:sz="4" w:space="0" w:color="auto"/>
              <w:right w:val="single" w:sz="4" w:space="0" w:color="auto"/>
            </w:tcBorders>
            <w:noWrap/>
            <w:vAlign w:val="center"/>
            <w:hideMark/>
          </w:tcPr>
          <w:p w14:paraId="061F181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0.8749 </w:t>
            </w:r>
          </w:p>
        </w:tc>
        <w:tc>
          <w:tcPr>
            <w:tcW w:w="940" w:type="dxa"/>
            <w:tcBorders>
              <w:top w:val="nil"/>
              <w:left w:val="nil"/>
              <w:bottom w:val="single" w:sz="4" w:space="0" w:color="auto"/>
              <w:right w:val="single" w:sz="4" w:space="0" w:color="auto"/>
            </w:tcBorders>
            <w:noWrap/>
            <w:vAlign w:val="center"/>
            <w:hideMark/>
          </w:tcPr>
          <w:p w14:paraId="71EBAA2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0.7638 </w:t>
            </w:r>
          </w:p>
        </w:tc>
        <w:tc>
          <w:tcPr>
            <w:tcW w:w="940" w:type="dxa"/>
            <w:tcBorders>
              <w:top w:val="nil"/>
              <w:left w:val="nil"/>
              <w:bottom w:val="single" w:sz="4" w:space="0" w:color="auto"/>
              <w:right w:val="single" w:sz="4" w:space="0" w:color="auto"/>
            </w:tcBorders>
            <w:noWrap/>
            <w:vAlign w:val="center"/>
            <w:hideMark/>
          </w:tcPr>
          <w:p w14:paraId="78EA9F4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0.5886 </w:t>
            </w:r>
          </w:p>
        </w:tc>
        <w:tc>
          <w:tcPr>
            <w:tcW w:w="940" w:type="dxa"/>
            <w:tcBorders>
              <w:top w:val="nil"/>
              <w:left w:val="nil"/>
              <w:bottom w:val="single" w:sz="4" w:space="0" w:color="auto"/>
              <w:right w:val="single" w:sz="4" w:space="0" w:color="auto"/>
            </w:tcBorders>
            <w:shd w:val="clear" w:color="auto" w:fill="E6B8B7"/>
            <w:vAlign w:val="center"/>
            <w:hideMark/>
          </w:tcPr>
          <w:p w14:paraId="5BED918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9.7 </w:t>
            </w:r>
          </w:p>
        </w:tc>
        <w:tc>
          <w:tcPr>
            <w:tcW w:w="940" w:type="dxa"/>
            <w:tcBorders>
              <w:top w:val="nil"/>
              <w:left w:val="nil"/>
              <w:bottom w:val="single" w:sz="4" w:space="0" w:color="auto"/>
              <w:right w:val="single" w:sz="4" w:space="0" w:color="auto"/>
            </w:tcBorders>
            <w:noWrap/>
            <w:vAlign w:val="center"/>
            <w:hideMark/>
          </w:tcPr>
          <w:p w14:paraId="43F5CCE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0.8423 </w:t>
            </w:r>
          </w:p>
        </w:tc>
        <w:tc>
          <w:tcPr>
            <w:tcW w:w="940" w:type="dxa"/>
            <w:tcBorders>
              <w:top w:val="nil"/>
              <w:left w:val="nil"/>
              <w:bottom w:val="single" w:sz="4" w:space="0" w:color="auto"/>
              <w:right w:val="single" w:sz="4" w:space="0" w:color="auto"/>
            </w:tcBorders>
            <w:noWrap/>
            <w:vAlign w:val="center"/>
            <w:hideMark/>
          </w:tcPr>
          <w:p w14:paraId="47C37FD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0.7275 </w:t>
            </w:r>
          </w:p>
        </w:tc>
        <w:tc>
          <w:tcPr>
            <w:tcW w:w="940" w:type="dxa"/>
            <w:tcBorders>
              <w:top w:val="nil"/>
              <w:left w:val="nil"/>
              <w:bottom w:val="single" w:sz="4" w:space="0" w:color="auto"/>
              <w:right w:val="single" w:sz="4" w:space="0" w:color="auto"/>
            </w:tcBorders>
            <w:noWrap/>
            <w:vAlign w:val="center"/>
            <w:hideMark/>
          </w:tcPr>
          <w:p w14:paraId="320CD3A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0.5386 </w:t>
            </w:r>
          </w:p>
        </w:tc>
      </w:tr>
      <w:tr w:rsidR="004A2C77" w:rsidRPr="00F631FB" w14:paraId="09C113A5"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399EDD4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2.3 </w:t>
            </w:r>
          </w:p>
        </w:tc>
        <w:tc>
          <w:tcPr>
            <w:tcW w:w="940" w:type="dxa"/>
            <w:tcBorders>
              <w:top w:val="nil"/>
              <w:left w:val="nil"/>
              <w:bottom w:val="single" w:sz="4" w:space="0" w:color="auto"/>
              <w:right w:val="single" w:sz="4" w:space="0" w:color="auto"/>
            </w:tcBorders>
            <w:noWrap/>
            <w:vAlign w:val="center"/>
            <w:hideMark/>
          </w:tcPr>
          <w:p w14:paraId="1E9CE1C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1.1276 </w:t>
            </w:r>
          </w:p>
        </w:tc>
        <w:tc>
          <w:tcPr>
            <w:tcW w:w="940" w:type="dxa"/>
            <w:tcBorders>
              <w:top w:val="nil"/>
              <w:left w:val="nil"/>
              <w:bottom w:val="single" w:sz="4" w:space="0" w:color="auto"/>
              <w:right w:val="single" w:sz="4" w:space="0" w:color="auto"/>
            </w:tcBorders>
            <w:noWrap/>
            <w:vAlign w:val="center"/>
            <w:hideMark/>
          </w:tcPr>
          <w:p w14:paraId="038EBDC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1.0320 </w:t>
            </w:r>
          </w:p>
        </w:tc>
        <w:tc>
          <w:tcPr>
            <w:tcW w:w="940" w:type="dxa"/>
            <w:tcBorders>
              <w:top w:val="nil"/>
              <w:left w:val="nil"/>
              <w:bottom w:val="single" w:sz="4" w:space="0" w:color="auto"/>
              <w:right w:val="single" w:sz="4" w:space="0" w:color="auto"/>
            </w:tcBorders>
            <w:noWrap/>
            <w:vAlign w:val="center"/>
            <w:hideMark/>
          </w:tcPr>
          <w:p w14:paraId="16143CE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0.9304 </w:t>
            </w:r>
          </w:p>
        </w:tc>
        <w:tc>
          <w:tcPr>
            <w:tcW w:w="940" w:type="dxa"/>
            <w:tcBorders>
              <w:top w:val="nil"/>
              <w:left w:val="nil"/>
              <w:bottom w:val="single" w:sz="4" w:space="0" w:color="auto"/>
              <w:right w:val="single" w:sz="4" w:space="0" w:color="auto"/>
            </w:tcBorders>
            <w:shd w:val="clear" w:color="auto" w:fill="E6B8B7"/>
            <w:vAlign w:val="center"/>
            <w:hideMark/>
          </w:tcPr>
          <w:p w14:paraId="21709B0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4.8 </w:t>
            </w:r>
          </w:p>
        </w:tc>
        <w:tc>
          <w:tcPr>
            <w:tcW w:w="940" w:type="dxa"/>
            <w:tcBorders>
              <w:top w:val="nil"/>
              <w:left w:val="nil"/>
              <w:bottom w:val="single" w:sz="4" w:space="0" w:color="auto"/>
              <w:right w:val="single" w:sz="4" w:space="0" w:color="auto"/>
            </w:tcBorders>
            <w:noWrap/>
            <w:vAlign w:val="center"/>
            <w:hideMark/>
          </w:tcPr>
          <w:p w14:paraId="77F7DE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0.9345 </w:t>
            </w:r>
          </w:p>
        </w:tc>
        <w:tc>
          <w:tcPr>
            <w:tcW w:w="940" w:type="dxa"/>
            <w:tcBorders>
              <w:top w:val="nil"/>
              <w:left w:val="nil"/>
              <w:bottom w:val="single" w:sz="4" w:space="0" w:color="auto"/>
              <w:right w:val="single" w:sz="4" w:space="0" w:color="auto"/>
            </w:tcBorders>
            <w:noWrap/>
            <w:vAlign w:val="center"/>
            <w:hideMark/>
          </w:tcPr>
          <w:p w14:paraId="7B1B786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0.8287 </w:t>
            </w:r>
          </w:p>
        </w:tc>
        <w:tc>
          <w:tcPr>
            <w:tcW w:w="940" w:type="dxa"/>
            <w:tcBorders>
              <w:top w:val="nil"/>
              <w:left w:val="nil"/>
              <w:bottom w:val="single" w:sz="4" w:space="0" w:color="auto"/>
              <w:right w:val="single" w:sz="4" w:space="0" w:color="auto"/>
            </w:tcBorders>
            <w:noWrap/>
            <w:vAlign w:val="center"/>
            <w:hideMark/>
          </w:tcPr>
          <w:p w14:paraId="67E795D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0.6736 </w:t>
            </w:r>
          </w:p>
        </w:tc>
        <w:tc>
          <w:tcPr>
            <w:tcW w:w="940" w:type="dxa"/>
            <w:tcBorders>
              <w:top w:val="nil"/>
              <w:left w:val="nil"/>
              <w:bottom w:val="single" w:sz="4" w:space="0" w:color="auto"/>
              <w:right w:val="single" w:sz="4" w:space="0" w:color="auto"/>
            </w:tcBorders>
            <w:shd w:val="clear" w:color="auto" w:fill="E6B8B7"/>
            <w:noWrap/>
            <w:vAlign w:val="center"/>
            <w:hideMark/>
          </w:tcPr>
          <w:p w14:paraId="3A6BFB0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7.3 </w:t>
            </w:r>
          </w:p>
        </w:tc>
        <w:tc>
          <w:tcPr>
            <w:tcW w:w="940" w:type="dxa"/>
            <w:tcBorders>
              <w:top w:val="nil"/>
              <w:left w:val="nil"/>
              <w:bottom w:val="single" w:sz="4" w:space="0" w:color="auto"/>
              <w:right w:val="single" w:sz="4" w:space="0" w:color="auto"/>
            </w:tcBorders>
            <w:noWrap/>
            <w:vAlign w:val="center"/>
            <w:hideMark/>
          </w:tcPr>
          <w:p w14:paraId="5B8AE0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0.8733 </w:t>
            </w:r>
          </w:p>
        </w:tc>
        <w:tc>
          <w:tcPr>
            <w:tcW w:w="940" w:type="dxa"/>
            <w:tcBorders>
              <w:top w:val="nil"/>
              <w:left w:val="nil"/>
              <w:bottom w:val="single" w:sz="4" w:space="0" w:color="auto"/>
              <w:right w:val="single" w:sz="4" w:space="0" w:color="auto"/>
            </w:tcBorders>
            <w:noWrap/>
            <w:vAlign w:val="center"/>
            <w:hideMark/>
          </w:tcPr>
          <w:p w14:paraId="79C2A47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0.7620 </w:t>
            </w:r>
          </w:p>
        </w:tc>
        <w:tc>
          <w:tcPr>
            <w:tcW w:w="940" w:type="dxa"/>
            <w:tcBorders>
              <w:top w:val="nil"/>
              <w:left w:val="nil"/>
              <w:bottom w:val="single" w:sz="4" w:space="0" w:color="auto"/>
              <w:right w:val="single" w:sz="4" w:space="0" w:color="auto"/>
            </w:tcBorders>
            <w:noWrap/>
            <w:vAlign w:val="center"/>
            <w:hideMark/>
          </w:tcPr>
          <w:p w14:paraId="3B2B93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0.5862 </w:t>
            </w:r>
          </w:p>
        </w:tc>
        <w:tc>
          <w:tcPr>
            <w:tcW w:w="940" w:type="dxa"/>
            <w:tcBorders>
              <w:top w:val="nil"/>
              <w:left w:val="nil"/>
              <w:bottom w:val="single" w:sz="4" w:space="0" w:color="auto"/>
              <w:right w:val="single" w:sz="4" w:space="0" w:color="auto"/>
            </w:tcBorders>
            <w:shd w:val="clear" w:color="auto" w:fill="E6B8B7"/>
            <w:vAlign w:val="center"/>
            <w:hideMark/>
          </w:tcPr>
          <w:p w14:paraId="11B5AB2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9.8 </w:t>
            </w:r>
          </w:p>
        </w:tc>
        <w:tc>
          <w:tcPr>
            <w:tcW w:w="940" w:type="dxa"/>
            <w:tcBorders>
              <w:top w:val="nil"/>
              <w:left w:val="nil"/>
              <w:bottom w:val="single" w:sz="4" w:space="0" w:color="auto"/>
              <w:right w:val="single" w:sz="4" w:space="0" w:color="auto"/>
            </w:tcBorders>
            <w:noWrap/>
            <w:vAlign w:val="center"/>
            <w:hideMark/>
          </w:tcPr>
          <w:p w14:paraId="01739E9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0.8414 </w:t>
            </w:r>
          </w:p>
        </w:tc>
        <w:tc>
          <w:tcPr>
            <w:tcW w:w="940" w:type="dxa"/>
            <w:tcBorders>
              <w:top w:val="nil"/>
              <w:left w:val="nil"/>
              <w:bottom w:val="single" w:sz="4" w:space="0" w:color="auto"/>
              <w:right w:val="single" w:sz="4" w:space="0" w:color="auto"/>
            </w:tcBorders>
            <w:noWrap/>
            <w:vAlign w:val="center"/>
            <w:hideMark/>
          </w:tcPr>
          <w:p w14:paraId="4B9782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0.7263 </w:t>
            </w:r>
          </w:p>
        </w:tc>
        <w:tc>
          <w:tcPr>
            <w:tcW w:w="940" w:type="dxa"/>
            <w:tcBorders>
              <w:top w:val="nil"/>
              <w:left w:val="nil"/>
              <w:bottom w:val="single" w:sz="4" w:space="0" w:color="auto"/>
              <w:right w:val="single" w:sz="4" w:space="0" w:color="auto"/>
            </w:tcBorders>
            <w:noWrap/>
            <w:vAlign w:val="center"/>
            <w:hideMark/>
          </w:tcPr>
          <w:p w14:paraId="0E73C10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0.5371 </w:t>
            </w:r>
          </w:p>
        </w:tc>
      </w:tr>
      <w:tr w:rsidR="004A2C77" w:rsidRPr="00F631FB" w14:paraId="2952F170"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4F1B5C3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2.4 </w:t>
            </w:r>
          </w:p>
        </w:tc>
        <w:tc>
          <w:tcPr>
            <w:tcW w:w="940" w:type="dxa"/>
            <w:tcBorders>
              <w:top w:val="nil"/>
              <w:left w:val="nil"/>
              <w:bottom w:val="single" w:sz="4" w:space="0" w:color="auto"/>
              <w:right w:val="single" w:sz="4" w:space="0" w:color="auto"/>
            </w:tcBorders>
            <w:noWrap/>
            <w:vAlign w:val="center"/>
            <w:hideMark/>
          </w:tcPr>
          <w:p w14:paraId="67AD511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1.1121 </w:t>
            </w:r>
          </w:p>
        </w:tc>
        <w:tc>
          <w:tcPr>
            <w:tcW w:w="940" w:type="dxa"/>
            <w:tcBorders>
              <w:top w:val="nil"/>
              <w:left w:val="nil"/>
              <w:bottom w:val="single" w:sz="4" w:space="0" w:color="auto"/>
              <w:right w:val="single" w:sz="4" w:space="0" w:color="auto"/>
            </w:tcBorders>
            <w:noWrap/>
            <w:vAlign w:val="center"/>
            <w:hideMark/>
          </w:tcPr>
          <w:p w14:paraId="7F0CD88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1.0155 </w:t>
            </w:r>
          </w:p>
        </w:tc>
        <w:tc>
          <w:tcPr>
            <w:tcW w:w="940" w:type="dxa"/>
            <w:tcBorders>
              <w:top w:val="nil"/>
              <w:left w:val="nil"/>
              <w:bottom w:val="single" w:sz="4" w:space="0" w:color="auto"/>
              <w:right w:val="single" w:sz="4" w:space="0" w:color="auto"/>
            </w:tcBorders>
            <w:noWrap/>
            <w:vAlign w:val="center"/>
            <w:hideMark/>
          </w:tcPr>
          <w:p w14:paraId="2ADB0EC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0.9100 </w:t>
            </w:r>
          </w:p>
        </w:tc>
        <w:tc>
          <w:tcPr>
            <w:tcW w:w="940" w:type="dxa"/>
            <w:tcBorders>
              <w:top w:val="nil"/>
              <w:left w:val="nil"/>
              <w:bottom w:val="single" w:sz="4" w:space="0" w:color="auto"/>
              <w:right w:val="single" w:sz="4" w:space="0" w:color="auto"/>
            </w:tcBorders>
            <w:shd w:val="clear" w:color="auto" w:fill="E6B8B7"/>
            <w:vAlign w:val="center"/>
            <w:hideMark/>
          </w:tcPr>
          <w:p w14:paraId="30D2C56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4.9 </w:t>
            </w:r>
          </w:p>
        </w:tc>
        <w:tc>
          <w:tcPr>
            <w:tcW w:w="940" w:type="dxa"/>
            <w:tcBorders>
              <w:top w:val="nil"/>
              <w:left w:val="nil"/>
              <w:bottom w:val="single" w:sz="4" w:space="0" w:color="auto"/>
              <w:right w:val="single" w:sz="4" w:space="0" w:color="auto"/>
            </w:tcBorders>
            <w:noWrap/>
            <w:vAlign w:val="center"/>
            <w:hideMark/>
          </w:tcPr>
          <w:p w14:paraId="20ECDE5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0.9308 </w:t>
            </w:r>
          </w:p>
        </w:tc>
        <w:tc>
          <w:tcPr>
            <w:tcW w:w="940" w:type="dxa"/>
            <w:tcBorders>
              <w:top w:val="nil"/>
              <w:left w:val="nil"/>
              <w:bottom w:val="single" w:sz="4" w:space="0" w:color="auto"/>
              <w:right w:val="single" w:sz="4" w:space="0" w:color="auto"/>
            </w:tcBorders>
            <w:noWrap/>
            <w:vAlign w:val="center"/>
            <w:hideMark/>
          </w:tcPr>
          <w:p w14:paraId="3A1A46C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0.8248 </w:t>
            </w:r>
          </w:p>
        </w:tc>
        <w:tc>
          <w:tcPr>
            <w:tcW w:w="940" w:type="dxa"/>
            <w:tcBorders>
              <w:top w:val="nil"/>
              <w:left w:val="nil"/>
              <w:bottom w:val="single" w:sz="4" w:space="0" w:color="auto"/>
              <w:right w:val="single" w:sz="4" w:space="0" w:color="auto"/>
            </w:tcBorders>
            <w:noWrap/>
            <w:vAlign w:val="center"/>
            <w:hideMark/>
          </w:tcPr>
          <w:p w14:paraId="1D195F3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0.6685 </w:t>
            </w:r>
          </w:p>
        </w:tc>
        <w:tc>
          <w:tcPr>
            <w:tcW w:w="940" w:type="dxa"/>
            <w:tcBorders>
              <w:top w:val="nil"/>
              <w:left w:val="nil"/>
              <w:bottom w:val="single" w:sz="4" w:space="0" w:color="auto"/>
              <w:right w:val="single" w:sz="4" w:space="0" w:color="auto"/>
            </w:tcBorders>
            <w:shd w:val="clear" w:color="auto" w:fill="E6B8B7"/>
            <w:noWrap/>
            <w:vAlign w:val="center"/>
            <w:hideMark/>
          </w:tcPr>
          <w:p w14:paraId="71657EB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7.4 </w:t>
            </w:r>
          </w:p>
        </w:tc>
        <w:tc>
          <w:tcPr>
            <w:tcW w:w="940" w:type="dxa"/>
            <w:tcBorders>
              <w:top w:val="nil"/>
              <w:left w:val="nil"/>
              <w:bottom w:val="single" w:sz="4" w:space="0" w:color="auto"/>
              <w:right w:val="single" w:sz="4" w:space="0" w:color="auto"/>
            </w:tcBorders>
            <w:noWrap/>
            <w:vAlign w:val="center"/>
            <w:hideMark/>
          </w:tcPr>
          <w:p w14:paraId="5DBA265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0.8716 </w:t>
            </w:r>
          </w:p>
        </w:tc>
        <w:tc>
          <w:tcPr>
            <w:tcW w:w="940" w:type="dxa"/>
            <w:tcBorders>
              <w:top w:val="nil"/>
              <w:left w:val="nil"/>
              <w:bottom w:val="single" w:sz="4" w:space="0" w:color="auto"/>
              <w:right w:val="single" w:sz="4" w:space="0" w:color="auto"/>
            </w:tcBorders>
            <w:noWrap/>
            <w:vAlign w:val="center"/>
            <w:hideMark/>
          </w:tcPr>
          <w:p w14:paraId="495EA48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0.7603 </w:t>
            </w:r>
          </w:p>
        </w:tc>
        <w:tc>
          <w:tcPr>
            <w:tcW w:w="940" w:type="dxa"/>
            <w:tcBorders>
              <w:top w:val="nil"/>
              <w:left w:val="nil"/>
              <w:bottom w:val="single" w:sz="4" w:space="0" w:color="auto"/>
              <w:right w:val="single" w:sz="4" w:space="0" w:color="auto"/>
            </w:tcBorders>
            <w:noWrap/>
            <w:vAlign w:val="center"/>
            <w:hideMark/>
          </w:tcPr>
          <w:p w14:paraId="4EDA108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0.5838 </w:t>
            </w:r>
          </w:p>
        </w:tc>
        <w:tc>
          <w:tcPr>
            <w:tcW w:w="940" w:type="dxa"/>
            <w:tcBorders>
              <w:top w:val="nil"/>
              <w:left w:val="nil"/>
              <w:bottom w:val="single" w:sz="4" w:space="0" w:color="auto"/>
              <w:right w:val="single" w:sz="4" w:space="0" w:color="auto"/>
            </w:tcBorders>
            <w:shd w:val="clear" w:color="auto" w:fill="E6B8B7"/>
            <w:vAlign w:val="center"/>
            <w:hideMark/>
          </w:tcPr>
          <w:p w14:paraId="1EB9DEB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9.9 </w:t>
            </w:r>
          </w:p>
        </w:tc>
        <w:tc>
          <w:tcPr>
            <w:tcW w:w="940" w:type="dxa"/>
            <w:tcBorders>
              <w:top w:val="nil"/>
              <w:left w:val="nil"/>
              <w:bottom w:val="single" w:sz="4" w:space="0" w:color="auto"/>
              <w:right w:val="single" w:sz="4" w:space="0" w:color="auto"/>
            </w:tcBorders>
            <w:noWrap/>
            <w:vAlign w:val="center"/>
            <w:hideMark/>
          </w:tcPr>
          <w:p w14:paraId="5BA1149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0.8405 </w:t>
            </w:r>
          </w:p>
        </w:tc>
        <w:tc>
          <w:tcPr>
            <w:tcW w:w="940" w:type="dxa"/>
            <w:tcBorders>
              <w:top w:val="nil"/>
              <w:left w:val="nil"/>
              <w:bottom w:val="single" w:sz="4" w:space="0" w:color="auto"/>
              <w:right w:val="single" w:sz="4" w:space="0" w:color="auto"/>
            </w:tcBorders>
            <w:noWrap/>
            <w:vAlign w:val="center"/>
            <w:hideMark/>
          </w:tcPr>
          <w:p w14:paraId="4DA02BC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0.7252 </w:t>
            </w:r>
          </w:p>
        </w:tc>
        <w:tc>
          <w:tcPr>
            <w:tcW w:w="940" w:type="dxa"/>
            <w:tcBorders>
              <w:top w:val="nil"/>
              <w:left w:val="nil"/>
              <w:bottom w:val="single" w:sz="4" w:space="0" w:color="auto"/>
              <w:right w:val="single" w:sz="4" w:space="0" w:color="auto"/>
            </w:tcBorders>
            <w:noWrap/>
            <w:vAlign w:val="center"/>
            <w:hideMark/>
          </w:tcPr>
          <w:p w14:paraId="14BCC80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0.5355 </w:t>
            </w:r>
          </w:p>
        </w:tc>
      </w:tr>
      <w:tr w:rsidR="004A2C77" w:rsidRPr="00F631FB" w14:paraId="2FD1A94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6E052C4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2.5 </w:t>
            </w:r>
          </w:p>
        </w:tc>
        <w:tc>
          <w:tcPr>
            <w:tcW w:w="940" w:type="dxa"/>
            <w:tcBorders>
              <w:top w:val="nil"/>
              <w:left w:val="nil"/>
              <w:bottom w:val="single" w:sz="4" w:space="0" w:color="auto"/>
              <w:right w:val="single" w:sz="4" w:space="0" w:color="auto"/>
            </w:tcBorders>
            <w:noWrap/>
            <w:vAlign w:val="center"/>
            <w:hideMark/>
          </w:tcPr>
          <w:p w14:paraId="5781854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1.0976 </w:t>
            </w:r>
          </w:p>
        </w:tc>
        <w:tc>
          <w:tcPr>
            <w:tcW w:w="940" w:type="dxa"/>
            <w:tcBorders>
              <w:top w:val="nil"/>
              <w:left w:val="nil"/>
              <w:bottom w:val="single" w:sz="4" w:space="0" w:color="auto"/>
              <w:right w:val="single" w:sz="4" w:space="0" w:color="auto"/>
            </w:tcBorders>
            <w:noWrap/>
            <w:vAlign w:val="center"/>
            <w:hideMark/>
          </w:tcPr>
          <w:p w14:paraId="1EE2BFA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noWrap/>
            <w:vAlign w:val="center"/>
            <w:hideMark/>
          </w:tcPr>
          <w:p w14:paraId="7BDF08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0.8908 </w:t>
            </w:r>
          </w:p>
        </w:tc>
        <w:tc>
          <w:tcPr>
            <w:tcW w:w="940" w:type="dxa"/>
            <w:tcBorders>
              <w:top w:val="nil"/>
              <w:left w:val="nil"/>
              <w:bottom w:val="single" w:sz="4" w:space="0" w:color="auto"/>
              <w:right w:val="single" w:sz="4" w:space="0" w:color="auto"/>
            </w:tcBorders>
            <w:shd w:val="clear" w:color="auto" w:fill="E6B8B7"/>
            <w:vAlign w:val="center"/>
            <w:hideMark/>
          </w:tcPr>
          <w:p w14:paraId="3651A9F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5.0 </w:t>
            </w:r>
          </w:p>
        </w:tc>
        <w:tc>
          <w:tcPr>
            <w:tcW w:w="940" w:type="dxa"/>
            <w:tcBorders>
              <w:top w:val="nil"/>
              <w:left w:val="nil"/>
              <w:bottom w:val="single" w:sz="4" w:space="0" w:color="auto"/>
              <w:right w:val="single" w:sz="4" w:space="0" w:color="auto"/>
            </w:tcBorders>
            <w:noWrap/>
            <w:vAlign w:val="center"/>
            <w:hideMark/>
          </w:tcPr>
          <w:p w14:paraId="75F12C4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0.9274 </w:t>
            </w:r>
          </w:p>
        </w:tc>
        <w:tc>
          <w:tcPr>
            <w:tcW w:w="940" w:type="dxa"/>
            <w:tcBorders>
              <w:top w:val="nil"/>
              <w:left w:val="nil"/>
              <w:bottom w:val="single" w:sz="4" w:space="0" w:color="auto"/>
              <w:right w:val="single" w:sz="4" w:space="0" w:color="auto"/>
            </w:tcBorders>
            <w:noWrap/>
            <w:vAlign w:val="center"/>
            <w:hideMark/>
          </w:tcPr>
          <w:p w14:paraId="403CCD0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0.8211 </w:t>
            </w:r>
          </w:p>
        </w:tc>
        <w:tc>
          <w:tcPr>
            <w:tcW w:w="940" w:type="dxa"/>
            <w:tcBorders>
              <w:top w:val="nil"/>
              <w:left w:val="nil"/>
              <w:bottom w:val="single" w:sz="4" w:space="0" w:color="auto"/>
              <w:right w:val="single" w:sz="4" w:space="0" w:color="auto"/>
            </w:tcBorders>
            <w:noWrap/>
            <w:vAlign w:val="center"/>
            <w:hideMark/>
          </w:tcPr>
          <w:p w14:paraId="77925D9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0.6637 </w:t>
            </w:r>
          </w:p>
        </w:tc>
        <w:tc>
          <w:tcPr>
            <w:tcW w:w="940" w:type="dxa"/>
            <w:tcBorders>
              <w:top w:val="nil"/>
              <w:left w:val="nil"/>
              <w:bottom w:val="single" w:sz="4" w:space="0" w:color="auto"/>
              <w:right w:val="single" w:sz="4" w:space="0" w:color="auto"/>
            </w:tcBorders>
            <w:shd w:val="clear" w:color="auto" w:fill="E6B8B7"/>
            <w:noWrap/>
            <w:vAlign w:val="center"/>
            <w:hideMark/>
          </w:tcPr>
          <w:p w14:paraId="451D076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7.5 </w:t>
            </w:r>
          </w:p>
        </w:tc>
        <w:tc>
          <w:tcPr>
            <w:tcW w:w="940" w:type="dxa"/>
            <w:tcBorders>
              <w:top w:val="nil"/>
              <w:left w:val="nil"/>
              <w:bottom w:val="single" w:sz="4" w:space="0" w:color="auto"/>
              <w:right w:val="single" w:sz="4" w:space="0" w:color="auto"/>
            </w:tcBorders>
            <w:noWrap/>
            <w:vAlign w:val="center"/>
            <w:hideMark/>
          </w:tcPr>
          <w:p w14:paraId="05B0DD9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0.8700 </w:t>
            </w:r>
          </w:p>
        </w:tc>
        <w:tc>
          <w:tcPr>
            <w:tcW w:w="940" w:type="dxa"/>
            <w:tcBorders>
              <w:top w:val="nil"/>
              <w:left w:val="nil"/>
              <w:bottom w:val="single" w:sz="4" w:space="0" w:color="auto"/>
              <w:right w:val="single" w:sz="4" w:space="0" w:color="auto"/>
            </w:tcBorders>
            <w:noWrap/>
            <w:vAlign w:val="center"/>
            <w:hideMark/>
          </w:tcPr>
          <w:p w14:paraId="6D31E3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0.7585 </w:t>
            </w:r>
          </w:p>
        </w:tc>
        <w:tc>
          <w:tcPr>
            <w:tcW w:w="940" w:type="dxa"/>
            <w:tcBorders>
              <w:top w:val="nil"/>
              <w:left w:val="nil"/>
              <w:bottom w:val="single" w:sz="4" w:space="0" w:color="auto"/>
              <w:right w:val="single" w:sz="4" w:space="0" w:color="auto"/>
            </w:tcBorders>
            <w:noWrap/>
            <w:vAlign w:val="center"/>
            <w:hideMark/>
          </w:tcPr>
          <w:p w14:paraId="2DED3EA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0.5814 </w:t>
            </w:r>
          </w:p>
        </w:tc>
        <w:tc>
          <w:tcPr>
            <w:tcW w:w="940" w:type="dxa"/>
            <w:tcBorders>
              <w:top w:val="nil"/>
              <w:left w:val="nil"/>
              <w:bottom w:val="single" w:sz="4" w:space="0" w:color="auto"/>
              <w:right w:val="single" w:sz="4" w:space="0" w:color="auto"/>
            </w:tcBorders>
            <w:shd w:val="clear" w:color="auto" w:fill="E6B8B7"/>
            <w:vAlign w:val="center"/>
            <w:hideMark/>
          </w:tcPr>
          <w:p w14:paraId="0188957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10.0 </w:t>
            </w:r>
          </w:p>
        </w:tc>
        <w:tc>
          <w:tcPr>
            <w:tcW w:w="940" w:type="dxa"/>
            <w:tcBorders>
              <w:top w:val="nil"/>
              <w:left w:val="nil"/>
              <w:bottom w:val="single" w:sz="4" w:space="0" w:color="auto"/>
              <w:right w:val="single" w:sz="4" w:space="0" w:color="auto"/>
            </w:tcBorders>
            <w:noWrap/>
            <w:vAlign w:val="center"/>
            <w:hideMark/>
          </w:tcPr>
          <w:p w14:paraId="6FDA83B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0.8395 </w:t>
            </w:r>
          </w:p>
        </w:tc>
        <w:tc>
          <w:tcPr>
            <w:tcW w:w="940" w:type="dxa"/>
            <w:tcBorders>
              <w:top w:val="nil"/>
              <w:left w:val="nil"/>
              <w:bottom w:val="single" w:sz="4" w:space="0" w:color="auto"/>
              <w:right w:val="single" w:sz="4" w:space="0" w:color="auto"/>
            </w:tcBorders>
            <w:noWrap/>
            <w:vAlign w:val="center"/>
            <w:hideMark/>
          </w:tcPr>
          <w:p w14:paraId="2CFBF7F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0.7241 </w:t>
            </w:r>
          </w:p>
        </w:tc>
        <w:tc>
          <w:tcPr>
            <w:tcW w:w="940" w:type="dxa"/>
            <w:tcBorders>
              <w:top w:val="nil"/>
              <w:left w:val="nil"/>
              <w:bottom w:val="single" w:sz="4" w:space="0" w:color="auto"/>
              <w:right w:val="single" w:sz="4" w:space="0" w:color="auto"/>
            </w:tcBorders>
            <w:noWrap/>
            <w:vAlign w:val="center"/>
            <w:hideMark/>
          </w:tcPr>
          <w:p w14:paraId="5965C20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0.5340 </w:t>
            </w:r>
          </w:p>
        </w:tc>
      </w:tr>
      <w:tr w:rsidR="004A2C77" w:rsidRPr="00F631FB" w14:paraId="6A200B6F" w14:textId="77777777" w:rsidTr="004A2C77">
        <w:trPr>
          <w:trHeight w:val="284"/>
        </w:trPr>
        <w:tc>
          <w:tcPr>
            <w:tcW w:w="15040" w:type="dxa"/>
            <w:gridSpan w:val="16"/>
            <w:tcBorders>
              <w:top w:val="single" w:sz="4" w:space="0" w:color="auto"/>
              <w:left w:val="nil"/>
              <w:bottom w:val="nil"/>
              <w:right w:val="nil"/>
            </w:tcBorders>
            <w:noWrap/>
            <w:vAlign w:val="center"/>
            <w:hideMark/>
          </w:tcPr>
          <w:p w14:paraId="19584371" w14:textId="77777777" w:rsidR="004A2C77" w:rsidRPr="00F631FB" w:rsidRDefault="004A2C77">
            <w:pPr>
              <w:widowControl/>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说明：容积率大于10时的容积率修正系数按照以下公式计算：1～2级：X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＝0.9335－0.0094R；3～7级：X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＝0.8331－0.0109R；8～12级：X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＝0.689－0.0155R。</w:t>
            </w:r>
          </w:p>
        </w:tc>
      </w:tr>
    </w:tbl>
    <w:p w14:paraId="6A6382CE" w14:textId="77777777" w:rsidR="004A2C77" w:rsidRPr="00F631FB" w:rsidRDefault="004A2C77" w:rsidP="002C3ABF">
      <w:pPr>
        <w:overflowPunct w:val="0"/>
        <w:spacing w:line="360" w:lineRule="auto"/>
        <w:ind w:firstLineChars="200" w:firstLine="560"/>
        <w:jc w:val="both"/>
        <w:textAlignment w:val="auto"/>
        <w:rPr>
          <w:rFonts w:ascii="Arial" w:eastAsia="仿宋_GB2312" w:hAnsi="Arial" w:cs="Arial"/>
          <w:sz w:val="28"/>
          <w:szCs w:val="28"/>
        </w:rPr>
        <w:sectPr w:rsidR="004A2C77" w:rsidRPr="00F631FB" w:rsidSect="004A2C77">
          <w:headerReference w:type="default" r:id="rId77"/>
          <w:footerReference w:type="default" r:id="rId78"/>
          <w:pgSz w:w="16838" w:h="11906" w:orient="landscape"/>
          <w:pgMar w:top="1304" w:right="1843" w:bottom="1304" w:left="1134" w:header="1134" w:footer="907" w:gutter="0"/>
          <w:cols w:space="425"/>
          <w:docGrid w:type="linesAndChars" w:linePitch="326"/>
        </w:sectPr>
      </w:pPr>
    </w:p>
    <w:p w14:paraId="615FE946" w14:textId="77777777" w:rsidR="00CE438D" w:rsidRPr="00F631FB" w:rsidRDefault="00CE438D" w:rsidP="00CE438D">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9"/>
        </w:rPr>
        <w:lastRenderedPageBreak/>
        <w:t>根据上表，可查询对应的容积率系数为</w:t>
      </w:r>
      <w:r>
        <w:rPr>
          <w:rFonts w:ascii="Arial" w:eastAsia="仿宋_GB2312" w:hAnsi="Arial" w:cs="Arial"/>
          <w:sz w:val="28"/>
          <w:szCs w:val="29"/>
        </w:rPr>
        <w:t>0.8175</w:t>
      </w:r>
      <w:r>
        <w:rPr>
          <w:rFonts w:ascii="Arial" w:eastAsia="仿宋_GB2312" w:hAnsi="Arial" w:cs="Arial" w:hint="eastAsia"/>
          <w:sz w:val="28"/>
          <w:szCs w:val="29"/>
        </w:rPr>
        <w:t>。</w:t>
      </w:r>
    </w:p>
    <w:p w14:paraId="3785142C" w14:textId="77777777" w:rsidR="00CE438D" w:rsidRPr="00F631FB" w:rsidRDefault="00CE438D" w:rsidP="00CE438D">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hint="eastAsia"/>
          <w:sz w:val="28"/>
          <w:szCs w:val="28"/>
        </w:rPr>
        <w:t>6</w:t>
      </w:r>
      <w:r w:rsidRPr="00F631FB">
        <w:rPr>
          <w:rFonts w:ascii="Arial" w:eastAsia="仿宋_GB2312" w:hAnsi="Arial" w:cs="Arial"/>
          <w:sz w:val="28"/>
        </w:rPr>
        <w:t>）因素修正系数的确定</w:t>
      </w:r>
    </w:p>
    <w:p w14:paraId="0763AB7D" w14:textId="77777777" w:rsidR="00CE438D" w:rsidRPr="00F631FB" w:rsidRDefault="00CE438D" w:rsidP="00CE438D">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15B6832D" w14:textId="77777777" w:rsidR="00CE438D" w:rsidRPr="00F631FB" w:rsidRDefault="00CE438D" w:rsidP="00CE438D">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因素修正系数</w:t>
      </w:r>
      <w:r w:rsidRPr="00F631FB">
        <w:rPr>
          <w:rFonts w:ascii="Arial" w:eastAsia="仿宋_GB2312" w:hAnsi="Arial" w:cs="Arial"/>
          <w:sz w:val="28"/>
        </w:rPr>
        <w:t>=1</w:t>
      </w:r>
      <w:r w:rsidRPr="00F631FB">
        <w:rPr>
          <w:rFonts w:ascii="Arial" w:eastAsia="仿宋_GB2312" w:hAnsi="Arial" w:cs="Arial"/>
          <w:sz w:val="28"/>
          <w:szCs w:val="29"/>
        </w:rPr>
        <w:t>＋</w:t>
      </w:r>
      <w:r w:rsidRPr="00F631FB">
        <w:rPr>
          <w:rFonts w:ascii="Arial" w:eastAsia="仿宋_GB2312" w:hAnsi="Arial" w:cs="Arial"/>
          <w:sz w:val="28"/>
        </w:rPr>
        <w:t>∑</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p>
    <w:p w14:paraId="15D301A2" w14:textId="77777777" w:rsidR="00CE438D" w:rsidRPr="00F631FB" w:rsidRDefault="00CE438D" w:rsidP="00CE438D">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其中</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r w:rsidRPr="00F631FB">
        <w:rPr>
          <w:rFonts w:ascii="Arial" w:eastAsia="仿宋_GB2312" w:hAnsi="Arial" w:cs="Arial"/>
          <w:sz w:val="28"/>
        </w:rPr>
        <w:t>：第</w:t>
      </w:r>
      <w:proofErr w:type="spellStart"/>
      <w:r w:rsidRPr="00F631FB">
        <w:rPr>
          <w:rFonts w:ascii="Arial" w:eastAsia="仿宋_GB2312" w:hAnsi="Arial" w:cs="Arial"/>
          <w:sz w:val="28"/>
        </w:rPr>
        <w:t>i</w:t>
      </w:r>
      <w:proofErr w:type="spellEnd"/>
      <w:r w:rsidRPr="00F631FB">
        <w:rPr>
          <w:rFonts w:ascii="Arial" w:eastAsia="仿宋_GB2312" w:hAnsi="Arial" w:cs="Arial"/>
          <w:sz w:val="28"/>
        </w:rPr>
        <w:t>种因素的修正系数</w:t>
      </w:r>
    </w:p>
    <w:p w14:paraId="5AF264BD" w14:textId="77777777" w:rsidR="00CE438D" w:rsidRPr="00F631FB" w:rsidRDefault="00CE438D" w:rsidP="00CE438D">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各因素的修正系数根据影响地价的因素权重和因素总修正幅度确定。</w:t>
      </w:r>
    </w:p>
    <w:p w14:paraId="200F8C0A" w14:textId="77777777" w:rsidR="00CE438D" w:rsidRPr="00F631FB" w:rsidRDefault="00CE438D" w:rsidP="00CE438D">
      <w:pPr>
        <w:spacing w:line="360" w:lineRule="auto"/>
        <w:jc w:val="center"/>
        <w:rPr>
          <w:rFonts w:ascii="Arial" w:eastAsia="仿宋_GB2312" w:hAnsi="Arial" w:cs="Arial"/>
          <w:b/>
          <w:bCs/>
          <w:szCs w:val="24"/>
        </w:rPr>
      </w:pPr>
      <w:r w:rsidRPr="00F631FB">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E438D" w:rsidRPr="00F631FB" w14:paraId="52982B2C" w14:textId="77777777" w:rsidTr="00CE438D">
        <w:trPr>
          <w:cantSplit/>
          <w:jc w:val="center"/>
        </w:trPr>
        <w:tc>
          <w:tcPr>
            <w:tcW w:w="2324" w:type="dxa"/>
            <w:gridSpan w:val="2"/>
            <w:shd w:val="clear" w:color="auto" w:fill="auto"/>
            <w:noWrap/>
            <w:vAlign w:val="center"/>
            <w:hideMark/>
          </w:tcPr>
          <w:p w14:paraId="0F7C2C4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w:t>
            </w:r>
          </w:p>
        </w:tc>
        <w:tc>
          <w:tcPr>
            <w:tcW w:w="2325" w:type="dxa"/>
            <w:gridSpan w:val="2"/>
            <w:shd w:val="clear" w:color="auto" w:fill="auto"/>
            <w:noWrap/>
            <w:vAlign w:val="center"/>
            <w:hideMark/>
          </w:tcPr>
          <w:p w14:paraId="29BAA48A"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w:t>
            </w:r>
          </w:p>
        </w:tc>
        <w:tc>
          <w:tcPr>
            <w:tcW w:w="2325" w:type="dxa"/>
            <w:gridSpan w:val="2"/>
            <w:shd w:val="clear" w:color="auto" w:fill="auto"/>
            <w:noWrap/>
            <w:vAlign w:val="center"/>
            <w:hideMark/>
          </w:tcPr>
          <w:p w14:paraId="7846FD53"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w:t>
            </w:r>
          </w:p>
        </w:tc>
        <w:tc>
          <w:tcPr>
            <w:tcW w:w="2325" w:type="dxa"/>
            <w:gridSpan w:val="2"/>
            <w:shd w:val="clear" w:color="auto" w:fill="auto"/>
            <w:noWrap/>
            <w:vAlign w:val="center"/>
            <w:hideMark/>
          </w:tcPr>
          <w:p w14:paraId="56714606"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工业</w:t>
            </w:r>
          </w:p>
        </w:tc>
      </w:tr>
      <w:tr w:rsidR="00CE438D" w:rsidRPr="00F631FB" w14:paraId="26167684" w14:textId="77777777" w:rsidTr="00CE438D">
        <w:trPr>
          <w:cantSplit/>
          <w:jc w:val="center"/>
        </w:trPr>
        <w:tc>
          <w:tcPr>
            <w:tcW w:w="1702" w:type="dxa"/>
            <w:shd w:val="clear" w:color="auto" w:fill="auto"/>
            <w:noWrap/>
            <w:vAlign w:val="center"/>
            <w:hideMark/>
          </w:tcPr>
          <w:p w14:paraId="32BD0C67"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22" w:type="dxa"/>
            <w:shd w:val="clear" w:color="auto" w:fill="auto"/>
            <w:noWrap/>
            <w:vAlign w:val="center"/>
            <w:hideMark/>
          </w:tcPr>
          <w:p w14:paraId="1991A7F5"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46" w:type="dxa"/>
            <w:shd w:val="clear" w:color="auto" w:fill="auto"/>
            <w:noWrap/>
            <w:vAlign w:val="center"/>
            <w:hideMark/>
          </w:tcPr>
          <w:p w14:paraId="03E521FF"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79" w:type="dxa"/>
            <w:shd w:val="clear" w:color="auto" w:fill="auto"/>
            <w:noWrap/>
            <w:vAlign w:val="center"/>
            <w:hideMark/>
          </w:tcPr>
          <w:p w14:paraId="0855EBC3"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731" w:type="dxa"/>
            <w:shd w:val="clear" w:color="auto" w:fill="auto"/>
            <w:noWrap/>
            <w:vAlign w:val="center"/>
            <w:hideMark/>
          </w:tcPr>
          <w:p w14:paraId="63424D30"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594" w:type="dxa"/>
            <w:shd w:val="clear" w:color="auto" w:fill="auto"/>
            <w:noWrap/>
            <w:vAlign w:val="center"/>
            <w:hideMark/>
          </w:tcPr>
          <w:p w14:paraId="019810D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74" w:type="dxa"/>
            <w:shd w:val="clear" w:color="auto" w:fill="auto"/>
            <w:noWrap/>
            <w:vAlign w:val="center"/>
            <w:hideMark/>
          </w:tcPr>
          <w:p w14:paraId="41CBD3B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51" w:type="dxa"/>
            <w:shd w:val="clear" w:color="auto" w:fill="auto"/>
            <w:noWrap/>
            <w:vAlign w:val="center"/>
            <w:hideMark/>
          </w:tcPr>
          <w:p w14:paraId="4386D141"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r>
      <w:tr w:rsidR="00CE438D" w:rsidRPr="00F631FB" w14:paraId="740B67E4" w14:textId="77777777" w:rsidTr="00CE438D">
        <w:trPr>
          <w:cantSplit/>
          <w:jc w:val="center"/>
        </w:trPr>
        <w:tc>
          <w:tcPr>
            <w:tcW w:w="1702" w:type="dxa"/>
            <w:shd w:val="clear" w:color="auto" w:fill="auto"/>
            <w:vAlign w:val="center"/>
            <w:hideMark/>
          </w:tcPr>
          <w:p w14:paraId="46CD7FD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商业繁华程度</w:t>
            </w:r>
          </w:p>
        </w:tc>
        <w:tc>
          <w:tcPr>
            <w:tcW w:w="622" w:type="dxa"/>
            <w:shd w:val="clear" w:color="auto" w:fill="auto"/>
            <w:vAlign w:val="center"/>
            <w:hideMark/>
          </w:tcPr>
          <w:p w14:paraId="54AF404A"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c>
          <w:tcPr>
            <w:tcW w:w="1646" w:type="dxa"/>
            <w:shd w:val="clear" w:color="auto" w:fill="auto"/>
            <w:vAlign w:val="center"/>
            <w:hideMark/>
          </w:tcPr>
          <w:p w14:paraId="62422C26"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办公集聚程度</w:t>
            </w:r>
          </w:p>
        </w:tc>
        <w:tc>
          <w:tcPr>
            <w:tcW w:w="679" w:type="dxa"/>
            <w:shd w:val="clear" w:color="auto" w:fill="auto"/>
            <w:vAlign w:val="center"/>
            <w:hideMark/>
          </w:tcPr>
          <w:p w14:paraId="1FA4A2C5"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24%</w:t>
            </w:r>
          </w:p>
        </w:tc>
        <w:tc>
          <w:tcPr>
            <w:tcW w:w="1731" w:type="dxa"/>
            <w:shd w:val="clear" w:color="auto" w:fill="auto"/>
            <w:vAlign w:val="center"/>
            <w:hideMark/>
          </w:tcPr>
          <w:p w14:paraId="0A0527C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居住社区成熟度</w:t>
            </w:r>
          </w:p>
        </w:tc>
        <w:tc>
          <w:tcPr>
            <w:tcW w:w="594" w:type="dxa"/>
            <w:shd w:val="clear" w:color="auto" w:fill="auto"/>
            <w:vAlign w:val="center"/>
            <w:hideMark/>
          </w:tcPr>
          <w:p w14:paraId="02D49AD9"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14%</w:t>
            </w:r>
          </w:p>
        </w:tc>
        <w:tc>
          <w:tcPr>
            <w:tcW w:w="1674" w:type="dxa"/>
            <w:shd w:val="clear" w:color="auto" w:fill="auto"/>
            <w:vAlign w:val="center"/>
            <w:hideMark/>
          </w:tcPr>
          <w:p w14:paraId="3145333A"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产业集聚程度</w:t>
            </w:r>
          </w:p>
        </w:tc>
        <w:tc>
          <w:tcPr>
            <w:tcW w:w="651" w:type="dxa"/>
            <w:shd w:val="clear" w:color="auto" w:fill="auto"/>
            <w:vAlign w:val="center"/>
            <w:hideMark/>
          </w:tcPr>
          <w:p w14:paraId="46CAFAF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26%</w:t>
            </w:r>
          </w:p>
        </w:tc>
      </w:tr>
      <w:tr w:rsidR="00CE438D" w:rsidRPr="00F631FB" w14:paraId="0FAFBA7B" w14:textId="77777777" w:rsidTr="00CE438D">
        <w:trPr>
          <w:cantSplit/>
          <w:jc w:val="center"/>
        </w:trPr>
        <w:tc>
          <w:tcPr>
            <w:tcW w:w="1702" w:type="dxa"/>
            <w:shd w:val="clear" w:color="auto" w:fill="auto"/>
            <w:vAlign w:val="center"/>
            <w:hideMark/>
          </w:tcPr>
          <w:p w14:paraId="749D8791"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22" w:type="dxa"/>
            <w:shd w:val="clear" w:color="auto" w:fill="auto"/>
            <w:vAlign w:val="center"/>
            <w:hideMark/>
          </w:tcPr>
          <w:p w14:paraId="5A66BBB0"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25%</w:t>
            </w:r>
          </w:p>
        </w:tc>
        <w:tc>
          <w:tcPr>
            <w:tcW w:w="1646" w:type="dxa"/>
            <w:shd w:val="clear" w:color="auto" w:fill="auto"/>
            <w:vAlign w:val="center"/>
            <w:hideMark/>
          </w:tcPr>
          <w:p w14:paraId="323B2C13"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79" w:type="dxa"/>
            <w:shd w:val="clear" w:color="auto" w:fill="auto"/>
            <w:vAlign w:val="center"/>
            <w:hideMark/>
          </w:tcPr>
          <w:p w14:paraId="2316A647"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731" w:type="dxa"/>
            <w:shd w:val="clear" w:color="auto" w:fill="auto"/>
            <w:vAlign w:val="center"/>
            <w:hideMark/>
          </w:tcPr>
          <w:p w14:paraId="36F5AF4F"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594" w:type="dxa"/>
            <w:shd w:val="clear" w:color="auto" w:fill="auto"/>
            <w:vAlign w:val="center"/>
            <w:hideMark/>
          </w:tcPr>
          <w:p w14:paraId="0A53486A"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674" w:type="dxa"/>
            <w:shd w:val="clear" w:color="auto" w:fill="auto"/>
            <w:vAlign w:val="center"/>
            <w:hideMark/>
          </w:tcPr>
          <w:p w14:paraId="380DAE66"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51" w:type="dxa"/>
            <w:shd w:val="clear" w:color="auto" w:fill="auto"/>
            <w:vAlign w:val="center"/>
            <w:hideMark/>
          </w:tcPr>
          <w:p w14:paraId="7FE8591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r>
      <w:tr w:rsidR="00CE438D" w:rsidRPr="00F631FB" w14:paraId="68401094" w14:textId="77777777" w:rsidTr="00CE438D">
        <w:trPr>
          <w:cantSplit/>
          <w:jc w:val="center"/>
        </w:trPr>
        <w:tc>
          <w:tcPr>
            <w:tcW w:w="1702" w:type="dxa"/>
            <w:shd w:val="clear" w:color="auto" w:fill="auto"/>
            <w:vAlign w:val="center"/>
            <w:hideMark/>
          </w:tcPr>
          <w:p w14:paraId="6391A76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22" w:type="dxa"/>
            <w:shd w:val="clear" w:color="auto" w:fill="auto"/>
            <w:vAlign w:val="center"/>
            <w:hideMark/>
          </w:tcPr>
          <w:p w14:paraId="65D0B08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1211F4A8"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79" w:type="dxa"/>
            <w:shd w:val="clear" w:color="auto" w:fill="auto"/>
            <w:vAlign w:val="center"/>
            <w:hideMark/>
          </w:tcPr>
          <w:p w14:paraId="55E385E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731" w:type="dxa"/>
            <w:shd w:val="clear" w:color="auto" w:fill="auto"/>
            <w:vAlign w:val="center"/>
            <w:hideMark/>
          </w:tcPr>
          <w:p w14:paraId="1495DE7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594" w:type="dxa"/>
            <w:shd w:val="clear" w:color="auto" w:fill="auto"/>
            <w:vAlign w:val="center"/>
            <w:hideMark/>
          </w:tcPr>
          <w:p w14:paraId="54836CD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50F455F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51" w:type="dxa"/>
            <w:shd w:val="clear" w:color="auto" w:fill="auto"/>
            <w:vAlign w:val="center"/>
            <w:hideMark/>
          </w:tcPr>
          <w:p w14:paraId="4893C6D7"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CE438D" w:rsidRPr="00F631FB" w14:paraId="01FFD79E" w14:textId="77777777" w:rsidTr="00CE438D">
        <w:trPr>
          <w:cantSplit/>
          <w:jc w:val="center"/>
        </w:trPr>
        <w:tc>
          <w:tcPr>
            <w:tcW w:w="1702" w:type="dxa"/>
            <w:shd w:val="clear" w:color="auto" w:fill="auto"/>
            <w:vAlign w:val="center"/>
            <w:hideMark/>
          </w:tcPr>
          <w:p w14:paraId="7CC8DBDF"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22" w:type="dxa"/>
            <w:shd w:val="clear" w:color="auto" w:fill="auto"/>
            <w:vAlign w:val="center"/>
            <w:hideMark/>
          </w:tcPr>
          <w:p w14:paraId="40A7FF9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0805D86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79" w:type="dxa"/>
            <w:shd w:val="clear" w:color="auto" w:fill="auto"/>
            <w:vAlign w:val="center"/>
            <w:hideMark/>
          </w:tcPr>
          <w:p w14:paraId="634C450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731" w:type="dxa"/>
            <w:shd w:val="clear" w:color="auto" w:fill="auto"/>
            <w:vAlign w:val="center"/>
            <w:hideMark/>
          </w:tcPr>
          <w:p w14:paraId="00020F2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594" w:type="dxa"/>
            <w:shd w:val="clear" w:color="auto" w:fill="auto"/>
            <w:vAlign w:val="center"/>
            <w:hideMark/>
          </w:tcPr>
          <w:p w14:paraId="6A0C995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0064A690"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651" w:type="dxa"/>
            <w:shd w:val="clear" w:color="auto" w:fill="auto"/>
            <w:vAlign w:val="center"/>
            <w:hideMark/>
          </w:tcPr>
          <w:p w14:paraId="3056838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r>
      <w:tr w:rsidR="00CE438D" w:rsidRPr="00F631FB" w14:paraId="272CB5A1" w14:textId="77777777" w:rsidTr="00CE438D">
        <w:trPr>
          <w:cantSplit/>
          <w:jc w:val="center"/>
        </w:trPr>
        <w:tc>
          <w:tcPr>
            <w:tcW w:w="1702" w:type="dxa"/>
            <w:shd w:val="clear" w:color="auto" w:fill="auto"/>
            <w:vAlign w:val="center"/>
            <w:hideMark/>
          </w:tcPr>
          <w:p w14:paraId="4EFF6B8A"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22" w:type="dxa"/>
            <w:shd w:val="clear" w:color="auto" w:fill="auto"/>
            <w:vAlign w:val="center"/>
            <w:hideMark/>
          </w:tcPr>
          <w:p w14:paraId="37CD6E3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46" w:type="dxa"/>
            <w:shd w:val="clear" w:color="auto" w:fill="auto"/>
            <w:vAlign w:val="center"/>
            <w:hideMark/>
          </w:tcPr>
          <w:p w14:paraId="5F0B1A96"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79" w:type="dxa"/>
            <w:shd w:val="clear" w:color="auto" w:fill="auto"/>
            <w:vAlign w:val="center"/>
            <w:hideMark/>
          </w:tcPr>
          <w:p w14:paraId="4807D31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6F392690"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594" w:type="dxa"/>
            <w:shd w:val="clear" w:color="auto" w:fill="auto"/>
            <w:vAlign w:val="center"/>
            <w:hideMark/>
          </w:tcPr>
          <w:p w14:paraId="7E895805"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7602C5C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51" w:type="dxa"/>
            <w:shd w:val="clear" w:color="auto" w:fill="auto"/>
            <w:vAlign w:val="center"/>
            <w:hideMark/>
          </w:tcPr>
          <w:p w14:paraId="636B51C4"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CE438D" w:rsidRPr="00F631FB" w14:paraId="0CE5D317" w14:textId="77777777" w:rsidTr="00CE438D">
        <w:trPr>
          <w:cantSplit/>
          <w:jc w:val="center"/>
        </w:trPr>
        <w:tc>
          <w:tcPr>
            <w:tcW w:w="1702" w:type="dxa"/>
            <w:shd w:val="clear" w:color="auto" w:fill="auto"/>
            <w:vAlign w:val="center"/>
            <w:hideMark/>
          </w:tcPr>
          <w:p w14:paraId="7940AAC4"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22" w:type="dxa"/>
            <w:shd w:val="clear" w:color="auto" w:fill="auto"/>
            <w:vAlign w:val="center"/>
            <w:hideMark/>
          </w:tcPr>
          <w:p w14:paraId="40E413C5"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w:t>
            </w:r>
          </w:p>
        </w:tc>
        <w:tc>
          <w:tcPr>
            <w:tcW w:w="1646" w:type="dxa"/>
            <w:shd w:val="clear" w:color="auto" w:fill="auto"/>
            <w:vAlign w:val="center"/>
            <w:hideMark/>
          </w:tcPr>
          <w:p w14:paraId="08D73C1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79" w:type="dxa"/>
            <w:shd w:val="clear" w:color="auto" w:fill="auto"/>
            <w:vAlign w:val="center"/>
            <w:hideMark/>
          </w:tcPr>
          <w:p w14:paraId="4428274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5378879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594" w:type="dxa"/>
            <w:shd w:val="clear" w:color="auto" w:fill="auto"/>
            <w:vAlign w:val="center"/>
            <w:hideMark/>
          </w:tcPr>
          <w:p w14:paraId="51F79FA6"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74" w:type="dxa"/>
            <w:shd w:val="clear" w:color="auto" w:fill="auto"/>
            <w:vAlign w:val="center"/>
            <w:hideMark/>
          </w:tcPr>
          <w:p w14:paraId="23B488AF"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51" w:type="dxa"/>
            <w:shd w:val="clear" w:color="auto" w:fill="auto"/>
            <w:vAlign w:val="center"/>
            <w:hideMark/>
          </w:tcPr>
          <w:p w14:paraId="5FEC723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CE438D" w:rsidRPr="00F631FB" w14:paraId="6BAC9AED" w14:textId="77777777" w:rsidTr="00CE438D">
        <w:trPr>
          <w:cantSplit/>
          <w:jc w:val="center"/>
        </w:trPr>
        <w:tc>
          <w:tcPr>
            <w:tcW w:w="1702" w:type="dxa"/>
            <w:shd w:val="clear" w:color="auto" w:fill="auto"/>
            <w:vAlign w:val="center"/>
            <w:hideMark/>
          </w:tcPr>
          <w:p w14:paraId="67DFD48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22" w:type="dxa"/>
            <w:shd w:val="clear" w:color="auto" w:fill="auto"/>
            <w:vAlign w:val="center"/>
            <w:hideMark/>
          </w:tcPr>
          <w:p w14:paraId="10E9EBB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79053BD9"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79" w:type="dxa"/>
            <w:shd w:val="clear" w:color="auto" w:fill="auto"/>
            <w:vAlign w:val="center"/>
            <w:hideMark/>
          </w:tcPr>
          <w:p w14:paraId="58D5E8A5"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214AE2A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594" w:type="dxa"/>
            <w:shd w:val="clear" w:color="auto" w:fill="auto"/>
            <w:vAlign w:val="center"/>
            <w:hideMark/>
          </w:tcPr>
          <w:p w14:paraId="50E6CD6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674" w:type="dxa"/>
            <w:shd w:val="clear" w:color="auto" w:fill="auto"/>
            <w:vAlign w:val="center"/>
            <w:hideMark/>
          </w:tcPr>
          <w:p w14:paraId="4163D2D9"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51" w:type="dxa"/>
            <w:shd w:val="clear" w:color="auto" w:fill="auto"/>
            <w:vAlign w:val="center"/>
            <w:hideMark/>
          </w:tcPr>
          <w:p w14:paraId="2D9C992A"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r>
      <w:tr w:rsidR="00CE438D" w:rsidRPr="00F631FB" w14:paraId="43BA1EF5" w14:textId="77777777" w:rsidTr="00CE438D">
        <w:trPr>
          <w:cantSplit/>
          <w:jc w:val="center"/>
        </w:trPr>
        <w:tc>
          <w:tcPr>
            <w:tcW w:w="1702" w:type="dxa"/>
            <w:shd w:val="clear" w:color="auto" w:fill="auto"/>
            <w:vAlign w:val="center"/>
            <w:hideMark/>
          </w:tcPr>
          <w:p w14:paraId="57C0588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22" w:type="dxa"/>
            <w:shd w:val="clear" w:color="auto" w:fill="auto"/>
            <w:vAlign w:val="center"/>
            <w:hideMark/>
          </w:tcPr>
          <w:p w14:paraId="09120D24"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10%</w:t>
            </w:r>
          </w:p>
        </w:tc>
        <w:tc>
          <w:tcPr>
            <w:tcW w:w="1646" w:type="dxa"/>
            <w:shd w:val="clear" w:color="auto" w:fill="auto"/>
            <w:vAlign w:val="center"/>
            <w:hideMark/>
          </w:tcPr>
          <w:p w14:paraId="148ED17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79" w:type="dxa"/>
            <w:shd w:val="clear" w:color="auto" w:fill="auto"/>
            <w:vAlign w:val="center"/>
            <w:hideMark/>
          </w:tcPr>
          <w:p w14:paraId="46072663"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731" w:type="dxa"/>
            <w:shd w:val="clear" w:color="auto" w:fill="auto"/>
            <w:vAlign w:val="center"/>
            <w:hideMark/>
          </w:tcPr>
          <w:p w14:paraId="1B58817A"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594" w:type="dxa"/>
            <w:shd w:val="clear" w:color="auto" w:fill="auto"/>
            <w:vAlign w:val="center"/>
            <w:hideMark/>
          </w:tcPr>
          <w:p w14:paraId="2D6BF32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c>
          <w:tcPr>
            <w:tcW w:w="1674" w:type="dxa"/>
            <w:shd w:val="clear" w:color="auto" w:fill="auto"/>
            <w:vAlign w:val="center"/>
            <w:hideMark/>
          </w:tcPr>
          <w:p w14:paraId="215CAE43"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环境状况</w:t>
            </w:r>
          </w:p>
        </w:tc>
        <w:tc>
          <w:tcPr>
            <w:tcW w:w="651" w:type="dxa"/>
            <w:shd w:val="clear" w:color="auto" w:fill="auto"/>
            <w:vAlign w:val="center"/>
            <w:hideMark/>
          </w:tcPr>
          <w:p w14:paraId="7B95FA8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CE438D" w:rsidRPr="00F631FB" w14:paraId="56B8F91C" w14:textId="77777777" w:rsidTr="00CE438D">
        <w:trPr>
          <w:cantSplit/>
          <w:jc w:val="center"/>
        </w:trPr>
        <w:tc>
          <w:tcPr>
            <w:tcW w:w="1702" w:type="dxa"/>
            <w:shd w:val="clear" w:color="auto" w:fill="auto"/>
            <w:vAlign w:val="center"/>
            <w:hideMark/>
          </w:tcPr>
          <w:p w14:paraId="56428321"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22" w:type="dxa"/>
            <w:shd w:val="clear" w:color="auto" w:fill="auto"/>
            <w:vAlign w:val="center"/>
            <w:hideMark/>
          </w:tcPr>
          <w:p w14:paraId="50AD78E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646" w:type="dxa"/>
            <w:shd w:val="clear" w:color="auto" w:fill="auto"/>
            <w:vAlign w:val="center"/>
            <w:hideMark/>
          </w:tcPr>
          <w:p w14:paraId="2A052A8A"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79" w:type="dxa"/>
            <w:shd w:val="clear" w:color="auto" w:fill="auto"/>
            <w:vAlign w:val="center"/>
            <w:hideMark/>
          </w:tcPr>
          <w:p w14:paraId="233DAF13"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1072358F"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与区域中心的接近程度</w:t>
            </w:r>
          </w:p>
        </w:tc>
        <w:tc>
          <w:tcPr>
            <w:tcW w:w="594" w:type="dxa"/>
            <w:shd w:val="clear" w:color="auto" w:fill="auto"/>
            <w:vAlign w:val="center"/>
            <w:hideMark/>
          </w:tcPr>
          <w:p w14:paraId="087D77A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50633CA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c>
          <w:tcPr>
            <w:tcW w:w="651" w:type="dxa"/>
            <w:shd w:val="clear" w:color="auto" w:fill="auto"/>
            <w:vAlign w:val="center"/>
            <w:hideMark/>
          </w:tcPr>
          <w:p w14:paraId="0A1B5C84"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r>
    </w:tbl>
    <w:p w14:paraId="11399A1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p>
    <w:p w14:paraId="5C6F69C9" w14:textId="7CFF2E9E" w:rsidR="00D12201" w:rsidRDefault="00CD340C" w:rsidP="00CD340C">
      <w:pPr>
        <w:spacing w:line="360" w:lineRule="auto"/>
        <w:jc w:val="both"/>
        <w:rPr>
          <w:rFonts w:ascii="Arial" w:eastAsia="仿宋_GB2312" w:hAnsi="Arial" w:cs="Arial"/>
          <w:sz w:val="28"/>
          <w:szCs w:val="28"/>
        </w:rPr>
      </w:pPr>
      <w:r>
        <w:rPr>
          <w:rFonts w:ascii="Arial" w:eastAsia="仿宋_GB2312" w:hAnsi="Arial" w:cs="Arial" w:hint="eastAsia"/>
          <w:sz w:val="28"/>
          <w:szCs w:val="28"/>
        </w:rPr>
        <w:t>（转下页）</w:t>
      </w:r>
    </w:p>
    <w:p w14:paraId="218BF859" w14:textId="77777777" w:rsidR="00CD340C" w:rsidRDefault="00CD340C" w:rsidP="00CE438D">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br w:type="page"/>
      </w:r>
    </w:p>
    <w:p w14:paraId="69DA166F" w14:textId="441CD7B4" w:rsidR="00CE438D" w:rsidRDefault="00CE438D" w:rsidP="00CE438D">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lastRenderedPageBreak/>
        <w:t>估价对象位于商业类</w:t>
      </w:r>
      <w:r>
        <w:rPr>
          <w:rFonts w:ascii="Arial" w:eastAsia="仿宋_GB2312" w:hAnsi="Arial" w:cs="Arial" w:hint="eastAsia"/>
          <w:sz w:val="28"/>
          <w:szCs w:val="28"/>
        </w:rPr>
        <w:t>三级</w:t>
      </w:r>
      <w:r w:rsidRPr="00F631FB">
        <w:rPr>
          <w:rFonts w:ascii="Arial" w:eastAsia="仿宋_GB2312" w:hAnsi="Arial" w:cs="Arial"/>
          <w:sz w:val="28"/>
          <w:szCs w:val="28"/>
        </w:rPr>
        <w:t>地价区，该级别《区片基准地价因素总修正幅度表》</w:t>
      </w:r>
      <w:r>
        <w:rPr>
          <w:rFonts w:ascii="Arial" w:eastAsia="仿宋_GB2312" w:hAnsi="Arial" w:cs="Arial" w:hint="eastAsia"/>
          <w:sz w:val="28"/>
          <w:szCs w:val="28"/>
        </w:rPr>
        <w:t>如下：</w:t>
      </w:r>
    </w:p>
    <w:tbl>
      <w:tblPr>
        <w:tblW w:w="9479" w:type="dxa"/>
        <w:jc w:val="center"/>
        <w:tblLook w:val="04A0" w:firstRow="1" w:lastRow="0" w:firstColumn="1" w:lastColumn="0" w:noHBand="0" w:noVBand="1"/>
      </w:tblPr>
      <w:tblGrid>
        <w:gridCol w:w="678"/>
        <w:gridCol w:w="931"/>
        <w:gridCol w:w="1066"/>
        <w:gridCol w:w="967"/>
        <w:gridCol w:w="1107"/>
        <w:gridCol w:w="1086"/>
        <w:gridCol w:w="1126"/>
        <w:gridCol w:w="1114"/>
        <w:gridCol w:w="1404"/>
      </w:tblGrid>
      <w:tr w:rsidR="00CE438D" w:rsidRPr="006177F4" w14:paraId="3BC74918" w14:textId="77777777" w:rsidTr="00CE438D">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BA09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6D0C95"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88ABD5"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办公</w:t>
            </w:r>
          </w:p>
        </w:tc>
        <w:tc>
          <w:tcPr>
            <w:tcW w:w="22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350650"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3FEF2B"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工业</w:t>
            </w:r>
          </w:p>
        </w:tc>
      </w:tr>
      <w:tr w:rsidR="00CE438D" w:rsidRPr="006177F4" w14:paraId="74699FBA"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674BFCF3"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noWrap/>
            <w:vAlign w:val="center"/>
            <w:hideMark/>
          </w:tcPr>
          <w:p w14:paraId="6933F14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14:paraId="08BD474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14:paraId="606457F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14:paraId="04908604"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14:paraId="3771F9A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区片编号</w:t>
            </w:r>
          </w:p>
        </w:tc>
        <w:tc>
          <w:tcPr>
            <w:tcW w:w="1126" w:type="dxa"/>
            <w:tcBorders>
              <w:top w:val="nil"/>
              <w:left w:val="nil"/>
              <w:bottom w:val="single" w:sz="4" w:space="0" w:color="auto"/>
              <w:right w:val="single" w:sz="4" w:space="0" w:color="auto"/>
            </w:tcBorders>
            <w:shd w:val="clear" w:color="auto" w:fill="auto"/>
            <w:noWrap/>
            <w:vAlign w:val="center"/>
            <w:hideMark/>
          </w:tcPr>
          <w:p w14:paraId="2A837055"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修正幅度</w:t>
            </w:r>
          </w:p>
        </w:tc>
        <w:tc>
          <w:tcPr>
            <w:tcW w:w="1114" w:type="dxa"/>
            <w:tcBorders>
              <w:top w:val="nil"/>
              <w:left w:val="nil"/>
              <w:bottom w:val="single" w:sz="4" w:space="0" w:color="auto"/>
              <w:right w:val="single" w:sz="4" w:space="0" w:color="auto"/>
            </w:tcBorders>
            <w:shd w:val="clear" w:color="auto" w:fill="auto"/>
            <w:noWrap/>
            <w:vAlign w:val="center"/>
            <w:hideMark/>
          </w:tcPr>
          <w:p w14:paraId="0F793F9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区片编号</w:t>
            </w:r>
          </w:p>
        </w:tc>
        <w:tc>
          <w:tcPr>
            <w:tcW w:w="1404" w:type="dxa"/>
            <w:tcBorders>
              <w:top w:val="nil"/>
              <w:left w:val="nil"/>
              <w:bottom w:val="single" w:sz="4" w:space="0" w:color="auto"/>
              <w:right w:val="single" w:sz="4" w:space="0" w:color="auto"/>
            </w:tcBorders>
            <w:shd w:val="clear" w:color="auto" w:fill="auto"/>
            <w:noWrap/>
            <w:vAlign w:val="center"/>
            <w:hideMark/>
          </w:tcPr>
          <w:p w14:paraId="3989BECD"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修正幅度</w:t>
            </w:r>
          </w:p>
        </w:tc>
      </w:tr>
      <w:tr w:rsidR="00CE438D" w:rsidRPr="006177F4" w14:paraId="383F050E" w14:textId="77777777" w:rsidTr="00CE438D">
        <w:trPr>
          <w:trHeight w:val="285"/>
          <w:jc w:val="center"/>
        </w:trPr>
        <w:tc>
          <w:tcPr>
            <w:tcW w:w="678" w:type="dxa"/>
            <w:vMerge w:val="restart"/>
            <w:tcBorders>
              <w:top w:val="nil"/>
              <w:left w:val="single" w:sz="4" w:space="0" w:color="auto"/>
              <w:bottom w:val="nil"/>
              <w:right w:val="single" w:sz="4" w:space="0" w:color="auto"/>
            </w:tcBorders>
            <w:shd w:val="clear" w:color="auto" w:fill="auto"/>
            <w:vAlign w:val="center"/>
            <w:hideMark/>
          </w:tcPr>
          <w:p w14:paraId="132199E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三级</w:t>
            </w:r>
          </w:p>
        </w:tc>
        <w:tc>
          <w:tcPr>
            <w:tcW w:w="931" w:type="dxa"/>
            <w:tcBorders>
              <w:top w:val="nil"/>
              <w:left w:val="nil"/>
              <w:bottom w:val="single" w:sz="4" w:space="0" w:color="auto"/>
              <w:right w:val="single" w:sz="4" w:space="0" w:color="auto"/>
            </w:tcBorders>
            <w:shd w:val="clear" w:color="auto" w:fill="auto"/>
            <w:vAlign w:val="center"/>
            <w:hideMark/>
          </w:tcPr>
          <w:p w14:paraId="0B1B26F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—01</w:t>
            </w:r>
          </w:p>
        </w:tc>
        <w:tc>
          <w:tcPr>
            <w:tcW w:w="1066" w:type="dxa"/>
            <w:tcBorders>
              <w:top w:val="nil"/>
              <w:left w:val="nil"/>
              <w:bottom w:val="single" w:sz="4" w:space="0" w:color="auto"/>
              <w:right w:val="single" w:sz="4" w:space="0" w:color="auto"/>
            </w:tcBorders>
            <w:shd w:val="clear" w:color="auto" w:fill="auto"/>
            <w:vAlign w:val="center"/>
            <w:hideMark/>
          </w:tcPr>
          <w:p w14:paraId="2BB1991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６．４％</w:t>
            </w:r>
          </w:p>
        </w:tc>
        <w:tc>
          <w:tcPr>
            <w:tcW w:w="967" w:type="dxa"/>
            <w:tcBorders>
              <w:top w:val="nil"/>
              <w:left w:val="nil"/>
              <w:bottom w:val="single" w:sz="4" w:space="0" w:color="auto"/>
              <w:right w:val="single" w:sz="4" w:space="0" w:color="auto"/>
            </w:tcBorders>
            <w:shd w:val="clear" w:color="auto" w:fill="auto"/>
            <w:vAlign w:val="center"/>
            <w:hideMark/>
          </w:tcPr>
          <w:p w14:paraId="574B8B6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—01</w:t>
            </w:r>
          </w:p>
        </w:tc>
        <w:tc>
          <w:tcPr>
            <w:tcW w:w="1107" w:type="dxa"/>
            <w:tcBorders>
              <w:top w:val="nil"/>
              <w:left w:val="nil"/>
              <w:bottom w:val="single" w:sz="4" w:space="0" w:color="auto"/>
              <w:right w:val="single" w:sz="4" w:space="0" w:color="auto"/>
            </w:tcBorders>
            <w:shd w:val="clear" w:color="auto" w:fill="auto"/>
            <w:vAlign w:val="center"/>
            <w:hideMark/>
          </w:tcPr>
          <w:p w14:paraId="0830E70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６．５％</w:t>
            </w:r>
          </w:p>
        </w:tc>
        <w:tc>
          <w:tcPr>
            <w:tcW w:w="1086" w:type="dxa"/>
            <w:tcBorders>
              <w:top w:val="nil"/>
              <w:left w:val="nil"/>
              <w:bottom w:val="single" w:sz="4" w:space="0" w:color="auto"/>
              <w:right w:val="single" w:sz="4" w:space="0" w:color="auto"/>
            </w:tcBorders>
            <w:shd w:val="clear" w:color="auto" w:fill="auto"/>
            <w:vAlign w:val="center"/>
            <w:hideMark/>
          </w:tcPr>
          <w:p w14:paraId="571B0EB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—01</w:t>
            </w:r>
          </w:p>
        </w:tc>
        <w:tc>
          <w:tcPr>
            <w:tcW w:w="1126" w:type="dxa"/>
            <w:tcBorders>
              <w:top w:val="nil"/>
              <w:left w:val="nil"/>
              <w:bottom w:val="single" w:sz="4" w:space="0" w:color="auto"/>
              <w:right w:val="single" w:sz="4" w:space="0" w:color="auto"/>
            </w:tcBorders>
            <w:shd w:val="clear" w:color="auto" w:fill="auto"/>
            <w:vAlign w:val="center"/>
            <w:hideMark/>
          </w:tcPr>
          <w:p w14:paraId="44107E4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６．９％</w:t>
            </w:r>
          </w:p>
        </w:tc>
        <w:tc>
          <w:tcPr>
            <w:tcW w:w="1114" w:type="dxa"/>
            <w:tcBorders>
              <w:top w:val="nil"/>
              <w:left w:val="nil"/>
              <w:bottom w:val="single" w:sz="4" w:space="0" w:color="auto"/>
              <w:right w:val="single" w:sz="4" w:space="0" w:color="auto"/>
            </w:tcBorders>
            <w:shd w:val="clear" w:color="auto" w:fill="auto"/>
            <w:vAlign w:val="center"/>
            <w:hideMark/>
          </w:tcPr>
          <w:p w14:paraId="47C8ACE0"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—01</w:t>
            </w:r>
          </w:p>
        </w:tc>
        <w:tc>
          <w:tcPr>
            <w:tcW w:w="1404" w:type="dxa"/>
            <w:tcBorders>
              <w:top w:val="nil"/>
              <w:left w:val="nil"/>
              <w:bottom w:val="single" w:sz="4" w:space="0" w:color="auto"/>
              <w:right w:val="single" w:sz="4" w:space="0" w:color="auto"/>
            </w:tcBorders>
            <w:shd w:val="clear" w:color="auto" w:fill="auto"/>
            <w:vAlign w:val="center"/>
            <w:hideMark/>
          </w:tcPr>
          <w:p w14:paraId="789CF3B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2B817BC3"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64B1C5DF"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1300E96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—02</w:t>
            </w:r>
          </w:p>
        </w:tc>
        <w:tc>
          <w:tcPr>
            <w:tcW w:w="1066" w:type="dxa"/>
            <w:tcBorders>
              <w:top w:val="nil"/>
              <w:left w:val="nil"/>
              <w:bottom w:val="single" w:sz="4" w:space="0" w:color="auto"/>
              <w:right w:val="single" w:sz="4" w:space="0" w:color="auto"/>
            </w:tcBorders>
            <w:shd w:val="clear" w:color="auto" w:fill="auto"/>
            <w:vAlign w:val="center"/>
            <w:hideMark/>
          </w:tcPr>
          <w:p w14:paraId="25071C1D"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６．４％</w:t>
            </w:r>
          </w:p>
        </w:tc>
        <w:tc>
          <w:tcPr>
            <w:tcW w:w="967" w:type="dxa"/>
            <w:tcBorders>
              <w:top w:val="nil"/>
              <w:left w:val="nil"/>
              <w:bottom w:val="single" w:sz="4" w:space="0" w:color="auto"/>
              <w:right w:val="single" w:sz="4" w:space="0" w:color="auto"/>
            </w:tcBorders>
            <w:shd w:val="clear" w:color="auto" w:fill="auto"/>
            <w:vAlign w:val="center"/>
            <w:hideMark/>
          </w:tcPr>
          <w:p w14:paraId="1CCE5C8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—02</w:t>
            </w:r>
          </w:p>
        </w:tc>
        <w:tc>
          <w:tcPr>
            <w:tcW w:w="1107" w:type="dxa"/>
            <w:tcBorders>
              <w:top w:val="nil"/>
              <w:left w:val="nil"/>
              <w:bottom w:val="single" w:sz="4" w:space="0" w:color="auto"/>
              <w:right w:val="single" w:sz="4" w:space="0" w:color="auto"/>
            </w:tcBorders>
            <w:shd w:val="clear" w:color="auto" w:fill="auto"/>
            <w:vAlign w:val="center"/>
            <w:hideMark/>
          </w:tcPr>
          <w:p w14:paraId="33BF7DC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９．９％</w:t>
            </w:r>
          </w:p>
        </w:tc>
        <w:tc>
          <w:tcPr>
            <w:tcW w:w="1086" w:type="dxa"/>
            <w:tcBorders>
              <w:top w:val="nil"/>
              <w:left w:val="nil"/>
              <w:bottom w:val="single" w:sz="4" w:space="0" w:color="auto"/>
              <w:right w:val="single" w:sz="4" w:space="0" w:color="auto"/>
            </w:tcBorders>
            <w:shd w:val="clear" w:color="auto" w:fill="auto"/>
            <w:vAlign w:val="center"/>
            <w:hideMark/>
          </w:tcPr>
          <w:p w14:paraId="54492EFB"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—02</w:t>
            </w:r>
          </w:p>
        </w:tc>
        <w:tc>
          <w:tcPr>
            <w:tcW w:w="1126" w:type="dxa"/>
            <w:tcBorders>
              <w:top w:val="nil"/>
              <w:left w:val="nil"/>
              <w:bottom w:val="single" w:sz="4" w:space="0" w:color="auto"/>
              <w:right w:val="single" w:sz="4" w:space="0" w:color="auto"/>
            </w:tcBorders>
            <w:shd w:val="clear" w:color="auto" w:fill="auto"/>
            <w:vAlign w:val="center"/>
            <w:hideMark/>
          </w:tcPr>
          <w:p w14:paraId="169C3E6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1114" w:type="dxa"/>
            <w:tcBorders>
              <w:top w:val="nil"/>
              <w:left w:val="nil"/>
              <w:bottom w:val="single" w:sz="4" w:space="0" w:color="auto"/>
              <w:right w:val="single" w:sz="4" w:space="0" w:color="auto"/>
            </w:tcBorders>
            <w:shd w:val="clear" w:color="auto" w:fill="auto"/>
            <w:vAlign w:val="center"/>
            <w:hideMark/>
          </w:tcPr>
          <w:p w14:paraId="0312F2D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—02</w:t>
            </w:r>
          </w:p>
        </w:tc>
        <w:tc>
          <w:tcPr>
            <w:tcW w:w="1404" w:type="dxa"/>
            <w:tcBorders>
              <w:top w:val="nil"/>
              <w:left w:val="nil"/>
              <w:bottom w:val="single" w:sz="4" w:space="0" w:color="auto"/>
              <w:right w:val="single" w:sz="4" w:space="0" w:color="auto"/>
            </w:tcBorders>
            <w:shd w:val="clear" w:color="auto" w:fill="auto"/>
            <w:vAlign w:val="center"/>
            <w:hideMark/>
          </w:tcPr>
          <w:p w14:paraId="08FB4B3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0F5C5E32"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2175BF33"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3D34CA2D"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—03</w:t>
            </w:r>
          </w:p>
        </w:tc>
        <w:tc>
          <w:tcPr>
            <w:tcW w:w="1066" w:type="dxa"/>
            <w:tcBorders>
              <w:top w:val="nil"/>
              <w:left w:val="nil"/>
              <w:bottom w:val="single" w:sz="4" w:space="0" w:color="auto"/>
              <w:right w:val="single" w:sz="4" w:space="0" w:color="auto"/>
            </w:tcBorders>
            <w:shd w:val="clear" w:color="auto" w:fill="auto"/>
            <w:vAlign w:val="center"/>
            <w:hideMark/>
          </w:tcPr>
          <w:p w14:paraId="2D3CFCD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967" w:type="dxa"/>
            <w:tcBorders>
              <w:top w:val="nil"/>
              <w:left w:val="nil"/>
              <w:bottom w:val="single" w:sz="4" w:space="0" w:color="auto"/>
              <w:right w:val="single" w:sz="4" w:space="0" w:color="auto"/>
            </w:tcBorders>
            <w:shd w:val="clear" w:color="auto" w:fill="auto"/>
            <w:vAlign w:val="center"/>
            <w:hideMark/>
          </w:tcPr>
          <w:p w14:paraId="17BCE08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—03</w:t>
            </w:r>
          </w:p>
        </w:tc>
        <w:tc>
          <w:tcPr>
            <w:tcW w:w="1107" w:type="dxa"/>
            <w:tcBorders>
              <w:top w:val="nil"/>
              <w:left w:val="nil"/>
              <w:bottom w:val="single" w:sz="4" w:space="0" w:color="auto"/>
              <w:right w:val="single" w:sz="4" w:space="0" w:color="auto"/>
            </w:tcBorders>
            <w:shd w:val="clear" w:color="auto" w:fill="auto"/>
            <w:vAlign w:val="center"/>
            <w:hideMark/>
          </w:tcPr>
          <w:p w14:paraId="43FF8B9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９．５％</w:t>
            </w:r>
          </w:p>
        </w:tc>
        <w:tc>
          <w:tcPr>
            <w:tcW w:w="1086" w:type="dxa"/>
            <w:tcBorders>
              <w:top w:val="nil"/>
              <w:left w:val="nil"/>
              <w:bottom w:val="single" w:sz="4" w:space="0" w:color="auto"/>
              <w:right w:val="single" w:sz="4" w:space="0" w:color="auto"/>
            </w:tcBorders>
            <w:shd w:val="clear" w:color="auto" w:fill="auto"/>
            <w:vAlign w:val="center"/>
            <w:hideMark/>
          </w:tcPr>
          <w:p w14:paraId="3D9BF2A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—03</w:t>
            </w:r>
          </w:p>
        </w:tc>
        <w:tc>
          <w:tcPr>
            <w:tcW w:w="1126" w:type="dxa"/>
            <w:tcBorders>
              <w:top w:val="nil"/>
              <w:left w:val="nil"/>
              <w:bottom w:val="single" w:sz="4" w:space="0" w:color="auto"/>
              <w:right w:val="single" w:sz="4" w:space="0" w:color="auto"/>
            </w:tcBorders>
            <w:shd w:val="clear" w:color="auto" w:fill="auto"/>
            <w:vAlign w:val="center"/>
            <w:hideMark/>
          </w:tcPr>
          <w:p w14:paraId="22B9E59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８．９％</w:t>
            </w:r>
          </w:p>
        </w:tc>
        <w:tc>
          <w:tcPr>
            <w:tcW w:w="1114" w:type="dxa"/>
            <w:tcBorders>
              <w:top w:val="nil"/>
              <w:left w:val="nil"/>
              <w:bottom w:val="single" w:sz="4" w:space="0" w:color="auto"/>
              <w:right w:val="single" w:sz="4" w:space="0" w:color="auto"/>
            </w:tcBorders>
            <w:shd w:val="clear" w:color="auto" w:fill="auto"/>
            <w:vAlign w:val="center"/>
            <w:hideMark/>
          </w:tcPr>
          <w:p w14:paraId="50A9864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—03</w:t>
            </w:r>
          </w:p>
        </w:tc>
        <w:tc>
          <w:tcPr>
            <w:tcW w:w="1404" w:type="dxa"/>
            <w:tcBorders>
              <w:top w:val="nil"/>
              <w:left w:val="nil"/>
              <w:bottom w:val="single" w:sz="4" w:space="0" w:color="auto"/>
              <w:right w:val="single" w:sz="4" w:space="0" w:color="auto"/>
            </w:tcBorders>
            <w:shd w:val="clear" w:color="auto" w:fill="auto"/>
            <w:vAlign w:val="center"/>
            <w:hideMark/>
          </w:tcPr>
          <w:p w14:paraId="12923DD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74569CF7"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659650E5"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52AA4BE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—04</w:t>
            </w:r>
          </w:p>
        </w:tc>
        <w:tc>
          <w:tcPr>
            <w:tcW w:w="1066" w:type="dxa"/>
            <w:tcBorders>
              <w:top w:val="nil"/>
              <w:left w:val="nil"/>
              <w:bottom w:val="single" w:sz="4" w:space="0" w:color="auto"/>
              <w:right w:val="single" w:sz="4" w:space="0" w:color="auto"/>
            </w:tcBorders>
            <w:shd w:val="clear" w:color="auto" w:fill="auto"/>
            <w:vAlign w:val="center"/>
            <w:hideMark/>
          </w:tcPr>
          <w:p w14:paraId="6A2E367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５．０％</w:t>
            </w:r>
          </w:p>
        </w:tc>
        <w:tc>
          <w:tcPr>
            <w:tcW w:w="967" w:type="dxa"/>
            <w:tcBorders>
              <w:top w:val="nil"/>
              <w:left w:val="nil"/>
              <w:bottom w:val="single" w:sz="4" w:space="0" w:color="auto"/>
              <w:right w:val="single" w:sz="4" w:space="0" w:color="auto"/>
            </w:tcBorders>
            <w:shd w:val="clear" w:color="auto" w:fill="auto"/>
            <w:vAlign w:val="center"/>
            <w:hideMark/>
          </w:tcPr>
          <w:p w14:paraId="09ECDF8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—04</w:t>
            </w:r>
          </w:p>
        </w:tc>
        <w:tc>
          <w:tcPr>
            <w:tcW w:w="1107" w:type="dxa"/>
            <w:tcBorders>
              <w:top w:val="nil"/>
              <w:left w:val="nil"/>
              <w:bottom w:val="single" w:sz="4" w:space="0" w:color="auto"/>
              <w:right w:val="single" w:sz="4" w:space="0" w:color="auto"/>
            </w:tcBorders>
            <w:shd w:val="clear" w:color="auto" w:fill="auto"/>
            <w:vAlign w:val="center"/>
            <w:hideMark/>
          </w:tcPr>
          <w:p w14:paraId="5F49206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５．０％</w:t>
            </w:r>
          </w:p>
        </w:tc>
        <w:tc>
          <w:tcPr>
            <w:tcW w:w="1086" w:type="dxa"/>
            <w:tcBorders>
              <w:top w:val="nil"/>
              <w:left w:val="nil"/>
              <w:bottom w:val="single" w:sz="4" w:space="0" w:color="auto"/>
              <w:right w:val="single" w:sz="4" w:space="0" w:color="auto"/>
            </w:tcBorders>
            <w:shd w:val="clear" w:color="auto" w:fill="auto"/>
            <w:vAlign w:val="center"/>
            <w:hideMark/>
          </w:tcPr>
          <w:p w14:paraId="136C024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—04</w:t>
            </w:r>
          </w:p>
        </w:tc>
        <w:tc>
          <w:tcPr>
            <w:tcW w:w="1126" w:type="dxa"/>
            <w:tcBorders>
              <w:top w:val="nil"/>
              <w:left w:val="nil"/>
              <w:bottom w:val="single" w:sz="4" w:space="0" w:color="auto"/>
              <w:right w:val="single" w:sz="4" w:space="0" w:color="auto"/>
            </w:tcBorders>
            <w:shd w:val="clear" w:color="auto" w:fill="auto"/>
            <w:vAlign w:val="center"/>
            <w:hideMark/>
          </w:tcPr>
          <w:p w14:paraId="319F495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８．８％</w:t>
            </w:r>
          </w:p>
        </w:tc>
        <w:tc>
          <w:tcPr>
            <w:tcW w:w="1114" w:type="dxa"/>
            <w:tcBorders>
              <w:top w:val="nil"/>
              <w:left w:val="nil"/>
              <w:bottom w:val="single" w:sz="4" w:space="0" w:color="auto"/>
              <w:right w:val="single" w:sz="4" w:space="0" w:color="auto"/>
            </w:tcBorders>
            <w:shd w:val="clear" w:color="auto" w:fill="auto"/>
            <w:vAlign w:val="center"/>
            <w:hideMark/>
          </w:tcPr>
          <w:p w14:paraId="46CE2EC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—04</w:t>
            </w:r>
          </w:p>
        </w:tc>
        <w:tc>
          <w:tcPr>
            <w:tcW w:w="1404" w:type="dxa"/>
            <w:tcBorders>
              <w:top w:val="nil"/>
              <w:left w:val="nil"/>
              <w:bottom w:val="single" w:sz="4" w:space="0" w:color="auto"/>
              <w:right w:val="single" w:sz="4" w:space="0" w:color="auto"/>
            </w:tcBorders>
            <w:shd w:val="clear" w:color="auto" w:fill="auto"/>
            <w:vAlign w:val="center"/>
            <w:hideMark/>
          </w:tcPr>
          <w:p w14:paraId="6EE578C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242D9BC0"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39D09E8D"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135F5394"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—05</w:t>
            </w:r>
          </w:p>
        </w:tc>
        <w:tc>
          <w:tcPr>
            <w:tcW w:w="1066" w:type="dxa"/>
            <w:tcBorders>
              <w:top w:val="nil"/>
              <w:left w:val="nil"/>
              <w:bottom w:val="single" w:sz="4" w:space="0" w:color="auto"/>
              <w:right w:val="single" w:sz="4" w:space="0" w:color="auto"/>
            </w:tcBorders>
            <w:shd w:val="clear" w:color="auto" w:fill="auto"/>
            <w:vAlign w:val="center"/>
            <w:hideMark/>
          </w:tcPr>
          <w:p w14:paraId="4B160BC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７．５％</w:t>
            </w:r>
          </w:p>
        </w:tc>
        <w:tc>
          <w:tcPr>
            <w:tcW w:w="967" w:type="dxa"/>
            <w:tcBorders>
              <w:top w:val="nil"/>
              <w:left w:val="nil"/>
              <w:bottom w:val="single" w:sz="4" w:space="0" w:color="auto"/>
              <w:right w:val="single" w:sz="4" w:space="0" w:color="auto"/>
            </w:tcBorders>
            <w:shd w:val="clear" w:color="auto" w:fill="auto"/>
            <w:vAlign w:val="center"/>
            <w:hideMark/>
          </w:tcPr>
          <w:p w14:paraId="27CE1E1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—05</w:t>
            </w:r>
          </w:p>
        </w:tc>
        <w:tc>
          <w:tcPr>
            <w:tcW w:w="1107" w:type="dxa"/>
            <w:tcBorders>
              <w:top w:val="nil"/>
              <w:left w:val="nil"/>
              <w:bottom w:val="single" w:sz="4" w:space="0" w:color="auto"/>
              <w:right w:val="single" w:sz="4" w:space="0" w:color="auto"/>
            </w:tcBorders>
            <w:shd w:val="clear" w:color="auto" w:fill="auto"/>
            <w:vAlign w:val="center"/>
            <w:hideMark/>
          </w:tcPr>
          <w:p w14:paraId="29663C6B"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９．４％</w:t>
            </w:r>
          </w:p>
        </w:tc>
        <w:tc>
          <w:tcPr>
            <w:tcW w:w="1086" w:type="dxa"/>
            <w:tcBorders>
              <w:top w:val="nil"/>
              <w:left w:val="nil"/>
              <w:bottom w:val="single" w:sz="4" w:space="0" w:color="auto"/>
              <w:right w:val="single" w:sz="4" w:space="0" w:color="auto"/>
            </w:tcBorders>
            <w:shd w:val="clear" w:color="auto" w:fill="auto"/>
            <w:vAlign w:val="center"/>
            <w:hideMark/>
          </w:tcPr>
          <w:p w14:paraId="52288E5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—05</w:t>
            </w:r>
          </w:p>
        </w:tc>
        <w:tc>
          <w:tcPr>
            <w:tcW w:w="1126" w:type="dxa"/>
            <w:tcBorders>
              <w:top w:val="nil"/>
              <w:left w:val="nil"/>
              <w:bottom w:val="single" w:sz="4" w:space="0" w:color="auto"/>
              <w:right w:val="single" w:sz="4" w:space="0" w:color="auto"/>
            </w:tcBorders>
            <w:shd w:val="clear" w:color="auto" w:fill="auto"/>
            <w:vAlign w:val="center"/>
            <w:hideMark/>
          </w:tcPr>
          <w:p w14:paraId="78E985A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９．７％</w:t>
            </w:r>
          </w:p>
        </w:tc>
        <w:tc>
          <w:tcPr>
            <w:tcW w:w="1114" w:type="dxa"/>
            <w:tcBorders>
              <w:top w:val="nil"/>
              <w:left w:val="nil"/>
              <w:bottom w:val="single" w:sz="4" w:space="0" w:color="auto"/>
              <w:right w:val="single" w:sz="4" w:space="0" w:color="auto"/>
            </w:tcBorders>
            <w:shd w:val="clear" w:color="auto" w:fill="auto"/>
            <w:vAlign w:val="center"/>
            <w:hideMark/>
          </w:tcPr>
          <w:p w14:paraId="31B9670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—05</w:t>
            </w:r>
          </w:p>
        </w:tc>
        <w:tc>
          <w:tcPr>
            <w:tcW w:w="1404" w:type="dxa"/>
            <w:tcBorders>
              <w:top w:val="nil"/>
              <w:left w:val="nil"/>
              <w:bottom w:val="single" w:sz="4" w:space="0" w:color="auto"/>
              <w:right w:val="single" w:sz="4" w:space="0" w:color="auto"/>
            </w:tcBorders>
            <w:shd w:val="clear" w:color="auto" w:fill="auto"/>
            <w:vAlign w:val="center"/>
            <w:hideMark/>
          </w:tcPr>
          <w:p w14:paraId="30B17DA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12A12867"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04BCDDCF"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5C96057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—06</w:t>
            </w:r>
          </w:p>
        </w:tc>
        <w:tc>
          <w:tcPr>
            <w:tcW w:w="1066" w:type="dxa"/>
            <w:tcBorders>
              <w:top w:val="nil"/>
              <w:left w:val="nil"/>
              <w:bottom w:val="single" w:sz="4" w:space="0" w:color="auto"/>
              <w:right w:val="single" w:sz="4" w:space="0" w:color="auto"/>
            </w:tcBorders>
            <w:shd w:val="clear" w:color="auto" w:fill="auto"/>
            <w:vAlign w:val="center"/>
            <w:hideMark/>
          </w:tcPr>
          <w:p w14:paraId="025DB4E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９．８％</w:t>
            </w:r>
          </w:p>
        </w:tc>
        <w:tc>
          <w:tcPr>
            <w:tcW w:w="967" w:type="dxa"/>
            <w:tcBorders>
              <w:top w:val="nil"/>
              <w:left w:val="nil"/>
              <w:bottom w:val="single" w:sz="4" w:space="0" w:color="auto"/>
              <w:right w:val="single" w:sz="4" w:space="0" w:color="auto"/>
            </w:tcBorders>
            <w:shd w:val="clear" w:color="auto" w:fill="auto"/>
            <w:vAlign w:val="center"/>
            <w:hideMark/>
          </w:tcPr>
          <w:p w14:paraId="5FF2AF2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—06</w:t>
            </w:r>
          </w:p>
        </w:tc>
        <w:tc>
          <w:tcPr>
            <w:tcW w:w="1107" w:type="dxa"/>
            <w:tcBorders>
              <w:top w:val="nil"/>
              <w:left w:val="nil"/>
              <w:bottom w:val="single" w:sz="4" w:space="0" w:color="auto"/>
              <w:right w:val="single" w:sz="4" w:space="0" w:color="auto"/>
            </w:tcBorders>
            <w:shd w:val="clear" w:color="auto" w:fill="auto"/>
            <w:vAlign w:val="center"/>
            <w:hideMark/>
          </w:tcPr>
          <w:p w14:paraId="7C35665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８．６％</w:t>
            </w:r>
          </w:p>
        </w:tc>
        <w:tc>
          <w:tcPr>
            <w:tcW w:w="1086" w:type="dxa"/>
            <w:tcBorders>
              <w:top w:val="nil"/>
              <w:left w:val="nil"/>
              <w:bottom w:val="single" w:sz="4" w:space="0" w:color="auto"/>
              <w:right w:val="single" w:sz="4" w:space="0" w:color="auto"/>
            </w:tcBorders>
            <w:shd w:val="clear" w:color="auto" w:fill="auto"/>
            <w:vAlign w:val="center"/>
            <w:hideMark/>
          </w:tcPr>
          <w:p w14:paraId="27A346C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—06</w:t>
            </w:r>
          </w:p>
        </w:tc>
        <w:tc>
          <w:tcPr>
            <w:tcW w:w="1126" w:type="dxa"/>
            <w:tcBorders>
              <w:top w:val="nil"/>
              <w:left w:val="nil"/>
              <w:bottom w:val="single" w:sz="4" w:space="0" w:color="auto"/>
              <w:right w:val="single" w:sz="4" w:space="0" w:color="auto"/>
            </w:tcBorders>
            <w:shd w:val="clear" w:color="auto" w:fill="auto"/>
            <w:vAlign w:val="center"/>
            <w:hideMark/>
          </w:tcPr>
          <w:p w14:paraId="3DDE5AC4"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９．７％</w:t>
            </w:r>
          </w:p>
        </w:tc>
        <w:tc>
          <w:tcPr>
            <w:tcW w:w="1114" w:type="dxa"/>
            <w:tcBorders>
              <w:top w:val="nil"/>
              <w:left w:val="nil"/>
              <w:bottom w:val="single" w:sz="4" w:space="0" w:color="auto"/>
              <w:right w:val="single" w:sz="4" w:space="0" w:color="auto"/>
            </w:tcBorders>
            <w:shd w:val="clear" w:color="auto" w:fill="auto"/>
            <w:vAlign w:val="center"/>
            <w:hideMark/>
          </w:tcPr>
          <w:p w14:paraId="164CE65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—06</w:t>
            </w:r>
          </w:p>
        </w:tc>
        <w:tc>
          <w:tcPr>
            <w:tcW w:w="1404" w:type="dxa"/>
            <w:tcBorders>
              <w:top w:val="nil"/>
              <w:left w:val="nil"/>
              <w:bottom w:val="single" w:sz="4" w:space="0" w:color="auto"/>
              <w:right w:val="single" w:sz="4" w:space="0" w:color="auto"/>
            </w:tcBorders>
            <w:shd w:val="clear" w:color="auto" w:fill="auto"/>
            <w:vAlign w:val="center"/>
            <w:hideMark/>
          </w:tcPr>
          <w:p w14:paraId="1F2CBED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0DEC21D5"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4B97AE0A"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14FC9F6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—07</w:t>
            </w:r>
          </w:p>
        </w:tc>
        <w:tc>
          <w:tcPr>
            <w:tcW w:w="1066" w:type="dxa"/>
            <w:tcBorders>
              <w:top w:val="nil"/>
              <w:left w:val="nil"/>
              <w:bottom w:val="single" w:sz="4" w:space="0" w:color="auto"/>
              <w:right w:val="single" w:sz="4" w:space="0" w:color="auto"/>
            </w:tcBorders>
            <w:shd w:val="clear" w:color="auto" w:fill="auto"/>
            <w:vAlign w:val="center"/>
            <w:hideMark/>
          </w:tcPr>
          <w:p w14:paraId="3A7D2B15"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５．９％</w:t>
            </w:r>
          </w:p>
        </w:tc>
        <w:tc>
          <w:tcPr>
            <w:tcW w:w="967" w:type="dxa"/>
            <w:tcBorders>
              <w:top w:val="nil"/>
              <w:left w:val="nil"/>
              <w:bottom w:val="single" w:sz="4" w:space="0" w:color="auto"/>
              <w:right w:val="single" w:sz="4" w:space="0" w:color="auto"/>
            </w:tcBorders>
            <w:shd w:val="clear" w:color="auto" w:fill="auto"/>
            <w:vAlign w:val="center"/>
            <w:hideMark/>
          </w:tcPr>
          <w:p w14:paraId="6EEAA296"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—07</w:t>
            </w:r>
          </w:p>
        </w:tc>
        <w:tc>
          <w:tcPr>
            <w:tcW w:w="1107" w:type="dxa"/>
            <w:tcBorders>
              <w:top w:val="nil"/>
              <w:left w:val="nil"/>
              <w:bottom w:val="single" w:sz="4" w:space="0" w:color="auto"/>
              <w:right w:val="single" w:sz="4" w:space="0" w:color="auto"/>
            </w:tcBorders>
            <w:shd w:val="clear" w:color="auto" w:fill="auto"/>
            <w:vAlign w:val="center"/>
            <w:hideMark/>
          </w:tcPr>
          <w:p w14:paraId="3A6C4C2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６．５％</w:t>
            </w:r>
          </w:p>
        </w:tc>
        <w:tc>
          <w:tcPr>
            <w:tcW w:w="1086" w:type="dxa"/>
            <w:tcBorders>
              <w:top w:val="nil"/>
              <w:left w:val="nil"/>
              <w:bottom w:val="single" w:sz="4" w:space="0" w:color="auto"/>
              <w:right w:val="single" w:sz="4" w:space="0" w:color="auto"/>
            </w:tcBorders>
            <w:shd w:val="clear" w:color="auto" w:fill="auto"/>
            <w:vAlign w:val="center"/>
            <w:hideMark/>
          </w:tcPr>
          <w:p w14:paraId="67B2512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—07</w:t>
            </w:r>
          </w:p>
        </w:tc>
        <w:tc>
          <w:tcPr>
            <w:tcW w:w="1126" w:type="dxa"/>
            <w:tcBorders>
              <w:top w:val="nil"/>
              <w:left w:val="nil"/>
              <w:bottom w:val="single" w:sz="4" w:space="0" w:color="auto"/>
              <w:right w:val="single" w:sz="4" w:space="0" w:color="auto"/>
            </w:tcBorders>
            <w:shd w:val="clear" w:color="auto" w:fill="auto"/>
            <w:vAlign w:val="center"/>
            <w:hideMark/>
          </w:tcPr>
          <w:p w14:paraId="3EE02EF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７．０％</w:t>
            </w:r>
          </w:p>
        </w:tc>
        <w:tc>
          <w:tcPr>
            <w:tcW w:w="1114" w:type="dxa"/>
            <w:tcBorders>
              <w:top w:val="nil"/>
              <w:left w:val="nil"/>
              <w:bottom w:val="single" w:sz="4" w:space="0" w:color="auto"/>
              <w:right w:val="single" w:sz="4" w:space="0" w:color="auto"/>
            </w:tcBorders>
            <w:shd w:val="clear" w:color="auto" w:fill="auto"/>
            <w:vAlign w:val="center"/>
            <w:hideMark/>
          </w:tcPr>
          <w:p w14:paraId="3976A5D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—07</w:t>
            </w:r>
          </w:p>
        </w:tc>
        <w:tc>
          <w:tcPr>
            <w:tcW w:w="1404" w:type="dxa"/>
            <w:tcBorders>
              <w:top w:val="nil"/>
              <w:left w:val="nil"/>
              <w:bottom w:val="single" w:sz="4" w:space="0" w:color="auto"/>
              <w:right w:val="single" w:sz="4" w:space="0" w:color="auto"/>
            </w:tcBorders>
            <w:shd w:val="clear" w:color="auto" w:fill="auto"/>
            <w:vAlign w:val="center"/>
            <w:hideMark/>
          </w:tcPr>
          <w:p w14:paraId="17C57A2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5EAE6526"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36DA9EED"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7C0FCCED"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—08</w:t>
            </w:r>
          </w:p>
        </w:tc>
        <w:tc>
          <w:tcPr>
            <w:tcW w:w="1066" w:type="dxa"/>
            <w:tcBorders>
              <w:top w:val="nil"/>
              <w:left w:val="nil"/>
              <w:bottom w:val="single" w:sz="4" w:space="0" w:color="auto"/>
              <w:right w:val="single" w:sz="4" w:space="0" w:color="auto"/>
            </w:tcBorders>
            <w:shd w:val="clear" w:color="auto" w:fill="auto"/>
            <w:vAlign w:val="center"/>
            <w:hideMark/>
          </w:tcPr>
          <w:p w14:paraId="0535905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６．３％</w:t>
            </w:r>
          </w:p>
        </w:tc>
        <w:tc>
          <w:tcPr>
            <w:tcW w:w="967" w:type="dxa"/>
            <w:tcBorders>
              <w:top w:val="nil"/>
              <w:left w:val="nil"/>
              <w:bottom w:val="single" w:sz="4" w:space="0" w:color="auto"/>
              <w:right w:val="single" w:sz="4" w:space="0" w:color="auto"/>
            </w:tcBorders>
            <w:shd w:val="clear" w:color="auto" w:fill="auto"/>
            <w:vAlign w:val="center"/>
            <w:hideMark/>
          </w:tcPr>
          <w:p w14:paraId="72EF375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—08</w:t>
            </w:r>
          </w:p>
        </w:tc>
        <w:tc>
          <w:tcPr>
            <w:tcW w:w="1107" w:type="dxa"/>
            <w:tcBorders>
              <w:top w:val="nil"/>
              <w:left w:val="nil"/>
              <w:bottom w:val="single" w:sz="4" w:space="0" w:color="auto"/>
              <w:right w:val="single" w:sz="4" w:space="0" w:color="auto"/>
            </w:tcBorders>
            <w:shd w:val="clear" w:color="auto" w:fill="auto"/>
            <w:vAlign w:val="center"/>
            <w:hideMark/>
          </w:tcPr>
          <w:p w14:paraId="5E2AE75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1086" w:type="dxa"/>
            <w:tcBorders>
              <w:top w:val="nil"/>
              <w:left w:val="nil"/>
              <w:bottom w:val="single" w:sz="4" w:space="0" w:color="auto"/>
              <w:right w:val="single" w:sz="4" w:space="0" w:color="auto"/>
            </w:tcBorders>
            <w:shd w:val="clear" w:color="auto" w:fill="auto"/>
            <w:vAlign w:val="center"/>
            <w:hideMark/>
          </w:tcPr>
          <w:p w14:paraId="2EFA9DD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—08</w:t>
            </w:r>
          </w:p>
        </w:tc>
        <w:tc>
          <w:tcPr>
            <w:tcW w:w="1126" w:type="dxa"/>
            <w:tcBorders>
              <w:top w:val="nil"/>
              <w:left w:val="nil"/>
              <w:bottom w:val="single" w:sz="4" w:space="0" w:color="auto"/>
              <w:right w:val="single" w:sz="4" w:space="0" w:color="auto"/>
            </w:tcBorders>
            <w:shd w:val="clear" w:color="auto" w:fill="auto"/>
            <w:vAlign w:val="center"/>
            <w:hideMark/>
          </w:tcPr>
          <w:p w14:paraId="5F86571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1114" w:type="dxa"/>
            <w:tcBorders>
              <w:top w:val="nil"/>
              <w:left w:val="nil"/>
              <w:bottom w:val="single" w:sz="4" w:space="0" w:color="auto"/>
              <w:right w:val="single" w:sz="4" w:space="0" w:color="auto"/>
            </w:tcBorders>
            <w:shd w:val="clear" w:color="auto" w:fill="auto"/>
            <w:vAlign w:val="center"/>
            <w:hideMark/>
          </w:tcPr>
          <w:p w14:paraId="3FC8BFBD"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—08</w:t>
            </w:r>
          </w:p>
        </w:tc>
        <w:tc>
          <w:tcPr>
            <w:tcW w:w="1404" w:type="dxa"/>
            <w:tcBorders>
              <w:top w:val="nil"/>
              <w:left w:val="nil"/>
              <w:bottom w:val="single" w:sz="4" w:space="0" w:color="auto"/>
              <w:right w:val="single" w:sz="4" w:space="0" w:color="auto"/>
            </w:tcBorders>
            <w:shd w:val="clear" w:color="auto" w:fill="auto"/>
            <w:vAlign w:val="center"/>
            <w:hideMark/>
          </w:tcPr>
          <w:p w14:paraId="13708516"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7B2029BF"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636B3992"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238C7CEB"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—09</w:t>
            </w:r>
          </w:p>
        </w:tc>
        <w:tc>
          <w:tcPr>
            <w:tcW w:w="1066" w:type="dxa"/>
            <w:tcBorders>
              <w:top w:val="nil"/>
              <w:left w:val="nil"/>
              <w:bottom w:val="single" w:sz="4" w:space="0" w:color="auto"/>
              <w:right w:val="single" w:sz="4" w:space="0" w:color="auto"/>
            </w:tcBorders>
            <w:shd w:val="clear" w:color="auto" w:fill="auto"/>
            <w:vAlign w:val="center"/>
            <w:hideMark/>
          </w:tcPr>
          <w:p w14:paraId="5FA105E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７．４％</w:t>
            </w:r>
          </w:p>
        </w:tc>
        <w:tc>
          <w:tcPr>
            <w:tcW w:w="967" w:type="dxa"/>
            <w:tcBorders>
              <w:top w:val="nil"/>
              <w:left w:val="nil"/>
              <w:bottom w:val="single" w:sz="4" w:space="0" w:color="auto"/>
              <w:right w:val="single" w:sz="4" w:space="0" w:color="auto"/>
            </w:tcBorders>
            <w:shd w:val="clear" w:color="auto" w:fill="auto"/>
            <w:vAlign w:val="center"/>
            <w:hideMark/>
          </w:tcPr>
          <w:p w14:paraId="3F6C7A8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—09</w:t>
            </w:r>
          </w:p>
        </w:tc>
        <w:tc>
          <w:tcPr>
            <w:tcW w:w="1107" w:type="dxa"/>
            <w:tcBorders>
              <w:top w:val="nil"/>
              <w:left w:val="nil"/>
              <w:bottom w:val="single" w:sz="4" w:space="0" w:color="auto"/>
              <w:right w:val="single" w:sz="4" w:space="0" w:color="auto"/>
            </w:tcBorders>
            <w:shd w:val="clear" w:color="auto" w:fill="auto"/>
            <w:vAlign w:val="center"/>
            <w:hideMark/>
          </w:tcPr>
          <w:p w14:paraId="3FA4B64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1086" w:type="dxa"/>
            <w:tcBorders>
              <w:top w:val="nil"/>
              <w:left w:val="nil"/>
              <w:bottom w:val="single" w:sz="4" w:space="0" w:color="auto"/>
              <w:right w:val="single" w:sz="4" w:space="0" w:color="auto"/>
            </w:tcBorders>
            <w:shd w:val="clear" w:color="auto" w:fill="auto"/>
            <w:vAlign w:val="center"/>
            <w:hideMark/>
          </w:tcPr>
          <w:p w14:paraId="2CF18E9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—09</w:t>
            </w:r>
          </w:p>
        </w:tc>
        <w:tc>
          <w:tcPr>
            <w:tcW w:w="1126" w:type="dxa"/>
            <w:tcBorders>
              <w:top w:val="nil"/>
              <w:left w:val="nil"/>
              <w:bottom w:val="single" w:sz="4" w:space="0" w:color="auto"/>
              <w:right w:val="single" w:sz="4" w:space="0" w:color="auto"/>
            </w:tcBorders>
            <w:shd w:val="clear" w:color="auto" w:fill="auto"/>
            <w:vAlign w:val="center"/>
            <w:hideMark/>
          </w:tcPr>
          <w:p w14:paraId="49F83E0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1114" w:type="dxa"/>
            <w:tcBorders>
              <w:top w:val="nil"/>
              <w:left w:val="nil"/>
              <w:bottom w:val="single" w:sz="4" w:space="0" w:color="auto"/>
              <w:right w:val="single" w:sz="4" w:space="0" w:color="auto"/>
            </w:tcBorders>
            <w:shd w:val="clear" w:color="auto" w:fill="auto"/>
            <w:vAlign w:val="center"/>
            <w:hideMark/>
          </w:tcPr>
          <w:p w14:paraId="5370601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—09</w:t>
            </w:r>
          </w:p>
        </w:tc>
        <w:tc>
          <w:tcPr>
            <w:tcW w:w="1404" w:type="dxa"/>
            <w:tcBorders>
              <w:top w:val="nil"/>
              <w:left w:val="nil"/>
              <w:bottom w:val="single" w:sz="4" w:space="0" w:color="auto"/>
              <w:right w:val="single" w:sz="4" w:space="0" w:color="auto"/>
            </w:tcBorders>
            <w:shd w:val="clear" w:color="auto" w:fill="auto"/>
            <w:vAlign w:val="center"/>
            <w:hideMark/>
          </w:tcPr>
          <w:p w14:paraId="1923527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1020BD93"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1BEE8843"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28EE403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—10</w:t>
            </w:r>
          </w:p>
        </w:tc>
        <w:tc>
          <w:tcPr>
            <w:tcW w:w="1066" w:type="dxa"/>
            <w:tcBorders>
              <w:top w:val="nil"/>
              <w:left w:val="nil"/>
              <w:bottom w:val="single" w:sz="4" w:space="0" w:color="auto"/>
              <w:right w:val="single" w:sz="4" w:space="0" w:color="auto"/>
            </w:tcBorders>
            <w:shd w:val="clear" w:color="auto" w:fill="auto"/>
            <w:vAlign w:val="center"/>
            <w:hideMark/>
          </w:tcPr>
          <w:p w14:paraId="5721671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967" w:type="dxa"/>
            <w:tcBorders>
              <w:top w:val="nil"/>
              <w:left w:val="nil"/>
              <w:bottom w:val="single" w:sz="4" w:space="0" w:color="auto"/>
              <w:right w:val="single" w:sz="4" w:space="0" w:color="auto"/>
            </w:tcBorders>
            <w:shd w:val="clear" w:color="auto" w:fill="auto"/>
            <w:vAlign w:val="center"/>
            <w:hideMark/>
          </w:tcPr>
          <w:p w14:paraId="377C247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—10</w:t>
            </w:r>
          </w:p>
        </w:tc>
        <w:tc>
          <w:tcPr>
            <w:tcW w:w="1107" w:type="dxa"/>
            <w:tcBorders>
              <w:top w:val="nil"/>
              <w:left w:val="nil"/>
              <w:bottom w:val="single" w:sz="4" w:space="0" w:color="auto"/>
              <w:right w:val="single" w:sz="4" w:space="0" w:color="auto"/>
            </w:tcBorders>
            <w:shd w:val="clear" w:color="auto" w:fill="auto"/>
            <w:vAlign w:val="center"/>
            <w:hideMark/>
          </w:tcPr>
          <w:p w14:paraId="3090880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1086" w:type="dxa"/>
            <w:tcBorders>
              <w:top w:val="nil"/>
              <w:left w:val="nil"/>
              <w:bottom w:val="single" w:sz="4" w:space="0" w:color="auto"/>
              <w:right w:val="single" w:sz="4" w:space="0" w:color="auto"/>
            </w:tcBorders>
            <w:shd w:val="clear" w:color="auto" w:fill="auto"/>
            <w:vAlign w:val="center"/>
            <w:hideMark/>
          </w:tcPr>
          <w:p w14:paraId="33C0673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—10</w:t>
            </w:r>
          </w:p>
        </w:tc>
        <w:tc>
          <w:tcPr>
            <w:tcW w:w="1126" w:type="dxa"/>
            <w:tcBorders>
              <w:top w:val="nil"/>
              <w:left w:val="nil"/>
              <w:bottom w:val="single" w:sz="4" w:space="0" w:color="auto"/>
              <w:right w:val="single" w:sz="4" w:space="0" w:color="auto"/>
            </w:tcBorders>
            <w:shd w:val="clear" w:color="auto" w:fill="auto"/>
            <w:vAlign w:val="center"/>
            <w:hideMark/>
          </w:tcPr>
          <w:p w14:paraId="7744728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1114" w:type="dxa"/>
            <w:tcBorders>
              <w:top w:val="nil"/>
              <w:left w:val="nil"/>
              <w:bottom w:val="single" w:sz="4" w:space="0" w:color="auto"/>
              <w:right w:val="single" w:sz="4" w:space="0" w:color="auto"/>
            </w:tcBorders>
            <w:shd w:val="clear" w:color="auto" w:fill="auto"/>
            <w:vAlign w:val="center"/>
            <w:hideMark/>
          </w:tcPr>
          <w:p w14:paraId="17EBC00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4A328B8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6AB96274"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531574F6"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7934E2E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—11</w:t>
            </w:r>
          </w:p>
        </w:tc>
        <w:tc>
          <w:tcPr>
            <w:tcW w:w="1066" w:type="dxa"/>
            <w:tcBorders>
              <w:top w:val="nil"/>
              <w:left w:val="nil"/>
              <w:bottom w:val="single" w:sz="4" w:space="0" w:color="auto"/>
              <w:right w:val="single" w:sz="4" w:space="0" w:color="auto"/>
            </w:tcBorders>
            <w:shd w:val="clear" w:color="auto" w:fill="auto"/>
            <w:vAlign w:val="center"/>
            <w:hideMark/>
          </w:tcPr>
          <w:p w14:paraId="7CF2649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967" w:type="dxa"/>
            <w:tcBorders>
              <w:top w:val="nil"/>
              <w:left w:val="nil"/>
              <w:bottom w:val="single" w:sz="4" w:space="0" w:color="auto"/>
              <w:right w:val="single" w:sz="4" w:space="0" w:color="auto"/>
            </w:tcBorders>
            <w:shd w:val="clear" w:color="auto" w:fill="auto"/>
            <w:vAlign w:val="center"/>
            <w:hideMark/>
          </w:tcPr>
          <w:p w14:paraId="7A0A654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—11</w:t>
            </w:r>
          </w:p>
        </w:tc>
        <w:tc>
          <w:tcPr>
            <w:tcW w:w="1107" w:type="dxa"/>
            <w:tcBorders>
              <w:top w:val="nil"/>
              <w:left w:val="nil"/>
              <w:bottom w:val="single" w:sz="4" w:space="0" w:color="auto"/>
              <w:right w:val="single" w:sz="4" w:space="0" w:color="auto"/>
            </w:tcBorders>
            <w:shd w:val="clear" w:color="auto" w:fill="auto"/>
            <w:vAlign w:val="center"/>
            <w:hideMark/>
          </w:tcPr>
          <w:p w14:paraId="7BDD1076"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1086" w:type="dxa"/>
            <w:tcBorders>
              <w:top w:val="nil"/>
              <w:left w:val="nil"/>
              <w:bottom w:val="single" w:sz="4" w:space="0" w:color="auto"/>
              <w:right w:val="single" w:sz="4" w:space="0" w:color="auto"/>
            </w:tcBorders>
            <w:shd w:val="clear" w:color="auto" w:fill="auto"/>
            <w:vAlign w:val="center"/>
            <w:hideMark/>
          </w:tcPr>
          <w:p w14:paraId="6ACD88C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—11</w:t>
            </w:r>
          </w:p>
        </w:tc>
        <w:tc>
          <w:tcPr>
            <w:tcW w:w="1126" w:type="dxa"/>
            <w:tcBorders>
              <w:top w:val="nil"/>
              <w:left w:val="nil"/>
              <w:bottom w:val="single" w:sz="4" w:space="0" w:color="auto"/>
              <w:right w:val="single" w:sz="4" w:space="0" w:color="auto"/>
            </w:tcBorders>
            <w:shd w:val="clear" w:color="auto" w:fill="auto"/>
            <w:vAlign w:val="center"/>
            <w:hideMark/>
          </w:tcPr>
          <w:p w14:paraId="6A06567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1114" w:type="dxa"/>
            <w:tcBorders>
              <w:top w:val="nil"/>
              <w:left w:val="nil"/>
              <w:bottom w:val="single" w:sz="4" w:space="0" w:color="auto"/>
              <w:right w:val="single" w:sz="4" w:space="0" w:color="auto"/>
            </w:tcBorders>
            <w:shd w:val="clear" w:color="auto" w:fill="auto"/>
            <w:vAlign w:val="center"/>
            <w:hideMark/>
          </w:tcPr>
          <w:p w14:paraId="103041B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2656CB1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54D10D40"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6502F213"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3D0DBF5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—12</w:t>
            </w:r>
          </w:p>
        </w:tc>
        <w:tc>
          <w:tcPr>
            <w:tcW w:w="1066" w:type="dxa"/>
            <w:tcBorders>
              <w:top w:val="nil"/>
              <w:left w:val="nil"/>
              <w:bottom w:val="single" w:sz="4" w:space="0" w:color="auto"/>
              <w:right w:val="single" w:sz="4" w:space="0" w:color="auto"/>
            </w:tcBorders>
            <w:shd w:val="clear" w:color="auto" w:fill="auto"/>
            <w:vAlign w:val="center"/>
            <w:hideMark/>
          </w:tcPr>
          <w:p w14:paraId="5372FAF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967" w:type="dxa"/>
            <w:tcBorders>
              <w:top w:val="nil"/>
              <w:left w:val="nil"/>
              <w:bottom w:val="single" w:sz="4" w:space="0" w:color="auto"/>
              <w:right w:val="single" w:sz="4" w:space="0" w:color="auto"/>
            </w:tcBorders>
            <w:shd w:val="clear" w:color="auto" w:fill="auto"/>
            <w:vAlign w:val="center"/>
            <w:hideMark/>
          </w:tcPr>
          <w:p w14:paraId="7D11FD8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—12</w:t>
            </w:r>
          </w:p>
        </w:tc>
        <w:tc>
          <w:tcPr>
            <w:tcW w:w="1107" w:type="dxa"/>
            <w:tcBorders>
              <w:top w:val="nil"/>
              <w:left w:val="nil"/>
              <w:bottom w:val="single" w:sz="4" w:space="0" w:color="auto"/>
              <w:right w:val="single" w:sz="4" w:space="0" w:color="auto"/>
            </w:tcBorders>
            <w:shd w:val="clear" w:color="auto" w:fill="auto"/>
            <w:vAlign w:val="center"/>
            <w:hideMark/>
          </w:tcPr>
          <w:p w14:paraId="363878FD"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1086" w:type="dxa"/>
            <w:tcBorders>
              <w:top w:val="nil"/>
              <w:left w:val="nil"/>
              <w:bottom w:val="single" w:sz="4" w:space="0" w:color="auto"/>
              <w:right w:val="single" w:sz="4" w:space="0" w:color="auto"/>
            </w:tcBorders>
            <w:shd w:val="clear" w:color="auto" w:fill="auto"/>
            <w:vAlign w:val="center"/>
            <w:hideMark/>
          </w:tcPr>
          <w:p w14:paraId="2F86647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—12</w:t>
            </w:r>
          </w:p>
        </w:tc>
        <w:tc>
          <w:tcPr>
            <w:tcW w:w="1126" w:type="dxa"/>
            <w:tcBorders>
              <w:top w:val="nil"/>
              <w:left w:val="nil"/>
              <w:bottom w:val="single" w:sz="4" w:space="0" w:color="auto"/>
              <w:right w:val="single" w:sz="4" w:space="0" w:color="auto"/>
            </w:tcBorders>
            <w:shd w:val="clear" w:color="auto" w:fill="auto"/>
            <w:vAlign w:val="center"/>
            <w:hideMark/>
          </w:tcPr>
          <w:p w14:paraId="51C8176B"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９．９％</w:t>
            </w:r>
          </w:p>
        </w:tc>
        <w:tc>
          <w:tcPr>
            <w:tcW w:w="1114" w:type="dxa"/>
            <w:tcBorders>
              <w:top w:val="nil"/>
              <w:left w:val="nil"/>
              <w:bottom w:val="single" w:sz="4" w:space="0" w:color="auto"/>
              <w:right w:val="single" w:sz="4" w:space="0" w:color="auto"/>
            </w:tcBorders>
            <w:shd w:val="clear" w:color="auto" w:fill="auto"/>
            <w:vAlign w:val="center"/>
            <w:hideMark/>
          </w:tcPr>
          <w:p w14:paraId="043751F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594F5DD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376CCC20"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72F636E6"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6AA50FE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—13</w:t>
            </w:r>
          </w:p>
        </w:tc>
        <w:tc>
          <w:tcPr>
            <w:tcW w:w="1066" w:type="dxa"/>
            <w:tcBorders>
              <w:top w:val="nil"/>
              <w:left w:val="nil"/>
              <w:bottom w:val="single" w:sz="4" w:space="0" w:color="auto"/>
              <w:right w:val="single" w:sz="4" w:space="0" w:color="auto"/>
            </w:tcBorders>
            <w:shd w:val="clear" w:color="auto" w:fill="auto"/>
            <w:vAlign w:val="center"/>
            <w:hideMark/>
          </w:tcPr>
          <w:p w14:paraId="59604F4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967" w:type="dxa"/>
            <w:tcBorders>
              <w:top w:val="nil"/>
              <w:left w:val="nil"/>
              <w:bottom w:val="single" w:sz="4" w:space="0" w:color="auto"/>
              <w:right w:val="single" w:sz="4" w:space="0" w:color="auto"/>
            </w:tcBorders>
            <w:shd w:val="clear" w:color="auto" w:fill="auto"/>
            <w:vAlign w:val="center"/>
            <w:hideMark/>
          </w:tcPr>
          <w:p w14:paraId="5ECF789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—13</w:t>
            </w:r>
          </w:p>
        </w:tc>
        <w:tc>
          <w:tcPr>
            <w:tcW w:w="1107" w:type="dxa"/>
            <w:tcBorders>
              <w:top w:val="nil"/>
              <w:left w:val="nil"/>
              <w:bottom w:val="single" w:sz="4" w:space="0" w:color="auto"/>
              <w:right w:val="single" w:sz="4" w:space="0" w:color="auto"/>
            </w:tcBorders>
            <w:shd w:val="clear" w:color="auto" w:fill="auto"/>
            <w:vAlign w:val="center"/>
            <w:hideMark/>
          </w:tcPr>
          <w:p w14:paraId="5852327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９．８％</w:t>
            </w:r>
          </w:p>
        </w:tc>
        <w:tc>
          <w:tcPr>
            <w:tcW w:w="1086" w:type="dxa"/>
            <w:tcBorders>
              <w:top w:val="nil"/>
              <w:left w:val="nil"/>
              <w:bottom w:val="single" w:sz="4" w:space="0" w:color="auto"/>
              <w:right w:val="single" w:sz="4" w:space="0" w:color="auto"/>
            </w:tcBorders>
            <w:shd w:val="clear" w:color="auto" w:fill="auto"/>
            <w:vAlign w:val="center"/>
            <w:hideMark/>
          </w:tcPr>
          <w:p w14:paraId="6466D180"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—13</w:t>
            </w:r>
          </w:p>
        </w:tc>
        <w:tc>
          <w:tcPr>
            <w:tcW w:w="1126" w:type="dxa"/>
            <w:tcBorders>
              <w:top w:val="nil"/>
              <w:left w:val="nil"/>
              <w:bottom w:val="single" w:sz="4" w:space="0" w:color="auto"/>
              <w:right w:val="single" w:sz="4" w:space="0" w:color="auto"/>
            </w:tcBorders>
            <w:shd w:val="clear" w:color="auto" w:fill="auto"/>
            <w:vAlign w:val="center"/>
            <w:hideMark/>
          </w:tcPr>
          <w:p w14:paraId="57800646"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９．８％</w:t>
            </w:r>
          </w:p>
        </w:tc>
        <w:tc>
          <w:tcPr>
            <w:tcW w:w="1114" w:type="dxa"/>
            <w:tcBorders>
              <w:top w:val="nil"/>
              <w:left w:val="nil"/>
              <w:bottom w:val="single" w:sz="4" w:space="0" w:color="auto"/>
              <w:right w:val="single" w:sz="4" w:space="0" w:color="auto"/>
            </w:tcBorders>
            <w:shd w:val="clear" w:color="auto" w:fill="auto"/>
            <w:vAlign w:val="center"/>
            <w:hideMark/>
          </w:tcPr>
          <w:p w14:paraId="657D7F0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1A7FE47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04158A1A"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63DFBD1E"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19670B6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—14</w:t>
            </w:r>
          </w:p>
        </w:tc>
        <w:tc>
          <w:tcPr>
            <w:tcW w:w="1066" w:type="dxa"/>
            <w:tcBorders>
              <w:top w:val="nil"/>
              <w:left w:val="nil"/>
              <w:bottom w:val="single" w:sz="4" w:space="0" w:color="auto"/>
              <w:right w:val="single" w:sz="4" w:space="0" w:color="auto"/>
            </w:tcBorders>
            <w:shd w:val="clear" w:color="auto" w:fill="auto"/>
            <w:vAlign w:val="center"/>
            <w:hideMark/>
          </w:tcPr>
          <w:p w14:paraId="212D50A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967" w:type="dxa"/>
            <w:tcBorders>
              <w:top w:val="nil"/>
              <w:left w:val="nil"/>
              <w:bottom w:val="single" w:sz="4" w:space="0" w:color="auto"/>
              <w:right w:val="single" w:sz="4" w:space="0" w:color="auto"/>
            </w:tcBorders>
            <w:shd w:val="clear" w:color="auto" w:fill="auto"/>
            <w:vAlign w:val="center"/>
            <w:hideMark/>
          </w:tcPr>
          <w:p w14:paraId="627BCF2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—14</w:t>
            </w:r>
          </w:p>
        </w:tc>
        <w:tc>
          <w:tcPr>
            <w:tcW w:w="1107" w:type="dxa"/>
            <w:tcBorders>
              <w:top w:val="nil"/>
              <w:left w:val="nil"/>
              <w:bottom w:val="single" w:sz="4" w:space="0" w:color="auto"/>
              <w:right w:val="single" w:sz="4" w:space="0" w:color="auto"/>
            </w:tcBorders>
            <w:shd w:val="clear" w:color="auto" w:fill="auto"/>
            <w:vAlign w:val="center"/>
            <w:hideMark/>
          </w:tcPr>
          <w:p w14:paraId="42C7567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８．８％</w:t>
            </w:r>
          </w:p>
        </w:tc>
        <w:tc>
          <w:tcPr>
            <w:tcW w:w="1086" w:type="dxa"/>
            <w:tcBorders>
              <w:top w:val="nil"/>
              <w:left w:val="nil"/>
              <w:bottom w:val="single" w:sz="4" w:space="0" w:color="auto"/>
              <w:right w:val="single" w:sz="4" w:space="0" w:color="auto"/>
            </w:tcBorders>
            <w:shd w:val="clear" w:color="auto" w:fill="auto"/>
            <w:vAlign w:val="center"/>
            <w:hideMark/>
          </w:tcPr>
          <w:p w14:paraId="744C4B9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—14</w:t>
            </w:r>
          </w:p>
        </w:tc>
        <w:tc>
          <w:tcPr>
            <w:tcW w:w="1126" w:type="dxa"/>
            <w:tcBorders>
              <w:top w:val="nil"/>
              <w:left w:val="nil"/>
              <w:bottom w:val="single" w:sz="4" w:space="0" w:color="auto"/>
              <w:right w:val="single" w:sz="4" w:space="0" w:color="auto"/>
            </w:tcBorders>
            <w:shd w:val="clear" w:color="auto" w:fill="auto"/>
            <w:vAlign w:val="center"/>
            <w:hideMark/>
          </w:tcPr>
          <w:p w14:paraId="2DFD13E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1114" w:type="dxa"/>
            <w:tcBorders>
              <w:top w:val="nil"/>
              <w:left w:val="nil"/>
              <w:bottom w:val="single" w:sz="4" w:space="0" w:color="auto"/>
              <w:right w:val="single" w:sz="4" w:space="0" w:color="auto"/>
            </w:tcBorders>
            <w:shd w:val="clear" w:color="auto" w:fill="auto"/>
            <w:vAlign w:val="center"/>
            <w:hideMark/>
          </w:tcPr>
          <w:p w14:paraId="60F197B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2F55A7DD"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6E8D0D7E"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495FBF7E"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79421984"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—15</w:t>
            </w:r>
          </w:p>
        </w:tc>
        <w:tc>
          <w:tcPr>
            <w:tcW w:w="1066" w:type="dxa"/>
            <w:tcBorders>
              <w:top w:val="nil"/>
              <w:left w:val="nil"/>
              <w:bottom w:val="single" w:sz="4" w:space="0" w:color="auto"/>
              <w:right w:val="single" w:sz="4" w:space="0" w:color="auto"/>
            </w:tcBorders>
            <w:shd w:val="clear" w:color="auto" w:fill="auto"/>
            <w:vAlign w:val="center"/>
            <w:hideMark/>
          </w:tcPr>
          <w:p w14:paraId="77D9C780"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９．８％</w:t>
            </w:r>
          </w:p>
        </w:tc>
        <w:tc>
          <w:tcPr>
            <w:tcW w:w="967" w:type="dxa"/>
            <w:tcBorders>
              <w:top w:val="nil"/>
              <w:left w:val="nil"/>
              <w:bottom w:val="single" w:sz="4" w:space="0" w:color="auto"/>
              <w:right w:val="single" w:sz="4" w:space="0" w:color="auto"/>
            </w:tcBorders>
            <w:shd w:val="clear" w:color="auto" w:fill="auto"/>
            <w:vAlign w:val="center"/>
            <w:hideMark/>
          </w:tcPr>
          <w:p w14:paraId="78C75EB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—15</w:t>
            </w:r>
          </w:p>
        </w:tc>
        <w:tc>
          <w:tcPr>
            <w:tcW w:w="1107" w:type="dxa"/>
            <w:tcBorders>
              <w:top w:val="nil"/>
              <w:left w:val="nil"/>
              <w:bottom w:val="single" w:sz="4" w:space="0" w:color="auto"/>
              <w:right w:val="single" w:sz="4" w:space="0" w:color="auto"/>
            </w:tcBorders>
            <w:shd w:val="clear" w:color="auto" w:fill="auto"/>
            <w:vAlign w:val="center"/>
            <w:hideMark/>
          </w:tcPr>
          <w:p w14:paraId="1389EEB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９．７％</w:t>
            </w:r>
          </w:p>
        </w:tc>
        <w:tc>
          <w:tcPr>
            <w:tcW w:w="1086" w:type="dxa"/>
            <w:tcBorders>
              <w:top w:val="nil"/>
              <w:left w:val="nil"/>
              <w:bottom w:val="single" w:sz="4" w:space="0" w:color="auto"/>
              <w:right w:val="single" w:sz="4" w:space="0" w:color="auto"/>
            </w:tcBorders>
            <w:shd w:val="clear" w:color="auto" w:fill="auto"/>
            <w:vAlign w:val="center"/>
            <w:hideMark/>
          </w:tcPr>
          <w:p w14:paraId="2D96F68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—15</w:t>
            </w:r>
          </w:p>
        </w:tc>
        <w:tc>
          <w:tcPr>
            <w:tcW w:w="1126" w:type="dxa"/>
            <w:tcBorders>
              <w:top w:val="nil"/>
              <w:left w:val="nil"/>
              <w:bottom w:val="single" w:sz="4" w:space="0" w:color="auto"/>
              <w:right w:val="single" w:sz="4" w:space="0" w:color="auto"/>
            </w:tcBorders>
            <w:shd w:val="clear" w:color="auto" w:fill="auto"/>
            <w:vAlign w:val="center"/>
            <w:hideMark/>
          </w:tcPr>
          <w:p w14:paraId="137BBCE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1114" w:type="dxa"/>
            <w:tcBorders>
              <w:top w:val="nil"/>
              <w:left w:val="nil"/>
              <w:bottom w:val="single" w:sz="4" w:space="0" w:color="auto"/>
              <w:right w:val="single" w:sz="4" w:space="0" w:color="auto"/>
            </w:tcBorders>
            <w:shd w:val="clear" w:color="auto" w:fill="auto"/>
            <w:vAlign w:val="center"/>
            <w:hideMark/>
          </w:tcPr>
          <w:p w14:paraId="0D09F3E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51DEE1E6"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3271B0C9"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344B8BEB"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514374A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—16</w:t>
            </w:r>
          </w:p>
        </w:tc>
        <w:tc>
          <w:tcPr>
            <w:tcW w:w="1066" w:type="dxa"/>
            <w:tcBorders>
              <w:top w:val="nil"/>
              <w:left w:val="nil"/>
              <w:bottom w:val="single" w:sz="4" w:space="0" w:color="auto"/>
              <w:right w:val="single" w:sz="4" w:space="0" w:color="auto"/>
            </w:tcBorders>
            <w:shd w:val="clear" w:color="auto" w:fill="auto"/>
            <w:vAlign w:val="center"/>
            <w:hideMark/>
          </w:tcPr>
          <w:p w14:paraId="23DE68E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８．６％</w:t>
            </w:r>
          </w:p>
        </w:tc>
        <w:tc>
          <w:tcPr>
            <w:tcW w:w="967" w:type="dxa"/>
            <w:tcBorders>
              <w:top w:val="nil"/>
              <w:left w:val="nil"/>
              <w:bottom w:val="single" w:sz="4" w:space="0" w:color="auto"/>
              <w:right w:val="single" w:sz="4" w:space="0" w:color="auto"/>
            </w:tcBorders>
            <w:shd w:val="clear" w:color="auto" w:fill="auto"/>
            <w:vAlign w:val="center"/>
            <w:hideMark/>
          </w:tcPr>
          <w:p w14:paraId="266A6D8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—16</w:t>
            </w:r>
          </w:p>
        </w:tc>
        <w:tc>
          <w:tcPr>
            <w:tcW w:w="1107" w:type="dxa"/>
            <w:tcBorders>
              <w:top w:val="nil"/>
              <w:left w:val="nil"/>
              <w:bottom w:val="single" w:sz="4" w:space="0" w:color="auto"/>
              <w:right w:val="single" w:sz="4" w:space="0" w:color="auto"/>
            </w:tcBorders>
            <w:shd w:val="clear" w:color="auto" w:fill="auto"/>
            <w:vAlign w:val="center"/>
            <w:hideMark/>
          </w:tcPr>
          <w:p w14:paraId="5BF7F20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７．９％</w:t>
            </w:r>
          </w:p>
        </w:tc>
        <w:tc>
          <w:tcPr>
            <w:tcW w:w="1086" w:type="dxa"/>
            <w:tcBorders>
              <w:top w:val="nil"/>
              <w:left w:val="nil"/>
              <w:bottom w:val="single" w:sz="4" w:space="0" w:color="auto"/>
              <w:right w:val="single" w:sz="4" w:space="0" w:color="auto"/>
            </w:tcBorders>
            <w:shd w:val="clear" w:color="auto" w:fill="auto"/>
            <w:vAlign w:val="center"/>
            <w:hideMark/>
          </w:tcPr>
          <w:p w14:paraId="520D2CF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—16</w:t>
            </w:r>
          </w:p>
        </w:tc>
        <w:tc>
          <w:tcPr>
            <w:tcW w:w="1126" w:type="dxa"/>
            <w:tcBorders>
              <w:top w:val="nil"/>
              <w:left w:val="nil"/>
              <w:bottom w:val="single" w:sz="4" w:space="0" w:color="auto"/>
              <w:right w:val="single" w:sz="4" w:space="0" w:color="auto"/>
            </w:tcBorders>
            <w:shd w:val="clear" w:color="auto" w:fill="auto"/>
            <w:vAlign w:val="center"/>
            <w:hideMark/>
          </w:tcPr>
          <w:p w14:paraId="5E83F16D"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７．１％</w:t>
            </w:r>
          </w:p>
        </w:tc>
        <w:tc>
          <w:tcPr>
            <w:tcW w:w="1114" w:type="dxa"/>
            <w:tcBorders>
              <w:top w:val="nil"/>
              <w:left w:val="nil"/>
              <w:bottom w:val="single" w:sz="4" w:space="0" w:color="auto"/>
              <w:right w:val="single" w:sz="4" w:space="0" w:color="auto"/>
            </w:tcBorders>
            <w:shd w:val="clear" w:color="auto" w:fill="auto"/>
            <w:vAlign w:val="center"/>
            <w:hideMark/>
          </w:tcPr>
          <w:p w14:paraId="06D1C4A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3873182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7F8D3479"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4E97E017"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337CC0B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—17</w:t>
            </w:r>
          </w:p>
        </w:tc>
        <w:tc>
          <w:tcPr>
            <w:tcW w:w="1066" w:type="dxa"/>
            <w:tcBorders>
              <w:top w:val="nil"/>
              <w:left w:val="nil"/>
              <w:bottom w:val="single" w:sz="4" w:space="0" w:color="auto"/>
              <w:right w:val="single" w:sz="4" w:space="0" w:color="auto"/>
            </w:tcBorders>
            <w:shd w:val="clear" w:color="auto" w:fill="auto"/>
            <w:vAlign w:val="center"/>
            <w:hideMark/>
          </w:tcPr>
          <w:p w14:paraId="53FA6866"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９．８％</w:t>
            </w:r>
          </w:p>
        </w:tc>
        <w:tc>
          <w:tcPr>
            <w:tcW w:w="967" w:type="dxa"/>
            <w:tcBorders>
              <w:top w:val="nil"/>
              <w:left w:val="nil"/>
              <w:bottom w:val="single" w:sz="4" w:space="0" w:color="auto"/>
              <w:right w:val="single" w:sz="4" w:space="0" w:color="auto"/>
            </w:tcBorders>
            <w:shd w:val="clear" w:color="auto" w:fill="auto"/>
            <w:vAlign w:val="center"/>
            <w:hideMark/>
          </w:tcPr>
          <w:p w14:paraId="4884002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—17</w:t>
            </w:r>
          </w:p>
        </w:tc>
        <w:tc>
          <w:tcPr>
            <w:tcW w:w="1107" w:type="dxa"/>
            <w:tcBorders>
              <w:top w:val="nil"/>
              <w:left w:val="nil"/>
              <w:bottom w:val="single" w:sz="4" w:space="0" w:color="auto"/>
              <w:right w:val="single" w:sz="4" w:space="0" w:color="auto"/>
            </w:tcBorders>
            <w:shd w:val="clear" w:color="auto" w:fill="auto"/>
            <w:vAlign w:val="center"/>
            <w:hideMark/>
          </w:tcPr>
          <w:p w14:paraId="0B07802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1086" w:type="dxa"/>
            <w:tcBorders>
              <w:top w:val="nil"/>
              <w:left w:val="nil"/>
              <w:bottom w:val="single" w:sz="4" w:space="0" w:color="auto"/>
              <w:right w:val="single" w:sz="4" w:space="0" w:color="auto"/>
            </w:tcBorders>
            <w:shd w:val="clear" w:color="auto" w:fill="auto"/>
            <w:vAlign w:val="center"/>
            <w:hideMark/>
          </w:tcPr>
          <w:p w14:paraId="39CB84A0"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—17</w:t>
            </w:r>
          </w:p>
        </w:tc>
        <w:tc>
          <w:tcPr>
            <w:tcW w:w="1126" w:type="dxa"/>
            <w:tcBorders>
              <w:top w:val="nil"/>
              <w:left w:val="nil"/>
              <w:bottom w:val="single" w:sz="4" w:space="0" w:color="auto"/>
              <w:right w:val="single" w:sz="4" w:space="0" w:color="auto"/>
            </w:tcBorders>
            <w:shd w:val="clear" w:color="auto" w:fill="auto"/>
            <w:vAlign w:val="center"/>
            <w:hideMark/>
          </w:tcPr>
          <w:p w14:paraId="4FABB3A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1114" w:type="dxa"/>
            <w:tcBorders>
              <w:top w:val="nil"/>
              <w:left w:val="nil"/>
              <w:bottom w:val="single" w:sz="4" w:space="0" w:color="auto"/>
              <w:right w:val="single" w:sz="4" w:space="0" w:color="auto"/>
            </w:tcBorders>
            <w:shd w:val="clear" w:color="auto" w:fill="auto"/>
            <w:vAlign w:val="center"/>
            <w:hideMark/>
          </w:tcPr>
          <w:p w14:paraId="09182374"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7E14D06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56E96829"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6722F36D"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42E184F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—18</w:t>
            </w:r>
          </w:p>
        </w:tc>
        <w:tc>
          <w:tcPr>
            <w:tcW w:w="1066" w:type="dxa"/>
            <w:tcBorders>
              <w:top w:val="nil"/>
              <w:left w:val="nil"/>
              <w:bottom w:val="single" w:sz="4" w:space="0" w:color="auto"/>
              <w:right w:val="single" w:sz="4" w:space="0" w:color="auto"/>
            </w:tcBorders>
            <w:shd w:val="clear" w:color="auto" w:fill="auto"/>
            <w:vAlign w:val="center"/>
            <w:hideMark/>
          </w:tcPr>
          <w:p w14:paraId="60B71F45"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８．６％</w:t>
            </w:r>
          </w:p>
        </w:tc>
        <w:tc>
          <w:tcPr>
            <w:tcW w:w="967" w:type="dxa"/>
            <w:tcBorders>
              <w:top w:val="nil"/>
              <w:left w:val="nil"/>
              <w:bottom w:val="single" w:sz="4" w:space="0" w:color="auto"/>
              <w:right w:val="single" w:sz="4" w:space="0" w:color="auto"/>
            </w:tcBorders>
            <w:shd w:val="clear" w:color="auto" w:fill="auto"/>
            <w:vAlign w:val="center"/>
            <w:hideMark/>
          </w:tcPr>
          <w:p w14:paraId="6C37799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—18</w:t>
            </w:r>
          </w:p>
        </w:tc>
        <w:tc>
          <w:tcPr>
            <w:tcW w:w="1107" w:type="dxa"/>
            <w:tcBorders>
              <w:top w:val="nil"/>
              <w:left w:val="nil"/>
              <w:bottom w:val="single" w:sz="4" w:space="0" w:color="auto"/>
              <w:right w:val="single" w:sz="4" w:space="0" w:color="auto"/>
            </w:tcBorders>
            <w:shd w:val="clear" w:color="auto" w:fill="auto"/>
            <w:vAlign w:val="center"/>
            <w:hideMark/>
          </w:tcPr>
          <w:p w14:paraId="2740D320"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９．８％</w:t>
            </w:r>
          </w:p>
        </w:tc>
        <w:tc>
          <w:tcPr>
            <w:tcW w:w="1086" w:type="dxa"/>
            <w:tcBorders>
              <w:top w:val="nil"/>
              <w:left w:val="nil"/>
              <w:bottom w:val="single" w:sz="4" w:space="0" w:color="auto"/>
              <w:right w:val="single" w:sz="4" w:space="0" w:color="auto"/>
            </w:tcBorders>
            <w:shd w:val="clear" w:color="auto" w:fill="auto"/>
            <w:vAlign w:val="center"/>
            <w:hideMark/>
          </w:tcPr>
          <w:p w14:paraId="7CF045D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—18</w:t>
            </w:r>
          </w:p>
        </w:tc>
        <w:tc>
          <w:tcPr>
            <w:tcW w:w="1126" w:type="dxa"/>
            <w:tcBorders>
              <w:top w:val="nil"/>
              <w:left w:val="nil"/>
              <w:bottom w:val="single" w:sz="4" w:space="0" w:color="auto"/>
              <w:right w:val="single" w:sz="4" w:space="0" w:color="auto"/>
            </w:tcBorders>
            <w:shd w:val="clear" w:color="auto" w:fill="auto"/>
            <w:vAlign w:val="center"/>
            <w:hideMark/>
          </w:tcPr>
          <w:p w14:paraId="28B54E4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８．８％</w:t>
            </w:r>
          </w:p>
        </w:tc>
        <w:tc>
          <w:tcPr>
            <w:tcW w:w="1114" w:type="dxa"/>
            <w:tcBorders>
              <w:top w:val="nil"/>
              <w:left w:val="nil"/>
              <w:bottom w:val="single" w:sz="4" w:space="0" w:color="auto"/>
              <w:right w:val="single" w:sz="4" w:space="0" w:color="auto"/>
            </w:tcBorders>
            <w:shd w:val="clear" w:color="auto" w:fill="auto"/>
            <w:vAlign w:val="center"/>
            <w:hideMark/>
          </w:tcPr>
          <w:p w14:paraId="4E890B14"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7A7ADFD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298BA469"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534DC3E3"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6960B0E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—19</w:t>
            </w:r>
          </w:p>
        </w:tc>
        <w:tc>
          <w:tcPr>
            <w:tcW w:w="1066" w:type="dxa"/>
            <w:tcBorders>
              <w:top w:val="nil"/>
              <w:left w:val="nil"/>
              <w:bottom w:val="single" w:sz="4" w:space="0" w:color="auto"/>
              <w:right w:val="single" w:sz="4" w:space="0" w:color="auto"/>
            </w:tcBorders>
            <w:shd w:val="clear" w:color="auto" w:fill="auto"/>
            <w:vAlign w:val="center"/>
            <w:hideMark/>
          </w:tcPr>
          <w:p w14:paraId="3D6EAAA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967" w:type="dxa"/>
            <w:tcBorders>
              <w:top w:val="nil"/>
              <w:left w:val="nil"/>
              <w:bottom w:val="single" w:sz="4" w:space="0" w:color="auto"/>
              <w:right w:val="single" w:sz="4" w:space="0" w:color="auto"/>
            </w:tcBorders>
            <w:shd w:val="clear" w:color="auto" w:fill="auto"/>
            <w:vAlign w:val="center"/>
            <w:hideMark/>
          </w:tcPr>
          <w:p w14:paraId="5995159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107" w:type="dxa"/>
            <w:tcBorders>
              <w:top w:val="nil"/>
              <w:left w:val="nil"/>
              <w:bottom w:val="single" w:sz="4" w:space="0" w:color="auto"/>
              <w:right w:val="single" w:sz="4" w:space="0" w:color="auto"/>
            </w:tcBorders>
            <w:shd w:val="clear" w:color="auto" w:fill="auto"/>
            <w:vAlign w:val="center"/>
            <w:hideMark/>
          </w:tcPr>
          <w:p w14:paraId="47693A2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086" w:type="dxa"/>
            <w:tcBorders>
              <w:top w:val="nil"/>
              <w:left w:val="nil"/>
              <w:bottom w:val="single" w:sz="4" w:space="0" w:color="auto"/>
              <w:right w:val="single" w:sz="4" w:space="0" w:color="auto"/>
            </w:tcBorders>
            <w:shd w:val="clear" w:color="auto" w:fill="auto"/>
            <w:vAlign w:val="center"/>
            <w:hideMark/>
          </w:tcPr>
          <w:p w14:paraId="2AE9129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—19</w:t>
            </w:r>
          </w:p>
        </w:tc>
        <w:tc>
          <w:tcPr>
            <w:tcW w:w="1126" w:type="dxa"/>
            <w:tcBorders>
              <w:top w:val="nil"/>
              <w:left w:val="nil"/>
              <w:bottom w:val="single" w:sz="4" w:space="0" w:color="auto"/>
              <w:right w:val="single" w:sz="4" w:space="0" w:color="auto"/>
            </w:tcBorders>
            <w:shd w:val="clear" w:color="auto" w:fill="auto"/>
            <w:vAlign w:val="center"/>
            <w:hideMark/>
          </w:tcPr>
          <w:p w14:paraId="4A7BAAB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６．９％</w:t>
            </w:r>
          </w:p>
        </w:tc>
        <w:tc>
          <w:tcPr>
            <w:tcW w:w="1114" w:type="dxa"/>
            <w:tcBorders>
              <w:top w:val="nil"/>
              <w:left w:val="nil"/>
              <w:bottom w:val="single" w:sz="4" w:space="0" w:color="auto"/>
              <w:right w:val="single" w:sz="4" w:space="0" w:color="auto"/>
            </w:tcBorders>
            <w:shd w:val="clear" w:color="auto" w:fill="auto"/>
            <w:vAlign w:val="center"/>
            <w:hideMark/>
          </w:tcPr>
          <w:p w14:paraId="0551D3C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2F35445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23991AF0"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6D2F0BB6"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noWrap/>
            <w:vAlign w:val="center"/>
          </w:tcPr>
          <w:p w14:paraId="40E12E7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—20</w:t>
            </w:r>
          </w:p>
        </w:tc>
        <w:tc>
          <w:tcPr>
            <w:tcW w:w="1066" w:type="dxa"/>
            <w:tcBorders>
              <w:top w:val="nil"/>
              <w:left w:val="nil"/>
              <w:bottom w:val="single" w:sz="4" w:space="0" w:color="auto"/>
              <w:right w:val="single" w:sz="4" w:space="0" w:color="auto"/>
            </w:tcBorders>
            <w:shd w:val="clear" w:color="auto" w:fill="auto"/>
            <w:noWrap/>
            <w:vAlign w:val="center"/>
          </w:tcPr>
          <w:p w14:paraId="19C0740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９．８％</w:t>
            </w:r>
          </w:p>
        </w:tc>
        <w:tc>
          <w:tcPr>
            <w:tcW w:w="967" w:type="dxa"/>
            <w:tcBorders>
              <w:top w:val="nil"/>
              <w:left w:val="nil"/>
              <w:bottom w:val="single" w:sz="4" w:space="0" w:color="auto"/>
              <w:right w:val="single" w:sz="4" w:space="0" w:color="auto"/>
            </w:tcBorders>
            <w:shd w:val="clear" w:color="auto" w:fill="auto"/>
            <w:noWrap/>
            <w:vAlign w:val="center"/>
          </w:tcPr>
          <w:p w14:paraId="07311B5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01F2EC25"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086" w:type="dxa"/>
            <w:tcBorders>
              <w:top w:val="nil"/>
              <w:left w:val="nil"/>
              <w:bottom w:val="single" w:sz="4" w:space="0" w:color="auto"/>
              <w:right w:val="single" w:sz="4" w:space="0" w:color="auto"/>
            </w:tcBorders>
            <w:shd w:val="clear" w:color="auto" w:fill="auto"/>
            <w:noWrap/>
            <w:vAlign w:val="center"/>
          </w:tcPr>
          <w:p w14:paraId="5F59ED8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—20</w:t>
            </w:r>
          </w:p>
        </w:tc>
        <w:tc>
          <w:tcPr>
            <w:tcW w:w="1126" w:type="dxa"/>
            <w:tcBorders>
              <w:top w:val="nil"/>
              <w:left w:val="nil"/>
              <w:bottom w:val="single" w:sz="4" w:space="0" w:color="auto"/>
              <w:right w:val="single" w:sz="4" w:space="0" w:color="auto"/>
            </w:tcBorders>
            <w:shd w:val="clear" w:color="auto" w:fill="auto"/>
            <w:noWrap/>
            <w:vAlign w:val="center"/>
          </w:tcPr>
          <w:p w14:paraId="17F9523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９．５％</w:t>
            </w:r>
          </w:p>
        </w:tc>
        <w:tc>
          <w:tcPr>
            <w:tcW w:w="1114" w:type="dxa"/>
            <w:tcBorders>
              <w:top w:val="nil"/>
              <w:left w:val="nil"/>
              <w:bottom w:val="single" w:sz="4" w:space="0" w:color="auto"/>
              <w:right w:val="single" w:sz="4" w:space="0" w:color="auto"/>
            </w:tcBorders>
            <w:shd w:val="clear" w:color="auto" w:fill="auto"/>
            <w:noWrap/>
            <w:vAlign w:val="center"/>
          </w:tcPr>
          <w:p w14:paraId="52D31AF6"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noWrap/>
            <w:vAlign w:val="center"/>
          </w:tcPr>
          <w:p w14:paraId="07BE1E3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bl>
    <w:p w14:paraId="43AB3A8F" w14:textId="77777777" w:rsidR="00CE438D" w:rsidRPr="00F631FB" w:rsidRDefault="00CE438D" w:rsidP="00CE438D">
      <w:pPr>
        <w:spacing w:line="360" w:lineRule="auto"/>
        <w:ind w:firstLineChars="200" w:firstLine="482"/>
        <w:jc w:val="center"/>
        <w:rPr>
          <w:rFonts w:ascii="Arial" w:eastAsia="仿宋_GB2312" w:hAnsi="Arial" w:cs="Arial"/>
          <w:b/>
          <w:bCs/>
          <w:szCs w:val="24"/>
        </w:rPr>
      </w:pPr>
    </w:p>
    <w:p w14:paraId="21845E01" w14:textId="77777777" w:rsidR="00914E90" w:rsidRDefault="00914E90" w:rsidP="00D12201">
      <w:pPr>
        <w:spacing w:line="360" w:lineRule="auto"/>
        <w:rPr>
          <w:rFonts w:ascii="Arial" w:eastAsia="仿宋_GB2312" w:hAnsi="Arial" w:cs="Arial"/>
          <w:b/>
          <w:bCs/>
          <w:szCs w:val="24"/>
        </w:rPr>
      </w:pPr>
    </w:p>
    <w:p w14:paraId="1AF263D5" w14:textId="6E170F92" w:rsidR="00CE438D" w:rsidRPr="00F631FB" w:rsidRDefault="00CE438D" w:rsidP="00CE438D">
      <w:pPr>
        <w:spacing w:line="360" w:lineRule="auto"/>
        <w:ind w:firstLineChars="200" w:firstLine="482"/>
        <w:jc w:val="center"/>
        <w:rPr>
          <w:rFonts w:ascii="Arial" w:eastAsia="仿宋_GB2312" w:hAnsi="Arial" w:cs="Arial"/>
          <w:b/>
          <w:bCs/>
          <w:szCs w:val="24"/>
        </w:rPr>
      </w:pPr>
      <w:r w:rsidRPr="00F631FB">
        <w:rPr>
          <w:rFonts w:ascii="Arial" w:eastAsia="仿宋_GB2312" w:hAnsi="Arial" w:cs="Arial"/>
          <w:b/>
          <w:bCs/>
          <w:szCs w:val="24"/>
        </w:rPr>
        <w:lastRenderedPageBreak/>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E438D" w:rsidRPr="00F631FB" w14:paraId="4A1200D6" w14:textId="77777777" w:rsidTr="00CE438D">
        <w:trPr>
          <w:cantSplit/>
          <w:jc w:val="center"/>
        </w:trPr>
        <w:tc>
          <w:tcPr>
            <w:tcW w:w="2209" w:type="dxa"/>
            <w:tcBorders>
              <w:tl2br w:val="single" w:sz="4" w:space="0" w:color="auto"/>
            </w:tcBorders>
            <w:shd w:val="clear" w:color="auto" w:fill="auto"/>
            <w:vAlign w:val="center"/>
          </w:tcPr>
          <w:p w14:paraId="5FEC9AB9" w14:textId="77777777" w:rsidR="00CE438D" w:rsidRPr="00F631FB" w:rsidRDefault="00CE438D" w:rsidP="00CE438D">
            <w:pPr>
              <w:widowControl/>
              <w:adjustRightInd/>
              <w:spacing w:line="240" w:lineRule="exact"/>
              <w:ind w:firstLineChars="650" w:firstLine="1170"/>
              <w:jc w:val="right"/>
              <w:textAlignment w:val="auto"/>
              <w:rPr>
                <w:rFonts w:ascii="Arial" w:eastAsia="仿宋_GB2312" w:hAnsi="Arial" w:cs="Arial"/>
                <w:sz w:val="18"/>
                <w:szCs w:val="24"/>
              </w:rPr>
            </w:pPr>
            <w:r w:rsidRPr="00F631FB">
              <w:rPr>
                <w:rFonts w:ascii="Arial" w:eastAsia="仿宋_GB2312" w:hAnsi="Arial" w:cs="Arial"/>
                <w:sz w:val="18"/>
                <w:szCs w:val="24"/>
              </w:rPr>
              <w:t>等级</w:t>
            </w:r>
          </w:p>
          <w:p w14:paraId="12F89BD4"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1418" w:type="dxa"/>
            <w:shd w:val="clear" w:color="auto" w:fill="auto"/>
            <w:vAlign w:val="center"/>
          </w:tcPr>
          <w:p w14:paraId="667EC7B7"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好</w:t>
            </w:r>
          </w:p>
        </w:tc>
        <w:tc>
          <w:tcPr>
            <w:tcW w:w="1418" w:type="dxa"/>
            <w:shd w:val="clear" w:color="auto" w:fill="auto"/>
            <w:vAlign w:val="center"/>
          </w:tcPr>
          <w:p w14:paraId="28C09E0F"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较好</w:t>
            </w:r>
          </w:p>
        </w:tc>
        <w:tc>
          <w:tcPr>
            <w:tcW w:w="1418" w:type="dxa"/>
            <w:shd w:val="clear" w:color="auto" w:fill="auto"/>
            <w:vAlign w:val="center"/>
          </w:tcPr>
          <w:p w14:paraId="007C727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一般</w:t>
            </w:r>
          </w:p>
        </w:tc>
        <w:tc>
          <w:tcPr>
            <w:tcW w:w="1418" w:type="dxa"/>
            <w:shd w:val="clear" w:color="auto" w:fill="auto"/>
            <w:vAlign w:val="center"/>
          </w:tcPr>
          <w:p w14:paraId="414081A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较差</w:t>
            </w:r>
          </w:p>
        </w:tc>
        <w:tc>
          <w:tcPr>
            <w:tcW w:w="1418" w:type="dxa"/>
            <w:shd w:val="clear" w:color="auto" w:fill="auto"/>
            <w:vAlign w:val="center"/>
          </w:tcPr>
          <w:p w14:paraId="62BB64A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差</w:t>
            </w:r>
          </w:p>
        </w:tc>
      </w:tr>
      <w:tr w:rsidR="00CE438D" w:rsidRPr="00F631FB" w14:paraId="6388A35F" w14:textId="77777777" w:rsidTr="00CE438D">
        <w:trPr>
          <w:cantSplit/>
          <w:jc w:val="center"/>
        </w:trPr>
        <w:tc>
          <w:tcPr>
            <w:tcW w:w="2209" w:type="dxa"/>
            <w:shd w:val="clear" w:color="auto" w:fill="auto"/>
            <w:vAlign w:val="center"/>
          </w:tcPr>
          <w:p w14:paraId="2FB6F03A"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商业繁华程度</w:t>
            </w:r>
          </w:p>
        </w:tc>
        <w:tc>
          <w:tcPr>
            <w:tcW w:w="1418" w:type="dxa"/>
            <w:shd w:val="clear" w:color="auto" w:fill="auto"/>
            <w:vAlign w:val="center"/>
          </w:tcPr>
          <w:p w14:paraId="182ABCC9" w14:textId="77777777" w:rsidR="00CE438D" w:rsidRPr="00F631FB" w:rsidRDefault="00CE438D" w:rsidP="00CE438D">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密集</w:t>
            </w:r>
          </w:p>
        </w:tc>
        <w:tc>
          <w:tcPr>
            <w:tcW w:w="1418" w:type="dxa"/>
            <w:shd w:val="clear" w:color="auto" w:fill="auto"/>
            <w:vAlign w:val="center"/>
          </w:tcPr>
          <w:p w14:paraId="3A992B15" w14:textId="77777777" w:rsidR="00CE438D" w:rsidRPr="00F631FB" w:rsidRDefault="00CE438D" w:rsidP="00CE438D">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比较密集</w:t>
            </w:r>
          </w:p>
        </w:tc>
        <w:tc>
          <w:tcPr>
            <w:tcW w:w="1418" w:type="dxa"/>
            <w:shd w:val="clear" w:color="auto" w:fill="auto"/>
            <w:vAlign w:val="center"/>
          </w:tcPr>
          <w:p w14:paraId="2116AA16" w14:textId="77777777" w:rsidR="00CE438D" w:rsidRPr="00F631FB" w:rsidRDefault="00CE438D" w:rsidP="00CE438D">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较少</w:t>
            </w:r>
          </w:p>
        </w:tc>
        <w:tc>
          <w:tcPr>
            <w:tcW w:w="1418" w:type="dxa"/>
            <w:shd w:val="clear" w:color="auto" w:fill="auto"/>
            <w:vAlign w:val="center"/>
          </w:tcPr>
          <w:p w14:paraId="7D87BF37" w14:textId="77777777" w:rsidR="00CE438D" w:rsidRPr="00F631FB" w:rsidRDefault="00CE438D" w:rsidP="00CE438D">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少</w:t>
            </w:r>
          </w:p>
        </w:tc>
        <w:tc>
          <w:tcPr>
            <w:tcW w:w="1418" w:type="dxa"/>
            <w:shd w:val="clear" w:color="auto" w:fill="auto"/>
            <w:vAlign w:val="center"/>
          </w:tcPr>
          <w:p w14:paraId="5BBFAE25" w14:textId="77777777" w:rsidR="00CE438D" w:rsidRPr="00F631FB" w:rsidRDefault="00CE438D" w:rsidP="00CE438D">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基本无</w:t>
            </w:r>
          </w:p>
        </w:tc>
      </w:tr>
      <w:tr w:rsidR="00CE438D" w:rsidRPr="00F631FB" w14:paraId="02B2D5C1" w14:textId="77777777" w:rsidTr="00CE438D">
        <w:trPr>
          <w:cantSplit/>
          <w:jc w:val="center"/>
        </w:trPr>
        <w:tc>
          <w:tcPr>
            <w:tcW w:w="2209" w:type="dxa"/>
            <w:shd w:val="clear" w:color="auto" w:fill="auto"/>
            <w:vAlign w:val="center"/>
          </w:tcPr>
          <w:p w14:paraId="0BF05CDD"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交通便捷度</w:t>
            </w:r>
          </w:p>
        </w:tc>
        <w:tc>
          <w:tcPr>
            <w:tcW w:w="1418" w:type="dxa"/>
            <w:shd w:val="clear" w:color="auto" w:fill="auto"/>
            <w:vAlign w:val="center"/>
          </w:tcPr>
          <w:p w14:paraId="1F274C99"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便捷</w:t>
            </w:r>
          </w:p>
        </w:tc>
        <w:tc>
          <w:tcPr>
            <w:tcW w:w="1418" w:type="dxa"/>
            <w:shd w:val="clear" w:color="auto" w:fill="auto"/>
            <w:vAlign w:val="center"/>
          </w:tcPr>
          <w:p w14:paraId="41B259E8"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bookmarkStart w:id="305" w:name="OLE_LINK2"/>
            <w:bookmarkStart w:id="306" w:name="OLE_LINK3"/>
            <w:r w:rsidRPr="00F631FB">
              <w:rPr>
                <w:rFonts w:ascii="Arial" w:eastAsia="仿宋_GB2312" w:hAnsi="Arial" w:cs="Arial"/>
                <w:sz w:val="18"/>
                <w:szCs w:val="24"/>
              </w:rPr>
              <w:t>较便捷</w:t>
            </w:r>
            <w:bookmarkEnd w:id="305"/>
            <w:bookmarkEnd w:id="306"/>
          </w:p>
        </w:tc>
        <w:tc>
          <w:tcPr>
            <w:tcW w:w="1418" w:type="dxa"/>
            <w:shd w:val="clear" w:color="auto" w:fill="auto"/>
            <w:vAlign w:val="center"/>
          </w:tcPr>
          <w:p w14:paraId="722FE854"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一般</w:t>
            </w:r>
          </w:p>
        </w:tc>
        <w:tc>
          <w:tcPr>
            <w:tcW w:w="1418" w:type="dxa"/>
            <w:shd w:val="clear" w:color="auto" w:fill="auto"/>
            <w:vAlign w:val="center"/>
          </w:tcPr>
          <w:p w14:paraId="32F0D08F"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较不便捷</w:t>
            </w:r>
          </w:p>
        </w:tc>
        <w:tc>
          <w:tcPr>
            <w:tcW w:w="1418" w:type="dxa"/>
            <w:shd w:val="clear" w:color="auto" w:fill="auto"/>
            <w:vAlign w:val="center"/>
          </w:tcPr>
          <w:p w14:paraId="5B7DC31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不便捷</w:t>
            </w:r>
          </w:p>
        </w:tc>
      </w:tr>
      <w:tr w:rsidR="00CE438D" w:rsidRPr="00F631FB" w14:paraId="5036709E" w14:textId="77777777" w:rsidTr="00CE438D">
        <w:trPr>
          <w:cantSplit/>
          <w:jc w:val="center"/>
        </w:trPr>
        <w:tc>
          <w:tcPr>
            <w:tcW w:w="2209" w:type="dxa"/>
            <w:shd w:val="clear" w:color="auto" w:fill="auto"/>
            <w:vAlign w:val="center"/>
          </w:tcPr>
          <w:p w14:paraId="21BEF2A8"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区域土地利用方向</w:t>
            </w:r>
          </w:p>
        </w:tc>
        <w:tc>
          <w:tcPr>
            <w:tcW w:w="1418" w:type="dxa"/>
            <w:shd w:val="clear" w:color="auto" w:fill="auto"/>
            <w:vAlign w:val="center"/>
          </w:tcPr>
          <w:p w14:paraId="356FCA96"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估价对象用途与周边土地利用方向一致</w:t>
            </w:r>
          </w:p>
        </w:tc>
        <w:tc>
          <w:tcPr>
            <w:tcW w:w="1418" w:type="dxa"/>
            <w:shd w:val="clear" w:color="auto" w:fill="auto"/>
            <w:vAlign w:val="center"/>
          </w:tcPr>
          <w:p w14:paraId="1CBBA5C6"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零星有</w:t>
            </w:r>
            <w:proofErr w:type="gramEnd"/>
            <w:r w:rsidRPr="00F631FB">
              <w:rPr>
                <w:rFonts w:ascii="Arial" w:eastAsia="仿宋_GB2312" w:hAnsi="Arial" w:cs="Arial"/>
                <w:sz w:val="18"/>
                <w:szCs w:val="24"/>
              </w:rPr>
              <w:t>其他用地，基本不影响本宗地</w:t>
            </w:r>
          </w:p>
        </w:tc>
        <w:tc>
          <w:tcPr>
            <w:tcW w:w="1418" w:type="dxa"/>
            <w:shd w:val="clear" w:color="auto" w:fill="auto"/>
            <w:vAlign w:val="center"/>
          </w:tcPr>
          <w:p w14:paraId="65D36921"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有部分有其他用地，对本宗地略有影响</w:t>
            </w:r>
          </w:p>
        </w:tc>
        <w:tc>
          <w:tcPr>
            <w:tcW w:w="1418" w:type="dxa"/>
            <w:shd w:val="clear" w:color="auto" w:fill="auto"/>
            <w:vAlign w:val="center"/>
          </w:tcPr>
          <w:p w14:paraId="7A750CC6"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其他用地较多，对本宗地影响较大</w:t>
            </w:r>
          </w:p>
        </w:tc>
        <w:tc>
          <w:tcPr>
            <w:tcW w:w="1418" w:type="dxa"/>
            <w:shd w:val="clear" w:color="auto" w:fill="auto"/>
            <w:vAlign w:val="center"/>
          </w:tcPr>
          <w:p w14:paraId="7777F67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全部为其他用地，对本宗地有大的影响</w:t>
            </w:r>
          </w:p>
        </w:tc>
      </w:tr>
      <w:tr w:rsidR="00CE438D" w:rsidRPr="00F631FB" w14:paraId="19B7269A" w14:textId="77777777" w:rsidTr="00CE438D">
        <w:trPr>
          <w:cantSplit/>
          <w:jc w:val="center"/>
        </w:trPr>
        <w:tc>
          <w:tcPr>
            <w:tcW w:w="2209" w:type="dxa"/>
            <w:shd w:val="clear" w:color="auto" w:fill="auto"/>
            <w:vAlign w:val="center"/>
          </w:tcPr>
          <w:p w14:paraId="538B4B51"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临街宽度和深度</w:t>
            </w:r>
          </w:p>
        </w:tc>
        <w:tc>
          <w:tcPr>
            <w:tcW w:w="1418" w:type="dxa"/>
            <w:shd w:val="clear" w:color="auto" w:fill="auto"/>
            <w:vAlign w:val="center"/>
          </w:tcPr>
          <w:p w14:paraId="21D54E2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临街宽度及深度比例适宜，利于土地利用</w:t>
            </w:r>
          </w:p>
        </w:tc>
        <w:tc>
          <w:tcPr>
            <w:tcW w:w="1418" w:type="dxa"/>
            <w:shd w:val="clear" w:color="auto" w:fill="auto"/>
            <w:vAlign w:val="center"/>
          </w:tcPr>
          <w:p w14:paraId="0F24CF78"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1237EE23"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临街宽度及深度比例一般，对土地利用影响不大</w:t>
            </w:r>
          </w:p>
        </w:tc>
        <w:tc>
          <w:tcPr>
            <w:tcW w:w="1418" w:type="dxa"/>
            <w:shd w:val="clear" w:color="auto" w:fill="auto"/>
            <w:vAlign w:val="center"/>
          </w:tcPr>
          <w:p w14:paraId="06B76965"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4552EF67"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临街宽度及深度比例不适宜，影响土地利用</w:t>
            </w:r>
          </w:p>
        </w:tc>
      </w:tr>
      <w:tr w:rsidR="00CE438D" w:rsidRPr="00F631FB" w14:paraId="21211436" w14:textId="77777777" w:rsidTr="00CE438D">
        <w:trPr>
          <w:cantSplit/>
          <w:jc w:val="center"/>
        </w:trPr>
        <w:tc>
          <w:tcPr>
            <w:tcW w:w="2209" w:type="dxa"/>
            <w:shd w:val="clear" w:color="auto" w:fill="auto"/>
            <w:vAlign w:val="center"/>
          </w:tcPr>
          <w:p w14:paraId="22508FCE"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临街道路状况</w:t>
            </w:r>
          </w:p>
        </w:tc>
        <w:tc>
          <w:tcPr>
            <w:tcW w:w="1418" w:type="dxa"/>
            <w:shd w:val="clear" w:color="auto" w:fill="auto"/>
            <w:vAlign w:val="center"/>
          </w:tcPr>
          <w:p w14:paraId="07A98B9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临城市</w:t>
            </w:r>
            <w:proofErr w:type="gramEnd"/>
            <w:r w:rsidRPr="00F631FB">
              <w:rPr>
                <w:rFonts w:ascii="Arial" w:eastAsia="仿宋_GB2312" w:hAnsi="Arial" w:cs="Arial"/>
                <w:sz w:val="18"/>
                <w:szCs w:val="24"/>
              </w:rPr>
              <w:t>快速路或高速公路</w:t>
            </w:r>
          </w:p>
        </w:tc>
        <w:tc>
          <w:tcPr>
            <w:tcW w:w="1418" w:type="dxa"/>
            <w:shd w:val="clear" w:color="auto" w:fill="auto"/>
            <w:vAlign w:val="center"/>
          </w:tcPr>
          <w:p w14:paraId="0E5D94E0"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临城市</w:t>
            </w:r>
            <w:proofErr w:type="gramEnd"/>
            <w:r w:rsidRPr="00F631FB">
              <w:rPr>
                <w:rFonts w:ascii="Arial" w:eastAsia="仿宋_GB2312" w:hAnsi="Arial" w:cs="Arial"/>
                <w:sz w:val="18"/>
                <w:szCs w:val="24"/>
              </w:rPr>
              <w:t>主干道</w:t>
            </w:r>
          </w:p>
        </w:tc>
        <w:tc>
          <w:tcPr>
            <w:tcW w:w="1418" w:type="dxa"/>
            <w:shd w:val="clear" w:color="auto" w:fill="auto"/>
            <w:vAlign w:val="center"/>
          </w:tcPr>
          <w:p w14:paraId="37250781"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临城市</w:t>
            </w:r>
            <w:proofErr w:type="gramEnd"/>
            <w:r w:rsidRPr="00F631FB">
              <w:rPr>
                <w:rFonts w:ascii="Arial" w:eastAsia="仿宋_GB2312" w:hAnsi="Arial" w:cs="Arial"/>
                <w:sz w:val="18"/>
                <w:szCs w:val="24"/>
              </w:rPr>
              <w:t>次干道</w:t>
            </w:r>
          </w:p>
        </w:tc>
        <w:tc>
          <w:tcPr>
            <w:tcW w:w="1418" w:type="dxa"/>
            <w:shd w:val="clear" w:color="auto" w:fill="auto"/>
            <w:vAlign w:val="center"/>
          </w:tcPr>
          <w:p w14:paraId="229DA73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临城市</w:t>
            </w:r>
            <w:proofErr w:type="gramEnd"/>
            <w:r w:rsidRPr="00F631FB">
              <w:rPr>
                <w:rFonts w:ascii="Arial" w:eastAsia="仿宋_GB2312" w:hAnsi="Arial" w:cs="Arial"/>
                <w:sz w:val="18"/>
                <w:szCs w:val="24"/>
              </w:rPr>
              <w:t>支路</w:t>
            </w:r>
          </w:p>
        </w:tc>
        <w:tc>
          <w:tcPr>
            <w:tcW w:w="1418" w:type="dxa"/>
            <w:shd w:val="clear" w:color="auto" w:fill="auto"/>
            <w:vAlign w:val="center"/>
          </w:tcPr>
          <w:p w14:paraId="1524000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临街坊路</w:t>
            </w:r>
          </w:p>
        </w:tc>
      </w:tr>
      <w:tr w:rsidR="00CE438D" w:rsidRPr="00F631FB" w14:paraId="780E9823" w14:textId="77777777" w:rsidTr="00CE438D">
        <w:trPr>
          <w:cantSplit/>
          <w:jc w:val="center"/>
        </w:trPr>
        <w:tc>
          <w:tcPr>
            <w:tcW w:w="2209" w:type="dxa"/>
            <w:shd w:val="clear" w:color="auto" w:fill="auto"/>
            <w:vAlign w:val="center"/>
          </w:tcPr>
          <w:p w14:paraId="0D111A09"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1418" w:type="dxa"/>
            <w:shd w:val="clear" w:color="auto" w:fill="auto"/>
            <w:vAlign w:val="center"/>
          </w:tcPr>
          <w:p w14:paraId="64208A8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宗地形状规则</w:t>
            </w:r>
          </w:p>
        </w:tc>
        <w:tc>
          <w:tcPr>
            <w:tcW w:w="1418" w:type="dxa"/>
            <w:shd w:val="clear" w:color="auto" w:fill="auto"/>
            <w:vAlign w:val="center"/>
          </w:tcPr>
          <w:p w14:paraId="4F6E82C1"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宗地形状较规则</w:t>
            </w:r>
          </w:p>
        </w:tc>
        <w:tc>
          <w:tcPr>
            <w:tcW w:w="1418" w:type="dxa"/>
            <w:shd w:val="clear" w:color="auto" w:fill="auto"/>
            <w:vAlign w:val="center"/>
          </w:tcPr>
          <w:p w14:paraId="5D9B04A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宗地形状不规则，但对宗地利用影响较小</w:t>
            </w:r>
          </w:p>
        </w:tc>
        <w:tc>
          <w:tcPr>
            <w:tcW w:w="1418" w:type="dxa"/>
            <w:shd w:val="clear" w:color="auto" w:fill="auto"/>
            <w:vAlign w:val="center"/>
          </w:tcPr>
          <w:p w14:paraId="1F0F1D2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宗地形状不规则，对宗地利用有影响</w:t>
            </w:r>
          </w:p>
        </w:tc>
        <w:tc>
          <w:tcPr>
            <w:tcW w:w="1418" w:type="dxa"/>
            <w:shd w:val="clear" w:color="auto" w:fill="auto"/>
            <w:vAlign w:val="center"/>
          </w:tcPr>
          <w:p w14:paraId="21DEB691"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宗地形状极其不规则，对宗地利用影响很大</w:t>
            </w:r>
          </w:p>
        </w:tc>
      </w:tr>
      <w:tr w:rsidR="00CE438D" w:rsidRPr="00F631FB" w14:paraId="6BC0B901" w14:textId="77777777" w:rsidTr="00CE438D">
        <w:trPr>
          <w:cantSplit/>
          <w:jc w:val="center"/>
        </w:trPr>
        <w:tc>
          <w:tcPr>
            <w:tcW w:w="2209" w:type="dxa"/>
            <w:shd w:val="clear" w:color="auto" w:fill="auto"/>
            <w:vAlign w:val="center"/>
          </w:tcPr>
          <w:p w14:paraId="62EF7125"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公共服务设施</w:t>
            </w:r>
          </w:p>
        </w:tc>
        <w:tc>
          <w:tcPr>
            <w:tcW w:w="1418" w:type="dxa"/>
            <w:shd w:val="clear" w:color="auto" w:fill="auto"/>
            <w:vAlign w:val="center"/>
          </w:tcPr>
          <w:p w14:paraId="16D49127"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配套完善</w:t>
            </w:r>
          </w:p>
        </w:tc>
        <w:tc>
          <w:tcPr>
            <w:tcW w:w="1418" w:type="dxa"/>
            <w:shd w:val="clear" w:color="auto" w:fill="auto"/>
            <w:vAlign w:val="center"/>
          </w:tcPr>
          <w:p w14:paraId="73D1508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配套较完善</w:t>
            </w:r>
          </w:p>
        </w:tc>
        <w:tc>
          <w:tcPr>
            <w:tcW w:w="1418" w:type="dxa"/>
            <w:shd w:val="clear" w:color="auto" w:fill="auto"/>
            <w:vAlign w:val="center"/>
          </w:tcPr>
          <w:p w14:paraId="400BDA5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配套基本满足需要</w:t>
            </w:r>
          </w:p>
        </w:tc>
        <w:tc>
          <w:tcPr>
            <w:tcW w:w="1418" w:type="dxa"/>
            <w:shd w:val="clear" w:color="auto" w:fill="auto"/>
            <w:vAlign w:val="center"/>
          </w:tcPr>
          <w:p w14:paraId="21C4CAA0"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配套少</w:t>
            </w:r>
          </w:p>
        </w:tc>
        <w:tc>
          <w:tcPr>
            <w:tcW w:w="1418" w:type="dxa"/>
            <w:shd w:val="clear" w:color="auto" w:fill="auto"/>
            <w:vAlign w:val="center"/>
          </w:tcPr>
          <w:p w14:paraId="159E0F61"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配套极少</w:t>
            </w:r>
          </w:p>
        </w:tc>
      </w:tr>
      <w:tr w:rsidR="00CE438D" w:rsidRPr="00F631FB" w14:paraId="2C22C296" w14:textId="77777777" w:rsidTr="00CE438D">
        <w:tblPrEx>
          <w:tblCellMar>
            <w:top w:w="28" w:type="dxa"/>
            <w:bottom w:w="28" w:type="dxa"/>
          </w:tblCellMar>
        </w:tblPrEx>
        <w:trPr>
          <w:cantSplit/>
          <w:jc w:val="center"/>
        </w:trPr>
        <w:tc>
          <w:tcPr>
            <w:tcW w:w="2209" w:type="dxa"/>
            <w:shd w:val="clear" w:color="auto" w:fill="auto"/>
            <w:vAlign w:val="center"/>
          </w:tcPr>
          <w:p w14:paraId="5B86411D"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基础设施完备状况</w:t>
            </w:r>
          </w:p>
        </w:tc>
        <w:tc>
          <w:tcPr>
            <w:tcW w:w="1418" w:type="dxa"/>
            <w:shd w:val="clear" w:color="auto" w:fill="auto"/>
            <w:vAlign w:val="center"/>
          </w:tcPr>
          <w:p w14:paraId="487CE926"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七通</w:t>
            </w:r>
          </w:p>
        </w:tc>
        <w:tc>
          <w:tcPr>
            <w:tcW w:w="1418" w:type="dxa"/>
            <w:shd w:val="clear" w:color="auto" w:fill="auto"/>
            <w:vAlign w:val="center"/>
          </w:tcPr>
          <w:p w14:paraId="7B093B0E"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六通</w:t>
            </w:r>
          </w:p>
        </w:tc>
        <w:tc>
          <w:tcPr>
            <w:tcW w:w="1418" w:type="dxa"/>
            <w:shd w:val="clear" w:color="auto" w:fill="auto"/>
            <w:vAlign w:val="center"/>
          </w:tcPr>
          <w:p w14:paraId="2C2B89A3"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五通</w:t>
            </w:r>
          </w:p>
        </w:tc>
        <w:tc>
          <w:tcPr>
            <w:tcW w:w="1418" w:type="dxa"/>
            <w:shd w:val="clear" w:color="auto" w:fill="auto"/>
            <w:vAlign w:val="center"/>
          </w:tcPr>
          <w:p w14:paraId="1D4C0E4E"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四通</w:t>
            </w:r>
          </w:p>
        </w:tc>
        <w:tc>
          <w:tcPr>
            <w:tcW w:w="1418" w:type="dxa"/>
            <w:shd w:val="clear" w:color="auto" w:fill="auto"/>
            <w:vAlign w:val="center"/>
          </w:tcPr>
          <w:p w14:paraId="09CD82E2"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三通</w:t>
            </w:r>
          </w:p>
        </w:tc>
      </w:tr>
      <w:tr w:rsidR="00CE438D" w:rsidRPr="00F631FB" w14:paraId="04447DC7" w14:textId="77777777" w:rsidTr="00CE438D">
        <w:tblPrEx>
          <w:tblCellMar>
            <w:top w:w="28" w:type="dxa"/>
            <w:bottom w:w="28" w:type="dxa"/>
          </w:tblCellMar>
        </w:tblPrEx>
        <w:trPr>
          <w:cantSplit/>
          <w:jc w:val="center"/>
        </w:trPr>
        <w:tc>
          <w:tcPr>
            <w:tcW w:w="2209" w:type="dxa"/>
            <w:shd w:val="clear" w:color="auto" w:fill="auto"/>
            <w:vAlign w:val="center"/>
          </w:tcPr>
          <w:p w14:paraId="4C8FCDF5"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w:t>
            </w:r>
          </w:p>
        </w:tc>
        <w:tc>
          <w:tcPr>
            <w:tcW w:w="1418" w:type="dxa"/>
            <w:shd w:val="clear" w:color="auto" w:fill="auto"/>
            <w:vAlign w:val="center"/>
          </w:tcPr>
          <w:p w14:paraId="43DD0533"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自然和人文环境优良</w:t>
            </w:r>
          </w:p>
        </w:tc>
        <w:tc>
          <w:tcPr>
            <w:tcW w:w="1418" w:type="dxa"/>
            <w:shd w:val="clear" w:color="auto" w:fill="auto"/>
            <w:vAlign w:val="center"/>
          </w:tcPr>
          <w:p w14:paraId="111D3D29"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自然和人文环境良好</w:t>
            </w:r>
          </w:p>
        </w:tc>
        <w:tc>
          <w:tcPr>
            <w:tcW w:w="1418" w:type="dxa"/>
            <w:shd w:val="clear" w:color="auto" w:fill="auto"/>
            <w:vAlign w:val="center"/>
          </w:tcPr>
          <w:p w14:paraId="29C01A40"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自然和人文环境一般</w:t>
            </w:r>
          </w:p>
        </w:tc>
        <w:tc>
          <w:tcPr>
            <w:tcW w:w="1418" w:type="dxa"/>
            <w:shd w:val="clear" w:color="auto" w:fill="auto"/>
            <w:vAlign w:val="center"/>
          </w:tcPr>
          <w:p w14:paraId="49BBC03F"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自然和人文环境较差</w:t>
            </w:r>
          </w:p>
        </w:tc>
        <w:tc>
          <w:tcPr>
            <w:tcW w:w="1418" w:type="dxa"/>
            <w:shd w:val="clear" w:color="auto" w:fill="auto"/>
            <w:vAlign w:val="center"/>
          </w:tcPr>
          <w:p w14:paraId="42CB172A"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自然和人文环境差</w:t>
            </w:r>
          </w:p>
        </w:tc>
      </w:tr>
    </w:tbl>
    <w:p w14:paraId="51A954AD" w14:textId="77777777" w:rsidR="00914E90" w:rsidRDefault="00CE438D" w:rsidP="00914E90">
      <w:pPr>
        <w:spacing w:line="360" w:lineRule="auto"/>
        <w:ind w:firstLineChars="200" w:firstLine="560"/>
        <w:jc w:val="both"/>
        <w:rPr>
          <w:rFonts w:ascii="Arial" w:eastAsia="仿宋_GB2312" w:hAnsi="Arial" w:cs="Arial"/>
          <w:b/>
          <w:bCs/>
          <w:szCs w:val="24"/>
        </w:rPr>
      </w:pPr>
      <w:r w:rsidRPr="00F631FB">
        <w:rPr>
          <w:rFonts w:ascii="Arial" w:eastAsia="仿宋_GB2312" w:hAnsi="Arial" w:cs="Arial"/>
          <w:sz w:val="28"/>
          <w:szCs w:val="28"/>
        </w:rPr>
        <w:t>估价对象地处商业类</w:t>
      </w:r>
      <w:r>
        <w:rPr>
          <w:rFonts w:ascii="Arial" w:eastAsia="仿宋_GB2312" w:hAnsi="Arial" w:cs="Arial" w:hint="eastAsia"/>
          <w:sz w:val="28"/>
          <w:szCs w:val="28"/>
        </w:rPr>
        <w:t>三级</w:t>
      </w:r>
      <w:r>
        <w:rPr>
          <w:rFonts w:ascii="Arial" w:eastAsia="仿宋_GB2312" w:hAnsi="Arial" w:cs="Arial" w:hint="eastAsia"/>
          <w:sz w:val="28"/>
          <w:szCs w:val="28"/>
        </w:rPr>
        <w:t>III</w:t>
      </w:r>
      <w:r w:rsidRPr="00F631FB">
        <w:rPr>
          <w:rFonts w:ascii="Arial" w:eastAsia="仿宋_GB2312" w:hAnsi="Arial" w:cs="Arial"/>
          <w:sz w:val="28"/>
          <w:szCs w:val="28"/>
        </w:rPr>
        <w:t>-0</w:t>
      </w:r>
      <w:r>
        <w:rPr>
          <w:rFonts w:ascii="Arial" w:eastAsia="仿宋_GB2312" w:hAnsi="Arial" w:cs="Arial"/>
          <w:sz w:val="28"/>
          <w:szCs w:val="28"/>
        </w:rPr>
        <w:t>6</w:t>
      </w:r>
      <w:r w:rsidRPr="00F631FB">
        <w:rPr>
          <w:rFonts w:ascii="Arial" w:eastAsia="仿宋_GB2312" w:hAnsi="Arial" w:cs="Arial"/>
          <w:sz w:val="28"/>
          <w:szCs w:val="28"/>
        </w:rPr>
        <w:t>区片，依据前述《区片基准地价因素总修正幅度表》、《北京市基准地价因素权重表》及《因素等级说明表》，整理出《等级系数表》如下：</w:t>
      </w:r>
    </w:p>
    <w:p w14:paraId="49F48DCD" w14:textId="0B8D9567" w:rsidR="00CE438D" w:rsidRPr="00914E90" w:rsidRDefault="00CE438D" w:rsidP="00914E90">
      <w:pPr>
        <w:spacing w:line="360" w:lineRule="auto"/>
        <w:ind w:firstLineChars="200" w:firstLine="482"/>
        <w:jc w:val="center"/>
        <w:rPr>
          <w:rFonts w:ascii="Arial" w:eastAsia="仿宋_GB2312" w:hAnsi="Arial" w:cs="Arial"/>
          <w:sz w:val="28"/>
          <w:szCs w:val="28"/>
        </w:rPr>
      </w:pPr>
      <w:r w:rsidRPr="00F631FB">
        <w:rPr>
          <w:rFonts w:ascii="Arial" w:eastAsia="仿宋_GB2312" w:hAnsi="Arial" w:cs="Arial"/>
          <w:b/>
          <w:bCs/>
          <w:szCs w:val="24"/>
        </w:rPr>
        <w:t>等级系数表</w:t>
      </w:r>
    </w:p>
    <w:tbl>
      <w:tblPr>
        <w:tblW w:w="5000" w:type="pct"/>
        <w:tblLook w:val="04A0" w:firstRow="1" w:lastRow="0" w:firstColumn="1" w:lastColumn="0" w:noHBand="0" w:noVBand="1"/>
      </w:tblPr>
      <w:tblGrid>
        <w:gridCol w:w="2017"/>
        <w:gridCol w:w="1386"/>
        <w:gridCol w:w="1386"/>
        <w:gridCol w:w="962"/>
        <w:gridCol w:w="2090"/>
        <w:gridCol w:w="1447"/>
      </w:tblGrid>
      <w:tr w:rsidR="00CE438D" w:rsidRPr="006177F4" w14:paraId="4C08890E" w14:textId="77777777" w:rsidTr="00CE438D">
        <w:trPr>
          <w:trHeight w:val="326"/>
        </w:trPr>
        <w:tc>
          <w:tcPr>
            <w:tcW w:w="1085"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vAlign w:val="center"/>
            <w:hideMark/>
          </w:tcPr>
          <w:p w14:paraId="45F0DDBE" w14:textId="77777777" w:rsidR="00CE438D" w:rsidRPr="006177F4" w:rsidRDefault="00CE438D" w:rsidP="00CE438D">
            <w:pPr>
              <w:widowControl/>
              <w:adjustRightInd/>
              <w:spacing w:line="240" w:lineRule="auto"/>
              <w:jc w:val="center"/>
              <w:textAlignment w:val="auto"/>
              <w:rPr>
                <w:rFonts w:ascii="Arial" w:eastAsia="仿宋_GB2312" w:hAnsi="Arial" w:cs="Arial"/>
                <w:sz w:val="18"/>
                <w:szCs w:val="18"/>
              </w:rPr>
            </w:pPr>
            <w:r w:rsidRPr="006177F4">
              <w:rPr>
                <w:rFonts w:ascii="Arial" w:eastAsia="仿宋_GB2312" w:hAnsi="Arial" w:cs="Arial"/>
                <w:sz w:val="18"/>
                <w:szCs w:val="18"/>
              </w:rPr>
              <w:t xml:space="preserve">        </w:t>
            </w:r>
            <w:r w:rsidRPr="006177F4">
              <w:rPr>
                <w:rFonts w:ascii="Arial" w:eastAsia="仿宋_GB2312" w:hAnsi="Arial" w:cs="Arial"/>
                <w:sz w:val="18"/>
                <w:szCs w:val="18"/>
              </w:rPr>
              <w:t>等级</w:t>
            </w:r>
            <w:r w:rsidRPr="006177F4">
              <w:rPr>
                <w:rFonts w:ascii="Arial" w:eastAsia="仿宋_GB2312" w:hAnsi="Arial" w:cs="Arial"/>
                <w:sz w:val="18"/>
                <w:szCs w:val="18"/>
              </w:rPr>
              <w:br/>
            </w:r>
            <w:r w:rsidRPr="006177F4">
              <w:rPr>
                <w:rFonts w:ascii="Arial" w:eastAsia="仿宋_GB2312" w:hAnsi="Arial" w:cs="Arial"/>
                <w:sz w:val="18"/>
                <w:szCs w:val="18"/>
              </w:rPr>
              <w:t>影响因素</w:t>
            </w:r>
          </w:p>
        </w:tc>
        <w:tc>
          <w:tcPr>
            <w:tcW w:w="746"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4477ADEC" w14:textId="77777777" w:rsidR="00CE438D" w:rsidRPr="006177F4" w:rsidRDefault="00CE438D" w:rsidP="00CE438D">
            <w:pPr>
              <w:widowControl/>
              <w:adjustRightInd/>
              <w:spacing w:line="240" w:lineRule="auto"/>
              <w:jc w:val="center"/>
              <w:textAlignment w:val="auto"/>
              <w:rPr>
                <w:rFonts w:ascii="Arial" w:eastAsia="仿宋_GB2312" w:hAnsi="Arial" w:cs="Arial"/>
                <w:sz w:val="18"/>
                <w:szCs w:val="18"/>
              </w:rPr>
            </w:pPr>
            <w:r w:rsidRPr="006177F4">
              <w:rPr>
                <w:rFonts w:ascii="Arial" w:eastAsia="仿宋_GB2312" w:hAnsi="Arial" w:cs="Arial"/>
                <w:sz w:val="18"/>
                <w:szCs w:val="18"/>
              </w:rPr>
              <w:t>好</w:t>
            </w:r>
          </w:p>
        </w:tc>
        <w:tc>
          <w:tcPr>
            <w:tcW w:w="7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7FFCA" w14:textId="77777777" w:rsidR="00CE438D" w:rsidRPr="006177F4" w:rsidRDefault="00CE438D" w:rsidP="00CE438D">
            <w:pPr>
              <w:widowControl/>
              <w:adjustRightInd/>
              <w:spacing w:line="240" w:lineRule="auto"/>
              <w:jc w:val="center"/>
              <w:textAlignment w:val="auto"/>
              <w:rPr>
                <w:rFonts w:ascii="Arial" w:eastAsia="仿宋_GB2312" w:hAnsi="Arial" w:cs="Arial"/>
                <w:sz w:val="18"/>
                <w:szCs w:val="18"/>
              </w:rPr>
            </w:pPr>
            <w:r w:rsidRPr="006177F4">
              <w:rPr>
                <w:rFonts w:ascii="Arial" w:eastAsia="仿宋_GB2312" w:hAnsi="Arial" w:cs="Arial"/>
                <w:sz w:val="18"/>
                <w:szCs w:val="18"/>
              </w:rPr>
              <w:t>较好</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CC60B" w14:textId="77777777" w:rsidR="00CE438D" w:rsidRPr="006177F4" w:rsidRDefault="00CE438D" w:rsidP="00CE438D">
            <w:pPr>
              <w:widowControl/>
              <w:adjustRightInd/>
              <w:spacing w:line="240" w:lineRule="auto"/>
              <w:jc w:val="center"/>
              <w:textAlignment w:val="auto"/>
              <w:rPr>
                <w:rFonts w:ascii="Arial" w:eastAsia="仿宋_GB2312" w:hAnsi="Arial" w:cs="Arial"/>
                <w:sz w:val="18"/>
                <w:szCs w:val="18"/>
              </w:rPr>
            </w:pPr>
            <w:r w:rsidRPr="006177F4">
              <w:rPr>
                <w:rFonts w:ascii="Arial" w:eastAsia="仿宋_GB2312" w:hAnsi="Arial" w:cs="Arial"/>
                <w:sz w:val="18"/>
                <w:szCs w:val="18"/>
              </w:rPr>
              <w:t>一般</w:t>
            </w:r>
          </w:p>
        </w:tc>
        <w:tc>
          <w:tcPr>
            <w:tcW w:w="11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66FC9" w14:textId="77777777" w:rsidR="00CE438D" w:rsidRPr="006177F4" w:rsidRDefault="00CE438D" w:rsidP="00CE438D">
            <w:pPr>
              <w:widowControl/>
              <w:adjustRightInd/>
              <w:spacing w:line="240" w:lineRule="auto"/>
              <w:jc w:val="center"/>
              <w:textAlignment w:val="auto"/>
              <w:rPr>
                <w:rFonts w:ascii="Arial" w:eastAsia="仿宋_GB2312" w:hAnsi="Arial" w:cs="Arial"/>
                <w:sz w:val="18"/>
                <w:szCs w:val="18"/>
              </w:rPr>
            </w:pPr>
            <w:r w:rsidRPr="006177F4">
              <w:rPr>
                <w:rFonts w:ascii="Arial" w:eastAsia="仿宋_GB2312" w:hAnsi="Arial" w:cs="Arial"/>
                <w:sz w:val="18"/>
                <w:szCs w:val="18"/>
              </w:rPr>
              <w:t>较差</w:t>
            </w:r>
          </w:p>
        </w:tc>
        <w:tc>
          <w:tcPr>
            <w:tcW w:w="7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B390E" w14:textId="77777777" w:rsidR="00CE438D" w:rsidRPr="006177F4" w:rsidRDefault="00CE438D" w:rsidP="00CE438D">
            <w:pPr>
              <w:widowControl/>
              <w:adjustRightInd/>
              <w:spacing w:line="240" w:lineRule="auto"/>
              <w:jc w:val="center"/>
              <w:textAlignment w:val="auto"/>
              <w:rPr>
                <w:rFonts w:ascii="Arial" w:eastAsia="仿宋_GB2312" w:hAnsi="Arial" w:cs="Arial"/>
                <w:sz w:val="18"/>
                <w:szCs w:val="18"/>
              </w:rPr>
            </w:pPr>
            <w:r w:rsidRPr="006177F4">
              <w:rPr>
                <w:rFonts w:ascii="Arial" w:eastAsia="仿宋_GB2312" w:hAnsi="Arial" w:cs="Arial"/>
                <w:sz w:val="18"/>
                <w:szCs w:val="18"/>
              </w:rPr>
              <w:t>差</w:t>
            </w:r>
          </w:p>
        </w:tc>
      </w:tr>
      <w:tr w:rsidR="00CE438D" w:rsidRPr="006177F4" w14:paraId="675EA1E5" w14:textId="77777777" w:rsidTr="00CE438D">
        <w:trPr>
          <w:trHeight w:val="326"/>
        </w:trPr>
        <w:tc>
          <w:tcPr>
            <w:tcW w:w="1085" w:type="pct"/>
            <w:vMerge/>
            <w:tcBorders>
              <w:top w:val="single" w:sz="4" w:space="0" w:color="auto"/>
              <w:left w:val="single" w:sz="4" w:space="0" w:color="auto"/>
              <w:bottom w:val="single" w:sz="4" w:space="0" w:color="000000"/>
              <w:right w:val="single" w:sz="4" w:space="0" w:color="auto"/>
            </w:tcBorders>
            <w:vAlign w:val="center"/>
            <w:hideMark/>
          </w:tcPr>
          <w:p w14:paraId="7E7EB60C"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p>
        </w:tc>
        <w:tc>
          <w:tcPr>
            <w:tcW w:w="746" w:type="pct"/>
            <w:vMerge/>
            <w:tcBorders>
              <w:top w:val="single" w:sz="4" w:space="0" w:color="auto"/>
              <w:left w:val="nil"/>
              <w:bottom w:val="single" w:sz="4" w:space="0" w:color="auto"/>
              <w:right w:val="single" w:sz="4" w:space="0" w:color="auto"/>
            </w:tcBorders>
            <w:vAlign w:val="center"/>
            <w:hideMark/>
          </w:tcPr>
          <w:p w14:paraId="5E1AF400"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4B0F97C4"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303E0608"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p>
        </w:tc>
        <w:tc>
          <w:tcPr>
            <w:tcW w:w="1125" w:type="pct"/>
            <w:vMerge/>
            <w:tcBorders>
              <w:top w:val="single" w:sz="4" w:space="0" w:color="auto"/>
              <w:left w:val="single" w:sz="4" w:space="0" w:color="auto"/>
              <w:bottom w:val="single" w:sz="4" w:space="0" w:color="auto"/>
              <w:right w:val="single" w:sz="4" w:space="0" w:color="auto"/>
            </w:tcBorders>
            <w:vAlign w:val="center"/>
            <w:hideMark/>
          </w:tcPr>
          <w:p w14:paraId="567A33DA"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p>
        </w:tc>
        <w:tc>
          <w:tcPr>
            <w:tcW w:w="779" w:type="pct"/>
            <w:vMerge/>
            <w:tcBorders>
              <w:top w:val="single" w:sz="4" w:space="0" w:color="auto"/>
              <w:left w:val="single" w:sz="4" w:space="0" w:color="auto"/>
              <w:bottom w:val="single" w:sz="4" w:space="0" w:color="auto"/>
              <w:right w:val="single" w:sz="4" w:space="0" w:color="auto"/>
            </w:tcBorders>
            <w:vAlign w:val="center"/>
            <w:hideMark/>
          </w:tcPr>
          <w:p w14:paraId="29240EF5"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p>
        </w:tc>
      </w:tr>
      <w:tr w:rsidR="00CE438D" w:rsidRPr="006177F4" w14:paraId="3425F033"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vAlign w:val="center"/>
            <w:hideMark/>
          </w:tcPr>
          <w:p w14:paraId="3475C6AD"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商业繁华程度</w:t>
            </w:r>
          </w:p>
        </w:tc>
        <w:tc>
          <w:tcPr>
            <w:tcW w:w="746" w:type="pct"/>
            <w:tcBorders>
              <w:top w:val="nil"/>
              <w:left w:val="nil"/>
              <w:bottom w:val="single" w:sz="4" w:space="0" w:color="auto"/>
              <w:right w:val="single" w:sz="4" w:space="0" w:color="auto"/>
            </w:tcBorders>
            <w:shd w:val="clear" w:color="auto" w:fill="auto"/>
            <w:noWrap/>
            <w:vAlign w:val="center"/>
            <w:hideMark/>
          </w:tcPr>
          <w:p w14:paraId="2553B7B0"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3.220%</w:t>
            </w:r>
          </w:p>
        </w:tc>
        <w:tc>
          <w:tcPr>
            <w:tcW w:w="746" w:type="pct"/>
            <w:tcBorders>
              <w:top w:val="nil"/>
              <w:left w:val="nil"/>
              <w:bottom w:val="single" w:sz="4" w:space="0" w:color="auto"/>
              <w:right w:val="single" w:sz="4" w:space="0" w:color="auto"/>
            </w:tcBorders>
            <w:shd w:val="clear" w:color="auto" w:fill="auto"/>
            <w:noWrap/>
            <w:vAlign w:val="center"/>
            <w:hideMark/>
          </w:tcPr>
          <w:p w14:paraId="17BA9070"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1.610%</w:t>
            </w:r>
          </w:p>
        </w:tc>
        <w:tc>
          <w:tcPr>
            <w:tcW w:w="518" w:type="pct"/>
            <w:tcBorders>
              <w:top w:val="nil"/>
              <w:left w:val="nil"/>
              <w:bottom w:val="single" w:sz="4" w:space="0" w:color="auto"/>
              <w:right w:val="single" w:sz="4" w:space="0" w:color="auto"/>
            </w:tcBorders>
            <w:shd w:val="clear" w:color="auto" w:fill="auto"/>
            <w:noWrap/>
            <w:vAlign w:val="center"/>
            <w:hideMark/>
          </w:tcPr>
          <w:p w14:paraId="6B43E6AF"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26F5CB26"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-1.610%</w:t>
            </w:r>
          </w:p>
        </w:tc>
        <w:tc>
          <w:tcPr>
            <w:tcW w:w="779" w:type="pct"/>
            <w:tcBorders>
              <w:top w:val="nil"/>
              <w:left w:val="nil"/>
              <w:bottom w:val="single" w:sz="4" w:space="0" w:color="auto"/>
              <w:right w:val="single" w:sz="4" w:space="0" w:color="auto"/>
            </w:tcBorders>
            <w:shd w:val="clear" w:color="auto" w:fill="auto"/>
            <w:noWrap/>
            <w:vAlign w:val="center"/>
            <w:hideMark/>
          </w:tcPr>
          <w:p w14:paraId="3E7F4925"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-3.220%</w:t>
            </w:r>
          </w:p>
        </w:tc>
      </w:tr>
      <w:tr w:rsidR="00CE438D" w:rsidRPr="006177F4" w14:paraId="008AAD67"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E7CB39D"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交通便捷度</w:t>
            </w:r>
          </w:p>
        </w:tc>
        <w:tc>
          <w:tcPr>
            <w:tcW w:w="746" w:type="pct"/>
            <w:tcBorders>
              <w:top w:val="nil"/>
              <w:left w:val="nil"/>
              <w:bottom w:val="single" w:sz="4" w:space="0" w:color="auto"/>
              <w:right w:val="single" w:sz="4" w:space="0" w:color="auto"/>
            </w:tcBorders>
            <w:shd w:val="clear" w:color="auto" w:fill="auto"/>
            <w:noWrap/>
            <w:vAlign w:val="center"/>
            <w:hideMark/>
          </w:tcPr>
          <w:p w14:paraId="010354C6"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2.440%</w:t>
            </w:r>
          </w:p>
        </w:tc>
        <w:tc>
          <w:tcPr>
            <w:tcW w:w="746" w:type="pct"/>
            <w:tcBorders>
              <w:top w:val="nil"/>
              <w:left w:val="nil"/>
              <w:bottom w:val="single" w:sz="4" w:space="0" w:color="auto"/>
              <w:right w:val="single" w:sz="4" w:space="0" w:color="auto"/>
            </w:tcBorders>
            <w:shd w:val="clear" w:color="auto" w:fill="auto"/>
            <w:noWrap/>
            <w:vAlign w:val="center"/>
            <w:hideMark/>
          </w:tcPr>
          <w:p w14:paraId="77D7CF06"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1.220%</w:t>
            </w:r>
          </w:p>
        </w:tc>
        <w:tc>
          <w:tcPr>
            <w:tcW w:w="518" w:type="pct"/>
            <w:tcBorders>
              <w:top w:val="nil"/>
              <w:left w:val="nil"/>
              <w:bottom w:val="single" w:sz="4" w:space="0" w:color="auto"/>
              <w:right w:val="single" w:sz="4" w:space="0" w:color="auto"/>
            </w:tcBorders>
            <w:shd w:val="clear" w:color="auto" w:fill="auto"/>
            <w:noWrap/>
            <w:vAlign w:val="center"/>
            <w:hideMark/>
          </w:tcPr>
          <w:p w14:paraId="2D2E01A2"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59016ACF"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-1.220%</w:t>
            </w:r>
          </w:p>
        </w:tc>
        <w:tc>
          <w:tcPr>
            <w:tcW w:w="779" w:type="pct"/>
            <w:tcBorders>
              <w:top w:val="nil"/>
              <w:left w:val="nil"/>
              <w:bottom w:val="single" w:sz="4" w:space="0" w:color="auto"/>
              <w:right w:val="single" w:sz="4" w:space="0" w:color="auto"/>
            </w:tcBorders>
            <w:shd w:val="clear" w:color="auto" w:fill="auto"/>
            <w:noWrap/>
            <w:vAlign w:val="center"/>
            <w:hideMark/>
          </w:tcPr>
          <w:p w14:paraId="266B6191"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-2.440%</w:t>
            </w:r>
          </w:p>
        </w:tc>
      </w:tr>
      <w:tr w:rsidR="00CE438D" w:rsidRPr="006177F4" w14:paraId="21250F8A"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32B04F5"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区域土地利用方向</w:t>
            </w:r>
          </w:p>
        </w:tc>
        <w:tc>
          <w:tcPr>
            <w:tcW w:w="746" w:type="pct"/>
            <w:tcBorders>
              <w:top w:val="nil"/>
              <w:left w:val="nil"/>
              <w:bottom w:val="single" w:sz="4" w:space="0" w:color="auto"/>
              <w:right w:val="single" w:sz="4" w:space="0" w:color="auto"/>
            </w:tcBorders>
            <w:shd w:val="clear" w:color="auto" w:fill="auto"/>
            <w:noWrap/>
            <w:vAlign w:val="center"/>
            <w:hideMark/>
          </w:tcPr>
          <w:p w14:paraId="046A2238"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0.480%</w:t>
            </w:r>
          </w:p>
        </w:tc>
        <w:tc>
          <w:tcPr>
            <w:tcW w:w="746" w:type="pct"/>
            <w:tcBorders>
              <w:top w:val="nil"/>
              <w:left w:val="nil"/>
              <w:bottom w:val="single" w:sz="4" w:space="0" w:color="auto"/>
              <w:right w:val="single" w:sz="4" w:space="0" w:color="auto"/>
            </w:tcBorders>
            <w:shd w:val="clear" w:color="auto" w:fill="auto"/>
            <w:noWrap/>
            <w:vAlign w:val="center"/>
            <w:hideMark/>
          </w:tcPr>
          <w:p w14:paraId="76AF7CE8"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0.240%</w:t>
            </w:r>
          </w:p>
        </w:tc>
        <w:tc>
          <w:tcPr>
            <w:tcW w:w="518" w:type="pct"/>
            <w:tcBorders>
              <w:top w:val="nil"/>
              <w:left w:val="nil"/>
              <w:bottom w:val="single" w:sz="4" w:space="0" w:color="auto"/>
              <w:right w:val="single" w:sz="4" w:space="0" w:color="auto"/>
            </w:tcBorders>
            <w:shd w:val="clear" w:color="auto" w:fill="auto"/>
            <w:noWrap/>
            <w:vAlign w:val="center"/>
            <w:hideMark/>
          </w:tcPr>
          <w:p w14:paraId="4557C3D2"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53002CB9"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-0.240%</w:t>
            </w:r>
          </w:p>
        </w:tc>
        <w:tc>
          <w:tcPr>
            <w:tcW w:w="779" w:type="pct"/>
            <w:tcBorders>
              <w:top w:val="nil"/>
              <w:left w:val="nil"/>
              <w:bottom w:val="single" w:sz="4" w:space="0" w:color="auto"/>
              <w:right w:val="single" w:sz="4" w:space="0" w:color="auto"/>
            </w:tcBorders>
            <w:shd w:val="clear" w:color="auto" w:fill="auto"/>
            <w:noWrap/>
            <w:vAlign w:val="center"/>
            <w:hideMark/>
          </w:tcPr>
          <w:p w14:paraId="48C0A274"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-0.480%</w:t>
            </w:r>
          </w:p>
        </w:tc>
      </w:tr>
      <w:tr w:rsidR="00CE438D" w:rsidRPr="006177F4" w14:paraId="0397F905"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5D1DAFB"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临街宽度和深度</w:t>
            </w:r>
          </w:p>
        </w:tc>
        <w:tc>
          <w:tcPr>
            <w:tcW w:w="746" w:type="pct"/>
            <w:tcBorders>
              <w:top w:val="nil"/>
              <w:left w:val="nil"/>
              <w:bottom w:val="single" w:sz="4" w:space="0" w:color="auto"/>
              <w:right w:val="single" w:sz="4" w:space="0" w:color="auto"/>
            </w:tcBorders>
            <w:shd w:val="clear" w:color="auto" w:fill="auto"/>
            <w:noWrap/>
            <w:vAlign w:val="center"/>
            <w:hideMark/>
          </w:tcPr>
          <w:p w14:paraId="7ECA8B59"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0.480%</w:t>
            </w:r>
          </w:p>
        </w:tc>
        <w:tc>
          <w:tcPr>
            <w:tcW w:w="746" w:type="pct"/>
            <w:tcBorders>
              <w:top w:val="nil"/>
              <w:left w:val="nil"/>
              <w:bottom w:val="single" w:sz="4" w:space="0" w:color="auto"/>
              <w:right w:val="single" w:sz="4" w:space="0" w:color="auto"/>
            </w:tcBorders>
            <w:shd w:val="clear" w:color="auto" w:fill="auto"/>
            <w:noWrap/>
            <w:vAlign w:val="center"/>
            <w:hideMark/>
          </w:tcPr>
          <w:p w14:paraId="3B50D011"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0.240%</w:t>
            </w:r>
          </w:p>
        </w:tc>
        <w:tc>
          <w:tcPr>
            <w:tcW w:w="518" w:type="pct"/>
            <w:tcBorders>
              <w:top w:val="nil"/>
              <w:left w:val="nil"/>
              <w:bottom w:val="single" w:sz="4" w:space="0" w:color="auto"/>
              <w:right w:val="single" w:sz="4" w:space="0" w:color="auto"/>
            </w:tcBorders>
            <w:shd w:val="clear" w:color="auto" w:fill="auto"/>
            <w:noWrap/>
            <w:vAlign w:val="center"/>
            <w:hideMark/>
          </w:tcPr>
          <w:p w14:paraId="264AE409"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221AE82A"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-0.240%</w:t>
            </w:r>
          </w:p>
        </w:tc>
        <w:tc>
          <w:tcPr>
            <w:tcW w:w="779" w:type="pct"/>
            <w:tcBorders>
              <w:top w:val="nil"/>
              <w:left w:val="nil"/>
              <w:bottom w:val="single" w:sz="4" w:space="0" w:color="auto"/>
              <w:right w:val="single" w:sz="4" w:space="0" w:color="auto"/>
            </w:tcBorders>
            <w:shd w:val="clear" w:color="auto" w:fill="auto"/>
            <w:noWrap/>
            <w:vAlign w:val="center"/>
            <w:hideMark/>
          </w:tcPr>
          <w:p w14:paraId="7D496440"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-0.480%</w:t>
            </w:r>
          </w:p>
        </w:tc>
      </w:tr>
      <w:tr w:rsidR="00CE438D" w:rsidRPr="006177F4" w14:paraId="50F30F86"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838DB67"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临街道路状况</w:t>
            </w:r>
          </w:p>
        </w:tc>
        <w:tc>
          <w:tcPr>
            <w:tcW w:w="746" w:type="pct"/>
            <w:tcBorders>
              <w:top w:val="nil"/>
              <w:left w:val="nil"/>
              <w:bottom w:val="single" w:sz="4" w:space="0" w:color="auto"/>
              <w:right w:val="single" w:sz="4" w:space="0" w:color="auto"/>
            </w:tcBorders>
            <w:shd w:val="clear" w:color="auto" w:fill="auto"/>
            <w:noWrap/>
            <w:vAlign w:val="center"/>
            <w:hideMark/>
          </w:tcPr>
          <w:p w14:paraId="3845ED2A"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0.780%</w:t>
            </w:r>
          </w:p>
        </w:tc>
        <w:tc>
          <w:tcPr>
            <w:tcW w:w="746" w:type="pct"/>
            <w:tcBorders>
              <w:top w:val="nil"/>
              <w:left w:val="nil"/>
              <w:bottom w:val="single" w:sz="4" w:space="0" w:color="auto"/>
              <w:right w:val="single" w:sz="4" w:space="0" w:color="auto"/>
            </w:tcBorders>
            <w:shd w:val="clear" w:color="auto" w:fill="auto"/>
            <w:noWrap/>
            <w:vAlign w:val="center"/>
            <w:hideMark/>
          </w:tcPr>
          <w:p w14:paraId="6DA829B7"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0.390%</w:t>
            </w:r>
          </w:p>
        </w:tc>
        <w:tc>
          <w:tcPr>
            <w:tcW w:w="518" w:type="pct"/>
            <w:tcBorders>
              <w:top w:val="nil"/>
              <w:left w:val="nil"/>
              <w:bottom w:val="single" w:sz="4" w:space="0" w:color="auto"/>
              <w:right w:val="single" w:sz="4" w:space="0" w:color="auto"/>
            </w:tcBorders>
            <w:shd w:val="clear" w:color="auto" w:fill="auto"/>
            <w:noWrap/>
            <w:vAlign w:val="center"/>
            <w:hideMark/>
          </w:tcPr>
          <w:p w14:paraId="675539EE"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4B9C4164"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-0.390%</w:t>
            </w:r>
          </w:p>
        </w:tc>
        <w:tc>
          <w:tcPr>
            <w:tcW w:w="779" w:type="pct"/>
            <w:tcBorders>
              <w:top w:val="nil"/>
              <w:left w:val="nil"/>
              <w:bottom w:val="single" w:sz="4" w:space="0" w:color="auto"/>
              <w:right w:val="single" w:sz="4" w:space="0" w:color="auto"/>
            </w:tcBorders>
            <w:shd w:val="clear" w:color="auto" w:fill="auto"/>
            <w:noWrap/>
            <w:vAlign w:val="center"/>
            <w:hideMark/>
          </w:tcPr>
          <w:p w14:paraId="448582AD"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-0.780%</w:t>
            </w:r>
          </w:p>
        </w:tc>
      </w:tr>
      <w:tr w:rsidR="00CE438D" w:rsidRPr="006177F4" w14:paraId="11354A9F"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7A75801"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宗地形状及可利用程度</w:t>
            </w:r>
          </w:p>
        </w:tc>
        <w:tc>
          <w:tcPr>
            <w:tcW w:w="746" w:type="pct"/>
            <w:tcBorders>
              <w:top w:val="nil"/>
              <w:left w:val="nil"/>
              <w:bottom w:val="single" w:sz="4" w:space="0" w:color="auto"/>
              <w:right w:val="single" w:sz="4" w:space="0" w:color="auto"/>
            </w:tcBorders>
            <w:shd w:val="clear" w:color="auto" w:fill="auto"/>
            <w:noWrap/>
            <w:vAlign w:val="center"/>
            <w:hideMark/>
          </w:tcPr>
          <w:p w14:paraId="09E7ED6B"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0.280%</w:t>
            </w:r>
          </w:p>
        </w:tc>
        <w:tc>
          <w:tcPr>
            <w:tcW w:w="746" w:type="pct"/>
            <w:tcBorders>
              <w:top w:val="nil"/>
              <w:left w:val="nil"/>
              <w:bottom w:val="single" w:sz="4" w:space="0" w:color="auto"/>
              <w:right w:val="single" w:sz="4" w:space="0" w:color="auto"/>
            </w:tcBorders>
            <w:shd w:val="clear" w:color="auto" w:fill="auto"/>
            <w:noWrap/>
            <w:vAlign w:val="center"/>
            <w:hideMark/>
          </w:tcPr>
          <w:p w14:paraId="218BC730"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0.140%</w:t>
            </w:r>
          </w:p>
        </w:tc>
        <w:tc>
          <w:tcPr>
            <w:tcW w:w="518" w:type="pct"/>
            <w:tcBorders>
              <w:top w:val="nil"/>
              <w:left w:val="nil"/>
              <w:bottom w:val="single" w:sz="4" w:space="0" w:color="auto"/>
              <w:right w:val="single" w:sz="4" w:space="0" w:color="auto"/>
            </w:tcBorders>
            <w:shd w:val="clear" w:color="auto" w:fill="auto"/>
            <w:noWrap/>
            <w:vAlign w:val="center"/>
            <w:hideMark/>
          </w:tcPr>
          <w:p w14:paraId="0A654173"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698C976A"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-0.140%</w:t>
            </w:r>
          </w:p>
        </w:tc>
        <w:tc>
          <w:tcPr>
            <w:tcW w:w="779" w:type="pct"/>
            <w:tcBorders>
              <w:top w:val="nil"/>
              <w:left w:val="nil"/>
              <w:bottom w:val="single" w:sz="4" w:space="0" w:color="auto"/>
              <w:right w:val="single" w:sz="4" w:space="0" w:color="auto"/>
            </w:tcBorders>
            <w:shd w:val="clear" w:color="auto" w:fill="auto"/>
            <w:noWrap/>
            <w:vAlign w:val="center"/>
            <w:hideMark/>
          </w:tcPr>
          <w:p w14:paraId="5199B804"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-0.280%</w:t>
            </w:r>
          </w:p>
        </w:tc>
      </w:tr>
      <w:tr w:rsidR="00CE438D" w:rsidRPr="006177F4" w14:paraId="3DD07B32"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47C6F15"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公共服务设施状况</w:t>
            </w:r>
          </w:p>
        </w:tc>
        <w:tc>
          <w:tcPr>
            <w:tcW w:w="746" w:type="pct"/>
            <w:tcBorders>
              <w:top w:val="nil"/>
              <w:left w:val="nil"/>
              <w:bottom w:val="single" w:sz="4" w:space="0" w:color="auto"/>
              <w:right w:val="single" w:sz="4" w:space="0" w:color="auto"/>
            </w:tcBorders>
            <w:shd w:val="clear" w:color="auto" w:fill="auto"/>
            <w:noWrap/>
            <w:vAlign w:val="center"/>
            <w:hideMark/>
          </w:tcPr>
          <w:p w14:paraId="74BE50BE"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0.480%</w:t>
            </w:r>
          </w:p>
        </w:tc>
        <w:tc>
          <w:tcPr>
            <w:tcW w:w="746" w:type="pct"/>
            <w:tcBorders>
              <w:top w:val="nil"/>
              <w:left w:val="nil"/>
              <w:bottom w:val="single" w:sz="4" w:space="0" w:color="auto"/>
              <w:right w:val="single" w:sz="4" w:space="0" w:color="auto"/>
            </w:tcBorders>
            <w:shd w:val="clear" w:color="auto" w:fill="auto"/>
            <w:noWrap/>
            <w:vAlign w:val="center"/>
            <w:hideMark/>
          </w:tcPr>
          <w:p w14:paraId="442C7A3D"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0.240%</w:t>
            </w:r>
          </w:p>
        </w:tc>
        <w:tc>
          <w:tcPr>
            <w:tcW w:w="518" w:type="pct"/>
            <w:tcBorders>
              <w:top w:val="nil"/>
              <w:left w:val="nil"/>
              <w:bottom w:val="single" w:sz="4" w:space="0" w:color="auto"/>
              <w:right w:val="single" w:sz="4" w:space="0" w:color="auto"/>
            </w:tcBorders>
            <w:shd w:val="clear" w:color="auto" w:fill="auto"/>
            <w:noWrap/>
            <w:vAlign w:val="center"/>
            <w:hideMark/>
          </w:tcPr>
          <w:p w14:paraId="795A61AE"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1B624327"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-0.240%</w:t>
            </w:r>
          </w:p>
        </w:tc>
        <w:tc>
          <w:tcPr>
            <w:tcW w:w="779" w:type="pct"/>
            <w:tcBorders>
              <w:top w:val="nil"/>
              <w:left w:val="nil"/>
              <w:bottom w:val="single" w:sz="4" w:space="0" w:color="auto"/>
              <w:right w:val="single" w:sz="4" w:space="0" w:color="auto"/>
            </w:tcBorders>
            <w:shd w:val="clear" w:color="auto" w:fill="auto"/>
            <w:noWrap/>
            <w:vAlign w:val="center"/>
            <w:hideMark/>
          </w:tcPr>
          <w:p w14:paraId="23B6FB39"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-0.480%</w:t>
            </w:r>
          </w:p>
        </w:tc>
      </w:tr>
      <w:tr w:rsidR="00CE438D" w:rsidRPr="006177F4" w14:paraId="137B6BE5"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212FD91"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基础设施完备状况</w:t>
            </w:r>
          </w:p>
        </w:tc>
        <w:tc>
          <w:tcPr>
            <w:tcW w:w="746" w:type="pct"/>
            <w:tcBorders>
              <w:top w:val="nil"/>
              <w:left w:val="nil"/>
              <w:bottom w:val="single" w:sz="4" w:space="0" w:color="auto"/>
              <w:right w:val="single" w:sz="4" w:space="0" w:color="auto"/>
            </w:tcBorders>
            <w:shd w:val="clear" w:color="auto" w:fill="auto"/>
            <w:noWrap/>
            <w:vAlign w:val="center"/>
            <w:hideMark/>
          </w:tcPr>
          <w:p w14:paraId="2D965355"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0.980%</w:t>
            </w:r>
          </w:p>
        </w:tc>
        <w:tc>
          <w:tcPr>
            <w:tcW w:w="746" w:type="pct"/>
            <w:tcBorders>
              <w:top w:val="nil"/>
              <w:left w:val="nil"/>
              <w:bottom w:val="single" w:sz="4" w:space="0" w:color="auto"/>
              <w:right w:val="single" w:sz="4" w:space="0" w:color="auto"/>
            </w:tcBorders>
            <w:shd w:val="clear" w:color="auto" w:fill="auto"/>
            <w:noWrap/>
            <w:vAlign w:val="center"/>
            <w:hideMark/>
          </w:tcPr>
          <w:p w14:paraId="7B07AB6F"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0.490%</w:t>
            </w:r>
          </w:p>
        </w:tc>
        <w:tc>
          <w:tcPr>
            <w:tcW w:w="518" w:type="pct"/>
            <w:tcBorders>
              <w:top w:val="nil"/>
              <w:left w:val="nil"/>
              <w:bottom w:val="single" w:sz="4" w:space="0" w:color="auto"/>
              <w:right w:val="single" w:sz="4" w:space="0" w:color="auto"/>
            </w:tcBorders>
            <w:shd w:val="clear" w:color="auto" w:fill="auto"/>
            <w:noWrap/>
            <w:vAlign w:val="center"/>
            <w:hideMark/>
          </w:tcPr>
          <w:p w14:paraId="7048C412"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3296E565"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-0.490%</w:t>
            </w:r>
          </w:p>
        </w:tc>
        <w:tc>
          <w:tcPr>
            <w:tcW w:w="779" w:type="pct"/>
            <w:tcBorders>
              <w:top w:val="nil"/>
              <w:left w:val="nil"/>
              <w:bottom w:val="single" w:sz="4" w:space="0" w:color="auto"/>
              <w:right w:val="single" w:sz="4" w:space="0" w:color="auto"/>
            </w:tcBorders>
            <w:shd w:val="clear" w:color="auto" w:fill="auto"/>
            <w:noWrap/>
            <w:vAlign w:val="center"/>
            <w:hideMark/>
          </w:tcPr>
          <w:p w14:paraId="61EB1B19"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-0.980%</w:t>
            </w:r>
          </w:p>
        </w:tc>
      </w:tr>
      <w:tr w:rsidR="00CE438D" w:rsidRPr="006177F4" w14:paraId="4CFC43B6"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0E6F38E"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自然和人文环境状况</w:t>
            </w:r>
          </w:p>
        </w:tc>
        <w:tc>
          <w:tcPr>
            <w:tcW w:w="746" w:type="pct"/>
            <w:tcBorders>
              <w:top w:val="nil"/>
              <w:left w:val="nil"/>
              <w:bottom w:val="single" w:sz="4" w:space="0" w:color="auto"/>
              <w:right w:val="single" w:sz="4" w:space="0" w:color="auto"/>
            </w:tcBorders>
            <w:shd w:val="clear" w:color="auto" w:fill="auto"/>
            <w:noWrap/>
            <w:vAlign w:val="center"/>
            <w:hideMark/>
          </w:tcPr>
          <w:p w14:paraId="371A4D60"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0.580%</w:t>
            </w:r>
          </w:p>
        </w:tc>
        <w:tc>
          <w:tcPr>
            <w:tcW w:w="746" w:type="pct"/>
            <w:tcBorders>
              <w:top w:val="nil"/>
              <w:left w:val="nil"/>
              <w:bottom w:val="single" w:sz="4" w:space="0" w:color="auto"/>
              <w:right w:val="single" w:sz="4" w:space="0" w:color="auto"/>
            </w:tcBorders>
            <w:shd w:val="clear" w:color="auto" w:fill="auto"/>
            <w:noWrap/>
            <w:vAlign w:val="center"/>
            <w:hideMark/>
          </w:tcPr>
          <w:p w14:paraId="07173DF6"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0.290%</w:t>
            </w:r>
          </w:p>
        </w:tc>
        <w:tc>
          <w:tcPr>
            <w:tcW w:w="518" w:type="pct"/>
            <w:tcBorders>
              <w:top w:val="nil"/>
              <w:left w:val="nil"/>
              <w:bottom w:val="single" w:sz="4" w:space="0" w:color="auto"/>
              <w:right w:val="single" w:sz="4" w:space="0" w:color="auto"/>
            </w:tcBorders>
            <w:shd w:val="clear" w:color="auto" w:fill="auto"/>
            <w:noWrap/>
            <w:vAlign w:val="center"/>
            <w:hideMark/>
          </w:tcPr>
          <w:p w14:paraId="21B0BC65"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143820BF"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-0.290%</w:t>
            </w:r>
          </w:p>
        </w:tc>
        <w:tc>
          <w:tcPr>
            <w:tcW w:w="779" w:type="pct"/>
            <w:tcBorders>
              <w:top w:val="nil"/>
              <w:left w:val="nil"/>
              <w:bottom w:val="single" w:sz="4" w:space="0" w:color="auto"/>
              <w:right w:val="single" w:sz="4" w:space="0" w:color="auto"/>
            </w:tcBorders>
            <w:shd w:val="clear" w:color="auto" w:fill="auto"/>
            <w:noWrap/>
            <w:vAlign w:val="center"/>
            <w:hideMark/>
          </w:tcPr>
          <w:p w14:paraId="484CFFC0"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-0.580%</w:t>
            </w:r>
          </w:p>
        </w:tc>
      </w:tr>
    </w:tbl>
    <w:p w14:paraId="04BE8A97"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单位：</w:t>
      </w:r>
      <w:r w:rsidRPr="00F631FB">
        <w:rPr>
          <w:rFonts w:ascii="Arial" w:eastAsia="仿宋_GB2312" w:hAnsi="Arial" w:cs="Arial"/>
          <w:sz w:val="18"/>
          <w:szCs w:val="24"/>
        </w:rPr>
        <w:t>%</w:t>
      </w:r>
    </w:p>
    <w:p w14:paraId="07BAFF71" w14:textId="77777777" w:rsidR="00CD340C" w:rsidRDefault="00CD340C" w:rsidP="00CE438D">
      <w:pPr>
        <w:spacing w:line="360" w:lineRule="auto"/>
        <w:jc w:val="center"/>
        <w:rPr>
          <w:rFonts w:ascii="Arial" w:eastAsia="仿宋_GB2312" w:hAnsi="Arial" w:cs="Arial"/>
          <w:b/>
          <w:bCs/>
          <w:szCs w:val="24"/>
        </w:rPr>
      </w:pPr>
    </w:p>
    <w:p w14:paraId="1CD784CB" w14:textId="11C32DA6" w:rsidR="00CE438D" w:rsidRPr="00F631FB" w:rsidRDefault="00CE438D" w:rsidP="00CE438D">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CE438D" w:rsidRPr="00F6098E" w14:paraId="0DD0845C" w14:textId="77777777" w:rsidTr="00CE438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E3398"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22DE0B83"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3B6C6A65"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493A7B4F"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3995EA3"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修正系数</w:t>
            </w:r>
          </w:p>
        </w:tc>
      </w:tr>
      <w:tr w:rsidR="00CE438D" w:rsidRPr="00F6098E" w14:paraId="344A3E64" w14:textId="77777777" w:rsidTr="00CE438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3727B8A"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a</w:t>
            </w:r>
          </w:p>
        </w:tc>
        <w:tc>
          <w:tcPr>
            <w:tcW w:w="2180" w:type="dxa"/>
            <w:tcBorders>
              <w:top w:val="nil"/>
              <w:left w:val="nil"/>
              <w:bottom w:val="single" w:sz="4" w:space="0" w:color="auto"/>
              <w:right w:val="single" w:sz="4" w:space="0" w:color="auto"/>
            </w:tcBorders>
            <w:shd w:val="clear" w:color="auto" w:fill="auto"/>
            <w:vAlign w:val="center"/>
            <w:hideMark/>
          </w:tcPr>
          <w:p w14:paraId="29FA26DD"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商业繁华程度</w:t>
            </w:r>
          </w:p>
        </w:tc>
        <w:tc>
          <w:tcPr>
            <w:tcW w:w="4440" w:type="dxa"/>
            <w:tcBorders>
              <w:top w:val="nil"/>
              <w:left w:val="nil"/>
              <w:bottom w:val="single" w:sz="4" w:space="0" w:color="auto"/>
              <w:right w:val="single" w:sz="4" w:space="0" w:color="auto"/>
            </w:tcBorders>
            <w:shd w:val="clear" w:color="auto" w:fill="auto"/>
            <w:vAlign w:val="center"/>
            <w:hideMark/>
          </w:tcPr>
          <w:p w14:paraId="7CB1BBEE"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32B31">
              <w:rPr>
                <w:rFonts w:ascii="Arial" w:eastAsia="仿宋_GB2312" w:hAnsi="Arial" w:cs="Arial" w:hint="eastAsia"/>
                <w:sz w:val="18"/>
                <w:szCs w:val="18"/>
              </w:rPr>
              <w:t>估价对象位于海淀区苏州街，周边有新中关购物中心、</w:t>
            </w:r>
            <w:proofErr w:type="gramStart"/>
            <w:r w:rsidRPr="00F32B31">
              <w:rPr>
                <w:rFonts w:ascii="Arial" w:eastAsia="仿宋_GB2312" w:hAnsi="Arial" w:cs="Arial" w:hint="eastAsia"/>
                <w:sz w:val="18"/>
                <w:szCs w:val="18"/>
              </w:rPr>
              <w:t>领展购物</w:t>
            </w:r>
            <w:proofErr w:type="gramEnd"/>
            <w:r w:rsidRPr="00F32B31">
              <w:rPr>
                <w:rFonts w:ascii="Arial" w:eastAsia="仿宋_GB2312" w:hAnsi="Arial" w:cs="Arial" w:hint="eastAsia"/>
                <w:sz w:val="18"/>
                <w:szCs w:val="18"/>
              </w:rPr>
              <w:t>广场（中关村店）、</w:t>
            </w:r>
            <w:r w:rsidRPr="00F32B31">
              <w:rPr>
                <w:rFonts w:ascii="Arial" w:eastAsia="仿宋_GB2312" w:hAnsi="Arial" w:cs="Arial" w:hint="eastAsia"/>
                <w:sz w:val="18"/>
                <w:szCs w:val="18"/>
              </w:rPr>
              <w:t>BHG MALL</w:t>
            </w:r>
            <w:r w:rsidRPr="00F32B31">
              <w:rPr>
                <w:rFonts w:ascii="Arial" w:eastAsia="仿宋_GB2312" w:hAnsi="Arial" w:cs="Arial" w:hint="eastAsia"/>
                <w:sz w:val="18"/>
                <w:szCs w:val="18"/>
              </w:rPr>
              <w:t>北京华联万柳购物中心等商业机构，在建的商业项目较少，商业繁华度较好。</w:t>
            </w:r>
          </w:p>
        </w:tc>
        <w:tc>
          <w:tcPr>
            <w:tcW w:w="700" w:type="dxa"/>
            <w:tcBorders>
              <w:top w:val="nil"/>
              <w:left w:val="nil"/>
              <w:bottom w:val="single" w:sz="4" w:space="0" w:color="auto"/>
              <w:right w:val="single" w:sz="4" w:space="0" w:color="auto"/>
            </w:tcBorders>
            <w:shd w:val="clear" w:color="auto" w:fill="auto"/>
            <w:vAlign w:val="center"/>
            <w:hideMark/>
          </w:tcPr>
          <w:p w14:paraId="49839CE3"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59267B04"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1.610%</w:t>
            </w:r>
          </w:p>
        </w:tc>
      </w:tr>
      <w:tr w:rsidR="00CE438D" w:rsidRPr="00F6098E" w14:paraId="6349CB7D" w14:textId="77777777" w:rsidTr="00CE438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F48586C"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b</w:t>
            </w:r>
          </w:p>
        </w:tc>
        <w:tc>
          <w:tcPr>
            <w:tcW w:w="2180" w:type="dxa"/>
            <w:tcBorders>
              <w:top w:val="nil"/>
              <w:left w:val="nil"/>
              <w:bottom w:val="single" w:sz="4" w:space="0" w:color="auto"/>
              <w:right w:val="single" w:sz="4" w:space="0" w:color="auto"/>
            </w:tcBorders>
            <w:shd w:val="clear" w:color="auto" w:fill="auto"/>
            <w:vAlign w:val="center"/>
            <w:hideMark/>
          </w:tcPr>
          <w:p w14:paraId="3574F5C3"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6304FB1A"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32B31">
              <w:rPr>
                <w:rFonts w:ascii="Arial" w:eastAsia="仿宋_GB2312" w:hAnsi="Arial" w:cs="Arial" w:hint="eastAsia"/>
                <w:sz w:val="18"/>
                <w:szCs w:val="18"/>
              </w:rPr>
              <w:t>估价对象紧邻城市主干道—海淀南路、苏州街，南距北三环西路约</w:t>
            </w:r>
            <w:r w:rsidRPr="00F32B31">
              <w:rPr>
                <w:rFonts w:ascii="Arial" w:eastAsia="仿宋_GB2312" w:hAnsi="Arial" w:cs="Arial" w:hint="eastAsia"/>
                <w:sz w:val="18"/>
                <w:szCs w:val="18"/>
              </w:rPr>
              <w:t>1500</w:t>
            </w:r>
            <w:r w:rsidRPr="00F32B31">
              <w:rPr>
                <w:rFonts w:ascii="Arial" w:eastAsia="仿宋_GB2312" w:hAnsi="Arial" w:cs="Arial" w:hint="eastAsia"/>
                <w:sz w:val="18"/>
                <w:szCs w:val="18"/>
              </w:rPr>
              <w:t>米，距北京首都国际机场约</w:t>
            </w:r>
            <w:r w:rsidRPr="00F32B31">
              <w:rPr>
                <w:rFonts w:ascii="Arial" w:eastAsia="仿宋_GB2312" w:hAnsi="Arial" w:cs="Arial" w:hint="eastAsia"/>
                <w:sz w:val="18"/>
                <w:szCs w:val="18"/>
              </w:rPr>
              <w:t>29</w:t>
            </w:r>
            <w:r w:rsidRPr="00F32B31">
              <w:rPr>
                <w:rFonts w:ascii="Arial" w:eastAsia="仿宋_GB2312" w:hAnsi="Arial" w:cs="Arial" w:hint="eastAsia"/>
                <w:sz w:val="18"/>
                <w:szCs w:val="18"/>
              </w:rPr>
              <w:t>公里，距北京站约</w:t>
            </w:r>
            <w:r w:rsidRPr="00F32B31">
              <w:rPr>
                <w:rFonts w:ascii="Arial" w:eastAsia="仿宋_GB2312" w:hAnsi="Arial" w:cs="Arial" w:hint="eastAsia"/>
                <w:sz w:val="18"/>
                <w:szCs w:val="18"/>
              </w:rPr>
              <w:t>13</w:t>
            </w:r>
            <w:r w:rsidRPr="00F32B31">
              <w:rPr>
                <w:rFonts w:ascii="Arial" w:eastAsia="仿宋_GB2312" w:hAnsi="Arial" w:cs="Arial" w:hint="eastAsia"/>
                <w:sz w:val="18"/>
                <w:szCs w:val="18"/>
              </w:rPr>
              <w:t>公里，紧邻地铁</w:t>
            </w:r>
            <w:r w:rsidRPr="00F32B31">
              <w:rPr>
                <w:rFonts w:ascii="Arial" w:eastAsia="仿宋_GB2312" w:hAnsi="Arial" w:cs="Arial" w:hint="eastAsia"/>
                <w:sz w:val="18"/>
                <w:szCs w:val="18"/>
              </w:rPr>
              <w:t>10</w:t>
            </w:r>
            <w:r w:rsidRPr="00F32B31">
              <w:rPr>
                <w:rFonts w:ascii="Arial" w:eastAsia="仿宋_GB2312" w:hAnsi="Arial" w:cs="Arial" w:hint="eastAsia"/>
                <w:sz w:val="18"/>
                <w:szCs w:val="18"/>
              </w:rPr>
              <w:t>、</w:t>
            </w:r>
            <w:r w:rsidRPr="00F32B31">
              <w:rPr>
                <w:rFonts w:ascii="Arial" w:eastAsia="仿宋_GB2312" w:hAnsi="Arial" w:cs="Arial" w:hint="eastAsia"/>
                <w:sz w:val="18"/>
                <w:szCs w:val="18"/>
              </w:rPr>
              <w:t>16</w:t>
            </w:r>
            <w:r w:rsidRPr="00F32B31">
              <w:rPr>
                <w:rFonts w:ascii="Arial" w:eastAsia="仿宋_GB2312" w:hAnsi="Arial" w:cs="Arial" w:hint="eastAsia"/>
                <w:sz w:val="18"/>
                <w:szCs w:val="18"/>
              </w:rPr>
              <w:t>号线（苏州街站），周边有</w:t>
            </w:r>
            <w:r w:rsidRPr="00F32B31">
              <w:rPr>
                <w:rFonts w:ascii="Arial" w:eastAsia="仿宋_GB2312" w:hAnsi="Arial" w:cs="Arial" w:hint="eastAsia"/>
                <w:sz w:val="18"/>
                <w:szCs w:val="18"/>
              </w:rPr>
              <w:t>304</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307</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386</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630</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634</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671</w:t>
            </w:r>
            <w:r w:rsidRPr="00F32B31">
              <w:rPr>
                <w:rFonts w:ascii="Arial" w:eastAsia="仿宋_GB2312" w:hAnsi="Arial" w:cs="Arial" w:hint="eastAsia"/>
                <w:sz w:val="18"/>
                <w:szCs w:val="18"/>
              </w:rPr>
              <w:t>路等多条公交线路通过，综合评价交通便捷度较好。</w:t>
            </w:r>
          </w:p>
        </w:tc>
        <w:tc>
          <w:tcPr>
            <w:tcW w:w="700" w:type="dxa"/>
            <w:tcBorders>
              <w:top w:val="nil"/>
              <w:left w:val="nil"/>
              <w:bottom w:val="single" w:sz="4" w:space="0" w:color="auto"/>
              <w:right w:val="single" w:sz="4" w:space="0" w:color="auto"/>
            </w:tcBorders>
            <w:shd w:val="clear" w:color="auto" w:fill="auto"/>
            <w:vAlign w:val="center"/>
            <w:hideMark/>
          </w:tcPr>
          <w:p w14:paraId="5121F64D"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1EF2CA5B"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1.220%</w:t>
            </w:r>
          </w:p>
        </w:tc>
      </w:tr>
      <w:tr w:rsidR="00CE438D" w:rsidRPr="00F6098E" w14:paraId="72A444B3" w14:textId="77777777" w:rsidTr="00CE438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11070B9"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c</w:t>
            </w:r>
          </w:p>
        </w:tc>
        <w:tc>
          <w:tcPr>
            <w:tcW w:w="2180" w:type="dxa"/>
            <w:tcBorders>
              <w:top w:val="nil"/>
              <w:left w:val="nil"/>
              <w:bottom w:val="single" w:sz="4" w:space="0" w:color="auto"/>
              <w:right w:val="single" w:sz="4" w:space="0" w:color="auto"/>
            </w:tcBorders>
            <w:shd w:val="clear" w:color="auto" w:fill="auto"/>
            <w:vAlign w:val="center"/>
            <w:hideMark/>
          </w:tcPr>
          <w:p w14:paraId="0EC13BC8"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261F2194"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1357EDE8"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2F4E872B"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0.240%</w:t>
            </w:r>
          </w:p>
        </w:tc>
      </w:tr>
      <w:tr w:rsidR="00CE438D" w:rsidRPr="00F6098E" w14:paraId="6BD84C88" w14:textId="77777777" w:rsidTr="00CE438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2EC7D31"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d</w:t>
            </w:r>
          </w:p>
        </w:tc>
        <w:tc>
          <w:tcPr>
            <w:tcW w:w="2180" w:type="dxa"/>
            <w:tcBorders>
              <w:top w:val="nil"/>
              <w:left w:val="nil"/>
              <w:bottom w:val="single" w:sz="4" w:space="0" w:color="auto"/>
              <w:right w:val="single" w:sz="4" w:space="0" w:color="auto"/>
            </w:tcBorders>
            <w:shd w:val="clear" w:color="auto" w:fill="auto"/>
            <w:vAlign w:val="center"/>
            <w:hideMark/>
          </w:tcPr>
          <w:p w14:paraId="658B8582"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348DBBB9"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3C676679"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65D3079F"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0.240%</w:t>
            </w:r>
          </w:p>
        </w:tc>
      </w:tr>
      <w:tr w:rsidR="00CE438D" w:rsidRPr="00F6098E" w14:paraId="420C2C27" w14:textId="77777777" w:rsidTr="00CE438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3FCDB37"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e</w:t>
            </w:r>
          </w:p>
        </w:tc>
        <w:tc>
          <w:tcPr>
            <w:tcW w:w="2180" w:type="dxa"/>
            <w:tcBorders>
              <w:top w:val="nil"/>
              <w:left w:val="nil"/>
              <w:bottom w:val="single" w:sz="4" w:space="0" w:color="auto"/>
              <w:right w:val="single" w:sz="4" w:space="0" w:color="auto"/>
            </w:tcBorders>
            <w:shd w:val="clear" w:color="auto" w:fill="auto"/>
            <w:vAlign w:val="center"/>
            <w:hideMark/>
          </w:tcPr>
          <w:p w14:paraId="7672B6B4"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29D7FC8C"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32B31">
              <w:rPr>
                <w:rFonts w:ascii="Arial" w:eastAsia="仿宋_GB2312" w:hAnsi="Arial" w:cs="Arial" w:hint="eastAsia"/>
                <w:sz w:val="18"/>
                <w:szCs w:val="18"/>
              </w:rPr>
              <w:t>城市主干道—海淀南路</w:t>
            </w:r>
          </w:p>
        </w:tc>
        <w:tc>
          <w:tcPr>
            <w:tcW w:w="700" w:type="dxa"/>
            <w:tcBorders>
              <w:top w:val="nil"/>
              <w:left w:val="nil"/>
              <w:bottom w:val="single" w:sz="4" w:space="0" w:color="auto"/>
              <w:right w:val="single" w:sz="4" w:space="0" w:color="auto"/>
            </w:tcBorders>
            <w:shd w:val="clear" w:color="auto" w:fill="auto"/>
            <w:vAlign w:val="center"/>
            <w:hideMark/>
          </w:tcPr>
          <w:p w14:paraId="5E0042BA"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4B0CB86E"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0.390%</w:t>
            </w:r>
          </w:p>
        </w:tc>
      </w:tr>
      <w:tr w:rsidR="00CE438D" w:rsidRPr="00F6098E" w14:paraId="17F28DDF" w14:textId="77777777" w:rsidTr="00CE438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806A5FD"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f</w:t>
            </w:r>
          </w:p>
        </w:tc>
        <w:tc>
          <w:tcPr>
            <w:tcW w:w="2180" w:type="dxa"/>
            <w:tcBorders>
              <w:top w:val="nil"/>
              <w:left w:val="nil"/>
              <w:bottom w:val="single" w:sz="4" w:space="0" w:color="auto"/>
              <w:right w:val="single" w:sz="4" w:space="0" w:color="auto"/>
            </w:tcBorders>
            <w:shd w:val="clear" w:color="auto" w:fill="auto"/>
            <w:vAlign w:val="center"/>
            <w:hideMark/>
          </w:tcPr>
          <w:p w14:paraId="621AC23C"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379A6425"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3900ABF2"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69D127D9"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0.140%</w:t>
            </w:r>
          </w:p>
        </w:tc>
      </w:tr>
      <w:tr w:rsidR="00CE438D" w:rsidRPr="00F6098E" w14:paraId="154442B2" w14:textId="77777777" w:rsidTr="00CE438D">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F3955EA"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g</w:t>
            </w:r>
          </w:p>
        </w:tc>
        <w:tc>
          <w:tcPr>
            <w:tcW w:w="2180" w:type="dxa"/>
            <w:tcBorders>
              <w:top w:val="nil"/>
              <w:left w:val="nil"/>
              <w:bottom w:val="single" w:sz="4" w:space="0" w:color="auto"/>
              <w:right w:val="single" w:sz="4" w:space="0" w:color="auto"/>
            </w:tcBorders>
            <w:shd w:val="clear" w:color="auto" w:fill="auto"/>
            <w:vAlign w:val="center"/>
            <w:hideMark/>
          </w:tcPr>
          <w:p w14:paraId="65A1CACC"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0AEDD751"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32B31">
              <w:rPr>
                <w:rFonts w:ascii="Arial" w:eastAsia="仿宋_GB2312" w:hAnsi="Arial" w:cs="Arial" w:hint="eastAsia"/>
                <w:sz w:val="18"/>
                <w:szCs w:val="18"/>
              </w:rPr>
              <w:t>购物场所（新中关购物中心、</w:t>
            </w:r>
            <w:proofErr w:type="gramStart"/>
            <w:r w:rsidRPr="00F32B31">
              <w:rPr>
                <w:rFonts w:ascii="Arial" w:eastAsia="仿宋_GB2312" w:hAnsi="Arial" w:cs="Arial" w:hint="eastAsia"/>
                <w:sz w:val="18"/>
                <w:szCs w:val="18"/>
              </w:rPr>
              <w:t>领展购物</w:t>
            </w:r>
            <w:proofErr w:type="gramEnd"/>
            <w:r w:rsidRPr="00F32B31">
              <w:rPr>
                <w:rFonts w:ascii="Arial" w:eastAsia="仿宋_GB2312" w:hAnsi="Arial" w:cs="Arial" w:hint="eastAsia"/>
                <w:sz w:val="18"/>
                <w:szCs w:val="18"/>
              </w:rPr>
              <w:t>广场（中关村店）、</w:t>
            </w:r>
            <w:r w:rsidRPr="00F32B31">
              <w:rPr>
                <w:rFonts w:ascii="Arial" w:eastAsia="仿宋_GB2312" w:hAnsi="Arial" w:cs="Arial" w:hint="eastAsia"/>
                <w:sz w:val="18"/>
                <w:szCs w:val="18"/>
              </w:rPr>
              <w:t>BHG MALL</w:t>
            </w:r>
            <w:r w:rsidRPr="00F32B31">
              <w:rPr>
                <w:rFonts w:ascii="Arial" w:eastAsia="仿宋_GB2312" w:hAnsi="Arial" w:cs="Arial" w:hint="eastAsia"/>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616A04C8"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3B465C00"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0.240%</w:t>
            </w:r>
          </w:p>
        </w:tc>
      </w:tr>
      <w:tr w:rsidR="00CE438D" w:rsidRPr="00F6098E" w14:paraId="26D453F6" w14:textId="77777777" w:rsidTr="00CE438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6BF6035"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h</w:t>
            </w:r>
          </w:p>
        </w:tc>
        <w:tc>
          <w:tcPr>
            <w:tcW w:w="2180" w:type="dxa"/>
            <w:tcBorders>
              <w:top w:val="nil"/>
              <w:left w:val="nil"/>
              <w:bottom w:val="single" w:sz="4" w:space="0" w:color="auto"/>
              <w:right w:val="single" w:sz="4" w:space="0" w:color="auto"/>
            </w:tcBorders>
            <w:shd w:val="clear" w:color="auto" w:fill="auto"/>
            <w:vAlign w:val="center"/>
            <w:hideMark/>
          </w:tcPr>
          <w:p w14:paraId="26DABE47"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30C2685C"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2D2A5E99"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4D7BF0DE"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0.980%</w:t>
            </w:r>
          </w:p>
        </w:tc>
      </w:tr>
      <w:tr w:rsidR="00CE438D" w:rsidRPr="00F6098E" w14:paraId="75A565E5" w14:textId="77777777" w:rsidTr="00CE438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AA5B9A4" w14:textId="77777777" w:rsidR="00CE438D" w:rsidRPr="00F6098E" w:rsidRDefault="00CE438D" w:rsidP="00CE438D">
            <w:pPr>
              <w:autoSpaceDE w:val="0"/>
              <w:autoSpaceDN w:val="0"/>
              <w:spacing w:line="240" w:lineRule="exact"/>
              <w:rPr>
                <w:rFonts w:ascii="Arial" w:eastAsia="仿宋_GB2312" w:hAnsi="Arial" w:cs="Arial"/>
                <w:sz w:val="18"/>
                <w:szCs w:val="18"/>
              </w:rPr>
            </w:pPr>
            <w:proofErr w:type="spellStart"/>
            <w:r w:rsidRPr="00F6098E">
              <w:rPr>
                <w:rFonts w:ascii="Arial" w:eastAsia="仿宋_GB2312" w:hAnsi="Arial" w:cs="Arial"/>
                <w:sz w:val="18"/>
                <w:szCs w:val="18"/>
              </w:rPr>
              <w:t>i</w:t>
            </w:r>
            <w:proofErr w:type="spellEnd"/>
          </w:p>
        </w:tc>
        <w:tc>
          <w:tcPr>
            <w:tcW w:w="2180" w:type="dxa"/>
            <w:tcBorders>
              <w:top w:val="nil"/>
              <w:left w:val="nil"/>
              <w:bottom w:val="single" w:sz="4" w:space="0" w:color="auto"/>
              <w:right w:val="single" w:sz="4" w:space="0" w:color="auto"/>
            </w:tcBorders>
            <w:shd w:val="clear" w:color="auto" w:fill="auto"/>
            <w:vAlign w:val="center"/>
            <w:hideMark/>
          </w:tcPr>
          <w:p w14:paraId="02CFA80A"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736E4AD7"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32B31">
              <w:rPr>
                <w:rFonts w:ascii="Arial" w:eastAsia="仿宋_GB2312" w:hAnsi="Arial" w:cs="Arial" w:hint="eastAsia"/>
                <w:sz w:val="18"/>
                <w:szCs w:val="18"/>
              </w:rPr>
              <w:t>周边</w:t>
            </w:r>
            <w:r w:rsidRPr="00F32B31">
              <w:rPr>
                <w:rFonts w:ascii="Arial" w:eastAsia="仿宋_GB2312" w:hAnsi="Arial" w:cs="Arial" w:hint="eastAsia"/>
                <w:sz w:val="18"/>
                <w:szCs w:val="18"/>
              </w:rPr>
              <w:t>2</w:t>
            </w:r>
            <w:r w:rsidRPr="00F32B31">
              <w:rPr>
                <w:rFonts w:ascii="Arial" w:eastAsia="仿宋_GB2312" w:hAnsi="Arial" w:cs="Arial" w:hint="eastAsia"/>
                <w:sz w:val="18"/>
                <w:szCs w:val="18"/>
              </w:rPr>
              <w:t>公里内有海淀公园、知春公园、</w:t>
            </w:r>
            <w:proofErr w:type="gramStart"/>
            <w:r w:rsidRPr="00F32B31">
              <w:rPr>
                <w:rFonts w:ascii="Arial" w:eastAsia="仿宋_GB2312" w:hAnsi="Arial" w:cs="Arial" w:hint="eastAsia"/>
                <w:sz w:val="18"/>
                <w:szCs w:val="18"/>
              </w:rPr>
              <w:t>巴沟山水园</w:t>
            </w:r>
            <w:proofErr w:type="gramEnd"/>
            <w:r w:rsidRPr="00F32B31">
              <w:rPr>
                <w:rFonts w:ascii="Arial" w:eastAsia="仿宋_GB2312" w:hAnsi="Arial" w:cs="Arial" w:hint="eastAsia"/>
                <w:sz w:val="18"/>
                <w:szCs w:val="18"/>
              </w:rPr>
              <w:t>等；中国人民大学、北京大学等人文设施，综合考虑自然环境与人文环境较好。</w:t>
            </w:r>
          </w:p>
        </w:tc>
        <w:tc>
          <w:tcPr>
            <w:tcW w:w="700" w:type="dxa"/>
            <w:tcBorders>
              <w:top w:val="nil"/>
              <w:left w:val="nil"/>
              <w:bottom w:val="single" w:sz="4" w:space="0" w:color="auto"/>
              <w:right w:val="single" w:sz="4" w:space="0" w:color="auto"/>
            </w:tcBorders>
            <w:shd w:val="clear" w:color="auto" w:fill="auto"/>
            <w:vAlign w:val="center"/>
            <w:hideMark/>
          </w:tcPr>
          <w:p w14:paraId="693A17AF"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74AB95F9"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0.290%</w:t>
            </w:r>
          </w:p>
        </w:tc>
      </w:tr>
      <w:tr w:rsidR="00CE438D" w:rsidRPr="00F6098E" w14:paraId="5441FFB8" w14:textId="77777777" w:rsidTr="00CE438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42E685"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合计（</w:t>
            </w:r>
            <w:r w:rsidRPr="00F6098E">
              <w:rPr>
                <w:rFonts w:ascii="Arial" w:eastAsia="仿宋_GB2312" w:hAnsi="Arial" w:cs="Arial"/>
                <w:sz w:val="18"/>
                <w:szCs w:val="18"/>
              </w:rPr>
              <w:t>∑Ki</w:t>
            </w:r>
            <w:r w:rsidRPr="00F6098E">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52925E8C"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5.</w:t>
            </w:r>
            <w:r>
              <w:rPr>
                <w:rFonts w:ascii="Arial" w:eastAsia="仿宋_GB2312" w:hAnsi="Arial" w:cs="Arial"/>
                <w:sz w:val="18"/>
                <w:szCs w:val="18"/>
              </w:rPr>
              <w:t>35</w:t>
            </w:r>
            <w:r w:rsidRPr="00F6098E">
              <w:rPr>
                <w:rFonts w:ascii="Arial" w:eastAsia="仿宋_GB2312" w:hAnsi="Arial" w:cs="Arial"/>
                <w:sz w:val="18"/>
                <w:szCs w:val="18"/>
              </w:rPr>
              <w:t>%</w:t>
            </w:r>
          </w:p>
        </w:tc>
      </w:tr>
      <w:tr w:rsidR="00CE438D" w:rsidRPr="00F6098E" w14:paraId="69D4F6AF" w14:textId="77777777" w:rsidTr="00CE438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FC0E0A"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因素修正系数（</w:t>
            </w:r>
            <w:r w:rsidRPr="00F6098E">
              <w:rPr>
                <w:rFonts w:ascii="Arial" w:eastAsia="仿宋_GB2312" w:hAnsi="Arial" w:cs="Arial"/>
                <w:sz w:val="18"/>
                <w:szCs w:val="18"/>
              </w:rPr>
              <w:t>1+∑Ki</w:t>
            </w:r>
            <w:r w:rsidRPr="00F6098E">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1AB34118"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1.05</w:t>
            </w:r>
            <w:r>
              <w:rPr>
                <w:rFonts w:ascii="Arial" w:eastAsia="仿宋_GB2312" w:hAnsi="Arial" w:cs="Arial"/>
                <w:sz w:val="18"/>
                <w:szCs w:val="18"/>
              </w:rPr>
              <w:t>35</w:t>
            </w:r>
          </w:p>
        </w:tc>
      </w:tr>
    </w:tbl>
    <w:p w14:paraId="2A087490" w14:textId="77777777" w:rsidR="00CE438D" w:rsidRPr="00F631FB" w:rsidRDefault="00CE438D" w:rsidP="00CE438D">
      <w:pPr>
        <w:spacing w:line="240" w:lineRule="exact"/>
        <w:rPr>
          <w:rFonts w:ascii="Arial" w:eastAsia="仿宋_GB2312" w:hAnsi="Arial" w:cs="Arial"/>
          <w:sz w:val="18"/>
          <w:szCs w:val="24"/>
        </w:rPr>
      </w:pPr>
    </w:p>
    <w:p w14:paraId="59D43A82" w14:textId="77777777" w:rsidR="00CE438D" w:rsidRPr="00F631FB" w:rsidRDefault="00CE438D" w:rsidP="00CE438D">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7</w:t>
      </w:r>
      <w:r w:rsidRPr="00F631FB">
        <w:rPr>
          <w:rFonts w:ascii="Arial" w:eastAsia="仿宋_GB2312" w:hAnsi="Arial" w:cs="Arial" w:hint="eastAsia"/>
          <w:sz w:val="28"/>
          <w:szCs w:val="28"/>
        </w:rPr>
        <w:t>）</w:t>
      </w:r>
      <w:r w:rsidRPr="00F631FB">
        <w:rPr>
          <w:rFonts w:ascii="Arial" w:eastAsia="仿宋_GB2312" w:hAnsi="Arial" w:cs="Arial"/>
          <w:sz w:val="28"/>
          <w:szCs w:val="28"/>
        </w:rPr>
        <w:t>估价</w:t>
      </w:r>
      <w:proofErr w:type="gramStart"/>
      <w:r w:rsidRPr="00F631FB">
        <w:rPr>
          <w:rFonts w:ascii="Arial" w:eastAsia="仿宋_GB2312" w:hAnsi="Arial" w:cs="Arial"/>
          <w:sz w:val="28"/>
          <w:szCs w:val="28"/>
        </w:rPr>
        <w:t>对象楼</w:t>
      </w:r>
      <w:proofErr w:type="gramEnd"/>
      <w:r w:rsidRPr="00F631FB">
        <w:rPr>
          <w:rFonts w:ascii="Arial" w:eastAsia="仿宋_GB2312" w:hAnsi="Arial" w:cs="Arial"/>
          <w:sz w:val="28"/>
          <w:szCs w:val="28"/>
        </w:rPr>
        <w:t>面熟地价</w:t>
      </w:r>
    </w:p>
    <w:p w14:paraId="3DD56B30" w14:textId="77777777" w:rsidR="00CE438D" w:rsidRPr="00F631FB" w:rsidRDefault="00CE438D" w:rsidP="00CE438D">
      <w:pPr>
        <w:spacing w:line="360" w:lineRule="auto"/>
        <w:ind w:firstLineChars="200" w:firstLine="560"/>
        <w:jc w:val="both"/>
        <w:rPr>
          <w:rFonts w:ascii="Arial" w:eastAsia="仿宋_GB2312" w:hAnsi="Arial" w:cs="Arial"/>
          <w:snapToGrid w:val="0"/>
          <w:sz w:val="28"/>
        </w:rPr>
      </w:pPr>
      <w:r w:rsidRPr="00F631FB">
        <w:rPr>
          <w:rFonts w:ascii="Arial" w:eastAsia="仿宋_GB2312" w:hAnsi="Arial" w:cs="Arial" w:hint="eastAsia"/>
          <w:snapToGrid w:val="0"/>
          <w:sz w:val="28"/>
        </w:rPr>
        <w:t>商业</w:t>
      </w:r>
      <w:proofErr w:type="gramStart"/>
      <w:r w:rsidRPr="00F631FB">
        <w:rPr>
          <w:rFonts w:ascii="Arial" w:eastAsia="仿宋_GB2312" w:hAnsi="Arial" w:cs="Arial" w:hint="eastAsia"/>
          <w:snapToGrid w:val="0"/>
          <w:sz w:val="28"/>
        </w:rPr>
        <w:t>用途</w:t>
      </w:r>
      <w:r w:rsidRPr="00F631FB">
        <w:rPr>
          <w:rFonts w:ascii="Arial" w:eastAsia="仿宋_GB2312" w:hAnsi="Arial" w:cs="Arial"/>
          <w:snapToGrid w:val="0"/>
          <w:sz w:val="28"/>
        </w:rPr>
        <w:t>楼</w:t>
      </w:r>
      <w:proofErr w:type="gramEnd"/>
      <w:r w:rsidRPr="00F631FB">
        <w:rPr>
          <w:rFonts w:ascii="Arial" w:eastAsia="仿宋_GB2312" w:hAnsi="Arial" w:cs="Arial"/>
          <w:snapToGrid w:val="0"/>
          <w:sz w:val="28"/>
        </w:rPr>
        <w:t>面熟地价</w:t>
      </w:r>
    </w:p>
    <w:p w14:paraId="3F7DE1BC" w14:textId="77777777" w:rsidR="00CE438D" w:rsidRPr="00F631FB" w:rsidRDefault="00CE438D" w:rsidP="00CE438D">
      <w:pPr>
        <w:spacing w:line="360" w:lineRule="auto"/>
        <w:ind w:firstLineChars="200" w:firstLine="580"/>
        <w:jc w:val="both"/>
        <w:rPr>
          <w:rFonts w:ascii="Arial" w:eastAsia="仿宋_GB2312" w:hAnsi="Arial" w:cs="Arial"/>
          <w:snapToGrid w:val="0"/>
          <w:sz w:val="28"/>
        </w:rPr>
      </w:pPr>
      <w:r w:rsidRPr="00F631FB">
        <w:rPr>
          <w:rFonts w:ascii="Arial" w:eastAsia="仿宋_GB2312" w:hAnsi="Arial" w:cs="Arial"/>
          <w:sz w:val="29"/>
          <w:szCs w:val="29"/>
        </w:rPr>
        <w:t>＝</w:t>
      </w:r>
      <w:r w:rsidRPr="00F631FB">
        <w:rPr>
          <w:rFonts w:ascii="Arial" w:eastAsia="仿宋_GB2312" w:hAnsi="Arial" w:cs="Arial" w:hint="eastAsia"/>
          <w:snapToGrid w:val="0"/>
          <w:sz w:val="28"/>
        </w:rPr>
        <w:t>适用的基准地价</w:t>
      </w:r>
      <w:r w:rsidRPr="00F631FB">
        <w:rPr>
          <w:rFonts w:ascii="Arial" w:eastAsia="仿宋_GB2312" w:hAnsi="Arial" w:cs="Arial"/>
          <w:sz w:val="29"/>
          <w:szCs w:val="29"/>
        </w:rPr>
        <w:t>×</w:t>
      </w:r>
      <w:r w:rsidRPr="00F631FB">
        <w:rPr>
          <w:rFonts w:ascii="Arial" w:eastAsia="仿宋_GB2312" w:hAnsi="Arial" w:cs="Arial" w:hint="eastAsia"/>
          <w:snapToGrid w:val="0"/>
          <w:sz w:val="28"/>
        </w:rPr>
        <w:t>用途修正系数</w:t>
      </w:r>
      <w:r w:rsidRPr="00F631FB">
        <w:rPr>
          <w:rFonts w:ascii="Arial" w:eastAsia="仿宋_GB2312" w:hAnsi="Arial" w:cs="Arial"/>
          <w:sz w:val="29"/>
          <w:szCs w:val="29"/>
        </w:rPr>
        <w:t>×</w:t>
      </w:r>
      <w:r w:rsidRPr="00F631FB">
        <w:rPr>
          <w:rFonts w:ascii="Arial" w:eastAsia="仿宋_GB2312" w:hAnsi="Arial" w:cs="Arial" w:hint="eastAsia"/>
          <w:snapToGrid w:val="0"/>
          <w:sz w:val="28"/>
        </w:rPr>
        <w:t>期日修正系数</w:t>
      </w:r>
      <w:r w:rsidRPr="00F631FB">
        <w:rPr>
          <w:rFonts w:ascii="Arial" w:eastAsia="仿宋_GB2312" w:hAnsi="Arial" w:cs="Arial"/>
          <w:sz w:val="29"/>
          <w:szCs w:val="29"/>
        </w:rPr>
        <w:t>×</w:t>
      </w:r>
      <w:r w:rsidRPr="00F631FB">
        <w:rPr>
          <w:rFonts w:ascii="Arial" w:eastAsia="仿宋_GB2312" w:hAnsi="Arial" w:cs="Arial" w:hint="eastAsia"/>
          <w:snapToGrid w:val="0"/>
          <w:sz w:val="28"/>
        </w:rPr>
        <w:t>年期修正系数</w:t>
      </w:r>
    </w:p>
    <w:p w14:paraId="5B49C635" w14:textId="77777777" w:rsidR="00CE438D" w:rsidRPr="00F631FB" w:rsidRDefault="00CE438D" w:rsidP="00CE438D">
      <w:pPr>
        <w:spacing w:line="360" w:lineRule="auto"/>
        <w:ind w:firstLineChars="300" w:firstLine="870"/>
        <w:jc w:val="both"/>
        <w:rPr>
          <w:rFonts w:ascii="Arial" w:eastAsia="仿宋_GB2312" w:hAnsi="Arial" w:cs="Arial"/>
          <w:sz w:val="28"/>
        </w:rPr>
      </w:pPr>
      <w:r w:rsidRPr="00F631FB">
        <w:rPr>
          <w:rFonts w:ascii="Arial" w:eastAsia="仿宋_GB2312" w:hAnsi="Arial" w:cs="Arial"/>
          <w:sz w:val="29"/>
          <w:szCs w:val="29"/>
        </w:rPr>
        <w:t>×</w:t>
      </w:r>
      <w:r w:rsidRPr="00F631FB">
        <w:rPr>
          <w:rFonts w:ascii="Arial" w:eastAsia="仿宋_GB2312" w:hAnsi="Arial" w:cs="Arial" w:hint="eastAsia"/>
          <w:snapToGrid w:val="0"/>
          <w:sz w:val="28"/>
        </w:rPr>
        <w:t>容积率修正系数</w:t>
      </w:r>
      <w:r w:rsidRPr="00F631FB">
        <w:rPr>
          <w:rFonts w:ascii="Arial" w:eastAsia="仿宋_GB2312" w:hAnsi="Arial" w:cs="Arial"/>
          <w:sz w:val="29"/>
          <w:szCs w:val="29"/>
        </w:rPr>
        <w:t>×</w:t>
      </w:r>
      <w:r w:rsidRPr="00F631FB">
        <w:rPr>
          <w:rFonts w:ascii="Arial" w:eastAsia="仿宋_GB2312" w:hAnsi="Arial" w:cs="Arial" w:hint="eastAsia"/>
          <w:snapToGrid w:val="0"/>
          <w:sz w:val="28"/>
        </w:rPr>
        <w:t>因素修正系数</w:t>
      </w:r>
    </w:p>
    <w:p w14:paraId="3845C216" w14:textId="77777777" w:rsidR="00CE438D" w:rsidRPr="00F631FB" w:rsidRDefault="00CE438D" w:rsidP="00CE438D">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Pr>
          <w:rFonts w:ascii="Arial" w:eastAsia="仿宋_GB2312" w:hAnsi="Arial" w:cs="Arial"/>
          <w:sz w:val="28"/>
        </w:rPr>
        <w:t>22070</w:t>
      </w:r>
      <w:r w:rsidRPr="00F631FB">
        <w:rPr>
          <w:rFonts w:ascii="Arial" w:eastAsia="仿宋_GB2312" w:hAnsi="Arial" w:cs="Arial"/>
          <w:sz w:val="29"/>
          <w:szCs w:val="29"/>
        </w:rPr>
        <w:t>×1×</w:t>
      </w:r>
      <w:r w:rsidRPr="00F631FB">
        <w:rPr>
          <w:rFonts w:ascii="Arial" w:eastAsia="仿宋_GB2312" w:hAnsi="Arial" w:cs="Arial" w:hint="eastAsia"/>
          <w:sz w:val="28"/>
        </w:rPr>
        <w:t>1.39</w:t>
      </w:r>
      <w:r>
        <w:rPr>
          <w:rFonts w:ascii="Arial" w:eastAsia="仿宋_GB2312" w:hAnsi="Arial" w:cs="Arial"/>
          <w:sz w:val="28"/>
        </w:rPr>
        <w:t>63</w:t>
      </w:r>
      <w:r w:rsidRPr="00F631FB">
        <w:rPr>
          <w:rFonts w:ascii="Arial" w:eastAsia="仿宋_GB2312" w:hAnsi="Arial" w:cs="Arial"/>
          <w:sz w:val="29"/>
          <w:szCs w:val="29"/>
        </w:rPr>
        <w:t>×</w:t>
      </w:r>
      <w:r w:rsidRPr="00F631FB">
        <w:rPr>
          <w:rFonts w:ascii="Arial" w:eastAsia="仿宋_GB2312" w:hAnsi="Arial" w:cs="Arial" w:hint="eastAsia"/>
          <w:sz w:val="29"/>
          <w:szCs w:val="29"/>
        </w:rPr>
        <w:t>1</w:t>
      </w:r>
      <w:r w:rsidRPr="00F631FB">
        <w:rPr>
          <w:rFonts w:ascii="Arial" w:eastAsia="仿宋_GB2312" w:hAnsi="Arial" w:cs="Arial" w:hint="eastAsia"/>
          <w:sz w:val="29"/>
          <w:szCs w:val="29"/>
        </w:rPr>
        <w:t>×</w:t>
      </w:r>
      <w:r w:rsidRPr="00F631FB">
        <w:rPr>
          <w:rFonts w:ascii="Arial" w:eastAsia="仿宋_GB2312" w:hAnsi="Arial" w:cs="Arial" w:hint="eastAsia"/>
          <w:sz w:val="28"/>
        </w:rPr>
        <w:t>0.</w:t>
      </w:r>
      <w:r>
        <w:rPr>
          <w:rFonts w:ascii="Arial" w:eastAsia="仿宋_GB2312" w:hAnsi="Arial" w:cs="Arial"/>
          <w:sz w:val="28"/>
        </w:rPr>
        <w:t>8175</w:t>
      </w:r>
      <w:r w:rsidRPr="00F631FB">
        <w:rPr>
          <w:rFonts w:ascii="Arial" w:eastAsia="仿宋_GB2312" w:hAnsi="Arial" w:cs="Arial"/>
          <w:sz w:val="29"/>
          <w:szCs w:val="29"/>
        </w:rPr>
        <w:t>×</w:t>
      </w:r>
      <w:r w:rsidRPr="00F631FB">
        <w:rPr>
          <w:rFonts w:ascii="Arial" w:eastAsia="仿宋_GB2312" w:hAnsi="Arial" w:cs="Arial" w:hint="eastAsia"/>
          <w:sz w:val="29"/>
          <w:szCs w:val="29"/>
        </w:rPr>
        <w:t>1.0</w:t>
      </w:r>
      <w:r>
        <w:rPr>
          <w:rFonts w:ascii="Arial" w:eastAsia="仿宋_GB2312" w:hAnsi="Arial" w:cs="Arial"/>
          <w:sz w:val="29"/>
          <w:szCs w:val="29"/>
        </w:rPr>
        <w:t>535</w:t>
      </w:r>
    </w:p>
    <w:p w14:paraId="67338FDF" w14:textId="77777777" w:rsidR="00CE438D" w:rsidRPr="00F631FB" w:rsidRDefault="00CE438D" w:rsidP="00CE438D">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Pr>
          <w:rFonts w:ascii="Arial" w:eastAsia="仿宋_GB2312" w:hAnsi="Arial" w:cs="Arial"/>
          <w:sz w:val="28"/>
        </w:rPr>
        <w:t>26540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38E05F99" w14:textId="291E0793" w:rsidR="002C3ABF" w:rsidRDefault="002C3ABF" w:rsidP="002C3ABF">
      <w:pPr>
        <w:spacing w:line="360" w:lineRule="auto"/>
        <w:ind w:firstLineChars="200" w:firstLine="560"/>
        <w:jc w:val="both"/>
        <w:rPr>
          <w:rFonts w:ascii="Arial" w:eastAsia="仿宋_GB2312" w:hAnsi="Arial" w:cs="Arial"/>
          <w:sz w:val="28"/>
        </w:rPr>
      </w:pPr>
    </w:p>
    <w:p w14:paraId="49CBA859" w14:textId="77777777" w:rsidR="00914E90" w:rsidRPr="00F631FB" w:rsidRDefault="00914E90" w:rsidP="00914E90">
      <w:pPr>
        <w:spacing w:line="360" w:lineRule="auto"/>
        <w:ind w:left="142" w:firstLineChars="151" w:firstLine="424"/>
        <w:jc w:val="both"/>
        <w:rPr>
          <w:rFonts w:ascii="Arial" w:eastAsia="仿宋_GB2312" w:hAnsi="Arial" w:cs="Arial"/>
          <w:b/>
          <w:sz w:val="28"/>
        </w:rPr>
      </w:pPr>
      <w:r w:rsidRPr="00F631FB">
        <w:rPr>
          <w:rFonts w:ascii="Arial" w:eastAsia="仿宋_GB2312" w:hAnsi="Arial" w:cs="Arial" w:hint="eastAsia"/>
          <w:b/>
          <w:sz w:val="28"/>
        </w:rPr>
        <w:lastRenderedPageBreak/>
        <w:t>（</w:t>
      </w:r>
      <w:r w:rsidRPr="00F631FB">
        <w:rPr>
          <w:rFonts w:ascii="Arial" w:eastAsia="仿宋_GB2312" w:hAnsi="Arial" w:cs="Arial" w:hint="eastAsia"/>
          <w:b/>
          <w:sz w:val="28"/>
        </w:rPr>
        <w:t>4</w:t>
      </w:r>
      <w:r w:rsidRPr="00F631FB">
        <w:rPr>
          <w:rFonts w:ascii="Arial" w:eastAsia="仿宋_GB2312" w:hAnsi="Arial" w:cs="Arial" w:hint="eastAsia"/>
          <w:b/>
          <w:sz w:val="28"/>
        </w:rPr>
        <w:t>）</w:t>
      </w:r>
      <w:r w:rsidRPr="00F631FB">
        <w:rPr>
          <w:rFonts w:ascii="Arial" w:eastAsia="仿宋_GB2312" w:hAnsi="Arial" w:cs="Arial"/>
          <w:b/>
          <w:sz w:val="28"/>
        </w:rPr>
        <w:t>求取估价对象</w:t>
      </w:r>
      <w:r>
        <w:rPr>
          <w:rFonts w:ascii="Arial" w:eastAsia="仿宋_GB2312" w:hAnsi="Arial" w:cs="Arial" w:hint="eastAsia"/>
          <w:b/>
          <w:sz w:val="28"/>
        </w:rPr>
        <w:t>地上</w:t>
      </w:r>
      <w:r w:rsidRPr="00F631FB">
        <w:rPr>
          <w:rFonts w:ascii="Arial" w:eastAsia="仿宋_GB2312" w:hAnsi="Arial" w:cs="Arial" w:hint="eastAsia"/>
          <w:b/>
          <w:sz w:val="28"/>
        </w:rPr>
        <w:t>办公</w:t>
      </w:r>
      <w:r w:rsidRPr="00F631FB">
        <w:rPr>
          <w:rFonts w:ascii="Arial" w:eastAsia="仿宋_GB2312" w:hAnsi="Arial" w:cs="Arial"/>
          <w:b/>
          <w:sz w:val="28"/>
        </w:rPr>
        <w:t>用房楼面熟地价</w:t>
      </w:r>
      <w:r w:rsidRPr="00F631FB">
        <w:rPr>
          <w:rFonts w:ascii="Arial" w:eastAsia="仿宋_GB2312" w:hAnsi="Arial" w:cs="Arial" w:hint="eastAsia"/>
          <w:b/>
          <w:sz w:val="28"/>
        </w:rPr>
        <w:t>（土地剩余使用年限</w:t>
      </w:r>
      <w:r>
        <w:rPr>
          <w:rFonts w:ascii="Arial" w:eastAsia="仿宋_GB2312" w:hAnsi="Arial" w:cs="Arial"/>
          <w:b/>
          <w:sz w:val="28"/>
        </w:rPr>
        <w:t>50</w:t>
      </w:r>
      <w:r w:rsidRPr="00F631FB">
        <w:rPr>
          <w:rFonts w:ascii="Arial" w:eastAsia="仿宋_GB2312" w:hAnsi="Arial" w:cs="Arial" w:hint="eastAsia"/>
          <w:b/>
          <w:sz w:val="28"/>
        </w:rPr>
        <w:t>年）</w:t>
      </w:r>
    </w:p>
    <w:p w14:paraId="25063181"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）宗地适用基准地价水平的确定</w:t>
      </w:r>
    </w:p>
    <w:p w14:paraId="79A5ED2A" w14:textId="746A7CF5"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1"/>
        </w:rPr>
      </w:pPr>
      <w:r w:rsidRPr="00F631FB">
        <w:rPr>
          <w:rFonts w:ascii="Arial" w:eastAsia="仿宋_GB2312" w:hAnsi="Arial" w:cs="Arial"/>
          <w:sz w:val="28"/>
        </w:rPr>
        <w:t>（</w:t>
      </w:r>
      <w:r w:rsidRPr="00F631FB">
        <w:rPr>
          <w:rFonts w:ascii="Arial" w:eastAsia="仿宋_GB2312" w:hAnsi="Arial" w:cs="Arial"/>
          <w:sz w:val="28"/>
        </w:rPr>
        <w:t>A</w:t>
      </w:r>
      <w:r w:rsidRPr="00F631FB">
        <w:rPr>
          <w:rFonts w:ascii="Arial" w:eastAsia="仿宋_GB2312" w:hAnsi="Arial" w:cs="Arial"/>
          <w:sz w:val="28"/>
        </w:rPr>
        <w:t>）根据《北京市基准地价更新成果》，估价对象地上</w:t>
      </w:r>
      <w:r w:rsidRPr="00F631FB">
        <w:rPr>
          <w:rFonts w:ascii="Arial" w:eastAsia="仿宋_GB2312" w:hAnsi="Arial" w:cs="Arial" w:hint="eastAsia"/>
          <w:sz w:val="28"/>
        </w:rPr>
        <w:t>办公</w:t>
      </w:r>
      <w:r w:rsidRPr="00F631FB">
        <w:rPr>
          <w:rFonts w:ascii="Arial" w:eastAsia="仿宋_GB2312" w:hAnsi="Arial" w:cs="Arial"/>
          <w:sz w:val="28"/>
        </w:rPr>
        <w:t>相应用途基准地价参照《北京市区片基准地价表》确定。估价对象位于</w:t>
      </w:r>
      <w:r>
        <w:rPr>
          <w:rFonts w:ascii="Arial" w:eastAsia="仿宋_GB2312" w:hAnsi="Arial" w:cs="Arial"/>
          <w:sz w:val="28"/>
        </w:rPr>
        <w:t>海淀区苏州街</w:t>
      </w:r>
      <w:r w:rsidRPr="00F631FB">
        <w:rPr>
          <w:rFonts w:ascii="Arial" w:eastAsia="仿宋_GB2312" w:hAnsi="Arial" w:cs="Arial"/>
          <w:sz w:val="28"/>
        </w:rPr>
        <w:t>，土地级别为</w:t>
      </w:r>
      <w:r>
        <w:rPr>
          <w:rFonts w:ascii="Arial" w:eastAsia="仿宋_GB2312" w:hAnsi="Arial" w:cs="Arial" w:hint="eastAsia"/>
          <w:sz w:val="28"/>
        </w:rPr>
        <w:t>办公类二级</w:t>
      </w:r>
      <w:r w:rsidRPr="00F631FB">
        <w:rPr>
          <w:rFonts w:ascii="Arial" w:eastAsia="仿宋_GB2312" w:hAnsi="Arial" w:cs="Arial"/>
          <w:sz w:val="28"/>
        </w:rPr>
        <w:t>地价区，属</w:t>
      </w:r>
      <w:r w:rsidRPr="00F631FB">
        <w:rPr>
          <w:rFonts w:ascii="Arial" w:eastAsia="仿宋_GB2312" w:hAnsi="Arial" w:cs="Arial" w:hint="eastAsia"/>
          <w:sz w:val="28"/>
        </w:rPr>
        <w:t>办公</w:t>
      </w:r>
      <w:r w:rsidRPr="00F631FB">
        <w:rPr>
          <w:rFonts w:ascii="Arial" w:eastAsia="仿宋_GB2312" w:hAnsi="Arial" w:cs="Arial"/>
          <w:sz w:val="28"/>
        </w:rPr>
        <w:t>用途</w:t>
      </w:r>
      <w:r>
        <w:rPr>
          <w:rFonts w:ascii="Arial" w:eastAsia="仿宋_GB2312" w:hAnsi="Arial" w:cs="Arial"/>
          <w:sz w:val="28"/>
        </w:rPr>
        <w:t>II-03</w:t>
      </w:r>
      <w:r w:rsidRPr="00F631FB">
        <w:rPr>
          <w:rFonts w:ascii="Arial" w:eastAsia="仿宋_GB2312" w:hAnsi="Arial" w:cs="Arial"/>
          <w:sz w:val="28"/>
        </w:rPr>
        <w:t>区片。北京市各用途</w:t>
      </w:r>
      <w:r>
        <w:rPr>
          <w:rFonts w:ascii="Arial" w:eastAsia="仿宋_GB2312" w:hAnsi="Arial" w:cs="Arial" w:hint="eastAsia"/>
          <w:sz w:val="28"/>
        </w:rPr>
        <w:t>二</w:t>
      </w:r>
      <w:r w:rsidRPr="00F631FB">
        <w:rPr>
          <w:rFonts w:ascii="Arial" w:eastAsia="仿宋_GB2312" w:hAnsi="Arial" w:cs="Arial"/>
          <w:sz w:val="28"/>
        </w:rPr>
        <w:t>级区片基准地价</w:t>
      </w:r>
      <w:proofErr w:type="gramStart"/>
      <w:r w:rsidRPr="00F631FB">
        <w:rPr>
          <w:rFonts w:ascii="Arial" w:eastAsia="仿宋_GB2312" w:hAnsi="Arial" w:cs="Arial"/>
          <w:sz w:val="28"/>
        </w:rPr>
        <w:t>详</w:t>
      </w:r>
      <w:proofErr w:type="gramEnd"/>
      <w:r w:rsidRPr="00F631FB">
        <w:rPr>
          <w:rFonts w:ascii="Arial" w:eastAsia="仿宋_GB2312" w:hAnsi="Arial" w:cs="Arial"/>
          <w:sz w:val="28"/>
        </w:rPr>
        <w:t>见</w:t>
      </w:r>
      <w:r w:rsidRPr="00F631FB">
        <w:rPr>
          <w:rFonts w:ascii="Arial" w:eastAsia="仿宋_GB2312" w:hAnsi="Arial" w:cs="Arial" w:hint="eastAsia"/>
          <w:sz w:val="28"/>
        </w:rPr>
        <w:t>地上居住用途测算过程中的</w:t>
      </w:r>
      <w:r w:rsidRPr="00F631FB">
        <w:rPr>
          <w:rFonts w:ascii="Arial" w:eastAsia="仿宋_GB2312" w:hAnsi="Arial" w:cs="Arial"/>
          <w:sz w:val="28"/>
        </w:rPr>
        <w:t>《北京市区片基准地价表》</w:t>
      </w:r>
      <w:r w:rsidRPr="00F631FB">
        <w:rPr>
          <w:rFonts w:ascii="Arial" w:eastAsia="仿宋_GB2312" w:hAnsi="Arial" w:cs="Arial" w:hint="eastAsia"/>
          <w:sz w:val="28"/>
        </w:rPr>
        <w:t>（本技术报</w:t>
      </w:r>
      <w:r w:rsidRPr="0077205E">
        <w:rPr>
          <w:rFonts w:ascii="Arial" w:eastAsia="仿宋_GB2312" w:hAnsi="Arial" w:cs="Arial" w:hint="eastAsia"/>
          <w:sz w:val="28"/>
        </w:rPr>
        <w:t>告第</w:t>
      </w:r>
      <w:r w:rsidR="006A3976" w:rsidRPr="0077205E">
        <w:rPr>
          <w:rFonts w:ascii="Arial" w:eastAsia="仿宋_GB2312" w:hAnsi="Arial" w:cs="Arial" w:hint="eastAsia"/>
          <w:sz w:val="28"/>
        </w:rPr>
        <w:t>8</w:t>
      </w:r>
      <w:r w:rsidR="0077205E" w:rsidRPr="0077205E">
        <w:rPr>
          <w:rFonts w:ascii="Arial" w:eastAsia="仿宋_GB2312" w:hAnsi="Arial" w:cs="Arial"/>
          <w:sz w:val="28"/>
        </w:rPr>
        <w:t>7</w:t>
      </w:r>
      <w:r w:rsidRPr="0077205E">
        <w:rPr>
          <w:rFonts w:ascii="Arial" w:eastAsia="仿宋_GB2312" w:hAnsi="Arial" w:cs="Arial" w:hint="eastAsia"/>
          <w:sz w:val="28"/>
        </w:rPr>
        <w:t>页</w:t>
      </w:r>
      <w:r w:rsidRPr="00F631FB">
        <w:rPr>
          <w:rFonts w:ascii="Arial" w:eastAsia="仿宋_GB2312" w:hAnsi="Arial" w:cs="Arial" w:hint="eastAsia"/>
          <w:sz w:val="28"/>
        </w:rPr>
        <w:t>），则</w:t>
      </w:r>
      <w:r w:rsidRPr="00F631FB">
        <w:rPr>
          <w:rFonts w:ascii="Arial" w:eastAsia="仿宋_GB2312" w:hAnsi="Arial" w:cs="Arial"/>
          <w:sz w:val="28"/>
          <w:szCs w:val="21"/>
        </w:rPr>
        <w:t>估价对象所在</w:t>
      </w:r>
      <w:r w:rsidRPr="00F631FB">
        <w:rPr>
          <w:rFonts w:ascii="Arial" w:eastAsia="仿宋_GB2312" w:hAnsi="Arial" w:cs="Arial" w:hint="eastAsia"/>
          <w:sz w:val="28"/>
        </w:rPr>
        <w:t>办公</w:t>
      </w:r>
      <w:r w:rsidRPr="00F631FB">
        <w:rPr>
          <w:rFonts w:ascii="Arial" w:eastAsia="仿宋_GB2312" w:hAnsi="Arial" w:cs="Arial"/>
          <w:sz w:val="28"/>
        </w:rPr>
        <w:t>用途</w:t>
      </w:r>
      <w:r>
        <w:rPr>
          <w:rFonts w:ascii="Arial" w:eastAsia="仿宋_GB2312" w:hAnsi="Arial" w:cs="Arial"/>
          <w:sz w:val="28"/>
        </w:rPr>
        <w:t>II-03</w:t>
      </w:r>
      <w:r w:rsidRPr="00F631FB">
        <w:rPr>
          <w:rFonts w:ascii="Arial" w:eastAsia="仿宋_GB2312" w:hAnsi="Arial" w:cs="Arial"/>
          <w:sz w:val="28"/>
          <w:szCs w:val="21"/>
        </w:rPr>
        <w:t>区片的区片基准地价为</w:t>
      </w:r>
      <w:r>
        <w:rPr>
          <w:rFonts w:ascii="Arial" w:eastAsia="仿宋_GB2312" w:hAnsi="Arial" w:cs="Arial"/>
          <w:sz w:val="28"/>
          <w:szCs w:val="21"/>
        </w:rPr>
        <w:t>23180</w:t>
      </w:r>
      <w:r w:rsidRPr="00F631FB">
        <w:rPr>
          <w:rFonts w:ascii="Arial" w:eastAsia="仿宋_GB2312" w:hAnsi="Arial" w:cs="Arial"/>
          <w:sz w:val="28"/>
          <w:szCs w:val="21"/>
        </w:rPr>
        <w:t>元</w:t>
      </w:r>
      <w:r w:rsidRPr="00F631FB">
        <w:rPr>
          <w:rFonts w:ascii="Arial" w:eastAsia="仿宋_GB2312" w:hAnsi="Arial" w:cs="Arial"/>
          <w:sz w:val="28"/>
          <w:szCs w:val="21"/>
        </w:rPr>
        <w:t>/</w:t>
      </w:r>
      <w:r w:rsidRPr="00F631FB">
        <w:rPr>
          <w:rFonts w:ascii="Arial" w:eastAsia="仿宋_GB2312" w:hAnsi="Arial" w:cs="Arial"/>
          <w:sz w:val="28"/>
          <w:szCs w:val="21"/>
        </w:rPr>
        <w:t>平方米。</w:t>
      </w:r>
    </w:p>
    <w:p w14:paraId="6D885326" w14:textId="77777777" w:rsidR="00914E90" w:rsidRPr="00F631FB" w:rsidRDefault="00914E90" w:rsidP="00914E90">
      <w:pPr>
        <w:spacing w:line="360" w:lineRule="auto"/>
        <w:ind w:firstLineChars="200" w:firstLine="560"/>
        <w:rPr>
          <w:rFonts w:ascii="Arial" w:eastAsia="仿宋_GB2312" w:hAnsi="Arial" w:cs="Arial"/>
          <w:sz w:val="28"/>
        </w:rPr>
      </w:pPr>
      <w:r w:rsidRPr="00F631FB">
        <w:rPr>
          <w:rFonts w:ascii="Arial" w:eastAsia="仿宋_GB2312" w:hAnsi="Arial" w:cs="Arial"/>
          <w:sz w:val="28"/>
          <w:szCs w:val="29"/>
        </w:rPr>
        <w:t>（</w:t>
      </w:r>
      <w:r w:rsidRPr="00F631FB">
        <w:rPr>
          <w:rFonts w:ascii="Arial" w:eastAsia="仿宋_GB2312" w:hAnsi="Arial" w:cs="Arial"/>
          <w:sz w:val="28"/>
          <w:szCs w:val="29"/>
        </w:rPr>
        <w:t>B</w:t>
      </w:r>
      <w:r w:rsidRPr="00F631FB">
        <w:rPr>
          <w:rFonts w:ascii="Arial" w:eastAsia="仿宋_GB2312" w:hAnsi="Arial" w:cs="Arial"/>
          <w:sz w:val="28"/>
          <w:szCs w:val="29"/>
        </w:rPr>
        <w:t>）</w:t>
      </w:r>
      <w:r w:rsidRPr="00F631FB">
        <w:rPr>
          <w:rFonts w:ascii="Arial" w:eastAsia="仿宋_GB2312" w:hAnsi="Arial" w:cs="Arial"/>
          <w:sz w:val="28"/>
        </w:rPr>
        <w:t>土地开发程度修正</w:t>
      </w:r>
    </w:p>
    <w:p w14:paraId="21EAD26A" w14:textId="0E4DAE43" w:rsidR="00914E90" w:rsidRDefault="00914E90" w:rsidP="00914E90">
      <w:pPr>
        <w:spacing w:line="360" w:lineRule="auto"/>
        <w:ind w:firstLineChars="200" w:firstLine="560"/>
        <w:rPr>
          <w:rFonts w:ascii="Arial" w:eastAsia="仿宋_GB2312" w:hAnsi="Arial" w:cs="Arial"/>
          <w:sz w:val="28"/>
        </w:rPr>
      </w:pPr>
      <w:r w:rsidRPr="00F631FB">
        <w:rPr>
          <w:rFonts w:ascii="Arial" w:eastAsia="仿宋_GB2312" w:hAnsi="Arial" w:cs="Arial"/>
          <w:sz w:val="28"/>
        </w:rPr>
        <w:t>估价对象设定宗地土地开发程度为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（即通路、通电、通讯、通上水、通下水、通燃气、通热），估价对象所在区域为</w:t>
      </w:r>
      <w:r w:rsidR="00A92F3E">
        <w:rPr>
          <w:rFonts w:ascii="Arial" w:eastAsia="仿宋_GB2312" w:hAnsi="Arial" w:cs="Arial" w:hint="eastAsia"/>
          <w:sz w:val="28"/>
        </w:rPr>
        <w:t>二</w:t>
      </w:r>
      <w:r w:rsidRPr="00F631FB">
        <w:rPr>
          <w:rFonts w:ascii="Arial" w:eastAsia="仿宋_GB2312" w:hAnsi="Arial" w:cs="Arial"/>
          <w:sz w:val="28"/>
        </w:rPr>
        <w:t>级地价区，级别基准地价土地开发程度为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（即通路、通电、通讯、通上水、通下水、通燃气、通热），相应用途级别平均容积率为</w:t>
      </w:r>
      <w:r w:rsidRPr="00F631FB">
        <w:rPr>
          <w:rFonts w:ascii="Arial" w:eastAsia="仿宋_GB2312" w:hAnsi="Arial" w:cs="Arial"/>
          <w:sz w:val="28"/>
        </w:rPr>
        <w:t>2.5</w:t>
      </w:r>
      <w:r w:rsidRPr="00F631FB">
        <w:rPr>
          <w:rFonts w:ascii="Arial" w:eastAsia="仿宋_GB2312" w:hAnsi="Arial" w:cs="Arial"/>
          <w:sz w:val="28"/>
        </w:rPr>
        <w:t>。估价对象设定状况与级别开发程度一致，故此处不作修正。</w:t>
      </w:r>
    </w:p>
    <w:p w14:paraId="4896FEDB"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i/>
          <w:sz w:val="28"/>
        </w:rPr>
      </w:pPr>
      <w:r w:rsidRPr="00F631FB">
        <w:rPr>
          <w:rFonts w:ascii="Arial" w:eastAsia="仿宋_GB2312" w:hAnsi="Arial" w:cs="Arial"/>
          <w:sz w:val="28"/>
        </w:rPr>
        <w:t>2</w:t>
      </w:r>
      <w:r w:rsidRPr="00F631FB">
        <w:rPr>
          <w:rFonts w:ascii="Arial" w:eastAsia="仿宋_GB2312" w:hAnsi="Arial" w:cs="Arial"/>
          <w:sz w:val="28"/>
        </w:rPr>
        <w:t>）用途修正系数的确定</w:t>
      </w:r>
    </w:p>
    <w:p w14:paraId="63BBE2EF"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《北京市基准地价更新成果》根据《土地利用现状分类》（</w:t>
      </w:r>
      <w:r w:rsidRPr="00F631FB">
        <w:rPr>
          <w:rFonts w:ascii="Arial" w:eastAsia="仿宋_GB2312" w:hAnsi="Arial" w:cs="Arial"/>
          <w:sz w:val="28"/>
          <w:szCs w:val="29"/>
        </w:rPr>
        <w:t>GB/T21010-2007</w:t>
      </w:r>
      <w:r w:rsidRPr="00F631F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39FDE0B0"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估价对象用途为</w:t>
      </w:r>
      <w:r>
        <w:rPr>
          <w:rFonts w:ascii="Arial" w:eastAsia="仿宋_GB2312" w:hAnsi="Arial" w:cs="Arial" w:hint="eastAsia"/>
          <w:sz w:val="28"/>
        </w:rPr>
        <w:t>办公</w:t>
      </w:r>
      <w:r w:rsidRPr="00F631FB">
        <w:rPr>
          <w:rFonts w:ascii="Arial" w:eastAsia="仿宋_GB2312" w:hAnsi="Arial" w:cs="Arial"/>
          <w:sz w:val="28"/>
        </w:rPr>
        <w:t>，依据需《北京市基准地价用途修正系数表》进行</w:t>
      </w:r>
      <w:r w:rsidRPr="00F631FB">
        <w:rPr>
          <w:rFonts w:ascii="Arial" w:eastAsia="仿宋_GB2312" w:hAnsi="Arial" w:cs="Arial"/>
          <w:sz w:val="28"/>
        </w:rPr>
        <w:lastRenderedPageBreak/>
        <w:t>用途修正。</w:t>
      </w:r>
      <w:r>
        <w:rPr>
          <w:rFonts w:ascii="Arial" w:eastAsia="仿宋_GB2312" w:hAnsi="Arial" w:cs="Arial" w:hint="eastAsia"/>
          <w:sz w:val="28"/>
        </w:rPr>
        <w:t>办公</w:t>
      </w:r>
      <w:r w:rsidRPr="00F631FB">
        <w:rPr>
          <w:rFonts w:ascii="Arial" w:eastAsia="仿宋_GB2312" w:hAnsi="Arial" w:cs="Arial"/>
          <w:sz w:val="28"/>
        </w:rPr>
        <w:t>用途修正系数表详见下表：</w:t>
      </w:r>
    </w:p>
    <w:p w14:paraId="5BA18F0F" w14:textId="77777777" w:rsidR="00914E90" w:rsidRPr="00F631FB" w:rsidRDefault="00914E90" w:rsidP="00914E90">
      <w:pPr>
        <w:spacing w:line="360" w:lineRule="auto"/>
        <w:jc w:val="center"/>
        <w:rPr>
          <w:rFonts w:ascii="Arial" w:eastAsia="仿宋_GB2312" w:hAnsi="Arial" w:cs="Arial"/>
          <w:bCs/>
          <w:szCs w:val="24"/>
        </w:rPr>
      </w:pPr>
      <w:r w:rsidRPr="00F631FB">
        <w:rPr>
          <w:rFonts w:ascii="Arial" w:eastAsia="仿宋_GB2312" w:hAnsi="Arial" w:cs="Arial"/>
          <w:b/>
          <w:bCs/>
          <w:szCs w:val="24"/>
        </w:rPr>
        <w:t>北京市基准地价用途修正系数表</w:t>
      </w:r>
      <w:r w:rsidRPr="00F631FB">
        <w:rPr>
          <w:rFonts w:ascii="Arial" w:eastAsia="仿宋_GB2312" w:hAnsi="Arial" w:cs="Arial" w:hint="eastAsia"/>
          <w:b/>
          <w:bCs/>
          <w:szCs w:val="24"/>
        </w:rPr>
        <w:t>（节选）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914E90" w:rsidRPr="00DC671E" w14:paraId="7A08169C" w14:textId="77777777" w:rsidTr="008B444E">
        <w:trPr>
          <w:trHeight w:val="615"/>
          <w:jc w:val="center"/>
        </w:trPr>
        <w:tc>
          <w:tcPr>
            <w:tcW w:w="1080" w:type="dxa"/>
            <w:vMerge w:val="restart"/>
            <w:shd w:val="clear" w:color="auto" w:fill="auto"/>
            <w:noWrap/>
            <w:vAlign w:val="center"/>
            <w:hideMark/>
          </w:tcPr>
          <w:p w14:paraId="5FFA2B75"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办公</w:t>
            </w:r>
          </w:p>
        </w:tc>
        <w:tc>
          <w:tcPr>
            <w:tcW w:w="1300" w:type="dxa"/>
            <w:shd w:val="clear" w:color="auto" w:fill="auto"/>
            <w:noWrap/>
            <w:vAlign w:val="center"/>
            <w:hideMark/>
          </w:tcPr>
          <w:p w14:paraId="1B620EC2"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比准类别</w:t>
            </w:r>
          </w:p>
        </w:tc>
        <w:tc>
          <w:tcPr>
            <w:tcW w:w="6600" w:type="dxa"/>
            <w:shd w:val="clear" w:color="auto" w:fill="auto"/>
            <w:vAlign w:val="center"/>
            <w:hideMark/>
          </w:tcPr>
          <w:p w14:paraId="1BDCE77E" w14:textId="77777777" w:rsidR="00914E90" w:rsidRPr="00DC671E" w:rsidRDefault="00914E90" w:rsidP="008B444E">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商务金融用地（指企业、服务业等办公用地，以及经营性的办公场所用地，包括写字楼、商业性办公楼和企业厂区外独立的办公楼）</w:t>
            </w:r>
          </w:p>
        </w:tc>
        <w:tc>
          <w:tcPr>
            <w:tcW w:w="1080" w:type="dxa"/>
            <w:shd w:val="clear" w:color="auto" w:fill="auto"/>
            <w:noWrap/>
            <w:vAlign w:val="center"/>
            <w:hideMark/>
          </w:tcPr>
          <w:p w14:paraId="04A99D66"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1</w:t>
            </w:r>
          </w:p>
        </w:tc>
      </w:tr>
      <w:tr w:rsidR="00914E90" w:rsidRPr="00DC671E" w14:paraId="06F52AFD" w14:textId="77777777" w:rsidTr="008B444E">
        <w:trPr>
          <w:trHeight w:val="405"/>
          <w:jc w:val="center"/>
        </w:trPr>
        <w:tc>
          <w:tcPr>
            <w:tcW w:w="1080" w:type="dxa"/>
            <w:vMerge/>
            <w:vAlign w:val="center"/>
            <w:hideMark/>
          </w:tcPr>
          <w:p w14:paraId="23586698" w14:textId="77777777" w:rsidR="00914E90" w:rsidRPr="00DC671E" w:rsidRDefault="00914E90" w:rsidP="008B444E">
            <w:pPr>
              <w:widowControl/>
              <w:rPr>
                <w:rFonts w:ascii="微软雅黑" w:eastAsia="微软雅黑" w:hAnsi="微软雅黑" w:cs="宋体"/>
                <w:color w:val="000000"/>
                <w:sz w:val="15"/>
                <w:szCs w:val="15"/>
              </w:rPr>
            </w:pPr>
          </w:p>
        </w:tc>
        <w:tc>
          <w:tcPr>
            <w:tcW w:w="1300" w:type="dxa"/>
            <w:vMerge w:val="restart"/>
            <w:shd w:val="clear" w:color="auto" w:fill="auto"/>
            <w:noWrap/>
            <w:vAlign w:val="center"/>
            <w:hideMark/>
          </w:tcPr>
          <w:p w14:paraId="11649BE1"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其他类别</w:t>
            </w:r>
          </w:p>
        </w:tc>
        <w:tc>
          <w:tcPr>
            <w:tcW w:w="6600" w:type="dxa"/>
            <w:shd w:val="clear" w:color="auto" w:fill="auto"/>
            <w:vAlign w:val="center"/>
            <w:hideMark/>
          </w:tcPr>
          <w:p w14:paraId="5BBCC53A" w14:textId="77777777" w:rsidR="00914E90" w:rsidRPr="00DC671E" w:rsidRDefault="00914E90" w:rsidP="008B444E">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其他商服用地（停车场、停车楼等用地）</w:t>
            </w:r>
          </w:p>
        </w:tc>
        <w:tc>
          <w:tcPr>
            <w:tcW w:w="1080" w:type="dxa"/>
            <w:shd w:val="clear" w:color="auto" w:fill="auto"/>
            <w:noWrap/>
            <w:vAlign w:val="center"/>
            <w:hideMark/>
          </w:tcPr>
          <w:p w14:paraId="73E72EA3"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0.5</w:t>
            </w:r>
          </w:p>
        </w:tc>
      </w:tr>
      <w:tr w:rsidR="00914E90" w:rsidRPr="00DC671E" w14:paraId="2262B89E" w14:textId="77777777" w:rsidTr="008B444E">
        <w:trPr>
          <w:trHeight w:val="405"/>
          <w:jc w:val="center"/>
        </w:trPr>
        <w:tc>
          <w:tcPr>
            <w:tcW w:w="1080" w:type="dxa"/>
            <w:vMerge/>
            <w:vAlign w:val="center"/>
            <w:hideMark/>
          </w:tcPr>
          <w:p w14:paraId="067EE47C" w14:textId="77777777" w:rsidR="00914E90" w:rsidRPr="00DC671E" w:rsidRDefault="00914E90" w:rsidP="008B444E">
            <w:pPr>
              <w:widowControl/>
              <w:rPr>
                <w:rFonts w:ascii="微软雅黑" w:eastAsia="微软雅黑" w:hAnsi="微软雅黑" w:cs="宋体"/>
                <w:color w:val="000000"/>
                <w:sz w:val="15"/>
                <w:szCs w:val="15"/>
              </w:rPr>
            </w:pPr>
          </w:p>
        </w:tc>
        <w:tc>
          <w:tcPr>
            <w:tcW w:w="1300" w:type="dxa"/>
            <w:vMerge/>
            <w:vAlign w:val="center"/>
            <w:hideMark/>
          </w:tcPr>
          <w:p w14:paraId="4D1021D8" w14:textId="77777777" w:rsidR="00914E90" w:rsidRPr="00DC671E" w:rsidRDefault="00914E90" w:rsidP="008B444E">
            <w:pPr>
              <w:widowControl/>
              <w:rPr>
                <w:rFonts w:ascii="微软雅黑" w:eastAsia="微软雅黑" w:hAnsi="微软雅黑" w:cs="宋体"/>
                <w:color w:val="000000"/>
                <w:sz w:val="15"/>
                <w:szCs w:val="15"/>
              </w:rPr>
            </w:pPr>
          </w:p>
        </w:tc>
        <w:tc>
          <w:tcPr>
            <w:tcW w:w="6600" w:type="dxa"/>
            <w:shd w:val="clear" w:color="auto" w:fill="auto"/>
            <w:noWrap/>
            <w:vAlign w:val="center"/>
            <w:hideMark/>
          </w:tcPr>
          <w:p w14:paraId="7EEF292A" w14:textId="77777777" w:rsidR="00914E90" w:rsidRPr="00DC671E" w:rsidRDefault="00914E90" w:rsidP="008B444E">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其他商服用地（指展览馆、会展中心等用地）、机场航站楼用地</w:t>
            </w:r>
          </w:p>
        </w:tc>
        <w:tc>
          <w:tcPr>
            <w:tcW w:w="1080" w:type="dxa"/>
            <w:shd w:val="clear" w:color="auto" w:fill="auto"/>
            <w:noWrap/>
            <w:vAlign w:val="center"/>
            <w:hideMark/>
          </w:tcPr>
          <w:p w14:paraId="380B3E53"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1.1</w:t>
            </w:r>
          </w:p>
        </w:tc>
      </w:tr>
      <w:tr w:rsidR="00914E90" w:rsidRPr="00DC671E" w14:paraId="63978057" w14:textId="77777777" w:rsidTr="008B444E">
        <w:trPr>
          <w:trHeight w:val="1050"/>
          <w:jc w:val="center"/>
        </w:trPr>
        <w:tc>
          <w:tcPr>
            <w:tcW w:w="1080" w:type="dxa"/>
            <w:vMerge/>
            <w:vAlign w:val="center"/>
            <w:hideMark/>
          </w:tcPr>
          <w:p w14:paraId="40513D4C" w14:textId="77777777" w:rsidR="00914E90" w:rsidRPr="00DC671E" w:rsidRDefault="00914E90" w:rsidP="008B444E">
            <w:pPr>
              <w:widowControl/>
              <w:rPr>
                <w:rFonts w:ascii="微软雅黑" w:eastAsia="微软雅黑" w:hAnsi="微软雅黑" w:cs="宋体"/>
                <w:color w:val="000000"/>
                <w:sz w:val="15"/>
                <w:szCs w:val="15"/>
              </w:rPr>
            </w:pPr>
          </w:p>
        </w:tc>
        <w:tc>
          <w:tcPr>
            <w:tcW w:w="1300" w:type="dxa"/>
            <w:vMerge/>
            <w:vAlign w:val="center"/>
            <w:hideMark/>
          </w:tcPr>
          <w:p w14:paraId="07A9536C" w14:textId="77777777" w:rsidR="00914E90" w:rsidRPr="00DC671E" w:rsidRDefault="00914E90" w:rsidP="008B444E">
            <w:pPr>
              <w:widowControl/>
              <w:rPr>
                <w:rFonts w:ascii="微软雅黑" w:eastAsia="微软雅黑" w:hAnsi="微软雅黑" w:cs="宋体"/>
                <w:color w:val="000000"/>
                <w:sz w:val="15"/>
                <w:szCs w:val="15"/>
              </w:rPr>
            </w:pPr>
          </w:p>
        </w:tc>
        <w:tc>
          <w:tcPr>
            <w:tcW w:w="6600" w:type="dxa"/>
            <w:shd w:val="clear" w:color="auto" w:fill="auto"/>
            <w:vAlign w:val="center"/>
            <w:hideMark/>
          </w:tcPr>
          <w:p w14:paraId="05F1FC4D" w14:textId="77777777" w:rsidR="00914E90" w:rsidRPr="00DC671E" w:rsidRDefault="00914E90" w:rsidP="008B444E">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1080" w:type="dxa"/>
            <w:shd w:val="clear" w:color="auto" w:fill="auto"/>
            <w:noWrap/>
            <w:vAlign w:val="center"/>
            <w:hideMark/>
          </w:tcPr>
          <w:p w14:paraId="2F68D3F1"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0.9</w:t>
            </w:r>
          </w:p>
        </w:tc>
      </w:tr>
      <w:tr w:rsidR="00914E90" w:rsidRPr="00DC671E" w14:paraId="0CD43A1A" w14:textId="77777777" w:rsidTr="008B444E">
        <w:trPr>
          <w:trHeight w:val="615"/>
          <w:jc w:val="center"/>
        </w:trPr>
        <w:tc>
          <w:tcPr>
            <w:tcW w:w="1080" w:type="dxa"/>
            <w:vMerge/>
            <w:vAlign w:val="center"/>
            <w:hideMark/>
          </w:tcPr>
          <w:p w14:paraId="462387DC" w14:textId="77777777" w:rsidR="00914E90" w:rsidRPr="00DC671E" w:rsidRDefault="00914E90" w:rsidP="008B444E">
            <w:pPr>
              <w:widowControl/>
              <w:rPr>
                <w:rFonts w:ascii="微软雅黑" w:eastAsia="微软雅黑" w:hAnsi="微软雅黑" w:cs="宋体"/>
                <w:color w:val="000000"/>
                <w:sz w:val="15"/>
                <w:szCs w:val="15"/>
              </w:rPr>
            </w:pPr>
          </w:p>
        </w:tc>
        <w:tc>
          <w:tcPr>
            <w:tcW w:w="1300" w:type="dxa"/>
            <w:vMerge/>
            <w:vAlign w:val="center"/>
            <w:hideMark/>
          </w:tcPr>
          <w:p w14:paraId="5C1FDF3B" w14:textId="77777777" w:rsidR="00914E90" w:rsidRPr="00DC671E" w:rsidRDefault="00914E90" w:rsidP="008B444E">
            <w:pPr>
              <w:widowControl/>
              <w:rPr>
                <w:rFonts w:ascii="微软雅黑" w:eastAsia="微软雅黑" w:hAnsi="微软雅黑" w:cs="宋体"/>
                <w:color w:val="000000"/>
                <w:sz w:val="15"/>
                <w:szCs w:val="15"/>
              </w:rPr>
            </w:pPr>
          </w:p>
        </w:tc>
        <w:tc>
          <w:tcPr>
            <w:tcW w:w="6600" w:type="dxa"/>
            <w:shd w:val="clear" w:color="auto" w:fill="auto"/>
            <w:vAlign w:val="center"/>
            <w:hideMark/>
          </w:tcPr>
          <w:p w14:paraId="4DC3D23E" w14:textId="77777777" w:rsidR="00914E90" w:rsidRPr="00DC671E" w:rsidRDefault="00914E90" w:rsidP="008B444E">
            <w:pPr>
              <w:widowControl/>
              <w:rPr>
                <w:rFonts w:ascii="微软雅黑" w:eastAsia="微软雅黑" w:hAnsi="微软雅黑" w:cs="宋体"/>
                <w:color w:val="000000"/>
                <w:sz w:val="15"/>
                <w:szCs w:val="15"/>
              </w:rPr>
            </w:pPr>
            <w:proofErr w:type="gramStart"/>
            <w:r w:rsidRPr="00DC671E">
              <w:rPr>
                <w:rFonts w:ascii="微软雅黑" w:eastAsia="微软雅黑" w:hAnsi="微软雅黑" w:cs="宋体" w:hint="eastAsia"/>
                <w:color w:val="000000"/>
                <w:sz w:val="15"/>
                <w:szCs w:val="15"/>
              </w:rPr>
              <w:t>医</w:t>
            </w:r>
            <w:proofErr w:type="gramEnd"/>
            <w:r w:rsidRPr="00DC671E">
              <w:rPr>
                <w:rFonts w:ascii="微软雅黑" w:eastAsia="微软雅黑" w:hAnsi="微软雅黑" w:cs="宋体" w:hint="eastAsia"/>
                <w:color w:val="000000"/>
                <w:sz w:val="15"/>
                <w:szCs w:val="15"/>
              </w:rPr>
              <w:t>卫慈善用地（指用于医疗保健、卫生防疫、急救康复、</w:t>
            </w:r>
            <w:proofErr w:type="gramStart"/>
            <w:r w:rsidRPr="00DC671E">
              <w:rPr>
                <w:rFonts w:ascii="微软雅黑" w:eastAsia="微软雅黑" w:hAnsi="微软雅黑" w:cs="宋体" w:hint="eastAsia"/>
                <w:color w:val="000000"/>
                <w:sz w:val="15"/>
                <w:szCs w:val="15"/>
              </w:rPr>
              <w:t>医</w:t>
            </w:r>
            <w:proofErr w:type="gramEnd"/>
            <w:r w:rsidRPr="00DC671E">
              <w:rPr>
                <w:rFonts w:ascii="微软雅黑" w:eastAsia="微软雅黑" w:hAnsi="微软雅黑" w:cs="宋体" w:hint="eastAsia"/>
                <w:color w:val="000000"/>
                <w:sz w:val="15"/>
                <w:szCs w:val="15"/>
              </w:rPr>
              <w:t>检药检、福利救助、养老设施等的用地）</w:t>
            </w:r>
          </w:p>
        </w:tc>
        <w:tc>
          <w:tcPr>
            <w:tcW w:w="1080" w:type="dxa"/>
            <w:shd w:val="clear" w:color="auto" w:fill="auto"/>
            <w:noWrap/>
            <w:vAlign w:val="center"/>
            <w:hideMark/>
          </w:tcPr>
          <w:p w14:paraId="6C657F5E"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0.9</w:t>
            </w:r>
          </w:p>
        </w:tc>
      </w:tr>
      <w:tr w:rsidR="00914E90" w:rsidRPr="00DC671E" w14:paraId="47C179B4" w14:textId="77777777" w:rsidTr="008B444E">
        <w:trPr>
          <w:trHeight w:val="405"/>
          <w:jc w:val="center"/>
        </w:trPr>
        <w:tc>
          <w:tcPr>
            <w:tcW w:w="1080" w:type="dxa"/>
            <w:vMerge/>
            <w:vAlign w:val="center"/>
            <w:hideMark/>
          </w:tcPr>
          <w:p w14:paraId="44C5C226" w14:textId="77777777" w:rsidR="00914E90" w:rsidRPr="00DC671E" w:rsidRDefault="00914E90" w:rsidP="008B444E">
            <w:pPr>
              <w:widowControl/>
              <w:rPr>
                <w:rFonts w:ascii="微软雅黑" w:eastAsia="微软雅黑" w:hAnsi="微软雅黑" w:cs="宋体"/>
                <w:color w:val="000000"/>
                <w:sz w:val="15"/>
                <w:szCs w:val="15"/>
              </w:rPr>
            </w:pPr>
          </w:p>
        </w:tc>
        <w:tc>
          <w:tcPr>
            <w:tcW w:w="1300" w:type="dxa"/>
            <w:vMerge/>
            <w:vAlign w:val="center"/>
            <w:hideMark/>
          </w:tcPr>
          <w:p w14:paraId="71B60950" w14:textId="77777777" w:rsidR="00914E90" w:rsidRPr="00DC671E" w:rsidRDefault="00914E90" w:rsidP="008B444E">
            <w:pPr>
              <w:widowControl/>
              <w:rPr>
                <w:rFonts w:ascii="微软雅黑" w:eastAsia="微软雅黑" w:hAnsi="微软雅黑" w:cs="宋体"/>
                <w:color w:val="000000"/>
                <w:sz w:val="15"/>
                <w:szCs w:val="15"/>
              </w:rPr>
            </w:pPr>
          </w:p>
        </w:tc>
        <w:tc>
          <w:tcPr>
            <w:tcW w:w="6600" w:type="dxa"/>
            <w:shd w:val="clear" w:color="auto" w:fill="auto"/>
            <w:noWrap/>
            <w:vAlign w:val="center"/>
            <w:hideMark/>
          </w:tcPr>
          <w:p w14:paraId="6F903646" w14:textId="77777777" w:rsidR="00914E90" w:rsidRPr="00DC671E" w:rsidRDefault="00914E90" w:rsidP="008B444E">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文体娱乐用地（指各类文化、体育及公共广场用地）</w:t>
            </w:r>
          </w:p>
        </w:tc>
        <w:tc>
          <w:tcPr>
            <w:tcW w:w="1080" w:type="dxa"/>
            <w:shd w:val="clear" w:color="auto" w:fill="auto"/>
            <w:noWrap/>
            <w:vAlign w:val="center"/>
            <w:hideMark/>
          </w:tcPr>
          <w:p w14:paraId="0A7F1125"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0.8</w:t>
            </w:r>
          </w:p>
        </w:tc>
      </w:tr>
      <w:tr w:rsidR="00914E90" w:rsidRPr="00DC671E" w14:paraId="64E78859" w14:textId="77777777" w:rsidTr="008B444E">
        <w:trPr>
          <w:trHeight w:val="615"/>
          <w:jc w:val="center"/>
        </w:trPr>
        <w:tc>
          <w:tcPr>
            <w:tcW w:w="1080" w:type="dxa"/>
            <w:vMerge/>
            <w:vAlign w:val="center"/>
            <w:hideMark/>
          </w:tcPr>
          <w:p w14:paraId="6466D03F" w14:textId="77777777" w:rsidR="00914E90" w:rsidRPr="00DC671E" w:rsidRDefault="00914E90" w:rsidP="008B444E">
            <w:pPr>
              <w:widowControl/>
              <w:rPr>
                <w:rFonts w:ascii="微软雅黑" w:eastAsia="微软雅黑" w:hAnsi="微软雅黑" w:cs="宋体"/>
                <w:color w:val="000000"/>
                <w:sz w:val="15"/>
                <w:szCs w:val="15"/>
              </w:rPr>
            </w:pPr>
          </w:p>
        </w:tc>
        <w:tc>
          <w:tcPr>
            <w:tcW w:w="1300" w:type="dxa"/>
            <w:vMerge/>
            <w:vAlign w:val="center"/>
            <w:hideMark/>
          </w:tcPr>
          <w:p w14:paraId="574FE344" w14:textId="77777777" w:rsidR="00914E90" w:rsidRPr="00DC671E" w:rsidRDefault="00914E90" w:rsidP="008B444E">
            <w:pPr>
              <w:widowControl/>
              <w:rPr>
                <w:rFonts w:ascii="微软雅黑" w:eastAsia="微软雅黑" w:hAnsi="微软雅黑" w:cs="宋体"/>
                <w:color w:val="000000"/>
                <w:sz w:val="15"/>
                <w:szCs w:val="15"/>
              </w:rPr>
            </w:pPr>
          </w:p>
        </w:tc>
        <w:tc>
          <w:tcPr>
            <w:tcW w:w="6600" w:type="dxa"/>
            <w:shd w:val="clear" w:color="auto" w:fill="auto"/>
            <w:vAlign w:val="center"/>
            <w:hideMark/>
          </w:tcPr>
          <w:p w14:paraId="2ECE9480" w14:textId="77777777" w:rsidR="00914E90" w:rsidRPr="00DC671E" w:rsidRDefault="00914E90" w:rsidP="008B444E">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产业用地（指高新技术产业研发与展示中心等产业用地）</w:t>
            </w:r>
          </w:p>
        </w:tc>
        <w:tc>
          <w:tcPr>
            <w:tcW w:w="1080" w:type="dxa"/>
            <w:shd w:val="clear" w:color="auto" w:fill="auto"/>
            <w:noWrap/>
            <w:vAlign w:val="center"/>
            <w:hideMark/>
          </w:tcPr>
          <w:p w14:paraId="4623C273"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0.8</w:t>
            </w:r>
          </w:p>
        </w:tc>
      </w:tr>
    </w:tbl>
    <w:p w14:paraId="21669E9E" w14:textId="77777777" w:rsidR="00914E90" w:rsidRPr="00F631FB" w:rsidRDefault="00914E90" w:rsidP="00914E90">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szCs w:val="28"/>
        </w:rPr>
        <w:t>依据上表，估价对象地上</w:t>
      </w:r>
      <w:r>
        <w:rPr>
          <w:rFonts w:ascii="Arial" w:eastAsia="仿宋_GB2312" w:hAnsi="Arial" w:cs="Arial" w:hint="eastAsia"/>
          <w:sz w:val="28"/>
          <w:szCs w:val="28"/>
        </w:rPr>
        <w:t>办公</w:t>
      </w:r>
      <w:r w:rsidRPr="00F631FB">
        <w:rPr>
          <w:rFonts w:ascii="Arial" w:eastAsia="仿宋_GB2312" w:hAnsi="Arial" w:cs="Arial" w:hint="eastAsia"/>
          <w:sz w:val="28"/>
          <w:szCs w:val="28"/>
        </w:rPr>
        <w:t>部分用途修正系数为</w:t>
      </w:r>
      <w:r w:rsidRPr="00F631FB">
        <w:rPr>
          <w:rFonts w:ascii="Arial" w:eastAsia="仿宋_GB2312" w:hAnsi="Arial" w:cs="Arial"/>
          <w:sz w:val="28"/>
          <w:szCs w:val="28"/>
        </w:rPr>
        <w:t>1</w:t>
      </w:r>
      <w:r w:rsidRPr="00F631FB">
        <w:rPr>
          <w:rFonts w:ascii="Arial" w:eastAsia="仿宋_GB2312" w:hAnsi="Arial" w:cs="Arial" w:hint="eastAsia"/>
          <w:sz w:val="28"/>
          <w:szCs w:val="28"/>
        </w:rPr>
        <w:t>。</w:t>
      </w:r>
    </w:p>
    <w:p w14:paraId="78DFD688"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3</w:t>
      </w:r>
      <w:r w:rsidRPr="00F631FB">
        <w:rPr>
          <w:rFonts w:ascii="Arial" w:eastAsia="仿宋_GB2312" w:hAnsi="Arial" w:cs="Arial"/>
          <w:sz w:val="28"/>
        </w:rPr>
        <w:t>）</w:t>
      </w:r>
      <w:r w:rsidRPr="00F631FB">
        <w:rPr>
          <w:rFonts w:ascii="Arial" w:eastAsia="仿宋_GB2312" w:hAnsi="Arial" w:cs="Arial"/>
          <w:sz w:val="28"/>
          <w:szCs w:val="28"/>
        </w:rPr>
        <w:t>期日修正系数的确定</w:t>
      </w:r>
    </w:p>
    <w:p w14:paraId="3E361605" w14:textId="77777777" w:rsidR="00914E90" w:rsidRPr="00F631FB" w:rsidRDefault="00914E90" w:rsidP="00914E90">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szCs w:val="28"/>
        </w:rPr>
        <w:t>北京市基准地价更新成果（二Ｏ一四年）》规定，基准地价期日修正系数必须以北京市地价动态监测成果公布的地价增值率为准。</w:t>
      </w:r>
    </w:p>
    <w:p w14:paraId="3BF785F9" w14:textId="77777777" w:rsidR="00914E90" w:rsidRDefault="00914E90" w:rsidP="00914E90">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北京市基准地价更新成果的基准日为</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1</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日，本次评估的估价期日为</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15</w:t>
      </w:r>
      <w:r>
        <w:rPr>
          <w:rFonts w:ascii="Arial" w:eastAsia="仿宋_GB2312" w:hAnsi="Arial" w:cs="Arial"/>
          <w:sz w:val="28"/>
          <w:szCs w:val="28"/>
        </w:rPr>
        <w:t>日</w:t>
      </w:r>
      <w:r w:rsidRPr="00F631FB">
        <w:rPr>
          <w:rFonts w:ascii="Arial" w:eastAsia="仿宋_GB2312" w:hAnsi="Arial" w:cs="Arial"/>
          <w:sz w:val="28"/>
          <w:szCs w:val="28"/>
        </w:rPr>
        <w:t>，熟地价期日修正以北京市地价动态监测成果公布的地价增长率为准：</w:t>
      </w:r>
    </w:p>
    <w:p w14:paraId="21DB783A" w14:textId="77777777" w:rsidR="00914E90" w:rsidRPr="00F631FB" w:rsidRDefault="00914E90" w:rsidP="00914E90">
      <w:pPr>
        <w:spacing w:line="360" w:lineRule="auto"/>
        <w:ind w:firstLineChars="200" w:firstLine="560"/>
        <w:jc w:val="center"/>
        <w:rPr>
          <w:rFonts w:ascii="Arial" w:eastAsia="仿宋_GB2312" w:hAnsi="Arial" w:cs="Arial"/>
          <w:sz w:val="28"/>
          <w:szCs w:val="28"/>
        </w:rPr>
      </w:pPr>
      <w:r w:rsidRPr="00F631FB">
        <w:rPr>
          <w:rFonts w:ascii="Arial" w:eastAsia="仿宋_GB2312" w:hAnsi="Arial" w:cs="Arial"/>
          <w:sz w:val="28"/>
          <w:szCs w:val="28"/>
        </w:rPr>
        <w:t>中国城市地价动态监测网站公布</w:t>
      </w:r>
    </w:p>
    <w:p w14:paraId="7BA00995" w14:textId="77777777" w:rsidR="00914E90" w:rsidRPr="00F631FB" w:rsidRDefault="00914E90" w:rsidP="00914E90">
      <w:pPr>
        <w:spacing w:line="360" w:lineRule="auto"/>
        <w:ind w:firstLineChars="200" w:firstLine="482"/>
        <w:jc w:val="center"/>
        <w:rPr>
          <w:rFonts w:ascii="Arial" w:eastAsia="仿宋_GB2312" w:hAnsi="Arial" w:cs="Arial"/>
          <w:b/>
          <w:szCs w:val="24"/>
        </w:rPr>
      </w:pPr>
      <w:r w:rsidRPr="00F631FB">
        <w:rPr>
          <w:rFonts w:ascii="Arial" w:eastAsia="仿宋_GB2312" w:hAnsi="Arial" w:cs="Arial"/>
          <w:b/>
          <w:szCs w:val="24"/>
        </w:rPr>
        <w:t xml:space="preserve">                          </w:t>
      </w:r>
      <w:r w:rsidRPr="00F631FB">
        <w:rPr>
          <w:rFonts w:ascii="Arial" w:eastAsia="仿宋_GB2312" w:hAnsi="Arial" w:cs="Arial"/>
          <w:b/>
          <w:szCs w:val="24"/>
        </w:rPr>
        <w:t>北京市地价增长率</w:t>
      </w:r>
      <w:r w:rsidRPr="00F631FB">
        <w:rPr>
          <w:rFonts w:ascii="Arial" w:eastAsia="仿宋_GB2312" w:hAnsi="Arial" w:cs="Arial"/>
          <w:b/>
          <w:szCs w:val="24"/>
        </w:rPr>
        <w:t xml:space="preserve">                   </w:t>
      </w:r>
      <w:r w:rsidRPr="00F631FB">
        <w:rPr>
          <w:rFonts w:ascii="Arial" w:eastAsia="仿宋_GB2312" w:hAnsi="Arial" w:cs="Arial"/>
          <w:b/>
          <w:szCs w:val="24"/>
        </w:rPr>
        <w:t>单位</w:t>
      </w:r>
      <w:r w:rsidRPr="00F631FB">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914E90" w:rsidRPr="00F631FB" w14:paraId="13A6A183" w14:textId="77777777" w:rsidTr="008B444E">
        <w:trPr>
          <w:cantSplit/>
          <w:trHeight w:val="20"/>
          <w:tblHeader/>
          <w:jc w:val="center"/>
        </w:trPr>
        <w:tc>
          <w:tcPr>
            <w:tcW w:w="1550" w:type="dxa"/>
            <w:vAlign w:val="center"/>
          </w:tcPr>
          <w:p w14:paraId="459C820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年度</w:t>
            </w:r>
          </w:p>
        </w:tc>
        <w:tc>
          <w:tcPr>
            <w:tcW w:w="1550" w:type="dxa"/>
            <w:vAlign w:val="center"/>
          </w:tcPr>
          <w:p w14:paraId="20352BC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季度</w:t>
            </w:r>
          </w:p>
        </w:tc>
        <w:tc>
          <w:tcPr>
            <w:tcW w:w="1525" w:type="dxa"/>
            <w:vAlign w:val="center"/>
          </w:tcPr>
          <w:p w14:paraId="32DD0D9E"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综合</w:t>
            </w:r>
          </w:p>
        </w:tc>
        <w:tc>
          <w:tcPr>
            <w:tcW w:w="1575" w:type="dxa"/>
            <w:vAlign w:val="center"/>
          </w:tcPr>
          <w:p w14:paraId="65603333"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商服</w:t>
            </w:r>
          </w:p>
        </w:tc>
        <w:tc>
          <w:tcPr>
            <w:tcW w:w="1550" w:type="dxa"/>
            <w:vAlign w:val="center"/>
          </w:tcPr>
          <w:p w14:paraId="36990C5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住宅</w:t>
            </w:r>
          </w:p>
        </w:tc>
        <w:tc>
          <w:tcPr>
            <w:tcW w:w="1549" w:type="dxa"/>
            <w:vAlign w:val="center"/>
          </w:tcPr>
          <w:p w14:paraId="287B0CC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工业</w:t>
            </w:r>
          </w:p>
        </w:tc>
      </w:tr>
      <w:tr w:rsidR="00914E90" w:rsidRPr="00F631FB" w14:paraId="68690BC9" w14:textId="77777777" w:rsidTr="008B444E">
        <w:trPr>
          <w:cantSplit/>
          <w:trHeight w:val="20"/>
          <w:jc w:val="center"/>
        </w:trPr>
        <w:tc>
          <w:tcPr>
            <w:tcW w:w="1550" w:type="dxa"/>
            <w:vMerge w:val="restart"/>
            <w:vAlign w:val="center"/>
          </w:tcPr>
          <w:p w14:paraId="7A8EE94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2021</w:t>
            </w:r>
          </w:p>
        </w:tc>
        <w:tc>
          <w:tcPr>
            <w:tcW w:w="1550" w:type="dxa"/>
            <w:vAlign w:val="center"/>
          </w:tcPr>
          <w:p w14:paraId="5798BFC1" w14:textId="77777777" w:rsidR="00914E90" w:rsidRPr="00F631FB" w:rsidRDefault="00914E90" w:rsidP="008B444E">
            <w:pPr>
              <w:spacing w:line="240" w:lineRule="auto"/>
              <w:jc w:val="center"/>
              <w:rPr>
                <w:rFonts w:ascii="Arial" w:eastAsia="仿宋_GB2312" w:hAnsi="Arial" w:cs="Arial"/>
                <w:sz w:val="21"/>
                <w:szCs w:val="21"/>
              </w:rPr>
            </w:pPr>
            <w:r w:rsidRPr="008C06DB">
              <w:rPr>
                <w:rFonts w:ascii="Arial" w:eastAsia="仿宋_GB2312" w:hAnsi="Arial" w:cs="Arial"/>
                <w:sz w:val="18"/>
                <w:szCs w:val="18"/>
              </w:rPr>
              <w:t>3</w:t>
            </w:r>
          </w:p>
        </w:tc>
        <w:tc>
          <w:tcPr>
            <w:tcW w:w="1525" w:type="dxa"/>
            <w:vAlign w:val="center"/>
          </w:tcPr>
          <w:p w14:paraId="1A014354" w14:textId="77777777" w:rsidR="00914E90" w:rsidRPr="00F631FB" w:rsidRDefault="00914E90" w:rsidP="008B444E">
            <w:pPr>
              <w:spacing w:line="240" w:lineRule="auto"/>
              <w:jc w:val="center"/>
              <w:rPr>
                <w:rFonts w:ascii="Arial" w:eastAsia="仿宋_GB2312" w:hAnsi="Arial" w:cs="Arial"/>
                <w:sz w:val="21"/>
                <w:szCs w:val="21"/>
              </w:rPr>
            </w:pPr>
            <w:r w:rsidRPr="008C06DB">
              <w:rPr>
                <w:rFonts w:ascii="Arial" w:eastAsia="仿宋_GB2312" w:hAnsi="Arial" w:cs="Arial"/>
                <w:sz w:val="18"/>
                <w:szCs w:val="18"/>
              </w:rPr>
              <w:t>0.47</w:t>
            </w:r>
          </w:p>
        </w:tc>
        <w:tc>
          <w:tcPr>
            <w:tcW w:w="1575" w:type="dxa"/>
            <w:vAlign w:val="center"/>
          </w:tcPr>
          <w:p w14:paraId="3D80BCCA" w14:textId="77777777" w:rsidR="00914E90" w:rsidRPr="00F631FB" w:rsidRDefault="00914E90" w:rsidP="008B444E">
            <w:pPr>
              <w:spacing w:line="240" w:lineRule="auto"/>
              <w:jc w:val="center"/>
              <w:rPr>
                <w:rFonts w:ascii="Arial" w:eastAsia="仿宋_GB2312" w:hAnsi="Arial" w:cs="Arial"/>
                <w:sz w:val="21"/>
                <w:szCs w:val="21"/>
              </w:rPr>
            </w:pPr>
            <w:r w:rsidRPr="008C06DB">
              <w:rPr>
                <w:rFonts w:ascii="Arial" w:eastAsia="仿宋_GB2312" w:hAnsi="Arial" w:cs="Arial"/>
                <w:sz w:val="18"/>
                <w:szCs w:val="18"/>
              </w:rPr>
              <w:t>0.41</w:t>
            </w:r>
          </w:p>
        </w:tc>
        <w:tc>
          <w:tcPr>
            <w:tcW w:w="1550" w:type="dxa"/>
            <w:vAlign w:val="center"/>
          </w:tcPr>
          <w:p w14:paraId="0ED771F8" w14:textId="77777777" w:rsidR="00914E90" w:rsidRPr="00F631FB" w:rsidRDefault="00914E90" w:rsidP="008B444E">
            <w:pPr>
              <w:spacing w:line="240" w:lineRule="auto"/>
              <w:jc w:val="center"/>
              <w:rPr>
                <w:rFonts w:ascii="Arial" w:eastAsia="仿宋_GB2312" w:hAnsi="Arial" w:cs="Arial"/>
                <w:sz w:val="21"/>
                <w:szCs w:val="21"/>
              </w:rPr>
            </w:pPr>
            <w:r w:rsidRPr="008C06DB">
              <w:rPr>
                <w:rFonts w:ascii="Arial" w:eastAsia="仿宋_GB2312" w:hAnsi="Arial" w:cs="Arial"/>
                <w:sz w:val="18"/>
                <w:szCs w:val="18"/>
              </w:rPr>
              <w:t>0.48</w:t>
            </w:r>
          </w:p>
        </w:tc>
        <w:tc>
          <w:tcPr>
            <w:tcW w:w="1549" w:type="dxa"/>
            <w:vAlign w:val="center"/>
          </w:tcPr>
          <w:p w14:paraId="7A3BEFBC" w14:textId="77777777" w:rsidR="00914E90" w:rsidRPr="00F631FB" w:rsidRDefault="00914E90" w:rsidP="008B444E">
            <w:pPr>
              <w:spacing w:line="240" w:lineRule="auto"/>
              <w:jc w:val="center"/>
              <w:rPr>
                <w:rFonts w:ascii="Arial" w:eastAsia="仿宋_GB2312" w:hAnsi="Arial" w:cs="Arial"/>
                <w:sz w:val="21"/>
                <w:szCs w:val="21"/>
              </w:rPr>
            </w:pPr>
            <w:r w:rsidRPr="008C06DB">
              <w:rPr>
                <w:rFonts w:ascii="Arial" w:eastAsia="仿宋_GB2312" w:hAnsi="Arial" w:cs="Arial"/>
                <w:sz w:val="18"/>
                <w:szCs w:val="18"/>
              </w:rPr>
              <w:t>0.48</w:t>
            </w:r>
          </w:p>
        </w:tc>
      </w:tr>
      <w:tr w:rsidR="00914E90" w:rsidRPr="00F631FB" w14:paraId="22852A74" w14:textId="77777777" w:rsidTr="008B444E">
        <w:trPr>
          <w:cantSplit/>
          <w:trHeight w:val="20"/>
          <w:jc w:val="center"/>
        </w:trPr>
        <w:tc>
          <w:tcPr>
            <w:tcW w:w="1550" w:type="dxa"/>
            <w:vMerge/>
            <w:vAlign w:val="center"/>
          </w:tcPr>
          <w:p w14:paraId="20F60E0A"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1A855E5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2</w:t>
            </w:r>
          </w:p>
        </w:tc>
        <w:tc>
          <w:tcPr>
            <w:tcW w:w="1525" w:type="dxa"/>
            <w:vAlign w:val="center"/>
          </w:tcPr>
          <w:p w14:paraId="0980044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0.92</w:t>
            </w:r>
          </w:p>
        </w:tc>
        <w:tc>
          <w:tcPr>
            <w:tcW w:w="1575" w:type="dxa"/>
            <w:vAlign w:val="center"/>
          </w:tcPr>
          <w:p w14:paraId="0F2FAEE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0.72</w:t>
            </w:r>
          </w:p>
        </w:tc>
        <w:tc>
          <w:tcPr>
            <w:tcW w:w="1550" w:type="dxa"/>
            <w:vAlign w:val="center"/>
          </w:tcPr>
          <w:p w14:paraId="3356328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0.95</w:t>
            </w:r>
          </w:p>
        </w:tc>
        <w:tc>
          <w:tcPr>
            <w:tcW w:w="1549" w:type="dxa"/>
            <w:vAlign w:val="center"/>
          </w:tcPr>
          <w:p w14:paraId="0CDD57F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1.01</w:t>
            </w:r>
          </w:p>
        </w:tc>
      </w:tr>
      <w:tr w:rsidR="00914E90" w:rsidRPr="00F631FB" w14:paraId="4E60B6D4" w14:textId="77777777" w:rsidTr="008B444E">
        <w:trPr>
          <w:cantSplit/>
          <w:trHeight w:val="20"/>
          <w:jc w:val="center"/>
        </w:trPr>
        <w:tc>
          <w:tcPr>
            <w:tcW w:w="1550" w:type="dxa"/>
            <w:vMerge/>
            <w:vAlign w:val="center"/>
          </w:tcPr>
          <w:p w14:paraId="69BA57B0"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2CC2F9F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4EFB67D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0.97</w:t>
            </w:r>
          </w:p>
        </w:tc>
        <w:tc>
          <w:tcPr>
            <w:tcW w:w="1575" w:type="dxa"/>
            <w:vAlign w:val="center"/>
          </w:tcPr>
          <w:p w14:paraId="1DCAB1E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0.16</w:t>
            </w:r>
          </w:p>
        </w:tc>
        <w:tc>
          <w:tcPr>
            <w:tcW w:w="1550" w:type="dxa"/>
            <w:vAlign w:val="center"/>
          </w:tcPr>
          <w:p w14:paraId="0417401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49" w:type="dxa"/>
            <w:vAlign w:val="center"/>
          </w:tcPr>
          <w:p w14:paraId="0B015D3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r>
      <w:tr w:rsidR="00914E90" w:rsidRPr="00F631FB" w14:paraId="70D30973" w14:textId="77777777" w:rsidTr="008B444E">
        <w:trPr>
          <w:cantSplit/>
          <w:trHeight w:val="20"/>
          <w:jc w:val="center"/>
        </w:trPr>
        <w:tc>
          <w:tcPr>
            <w:tcW w:w="1550" w:type="dxa"/>
            <w:vMerge w:val="restart"/>
            <w:vAlign w:val="center"/>
          </w:tcPr>
          <w:p w14:paraId="6F52CC4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2020</w:t>
            </w:r>
          </w:p>
        </w:tc>
        <w:tc>
          <w:tcPr>
            <w:tcW w:w="1550" w:type="dxa"/>
            <w:vAlign w:val="center"/>
          </w:tcPr>
          <w:p w14:paraId="5674149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3E46B94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2.07</w:t>
            </w:r>
          </w:p>
        </w:tc>
        <w:tc>
          <w:tcPr>
            <w:tcW w:w="1575" w:type="dxa"/>
            <w:vAlign w:val="center"/>
          </w:tcPr>
          <w:p w14:paraId="3A3F8DA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3329E88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2.35</w:t>
            </w:r>
          </w:p>
        </w:tc>
        <w:tc>
          <w:tcPr>
            <w:tcW w:w="1549" w:type="dxa"/>
            <w:vAlign w:val="center"/>
          </w:tcPr>
          <w:p w14:paraId="69C9767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2.69</w:t>
            </w:r>
          </w:p>
        </w:tc>
      </w:tr>
      <w:tr w:rsidR="00914E90" w:rsidRPr="00F631FB" w14:paraId="50D0F76A" w14:textId="77777777" w:rsidTr="008B444E">
        <w:trPr>
          <w:cantSplit/>
          <w:trHeight w:val="20"/>
          <w:jc w:val="center"/>
        </w:trPr>
        <w:tc>
          <w:tcPr>
            <w:tcW w:w="1550" w:type="dxa"/>
            <w:vMerge/>
            <w:vAlign w:val="center"/>
          </w:tcPr>
          <w:p w14:paraId="6B1E6687"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08503CA9"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0933DD5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c>
          <w:tcPr>
            <w:tcW w:w="1575" w:type="dxa"/>
            <w:vAlign w:val="center"/>
          </w:tcPr>
          <w:p w14:paraId="25BFF49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-0.39</w:t>
            </w:r>
          </w:p>
        </w:tc>
        <w:tc>
          <w:tcPr>
            <w:tcW w:w="1550" w:type="dxa"/>
            <w:vAlign w:val="center"/>
          </w:tcPr>
          <w:p w14:paraId="5016A9A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0.49</w:t>
            </w:r>
          </w:p>
        </w:tc>
        <w:tc>
          <w:tcPr>
            <w:tcW w:w="1549" w:type="dxa"/>
            <w:vAlign w:val="center"/>
          </w:tcPr>
          <w:p w14:paraId="10776E59"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0.07</w:t>
            </w:r>
          </w:p>
        </w:tc>
      </w:tr>
      <w:tr w:rsidR="00914E90" w:rsidRPr="00F631FB" w14:paraId="384B3A5E" w14:textId="77777777" w:rsidTr="008B444E">
        <w:trPr>
          <w:cantSplit/>
          <w:trHeight w:val="20"/>
          <w:jc w:val="center"/>
        </w:trPr>
        <w:tc>
          <w:tcPr>
            <w:tcW w:w="1550" w:type="dxa"/>
            <w:vMerge/>
            <w:vAlign w:val="center"/>
          </w:tcPr>
          <w:p w14:paraId="7BB0885A"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3E6BE5A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4C55DC0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0.31</w:t>
            </w:r>
          </w:p>
        </w:tc>
        <w:tc>
          <w:tcPr>
            <w:tcW w:w="1575" w:type="dxa"/>
            <w:vAlign w:val="center"/>
          </w:tcPr>
          <w:p w14:paraId="14E6163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-0.78</w:t>
            </w:r>
          </w:p>
        </w:tc>
        <w:tc>
          <w:tcPr>
            <w:tcW w:w="1550" w:type="dxa"/>
            <w:vAlign w:val="center"/>
          </w:tcPr>
          <w:p w14:paraId="59EFF00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0.5</w:t>
            </w:r>
          </w:p>
        </w:tc>
        <w:tc>
          <w:tcPr>
            <w:tcW w:w="1549" w:type="dxa"/>
            <w:vAlign w:val="center"/>
          </w:tcPr>
          <w:p w14:paraId="64D7725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0.47</w:t>
            </w:r>
          </w:p>
        </w:tc>
      </w:tr>
      <w:tr w:rsidR="00914E90" w:rsidRPr="00F631FB" w14:paraId="072AF4C3" w14:textId="77777777" w:rsidTr="008B444E">
        <w:trPr>
          <w:cantSplit/>
          <w:trHeight w:val="20"/>
          <w:jc w:val="center"/>
        </w:trPr>
        <w:tc>
          <w:tcPr>
            <w:tcW w:w="1550" w:type="dxa"/>
            <w:vMerge/>
            <w:vAlign w:val="center"/>
          </w:tcPr>
          <w:p w14:paraId="390B0729"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771E6FA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65AE6FF9"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75" w:type="dxa"/>
            <w:vAlign w:val="center"/>
          </w:tcPr>
          <w:p w14:paraId="700A8BAE"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-0.40</w:t>
            </w:r>
          </w:p>
        </w:tc>
        <w:tc>
          <w:tcPr>
            <w:tcW w:w="1550" w:type="dxa"/>
            <w:vAlign w:val="center"/>
          </w:tcPr>
          <w:p w14:paraId="5F9D8573"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49" w:type="dxa"/>
            <w:vAlign w:val="center"/>
          </w:tcPr>
          <w:p w14:paraId="391574B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0.27</w:t>
            </w:r>
          </w:p>
        </w:tc>
      </w:tr>
      <w:tr w:rsidR="00914E90" w:rsidRPr="00F631FB" w14:paraId="163F3FA8" w14:textId="77777777" w:rsidTr="008B444E">
        <w:trPr>
          <w:cantSplit/>
          <w:trHeight w:val="20"/>
          <w:jc w:val="center"/>
        </w:trPr>
        <w:tc>
          <w:tcPr>
            <w:tcW w:w="1550" w:type="dxa"/>
            <w:vMerge w:val="restart"/>
            <w:vAlign w:val="center"/>
          </w:tcPr>
          <w:p w14:paraId="15FC886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2019</w:t>
            </w:r>
          </w:p>
        </w:tc>
        <w:tc>
          <w:tcPr>
            <w:tcW w:w="1550" w:type="dxa"/>
            <w:vAlign w:val="center"/>
          </w:tcPr>
          <w:p w14:paraId="140892CF"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27F4D11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0.45</w:t>
            </w:r>
          </w:p>
        </w:tc>
        <w:tc>
          <w:tcPr>
            <w:tcW w:w="1575" w:type="dxa"/>
            <w:vAlign w:val="center"/>
          </w:tcPr>
          <w:p w14:paraId="76051FB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50" w:type="dxa"/>
            <w:vAlign w:val="center"/>
          </w:tcPr>
          <w:p w14:paraId="3D9D8AB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49" w:type="dxa"/>
            <w:vAlign w:val="center"/>
          </w:tcPr>
          <w:p w14:paraId="5FDF57F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r>
      <w:tr w:rsidR="00914E90" w:rsidRPr="00F631FB" w14:paraId="2CF6E012" w14:textId="77777777" w:rsidTr="008B444E">
        <w:trPr>
          <w:cantSplit/>
          <w:trHeight w:val="20"/>
          <w:jc w:val="center"/>
        </w:trPr>
        <w:tc>
          <w:tcPr>
            <w:tcW w:w="1550" w:type="dxa"/>
            <w:vMerge/>
            <w:vAlign w:val="center"/>
          </w:tcPr>
          <w:p w14:paraId="1379D318"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43A4090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06FA1135"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0.61</w:t>
            </w:r>
          </w:p>
        </w:tc>
        <w:tc>
          <w:tcPr>
            <w:tcW w:w="1575" w:type="dxa"/>
            <w:vAlign w:val="center"/>
          </w:tcPr>
          <w:p w14:paraId="4272C75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0.67</w:t>
            </w:r>
          </w:p>
        </w:tc>
        <w:tc>
          <w:tcPr>
            <w:tcW w:w="1550" w:type="dxa"/>
            <w:vAlign w:val="center"/>
          </w:tcPr>
          <w:p w14:paraId="48553695"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49" w:type="dxa"/>
            <w:vAlign w:val="center"/>
          </w:tcPr>
          <w:p w14:paraId="081BC8E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r>
      <w:tr w:rsidR="00914E90" w:rsidRPr="00F631FB" w14:paraId="0C8F1E2A" w14:textId="77777777" w:rsidTr="008B444E">
        <w:trPr>
          <w:cantSplit/>
          <w:trHeight w:val="20"/>
          <w:jc w:val="center"/>
        </w:trPr>
        <w:tc>
          <w:tcPr>
            <w:tcW w:w="1550" w:type="dxa"/>
            <w:vMerge/>
            <w:vAlign w:val="center"/>
          </w:tcPr>
          <w:p w14:paraId="15FED514"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6C411F2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19541E0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1.53</w:t>
            </w:r>
          </w:p>
        </w:tc>
        <w:tc>
          <w:tcPr>
            <w:tcW w:w="1575" w:type="dxa"/>
            <w:vAlign w:val="center"/>
          </w:tcPr>
          <w:p w14:paraId="4B113295"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1.01</w:t>
            </w:r>
          </w:p>
        </w:tc>
        <w:tc>
          <w:tcPr>
            <w:tcW w:w="1550" w:type="dxa"/>
            <w:vAlign w:val="center"/>
          </w:tcPr>
          <w:p w14:paraId="6DCE6CDF"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1.62</w:t>
            </w:r>
          </w:p>
        </w:tc>
        <w:tc>
          <w:tcPr>
            <w:tcW w:w="1549" w:type="dxa"/>
            <w:vAlign w:val="center"/>
          </w:tcPr>
          <w:p w14:paraId="233392B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1.25</w:t>
            </w:r>
          </w:p>
        </w:tc>
      </w:tr>
      <w:tr w:rsidR="00914E90" w:rsidRPr="00F631FB" w14:paraId="295E0E55" w14:textId="77777777" w:rsidTr="008B444E">
        <w:trPr>
          <w:cantSplit/>
          <w:trHeight w:val="20"/>
          <w:jc w:val="center"/>
        </w:trPr>
        <w:tc>
          <w:tcPr>
            <w:tcW w:w="1550" w:type="dxa"/>
            <w:vMerge/>
            <w:vAlign w:val="center"/>
          </w:tcPr>
          <w:p w14:paraId="6984FBE2"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2DC00A0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3B4CC0B3"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75" w:type="dxa"/>
            <w:vAlign w:val="center"/>
          </w:tcPr>
          <w:p w14:paraId="0A8961EE"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537EA533"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0.63</w:t>
            </w:r>
          </w:p>
        </w:tc>
        <w:tc>
          <w:tcPr>
            <w:tcW w:w="1549" w:type="dxa"/>
            <w:vAlign w:val="center"/>
          </w:tcPr>
          <w:p w14:paraId="3C94892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1.13</w:t>
            </w:r>
          </w:p>
        </w:tc>
      </w:tr>
      <w:tr w:rsidR="00914E90" w:rsidRPr="00F631FB" w14:paraId="1BDEE8FF" w14:textId="77777777" w:rsidTr="008B444E">
        <w:trPr>
          <w:cantSplit/>
          <w:trHeight w:val="20"/>
          <w:jc w:val="center"/>
        </w:trPr>
        <w:tc>
          <w:tcPr>
            <w:tcW w:w="1550" w:type="dxa"/>
            <w:vMerge w:val="restart"/>
            <w:vAlign w:val="center"/>
          </w:tcPr>
          <w:p w14:paraId="1858AE1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2018</w:t>
            </w:r>
          </w:p>
        </w:tc>
        <w:tc>
          <w:tcPr>
            <w:tcW w:w="1550" w:type="dxa"/>
            <w:vAlign w:val="center"/>
          </w:tcPr>
          <w:p w14:paraId="1D1A9E3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2133736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75" w:type="dxa"/>
            <w:vAlign w:val="center"/>
          </w:tcPr>
          <w:p w14:paraId="4DDDFED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c>
          <w:tcPr>
            <w:tcW w:w="1550" w:type="dxa"/>
            <w:vAlign w:val="center"/>
          </w:tcPr>
          <w:p w14:paraId="58867D8F"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49" w:type="dxa"/>
            <w:vAlign w:val="center"/>
          </w:tcPr>
          <w:p w14:paraId="3A8BAFA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1.29</w:t>
            </w:r>
          </w:p>
        </w:tc>
      </w:tr>
      <w:tr w:rsidR="00914E90" w:rsidRPr="00F631FB" w14:paraId="1BD7EC93" w14:textId="77777777" w:rsidTr="008B444E">
        <w:trPr>
          <w:cantSplit/>
          <w:trHeight w:val="20"/>
          <w:jc w:val="center"/>
        </w:trPr>
        <w:tc>
          <w:tcPr>
            <w:tcW w:w="1550" w:type="dxa"/>
            <w:vMerge/>
            <w:vAlign w:val="center"/>
          </w:tcPr>
          <w:p w14:paraId="519D491D"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1A0ACC8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2B544B1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1.51</w:t>
            </w:r>
          </w:p>
        </w:tc>
        <w:tc>
          <w:tcPr>
            <w:tcW w:w="1575" w:type="dxa"/>
            <w:vAlign w:val="center"/>
          </w:tcPr>
          <w:p w14:paraId="5BD10C6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c>
          <w:tcPr>
            <w:tcW w:w="1550" w:type="dxa"/>
            <w:vAlign w:val="center"/>
          </w:tcPr>
          <w:p w14:paraId="7DD629A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c>
          <w:tcPr>
            <w:tcW w:w="1549" w:type="dxa"/>
            <w:vAlign w:val="center"/>
          </w:tcPr>
          <w:p w14:paraId="1C08E22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1.74</w:t>
            </w:r>
          </w:p>
        </w:tc>
      </w:tr>
      <w:tr w:rsidR="00914E90" w:rsidRPr="00F631FB" w14:paraId="0AADDF49" w14:textId="77777777" w:rsidTr="008B444E">
        <w:trPr>
          <w:cantSplit/>
          <w:trHeight w:val="20"/>
          <w:jc w:val="center"/>
        </w:trPr>
        <w:tc>
          <w:tcPr>
            <w:tcW w:w="1550" w:type="dxa"/>
            <w:vMerge/>
            <w:vAlign w:val="center"/>
          </w:tcPr>
          <w:p w14:paraId="459B7C0C"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78F2BE7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13828AFE"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1.49</w:t>
            </w:r>
          </w:p>
        </w:tc>
        <w:tc>
          <w:tcPr>
            <w:tcW w:w="1575" w:type="dxa"/>
            <w:vAlign w:val="center"/>
          </w:tcPr>
          <w:p w14:paraId="121AF423"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50" w:type="dxa"/>
            <w:vAlign w:val="center"/>
          </w:tcPr>
          <w:p w14:paraId="2F14AF9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c>
          <w:tcPr>
            <w:tcW w:w="1549" w:type="dxa"/>
            <w:vAlign w:val="center"/>
          </w:tcPr>
          <w:p w14:paraId="47A11BA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2.44</w:t>
            </w:r>
          </w:p>
        </w:tc>
      </w:tr>
      <w:tr w:rsidR="00914E90" w:rsidRPr="00F631FB" w14:paraId="624387C4" w14:textId="77777777" w:rsidTr="008B444E">
        <w:trPr>
          <w:cantSplit/>
          <w:trHeight w:val="20"/>
          <w:jc w:val="center"/>
        </w:trPr>
        <w:tc>
          <w:tcPr>
            <w:tcW w:w="1550" w:type="dxa"/>
            <w:vMerge/>
            <w:vAlign w:val="center"/>
          </w:tcPr>
          <w:p w14:paraId="4B5BA74B"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162DD5C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776F95A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1.7</w:t>
            </w:r>
          </w:p>
        </w:tc>
        <w:tc>
          <w:tcPr>
            <w:tcW w:w="1575" w:type="dxa"/>
            <w:vAlign w:val="center"/>
          </w:tcPr>
          <w:p w14:paraId="0ECCF765"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683B9B5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1.64</w:t>
            </w:r>
          </w:p>
        </w:tc>
        <w:tc>
          <w:tcPr>
            <w:tcW w:w="1549" w:type="dxa"/>
            <w:vAlign w:val="center"/>
          </w:tcPr>
          <w:p w14:paraId="51C3DEB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2.01</w:t>
            </w:r>
          </w:p>
        </w:tc>
      </w:tr>
      <w:tr w:rsidR="00914E90" w:rsidRPr="00F631FB" w14:paraId="34DBFFBC" w14:textId="77777777" w:rsidTr="008B444E">
        <w:trPr>
          <w:cantSplit/>
          <w:trHeight w:val="20"/>
          <w:jc w:val="center"/>
        </w:trPr>
        <w:tc>
          <w:tcPr>
            <w:tcW w:w="1550" w:type="dxa"/>
            <w:vMerge w:val="restart"/>
            <w:vAlign w:val="center"/>
          </w:tcPr>
          <w:p w14:paraId="53BC450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2017</w:t>
            </w:r>
          </w:p>
        </w:tc>
        <w:tc>
          <w:tcPr>
            <w:tcW w:w="1550" w:type="dxa"/>
            <w:vAlign w:val="center"/>
          </w:tcPr>
          <w:p w14:paraId="78B089F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27AA791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75" w:type="dxa"/>
            <w:vAlign w:val="center"/>
          </w:tcPr>
          <w:p w14:paraId="51F43A9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1.78</w:t>
            </w:r>
          </w:p>
        </w:tc>
        <w:tc>
          <w:tcPr>
            <w:tcW w:w="1550" w:type="dxa"/>
            <w:vAlign w:val="center"/>
          </w:tcPr>
          <w:p w14:paraId="2178F83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49" w:type="dxa"/>
            <w:vAlign w:val="center"/>
          </w:tcPr>
          <w:p w14:paraId="38D740C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1.43</w:t>
            </w:r>
          </w:p>
        </w:tc>
      </w:tr>
      <w:tr w:rsidR="00914E90" w:rsidRPr="00F631FB" w14:paraId="5AFF948A" w14:textId="77777777" w:rsidTr="008B444E">
        <w:trPr>
          <w:cantSplit/>
          <w:trHeight w:val="20"/>
          <w:jc w:val="center"/>
        </w:trPr>
        <w:tc>
          <w:tcPr>
            <w:tcW w:w="1550" w:type="dxa"/>
            <w:vMerge/>
            <w:vAlign w:val="center"/>
          </w:tcPr>
          <w:p w14:paraId="76EE9E0B"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3B32088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097DF8B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2.98</w:t>
            </w:r>
          </w:p>
        </w:tc>
        <w:tc>
          <w:tcPr>
            <w:tcW w:w="1575" w:type="dxa"/>
            <w:vAlign w:val="center"/>
          </w:tcPr>
          <w:p w14:paraId="40BA430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2.11</w:t>
            </w:r>
          </w:p>
        </w:tc>
        <w:tc>
          <w:tcPr>
            <w:tcW w:w="1550" w:type="dxa"/>
            <w:vAlign w:val="center"/>
          </w:tcPr>
          <w:p w14:paraId="44A9CA7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3.24</w:t>
            </w:r>
          </w:p>
        </w:tc>
        <w:tc>
          <w:tcPr>
            <w:tcW w:w="1549" w:type="dxa"/>
            <w:vAlign w:val="center"/>
          </w:tcPr>
          <w:p w14:paraId="40C830A9"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1.72</w:t>
            </w:r>
          </w:p>
        </w:tc>
      </w:tr>
      <w:tr w:rsidR="00914E90" w:rsidRPr="00F631FB" w14:paraId="69533C3F" w14:textId="77777777" w:rsidTr="008B444E">
        <w:trPr>
          <w:cantSplit/>
          <w:trHeight w:val="20"/>
          <w:jc w:val="center"/>
        </w:trPr>
        <w:tc>
          <w:tcPr>
            <w:tcW w:w="1550" w:type="dxa"/>
            <w:vMerge/>
            <w:vAlign w:val="center"/>
          </w:tcPr>
          <w:p w14:paraId="19F26779"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037851A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39E1D64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3.4</w:t>
            </w:r>
          </w:p>
        </w:tc>
        <w:tc>
          <w:tcPr>
            <w:tcW w:w="1575" w:type="dxa"/>
            <w:vAlign w:val="center"/>
          </w:tcPr>
          <w:p w14:paraId="27E539E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1FEA446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3.82</w:t>
            </w:r>
          </w:p>
        </w:tc>
        <w:tc>
          <w:tcPr>
            <w:tcW w:w="1549" w:type="dxa"/>
            <w:vAlign w:val="center"/>
          </w:tcPr>
          <w:p w14:paraId="794F112F"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1.68</w:t>
            </w:r>
          </w:p>
        </w:tc>
      </w:tr>
      <w:tr w:rsidR="00914E90" w:rsidRPr="00F631FB" w14:paraId="38E08128" w14:textId="77777777" w:rsidTr="008B444E">
        <w:trPr>
          <w:cantSplit/>
          <w:trHeight w:val="20"/>
          <w:jc w:val="center"/>
        </w:trPr>
        <w:tc>
          <w:tcPr>
            <w:tcW w:w="1550" w:type="dxa"/>
            <w:vMerge/>
            <w:vAlign w:val="center"/>
          </w:tcPr>
          <w:p w14:paraId="393B269C"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2D4513D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4E1667B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3.45</w:t>
            </w:r>
          </w:p>
        </w:tc>
        <w:tc>
          <w:tcPr>
            <w:tcW w:w="1575" w:type="dxa"/>
            <w:vAlign w:val="center"/>
          </w:tcPr>
          <w:p w14:paraId="4C96683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41290CC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3.92</w:t>
            </w:r>
          </w:p>
        </w:tc>
        <w:tc>
          <w:tcPr>
            <w:tcW w:w="1549" w:type="dxa"/>
            <w:vAlign w:val="center"/>
          </w:tcPr>
          <w:p w14:paraId="5EDBFF5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r>
      <w:tr w:rsidR="00914E90" w:rsidRPr="00F631FB" w14:paraId="0CA58B77" w14:textId="77777777" w:rsidTr="008B444E">
        <w:trPr>
          <w:cantSplit/>
          <w:trHeight w:val="20"/>
          <w:jc w:val="center"/>
        </w:trPr>
        <w:tc>
          <w:tcPr>
            <w:tcW w:w="1550" w:type="dxa"/>
            <w:vMerge w:val="restart"/>
            <w:vAlign w:val="center"/>
          </w:tcPr>
          <w:p w14:paraId="17C7A45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2016</w:t>
            </w:r>
          </w:p>
        </w:tc>
        <w:tc>
          <w:tcPr>
            <w:tcW w:w="1550" w:type="dxa"/>
            <w:vAlign w:val="center"/>
          </w:tcPr>
          <w:p w14:paraId="60F94C8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56FA324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4.56</w:t>
            </w:r>
          </w:p>
        </w:tc>
        <w:tc>
          <w:tcPr>
            <w:tcW w:w="1575" w:type="dxa"/>
            <w:vAlign w:val="center"/>
          </w:tcPr>
          <w:p w14:paraId="5767E06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2.15</w:t>
            </w:r>
          </w:p>
        </w:tc>
        <w:tc>
          <w:tcPr>
            <w:tcW w:w="1550" w:type="dxa"/>
            <w:vAlign w:val="center"/>
          </w:tcPr>
          <w:p w14:paraId="4719A17F"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5.32</w:t>
            </w:r>
          </w:p>
        </w:tc>
        <w:tc>
          <w:tcPr>
            <w:tcW w:w="1549" w:type="dxa"/>
            <w:vAlign w:val="center"/>
          </w:tcPr>
          <w:p w14:paraId="3D554E3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1.57</w:t>
            </w:r>
          </w:p>
        </w:tc>
      </w:tr>
      <w:tr w:rsidR="00914E90" w:rsidRPr="00F631FB" w14:paraId="027F5CF1" w14:textId="77777777" w:rsidTr="008B444E">
        <w:trPr>
          <w:cantSplit/>
          <w:trHeight w:val="20"/>
          <w:jc w:val="center"/>
        </w:trPr>
        <w:tc>
          <w:tcPr>
            <w:tcW w:w="1550" w:type="dxa"/>
            <w:vMerge/>
            <w:vAlign w:val="center"/>
          </w:tcPr>
          <w:p w14:paraId="45E409A8"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5853391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0BC0FC2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4.12</w:t>
            </w:r>
          </w:p>
        </w:tc>
        <w:tc>
          <w:tcPr>
            <w:tcW w:w="1575" w:type="dxa"/>
            <w:vAlign w:val="center"/>
          </w:tcPr>
          <w:p w14:paraId="0595EF69"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640E4C0F"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4.79</w:t>
            </w:r>
          </w:p>
        </w:tc>
        <w:tc>
          <w:tcPr>
            <w:tcW w:w="1549" w:type="dxa"/>
            <w:vAlign w:val="center"/>
          </w:tcPr>
          <w:p w14:paraId="1388CF2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1.97</w:t>
            </w:r>
          </w:p>
        </w:tc>
      </w:tr>
      <w:tr w:rsidR="00914E90" w:rsidRPr="00F631FB" w14:paraId="54CC0E71" w14:textId="77777777" w:rsidTr="008B444E">
        <w:trPr>
          <w:cantSplit/>
          <w:trHeight w:val="20"/>
          <w:jc w:val="center"/>
        </w:trPr>
        <w:tc>
          <w:tcPr>
            <w:tcW w:w="1550" w:type="dxa"/>
            <w:vMerge/>
            <w:vAlign w:val="center"/>
          </w:tcPr>
          <w:p w14:paraId="6B1D3A40"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5B50AC0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40E36B6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3.85</w:t>
            </w:r>
          </w:p>
        </w:tc>
        <w:tc>
          <w:tcPr>
            <w:tcW w:w="1575" w:type="dxa"/>
            <w:vAlign w:val="center"/>
          </w:tcPr>
          <w:p w14:paraId="6F9CC58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1.95</w:t>
            </w:r>
          </w:p>
        </w:tc>
        <w:tc>
          <w:tcPr>
            <w:tcW w:w="1550" w:type="dxa"/>
            <w:vAlign w:val="center"/>
          </w:tcPr>
          <w:p w14:paraId="6C52CE3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4.48</w:t>
            </w:r>
          </w:p>
        </w:tc>
        <w:tc>
          <w:tcPr>
            <w:tcW w:w="1549" w:type="dxa"/>
            <w:vAlign w:val="center"/>
          </w:tcPr>
          <w:p w14:paraId="3FBD1B45"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r>
      <w:tr w:rsidR="00914E90" w:rsidRPr="00F631FB" w14:paraId="4085CE85" w14:textId="77777777" w:rsidTr="008B444E">
        <w:trPr>
          <w:cantSplit/>
          <w:trHeight w:val="20"/>
          <w:jc w:val="center"/>
        </w:trPr>
        <w:tc>
          <w:tcPr>
            <w:tcW w:w="1550" w:type="dxa"/>
            <w:vMerge/>
            <w:vAlign w:val="center"/>
          </w:tcPr>
          <w:p w14:paraId="3352DFDD"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0D6300D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2A23427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4.09</w:t>
            </w:r>
          </w:p>
        </w:tc>
        <w:tc>
          <w:tcPr>
            <w:tcW w:w="1575" w:type="dxa"/>
            <w:vAlign w:val="center"/>
          </w:tcPr>
          <w:p w14:paraId="25B9C8B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2.93</w:t>
            </w:r>
          </w:p>
        </w:tc>
        <w:tc>
          <w:tcPr>
            <w:tcW w:w="1550" w:type="dxa"/>
            <w:vAlign w:val="center"/>
          </w:tcPr>
          <w:p w14:paraId="6354F2A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4.54</w:t>
            </w:r>
          </w:p>
        </w:tc>
        <w:tc>
          <w:tcPr>
            <w:tcW w:w="1549" w:type="dxa"/>
            <w:vAlign w:val="center"/>
          </w:tcPr>
          <w:p w14:paraId="4CED23DE"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1.48</w:t>
            </w:r>
          </w:p>
        </w:tc>
      </w:tr>
      <w:tr w:rsidR="00914E90" w:rsidRPr="00F631FB" w14:paraId="73E6C216" w14:textId="77777777" w:rsidTr="008B444E">
        <w:trPr>
          <w:cantSplit/>
          <w:trHeight w:val="20"/>
          <w:jc w:val="center"/>
        </w:trPr>
        <w:tc>
          <w:tcPr>
            <w:tcW w:w="1550" w:type="dxa"/>
            <w:vMerge w:val="restart"/>
            <w:vAlign w:val="center"/>
          </w:tcPr>
          <w:p w14:paraId="68509A1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2015</w:t>
            </w:r>
          </w:p>
        </w:tc>
        <w:tc>
          <w:tcPr>
            <w:tcW w:w="1550" w:type="dxa"/>
            <w:vAlign w:val="center"/>
          </w:tcPr>
          <w:p w14:paraId="7734FD2F"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46E1EC2F"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1.63</w:t>
            </w:r>
          </w:p>
        </w:tc>
        <w:tc>
          <w:tcPr>
            <w:tcW w:w="1575" w:type="dxa"/>
            <w:vAlign w:val="center"/>
          </w:tcPr>
          <w:p w14:paraId="642EA78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50" w:type="dxa"/>
            <w:vAlign w:val="center"/>
          </w:tcPr>
          <w:p w14:paraId="6CDCF74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1.77</w:t>
            </w:r>
          </w:p>
        </w:tc>
        <w:tc>
          <w:tcPr>
            <w:tcW w:w="1549" w:type="dxa"/>
            <w:vAlign w:val="center"/>
          </w:tcPr>
          <w:p w14:paraId="74080CF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1.89</w:t>
            </w:r>
          </w:p>
        </w:tc>
      </w:tr>
      <w:tr w:rsidR="00914E90" w:rsidRPr="00F631FB" w14:paraId="198FD8E9" w14:textId="77777777" w:rsidTr="008B444E">
        <w:trPr>
          <w:cantSplit/>
          <w:trHeight w:val="20"/>
          <w:jc w:val="center"/>
        </w:trPr>
        <w:tc>
          <w:tcPr>
            <w:tcW w:w="1550" w:type="dxa"/>
            <w:vMerge/>
            <w:vAlign w:val="center"/>
          </w:tcPr>
          <w:p w14:paraId="76B0BC27"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752F0F3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296886B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1.65</w:t>
            </w:r>
          </w:p>
        </w:tc>
        <w:tc>
          <w:tcPr>
            <w:tcW w:w="1575" w:type="dxa"/>
            <w:vAlign w:val="center"/>
          </w:tcPr>
          <w:p w14:paraId="2A05793E"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50" w:type="dxa"/>
            <w:vAlign w:val="center"/>
          </w:tcPr>
          <w:p w14:paraId="2F091A0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1.88</w:t>
            </w:r>
          </w:p>
        </w:tc>
        <w:tc>
          <w:tcPr>
            <w:tcW w:w="1549" w:type="dxa"/>
            <w:vAlign w:val="center"/>
          </w:tcPr>
          <w:p w14:paraId="0B38B54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1.26</w:t>
            </w:r>
          </w:p>
        </w:tc>
      </w:tr>
      <w:tr w:rsidR="00914E90" w:rsidRPr="00F631FB" w14:paraId="12AAD976" w14:textId="77777777" w:rsidTr="008B444E">
        <w:trPr>
          <w:cantSplit/>
          <w:trHeight w:val="20"/>
          <w:jc w:val="center"/>
        </w:trPr>
        <w:tc>
          <w:tcPr>
            <w:tcW w:w="1550" w:type="dxa"/>
            <w:vMerge/>
            <w:vAlign w:val="center"/>
          </w:tcPr>
          <w:p w14:paraId="3E81343E"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7DBE00F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7D37164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0.77</w:t>
            </w:r>
          </w:p>
        </w:tc>
        <w:tc>
          <w:tcPr>
            <w:tcW w:w="1575" w:type="dxa"/>
            <w:vAlign w:val="center"/>
          </w:tcPr>
          <w:p w14:paraId="455DD3C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0.69</w:t>
            </w:r>
          </w:p>
        </w:tc>
        <w:tc>
          <w:tcPr>
            <w:tcW w:w="1550" w:type="dxa"/>
            <w:vAlign w:val="center"/>
          </w:tcPr>
          <w:p w14:paraId="3B92E94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0.8</w:t>
            </w:r>
          </w:p>
        </w:tc>
        <w:tc>
          <w:tcPr>
            <w:tcW w:w="1549" w:type="dxa"/>
            <w:vAlign w:val="center"/>
          </w:tcPr>
          <w:p w14:paraId="0E0C8DD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0.88</w:t>
            </w:r>
          </w:p>
        </w:tc>
      </w:tr>
      <w:tr w:rsidR="00914E90" w:rsidRPr="00F631FB" w14:paraId="587FC513" w14:textId="77777777" w:rsidTr="008B444E">
        <w:trPr>
          <w:cantSplit/>
          <w:trHeight w:val="20"/>
          <w:jc w:val="center"/>
        </w:trPr>
        <w:tc>
          <w:tcPr>
            <w:tcW w:w="1550" w:type="dxa"/>
            <w:vMerge/>
            <w:vAlign w:val="center"/>
          </w:tcPr>
          <w:p w14:paraId="3F65419C"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2A92CAE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5C7FA3F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0.51</w:t>
            </w:r>
          </w:p>
        </w:tc>
        <w:tc>
          <w:tcPr>
            <w:tcW w:w="1575" w:type="dxa"/>
            <w:vAlign w:val="center"/>
          </w:tcPr>
          <w:p w14:paraId="27C2FC1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50" w:type="dxa"/>
            <w:vAlign w:val="center"/>
          </w:tcPr>
          <w:p w14:paraId="7E4E271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c>
          <w:tcPr>
            <w:tcW w:w="1549" w:type="dxa"/>
            <w:vAlign w:val="center"/>
          </w:tcPr>
          <w:p w14:paraId="173E9FA9"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0.93</w:t>
            </w:r>
          </w:p>
        </w:tc>
      </w:tr>
      <w:tr w:rsidR="00914E90" w:rsidRPr="00F631FB" w14:paraId="6E4C529E" w14:textId="77777777" w:rsidTr="008B444E">
        <w:trPr>
          <w:cantSplit/>
          <w:trHeight w:val="20"/>
          <w:jc w:val="center"/>
        </w:trPr>
        <w:tc>
          <w:tcPr>
            <w:tcW w:w="1550" w:type="dxa"/>
            <w:vMerge w:val="restart"/>
            <w:vAlign w:val="center"/>
          </w:tcPr>
          <w:p w14:paraId="38B849F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2014</w:t>
            </w:r>
          </w:p>
        </w:tc>
        <w:tc>
          <w:tcPr>
            <w:tcW w:w="1550" w:type="dxa"/>
            <w:vAlign w:val="center"/>
          </w:tcPr>
          <w:p w14:paraId="10FA36F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6A1B57F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75" w:type="dxa"/>
            <w:vAlign w:val="center"/>
          </w:tcPr>
          <w:p w14:paraId="360AFF2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0.41</w:t>
            </w:r>
          </w:p>
        </w:tc>
        <w:tc>
          <w:tcPr>
            <w:tcW w:w="1550" w:type="dxa"/>
            <w:vAlign w:val="center"/>
          </w:tcPr>
          <w:p w14:paraId="5EEAE27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49" w:type="dxa"/>
            <w:vAlign w:val="center"/>
          </w:tcPr>
          <w:p w14:paraId="73FDE523"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0.89</w:t>
            </w:r>
          </w:p>
        </w:tc>
      </w:tr>
      <w:tr w:rsidR="00914E90" w:rsidRPr="00F631FB" w14:paraId="185FBC9F" w14:textId="77777777" w:rsidTr="008B444E">
        <w:trPr>
          <w:cantSplit/>
          <w:trHeight w:val="20"/>
          <w:jc w:val="center"/>
        </w:trPr>
        <w:tc>
          <w:tcPr>
            <w:tcW w:w="1550" w:type="dxa"/>
            <w:vMerge/>
            <w:vAlign w:val="center"/>
          </w:tcPr>
          <w:p w14:paraId="010A6E9D"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0842303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6E4063C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0.83</w:t>
            </w:r>
          </w:p>
        </w:tc>
        <w:tc>
          <w:tcPr>
            <w:tcW w:w="1575" w:type="dxa"/>
            <w:vAlign w:val="center"/>
          </w:tcPr>
          <w:p w14:paraId="3740BEA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1.47</w:t>
            </w:r>
          </w:p>
        </w:tc>
        <w:tc>
          <w:tcPr>
            <w:tcW w:w="1550" w:type="dxa"/>
            <w:vAlign w:val="center"/>
          </w:tcPr>
          <w:p w14:paraId="49DF819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0.65</w:t>
            </w:r>
          </w:p>
        </w:tc>
        <w:tc>
          <w:tcPr>
            <w:tcW w:w="1549" w:type="dxa"/>
            <w:vAlign w:val="center"/>
          </w:tcPr>
          <w:p w14:paraId="1E7C0F3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0.72</w:t>
            </w:r>
          </w:p>
        </w:tc>
      </w:tr>
      <w:tr w:rsidR="00914E90" w:rsidRPr="00F631FB" w14:paraId="472F7240" w14:textId="77777777" w:rsidTr="008B444E">
        <w:trPr>
          <w:cantSplit/>
          <w:trHeight w:val="20"/>
          <w:jc w:val="center"/>
        </w:trPr>
        <w:tc>
          <w:tcPr>
            <w:tcW w:w="1550" w:type="dxa"/>
            <w:vMerge/>
            <w:vAlign w:val="center"/>
          </w:tcPr>
          <w:p w14:paraId="2BD3CFDE"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77DA42A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0B3BD3B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2.4</w:t>
            </w:r>
          </w:p>
        </w:tc>
        <w:tc>
          <w:tcPr>
            <w:tcW w:w="1575" w:type="dxa"/>
            <w:vAlign w:val="center"/>
          </w:tcPr>
          <w:p w14:paraId="1134EAA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2.03</w:t>
            </w:r>
          </w:p>
        </w:tc>
        <w:tc>
          <w:tcPr>
            <w:tcW w:w="1550" w:type="dxa"/>
            <w:vAlign w:val="center"/>
          </w:tcPr>
          <w:p w14:paraId="361B72E5"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2.59</w:t>
            </w:r>
          </w:p>
        </w:tc>
        <w:tc>
          <w:tcPr>
            <w:tcW w:w="1549" w:type="dxa"/>
            <w:vAlign w:val="center"/>
          </w:tcPr>
          <w:p w14:paraId="56138DB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r>
      <w:tr w:rsidR="00914E90" w:rsidRPr="00F631FB" w14:paraId="7ED67484" w14:textId="77777777" w:rsidTr="008B444E">
        <w:trPr>
          <w:cantSplit/>
          <w:trHeight w:val="20"/>
          <w:jc w:val="center"/>
        </w:trPr>
        <w:tc>
          <w:tcPr>
            <w:tcW w:w="1550" w:type="dxa"/>
            <w:vMerge/>
            <w:vAlign w:val="center"/>
          </w:tcPr>
          <w:p w14:paraId="023EEEE0"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435EB0E3"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22B4C01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2.97</w:t>
            </w:r>
          </w:p>
        </w:tc>
        <w:tc>
          <w:tcPr>
            <w:tcW w:w="1575" w:type="dxa"/>
            <w:vAlign w:val="center"/>
          </w:tcPr>
          <w:p w14:paraId="0B39479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2.34</w:t>
            </w:r>
          </w:p>
        </w:tc>
        <w:tc>
          <w:tcPr>
            <w:tcW w:w="1550" w:type="dxa"/>
            <w:vAlign w:val="center"/>
          </w:tcPr>
          <w:p w14:paraId="2F7BFF3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3.28</w:t>
            </w:r>
          </w:p>
        </w:tc>
        <w:tc>
          <w:tcPr>
            <w:tcW w:w="1549" w:type="dxa"/>
            <w:vAlign w:val="center"/>
          </w:tcPr>
          <w:p w14:paraId="42F9A90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1.36</w:t>
            </w:r>
          </w:p>
        </w:tc>
      </w:tr>
    </w:tbl>
    <w:p w14:paraId="0440D947" w14:textId="77777777" w:rsidR="00914E90" w:rsidRPr="00F631FB" w:rsidRDefault="00914E90" w:rsidP="00914E90">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则：</w:t>
      </w:r>
    </w:p>
    <w:p w14:paraId="46DC2CDE" w14:textId="459FB604" w:rsidR="00914E90" w:rsidRPr="00F631FB" w:rsidRDefault="00914E90" w:rsidP="00914E90">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参</w:t>
      </w:r>
      <w:r w:rsidRPr="00F631FB">
        <w:rPr>
          <w:rFonts w:ascii="Arial" w:eastAsia="仿宋_GB2312" w:hAnsi="Arial" w:cs="Arial"/>
          <w:sz w:val="28"/>
          <w:szCs w:val="28"/>
        </w:rPr>
        <w:t>照北京市规划和自然资源委员会对办理国有建设用地使用权</w:t>
      </w:r>
      <w:r w:rsidR="00E906EE">
        <w:rPr>
          <w:rFonts w:ascii="Arial" w:eastAsia="仿宋_GB2312" w:hAnsi="Arial" w:cs="Arial" w:hint="eastAsia"/>
          <w:sz w:val="28"/>
          <w:szCs w:val="28"/>
        </w:rPr>
        <w:t>招标</w:t>
      </w:r>
      <w:r w:rsidRPr="00F631FB">
        <w:rPr>
          <w:rFonts w:ascii="Arial" w:eastAsia="仿宋_GB2312" w:hAnsi="Arial" w:cs="Arial"/>
          <w:sz w:val="28"/>
          <w:szCs w:val="28"/>
        </w:rPr>
        <w:t>出让</w:t>
      </w:r>
      <w:r w:rsidRPr="00F631FB">
        <w:rPr>
          <w:rFonts w:ascii="Arial" w:eastAsia="仿宋_GB2312" w:hAnsi="Arial" w:cs="Arial"/>
          <w:sz w:val="28"/>
          <w:szCs w:val="28"/>
        </w:rPr>
        <w:lastRenderedPageBreak/>
        <w:t>以及地价评审的要求，</w:t>
      </w:r>
      <w:r w:rsidRPr="00F631FB">
        <w:rPr>
          <w:rFonts w:ascii="Arial" w:eastAsia="仿宋_GB2312" w:hAnsi="Arial" w:cs="Arial" w:hint="eastAsia"/>
          <w:sz w:val="28"/>
          <w:szCs w:val="28"/>
        </w:rPr>
        <w:t>商业</w:t>
      </w:r>
      <w:r w:rsidRPr="00F631FB">
        <w:rPr>
          <w:rFonts w:ascii="Arial" w:eastAsia="仿宋_GB2312" w:hAnsi="Arial" w:cs="Arial"/>
          <w:sz w:val="28"/>
          <w:szCs w:val="28"/>
        </w:rPr>
        <w:t>用途地价增值率</w:t>
      </w:r>
      <w:proofErr w:type="gramStart"/>
      <w:r w:rsidRPr="00F631FB">
        <w:rPr>
          <w:rFonts w:ascii="Arial" w:eastAsia="仿宋_GB2312" w:hAnsi="Arial" w:cs="Arial"/>
          <w:sz w:val="28"/>
          <w:szCs w:val="28"/>
        </w:rPr>
        <w:t>采用商</w:t>
      </w:r>
      <w:proofErr w:type="gramEnd"/>
      <w:r w:rsidRPr="00F631FB">
        <w:rPr>
          <w:rFonts w:ascii="Arial" w:eastAsia="仿宋_GB2312" w:hAnsi="Arial" w:cs="Arial"/>
          <w:sz w:val="28"/>
          <w:szCs w:val="28"/>
        </w:rPr>
        <w:t>服用途的同期地价增长率。</w:t>
      </w:r>
      <w:r w:rsidRPr="00F631FB">
        <w:rPr>
          <w:rFonts w:ascii="Arial" w:eastAsia="仿宋_GB2312" w:hAnsi="Arial" w:cs="Arial"/>
          <w:sz w:val="28"/>
        </w:rPr>
        <w:t>本次评估中，期日修正系数为各季度增长率连乘值，即：</w:t>
      </w:r>
    </w:p>
    <w:p w14:paraId="07B223B5" w14:textId="77777777" w:rsidR="00914E90" w:rsidRPr="00F631FB" w:rsidRDefault="00914E90" w:rsidP="00914E90">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期日修正系数＝（</w:t>
      </w:r>
      <w:r w:rsidRPr="00F631FB">
        <w:rPr>
          <w:rFonts w:ascii="Arial" w:eastAsia="仿宋_GB2312" w:hAnsi="Arial" w:cs="Arial"/>
          <w:sz w:val="28"/>
        </w:rPr>
        <w:t>1+2.34%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1+2.03%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1+1.47%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1+0.54%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1+1.11%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1+2.93%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1+1.95%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1+2.15%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1+2.11%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1+1.78%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1+0.96%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1+1.41%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1+1.03%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1+1.01%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1-0.40%</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1-0.78%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1+0.16%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w:t>
      </w:r>
      <w:r w:rsidRPr="00F631FB">
        <w:rPr>
          <w:rFonts w:ascii="Arial" w:eastAsia="仿宋_GB2312" w:hAnsi="Arial" w:cs="Arial" w:hint="eastAsia"/>
          <w:sz w:val="28"/>
        </w:rPr>
        <w:t>72</w:t>
      </w:r>
      <w:r w:rsidRPr="00F631FB">
        <w:rPr>
          <w:rFonts w:ascii="Arial" w:eastAsia="仿宋_GB2312" w:hAnsi="Arial" w:cs="Arial"/>
          <w:sz w:val="28"/>
        </w:rPr>
        <w:t>%</w:t>
      </w:r>
      <w:r w:rsidRPr="00F631FB">
        <w:rPr>
          <w:rFonts w:ascii="Arial" w:eastAsia="仿宋_GB2312" w:hAnsi="Arial" w:cs="Arial"/>
          <w:sz w:val="28"/>
        </w:rPr>
        <w:t>）</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sz w:val="28"/>
        </w:rPr>
        <w:t>+0.41%</w:t>
      </w:r>
      <w:r>
        <w:rPr>
          <w:rFonts w:ascii="Arial" w:eastAsia="仿宋_GB2312" w:hAnsi="Arial" w:cs="Arial" w:hint="eastAsia"/>
          <w:sz w:val="28"/>
        </w:rPr>
        <w:t>）</w:t>
      </w:r>
      <w:r w:rsidRPr="00F631FB">
        <w:rPr>
          <w:rFonts w:ascii="Arial" w:eastAsia="仿宋_GB2312" w:hAnsi="Arial" w:cs="Arial"/>
          <w:sz w:val="28"/>
        </w:rPr>
        <w:t>=1.</w:t>
      </w:r>
      <w:r>
        <w:rPr>
          <w:rFonts w:ascii="Arial" w:eastAsia="仿宋_GB2312" w:hAnsi="Arial" w:cs="Arial"/>
          <w:sz w:val="28"/>
        </w:rPr>
        <w:t>3963</w:t>
      </w:r>
    </w:p>
    <w:p w14:paraId="58108F2C"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Pr="00F631FB">
        <w:rPr>
          <w:rFonts w:ascii="Arial" w:eastAsia="仿宋_GB2312" w:hAnsi="Arial" w:cs="Arial"/>
          <w:sz w:val="28"/>
          <w:szCs w:val="28"/>
        </w:rPr>
        <w:t>）年期修正系数的确定</w:t>
      </w:r>
    </w:p>
    <w:p w14:paraId="0E518293"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680AF0FB" w14:textId="77777777" w:rsidR="00914E90" w:rsidRPr="00F631FB" w:rsidRDefault="00914E90" w:rsidP="00914E90">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其中：</w:t>
      </w:r>
    </w:p>
    <w:p w14:paraId="06CBB424" w14:textId="77777777" w:rsidR="00914E90" w:rsidRPr="00F631FB" w:rsidRDefault="00914E90" w:rsidP="00914E90">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sz w:val="28"/>
          <w:szCs w:val="28"/>
        </w:rPr>
        <w:t>土地还原率</w:t>
      </w:r>
    </w:p>
    <w:p w14:paraId="4FCA6C38" w14:textId="77777777" w:rsidR="00914E90" w:rsidRPr="00F631FB" w:rsidRDefault="00914E90" w:rsidP="00914E90">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宗地剩余土地使用年限</w:t>
      </w:r>
    </w:p>
    <w:p w14:paraId="23A68174" w14:textId="77777777" w:rsidR="00914E90" w:rsidRPr="00F631FB" w:rsidRDefault="00914E90" w:rsidP="00914E90">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基准地价规定的相应用途土地使用年限</w:t>
      </w:r>
    </w:p>
    <w:p w14:paraId="45C10234"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商业、办公、居住、工业用途的土地还原利率原则上按同期中国人民银行公布的一年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款利率分别上浮</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10</w:t>
      </w:r>
      <w:r w:rsidRPr="00F631FB">
        <w:rPr>
          <w:rFonts w:ascii="Arial" w:eastAsia="仿宋_GB2312" w:hAnsi="Arial" w:cs="Arial"/>
          <w:sz w:val="28"/>
          <w:szCs w:val="28"/>
        </w:rPr>
        <w:t>％确定。估价对象用途为</w:t>
      </w:r>
      <w:r w:rsidRPr="00F631FB">
        <w:rPr>
          <w:rFonts w:ascii="Arial" w:eastAsia="仿宋_GB2312" w:hAnsi="Arial" w:cs="Arial" w:hint="eastAsia"/>
          <w:sz w:val="28"/>
          <w:szCs w:val="28"/>
        </w:rPr>
        <w:t>办公</w:t>
      </w:r>
      <w:r w:rsidRPr="00F631FB">
        <w:rPr>
          <w:rFonts w:ascii="Arial" w:eastAsia="仿宋_GB2312" w:hAnsi="Arial" w:cs="Arial"/>
          <w:sz w:val="28"/>
          <w:szCs w:val="28"/>
        </w:rPr>
        <w:t>，现行一年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24</w:t>
      </w:r>
      <w:r w:rsidRPr="00F631FB">
        <w:rPr>
          <w:rFonts w:ascii="Arial" w:eastAsia="仿宋_GB2312" w:hAnsi="Arial" w:cs="Arial"/>
          <w:sz w:val="28"/>
          <w:szCs w:val="28"/>
        </w:rPr>
        <w:t>日发布）为</w:t>
      </w:r>
      <w:r w:rsidRPr="00F631FB">
        <w:rPr>
          <w:rFonts w:ascii="Arial" w:eastAsia="仿宋_GB2312" w:hAnsi="Arial" w:cs="Arial"/>
          <w:sz w:val="28"/>
          <w:szCs w:val="28"/>
        </w:rPr>
        <w:t>4.35%</w:t>
      </w:r>
      <w:r w:rsidRPr="00F631FB">
        <w:rPr>
          <w:rFonts w:ascii="Arial" w:eastAsia="仿宋_GB2312" w:hAnsi="Arial" w:cs="Arial"/>
          <w:sz w:val="28"/>
          <w:szCs w:val="28"/>
        </w:rPr>
        <w:t>。则有：</w:t>
      </w:r>
    </w:p>
    <w:p w14:paraId="187E4E2C"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土地还原率＝</w:t>
      </w:r>
      <w:r w:rsidRPr="00F631FB">
        <w:rPr>
          <w:rFonts w:ascii="Arial" w:eastAsia="仿宋_GB2312" w:hAnsi="Arial" w:cs="Arial"/>
          <w:sz w:val="28"/>
          <w:szCs w:val="28"/>
        </w:rPr>
        <w:t>4.35%×</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hint="eastAsia"/>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=5.</w:t>
      </w:r>
      <w:r w:rsidRPr="00F631FB">
        <w:rPr>
          <w:rFonts w:ascii="Arial" w:eastAsia="仿宋_GB2312" w:hAnsi="Arial" w:cs="Arial" w:hint="eastAsia"/>
          <w:sz w:val="28"/>
          <w:szCs w:val="28"/>
        </w:rPr>
        <w:t>2</w:t>
      </w:r>
      <w:r w:rsidRPr="00F631FB">
        <w:rPr>
          <w:rFonts w:ascii="Arial" w:eastAsia="仿宋_GB2312" w:hAnsi="Arial" w:cs="Arial"/>
          <w:sz w:val="28"/>
          <w:szCs w:val="28"/>
        </w:rPr>
        <w:t>%</w:t>
      </w:r>
    </w:p>
    <w:p w14:paraId="4089BA30"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估价对象设定剩余土地使用年限为</w:t>
      </w:r>
      <w:r>
        <w:rPr>
          <w:rFonts w:ascii="Arial" w:eastAsia="仿宋_GB2312" w:hAnsi="Arial" w:cs="Arial"/>
          <w:sz w:val="28"/>
          <w:szCs w:val="28"/>
        </w:rPr>
        <w:t>50</w:t>
      </w:r>
      <w:r w:rsidRPr="00F631FB">
        <w:rPr>
          <w:rFonts w:ascii="Arial" w:eastAsia="仿宋_GB2312" w:hAnsi="Arial" w:cs="Arial"/>
          <w:sz w:val="28"/>
          <w:szCs w:val="28"/>
        </w:rPr>
        <w:t>年，</w:t>
      </w:r>
      <w:r w:rsidRPr="00F631FB">
        <w:rPr>
          <w:rFonts w:ascii="Arial" w:eastAsia="仿宋_GB2312" w:hAnsi="Arial" w:cs="Arial" w:hint="eastAsia"/>
          <w:sz w:val="28"/>
          <w:szCs w:val="28"/>
        </w:rPr>
        <w:t>办公（公共服务设施）</w:t>
      </w:r>
      <w:r w:rsidRPr="00F631FB">
        <w:rPr>
          <w:rFonts w:ascii="Arial" w:eastAsia="仿宋_GB2312" w:hAnsi="Arial" w:cs="Arial"/>
          <w:sz w:val="28"/>
          <w:szCs w:val="28"/>
        </w:rPr>
        <w:t>用途法</w:t>
      </w:r>
      <w:r w:rsidRPr="00F631FB">
        <w:rPr>
          <w:rFonts w:ascii="Arial" w:eastAsia="仿宋_GB2312" w:hAnsi="Arial" w:cs="Arial"/>
          <w:sz w:val="28"/>
          <w:szCs w:val="28"/>
        </w:rPr>
        <w:lastRenderedPageBreak/>
        <w:t>定用途最高出让年限为</w:t>
      </w:r>
      <w:r w:rsidRPr="00F631FB">
        <w:rPr>
          <w:rFonts w:ascii="Arial" w:eastAsia="仿宋_GB2312" w:hAnsi="Arial" w:cs="Arial" w:hint="eastAsia"/>
          <w:sz w:val="28"/>
          <w:szCs w:val="28"/>
        </w:rPr>
        <w:t>5</w:t>
      </w:r>
      <w:r w:rsidRPr="00F631FB">
        <w:rPr>
          <w:rFonts w:ascii="Arial" w:eastAsia="仿宋_GB2312" w:hAnsi="Arial" w:cs="Arial"/>
          <w:sz w:val="28"/>
          <w:szCs w:val="28"/>
        </w:rPr>
        <w:t>0</w:t>
      </w:r>
      <w:r w:rsidRPr="00F631FB">
        <w:rPr>
          <w:rFonts w:ascii="Arial" w:eastAsia="仿宋_GB2312" w:hAnsi="Arial" w:cs="Arial"/>
          <w:sz w:val="28"/>
          <w:szCs w:val="28"/>
        </w:rPr>
        <w:t>年，则有：</w:t>
      </w:r>
    </w:p>
    <w:p w14:paraId="7EB892DC"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p>
    <w:p w14:paraId="09E6F072"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7BA2F5E4"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w:t>
      </w:r>
      <w:r w:rsidRPr="00F631FB">
        <w:rPr>
          <w:rFonts w:ascii="Arial" w:eastAsia="仿宋_GB2312" w:hAnsi="Arial" w:cs="Arial" w:hint="eastAsia"/>
          <w:sz w:val="28"/>
          <w:szCs w:val="28"/>
        </w:rPr>
        <w:t>2</w:t>
      </w:r>
      <w:r w:rsidRPr="00F631FB">
        <w:rPr>
          <w:rFonts w:ascii="Arial" w:eastAsia="仿宋_GB2312" w:hAnsi="Arial" w:cs="Arial"/>
          <w:sz w:val="28"/>
          <w:szCs w:val="28"/>
        </w:rPr>
        <w:t>%</w:t>
      </w:r>
      <w:r w:rsidRPr="00F631FB">
        <w:rPr>
          <w:rFonts w:ascii="Arial" w:eastAsia="仿宋_GB2312" w:hAnsi="Arial" w:cs="Arial"/>
          <w:sz w:val="28"/>
          <w:szCs w:val="28"/>
        </w:rPr>
        <w:t>）</w:t>
      </w:r>
      <w:r>
        <w:rPr>
          <w:rFonts w:ascii="Arial" w:eastAsia="仿宋_GB2312" w:hAnsi="Arial" w:cs="Arial"/>
          <w:sz w:val="28"/>
          <w:szCs w:val="28"/>
          <w:vertAlign w:val="superscript"/>
        </w:rPr>
        <w:t>50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w:t>
      </w:r>
      <w:r w:rsidRPr="00F631FB">
        <w:rPr>
          <w:rFonts w:ascii="Arial" w:eastAsia="仿宋_GB2312" w:hAnsi="Arial" w:cs="Arial" w:hint="eastAsia"/>
          <w:sz w:val="28"/>
          <w:szCs w:val="28"/>
        </w:rPr>
        <w:t>2</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vertAlign w:val="superscript"/>
        </w:rPr>
        <w:t>5</w:t>
      </w:r>
      <w:r w:rsidRPr="00F631FB">
        <w:rPr>
          <w:rFonts w:ascii="Arial" w:eastAsia="仿宋_GB2312" w:hAnsi="Arial" w:cs="Arial"/>
          <w:sz w:val="28"/>
          <w:szCs w:val="28"/>
          <w:vertAlign w:val="superscript"/>
        </w:rPr>
        <w:t>0</w:t>
      </w:r>
      <w:r w:rsidRPr="00F631FB">
        <w:rPr>
          <w:rFonts w:ascii="Arial" w:eastAsia="仿宋_GB2312" w:hAnsi="Arial" w:cs="Arial"/>
          <w:sz w:val="28"/>
          <w:szCs w:val="28"/>
        </w:rPr>
        <w:t>）</w:t>
      </w:r>
    </w:p>
    <w:p w14:paraId="35C019AD" w14:textId="77777777" w:rsidR="00914E90"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Pr>
          <w:rFonts w:ascii="Arial" w:eastAsia="仿宋_GB2312" w:hAnsi="Arial" w:cs="Arial"/>
          <w:sz w:val="28"/>
          <w:szCs w:val="28"/>
        </w:rPr>
        <w:t>1</w:t>
      </w:r>
    </w:p>
    <w:p w14:paraId="25A5C06A"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5</w:t>
      </w:r>
      <w:r w:rsidRPr="00F631FB">
        <w:rPr>
          <w:rFonts w:ascii="Arial" w:eastAsia="仿宋_GB2312" w:hAnsi="Arial" w:cs="Arial"/>
          <w:sz w:val="28"/>
          <w:szCs w:val="28"/>
        </w:rPr>
        <w:t>）容积率修正系数的确定</w:t>
      </w:r>
    </w:p>
    <w:p w14:paraId="62D36FAF" w14:textId="58692DD8"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估价对象地上</w:t>
      </w:r>
      <w:r>
        <w:rPr>
          <w:rFonts w:ascii="Arial" w:eastAsia="仿宋_GB2312" w:hAnsi="Arial" w:cs="Arial"/>
          <w:sz w:val="28"/>
          <w:szCs w:val="28"/>
        </w:rPr>
        <w:t>容积率为</w:t>
      </w:r>
      <w:r>
        <w:rPr>
          <w:rFonts w:ascii="Arial" w:eastAsia="仿宋_GB2312" w:hAnsi="Arial" w:cs="Arial"/>
          <w:sz w:val="28"/>
          <w:szCs w:val="28"/>
        </w:rPr>
        <w:t>5.1</w:t>
      </w:r>
      <w:r w:rsidR="0042308B">
        <w:rPr>
          <w:rFonts w:ascii="Arial" w:eastAsia="仿宋_GB2312" w:hAnsi="Arial" w:cs="Arial"/>
          <w:sz w:val="28"/>
          <w:szCs w:val="28"/>
        </w:rPr>
        <w:t>0</w:t>
      </w:r>
      <w:r w:rsidRPr="00F631FB">
        <w:rPr>
          <w:rFonts w:ascii="Arial" w:eastAsia="仿宋_GB2312" w:hAnsi="Arial" w:cs="Arial"/>
          <w:sz w:val="28"/>
          <w:szCs w:val="28"/>
        </w:rPr>
        <w:t>，依据《北京市基准地价容积率修正系数表（</w:t>
      </w:r>
      <w:r>
        <w:rPr>
          <w:rFonts w:ascii="Arial" w:eastAsia="仿宋_GB2312" w:hAnsi="Arial" w:cs="Arial" w:hint="eastAsia"/>
          <w:sz w:val="28"/>
          <w:szCs w:val="28"/>
        </w:rPr>
        <w:t>办公</w:t>
      </w:r>
      <w:r w:rsidRPr="00F631FB">
        <w:rPr>
          <w:rFonts w:ascii="Arial" w:eastAsia="仿宋_GB2312" w:hAnsi="Arial" w:cs="Arial"/>
          <w:sz w:val="28"/>
          <w:szCs w:val="28"/>
        </w:rPr>
        <w:t>）》（详见下表）。</w:t>
      </w:r>
    </w:p>
    <w:p w14:paraId="647069DC"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p>
    <w:p w14:paraId="00154D00" w14:textId="4799FC3B" w:rsidR="00CE438D" w:rsidRDefault="00914E90" w:rsidP="00914E90">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szCs w:val="28"/>
        </w:rPr>
        <w:t>（转下页）</w:t>
      </w:r>
    </w:p>
    <w:p w14:paraId="7B27D0B5" w14:textId="77777777" w:rsidR="000C70FF" w:rsidRDefault="000C70FF" w:rsidP="002C3ABF">
      <w:pPr>
        <w:spacing w:line="360" w:lineRule="auto"/>
        <w:ind w:firstLineChars="200" w:firstLine="560"/>
        <w:jc w:val="both"/>
        <w:rPr>
          <w:rFonts w:ascii="Arial" w:eastAsia="仿宋_GB2312" w:hAnsi="Arial" w:cs="Arial"/>
          <w:sz w:val="28"/>
        </w:rPr>
        <w:sectPr w:rsidR="000C70FF" w:rsidSect="000C70FF">
          <w:pgSz w:w="11906" w:h="16838"/>
          <w:pgMar w:top="1843" w:right="1304" w:bottom="1134" w:left="1304" w:header="1134" w:footer="907" w:gutter="0"/>
          <w:cols w:space="425"/>
          <w:docGrid w:type="lines" w:linePitch="326"/>
        </w:sectPr>
      </w:pPr>
    </w:p>
    <w:p w14:paraId="714B0384" w14:textId="77777777" w:rsidR="000C70FF" w:rsidRPr="00F631FB" w:rsidRDefault="000C70FF" w:rsidP="000C70FF">
      <w:pPr>
        <w:overflowPunct w:val="0"/>
        <w:spacing w:line="360" w:lineRule="auto"/>
        <w:ind w:firstLineChars="200" w:firstLine="580"/>
        <w:jc w:val="center"/>
        <w:textAlignment w:val="auto"/>
        <w:rPr>
          <w:rFonts w:ascii="Arial" w:eastAsia="仿宋_GB2312" w:hAnsi="Arial" w:cs="Arial"/>
          <w:sz w:val="28"/>
          <w:szCs w:val="28"/>
        </w:rPr>
      </w:pPr>
      <w:r w:rsidRPr="00F631FB">
        <w:rPr>
          <w:rFonts w:ascii="微软雅黑" w:eastAsia="微软雅黑" w:hAnsi="微软雅黑" w:cs="仿宋_GB2312" w:hint="eastAsia"/>
          <w:sz w:val="29"/>
          <w:szCs w:val="29"/>
        </w:rPr>
        <w:lastRenderedPageBreak/>
        <w:t>北京市基准地价容积率修正系数表（</w:t>
      </w:r>
      <w:r>
        <w:rPr>
          <w:rFonts w:ascii="微软雅黑" w:eastAsia="微软雅黑" w:hAnsi="微软雅黑" w:cs="仿宋_GB2312" w:hint="eastAsia"/>
          <w:sz w:val="29"/>
          <w:szCs w:val="29"/>
        </w:rPr>
        <w:t>办公</w:t>
      </w:r>
      <w:r w:rsidRPr="00F631FB">
        <w:rPr>
          <w:rFonts w:ascii="微软雅黑" w:eastAsia="微软雅黑" w:hAnsi="微软雅黑" w:cs="仿宋_GB2312" w:hint="eastAsia"/>
          <w:sz w:val="29"/>
          <w:szCs w:val="29"/>
        </w:rPr>
        <w:t>）</w:t>
      </w:r>
    </w:p>
    <w:tbl>
      <w:tblPr>
        <w:tblW w:w="15040" w:type="dxa"/>
        <w:tblInd w:w="93" w:type="dxa"/>
        <w:tblLook w:val="04A0" w:firstRow="1" w:lastRow="0" w:firstColumn="1" w:lastColumn="0" w:noHBand="0" w:noVBand="1"/>
      </w:tblPr>
      <w:tblGrid>
        <w:gridCol w:w="940"/>
        <w:gridCol w:w="940"/>
        <w:gridCol w:w="940"/>
        <w:gridCol w:w="940"/>
        <w:gridCol w:w="940"/>
        <w:gridCol w:w="940"/>
        <w:gridCol w:w="940"/>
        <w:gridCol w:w="940"/>
        <w:gridCol w:w="940"/>
        <w:gridCol w:w="940"/>
        <w:gridCol w:w="940"/>
        <w:gridCol w:w="940"/>
        <w:gridCol w:w="940"/>
        <w:gridCol w:w="940"/>
        <w:gridCol w:w="940"/>
        <w:gridCol w:w="940"/>
      </w:tblGrid>
      <w:tr w:rsidR="000C70FF" w:rsidRPr="00584EB6" w14:paraId="4979EB79" w14:textId="77777777" w:rsidTr="000C70FF">
        <w:trPr>
          <w:trHeight w:hRule="exact" w:val="284"/>
        </w:trPr>
        <w:tc>
          <w:tcPr>
            <w:tcW w:w="94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65D2D078"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63946CA0"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5018189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4773D988"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14:paraId="426D023C"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6AFB8AB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4F0677C9"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462E2F10"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14:paraId="74D058DE"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77EE379A"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08D81200"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643731A3"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14:paraId="3478176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7E2788E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4DBD3EF2"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7024A92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r>
      <w:tr w:rsidR="000C70FF" w:rsidRPr="00584EB6" w14:paraId="2FF8A57C"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54B64A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0.1 </w:t>
            </w:r>
          </w:p>
        </w:tc>
        <w:tc>
          <w:tcPr>
            <w:tcW w:w="940" w:type="dxa"/>
            <w:tcBorders>
              <w:top w:val="nil"/>
              <w:left w:val="nil"/>
              <w:bottom w:val="single" w:sz="4" w:space="0" w:color="auto"/>
              <w:right w:val="single" w:sz="4" w:space="0" w:color="auto"/>
            </w:tcBorders>
            <w:shd w:val="clear" w:color="auto" w:fill="auto"/>
            <w:noWrap/>
            <w:vAlign w:val="center"/>
            <w:hideMark/>
          </w:tcPr>
          <w:p w14:paraId="186284B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13.7330 </w:t>
            </w:r>
          </w:p>
        </w:tc>
        <w:tc>
          <w:tcPr>
            <w:tcW w:w="940" w:type="dxa"/>
            <w:tcBorders>
              <w:top w:val="nil"/>
              <w:left w:val="nil"/>
              <w:bottom w:val="single" w:sz="4" w:space="0" w:color="auto"/>
              <w:right w:val="single" w:sz="4" w:space="0" w:color="auto"/>
            </w:tcBorders>
            <w:shd w:val="clear" w:color="auto" w:fill="auto"/>
            <w:noWrap/>
            <w:vAlign w:val="center"/>
            <w:hideMark/>
          </w:tcPr>
          <w:p w14:paraId="168A0C9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12.7870 </w:t>
            </w:r>
          </w:p>
        </w:tc>
        <w:tc>
          <w:tcPr>
            <w:tcW w:w="940" w:type="dxa"/>
            <w:tcBorders>
              <w:top w:val="nil"/>
              <w:left w:val="nil"/>
              <w:bottom w:val="single" w:sz="4" w:space="0" w:color="auto"/>
              <w:right w:val="single" w:sz="4" w:space="0" w:color="auto"/>
            </w:tcBorders>
            <w:shd w:val="clear" w:color="auto" w:fill="auto"/>
            <w:noWrap/>
            <w:vAlign w:val="center"/>
            <w:hideMark/>
          </w:tcPr>
          <w:p w14:paraId="4912BC5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12.3840 </w:t>
            </w:r>
          </w:p>
        </w:tc>
        <w:tc>
          <w:tcPr>
            <w:tcW w:w="940" w:type="dxa"/>
            <w:tcBorders>
              <w:top w:val="nil"/>
              <w:left w:val="nil"/>
              <w:bottom w:val="single" w:sz="4" w:space="0" w:color="auto"/>
              <w:right w:val="single" w:sz="4" w:space="0" w:color="auto"/>
            </w:tcBorders>
            <w:shd w:val="clear" w:color="000000" w:fill="E6B8B7"/>
            <w:vAlign w:val="center"/>
            <w:hideMark/>
          </w:tcPr>
          <w:p w14:paraId="6ED08FF3"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2.6 </w:t>
            </w:r>
          </w:p>
        </w:tc>
        <w:tc>
          <w:tcPr>
            <w:tcW w:w="940" w:type="dxa"/>
            <w:tcBorders>
              <w:top w:val="nil"/>
              <w:left w:val="nil"/>
              <w:bottom w:val="single" w:sz="4" w:space="0" w:color="auto"/>
              <w:right w:val="single" w:sz="4" w:space="0" w:color="auto"/>
            </w:tcBorders>
            <w:shd w:val="clear" w:color="auto" w:fill="auto"/>
            <w:noWrap/>
            <w:vAlign w:val="center"/>
            <w:hideMark/>
          </w:tcPr>
          <w:p w14:paraId="522F538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1.0896 </w:t>
            </w:r>
          </w:p>
        </w:tc>
        <w:tc>
          <w:tcPr>
            <w:tcW w:w="940" w:type="dxa"/>
            <w:tcBorders>
              <w:top w:val="nil"/>
              <w:left w:val="nil"/>
              <w:bottom w:val="single" w:sz="4" w:space="0" w:color="auto"/>
              <w:right w:val="single" w:sz="4" w:space="0" w:color="auto"/>
            </w:tcBorders>
            <w:shd w:val="clear" w:color="auto" w:fill="auto"/>
            <w:noWrap/>
            <w:vAlign w:val="center"/>
            <w:hideMark/>
          </w:tcPr>
          <w:p w14:paraId="7CA3BAB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0.9874 </w:t>
            </w:r>
          </w:p>
        </w:tc>
        <w:tc>
          <w:tcPr>
            <w:tcW w:w="940" w:type="dxa"/>
            <w:tcBorders>
              <w:top w:val="nil"/>
              <w:left w:val="nil"/>
              <w:bottom w:val="single" w:sz="4" w:space="0" w:color="auto"/>
              <w:right w:val="single" w:sz="4" w:space="0" w:color="auto"/>
            </w:tcBorders>
            <w:shd w:val="clear" w:color="auto" w:fill="auto"/>
            <w:noWrap/>
            <w:vAlign w:val="center"/>
            <w:hideMark/>
          </w:tcPr>
          <w:p w14:paraId="303E7DB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0.9147 </w:t>
            </w:r>
          </w:p>
        </w:tc>
        <w:tc>
          <w:tcPr>
            <w:tcW w:w="940" w:type="dxa"/>
            <w:tcBorders>
              <w:top w:val="nil"/>
              <w:left w:val="nil"/>
              <w:bottom w:val="single" w:sz="4" w:space="0" w:color="auto"/>
              <w:right w:val="single" w:sz="4" w:space="0" w:color="auto"/>
            </w:tcBorders>
            <w:shd w:val="clear" w:color="000000" w:fill="E6B8B7"/>
            <w:noWrap/>
            <w:vAlign w:val="center"/>
            <w:hideMark/>
          </w:tcPr>
          <w:p w14:paraId="686A4FF7"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5.1 </w:t>
            </w:r>
          </w:p>
        </w:tc>
        <w:tc>
          <w:tcPr>
            <w:tcW w:w="940" w:type="dxa"/>
            <w:tcBorders>
              <w:top w:val="nil"/>
              <w:left w:val="nil"/>
              <w:bottom w:val="single" w:sz="4" w:space="0" w:color="auto"/>
              <w:right w:val="single" w:sz="4" w:space="0" w:color="auto"/>
            </w:tcBorders>
            <w:shd w:val="clear" w:color="auto" w:fill="auto"/>
            <w:noWrap/>
            <w:vAlign w:val="center"/>
            <w:hideMark/>
          </w:tcPr>
          <w:p w14:paraId="518A992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0.9151 </w:t>
            </w:r>
          </w:p>
        </w:tc>
        <w:tc>
          <w:tcPr>
            <w:tcW w:w="940" w:type="dxa"/>
            <w:tcBorders>
              <w:top w:val="nil"/>
              <w:left w:val="nil"/>
              <w:bottom w:val="single" w:sz="4" w:space="0" w:color="auto"/>
              <w:right w:val="single" w:sz="4" w:space="0" w:color="auto"/>
            </w:tcBorders>
            <w:shd w:val="clear" w:color="auto" w:fill="auto"/>
            <w:noWrap/>
            <w:vAlign w:val="center"/>
            <w:hideMark/>
          </w:tcPr>
          <w:p w14:paraId="4D2393D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0.8169 </w:t>
            </w:r>
          </w:p>
        </w:tc>
        <w:tc>
          <w:tcPr>
            <w:tcW w:w="940" w:type="dxa"/>
            <w:tcBorders>
              <w:top w:val="nil"/>
              <w:left w:val="nil"/>
              <w:bottom w:val="single" w:sz="4" w:space="0" w:color="auto"/>
              <w:right w:val="single" w:sz="4" w:space="0" w:color="auto"/>
            </w:tcBorders>
            <w:shd w:val="clear" w:color="auto" w:fill="auto"/>
            <w:noWrap/>
            <w:vAlign w:val="center"/>
            <w:hideMark/>
          </w:tcPr>
          <w:p w14:paraId="68EB6AEE" w14:textId="1600E495"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0.</w:t>
            </w:r>
            <w:r w:rsidR="000B7D55">
              <w:rPr>
                <w:rFonts w:ascii="微软雅黑" w:eastAsia="微软雅黑" w:hAnsi="微软雅黑" w:cs="宋体" w:hint="eastAsia"/>
                <w:color w:val="000000"/>
                <w:sz w:val="15"/>
                <w:szCs w:val="15"/>
              </w:rPr>
              <w:t>7713</w:t>
            </w:r>
            <w:r w:rsidRPr="00584EB6">
              <w:rPr>
                <w:rFonts w:ascii="微软雅黑" w:eastAsia="微软雅黑" w:hAnsi="微软雅黑" w:cs="宋体" w:hint="eastAsia"/>
                <w:color w:val="000000"/>
                <w:sz w:val="15"/>
                <w:szCs w:val="15"/>
              </w:rPr>
              <w:t xml:space="preserve"> </w:t>
            </w:r>
          </w:p>
        </w:tc>
        <w:tc>
          <w:tcPr>
            <w:tcW w:w="940" w:type="dxa"/>
            <w:tcBorders>
              <w:top w:val="nil"/>
              <w:left w:val="nil"/>
              <w:bottom w:val="single" w:sz="4" w:space="0" w:color="auto"/>
              <w:right w:val="single" w:sz="4" w:space="0" w:color="auto"/>
            </w:tcBorders>
            <w:shd w:val="clear" w:color="000000" w:fill="E6B8B7"/>
            <w:vAlign w:val="center"/>
            <w:hideMark/>
          </w:tcPr>
          <w:p w14:paraId="2A7225C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7.6 </w:t>
            </w:r>
          </w:p>
        </w:tc>
        <w:tc>
          <w:tcPr>
            <w:tcW w:w="940" w:type="dxa"/>
            <w:tcBorders>
              <w:top w:val="nil"/>
              <w:left w:val="nil"/>
              <w:bottom w:val="single" w:sz="4" w:space="0" w:color="auto"/>
              <w:right w:val="single" w:sz="4" w:space="0" w:color="auto"/>
            </w:tcBorders>
            <w:shd w:val="clear" w:color="auto" w:fill="auto"/>
            <w:noWrap/>
            <w:vAlign w:val="center"/>
            <w:hideMark/>
          </w:tcPr>
          <w:p w14:paraId="781FD35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0.8615 </w:t>
            </w:r>
          </w:p>
        </w:tc>
        <w:tc>
          <w:tcPr>
            <w:tcW w:w="940" w:type="dxa"/>
            <w:tcBorders>
              <w:top w:val="nil"/>
              <w:left w:val="nil"/>
              <w:bottom w:val="single" w:sz="4" w:space="0" w:color="auto"/>
              <w:right w:val="single" w:sz="4" w:space="0" w:color="auto"/>
            </w:tcBorders>
            <w:shd w:val="clear" w:color="auto" w:fill="auto"/>
            <w:noWrap/>
            <w:vAlign w:val="center"/>
            <w:hideMark/>
          </w:tcPr>
          <w:p w14:paraId="77FB126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0.7620 </w:t>
            </w:r>
          </w:p>
        </w:tc>
        <w:tc>
          <w:tcPr>
            <w:tcW w:w="940" w:type="dxa"/>
            <w:tcBorders>
              <w:top w:val="nil"/>
              <w:left w:val="nil"/>
              <w:bottom w:val="single" w:sz="4" w:space="0" w:color="auto"/>
              <w:right w:val="single" w:sz="4" w:space="0" w:color="auto"/>
            </w:tcBorders>
            <w:shd w:val="clear" w:color="auto" w:fill="auto"/>
            <w:noWrap/>
            <w:vAlign w:val="center"/>
            <w:hideMark/>
          </w:tcPr>
          <w:p w14:paraId="75FE185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0.6670 </w:t>
            </w:r>
          </w:p>
        </w:tc>
      </w:tr>
      <w:tr w:rsidR="000C70FF" w:rsidRPr="00584EB6" w14:paraId="338456BE"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70F164D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0.2 </w:t>
            </w:r>
          </w:p>
        </w:tc>
        <w:tc>
          <w:tcPr>
            <w:tcW w:w="940" w:type="dxa"/>
            <w:tcBorders>
              <w:top w:val="nil"/>
              <w:left w:val="nil"/>
              <w:bottom w:val="single" w:sz="4" w:space="0" w:color="auto"/>
              <w:right w:val="single" w:sz="4" w:space="0" w:color="auto"/>
            </w:tcBorders>
            <w:shd w:val="clear" w:color="auto" w:fill="auto"/>
            <w:noWrap/>
            <w:vAlign w:val="center"/>
            <w:hideMark/>
          </w:tcPr>
          <w:p w14:paraId="77B6109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6.8665 </w:t>
            </w:r>
          </w:p>
        </w:tc>
        <w:tc>
          <w:tcPr>
            <w:tcW w:w="940" w:type="dxa"/>
            <w:tcBorders>
              <w:top w:val="nil"/>
              <w:left w:val="nil"/>
              <w:bottom w:val="single" w:sz="4" w:space="0" w:color="auto"/>
              <w:right w:val="single" w:sz="4" w:space="0" w:color="auto"/>
            </w:tcBorders>
            <w:shd w:val="clear" w:color="auto" w:fill="auto"/>
            <w:noWrap/>
            <w:vAlign w:val="center"/>
            <w:hideMark/>
          </w:tcPr>
          <w:p w14:paraId="1EA7B9E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6.3935 </w:t>
            </w:r>
          </w:p>
        </w:tc>
        <w:tc>
          <w:tcPr>
            <w:tcW w:w="940" w:type="dxa"/>
            <w:tcBorders>
              <w:top w:val="nil"/>
              <w:left w:val="nil"/>
              <w:bottom w:val="single" w:sz="4" w:space="0" w:color="auto"/>
              <w:right w:val="single" w:sz="4" w:space="0" w:color="auto"/>
            </w:tcBorders>
            <w:shd w:val="clear" w:color="auto" w:fill="auto"/>
            <w:noWrap/>
            <w:vAlign w:val="center"/>
            <w:hideMark/>
          </w:tcPr>
          <w:p w14:paraId="2393207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6.1920 </w:t>
            </w:r>
          </w:p>
        </w:tc>
        <w:tc>
          <w:tcPr>
            <w:tcW w:w="940" w:type="dxa"/>
            <w:tcBorders>
              <w:top w:val="nil"/>
              <w:left w:val="nil"/>
              <w:bottom w:val="single" w:sz="4" w:space="0" w:color="auto"/>
              <w:right w:val="single" w:sz="4" w:space="0" w:color="auto"/>
            </w:tcBorders>
            <w:shd w:val="clear" w:color="000000" w:fill="E6B8B7"/>
            <w:vAlign w:val="center"/>
            <w:hideMark/>
          </w:tcPr>
          <w:p w14:paraId="5E52523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2.7 </w:t>
            </w:r>
          </w:p>
        </w:tc>
        <w:tc>
          <w:tcPr>
            <w:tcW w:w="940" w:type="dxa"/>
            <w:tcBorders>
              <w:top w:val="nil"/>
              <w:left w:val="nil"/>
              <w:bottom w:val="single" w:sz="4" w:space="0" w:color="auto"/>
              <w:right w:val="single" w:sz="4" w:space="0" w:color="auto"/>
            </w:tcBorders>
            <w:shd w:val="clear" w:color="auto" w:fill="auto"/>
            <w:noWrap/>
            <w:vAlign w:val="center"/>
            <w:hideMark/>
          </w:tcPr>
          <w:p w14:paraId="172A17E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1.0778 </w:t>
            </w:r>
          </w:p>
        </w:tc>
        <w:tc>
          <w:tcPr>
            <w:tcW w:w="940" w:type="dxa"/>
            <w:tcBorders>
              <w:top w:val="nil"/>
              <w:left w:val="nil"/>
              <w:bottom w:val="single" w:sz="4" w:space="0" w:color="auto"/>
              <w:right w:val="single" w:sz="4" w:space="0" w:color="auto"/>
            </w:tcBorders>
            <w:shd w:val="clear" w:color="auto" w:fill="auto"/>
            <w:noWrap/>
            <w:vAlign w:val="center"/>
            <w:hideMark/>
          </w:tcPr>
          <w:p w14:paraId="44E2AFC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0.9754 </w:t>
            </w:r>
          </w:p>
        </w:tc>
        <w:tc>
          <w:tcPr>
            <w:tcW w:w="940" w:type="dxa"/>
            <w:tcBorders>
              <w:top w:val="nil"/>
              <w:left w:val="nil"/>
              <w:bottom w:val="single" w:sz="4" w:space="0" w:color="auto"/>
              <w:right w:val="single" w:sz="4" w:space="0" w:color="auto"/>
            </w:tcBorders>
            <w:shd w:val="clear" w:color="auto" w:fill="auto"/>
            <w:noWrap/>
            <w:vAlign w:val="center"/>
            <w:hideMark/>
          </w:tcPr>
          <w:p w14:paraId="477F845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0.9027 </w:t>
            </w:r>
          </w:p>
        </w:tc>
        <w:tc>
          <w:tcPr>
            <w:tcW w:w="940" w:type="dxa"/>
            <w:tcBorders>
              <w:top w:val="nil"/>
              <w:left w:val="nil"/>
              <w:bottom w:val="single" w:sz="4" w:space="0" w:color="auto"/>
              <w:right w:val="single" w:sz="4" w:space="0" w:color="auto"/>
            </w:tcBorders>
            <w:shd w:val="clear" w:color="000000" w:fill="E6B8B7"/>
            <w:noWrap/>
            <w:vAlign w:val="center"/>
            <w:hideMark/>
          </w:tcPr>
          <w:p w14:paraId="02041BC1"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5.2 </w:t>
            </w:r>
          </w:p>
        </w:tc>
        <w:tc>
          <w:tcPr>
            <w:tcW w:w="940" w:type="dxa"/>
            <w:tcBorders>
              <w:top w:val="nil"/>
              <w:left w:val="nil"/>
              <w:bottom w:val="single" w:sz="4" w:space="0" w:color="auto"/>
              <w:right w:val="single" w:sz="4" w:space="0" w:color="auto"/>
            </w:tcBorders>
            <w:shd w:val="clear" w:color="auto" w:fill="auto"/>
            <w:noWrap/>
            <w:vAlign w:val="center"/>
            <w:hideMark/>
          </w:tcPr>
          <w:p w14:paraId="72A9660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0.9119 </w:t>
            </w:r>
          </w:p>
        </w:tc>
        <w:tc>
          <w:tcPr>
            <w:tcW w:w="940" w:type="dxa"/>
            <w:tcBorders>
              <w:top w:val="nil"/>
              <w:left w:val="nil"/>
              <w:bottom w:val="single" w:sz="4" w:space="0" w:color="auto"/>
              <w:right w:val="single" w:sz="4" w:space="0" w:color="auto"/>
            </w:tcBorders>
            <w:shd w:val="clear" w:color="auto" w:fill="auto"/>
            <w:noWrap/>
            <w:vAlign w:val="center"/>
            <w:hideMark/>
          </w:tcPr>
          <w:p w14:paraId="67BCB74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0.8136 </w:t>
            </w:r>
          </w:p>
        </w:tc>
        <w:tc>
          <w:tcPr>
            <w:tcW w:w="940" w:type="dxa"/>
            <w:tcBorders>
              <w:top w:val="nil"/>
              <w:left w:val="nil"/>
              <w:bottom w:val="single" w:sz="4" w:space="0" w:color="auto"/>
              <w:right w:val="single" w:sz="4" w:space="0" w:color="auto"/>
            </w:tcBorders>
            <w:shd w:val="clear" w:color="auto" w:fill="auto"/>
            <w:noWrap/>
            <w:vAlign w:val="center"/>
            <w:hideMark/>
          </w:tcPr>
          <w:p w14:paraId="4DCFCBF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0.7289 </w:t>
            </w:r>
          </w:p>
        </w:tc>
        <w:tc>
          <w:tcPr>
            <w:tcW w:w="940" w:type="dxa"/>
            <w:tcBorders>
              <w:top w:val="nil"/>
              <w:left w:val="nil"/>
              <w:bottom w:val="single" w:sz="4" w:space="0" w:color="auto"/>
              <w:right w:val="single" w:sz="4" w:space="0" w:color="auto"/>
            </w:tcBorders>
            <w:shd w:val="clear" w:color="000000" w:fill="E6B8B7"/>
            <w:vAlign w:val="center"/>
            <w:hideMark/>
          </w:tcPr>
          <w:p w14:paraId="37D0FD9A"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7.7 </w:t>
            </w:r>
          </w:p>
        </w:tc>
        <w:tc>
          <w:tcPr>
            <w:tcW w:w="940" w:type="dxa"/>
            <w:tcBorders>
              <w:top w:val="nil"/>
              <w:left w:val="nil"/>
              <w:bottom w:val="single" w:sz="4" w:space="0" w:color="auto"/>
              <w:right w:val="single" w:sz="4" w:space="0" w:color="auto"/>
            </w:tcBorders>
            <w:shd w:val="clear" w:color="auto" w:fill="auto"/>
            <w:noWrap/>
            <w:vAlign w:val="center"/>
            <w:hideMark/>
          </w:tcPr>
          <w:p w14:paraId="679DD73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0.8600 </w:t>
            </w:r>
          </w:p>
        </w:tc>
        <w:tc>
          <w:tcPr>
            <w:tcW w:w="940" w:type="dxa"/>
            <w:tcBorders>
              <w:top w:val="nil"/>
              <w:left w:val="nil"/>
              <w:bottom w:val="single" w:sz="4" w:space="0" w:color="auto"/>
              <w:right w:val="single" w:sz="4" w:space="0" w:color="auto"/>
            </w:tcBorders>
            <w:shd w:val="clear" w:color="auto" w:fill="auto"/>
            <w:noWrap/>
            <w:vAlign w:val="center"/>
            <w:hideMark/>
          </w:tcPr>
          <w:p w14:paraId="2D56EDE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0.7604 </w:t>
            </w:r>
          </w:p>
        </w:tc>
        <w:tc>
          <w:tcPr>
            <w:tcW w:w="940" w:type="dxa"/>
            <w:tcBorders>
              <w:top w:val="nil"/>
              <w:left w:val="nil"/>
              <w:bottom w:val="single" w:sz="4" w:space="0" w:color="auto"/>
              <w:right w:val="single" w:sz="4" w:space="0" w:color="auto"/>
            </w:tcBorders>
            <w:shd w:val="clear" w:color="auto" w:fill="auto"/>
            <w:noWrap/>
            <w:vAlign w:val="center"/>
            <w:hideMark/>
          </w:tcPr>
          <w:p w14:paraId="7AF2110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0.6651 </w:t>
            </w:r>
          </w:p>
        </w:tc>
      </w:tr>
      <w:tr w:rsidR="000C70FF" w:rsidRPr="00584EB6" w14:paraId="0D2DCFDC"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77009428"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0.3 </w:t>
            </w:r>
          </w:p>
        </w:tc>
        <w:tc>
          <w:tcPr>
            <w:tcW w:w="940" w:type="dxa"/>
            <w:tcBorders>
              <w:top w:val="nil"/>
              <w:left w:val="nil"/>
              <w:bottom w:val="single" w:sz="4" w:space="0" w:color="auto"/>
              <w:right w:val="single" w:sz="4" w:space="0" w:color="auto"/>
            </w:tcBorders>
            <w:shd w:val="clear" w:color="auto" w:fill="auto"/>
            <w:noWrap/>
            <w:vAlign w:val="center"/>
            <w:hideMark/>
          </w:tcPr>
          <w:p w14:paraId="6C40BA4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4.5777 </w:t>
            </w:r>
          </w:p>
        </w:tc>
        <w:tc>
          <w:tcPr>
            <w:tcW w:w="940" w:type="dxa"/>
            <w:tcBorders>
              <w:top w:val="nil"/>
              <w:left w:val="nil"/>
              <w:bottom w:val="single" w:sz="4" w:space="0" w:color="auto"/>
              <w:right w:val="single" w:sz="4" w:space="0" w:color="auto"/>
            </w:tcBorders>
            <w:shd w:val="clear" w:color="auto" w:fill="auto"/>
            <w:noWrap/>
            <w:vAlign w:val="center"/>
            <w:hideMark/>
          </w:tcPr>
          <w:p w14:paraId="0A36A6B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4.2623 </w:t>
            </w:r>
          </w:p>
        </w:tc>
        <w:tc>
          <w:tcPr>
            <w:tcW w:w="940" w:type="dxa"/>
            <w:tcBorders>
              <w:top w:val="nil"/>
              <w:left w:val="nil"/>
              <w:bottom w:val="single" w:sz="4" w:space="0" w:color="auto"/>
              <w:right w:val="single" w:sz="4" w:space="0" w:color="auto"/>
            </w:tcBorders>
            <w:shd w:val="clear" w:color="auto" w:fill="auto"/>
            <w:noWrap/>
            <w:vAlign w:val="center"/>
            <w:hideMark/>
          </w:tcPr>
          <w:p w14:paraId="6DA740A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4.1280 </w:t>
            </w:r>
          </w:p>
        </w:tc>
        <w:tc>
          <w:tcPr>
            <w:tcW w:w="940" w:type="dxa"/>
            <w:tcBorders>
              <w:top w:val="nil"/>
              <w:left w:val="nil"/>
              <w:bottom w:val="single" w:sz="4" w:space="0" w:color="auto"/>
              <w:right w:val="single" w:sz="4" w:space="0" w:color="auto"/>
            </w:tcBorders>
            <w:shd w:val="clear" w:color="000000" w:fill="E6B8B7"/>
            <w:vAlign w:val="center"/>
            <w:hideMark/>
          </w:tcPr>
          <w:p w14:paraId="44683603"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2.8 </w:t>
            </w:r>
          </w:p>
        </w:tc>
        <w:tc>
          <w:tcPr>
            <w:tcW w:w="940" w:type="dxa"/>
            <w:tcBorders>
              <w:top w:val="nil"/>
              <w:left w:val="nil"/>
              <w:bottom w:val="single" w:sz="4" w:space="0" w:color="auto"/>
              <w:right w:val="single" w:sz="4" w:space="0" w:color="auto"/>
            </w:tcBorders>
            <w:shd w:val="clear" w:color="auto" w:fill="auto"/>
            <w:noWrap/>
            <w:vAlign w:val="center"/>
            <w:hideMark/>
          </w:tcPr>
          <w:p w14:paraId="6CECE7E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1.0665 </w:t>
            </w:r>
          </w:p>
        </w:tc>
        <w:tc>
          <w:tcPr>
            <w:tcW w:w="940" w:type="dxa"/>
            <w:tcBorders>
              <w:top w:val="nil"/>
              <w:left w:val="nil"/>
              <w:bottom w:val="single" w:sz="4" w:space="0" w:color="auto"/>
              <w:right w:val="single" w:sz="4" w:space="0" w:color="auto"/>
            </w:tcBorders>
            <w:shd w:val="clear" w:color="auto" w:fill="auto"/>
            <w:noWrap/>
            <w:vAlign w:val="center"/>
            <w:hideMark/>
          </w:tcPr>
          <w:p w14:paraId="578A834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0.9640 </w:t>
            </w:r>
          </w:p>
        </w:tc>
        <w:tc>
          <w:tcPr>
            <w:tcW w:w="940" w:type="dxa"/>
            <w:tcBorders>
              <w:top w:val="nil"/>
              <w:left w:val="nil"/>
              <w:bottom w:val="single" w:sz="4" w:space="0" w:color="auto"/>
              <w:right w:val="single" w:sz="4" w:space="0" w:color="auto"/>
            </w:tcBorders>
            <w:shd w:val="clear" w:color="auto" w:fill="auto"/>
            <w:noWrap/>
            <w:vAlign w:val="center"/>
            <w:hideMark/>
          </w:tcPr>
          <w:p w14:paraId="77DC2C4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0.8912 </w:t>
            </w:r>
          </w:p>
        </w:tc>
        <w:tc>
          <w:tcPr>
            <w:tcW w:w="940" w:type="dxa"/>
            <w:tcBorders>
              <w:top w:val="nil"/>
              <w:left w:val="nil"/>
              <w:bottom w:val="single" w:sz="4" w:space="0" w:color="auto"/>
              <w:right w:val="single" w:sz="4" w:space="0" w:color="auto"/>
            </w:tcBorders>
            <w:shd w:val="clear" w:color="000000" w:fill="E6B8B7"/>
            <w:noWrap/>
            <w:vAlign w:val="center"/>
            <w:hideMark/>
          </w:tcPr>
          <w:p w14:paraId="549AF9E1"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5.3 </w:t>
            </w:r>
          </w:p>
        </w:tc>
        <w:tc>
          <w:tcPr>
            <w:tcW w:w="940" w:type="dxa"/>
            <w:tcBorders>
              <w:top w:val="nil"/>
              <w:left w:val="nil"/>
              <w:bottom w:val="single" w:sz="4" w:space="0" w:color="auto"/>
              <w:right w:val="single" w:sz="4" w:space="0" w:color="auto"/>
            </w:tcBorders>
            <w:shd w:val="clear" w:color="auto" w:fill="auto"/>
            <w:noWrap/>
            <w:vAlign w:val="center"/>
            <w:hideMark/>
          </w:tcPr>
          <w:p w14:paraId="58710A2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0.9088 </w:t>
            </w:r>
          </w:p>
        </w:tc>
        <w:tc>
          <w:tcPr>
            <w:tcW w:w="940" w:type="dxa"/>
            <w:tcBorders>
              <w:top w:val="nil"/>
              <w:left w:val="nil"/>
              <w:bottom w:val="single" w:sz="4" w:space="0" w:color="auto"/>
              <w:right w:val="single" w:sz="4" w:space="0" w:color="auto"/>
            </w:tcBorders>
            <w:shd w:val="clear" w:color="auto" w:fill="auto"/>
            <w:noWrap/>
            <w:vAlign w:val="center"/>
            <w:hideMark/>
          </w:tcPr>
          <w:p w14:paraId="03A0273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0.8105 </w:t>
            </w:r>
          </w:p>
        </w:tc>
        <w:tc>
          <w:tcPr>
            <w:tcW w:w="940" w:type="dxa"/>
            <w:tcBorders>
              <w:top w:val="nil"/>
              <w:left w:val="nil"/>
              <w:bottom w:val="single" w:sz="4" w:space="0" w:color="auto"/>
              <w:right w:val="single" w:sz="4" w:space="0" w:color="auto"/>
            </w:tcBorders>
            <w:shd w:val="clear" w:color="auto" w:fill="auto"/>
            <w:noWrap/>
            <w:vAlign w:val="center"/>
            <w:hideMark/>
          </w:tcPr>
          <w:p w14:paraId="320DD5D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0.7253 </w:t>
            </w:r>
          </w:p>
        </w:tc>
        <w:tc>
          <w:tcPr>
            <w:tcW w:w="940" w:type="dxa"/>
            <w:tcBorders>
              <w:top w:val="nil"/>
              <w:left w:val="nil"/>
              <w:bottom w:val="single" w:sz="4" w:space="0" w:color="auto"/>
              <w:right w:val="single" w:sz="4" w:space="0" w:color="auto"/>
            </w:tcBorders>
            <w:shd w:val="clear" w:color="000000" w:fill="E6B8B7"/>
            <w:vAlign w:val="center"/>
            <w:hideMark/>
          </w:tcPr>
          <w:p w14:paraId="57D10639"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7.8 </w:t>
            </w:r>
          </w:p>
        </w:tc>
        <w:tc>
          <w:tcPr>
            <w:tcW w:w="940" w:type="dxa"/>
            <w:tcBorders>
              <w:top w:val="nil"/>
              <w:left w:val="nil"/>
              <w:bottom w:val="single" w:sz="4" w:space="0" w:color="auto"/>
              <w:right w:val="single" w:sz="4" w:space="0" w:color="auto"/>
            </w:tcBorders>
            <w:shd w:val="clear" w:color="auto" w:fill="auto"/>
            <w:noWrap/>
            <w:vAlign w:val="center"/>
            <w:hideMark/>
          </w:tcPr>
          <w:p w14:paraId="08E89B3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0.8585 </w:t>
            </w:r>
          </w:p>
        </w:tc>
        <w:tc>
          <w:tcPr>
            <w:tcW w:w="940" w:type="dxa"/>
            <w:tcBorders>
              <w:top w:val="nil"/>
              <w:left w:val="nil"/>
              <w:bottom w:val="single" w:sz="4" w:space="0" w:color="auto"/>
              <w:right w:val="single" w:sz="4" w:space="0" w:color="auto"/>
            </w:tcBorders>
            <w:shd w:val="clear" w:color="auto" w:fill="auto"/>
            <w:noWrap/>
            <w:vAlign w:val="center"/>
            <w:hideMark/>
          </w:tcPr>
          <w:p w14:paraId="5E98478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0.7588 </w:t>
            </w:r>
          </w:p>
        </w:tc>
        <w:tc>
          <w:tcPr>
            <w:tcW w:w="940" w:type="dxa"/>
            <w:tcBorders>
              <w:top w:val="nil"/>
              <w:left w:val="nil"/>
              <w:bottom w:val="single" w:sz="4" w:space="0" w:color="auto"/>
              <w:right w:val="single" w:sz="4" w:space="0" w:color="auto"/>
            </w:tcBorders>
            <w:shd w:val="clear" w:color="auto" w:fill="auto"/>
            <w:noWrap/>
            <w:vAlign w:val="center"/>
            <w:hideMark/>
          </w:tcPr>
          <w:p w14:paraId="12FCF41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0.6633 </w:t>
            </w:r>
          </w:p>
        </w:tc>
      </w:tr>
      <w:tr w:rsidR="000C70FF" w:rsidRPr="00584EB6" w14:paraId="659D4070"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18BDDC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0.4 </w:t>
            </w:r>
          </w:p>
        </w:tc>
        <w:tc>
          <w:tcPr>
            <w:tcW w:w="940" w:type="dxa"/>
            <w:tcBorders>
              <w:top w:val="nil"/>
              <w:left w:val="nil"/>
              <w:bottom w:val="single" w:sz="4" w:space="0" w:color="auto"/>
              <w:right w:val="single" w:sz="4" w:space="0" w:color="auto"/>
            </w:tcBorders>
            <w:shd w:val="clear" w:color="auto" w:fill="auto"/>
            <w:noWrap/>
            <w:vAlign w:val="center"/>
            <w:hideMark/>
          </w:tcPr>
          <w:p w14:paraId="5DC8C1C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3.4333 </w:t>
            </w:r>
          </w:p>
        </w:tc>
        <w:tc>
          <w:tcPr>
            <w:tcW w:w="940" w:type="dxa"/>
            <w:tcBorders>
              <w:top w:val="nil"/>
              <w:left w:val="nil"/>
              <w:bottom w:val="single" w:sz="4" w:space="0" w:color="auto"/>
              <w:right w:val="single" w:sz="4" w:space="0" w:color="auto"/>
            </w:tcBorders>
            <w:shd w:val="clear" w:color="auto" w:fill="auto"/>
            <w:noWrap/>
            <w:vAlign w:val="center"/>
            <w:hideMark/>
          </w:tcPr>
          <w:p w14:paraId="79BE29D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3.1968 </w:t>
            </w:r>
          </w:p>
        </w:tc>
        <w:tc>
          <w:tcPr>
            <w:tcW w:w="940" w:type="dxa"/>
            <w:tcBorders>
              <w:top w:val="nil"/>
              <w:left w:val="nil"/>
              <w:bottom w:val="single" w:sz="4" w:space="0" w:color="auto"/>
              <w:right w:val="single" w:sz="4" w:space="0" w:color="auto"/>
            </w:tcBorders>
            <w:shd w:val="clear" w:color="auto" w:fill="auto"/>
            <w:noWrap/>
            <w:vAlign w:val="center"/>
            <w:hideMark/>
          </w:tcPr>
          <w:p w14:paraId="0F57C1F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3.0960 </w:t>
            </w:r>
          </w:p>
        </w:tc>
        <w:tc>
          <w:tcPr>
            <w:tcW w:w="940" w:type="dxa"/>
            <w:tcBorders>
              <w:top w:val="nil"/>
              <w:left w:val="nil"/>
              <w:bottom w:val="single" w:sz="4" w:space="0" w:color="auto"/>
              <w:right w:val="single" w:sz="4" w:space="0" w:color="auto"/>
            </w:tcBorders>
            <w:shd w:val="clear" w:color="000000" w:fill="E6B8B7"/>
            <w:vAlign w:val="center"/>
            <w:hideMark/>
          </w:tcPr>
          <w:p w14:paraId="34B92F0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2.9 </w:t>
            </w:r>
          </w:p>
        </w:tc>
        <w:tc>
          <w:tcPr>
            <w:tcW w:w="940" w:type="dxa"/>
            <w:tcBorders>
              <w:top w:val="nil"/>
              <w:left w:val="nil"/>
              <w:bottom w:val="single" w:sz="4" w:space="0" w:color="auto"/>
              <w:right w:val="single" w:sz="4" w:space="0" w:color="auto"/>
            </w:tcBorders>
            <w:shd w:val="clear" w:color="auto" w:fill="auto"/>
            <w:noWrap/>
            <w:vAlign w:val="center"/>
            <w:hideMark/>
          </w:tcPr>
          <w:p w14:paraId="3F4DAA2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1.0556 </w:t>
            </w:r>
          </w:p>
        </w:tc>
        <w:tc>
          <w:tcPr>
            <w:tcW w:w="940" w:type="dxa"/>
            <w:tcBorders>
              <w:top w:val="nil"/>
              <w:left w:val="nil"/>
              <w:bottom w:val="single" w:sz="4" w:space="0" w:color="auto"/>
              <w:right w:val="single" w:sz="4" w:space="0" w:color="auto"/>
            </w:tcBorders>
            <w:shd w:val="clear" w:color="auto" w:fill="auto"/>
            <w:noWrap/>
            <w:vAlign w:val="center"/>
            <w:hideMark/>
          </w:tcPr>
          <w:p w14:paraId="21869EF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0.9533 </w:t>
            </w:r>
          </w:p>
        </w:tc>
        <w:tc>
          <w:tcPr>
            <w:tcW w:w="940" w:type="dxa"/>
            <w:tcBorders>
              <w:top w:val="nil"/>
              <w:left w:val="nil"/>
              <w:bottom w:val="single" w:sz="4" w:space="0" w:color="auto"/>
              <w:right w:val="single" w:sz="4" w:space="0" w:color="auto"/>
            </w:tcBorders>
            <w:shd w:val="clear" w:color="auto" w:fill="auto"/>
            <w:noWrap/>
            <w:vAlign w:val="center"/>
            <w:hideMark/>
          </w:tcPr>
          <w:p w14:paraId="448D7E6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0.8802 </w:t>
            </w:r>
          </w:p>
        </w:tc>
        <w:tc>
          <w:tcPr>
            <w:tcW w:w="940" w:type="dxa"/>
            <w:tcBorders>
              <w:top w:val="nil"/>
              <w:left w:val="nil"/>
              <w:bottom w:val="single" w:sz="4" w:space="0" w:color="auto"/>
              <w:right w:val="single" w:sz="4" w:space="0" w:color="auto"/>
            </w:tcBorders>
            <w:shd w:val="clear" w:color="000000" w:fill="E6B8B7"/>
            <w:noWrap/>
            <w:vAlign w:val="center"/>
            <w:hideMark/>
          </w:tcPr>
          <w:p w14:paraId="03368432"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5.4 </w:t>
            </w:r>
          </w:p>
        </w:tc>
        <w:tc>
          <w:tcPr>
            <w:tcW w:w="940" w:type="dxa"/>
            <w:tcBorders>
              <w:top w:val="nil"/>
              <w:left w:val="nil"/>
              <w:bottom w:val="single" w:sz="4" w:space="0" w:color="auto"/>
              <w:right w:val="single" w:sz="4" w:space="0" w:color="auto"/>
            </w:tcBorders>
            <w:shd w:val="clear" w:color="auto" w:fill="auto"/>
            <w:noWrap/>
            <w:vAlign w:val="center"/>
            <w:hideMark/>
          </w:tcPr>
          <w:p w14:paraId="5D7A18A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0.9058 </w:t>
            </w:r>
          </w:p>
        </w:tc>
        <w:tc>
          <w:tcPr>
            <w:tcW w:w="940" w:type="dxa"/>
            <w:tcBorders>
              <w:top w:val="nil"/>
              <w:left w:val="nil"/>
              <w:bottom w:val="single" w:sz="4" w:space="0" w:color="auto"/>
              <w:right w:val="single" w:sz="4" w:space="0" w:color="auto"/>
            </w:tcBorders>
            <w:shd w:val="clear" w:color="auto" w:fill="auto"/>
            <w:noWrap/>
            <w:vAlign w:val="center"/>
            <w:hideMark/>
          </w:tcPr>
          <w:p w14:paraId="30118CA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0.8075 </w:t>
            </w:r>
          </w:p>
        </w:tc>
        <w:tc>
          <w:tcPr>
            <w:tcW w:w="940" w:type="dxa"/>
            <w:tcBorders>
              <w:top w:val="nil"/>
              <w:left w:val="nil"/>
              <w:bottom w:val="single" w:sz="4" w:space="0" w:color="auto"/>
              <w:right w:val="single" w:sz="4" w:space="0" w:color="auto"/>
            </w:tcBorders>
            <w:shd w:val="clear" w:color="auto" w:fill="auto"/>
            <w:noWrap/>
            <w:vAlign w:val="center"/>
            <w:hideMark/>
          </w:tcPr>
          <w:p w14:paraId="2C4CB68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0.7218 </w:t>
            </w:r>
          </w:p>
        </w:tc>
        <w:tc>
          <w:tcPr>
            <w:tcW w:w="940" w:type="dxa"/>
            <w:tcBorders>
              <w:top w:val="nil"/>
              <w:left w:val="nil"/>
              <w:bottom w:val="single" w:sz="4" w:space="0" w:color="auto"/>
              <w:right w:val="single" w:sz="4" w:space="0" w:color="auto"/>
            </w:tcBorders>
            <w:shd w:val="clear" w:color="000000" w:fill="E6B8B7"/>
            <w:vAlign w:val="center"/>
            <w:hideMark/>
          </w:tcPr>
          <w:p w14:paraId="16045D06"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7.9 </w:t>
            </w:r>
          </w:p>
        </w:tc>
        <w:tc>
          <w:tcPr>
            <w:tcW w:w="940" w:type="dxa"/>
            <w:tcBorders>
              <w:top w:val="nil"/>
              <w:left w:val="nil"/>
              <w:bottom w:val="single" w:sz="4" w:space="0" w:color="auto"/>
              <w:right w:val="single" w:sz="4" w:space="0" w:color="auto"/>
            </w:tcBorders>
            <w:shd w:val="clear" w:color="auto" w:fill="auto"/>
            <w:noWrap/>
            <w:vAlign w:val="center"/>
            <w:hideMark/>
          </w:tcPr>
          <w:p w14:paraId="4071773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0.8570 </w:t>
            </w:r>
          </w:p>
        </w:tc>
        <w:tc>
          <w:tcPr>
            <w:tcW w:w="940" w:type="dxa"/>
            <w:tcBorders>
              <w:top w:val="nil"/>
              <w:left w:val="nil"/>
              <w:bottom w:val="single" w:sz="4" w:space="0" w:color="auto"/>
              <w:right w:val="single" w:sz="4" w:space="0" w:color="auto"/>
            </w:tcBorders>
            <w:shd w:val="clear" w:color="auto" w:fill="auto"/>
            <w:noWrap/>
            <w:vAlign w:val="center"/>
            <w:hideMark/>
          </w:tcPr>
          <w:p w14:paraId="5BF6354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0.7572 </w:t>
            </w:r>
          </w:p>
        </w:tc>
        <w:tc>
          <w:tcPr>
            <w:tcW w:w="940" w:type="dxa"/>
            <w:tcBorders>
              <w:top w:val="nil"/>
              <w:left w:val="nil"/>
              <w:bottom w:val="single" w:sz="4" w:space="0" w:color="auto"/>
              <w:right w:val="single" w:sz="4" w:space="0" w:color="auto"/>
            </w:tcBorders>
            <w:shd w:val="clear" w:color="auto" w:fill="auto"/>
            <w:noWrap/>
            <w:vAlign w:val="center"/>
            <w:hideMark/>
          </w:tcPr>
          <w:p w14:paraId="0F6660D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0.6615 </w:t>
            </w:r>
          </w:p>
        </w:tc>
      </w:tr>
      <w:tr w:rsidR="000C70FF" w:rsidRPr="00584EB6" w14:paraId="050F8DA2"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5CBDF4F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0.5 </w:t>
            </w:r>
          </w:p>
        </w:tc>
        <w:tc>
          <w:tcPr>
            <w:tcW w:w="940" w:type="dxa"/>
            <w:tcBorders>
              <w:top w:val="nil"/>
              <w:left w:val="nil"/>
              <w:bottom w:val="single" w:sz="4" w:space="0" w:color="auto"/>
              <w:right w:val="single" w:sz="4" w:space="0" w:color="auto"/>
            </w:tcBorders>
            <w:shd w:val="clear" w:color="auto" w:fill="auto"/>
            <w:noWrap/>
            <w:vAlign w:val="center"/>
            <w:hideMark/>
          </w:tcPr>
          <w:p w14:paraId="7E6B46E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2.7466 </w:t>
            </w:r>
          </w:p>
        </w:tc>
        <w:tc>
          <w:tcPr>
            <w:tcW w:w="940" w:type="dxa"/>
            <w:tcBorders>
              <w:top w:val="nil"/>
              <w:left w:val="nil"/>
              <w:bottom w:val="single" w:sz="4" w:space="0" w:color="auto"/>
              <w:right w:val="single" w:sz="4" w:space="0" w:color="auto"/>
            </w:tcBorders>
            <w:shd w:val="clear" w:color="auto" w:fill="auto"/>
            <w:noWrap/>
            <w:vAlign w:val="center"/>
            <w:hideMark/>
          </w:tcPr>
          <w:p w14:paraId="748BD4F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2.5574 </w:t>
            </w:r>
          </w:p>
        </w:tc>
        <w:tc>
          <w:tcPr>
            <w:tcW w:w="940" w:type="dxa"/>
            <w:tcBorders>
              <w:top w:val="nil"/>
              <w:left w:val="nil"/>
              <w:bottom w:val="single" w:sz="4" w:space="0" w:color="auto"/>
              <w:right w:val="single" w:sz="4" w:space="0" w:color="auto"/>
            </w:tcBorders>
            <w:shd w:val="clear" w:color="auto" w:fill="auto"/>
            <w:noWrap/>
            <w:vAlign w:val="center"/>
            <w:hideMark/>
          </w:tcPr>
          <w:p w14:paraId="3376323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2.4768 </w:t>
            </w:r>
          </w:p>
        </w:tc>
        <w:tc>
          <w:tcPr>
            <w:tcW w:w="940" w:type="dxa"/>
            <w:tcBorders>
              <w:top w:val="nil"/>
              <w:left w:val="nil"/>
              <w:bottom w:val="single" w:sz="4" w:space="0" w:color="auto"/>
              <w:right w:val="single" w:sz="4" w:space="0" w:color="auto"/>
            </w:tcBorders>
            <w:shd w:val="clear" w:color="000000" w:fill="E6B8B7"/>
            <w:vAlign w:val="center"/>
            <w:hideMark/>
          </w:tcPr>
          <w:p w14:paraId="587064A1"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3.0 </w:t>
            </w:r>
          </w:p>
        </w:tc>
        <w:tc>
          <w:tcPr>
            <w:tcW w:w="940" w:type="dxa"/>
            <w:tcBorders>
              <w:top w:val="nil"/>
              <w:left w:val="nil"/>
              <w:bottom w:val="single" w:sz="4" w:space="0" w:color="auto"/>
              <w:right w:val="single" w:sz="4" w:space="0" w:color="auto"/>
            </w:tcBorders>
            <w:shd w:val="clear" w:color="auto" w:fill="auto"/>
            <w:noWrap/>
            <w:vAlign w:val="center"/>
            <w:hideMark/>
          </w:tcPr>
          <w:p w14:paraId="6AD164B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1.0453 </w:t>
            </w:r>
          </w:p>
        </w:tc>
        <w:tc>
          <w:tcPr>
            <w:tcW w:w="940" w:type="dxa"/>
            <w:tcBorders>
              <w:top w:val="nil"/>
              <w:left w:val="nil"/>
              <w:bottom w:val="single" w:sz="4" w:space="0" w:color="auto"/>
              <w:right w:val="single" w:sz="4" w:space="0" w:color="auto"/>
            </w:tcBorders>
            <w:shd w:val="clear" w:color="auto" w:fill="auto"/>
            <w:noWrap/>
            <w:vAlign w:val="center"/>
            <w:hideMark/>
          </w:tcPr>
          <w:p w14:paraId="7E12378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0.9430 </w:t>
            </w:r>
          </w:p>
        </w:tc>
        <w:tc>
          <w:tcPr>
            <w:tcW w:w="940" w:type="dxa"/>
            <w:tcBorders>
              <w:top w:val="nil"/>
              <w:left w:val="nil"/>
              <w:bottom w:val="single" w:sz="4" w:space="0" w:color="auto"/>
              <w:right w:val="single" w:sz="4" w:space="0" w:color="auto"/>
            </w:tcBorders>
            <w:shd w:val="clear" w:color="auto" w:fill="auto"/>
            <w:noWrap/>
            <w:vAlign w:val="center"/>
            <w:hideMark/>
          </w:tcPr>
          <w:p w14:paraId="1BE8BE3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0.8697 </w:t>
            </w:r>
          </w:p>
        </w:tc>
        <w:tc>
          <w:tcPr>
            <w:tcW w:w="940" w:type="dxa"/>
            <w:tcBorders>
              <w:top w:val="nil"/>
              <w:left w:val="nil"/>
              <w:bottom w:val="single" w:sz="4" w:space="0" w:color="auto"/>
              <w:right w:val="single" w:sz="4" w:space="0" w:color="auto"/>
            </w:tcBorders>
            <w:shd w:val="clear" w:color="000000" w:fill="E6B8B7"/>
            <w:noWrap/>
            <w:vAlign w:val="center"/>
            <w:hideMark/>
          </w:tcPr>
          <w:p w14:paraId="4AD5EFD0"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5.5 </w:t>
            </w:r>
          </w:p>
        </w:tc>
        <w:tc>
          <w:tcPr>
            <w:tcW w:w="940" w:type="dxa"/>
            <w:tcBorders>
              <w:top w:val="nil"/>
              <w:left w:val="nil"/>
              <w:bottom w:val="single" w:sz="4" w:space="0" w:color="auto"/>
              <w:right w:val="single" w:sz="4" w:space="0" w:color="auto"/>
            </w:tcBorders>
            <w:shd w:val="clear" w:color="auto" w:fill="auto"/>
            <w:noWrap/>
            <w:vAlign w:val="center"/>
            <w:hideMark/>
          </w:tcPr>
          <w:p w14:paraId="0C5DE25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0.9029 </w:t>
            </w:r>
          </w:p>
        </w:tc>
        <w:tc>
          <w:tcPr>
            <w:tcW w:w="940" w:type="dxa"/>
            <w:tcBorders>
              <w:top w:val="nil"/>
              <w:left w:val="nil"/>
              <w:bottom w:val="single" w:sz="4" w:space="0" w:color="auto"/>
              <w:right w:val="single" w:sz="4" w:space="0" w:color="auto"/>
            </w:tcBorders>
            <w:shd w:val="clear" w:color="auto" w:fill="auto"/>
            <w:noWrap/>
            <w:vAlign w:val="center"/>
            <w:hideMark/>
          </w:tcPr>
          <w:p w14:paraId="08C207E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0.8047 </w:t>
            </w:r>
          </w:p>
        </w:tc>
        <w:tc>
          <w:tcPr>
            <w:tcW w:w="940" w:type="dxa"/>
            <w:tcBorders>
              <w:top w:val="nil"/>
              <w:left w:val="nil"/>
              <w:bottom w:val="single" w:sz="4" w:space="0" w:color="auto"/>
              <w:right w:val="single" w:sz="4" w:space="0" w:color="auto"/>
            </w:tcBorders>
            <w:shd w:val="clear" w:color="auto" w:fill="auto"/>
            <w:noWrap/>
            <w:vAlign w:val="center"/>
            <w:hideMark/>
          </w:tcPr>
          <w:p w14:paraId="16B5843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0.7184 </w:t>
            </w:r>
          </w:p>
        </w:tc>
        <w:tc>
          <w:tcPr>
            <w:tcW w:w="940" w:type="dxa"/>
            <w:tcBorders>
              <w:top w:val="nil"/>
              <w:left w:val="nil"/>
              <w:bottom w:val="single" w:sz="4" w:space="0" w:color="auto"/>
              <w:right w:val="single" w:sz="4" w:space="0" w:color="auto"/>
            </w:tcBorders>
            <w:shd w:val="clear" w:color="000000" w:fill="E6B8B7"/>
            <w:vAlign w:val="center"/>
            <w:hideMark/>
          </w:tcPr>
          <w:p w14:paraId="4C9D989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8.0 </w:t>
            </w:r>
          </w:p>
        </w:tc>
        <w:tc>
          <w:tcPr>
            <w:tcW w:w="940" w:type="dxa"/>
            <w:tcBorders>
              <w:top w:val="nil"/>
              <w:left w:val="nil"/>
              <w:bottom w:val="single" w:sz="4" w:space="0" w:color="auto"/>
              <w:right w:val="single" w:sz="4" w:space="0" w:color="auto"/>
            </w:tcBorders>
            <w:shd w:val="clear" w:color="auto" w:fill="auto"/>
            <w:noWrap/>
            <w:vAlign w:val="center"/>
            <w:hideMark/>
          </w:tcPr>
          <w:p w14:paraId="54F34FD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0.8555 </w:t>
            </w:r>
          </w:p>
        </w:tc>
        <w:tc>
          <w:tcPr>
            <w:tcW w:w="940" w:type="dxa"/>
            <w:tcBorders>
              <w:top w:val="nil"/>
              <w:left w:val="nil"/>
              <w:bottom w:val="single" w:sz="4" w:space="0" w:color="auto"/>
              <w:right w:val="single" w:sz="4" w:space="0" w:color="auto"/>
            </w:tcBorders>
            <w:shd w:val="clear" w:color="auto" w:fill="auto"/>
            <w:noWrap/>
            <w:vAlign w:val="center"/>
            <w:hideMark/>
          </w:tcPr>
          <w:p w14:paraId="154BB2E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0.7557 </w:t>
            </w:r>
          </w:p>
        </w:tc>
        <w:tc>
          <w:tcPr>
            <w:tcW w:w="940" w:type="dxa"/>
            <w:tcBorders>
              <w:top w:val="nil"/>
              <w:left w:val="nil"/>
              <w:bottom w:val="single" w:sz="4" w:space="0" w:color="auto"/>
              <w:right w:val="single" w:sz="4" w:space="0" w:color="auto"/>
            </w:tcBorders>
            <w:shd w:val="clear" w:color="auto" w:fill="auto"/>
            <w:noWrap/>
            <w:vAlign w:val="center"/>
            <w:hideMark/>
          </w:tcPr>
          <w:p w14:paraId="141BAED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0.6597 </w:t>
            </w:r>
          </w:p>
        </w:tc>
      </w:tr>
      <w:tr w:rsidR="000C70FF" w:rsidRPr="00584EB6" w14:paraId="4A8718B6"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40B92850"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0.6 </w:t>
            </w:r>
          </w:p>
        </w:tc>
        <w:tc>
          <w:tcPr>
            <w:tcW w:w="940" w:type="dxa"/>
            <w:tcBorders>
              <w:top w:val="nil"/>
              <w:left w:val="nil"/>
              <w:bottom w:val="single" w:sz="4" w:space="0" w:color="auto"/>
              <w:right w:val="single" w:sz="4" w:space="0" w:color="auto"/>
            </w:tcBorders>
            <w:shd w:val="clear" w:color="auto" w:fill="auto"/>
            <w:noWrap/>
            <w:vAlign w:val="center"/>
            <w:hideMark/>
          </w:tcPr>
          <w:p w14:paraId="1A4C623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2.2888 </w:t>
            </w:r>
          </w:p>
        </w:tc>
        <w:tc>
          <w:tcPr>
            <w:tcW w:w="940" w:type="dxa"/>
            <w:tcBorders>
              <w:top w:val="nil"/>
              <w:left w:val="nil"/>
              <w:bottom w:val="single" w:sz="4" w:space="0" w:color="auto"/>
              <w:right w:val="single" w:sz="4" w:space="0" w:color="auto"/>
            </w:tcBorders>
            <w:shd w:val="clear" w:color="auto" w:fill="auto"/>
            <w:noWrap/>
            <w:vAlign w:val="center"/>
            <w:hideMark/>
          </w:tcPr>
          <w:p w14:paraId="7F600FE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2.1312 </w:t>
            </w:r>
          </w:p>
        </w:tc>
        <w:tc>
          <w:tcPr>
            <w:tcW w:w="940" w:type="dxa"/>
            <w:tcBorders>
              <w:top w:val="nil"/>
              <w:left w:val="nil"/>
              <w:bottom w:val="single" w:sz="4" w:space="0" w:color="auto"/>
              <w:right w:val="single" w:sz="4" w:space="0" w:color="auto"/>
            </w:tcBorders>
            <w:shd w:val="clear" w:color="auto" w:fill="auto"/>
            <w:noWrap/>
            <w:vAlign w:val="center"/>
            <w:hideMark/>
          </w:tcPr>
          <w:p w14:paraId="234ECE7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2.0640 </w:t>
            </w:r>
          </w:p>
        </w:tc>
        <w:tc>
          <w:tcPr>
            <w:tcW w:w="940" w:type="dxa"/>
            <w:tcBorders>
              <w:top w:val="nil"/>
              <w:left w:val="nil"/>
              <w:bottom w:val="single" w:sz="4" w:space="0" w:color="auto"/>
              <w:right w:val="single" w:sz="4" w:space="0" w:color="auto"/>
            </w:tcBorders>
            <w:shd w:val="clear" w:color="000000" w:fill="E6B8B7"/>
            <w:vAlign w:val="center"/>
            <w:hideMark/>
          </w:tcPr>
          <w:p w14:paraId="2152571C"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3.1 </w:t>
            </w:r>
          </w:p>
        </w:tc>
        <w:tc>
          <w:tcPr>
            <w:tcW w:w="940" w:type="dxa"/>
            <w:tcBorders>
              <w:top w:val="nil"/>
              <w:left w:val="nil"/>
              <w:bottom w:val="single" w:sz="4" w:space="0" w:color="auto"/>
              <w:right w:val="single" w:sz="4" w:space="0" w:color="auto"/>
            </w:tcBorders>
            <w:shd w:val="clear" w:color="auto" w:fill="auto"/>
            <w:noWrap/>
            <w:vAlign w:val="center"/>
            <w:hideMark/>
          </w:tcPr>
          <w:p w14:paraId="6EE49E6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1.0354 </w:t>
            </w:r>
          </w:p>
        </w:tc>
        <w:tc>
          <w:tcPr>
            <w:tcW w:w="940" w:type="dxa"/>
            <w:tcBorders>
              <w:top w:val="nil"/>
              <w:left w:val="nil"/>
              <w:bottom w:val="single" w:sz="4" w:space="0" w:color="auto"/>
              <w:right w:val="single" w:sz="4" w:space="0" w:color="auto"/>
            </w:tcBorders>
            <w:shd w:val="clear" w:color="auto" w:fill="auto"/>
            <w:noWrap/>
            <w:vAlign w:val="center"/>
            <w:hideMark/>
          </w:tcPr>
          <w:p w14:paraId="539D5EA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0.9333 </w:t>
            </w:r>
          </w:p>
        </w:tc>
        <w:tc>
          <w:tcPr>
            <w:tcW w:w="940" w:type="dxa"/>
            <w:tcBorders>
              <w:top w:val="nil"/>
              <w:left w:val="nil"/>
              <w:bottom w:val="single" w:sz="4" w:space="0" w:color="auto"/>
              <w:right w:val="single" w:sz="4" w:space="0" w:color="auto"/>
            </w:tcBorders>
            <w:shd w:val="clear" w:color="auto" w:fill="auto"/>
            <w:noWrap/>
            <w:vAlign w:val="center"/>
            <w:hideMark/>
          </w:tcPr>
          <w:p w14:paraId="574453E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0.8597 </w:t>
            </w:r>
          </w:p>
        </w:tc>
        <w:tc>
          <w:tcPr>
            <w:tcW w:w="940" w:type="dxa"/>
            <w:tcBorders>
              <w:top w:val="nil"/>
              <w:left w:val="nil"/>
              <w:bottom w:val="single" w:sz="4" w:space="0" w:color="auto"/>
              <w:right w:val="single" w:sz="4" w:space="0" w:color="auto"/>
            </w:tcBorders>
            <w:shd w:val="clear" w:color="000000" w:fill="E6B8B7"/>
            <w:noWrap/>
            <w:vAlign w:val="center"/>
            <w:hideMark/>
          </w:tcPr>
          <w:p w14:paraId="7352AF3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5.6 </w:t>
            </w:r>
          </w:p>
        </w:tc>
        <w:tc>
          <w:tcPr>
            <w:tcW w:w="940" w:type="dxa"/>
            <w:tcBorders>
              <w:top w:val="nil"/>
              <w:left w:val="nil"/>
              <w:bottom w:val="single" w:sz="4" w:space="0" w:color="auto"/>
              <w:right w:val="single" w:sz="4" w:space="0" w:color="auto"/>
            </w:tcBorders>
            <w:shd w:val="clear" w:color="auto" w:fill="auto"/>
            <w:noWrap/>
            <w:vAlign w:val="center"/>
            <w:hideMark/>
          </w:tcPr>
          <w:p w14:paraId="4618879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0.9001 </w:t>
            </w:r>
          </w:p>
        </w:tc>
        <w:tc>
          <w:tcPr>
            <w:tcW w:w="940" w:type="dxa"/>
            <w:tcBorders>
              <w:top w:val="nil"/>
              <w:left w:val="nil"/>
              <w:bottom w:val="single" w:sz="4" w:space="0" w:color="auto"/>
              <w:right w:val="single" w:sz="4" w:space="0" w:color="auto"/>
            </w:tcBorders>
            <w:shd w:val="clear" w:color="auto" w:fill="auto"/>
            <w:noWrap/>
            <w:vAlign w:val="center"/>
            <w:hideMark/>
          </w:tcPr>
          <w:p w14:paraId="361708D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0.8020 </w:t>
            </w:r>
          </w:p>
        </w:tc>
        <w:tc>
          <w:tcPr>
            <w:tcW w:w="940" w:type="dxa"/>
            <w:tcBorders>
              <w:top w:val="nil"/>
              <w:left w:val="nil"/>
              <w:bottom w:val="single" w:sz="4" w:space="0" w:color="auto"/>
              <w:right w:val="single" w:sz="4" w:space="0" w:color="auto"/>
            </w:tcBorders>
            <w:shd w:val="clear" w:color="auto" w:fill="auto"/>
            <w:noWrap/>
            <w:vAlign w:val="center"/>
            <w:hideMark/>
          </w:tcPr>
          <w:p w14:paraId="2CBA2D0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0.7151 </w:t>
            </w:r>
          </w:p>
        </w:tc>
        <w:tc>
          <w:tcPr>
            <w:tcW w:w="940" w:type="dxa"/>
            <w:tcBorders>
              <w:top w:val="nil"/>
              <w:left w:val="nil"/>
              <w:bottom w:val="single" w:sz="4" w:space="0" w:color="auto"/>
              <w:right w:val="single" w:sz="4" w:space="0" w:color="auto"/>
            </w:tcBorders>
            <w:shd w:val="clear" w:color="000000" w:fill="E6B8B7"/>
            <w:vAlign w:val="center"/>
            <w:hideMark/>
          </w:tcPr>
          <w:p w14:paraId="7D5DCC4A"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8.1 </w:t>
            </w:r>
          </w:p>
        </w:tc>
        <w:tc>
          <w:tcPr>
            <w:tcW w:w="940" w:type="dxa"/>
            <w:tcBorders>
              <w:top w:val="nil"/>
              <w:left w:val="nil"/>
              <w:bottom w:val="single" w:sz="4" w:space="0" w:color="auto"/>
              <w:right w:val="single" w:sz="4" w:space="0" w:color="auto"/>
            </w:tcBorders>
            <w:shd w:val="clear" w:color="auto" w:fill="auto"/>
            <w:noWrap/>
            <w:vAlign w:val="center"/>
            <w:hideMark/>
          </w:tcPr>
          <w:p w14:paraId="12732AE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0.8540 </w:t>
            </w:r>
          </w:p>
        </w:tc>
        <w:tc>
          <w:tcPr>
            <w:tcW w:w="940" w:type="dxa"/>
            <w:tcBorders>
              <w:top w:val="nil"/>
              <w:left w:val="nil"/>
              <w:bottom w:val="single" w:sz="4" w:space="0" w:color="auto"/>
              <w:right w:val="single" w:sz="4" w:space="0" w:color="auto"/>
            </w:tcBorders>
            <w:shd w:val="clear" w:color="auto" w:fill="auto"/>
            <w:noWrap/>
            <w:vAlign w:val="center"/>
            <w:hideMark/>
          </w:tcPr>
          <w:p w14:paraId="674252E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0.7542 </w:t>
            </w:r>
          </w:p>
        </w:tc>
        <w:tc>
          <w:tcPr>
            <w:tcW w:w="940" w:type="dxa"/>
            <w:tcBorders>
              <w:top w:val="nil"/>
              <w:left w:val="nil"/>
              <w:bottom w:val="single" w:sz="4" w:space="0" w:color="auto"/>
              <w:right w:val="single" w:sz="4" w:space="0" w:color="auto"/>
            </w:tcBorders>
            <w:shd w:val="clear" w:color="auto" w:fill="auto"/>
            <w:noWrap/>
            <w:vAlign w:val="center"/>
            <w:hideMark/>
          </w:tcPr>
          <w:p w14:paraId="767390C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0.6580 </w:t>
            </w:r>
          </w:p>
        </w:tc>
      </w:tr>
      <w:tr w:rsidR="000C70FF" w:rsidRPr="00584EB6" w14:paraId="1B88441D"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BCBCAE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0.7 </w:t>
            </w:r>
          </w:p>
        </w:tc>
        <w:tc>
          <w:tcPr>
            <w:tcW w:w="940" w:type="dxa"/>
            <w:tcBorders>
              <w:top w:val="nil"/>
              <w:left w:val="nil"/>
              <w:bottom w:val="single" w:sz="4" w:space="0" w:color="auto"/>
              <w:right w:val="single" w:sz="4" w:space="0" w:color="auto"/>
            </w:tcBorders>
            <w:shd w:val="clear" w:color="auto" w:fill="auto"/>
            <w:noWrap/>
            <w:vAlign w:val="center"/>
            <w:hideMark/>
          </w:tcPr>
          <w:p w14:paraId="14347A2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1.9619 </w:t>
            </w:r>
          </w:p>
        </w:tc>
        <w:tc>
          <w:tcPr>
            <w:tcW w:w="940" w:type="dxa"/>
            <w:tcBorders>
              <w:top w:val="nil"/>
              <w:left w:val="nil"/>
              <w:bottom w:val="single" w:sz="4" w:space="0" w:color="auto"/>
              <w:right w:val="single" w:sz="4" w:space="0" w:color="auto"/>
            </w:tcBorders>
            <w:shd w:val="clear" w:color="auto" w:fill="auto"/>
            <w:noWrap/>
            <w:vAlign w:val="center"/>
            <w:hideMark/>
          </w:tcPr>
          <w:p w14:paraId="3C40044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1.8267 </w:t>
            </w:r>
          </w:p>
        </w:tc>
        <w:tc>
          <w:tcPr>
            <w:tcW w:w="940" w:type="dxa"/>
            <w:tcBorders>
              <w:top w:val="nil"/>
              <w:left w:val="nil"/>
              <w:bottom w:val="single" w:sz="4" w:space="0" w:color="auto"/>
              <w:right w:val="single" w:sz="4" w:space="0" w:color="auto"/>
            </w:tcBorders>
            <w:shd w:val="clear" w:color="auto" w:fill="auto"/>
            <w:noWrap/>
            <w:vAlign w:val="center"/>
            <w:hideMark/>
          </w:tcPr>
          <w:p w14:paraId="7EF0581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1.7691 </w:t>
            </w:r>
          </w:p>
        </w:tc>
        <w:tc>
          <w:tcPr>
            <w:tcW w:w="940" w:type="dxa"/>
            <w:tcBorders>
              <w:top w:val="nil"/>
              <w:left w:val="nil"/>
              <w:bottom w:val="single" w:sz="4" w:space="0" w:color="auto"/>
              <w:right w:val="single" w:sz="4" w:space="0" w:color="auto"/>
            </w:tcBorders>
            <w:shd w:val="clear" w:color="000000" w:fill="E6B8B7"/>
            <w:vAlign w:val="center"/>
            <w:hideMark/>
          </w:tcPr>
          <w:p w14:paraId="6570CE83"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3.2 </w:t>
            </w:r>
          </w:p>
        </w:tc>
        <w:tc>
          <w:tcPr>
            <w:tcW w:w="940" w:type="dxa"/>
            <w:tcBorders>
              <w:top w:val="nil"/>
              <w:left w:val="nil"/>
              <w:bottom w:val="single" w:sz="4" w:space="0" w:color="auto"/>
              <w:right w:val="single" w:sz="4" w:space="0" w:color="auto"/>
            </w:tcBorders>
            <w:shd w:val="clear" w:color="auto" w:fill="auto"/>
            <w:noWrap/>
            <w:vAlign w:val="center"/>
            <w:hideMark/>
          </w:tcPr>
          <w:p w14:paraId="33AF552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1.0259 </w:t>
            </w:r>
          </w:p>
        </w:tc>
        <w:tc>
          <w:tcPr>
            <w:tcW w:w="940" w:type="dxa"/>
            <w:tcBorders>
              <w:top w:val="nil"/>
              <w:left w:val="nil"/>
              <w:bottom w:val="single" w:sz="4" w:space="0" w:color="auto"/>
              <w:right w:val="single" w:sz="4" w:space="0" w:color="auto"/>
            </w:tcBorders>
            <w:shd w:val="clear" w:color="auto" w:fill="auto"/>
            <w:noWrap/>
            <w:vAlign w:val="center"/>
            <w:hideMark/>
          </w:tcPr>
          <w:p w14:paraId="6863742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0.9241 </w:t>
            </w:r>
          </w:p>
        </w:tc>
        <w:tc>
          <w:tcPr>
            <w:tcW w:w="940" w:type="dxa"/>
            <w:tcBorders>
              <w:top w:val="nil"/>
              <w:left w:val="nil"/>
              <w:bottom w:val="single" w:sz="4" w:space="0" w:color="auto"/>
              <w:right w:val="single" w:sz="4" w:space="0" w:color="auto"/>
            </w:tcBorders>
            <w:shd w:val="clear" w:color="auto" w:fill="auto"/>
            <w:noWrap/>
            <w:vAlign w:val="center"/>
            <w:hideMark/>
          </w:tcPr>
          <w:p w14:paraId="4A6C60C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0.8502 </w:t>
            </w:r>
          </w:p>
        </w:tc>
        <w:tc>
          <w:tcPr>
            <w:tcW w:w="940" w:type="dxa"/>
            <w:tcBorders>
              <w:top w:val="nil"/>
              <w:left w:val="nil"/>
              <w:bottom w:val="single" w:sz="4" w:space="0" w:color="auto"/>
              <w:right w:val="single" w:sz="4" w:space="0" w:color="auto"/>
            </w:tcBorders>
            <w:shd w:val="clear" w:color="000000" w:fill="E6B8B7"/>
            <w:noWrap/>
            <w:vAlign w:val="center"/>
            <w:hideMark/>
          </w:tcPr>
          <w:p w14:paraId="3AC96CE3"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5.7 </w:t>
            </w:r>
          </w:p>
        </w:tc>
        <w:tc>
          <w:tcPr>
            <w:tcW w:w="940" w:type="dxa"/>
            <w:tcBorders>
              <w:top w:val="nil"/>
              <w:left w:val="nil"/>
              <w:bottom w:val="single" w:sz="4" w:space="0" w:color="auto"/>
              <w:right w:val="single" w:sz="4" w:space="0" w:color="auto"/>
            </w:tcBorders>
            <w:shd w:val="clear" w:color="auto" w:fill="auto"/>
            <w:noWrap/>
            <w:vAlign w:val="center"/>
            <w:hideMark/>
          </w:tcPr>
          <w:p w14:paraId="5C631BF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0.8975 </w:t>
            </w:r>
          </w:p>
        </w:tc>
        <w:tc>
          <w:tcPr>
            <w:tcW w:w="940" w:type="dxa"/>
            <w:tcBorders>
              <w:top w:val="nil"/>
              <w:left w:val="nil"/>
              <w:bottom w:val="single" w:sz="4" w:space="0" w:color="auto"/>
              <w:right w:val="single" w:sz="4" w:space="0" w:color="auto"/>
            </w:tcBorders>
            <w:shd w:val="clear" w:color="auto" w:fill="auto"/>
            <w:noWrap/>
            <w:vAlign w:val="center"/>
            <w:hideMark/>
          </w:tcPr>
          <w:p w14:paraId="6134312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0.7993 </w:t>
            </w:r>
          </w:p>
        </w:tc>
        <w:tc>
          <w:tcPr>
            <w:tcW w:w="940" w:type="dxa"/>
            <w:tcBorders>
              <w:top w:val="nil"/>
              <w:left w:val="nil"/>
              <w:bottom w:val="single" w:sz="4" w:space="0" w:color="auto"/>
              <w:right w:val="single" w:sz="4" w:space="0" w:color="auto"/>
            </w:tcBorders>
            <w:shd w:val="clear" w:color="auto" w:fill="auto"/>
            <w:noWrap/>
            <w:vAlign w:val="center"/>
            <w:hideMark/>
          </w:tcPr>
          <w:p w14:paraId="2A4EE3B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0.7119 </w:t>
            </w:r>
          </w:p>
        </w:tc>
        <w:tc>
          <w:tcPr>
            <w:tcW w:w="940" w:type="dxa"/>
            <w:tcBorders>
              <w:top w:val="nil"/>
              <w:left w:val="nil"/>
              <w:bottom w:val="single" w:sz="4" w:space="0" w:color="auto"/>
              <w:right w:val="single" w:sz="4" w:space="0" w:color="auto"/>
            </w:tcBorders>
            <w:shd w:val="clear" w:color="000000" w:fill="E6B8B7"/>
            <w:vAlign w:val="center"/>
            <w:hideMark/>
          </w:tcPr>
          <w:p w14:paraId="2F829396"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8.2 </w:t>
            </w:r>
          </w:p>
        </w:tc>
        <w:tc>
          <w:tcPr>
            <w:tcW w:w="940" w:type="dxa"/>
            <w:tcBorders>
              <w:top w:val="nil"/>
              <w:left w:val="nil"/>
              <w:bottom w:val="single" w:sz="4" w:space="0" w:color="auto"/>
              <w:right w:val="single" w:sz="4" w:space="0" w:color="auto"/>
            </w:tcBorders>
            <w:shd w:val="clear" w:color="auto" w:fill="auto"/>
            <w:noWrap/>
            <w:vAlign w:val="center"/>
            <w:hideMark/>
          </w:tcPr>
          <w:p w14:paraId="3F64AC7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0.8525 </w:t>
            </w:r>
          </w:p>
        </w:tc>
        <w:tc>
          <w:tcPr>
            <w:tcW w:w="940" w:type="dxa"/>
            <w:tcBorders>
              <w:top w:val="nil"/>
              <w:left w:val="nil"/>
              <w:bottom w:val="single" w:sz="4" w:space="0" w:color="auto"/>
              <w:right w:val="single" w:sz="4" w:space="0" w:color="auto"/>
            </w:tcBorders>
            <w:shd w:val="clear" w:color="auto" w:fill="auto"/>
            <w:noWrap/>
            <w:vAlign w:val="center"/>
            <w:hideMark/>
          </w:tcPr>
          <w:p w14:paraId="143A572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0.7527 </w:t>
            </w:r>
          </w:p>
        </w:tc>
        <w:tc>
          <w:tcPr>
            <w:tcW w:w="940" w:type="dxa"/>
            <w:tcBorders>
              <w:top w:val="nil"/>
              <w:left w:val="nil"/>
              <w:bottom w:val="single" w:sz="4" w:space="0" w:color="auto"/>
              <w:right w:val="single" w:sz="4" w:space="0" w:color="auto"/>
            </w:tcBorders>
            <w:shd w:val="clear" w:color="auto" w:fill="auto"/>
            <w:noWrap/>
            <w:vAlign w:val="center"/>
            <w:hideMark/>
          </w:tcPr>
          <w:p w14:paraId="1D2E7D4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0.6563 </w:t>
            </w:r>
          </w:p>
        </w:tc>
      </w:tr>
      <w:tr w:rsidR="000C70FF" w:rsidRPr="00584EB6" w14:paraId="681BD55C"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55A9DF08"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0.8 </w:t>
            </w:r>
          </w:p>
        </w:tc>
        <w:tc>
          <w:tcPr>
            <w:tcW w:w="940" w:type="dxa"/>
            <w:tcBorders>
              <w:top w:val="nil"/>
              <w:left w:val="nil"/>
              <w:bottom w:val="single" w:sz="4" w:space="0" w:color="auto"/>
              <w:right w:val="single" w:sz="4" w:space="0" w:color="auto"/>
            </w:tcBorders>
            <w:shd w:val="clear" w:color="auto" w:fill="auto"/>
            <w:noWrap/>
            <w:vAlign w:val="center"/>
            <w:hideMark/>
          </w:tcPr>
          <w:p w14:paraId="70DE0F3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1.7166 </w:t>
            </w:r>
          </w:p>
        </w:tc>
        <w:tc>
          <w:tcPr>
            <w:tcW w:w="940" w:type="dxa"/>
            <w:tcBorders>
              <w:top w:val="nil"/>
              <w:left w:val="nil"/>
              <w:bottom w:val="single" w:sz="4" w:space="0" w:color="auto"/>
              <w:right w:val="single" w:sz="4" w:space="0" w:color="auto"/>
            </w:tcBorders>
            <w:shd w:val="clear" w:color="auto" w:fill="auto"/>
            <w:noWrap/>
            <w:vAlign w:val="center"/>
            <w:hideMark/>
          </w:tcPr>
          <w:p w14:paraId="11FAC4F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1.5984 </w:t>
            </w:r>
          </w:p>
        </w:tc>
        <w:tc>
          <w:tcPr>
            <w:tcW w:w="940" w:type="dxa"/>
            <w:tcBorders>
              <w:top w:val="nil"/>
              <w:left w:val="nil"/>
              <w:bottom w:val="single" w:sz="4" w:space="0" w:color="auto"/>
              <w:right w:val="single" w:sz="4" w:space="0" w:color="auto"/>
            </w:tcBorders>
            <w:shd w:val="clear" w:color="auto" w:fill="auto"/>
            <w:noWrap/>
            <w:vAlign w:val="center"/>
            <w:hideMark/>
          </w:tcPr>
          <w:p w14:paraId="5C6307A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1.5480 </w:t>
            </w:r>
          </w:p>
        </w:tc>
        <w:tc>
          <w:tcPr>
            <w:tcW w:w="940" w:type="dxa"/>
            <w:tcBorders>
              <w:top w:val="nil"/>
              <w:left w:val="nil"/>
              <w:bottom w:val="single" w:sz="4" w:space="0" w:color="auto"/>
              <w:right w:val="single" w:sz="4" w:space="0" w:color="auto"/>
            </w:tcBorders>
            <w:shd w:val="clear" w:color="000000" w:fill="E6B8B7"/>
            <w:vAlign w:val="center"/>
            <w:hideMark/>
          </w:tcPr>
          <w:p w14:paraId="5E2A70C8"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3.3 </w:t>
            </w:r>
          </w:p>
        </w:tc>
        <w:tc>
          <w:tcPr>
            <w:tcW w:w="940" w:type="dxa"/>
            <w:tcBorders>
              <w:top w:val="nil"/>
              <w:left w:val="nil"/>
              <w:bottom w:val="single" w:sz="4" w:space="0" w:color="auto"/>
              <w:right w:val="single" w:sz="4" w:space="0" w:color="auto"/>
            </w:tcBorders>
            <w:shd w:val="clear" w:color="auto" w:fill="auto"/>
            <w:noWrap/>
            <w:vAlign w:val="center"/>
            <w:hideMark/>
          </w:tcPr>
          <w:p w14:paraId="1D3588F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1.0169 </w:t>
            </w:r>
          </w:p>
        </w:tc>
        <w:tc>
          <w:tcPr>
            <w:tcW w:w="940" w:type="dxa"/>
            <w:tcBorders>
              <w:top w:val="nil"/>
              <w:left w:val="nil"/>
              <w:bottom w:val="single" w:sz="4" w:space="0" w:color="auto"/>
              <w:right w:val="single" w:sz="4" w:space="0" w:color="auto"/>
            </w:tcBorders>
            <w:shd w:val="clear" w:color="auto" w:fill="auto"/>
            <w:noWrap/>
            <w:vAlign w:val="center"/>
            <w:hideMark/>
          </w:tcPr>
          <w:p w14:paraId="29D348B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0.9154 </w:t>
            </w:r>
          </w:p>
        </w:tc>
        <w:tc>
          <w:tcPr>
            <w:tcW w:w="940" w:type="dxa"/>
            <w:tcBorders>
              <w:top w:val="nil"/>
              <w:left w:val="nil"/>
              <w:bottom w:val="single" w:sz="4" w:space="0" w:color="auto"/>
              <w:right w:val="single" w:sz="4" w:space="0" w:color="auto"/>
            </w:tcBorders>
            <w:shd w:val="clear" w:color="auto" w:fill="auto"/>
            <w:noWrap/>
            <w:vAlign w:val="center"/>
            <w:hideMark/>
          </w:tcPr>
          <w:p w14:paraId="2998583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0.8411 </w:t>
            </w:r>
          </w:p>
        </w:tc>
        <w:tc>
          <w:tcPr>
            <w:tcW w:w="940" w:type="dxa"/>
            <w:tcBorders>
              <w:top w:val="nil"/>
              <w:left w:val="nil"/>
              <w:bottom w:val="single" w:sz="4" w:space="0" w:color="auto"/>
              <w:right w:val="single" w:sz="4" w:space="0" w:color="auto"/>
            </w:tcBorders>
            <w:shd w:val="clear" w:color="000000" w:fill="E6B8B7"/>
            <w:noWrap/>
            <w:vAlign w:val="center"/>
            <w:hideMark/>
          </w:tcPr>
          <w:p w14:paraId="547BF18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5.8 </w:t>
            </w:r>
          </w:p>
        </w:tc>
        <w:tc>
          <w:tcPr>
            <w:tcW w:w="940" w:type="dxa"/>
            <w:tcBorders>
              <w:top w:val="nil"/>
              <w:left w:val="nil"/>
              <w:bottom w:val="single" w:sz="4" w:space="0" w:color="auto"/>
              <w:right w:val="single" w:sz="4" w:space="0" w:color="auto"/>
            </w:tcBorders>
            <w:shd w:val="clear" w:color="auto" w:fill="auto"/>
            <w:noWrap/>
            <w:vAlign w:val="center"/>
            <w:hideMark/>
          </w:tcPr>
          <w:p w14:paraId="31ED4B1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0.8950 </w:t>
            </w:r>
          </w:p>
        </w:tc>
        <w:tc>
          <w:tcPr>
            <w:tcW w:w="940" w:type="dxa"/>
            <w:tcBorders>
              <w:top w:val="nil"/>
              <w:left w:val="nil"/>
              <w:bottom w:val="single" w:sz="4" w:space="0" w:color="auto"/>
              <w:right w:val="single" w:sz="4" w:space="0" w:color="auto"/>
            </w:tcBorders>
            <w:shd w:val="clear" w:color="auto" w:fill="auto"/>
            <w:noWrap/>
            <w:vAlign w:val="center"/>
            <w:hideMark/>
          </w:tcPr>
          <w:p w14:paraId="7767828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0.7968 </w:t>
            </w:r>
          </w:p>
        </w:tc>
        <w:tc>
          <w:tcPr>
            <w:tcW w:w="940" w:type="dxa"/>
            <w:tcBorders>
              <w:top w:val="nil"/>
              <w:left w:val="nil"/>
              <w:bottom w:val="single" w:sz="4" w:space="0" w:color="auto"/>
              <w:right w:val="single" w:sz="4" w:space="0" w:color="auto"/>
            </w:tcBorders>
            <w:shd w:val="clear" w:color="auto" w:fill="auto"/>
            <w:noWrap/>
            <w:vAlign w:val="center"/>
            <w:hideMark/>
          </w:tcPr>
          <w:p w14:paraId="590783E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0.7088 </w:t>
            </w:r>
          </w:p>
        </w:tc>
        <w:tc>
          <w:tcPr>
            <w:tcW w:w="940" w:type="dxa"/>
            <w:tcBorders>
              <w:top w:val="nil"/>
              <w:left w:val="nil"/>
              <w:bottom w:val="single" w:sz="4" w:space="0" w:color="auto"/>
              <w:right w:val="single" w:sz="4" w:space="0" w:color="auto"/>
            </w:tcBorders>
            <w:shd w:val="clear" w:color="000000" w:fill="E6B8B7"/>
            <w:vAlign w:val="center"/>
            <w:hideMark/>
          </w:tcPr>
          <w:p w14:paraId="105D2A4A"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8.3 </w:t>
            </w:r>
          </w:p>
        </w:tc>
        <w:tc>
          <w:tcPr>
            <w:tcW w:w="940" w:type="dxa"/>
            <w:tcBorders>
              <w:top w:val="nil"/>
              <w:left w:val="nil"/>
              <w:bottom w:val="single" w:sz="4" w:space="0" w:color="auto"/>
              <w:right w:val="single" w:sz="4" w:space="0" w:color="auto"/>
            </w:tcBorders>
            <w:shd w:val="clear" w:color="auto" w:fill="auto"/>
            <w:noWrap/>
            <w:vAlign w:val="center"/>
            <w:hideMark/>
          </w:tcPr>
          <w:p w14:paraId="612C10C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0.8511 </w:t>
            </w:r>
          </w:p>
        </w:tc>
        <w:tc>
          <w:tcPr>
            <w:tcW w:w="940" w:type="dxa"/>
            <w:tcBorders>
              <w:top w:val="nil"/>
              <w:left w:val="nil"/>
              <w:bottom w:val="single" w:sz="4" w:space="0" w:color="auto"/>
              <w:right w:val="single" w:sz="4" w:space="0" w:color="auto"/>
            </w:tcBorders>
            <w:shd w:val="clear" w:color="auto" w:fill="auto"/>
            <w:noWrap/>
            <w:vAlign w:val="center"/>
            <w:hideMark/>
          </w:tcPr>
          <w:p w14:paraId="728C8F76" w14:textId="49E1C365"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0.</w:t>
            </w:r>
            <w:r w:rsidR="000B7D55">
              <w:rPr>
                <w:rFonts w:ascii="微软雅黑" w:eastAsia="微软雅黑" w:hAnsi="微软雅黑" w:cs="宋体" w:hint="eastAsia"/>
                <w:color w:val="000000"/>
                <w:sz w:val="15"/>
                <w:szCs w:val="15"/>
              </w:rPr>
              <w:t>7677</w:t>
            </w:r>
            <w:r w:rsidRPr="00584EB6">
              <w:rPr>
                <w:rFonts w:ascii="微软雅黑" w:eastAsia="微软雅黑" w:hAnsi="微软雅黑" w:cs="宋体" w:hint="eastAsia"/>
                <w:color w:val="000000"/>
                <w:sz w:val="15"/>
                <w:szCs w:val="15"/>
              </w:rPr>
              <w:t xml:space="preserve"> </w:t>
            </w:r>
          </w:p>
        </w:tc>
        <w:tc>
          <w:tcPr>
            <w:tcW w:w="940" w:type="dxa"/>
            <w:tcBorders>
              <w:top w:val="nil"/>
              <w:left w:val="nil"/>
              <w:bottom w:val="single" w:sz="4" w:space="0" w:color="auto"/>
              <w:right w:val="single" w:sz="4" w:space="0" w:color="auto"/>
            </w:tcBorders>
            <w:shd w:val="clear" w:color="auto" w:fill="auto"/>
            <w:noWrap/>
            <w:vAlign w:val="center"/>
            <w:hideMark/>
          </w:tcPr>
          <w:p w14:paraId="156894A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0.6546 </w:t>
            </w:r>
          </w:p>
        </w:tc>
      </w:tr>
      <w:tr w:rsidR="000C70FF" w:rsidRPr="00584EB6" w14:paraId="4EA85FC4"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0ED50C9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0.9 </w:t>
            </w:r>
          </w:p>
        </w:tc>
        <w:tc>
          <w:tcPr>
            <w:tcW w:w="940" w:type="dxa"/>
            <w:tcBorders>
              <w:top w:val="nil"/>
              <w:left w:val="nil"/>
              <w:bottom w:val="single" w:sz="4" w:space="0" w:color="auto"/>
              <w:right w:val="single" w:sz="4" w:space="0" w:color="auto"/>
            </w:tcBorders>
            <w:shd w:val="clear" w:color="auto" w:fill="auto"/>
            <w:noWrap/>
            <w:vAlign w:val="center"/>
            <w:hideMark/>
          </w:tcPr>
          <w:p w14:paraId="1E5061A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1.5259 </w:t>
            </w:r>
          </w:p>
        </w:tc>
        <w:tc>
          <w:tcPr>
            <w:tcW w:w="940" w:type="dxa"/>
            <w:tcBorders>
              <w:top w:val="nil"/>
              <w:left w:val="nil"/>
              <w:bottom w:val="single" w:sz="4" w:space="0" w:color="auto"/>
              <w:right w:val="single" w:sz="4" w:space="0" w:color="auto"/>
            </w:tcBorders>
            <w:shd w:val="clear" w:color="auto" w:fill="auto"/>
            <w:noWrap/>
            <w:vAlign w:val="center"/>
            <w:hideMark/>
          </w:tcPr>
          <w:p w14:paraId="0CBF465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1.4208 </w:t>
            </w:r>
          </w:p>
        </w:tc>
        <w:tc>
          <w:tcPr>
            <w:tcW w:w="940" w:type="dxa"/>
            <w:tcBorders>
              <w:top w:val="nil"/>
              <w:left w:val="nil"/>
              <w:bottom w:val="single" w:sz="4" w:space="0" w:color="auto"/>
              <w:right w:val="single" w:sz="4" w:space="0" w:color="auto"/>
            </w:tcBorders>
            <w:shd w:val="clear" w:color="auto" w:fill="auto"/>
            <w:noWrap/>
            <w:vAlign w:val="center"/>
            <w:hideMark/>
          </w:tcPr>
          <w:p w14:paraId="20FA6F6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1.3760 </w:t>
            </w:r>
          </w:p>
        </w:tc>
        <w:tc>
          <w:tcPr>
            <w:tcW w:w="940" w:type="dxa"/>
            <w:tcBorders>
              <w:top w:val="nil"/>
              <w:left w:val="nil"/>
              <w:bottom w:val="single" w:sz="4" w:space="0" w:color="auto"/>
              <w:right w:val="single" w:sz="4" w:space="0" w:color="auto"/>
            </w:tcBorders>
            <w:shd w:val="clear" w:color="000000" w:fill="E6B8B7"/>
            <w:vAlign w:val="center"/>
            <w:hideMark/>
          </w:tcPr>
          <w:p w14:paraId="4291205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3.4 </w:t>
            </w:r>
          </w:p>
        </w:tc>
        <w:tc>
          <w:tcPr>
            <w:tcW w:w="940" w:type="dxa"/>
            <w:tcBorders>
              <w:top w:val="nil"/>
              <w:left w:val="nil"/>
              <w:bottom w:val="single" w:sz="4" w:space="0" w:color="auto"/>
              <w:right w:val="single" w:sz="4" w:space="0" w:color="auto"/>
            </w:tcBorders>
            <w:shd w:val="clear" w:color="auto" w:fill="auto"/>
            <w:noWrap/>
            <w:vAlign w:val="center"/>
            <w:hideMark/>
          </w:tcPr>
          <w:p w14:paraId="54931DA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1.0082 </w:t>
            </w:r>
          </w:p>
        </w:tc>
        <w:tc>
          <w:tcPr>
            <w:tcW w:w="940" w:type="dxa"/>
            <w:tcBorders>
              <w:top w:val="nil"/>
              <w:left w:val="nil"/>
              <w:bottom w:val="single" w:sz="4" w:space="0" w:color="auto"/>
              <w:right w:val="single" w:sz="4" w:space="0" w:color="auto"/>
            </w:tcBorders>
            <w:shd w:val="clear" w:color="auto" w:fill="auto"/>
            <w:noWrap/>
            <w:vAlign w:val="center"/>
            <w:hideMark/>
          </w:tcPr>
          <w:p w14:paraId="2AE533E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0.9071 </w:t>
            </w:r>
          </w:p>
        </w:tc>
        <w:tc>
          <w:tcPr>
            <w:tcW w:w="940" w:type="dxa"/>
            <w:tcBorders>
              <w:top w:val="nil"/>
              <w:left w:val="nil"/>
              <w:bottom w:val="single" w:sz="4" w:space="0" w:color="auto"/>
              <w:right w:val="single" w:sz="4" w:space="0" w:color="auto"/>
            </w:tcBorders>
            <w:shd w:val="clear" w:color="auto" w:fill="auto"/>
            <w:noWrap/>
            <w:vAlign w:val="center"/>
            <w:hideMark/>
          </w:tcPr>
          <w:p w14:paraId="36062E5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0.8324 </w:t>
            </w:r>
          </w:p>
        </w:tc>
        <w:tc>
          <w:tcPr>
            <w:tcW w:w="940" w:type="dxa"/>
            <w:tcBorders>
              <w:top w:val="nil"/>
              <w:left w:val="nil"/>
              <w:bottom w:val="single" w:sz="4" w:space="0" w:color="auto"/>
              <w:right w:val="single" w:sz="4" w:space="0" w:color="auto"/>
            </w:tcBorders>
            <w:shd w:val="clear" w:color="000000" w:fill="E6B8B7"/>
            <w:noWrap/>
            <w:vAlign w:val="center"/>
            <w:hideMark/>
          </w:tcPr>
          <w:p w14:paraId="262D9E1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5.9 </w:t>
            </w:r>
          </w:p>
        </w:tc>
        <w:tc>
          <w:tcPr>
            <w:tcW w:w="940" w:type="dxa"/>
            <w:tcBorders>
              <w:top w:val="nil"/>
              <w:left w:val="nil"/>
              <w:bottom w:val="single" w:sz="4" w:space="0" w:color="auto"/>
              <w:right w:val="single" w:sz="4" w:space="0" w:color="auto"/>
            </w:tcBorders>
            <w:shd w:val="clear" w:color="auto" w:fill="auto"/>
            <w:noWrap/>
            <w:vAlign w:val="center"/>
            <w:hideMark/>
          </w:tcPr>
          <w:p w14:paraId="3F17DA2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0.8926 </w:t>
            </w:r>
          </w:p>
        </w:tc>
        <w:tc>
          <w:tcPr>
            <w:tcW w:w="940" w:type="dxa"/>
            <w:tcBorders>
              <w:top w:val="nil"/>
              <w:left w:val="nil"/>
              <w:bottom w:val="single" w:sz="4" w:space="0" w:color="auto"/>
              <w:right w:val="single" w:sz="4" w:space="0" w:color="auto"/>
            </w:tcBorders>
            <w:shd w:val="clear" w:color="auto" w:fill="auto"/>
            <w:noWrap/>
            <w:vAlign w:val="center"/>
            <w:hideMark/>
          </w:tcPr>
          <w:p w14:paraId="11193B0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0.7944 </w:t>
            </w:r>
          </w:p>
        </w:tc>
        <w:tc>
          <w:tcPr>
            <w:tcW w:w="940" w:type="dxa"/>
            <w:tcBorders>
              <w:top w:val="nil"/>
              <w:left w:val="nil"/>
              <w:bottom w:val="single" w:sz="4" w:space="0" w:color="auto"/>
              <w:right w:val="single" w:sz="4" w:space="0" w:color="auto"/>
            </w:tcBorders>
            <w:shd w:val="clear" w:color="auto" w:fill="auto"/>
            <w:noWrap/>
            <w:vAlign w:val="center"/>
            <w:hideMark/>
          </w:tcPr>
          <w:p w14:paraId="0FF93C4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0.7058 </w:t>
            </w:r>
          </w:p>
        </w:tc>
        <w:tc>
          <w:tcPr>
            <w:tcW w:w="940" w:type="dxa"/>
            <w:tcBorders>
              <w:top w:val="nil"/>
              <w:left w:val="nil"/>
              <w:bottom w:val="single" w:sz="4" w:space="0" w:color="auto"/>
              <w:right w:val="single" w:sz="4" w:space="0" w:color="auto"/>
            </w:tcBorders>
            <w:shd w:val="clear" w:color="000000" w:fill="E6B8B7"/>
            <w:vAlign w:val="center"/>
            <w:hideMark/>
          </w:tcPr>
          <w:p w14:paraId="67894781"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8.4 </w:t>
            </w:r>
          </w:p>
        </w:tc>
        <w:tc>
          <w:tcPr>
            <w:tcW w:w="940" w:type="dxa"/>
            <w:tcBorders>
              <w:top w:val="nil"/>
              <w:left w:val="nil"/>
              <w:bottom w:val="single" w:sz="4" w:space="0" w:color="auto"/>
              <w:right w:val="single" w:sz="4" w:space="0" w:color="auto"/>
            </w:tcBorders>
            <w:shd w:val="clear" w:color="auto" w:fill="auto"/>
            <w:noWrap/>
            <w:vAlign w:val="center"/>
            <w:hideMark/>
          </w:tcPr>
          <w:p w14:paraId="1888FB0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0.8497 </w:t>
            </w:r>
          </w:p>
        </w:tc>
        <w:tc>
          <w:tcPr>
            <w:tcW w:w="940" w:type="dxa"/>
            <w:tcBorders>
              <w:top w:val="nil"/>
              <w:left w:val="nil"/>
              <w:bottom w:val="single" w:sz="4" w:space="0" w:color="auto"/>
              <w:right w:val="single" w:sz="4" w:space="0" w:color="auto"/>
            </w:tcBorders>
            <w:shd w:val="clear" w:color="auto" w:fill="auto"/>
            <w:noWrap/>
            <w:vAlign w:val="center"/>
            <w:hideMark/>
          </w:tcPr>
          <w:p w14:paraId="5A13FDB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0.7497 </w:t>
            </w:r>
          </w:p>
        </w:tc>
        <w:tc>
          <w:tcPr>
            <w:tcW w:w="940" w:type="dxa"/>
            <w:tcBorders>
              <w:top w:val="nil"/>
              <w:left w:val="nil"/>
              <w:bottom w:val="single" w:sz="4" w:space="0" w:color="auto"/>
              <w:right w:val="single" w:sz="4" w:space="0" w:color="auto"/>
            </w:tcBorders>
            <w:shd w:val="clear" w:color="auto" w:fill="auto"/>
            <w:noWrap/>
            <w:vAlign w:val="center"/>
            <w:hideMark/>
          </w:tcPr>
          <w:p w14:paraId="4BF9F13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0.6530 </w:t>
            </w:r>
          </w:p>
        </w:tc>
      </w:tr>
      <w:tr w:rsidR="000C70FF" w:rsidRPr="00584EB6" w14:paraId="6A85AAAF"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2C6EBB4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 </w:t>
            </w:r>
          </w:p>
        </w:tc>
        <w:tc>
          <w:tcPr>
            <w:tcW w:w="940" w:type="dxa"/>
            <w:tcBorders>
              <w:top w:val="nil"/>
              <w:left w:val="nil"/>
              <w:bottom w:val="single" w:sz="4" w:space="0" w:color="auto"/>
              <w:right w:val="single" w:sz="4" w:space="0" w:color="auto"/>
            </w:tcBorders>
            <w:shd w:val="clear" w:color="auto" w:fill="auto"/>
            <w:noWrap/>
            <w:vAlign w:val="center"/>
            <w:hideMark/>
          </w:tcPr>
          <w:p w14:paraId="2F1404F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 </w:t>
            </w:r>
          </w:p>
        </w:tc>
        <w:tc>
          <w:tcPr>
            <w:tcW w:w="940" w:type="dxa"/>
            <w:tcBorders>
              <w:top w:val="nil"/>
              <w:left w:val="nil"/>
              <w:bottom w:val="single" w:sz="4" w:space="0" w:color="auto"/>
              <w:right w:val="single" w:sz="4" w:space="0" w:color="auto"/>
            </w:tcBorders>
            <w:shd w:val="clear" w:color="auto" w:fill="auto"/>
            <w:noWrap/>
            <w:vAlign w:val="center"/>
            <w:hideMark/>
          </w:tcPr>
          <w:p w14:paraId="2E0F2D9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 </w:t>
            </w:r>
          </w:p>
        </w:tc>
        <w:tc>
          <w:tcPr>
            <w:tcW w:w="940" w:type="dxa"/>
            <w:tcBorders>
              <w:top w:val="nil"/>
              <w:left w:val="nil"/>
              <w:bottom w:val="single" w:sz="4" w:space="0" w:color="auto"/>
              <w:right w:val="single" w:sz="4" w:space="0" w:color="auto"/>
            </w:tcBorders>
            <w:shd w:val="clear" w:color="auto" w:fill="auto"/>
            <w:noWrap/>
            <w:vAlign w:val="center"/>
            <w:hideMark/>
          </w:tcPr>
          <w:p w14:paraId="17555DC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 </w:t>
            </w:r>
          </w:p>
        </w:tc>
        <w:tc>
          <w:tcPr>
            <w:tcW w:w="940" w:type="dxa"/>
            <w:tcBorders>
              <w:top w:val="nil"/>
              <w:left w:val="nil"/>
              <w:bottom w:val="single" w:sz="4" w:space="0" w:color="auto"/>
              <w:right w:val="single" w:sz="4" w:space="0" w:color="auto"/>
            </w:tcBorders>
            <w:shd w:val="clear" w:color="000000" w:fill="E6B8B7"/>
            <w:vAlign w:val="center"/>
            <w:hideMark/>
          </w:tcPr>
          <w:p w14:paraId="40FBD6F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3.5 </w:t>
            </w:r>
          </w:p>
        </w:tc>
        <w:tc>
          <w:tcPr>
            <w:tcW w:w="940" w:type="dxa"/>
            <w:tcBorders>
              <w:top w:val="nil"/>
              <w:left w:val="nil"/>
              <w:bottom w:val="single" w:sz="4" w:space="0" w:color="auto"/>
              <w:right w:val="single" w:sz="4" w:space="0" w:color="auto"/>
            </w:tcBorders>
            <w:shd w:val="clear" w:color="auto" w:fill="auto"/>
            <w:noWrap/>
            <w:vAlign w:val="center"/>
            <w:hideMark/>
          </w:tcPr>
          <w:p w14:paraId="1873822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auto"/>
            <w:noWrap/>
            <w:vAlign w:val="center"/>
            <w:hideMark/>
          </w:tcPr>
          <w:p w14:paraId="2253D3C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0.8993 </w:t>
            </w:r>
          </w:p>
        </w:tc>
        <w:tc>
          <w:tcPr>
            <w:tcW w:w="940" w:type="dxa"/>
            <w:tcBorders>
              <w:top w:val="nil"/>
              <w:left w:val="nil"/>
              <w:bottom w:val="single" w:sz="4" w:space="0" w:color="auto"/>
              <w:right w:val="single" w:sz="4" w:space="0" w:color="auto"/>
            </w:tcBorders>
            <w:shd w:val="clear" w:color="auto" w:fill="auto"/>
            <w:noWrap/>
            <w:vAlign w:val="center"/>
            <w:hideMark/>
          </w:tcPr>
          <w:p w14:paraId="04F03E1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0.8241 </w:t>
            </w:r>
          </w:p>
        </w:tc>
        <w:tc>
          <w:tcPr>
            <w:tcW w:w="940" w:type="dxa"/>
            <w:tcBorders>
              <w:top w:val="nil"/>
              <w:left w:val="nil"/>
              <w:bottom w:val="single" w:sz="4" w:space="0" w:color="auto"/>
              <w:right w:val="single" w:sz="4" w:space="0" w:color="auto"/>
            </w:tcBorders>
            <w:shd w:val="clear" w:color="000000" w:fill="E6B8B7"/>
            <w:noWrap/>
            <w:vAlign w:val="center"/>
            <w:hideMark/>
          </w:tcPr>
          <w:p w14:paraId="0F8A555E"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6.0 </w:t>
            </w:r>
          </w:p>
        </w:tc>
        <w:tc>
          <w:tcPr>
            <w:tcW w:w="940" w:type="dxa"/>
            <w:tcBorders>
              <w:top w:val="nil"/>
              <w:left w:val="nil"/>
              <w:bottom w:val="single" w:sz="4" w:space="0" w:color="auto"/>
              <w:right w:val="single" w:sz="4" w:space="0" w:color="auto"/>
            </w:tcBorders>
            <w:shd w:val="clear" w:color="auto" w:fill="auto"/>
            <w:noWrap/>
            <w:vAlign w:val="center"/>
            <w:hideMark/>
          </w:tcPr>
          <w:p w14:paraId="48F9B14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0.8903 </w:t>
            </w:r>
          </w:p>
        </w:tc>
        <w:tc>
          <w:tcPr>
            <w:tcW w:w="940" w:type="dxa"/>
            <w:tcBorders>
              <w:top w:val="nil"/>
              <w:left w:val="nil"/>
              <w:bottom w:val="single" w:sz="4" w:space="0" w:color="auto"/>
              <w:right w:val="single" w:sz="4" w:space="0" w:color="auto"/>
            </w:tcBorders>
            <w:shd w:val="clear" w:color="auto" w:fill="auto"/>
            <w:noWrap/>
            <w:vAlign w:val="center"/>
            <w:hideMark/>
          </w:tcPr>
          <w:p w14:paraId="2E13624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0.7920 </w:t>
            </w:r>
          </w:p>
        </w:tc>
        <w:tc>
          <w:tcPr>
            <w:tcW w:w="940" w:type="dxa"/>
            <w:tcBorders>
              <w:top w:val="nil"/>
              <w:left w:val="nil"/>
              <w:bottom w:val="single" w:sz="4" w:space="0" w:color="auto"/>
              <w:right w:val="single" w:sz="4" w:space="0" w:color="auto"/>
            </w:tcBorders>
            <w:shd w:val="clear" w:color="auto" w:fill="auto"/>
            <w:noWrap/>
            <w:vAlign w:val="center"/>
            <w:hideMark/>
          </w:tcPr>
          <w:p w14:paraId="38AE74C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0.7029 </w:t>
            </w:r>
          </w:p>
        </w:tc>
        <w:tc>
          <w:tcPr>
            <w:tcW w:w="940" w:type="dxa"/>
            <w:tcBorders>
              <w:top w:val="nil"/>
              <w:left w:val="nil"/>
              <w:bottom w:val="single" w:sz="4" w:space="0" w:color="auto"/>
              <w:right w:val="single" w:sz="4" w:space="0" w:color="auto"/>
            </w:tcBorders>
            <w:shd w:val="clear" w:color="000000" w:fill="E6B8B7"/>
            <w:vAlign w:val="center"/>
            <w:hideMark/>
          </w:tcPr>
          <w:p w14:paraId="17C272C6"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8.5 </w:t>
            </w:r>
          </w:p>
        </w:tc>
        <w:tc>
          <w:tcPr>
            <w:tcW w:w="940" w:type="dxa"/>
            <w:tcBorders>
              <w:top w:val="nil"/>
              <w:left w:val="nil"/>
              <w:bottom w:val="single" w:sz="4" w:space="0" w:color="auto"/>
              <w:right w:val="single" w:sz="4" w:space="0" w:color="auto"/>
            </w:tcBorders>
            <w:shd w:val="clear" w:color="auto" w:fill="auto"/>
            <w:noWrap/>
            <w:vAlign w:val="center"/>
            <w:hideMark/>
          </w:tcPr>
          <w:p w14:paraId="19B9DB2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0.8483 </w:t>
            </w:r>
          </w:p>
        </w:tc>
        <w:tc>
          <w:tcPr>
            <w:tcW w:w="940" w:type="dxa"/>
            <w:tcBorders>
              <w:top w:val="nil"/>
              <w:left w:val="nil"/>
              <w:bottom w:val="single" w:sz="4" w:space="0" w:color="auto"/>
              <w:right w:val="single" w:sz="4" w:space="0" w:color="auto"/>
            </w:tcBorders>
            <w:shd w:val="clear" w:color="auto" w:fill="auto"/>
            <w:noWrap/>
            <w:vAlign w:val="center"/>
            <w:hideMark/>
          </w:tcPr>
          <w:p w14:paraId="0A19ADC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0.7482 </w:t>
            </w:r>
          </w:p>
        </w:tc>
        <w:tc>
          <w:tcPr>
            <w:tcW w:w="940" w:type="dxa"/>
            <w:tcBorders>
              <w:top w:val="nil"/>
              <w:left w:val="nil"/>
              <w:bottom w:val="single" w:sz="4" w:space="0" w:color="auto"/>
              <w:right w:val="single" w:sz="4" w:space="0" w:color="auto"/>
            </w:tcBorders>
            <w:shd w:val="clear" w:color="auto" w:fill="auto"/>
            <w:noWrap/>
            <w:vAlign w:val="center"/>
            <w:hideMark/>
          </w:tcPr>
          <w:p w14:paraId="162D7F9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0.6514 </w:t>
            </w:r>
          </w:p>
        </w:tc>
      </w:tr>
      <w:tr w:rsidR="000C70FF" w:rsidRPr="00584EB6" w14:paraId="256D0D65"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24F1F70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1.1 </w:t>
            </w:r>
          </w:p>
        </w:tc>
        <w:tc>
          <w:tcPr>
            <w:tcW w:w="940" w:type="dxa"/>
            <w:tcBorders>
              <w:top w:val="nil"/>
              <w:left w:val="nil"/>
              <w:bottom w:val="single" w:sz="4" w:space="0" w:color="auto"/>
              <w:right w:val="single" w:sz="4" w:space="0" w:color="auto"/>
            </w:tcBorders>
            <w:shd w:val="clear" w:color="auto" w:fill="auto"/>
            <w:noWrap/>
            <w:vAlign w:val="center"/>
            <w:hideMark/>
          </w:tcPr>
          <w:p w14:paraId="719FBB1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1.3489 </w:t>
            </w:r>
          </w:p>
        </w:tc>
        <w:tc>
          <w:tcPr>
            <w:tcW w:w="940" w:type="dxa"/>
            <w:tcBorders>
              <w:top w:val="nil"/>
              <w:left w:val="nil"/>
              <w:bottom w:val="single" w:sz="4" w:space="0" w:color="auto"/>
              <w:right w:val="single" w:sz="4" w:space="0" w:color="auto"/>
            </w:tcBorders>
            <w:shd w:val="clear" w:color="auto" w:fill="auto"/>
            <w:noWrap/>
            <w:vAlign w:val="center"/>
            <w:hideMark/>
          </w:tcPr>
          <w:p w14:paraId="17DA180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1.2542 </w:t>
            </w:r>
          </w:p>
        </w:tc>
        <w:tc>
          <w:tcPr>
            <w:tcW w:w="940" w:type="dxa"/>
            <w:tcBorders>
              <w:top w:val="nil"/>
              <w:left w:val="nil"/>
              <w:bottom w:val="single" w:sz="4" w:space="0" w:color="auto"/>
              <w:right w:val="single" w:sz="4" w:space="0" w:color="auto"/>
            </w:tcBorders>
            <w:shd w:val="clear" w:color="auto" w:fill="auto"/>
            <w:noWrap/>
            <w:vAlign w:val="center"/>
            <w:hideMark/>
          </w:tcPr>
          <w:p w14:paraId="24D7E1D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1.2050 </w:t>
            </w:r>
          </w:p>
        </w:tc>
        <w:tc>
          <w:tcPr>
            <w:tcW w:w="940" w:type="dxa"/>
            <w:tcBorders>
              <w:top w:val="nil"/>
              <w:left w:val="nil"/>
              <w:bottom w:val="single" w:sz="4" w:space="0" w:color="auto"/>
              <w:right w:val="single" w:sz="4" w:space="0" w:color="auto"/>
            </w:tcBorders>
            <w:shd w:val="clear" w:color="000000" w:fill="E6B8B7"/>
            <w:vAlign w:val="center"/>
            <w:hideMark/>
          </w:tcPr>
          <w:p w14:paraId="0900ACA9"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3.6 </w:t>
            </w:r>
          </w:p>
        </w:tc>
        <w:tc>
          <w:tcPr>
            <w:tcW w:w="940" w:type="dxa"/>
            <w:tcBorders>
              <w:top w:val="nil"/>
              <w:left w:val="nil"/>
              <w:bottom w:val="single" w:sz="4" w:space="0" w:color="auto"/>
              <w:right w:val="single" w:sz="4" w:space="0" w:color="auto"/>
            </w:tcBorders>
            <w:shd w:val="clear" w:color="auto" w:fill="auto"/>
            <w:noWrap/>
            <w:vAlign w:val="center"/>
            <w:hideMark/>
          </w:tcPr>
          <w:p w14:paraId="79EC8CE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0.9922 </w:t>
            </w:r>
          </w:p>
        </w:tc>
        <w:tc>
          <w:tcPr>
            <w:tcW w:w="940" w:type="dxa"/>
            <w:tcBorders>
              <w:top w:val="nil"/>
              <w:left w:val="nil"/>
              <w:bottom w:val="single" w:sz="4" w:space="0" w:color="auto"/>
              <w:right w:val="single" w:sz="4" w:space="0" w:color="auto"/>
            </w:tcBorders>
            <w:shd w:val="clear" w:color="auto" w:fill="auto"/>
            <w:noWrap/>
            <w:vAlign w:val="center"/>
            <w:hideMark/>
          </w:tcPr>
          <w:p w14:paraId="02E6A55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0.8919 </w:t>
            </w:r>
          </w:p>
        </w:tc>
        <w:tc>
          <w:tcPr>
            <w:tcW w:w="940" w:type="dxa"/>
            <w:tcBorders>
              <w:top w:val="nil"/>
              <w:left w:val="nil"/>
              <w:bottom w:val="single" w:sz="4" w:space="0" w:color="auto"/>
              <w:right w:val="single" w:sz="4" w:space="0" w:color="auto"/>
            </w:tcBorders>
            <w:shd w:val="clear" w:color="auto" w:fill="auto"/>
            <w:noWrap/>
            <w:vAlign w:val="center"/>
            <w:hideMark/>
          </w:tcPr>
          <w:p w14:paraId="65625E5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0.8162 </w:t>
            </w:r>
          </w:p>
        </w:tc>
        <w:tc>
          <w:tcPr>
            <w:tcW w:w="940" w:type="dxa"/>
            <w:tcBorders>
              <w:top w:val="nil"/>
              <w:left w:val="nil"/>
              <w:bottom w:val="single" w:sz="4" w:space="0" w:color="auto"/>
              <w:right w:val="single" w:sz="4" w:space="0" w:color="auto"/>
            </w:tcBorders>
            <w:shd w:val="clear" w:color="000000" w:fill="E6B8B7"/>
            <w:noWrap/>
            <w:vAlign w:val="center"/>
            <w:hideMark/>
          </w:tcPr>
          <w:p w14:paraId="09C8FD22"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6.1 </w:t>
            </w:r>
          </w:p>
        </w:tc>
        <w:tc>
          <w:tcPr>
            <w:tcW w:w="940" w:type="dxa"/>
            <w:tcBorders>
              <w:top w:val="nil"/>
              <w:left w:val="nil"/>
              <w:bottom w:val="single" w:sz="4" w:space="0" w:color="auto"/>
              <w:right w:val="single" w:sz="4" w:space="0" w:color="auto"/>
            </w:tcBorders>
            <w:shd w:val="clear" w:color="auto" w:fill="auto"/>
            <w:noWrap/>
            <w:vAlign w:val="center"/>
            <w:hideMark/>
          </w:tcPr>
          <w:p w14:paraId="7EA3B23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0.8881 </w:t>
            </w:r>
          </w:p>
        </w:tc>
        <w:tc>
          <w:tcPr>
            <w:tcW w:w="940" w:type="dxa"/>
            <w:tcBorders>
              <w:top w:val="nil"/>
              <w:left w:val="nil"/>
              <w:bottom w:val="single" w:sz="4" w:space="0" w:color="auto"/>
              <w:right w:val="single" w:sz="4" w:space="0" w:color="auto"/>
            </w:tcBorders>
            <w:shd w:val="clear" w:color="auto" w:fill="auto"/>
            <w:noWrap/>
            <w:vAlign w:val="center"/>
            <w:hideMark/>
          </w:tcPr>
          <w:p w14:paraId="68F85F3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0.7898 </w:t>
            </w:r>
          </w:p>
        </w:tc>
        <w:tc>
          <w:tcPr>
            <w:tcW w:w="940" w:type="dxa"/>
            <w:tcBorders>
              <w:top w:val="nil"/>
              <w:left w:val="nil"/>
              <w:bottom w:val="single" w:sz="4" w:space="0" w:color="auto"/>
              <w:right w:val="single" w:sz="4" w:space="0" w:color="auto"/>
            </w:tcBorders>
            <w:shd w:val="clear" w:color="auto" w:fill="auto"/>
            <w:noWrap/>
            <w:vAlign w:val="center"/>
            <w:hideMark/>
          </w:tcPr>
          <w:p w14:paraId="1B69913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0.7001 </w:t>
            </w:r>
          </w:p>
        </w:tc>
        <w:tc>
          <w:tcPr>
            <w:tcW w:w="940" w:type="dxa"/>
            <w:tcBorders>
              <w:top w:val="nil"/>
              <w:left w:val="nil"/>
              <w:bottom w:val="single" w:sz="4" w:space="0" w:color="auto"/>
              <w:right w:val="single" w:sz="4" w:space="0" w:color="auto"/>
            </w:tcBorders>
            <w:shd w:val="clear" w:color="000000" w:fill="E6B8B7"/>
            <w:vAlign w:val="center"/>
            <w:hideMark/>
          </w:tcPr>
          <w:p w14:paraId="3BF54C8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8.6 </w:t>
            </w:r>
          </w:p>
        </w:tc>
        <w:tc>
          <w:tcPr>
            <w:tcW w:w="940" w:type="dxa"/>
            <w:tcBorders>
              <w:top w:val="nil"/>
              <w:left w:val="nil"/>
              <w:bottom w:val="single" w:sz="4" w:space="0" w:color="auto"/>
              <w:right w:val="single" w:sz="4" w:space="0" w:color="auto"/>
            </w:tcBorders>
            <w:shd w:val="clear" w:color="auto" w:fill="auto"/>
            <w:noWrap/>
            <w:vAlign w:val="center"/>
            <w:hideMark/>
          </w:tcPr>
          <w:p w14:paraId="4C8533C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0.8469 </w:t>
            </w:r>
          </w:p>
        </w:tc>
        <w:tc>
          <w:tcPr>
            <w:tcW w:w="940" w:type="dxa"/>
            <w:tcBorders>
              <w:top w:val="nil"/>
              <w:left w:val="nil"/>
              <w:bottom w:val="single" w:sz="4" w:space="0" w:color="auto"/>
              <w:right w:val="single" w:sz="4" w:space="0" w:color="auto"/>
            </w:tcBorders>
            <w:shd w:val="clear" w:color="auto" w:fill="auto"/>
            <w:noWrap/>
            <w:vAlign w:val="center"/>
            <w:hideMark/>
          </w:tcPr>
          <w:p w14:paraId="2D1F37C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0.7467 </w:t>
            </w:r>
          </w:p>
        </w:tc>
        <w:tc>
          <w:tcPr>
            <w:tcW w:w="940" w:type="dxa"/>
            <w:tcBorders>
              <w:top w:val="nil"/>
              <w:left w:val="nil"/>
              <w:bottom w:val="single" w:sz="4" w:space="0" w:color="auto"/>
              <w:right w:val="single" w:sz="4" w:space="0" w:color="auto"/>
            </w:tcBorders>
            <w:shd w:val="clear" w:color="auto" w:fill="auto"/>
            <w:noWrap/>
            <w:vAlign w:val="center"/>
            <w:hideMark/>
          </w:tcPr>
          <w:p w14:paraId="21AA82E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0.6498 </w:t>
            </w:r>
          </w:p>
        </w:tc>
      </w:tr>
      <w:tr w:rsidR="000C70FF" w:rsidRPr="00584EB6" w14:paraId="01BF6D62"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3A7B2F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1.2 </w:t>
            </w:r>
          </w:p>
        </w:tc>
        <w:tc>
          <w:tcPr>
            <w:tcW w:w="940" w:type="dxa"/>
            <w:tcBorders>
              <w:top w:val="nil"/>
              <w:left w:val="nil"/>
              <w:bottom w:val="single" w:sz="4" w:space="0" w:color="auto"/>
              <w:right w:val="single" w:sz="4" w:space="0" w:color="auto"/>
            </w:tcBorders>
            <w:shd w:val="clear" w:color="auto" w:fill="auto"/>
            <w:noWrap/>
            <w:vAlign w:val="center"/>
            <w:hideMark/>
          </w:tcPr>
          <w:p w14:paraId="338A387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1.3256 </w:t>
            </w:r>
          </w:p>
        </w:tc>
        <w:tc>
          <w:tcPr>
            <w:tcW w:w="940" w:type="dxa"/>
            <w:tcBorders>
              <w:top w:val="nil"/>
              <w:left w:val="nil"/>
              <w:bottom w:val="single" w:sz="4" w:space="0" w:color="auto"/>
              <w:right w:val="single" w:sz="4" w:space="0" w:color="auto"/>
            </w:tcBorders>
            <w:shd w:val="clear" w:color="auto" w:fill="auto"/>
            <w:noWrap/>
            <w:vAlign w:val="center"/>
            <w:hideMark/>
          </w:tcPr>
          <w:p w14:paraId="58A56C5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1.2306 </w:t>
            </w:r>
          </w:p>
        </w:tc>
        <w:tc>
          <w:tcPr>
            <w:tcW w:w="940" w:type="dxa"/>
            <w:tcBorders>
              <w:top w:val="nil"/>
              <w:left w:val="nil"/>
              <w:bottom w:val="single" w:sz="4" w:space="0" w:color="auto"/>
              <w:right w:val="single" w:sz="4" w:space="0" w:color="auto"/>
            </w:tcBorders>
            <w:shd w:val="clear" w:color="auto" w:fill="auto"/>
            <w:noWrap/>
            <w:vAlign w:val="center"/>
            <w:hideMark/>
          </w:tcPr>
          <w:p w14:paraId="5D3B605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1.1742 </w:t>
            </w:r>
          </w:p>
        </w:tc>
        <w:tc>
          <w:tcPr>
            <w:tcW w:w="940" w:type="dxa"/>
            <w:tcBorders>
              <w:top w:val="nil"/>
              <w:left w:val="nil"/>
              <w:bottom w:val="single" w:sz="4" w:space="0" w:color="auto"/>
              <w:right w:val="single" w:sz="4" w:space="0" w:color="auto"/>
            </w:tcBorders>
            <w:shd w:val="clear" w:color="000000" w:fill="E6B8B7"/>
            <w:vAlign w:val="center"/>
            <w:hideMark/>
          </w:tcPr>
          <w:p w14:paraId="49ECA02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3.7 </w:t>
            </w:r>
          </w:p>
        </w:tc>
        <w:tc>
          <w:tcPr>
            <w:tcW w:w="940" w:type="dxa"/>
            <w:tcBorders>
              <w:top w:val="nil"/>
              <w:left w:val="nil"/>
              <w:bottom w:val="single" w:sz="4" w:space="0" w:color="auto"/>
              <w:right w:val="single" w:sz="4" w:space="0" w:color="auto"/>
            </w:tcBorders>
            <w:shd w:val="clear" w:color="auto" w:fill="auto"/>
            <w:noWrap/>
            <w:vAlign w:val="center"/>
            <w:hideMark/>
          </w:tcPr>
          <w:p w14:paraId="15CA011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0.9848 </w:t>
            </w:r>
          </w:p>
        </w:tc>
        <w:tc>
          <w:tcPr>
            <w:tcW w:w="940" w:type="dxa"/>
            <w:tcBorders>
              <w:top w:val="nil"/>
              <w:left w:val="nil"/>
              <w:bottom w:val="single" w:sz="4" w:space="0" w:color="auto"/>
              <w:right w:val="single" w:sz="4" w:space="0" w:color="auto"/>
            </w:tcBorders>
            <w:shd w:val="clear" w:color="auto" w:fill="auto"/>
            <w:noWrap/>
            <w:vAlign w:val="center"/>
            <w:hideMark/>
          </w:tcPr>
          <w:p w14:paraId="0198BD4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0.8848 </w:t>
            </w:r>
          </w:p>
        </w:tc>
        <w:tc>
          <w:tcPr>
            <w:tcW w:w="940" w:type="dxa"/>
            <w:tcBorders>
              <w:top w:val="nil"/>
              <w:left w:val="nil"/>
              <w:bottom w:val="single" w:sz="4" w:space="0" w:color="auto"/>
              <w:right w:val="single" w:sz="4" w:space="0" w:color="auto"/>
            </w:tcBorders>
            <w:shd w:val="clear" w:color="auto" w:fill="auto"/>
            <w:noWrap/>
            <w:vAlign w:val="center"/>
            <w:hideMark/>
          </w:tcPr>
          <w:p w14:paraId="5BA2122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0.8087 </w:t>
            </w:r>
          </w:p>
        </w:tc>
        <w:tc>
          <w:tcPr>
            <w:tcW w:w="940" w:type="dxa"/>
            <w:tcBorders>
              <w:top w:val="nil"/>
              <w:left w:val="nil"/>
              <w:bottom w:val="single" w:sz="4" w:space="0" w:color="auto"/>
              <w:right w:val="single" w:sz="4" w:space="0" w:color="auto"/>
            </w:tcBorders>
            <w:shd w:val="clear" w:color="000000" w:fill="E6B8B7"/>
            <w:noWrap/>
            <w:vAlign w:val="center"/>
            <w:hideMark/>
          </w:tcPr>
          <w:p w14:paraId="73A029D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6.2 </w:t>
            </w:r>
          </w:p>
        </w:tc>
        <w:tc>
          <w:tcPr>
            <w:tcW w:w="940" w:type="dxa"/>
            <w:tcBorders>
              <w:top w:val="nil"/>
              <w:left w:val="nil"/>
              <w:bottom w:val="single" w:sz="4" w:space="0" w:color="auto"/>
              <w:right w:val="single" w:sz="4" w:space="0" w:color="auto"/>
            </w:tcBorders>
            <w:shd w:val="clear" w:color="auto" w:fill="auto"/>
            <w:noWrap/>
            <w:vAlign w:val="center"/>
            <w:hideMark/>
          </w:tcPr>
          <w:p w14:paraId="62719B6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0.8860 </w:t>
            </w:r>
          </w:p>
        </w:tc>
        <w:tc>
          <w:tcPr>
            <w:tcW w:w="940" w:type="dxa"/>
            <w:tcBorders>
              <w:top w:val="nil"/>
              <w:left w:val="nil"/>
              <w:bottom w:val="single" w:sz="4" w:space="0" w:color="auto"/>
              <w:right w:val="single" w:sz="4" w:space="0" w:color="auto"/>
            </w:tcBorders>
            <w:shd w:val="clear" w:color="auto" w:fill="auto"/>
            <w:noWrap/>
            <w:vAlign w:val="center"/>
            <w:hideMark/>
          </w:tcPr>
          <w:p w14:paraId="3B62D1B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0.7876 </w:t>
            </w:r>
          </w:p>
        </w:tc>
        <w:tc>
          <w:tcPr>
            <w:tcW w:w="940" w:type="dxa"/>
            <w:tcBorders>
              <w:top w:val="nil"/>
              <w:left w:val="nil"/>
              <w:bottom w:val="single" w:sz="4" w:space="0" w:color="auto"/>
              <w:right w:val="single" w:sz="4" w:space="0" w:color="auto"/>
            </w:tcBorders>
            <w:shd w:val="clear" w:color="auto" w:fill="auto"/>
            <w:noWrap/>
            <w:vAlign w:val="center"/>
            <w:hideMark/>
          </w:tcPr>
          <w:p w14:paraId="5913845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0.6974 </w:t>
            </w:r>
          </w:p>
        </w:tc>
        <w:tc>
          <w:tcPr>
            <w:tcW w:w="940" w:type="dxa"/>
            <w:tcBorders>
              <w:top w:val="nil"/>
              <w:left w:val="nil"/>
              <w:bottom w:val="single" w:sz="4" w:space="0" w:color="auto"/>
              <w:right w:val="single" w:sz="4" w:space="0" w:color="auto"/>
            </w:tcBorders>
            <w:shd w:val="clear" w:color="000000" w:fill="E6B8B7"/>
            <w:vAlign w:val="center"/>
            <w:hideMark/>
          </w:tcPr>
          <w:p w14:paraId="5CC9B06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8.7 </w:t>
            </w:r>
          </w:p>
        </w:tc>
        <w:tc>
          <w:tcPr>
            <w:tcW w:w="940" w:type="dxa"/>
            <w:tcBorders>
              <w:top w:val="nil"/>
              <w:left w:val="nil"/>
              <w:bottom w:val="single" w:sz="4" w:space="0" w:color="auto"/>
              <w:right w:val="single" w:sz="4" w:space="0" w:color="auto"/>
            </w:tcBorders>
            <w:shd w:val="clear" w:color="auto" w:fill="auto"/>
            <w:noWrap/>
            <w:vAlign w:val="center"/>
            <w:hideMark/>
          </w:tcPr>
          <w:p w14:paraId="40828B8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0.8455 </w:t>
            </w:r>
          </w:p>
        </w:tc>
        <w:tc>
          <w:tcPr>
            <w:tcW w:w="940" w:type="dxa"/>
            <w:tcBorders>
              <w:top w:val="nil"/>
              <w:left w:val="nil"/>
              <w:bottom w:val="single" w:sz="4" w:space="0" w:color="auto"/>
              <w:right w:val="single" w:sz="4" w:space="0" w:color="auto"/>
            </w:tcBorders>
            <w:shd w:val="clear" w:color="auto" w:fill="auto"/>
            <w:noWrap/>
            <w:vAlign w:val="center"/>
            <w:hideMark/>
          </w:tcPr>
          <w:p w14:paraId="6B30C2B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0.7452 </w:t>
            </w:r>
          </w:p>
        </w:tc>
        <w:tc>
          <w:tcPr>
            <w:tcW w:w="940" w:type="dxa"/>
            <w:tcBorders>
              <w:top w:val="nil"/>
              <w:left w:val="nil"/>
              <w:bottom w:val="single" w:sz="4" w:space="0" w:color="auto"/>
              <w:right w:val="single" w:sz="4" w:space="0" w:color="auto"/>
            </w:tcBorders>
            <w:shd w:val="clear" w:color="auto" w:fill="auto"/>
            <w:noWrap/>
            <w:vAlign w:val="center"/>
            <w:hideMark/>
          </w:tcPr>
          <w:p w14:paraId="48ABCC0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0.6482 </w:t>
            </w:r>
          </w:p>
        </w:tc>
      </w:tr>
      <w:tr w:rsidR="000C70FF" w:rsidRPr="00584EB6" w14:paraId="70FE3973"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27D40299"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1.3 </w:t>
            </w:r>
          </w:p>
        </w:tc>
        <w:tc>
          <w:tcPr>
            <w:tcW w:w="940" w:type="dxa"/>
            <w:tcBorders>
              <w:top w:val="nil"/>
              <w:left w:val="nil"/>
              <w:bottom w:val="single" w:sz="4" w:space="0" w:color="auto"/>
              <w:right w:val="single" w:sz="4" w:space="0" w:color="auto"/>
            </w:tcBorders>
            <w:shd w:val="clear" w:color="auto" w:fill="auto"/>
            <w:noWrap/>
            <w:vAlign w:val="center"/>
            <w:hideMark/>
          </w:tcPr>
          <w:p w14:paraId="0B7471B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1.3033 </w:t>
            </w:r>
          </w:p>
        </w:tc>
        <w:tc>
          <w:tcPr>
            <w:tcW w:w="940" w:type="dxa"/>
            <w:tcBorders>
              <w:top w:val="nil"/>
              <w:left w:val="nil"/>
              <w:bottom w:val="single" w:sz="4" w:space="0" w:color="auto"/>
              <w:right w:val="single" w:sz="4" w:space="0" w:color="auto"/>
            </w:tcBorders>
            <w:shd w:val="clear" w:color="auto" w:fill="auto"/>
            <w:noWrap/>
            <w:vAlign w:val="center"/>
            <w:hideMark/>
          </w:tcPr>
          <w:p w14:paraId="0D3A501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1.2079 </w:t>
            </w:r>
          </w:p>
        </w:tc>
        <w:tc>
          <w:tcPr>
            <w:tcW w:w="940" w:type="dxa"/>
            <w:tcBorders>
              <w:top w:val="nil"/>
              <w:left w:val="nil"/>
              <w:bottom w:val="single" w:sz="4" w:space="0" w:color="auto"/>
              <w:right w:val="single" w:sz="4" w:space="0" w:color="auto"/>
            </w:tcBorders>
            <w:shd w:val="clear" w:color="auto" w:fill="auto"/>
            <w:noWrap/>
            <w:vAlign w:val="center"/>
            <w:hideMark/>
          </w:tcPr>
          <w:p w14:paraId="111E81E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1.1460 </w:t>
            </w:r>
          </w:p>
        </w:tc>
        <w:tc>
          <w:tcPr>
            <w:tcW w:w="940" w:type="dxa"/>
            <w:tcBorders>
              <w:top w:val="nil"/>
              <w:left w:val="nil"/>
              <w:bottom w:val="single" w:sz="4" w:space="0" w:color="auto"/>
              <w:right w:val="single" w:sz="4" w:space="0" w:color="auto"/>
            </w:tcBorders>
            <w:shd w:val="clear" w:color="000000" w:fill="E6B8B7"/>
            <w:vAlign w:val="center"/>
            <w:hideMark/>
          </w:tcPr>
          <w:p w14:paraId="5A6B5490"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3.8 </w:t>
            </w:r>
          </w:p>
        </w:tc>
        <w:tc>
          <w:tcPr>
            <w:tcW w:w="940" w:type="dxa"/>
            <w:tcBorders>
              <w:top w:val="nil"/>
              <w:left w:val="nil"/>
              <w:bottom w:val="single" w:sz="4" w:space="0" w:color="auto"/>
              <w:right w:val="single" w:sz="4" w:space="0" w:color="auto"/>
            </w:tcBorders>
            <w:shd w:val="clear" w:color="auto" w:fill="auto"/>
            <w:noWrap/>
            <w:vAlign w:val="center"/>
            <w:hideMark/>
          </w:tcPr>
          <w:p w14:paraId="6297EEA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0.9778 </w:t>
            </w:r>
          </w:p>
        </w:tc>
        <w:tc>
          <w:tcPr>
            <w:tcW w:w="940" w:type="dxa"/>
            <w:tcBorders>
              <w:top w:val="nil"/>
              <w:left w:val="nil"/>
              <w:bottom w:val="single" w:sz="4" w:space="0" w:color="auto"/>
              <w:right w:val="single" w:sz="4" w:space="0" w:color="auto"/>
            </w:tcBorders>
            <w:shd w:val="clear" w:color="auto" w:fill="auto"/>
            <w:noWrap/>
            <w:vAlign w:val="center"/>
            <w:hideMark/>
          </w:tcPr>
          <w:p w14:paraId="79AA79E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shd w:val="clear" w:color="auto" w:fill="auto"/>
            <w:noWrap/>
            <w:vAlign w:val="center"/>
            <w:hideMark/>
          </w:tcPr>
          <w:p w14:paraId="1C1407A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0.8016 </w:t>
            </w:r>
          </w:p>
        </w:tc>
        <w:tc>
          <w:tcPr>
            <w:tcW w:w="940" w:type="dxa"/>
            <w:tcBorders>
              <w:top w:val="nil"/>
              <w:left w:val="nil"/>
              <w:bottom w:val="single" w:sz="4" w:space="0" w:color="auto"/>
              <w:right w:val="single" w:sz="4" w:space="0" w:color="auto"/>
            </w:tcBorders>
            <w:shd w:val="clear" w:color="000000" w:fill="E6B8B7"/>
            <w:noWrap/>
            <w:vAlign w:val="center"/>
            <w:hideMark/>
          </w:tcPr>
          <w:p w14:paraId="4775B4F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6.3 </w:t>
            </w:r>
          </w:p>
        </w:tc>
        <w:tc>
          <w:tcPr>
            <w:tcW w:w="940" w:type="dxa"/>
            <w:tcBorders>
              <w:top w:val="nil"/>
              <w:left w:val="nil"/>
              <w:bottom w:val="single" w:sz="4" w:space="0" w:color="auto"/>
              <w:right w:val="single" w:sz="4" w:space="0" w:color="auto"/>
            </w:tcBorders>
            <w:shd w:val="clear" w:color="auto" w:fill="auto"/>
            <w:noWrap/>
            <w:vAlign w:val="center"/>
            <w:hideMark/>
          </w:tcPr>
          <w:p w14:paraId="09ACE6F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0.8839 </w:t>
            </w:r>
          </w:p>
        </w:tc>
        <w:tc>
          <w:tcPr>
            <w:tcW w:w="940" w:type="dxa"/>
            <w:tcBorders>
              <w:top w:val="nil"/>
              <w:left w:val="nil"/>
              <w:bottom w:val="single" w:sz="4" w:space="0" w:color="auto"/>
              <w:right w:val="single" w:sz="4" w:space="0" w:color="auto"/>
            </w:tcBorders>
            <w:shd w:val="clear" w:color="auto" w:fill="auto"/>
            <w:noWrap/>
            <w:vAlign w:val="center"/>
            <w:hideMark/>
          </w:tcPr>
          <w:p w14:paraId="4924524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0.7855 </w:t>
            </w:r>
          </w:p>
        </w:tc>
        <w:tc>
          <w:tcPr>
            <w:tcW w:w="940" w:type="dxa"/>
            <w:tcBorders>
              <w:top w:val="nil"/>
              <w:left w:val="nil"/>
              <w:bottom w:val="single" w:sz="4" w:space="0" w:color="auto"/>
              <w:right w:val="single" w:sz="4" w:space="0" w:color="auto"/>
            </w:tcBorders>
            <w:shd w:val="clear" w:color="auto" w:fill="auto"/>
            <w:noWrap/>
            <w:vAlign w:val="center"/>
            <w:hideMark/>
          </w:tcPr>
          <w:p w14:paraId="1175B73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0.6948 </w:t>
            </w:r>
          </w:p>
        </w:tc>
        <w:tc>
          <w:tcPr>
            <w:tcW w:w="940" w:type="dxa"/>
            <w:tcBorders>
              <w:top w:val="nil"/>
              <w:left w:val="nil"/>
              <w:bottom w:val="single" w:sz="4" w:space="0" w:color="auto"/>
              <w:right w:val="single" w:sz="4" w:space="0" w:color="auto"/>
            </w:tcBorders>
            <w:shd w:val="clear" w:color="000000" w:fill="E6B8B7"/>
            <w:vAlign w:val="center"/>
            <w:hideMark/>
          </w:tcPr>
          <w:p w14:paraId="6C0202F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8.8 </w:t>
            </w:r>
          </w:p>
        </w:tc>
        <w:tc>
          <w:tcPr>
            <w:tcW w:w="940" w:type="dxa"/>
            <w:tcBorders>
              <w:top w:val="nil"/>
              <w:left w:val="nil"/>
              <w:bottom w:val="single" w:sz="4" w:space="0" w:color="auto"/>
              <w:right w:val="single" w:sz="4" w:space="0" w:color="auto"/>
            </w:tcBorders>
            <w:shd w:val="clear" w:color="auto" w:fill="auto"/>
            <w:noWrap/>
            <w:vAlign w:val="center"/>
            <w:hideMark/>
          </w:tcPr>
          <w:p w14:paraId="24384C4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0.8441 </w:t>
            </w:r>
          </w:p>
        </w:tc>
        <w:tc>
          <w:tcPr>
            <w:tcW w:w="940" w:type="dxa"/>
            <w:tcBorders>
              <w:top w:val="nil"/>
              <w:left w:val="nil"/>
              <w:bottom w:val="single" w:sz="4" w:space="0" w:color="auto"/>
              <w:right w:val="single" w:sz="4" w:space="0" w:color="auto"/>
            </w:tcBorders>
            <w:shd w:val="clear" w:color="auto" w:fill="auto"/>
            <w:noWrap/>
            <w:vAlign w:val="center"/>
            <w:hideMark/>
          </w:tcPr>
          <w:p w14:paraId="1ED2AFD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0.7437 </w:t>
            </w:r>
          </w:p>
        </w:tc>
        <w:tc>
          <w:tcPr>
            <w:tcW w:w="940" w:type="dxa"/>
            <w:tcBorders>
              <w:top w:val="nil"/>
              <w:left w:val="nil"/>
              <w:bottom w:val="single" w:sz="4" w:space="0" w:color="auto"/>
              <w:right w:val="single" w:sz="4" w:space="0" w:color="auto"/>
            </w:tcBorders>
            <w:shd w:val="clear" w:color="auto" w:fill="auto"/>
            <w:noWrap/>
            <w:vAlign w:val="center"/>
            <w:hideMark/>
          </w:tcPr>
          <w:p w14:paraId="13B0642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0.6466 </w:t>
            </w:r>
          </w:p>
        </w:tc>
      </w:tr>
      <w:tr w:rsidR="000C70FF" w:rsidRPr="00584EB6" w14:paraId="47F4A5CE"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3EEED7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1.4 </w:t>
            </w:r>
          </w:p>
        </w:tc>
        <w:tc>
          <w:tcPr>
            <w:tcW w:w="940" w:type="dxa"/>
            <w:tcBorders>
              <w:top w:val="nil"/>
              <w:left w:val="nil"/>
              <w:bottom w:val="single" w:sz="4" w:space="0" w:color="auto"/>
              <w:right w:val="single" w:sz="4" w:space="0" w:color="auto"/>
            </w:tcBorders>
            <w:shd w:val="clear" w:color="auto" w:fill="auto"/>
            <w:noWrap/>
            <w:vAlign w:val="center"/>
            <w:hideMark/>
          </w:tcPr>
          <w:p w14:paraId="601884E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1.2820 </w:t>
            </w:r>
          </w:p>
        </w:tc>
        <w:tc>
          <w:tcPr>
            <w:tcW w:w="940" w:type="dxa"/>
            <w:tcBorders>
              <w:top w:val="nil"/>
              <w:left w:val="nil"/>
              <w:bottom w:val="single" w:sz="4" w:space="0" w:color="auto"/>
              <w:right w:val="single" w:sz="4" w:space="0" w:color="auto"/>
            </w:tcBorders>
            <w:shd w:val="clear" w:color="auto" w:fill="auto"/>
            <w:noWrap/>
            <w:vAlign w:val="center"/>
            <w:hideMark/>
          </w:tcPr>
          <w:p w14:paraId="27B0A01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1.1862 </w:t>
            </w:r>
          </w:p>
        </w:tc>
        <w:tc>
          <w:tcPr>
            <w:tcW w:w="940" w:type="dxa"/>
            <w:tcBorders>
              <w:top w:val="nil"/>
              <w:left w:val="nil"/>
              <w:bottom w:val="single" w:sz="4" w:space="0" w:color="auto"/>
              <w:right w:val="single" w:sz="4" w:space="0" w:color="auto"/>
            </w:tcBorders>
            <w:shd w:val="clear" w:color="auto" w:fill="auto"/>
            <w:noWrap/>
            <w:vAlign w:val="center"/>
            <w:hideMark/>
          </w:tcPr>
          <w:p w14:paraId="3DFA4EF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1.1200 </w:t>
            </w:r>
          </w:p>
        </w:tc>
        <w:tc>
          <w:tcPr>
            <w:tcW w:w="940" w:type="dxa"/>
            <w:tcBorders>
              <w:top w:val="nil"/>
              <w:left w:val="nil"/>
              <w:bottom w:val="single" w:sz="4" w:space="0" w:color="auto"/>
              <w:right w:val="single" w:sz="4" w:space="0" w:color="auto"/>
            </w:tcBorders>
            <w:shd w:val="clear" w:color="000000" w:fill="E6B8B7"/>
            <w:vAlign w:val="center"/>
            <w:hideMark/>
          </w:tcPr>
          <w:p w14:paraId="46B47E46"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3.9 </w:t>
            </w:r>
          </w:p>
        </w:tc>
        <w:tc>
          <w:tcPr>
            <w:tcW w:w="940" w:type="dxa"/>
            <w:tcBorders>
              <w:top w:val="nil"/>
              <w:left w:val="nil"/>
              <w:bottom w:val="single" w:sz="4" w:space="0" w:color="auto"/>
              <w:right w:val="single" w:sz="4" w:space="0" w:color="auto"/>
            </w:tcBorders>
            <w:shd w:val="clear" w:color="auto" w:fill="auto"/>
            <w:noWrap/>
            <w:vAlign w:val="center"/>
            <w:hideMark/>
          </w:tcPr>
          <w:p w14:paraId="155D18C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0.9712 </w:t>
            </w:r>
          </w:p>
        </w:tc>
        <w:tc>
          <w:tcPr>
            <w:tcW w:w="940" w:type="dxa"/>
            <w:tcBorders>
              <w:top w:val="nil"/>
              <w:left w:val="nil"/>
              <w:bottom w:val="single" w:sz="4" w:space="0" w:color="auto"/>
              <w:right w:val="single" w:sz="4" w:space="0" w:color="auto"/>
            </w:tcBorders>
            <w:shd w:val="clear" w:color="auto" w:fill="auto"/>
            <w:noWrap/>
            <w:vAlign w:val="center"/>
            <w:hideMark/>
          </w:tcPr>
          <w:p w14:paraId="2F8C398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0.8718 </w:t>
            </w:r>
          </w:p>
        </w:tc>
        <w:tc>
          <w:tcPr>
            <w:tcW w:w="940" w:type="dxa"/>
            <w:tcBorders>
              <w:top w:val="nil"/>
              <w:left w:val="nil"/>
              <w:bottom w:val="single" w:sz="4" w:space="0" w:color="auto"/>
              <w:right w:val="single" w:sz="4" w:space="0" w:color="auto"/>
            </w:tcBorders>
            <w:shd w:val="clear" w:color="auto" w:fill="auto"/>
            <w:noWrap/>
            <w:vAlign w:val="center"/>
            <w:hideMark/>
          </w:tcPr>
          <w:p w14:paraId="3186A79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0.7948 </w:t>
            </w:r>
          </w:p>
        </w:tc>
        <w:tc>
          <w:tcPr>
            <w:tcW w:w="940" w:type="dxa"/>
            <w:tcBorders>
              <w:top w:val="nil"/>
              <w:left w:val="nil"/>
              <w:bottom w:val="single" w:sz="4" w:space="0" w:color="auto"/>
              <w:right w:val="single" w:sz="4" w:space="0" w:color="auto"/>
            </w:tcBorders>
            <w:shd w:val="clear" w:color="000000" w:fill="E6B8B7"/>
            <w:noWrap/>
            <w:vAlign w:val="center"/>
            <w:hideMark/>
          </w:tcPr>
          <w:p w14:paraId="15D8E9C9"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6.4 </w:t>
            </w:r>
          </w:p>
        </w:tc>
        <w:tc>
          <w:tcPr>
            <w:tcW w:w="940" w:type="dxa"/>
            <w:tcBorders>
              <w:top w:val="nil"/>
              <w:left w:val="nil"/>
              <w:bottom w:val="single" w:sz="4" w:space="0" w:color="auto"/>
              <w:right w:val="single" w:sz="4" w:space="0" w:color="auto"/>
            </w:tcBorders>
            <w:shd w:val="clear" w:color="auto" w:fill="auto"/>
            <w:noWrap/>
            <w:vAlign w:val="center"/>
            <w:hideMark/>
          </w:tcPr>
          <w:p w14:paraId="3D8D7CE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0.8819 </w:t>
            </w:r>
          </w:p>
        </w:tc>
        <w:tc>
          <w:tcPr>
            <w:tcW w:w="940" w:type="dxa"/>
            <w:tcBorders>
              <w:top w:val="nil"/>
              <w:left w:val="nil"/>
              <w:bottom w:val="single" w:sz="4" w:space="0" w:color="auto"/>
              <w:right w:val="single" w:sz="4" w:space="0" w:color="auto"/>
            </w:tcBorders>
            <w:shd w:val="clear" w:color="auto" w:fill="auto"/>
            <w:noWrap/>
            <w:vAlign w:val="center"/>
            <w:hideMark/>
          </w:tcPr>
          <w:p w14:paraId="77FD0B7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0.7834 </w:t>
            </w:r>
          </w:p>
        </w:tc>
        <w:tc>
          <w:tcPr>
            <w:tcW w:w="940" w:type="dxa"/>
            <w:tcBorders>
              <w:top w:val="nil"/>
              <w:left w:val="nil"/>
              <w:bottom w:val="single" w:sz="4" w:space="0" w:color="auto"/>
              <w:right w:val="single" w:sz="4" w:space="0" w:color="auto"/>
            </w:tcBorders>
            <w:shd w:val="clear" w:color="auto" w:fill="auto"/>
            <w:noWrap/>
            <w:vAlign w:val="center"/>
            <w:hideMark/>
          </w:tcPr>
          <w:p w14:paraId="41AEEAB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0.6923 </w:t>
            </w:r>
          </w:p>
        </w:tc>
        <w:tc>
          <w:tcPr>
            <w:tcW w:w="940" w:type="dxa"/>
            <w:tcBorders>
              <w:top w:val="nil"/>
              <w:left w:val="nil"/>
              <w:bottom w:val="single" w:sz="4" w:space="0" w:color="auto"/>
              <w:right w:val="single" w:sz="4" w:space="0" w:color="auto"/>
            </w:tcBorders>
            <w:shd w:val="clear" w:color="000000" w:fill="E6B8B7"/>
            <w:vAlign w:val="center"/>
            <w:hideMark/>
          </w:tcPr>
          <w:p w14:paraId="6E6F57C1"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8.9 </w:t>
            </w:r>
          </w:p>
        </w:tc>
        <w:tc>
          <w:tcPr>
            <w:tcW w:w="940" w:type="dxa"/>
            <w:tcBorders>
              <w:top w:val="nil"/>
              <w:left w:val="nil"/>
              <w:bottom w:val="single" w:sz="4" w:space="0" w:color="auto"/>
              <w:right w:val="single" w:sz="4" w:space="0" w:color="auto"/>
            </w:tcBorders>
            <w:shd w:val="clear" w:color="auto" w:fill="auto"/>
            <w:noWrap/>
            <w:vAlign w:val="center"/>
            <w:hideMark/>
          </w:tcPr>
          <w:p w14:paraId="408668D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0.8428 </w:t>
            </w:r>
          </w:p>
        </w:tc>
        <w:tc>
          <w:tcPr>
            <w:tcW w:w="940" w:type="dxa"/>
            <w:tcBorders>
              <w:top w:val="nil"/>
              <w:left w:val="nil"/>
              <w:bottom w:val="single" w:sz="4" w:space="0" w:color="auto"/>
              <w:right w:val="single" w:sz="4" w:space="0" w:color="auto"/>
            </w:tcBorders>
            <w:shd w:val="clear" w:color="auto" w:fill="auto"/>
            <w:noWrap/>
            <w:vAlign w:val="center"/>
            <w:hideMark/>
          </w:tcPr>
          <w:p w14:paraId="7F7014B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0.7422 </w:t>
            </w:r>
          </w:p>
        </w:tc>
        <w:tc>
          <w:tcPr>
            <w:tcW w:w="940" w:type="dxa"/>
            <w:tcBorders>
              <w:top w:val="nil"/>
              <w:left w:val="nil"/>
              <w:bottom w:val="single" w:sz="4" w:space="0" w:color="auto"/>
              <w:right w:val="single" w:sz="4" w:space="0" w:color="auto"/>
            </w:tcBorders>
            <w:shd w:val="clear" w:color="auto" w:fill="auto"/>
            <w:noWrap/>
            <w:vAlign w:val="center"/>
            <w:hideMark/>
          </w:tcPr>
          <w:p w14:paraId="09D83EF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0.6450 </w:t>
            </w:r>
          </w:p>
        </w:tc>
      </w:tr>
      <w:tr w:rsidR="000C70FF" w:rsidRPr="00584EB6" w14:paraId="1F862D5B"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0F89B76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1.5 </w:t>
            </w:r>
          </w:p>
        </w:tc>
        <w:tc>
          <w:tcPr>
            <w:tcW w:w="940" w:type="dxa"/>
            <w:tcBorders>
              <w:top w:val="nil"/>
              <w:left w:val="nil"/>
              <w:bottom w:val="single" w:sz="4" w:space="0" w:color="auto"/>
              <w:right w:val="single" w:sz="4" w:space="0" w:color="auto"/>
            </w:tcBorders>
            <w:shd w:val="clear" w:color="auto" w:fill="auto"/>
            <w:noWrap/>
            <w:vAlign w:val="center"/>
            <w:hideMark/>
          </w:tcPr>
          <w:p w14:paraId="314D2BD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1.2617 </w:t>
            </w:r>
          </w:p>
        </w:tc>
        <w:tc>
          <w:tcPr>
            <w:tcW w:w="940" w:type="dxa"/>
            <w:tcBorders>
              <w:top w:val="nil"/>
              <w:left w:val="nil"/>
              <w:bottom w:val="single" w:sz="4" w:space="0" w:color="auto"/>
              <w:right w:val="single" w:sz="4" w:space="0" w:color="auto"/>
            </w:tcBorders>
            <w:shd w:val="clear" w:color="auto" w:fill="auto"/>
            <w:noWrap/>
            <w:vAlign w:val="center"/>
            <w:hideMark/>
          </w:tcPr>
          <w:p w14:paraId="789830B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1.1653 </w:t>
            </w:r>
          </w:p>
        </w:tc>
        <w:tc>
          <w:tcPr>
            <w:tcW w:w="940" w:type="dxa"/>
            <w:tcBorders>
              <w:top w:val="nil"/>
              <w:left w:val="nil"/>
              <w:bottom w:val="single" w:sz="4" w:space="0" w:color="auto"/>
              <w:right w:val="single" w:sz="4" w:space="0" w:color="auto"/>
            </w:tcBorders>
            <w:shd w:val="clear" w:color="auto" w:fill="auto"/>
            <w:noWrap/>
            <w:vAlign w:val="center"/>
            <w:hideMark/>
          </w:tcPr>
          <w:p w14:paraId="0191091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1.0961 </w:t>
            </w:r>
          </w:p>
        </w:tc>
        <w:tc>
          <w:tcPr>
            <w:tcW w:w="940" w:type="dxa"/>
            <w:tcBorders>
              <w:top w:val="nil"/>
              <w:left w:val="nil"/>
              <w:bottom w:val="single" w:sz="4" w:space="0" w:color="auto"/>
              <w:right w:val="single" w:sz="4" w:space="0" w:color="auto"/>
            </w:tcBorders>
            <w:shd w:val="clear" w:color="000000" w:fill="E6B8B7"/>
            <w:vAlign w:val="center"/>
            <w:hideMark/>
          </w:tcPr>
          <w:p w14:paraId="3416648A"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4.0 </w:t>
            </w:r>
          </w:p>
        </w:tc>
        <w:tc>
          <w:tcPr>
            <w:tcW w:w="940" w:type="dxa"/>
            <w:tcBorders>
              <w:top w:val="nil"/>
              <w:left w:val="nil"/>
              <w:bottom w:val="single" w:sz="4" w:space="0" w:color="auto"/>
              <w:right w:val="single" w:sz="4" w:space="0" w:color="auto"/>
            </w:tcBorders>
            <w:shd w:val="clear" w:color="auto" w:fill="auto"/>
            <w:noWrap/>
            <w:vAlign w:val="center"/>
            <w:hideMark/>
          </w:tcPr>
          <w:p w14:paraId="5A1BC9E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0.9650 </w:t>
            </w:r>
          </w:p>
        </w:tc>
        <w:tc>
          <w:tcPr>
            <w:tcW w:w="940" w:type="dxa"/>
            <w:tcBorders>
              <w:top w:val="nil"/>
              <w:left w:val="nil"/>
              <w:bottom w:val="single" w:sz="4" w:space="0" w:color="auto"/>
              <w:right w:val="single" w:sz="4" w:space="0" w:color="auto"/>
            </w:tcBorders>
            <w:shd w:val="clear" w:color="auto" w:fill="auto"/>
            <w:noWrap/>
            <w:vAlign w:val="center"/>
            <w:hideMark/>
          </w:tcPr>
          <w:p w14:paraId="771DFBC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0.8658 </w:t>
            </w:r>
          </w:p>
        </w:tc>
        <w:tc>
          <w:tcPr>
            <w:tcW w:w="940" w:type="dxa"/>
            <w:tcBorders>
              <w:top w:val="nil"/>
              <w:left w:val="nil"/>
              <w:bottom w:val="single" w:sz="4" w:space="0" w:color="auto"/>
              <w:right w:val="single" w:sz="4" w:space="0" w:color="auto"/>
            </w:tcBorders>
            <w:shd w:val="clear" w:color="auto" w:fill="auto"/>
            <w:noWrap/>
            <w:vAlign w:val="center"/>
            <w:hideMark/>
          </w:tcPr>
          <w:p w14:paraId="5451A4E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0.7883 </w:t>
            </w:r>
          </w:p>
        </w:tc>
        <w:tc>
          <w:tcPr>
            <w:tcW w:w="940" w:type="dxa"/>
            <w:tcBorders>
              <w:top w:val="nil"/>
              <w:left w:val="nil"/>
              <w:bottom w:val="single" w:sz="4" w:space="0" w:color="auto"/>
              <w:right w:val="single" w:sz="4" w:space="0" w:color="auto"/>
            </w:tcBorders>
            <w:shd w:val="clear" w:color="000000" w:fill="E6B8B7"/>
            <w:noWrap/>
            <w:vAlign w:val="center"/>
            <w:hideMark/>
          </w:tcPr>
          <w:p w14:paraId="5B307CB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6.5 </w:t>
            </w:r>
          </w:p>
        </w:tc>
        <w:tc>
          <w:tcPr>
            <w:tcW w:w="940" w:type="dxa"/>
            <w:tcBorders>
              <w:top w:val="nil"/>
              <w:left w:val="nil"/>
              <w:bottom w:val="single" w:sz="4" w:space="0" w:color="auto"/>
              <w:right w:val="single" w:sz="4" w:space="0" w:color="auto"/>
            </w:tcBorders>
            <w:shd w:val="clear" w:color="auto" w:fill="auto"/>
            <w:noWrap/>
            <w:vAlign w:val="center"/>
            <w:hideMark/>
          </w:tcPr>
          <w:p w14:paraId="6E2EA01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0.8800 </w:t>
            </w:r>
          </w:p>
        </w:tc>
        <w:tc>
          <w:tcPr>
            <w:tcW w:w="940" w:type="dxa"/>
            <w:tcBorders>
              <w:top w:val="nil"/>
              <w:left w:val="nil"/>
              <w:bottom w:val="single" w:sz="4" w:space="0" w:color="auto"/>
              <w:right w:val="single" w:sz="4" w:space="0" w:color="auto"/>
            </w:tcBorders>
            <w:shd w:val="clear" w:color="auto" w:fill="auto"/>
            <w:noWrap/>
            <w:vAlign w:val="center"/>
            <w:hideMark/>
          </w:tcPr>
          <w:p w14:paraId="0DC1C55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0.7814 </w:t>
            </w:r>
          </w:p>
        </w:tc>
        <w:tc>
          <w:tcPr>
            <w:tcW w:w="940" w:type="dxa"/>
            <w:tcBorders>
              <w:top w:val="nil"/>
              <w:left w:val="nil"/>
              <w:bottom w:val="single" w:sz="4" w:space="0" w:color="auto"/>
              <w:right w:val="single" w:sz="4" w:space="0" w:color="auto"/>
            </w:tcBorders>
            <w:shd w:val="clear" w:color="auto" w:fill="auto"/>
            <w:noWrap/>
            <w:vAlign w:val="center"/>
            <w:hideMark/>
          </w:tcPr>
          <w:p w14:paraId="5DBB783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0.6899 </w:t>
            </w:r>
          </w:p>
        </w:tc>
        <w:tc>
          <w:tcPr>
            <w:tcW w:w="940" w:type="dxa"/>
            <w:tcBorders>
              <w:top w:val="nil"/>
              <w:left w:val="nil"/>
              <w:bottom w:val="single" w:sz="4" w:space="0" w:color="auto"/>
              <w:right w:val="single" w:sz="4" w:space="0" w:color="auto"/>
            </w:tcBorders>
            <w:shd w:val="clear" w:color="000000" w:fill="E6B8B7"/>
            <w:vAlign w:val="center"/>
            <w:hideMark/>
          </w:tcPr>
          <w:p w14:paraId="7C007E6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9.0 </w:t>
            </w:r>
          </w:p>
        </w:tc>
        <w:tc>
          <w:tcPr>
            <w:tcW w:w="940" w:type="dxa"/>
            <w:tcBorders>
              <w:top w:val="nil"/>
              <w:left w:val="nil"/>
              <w:bottom w:val="single" w:sz="4" w:space="0" w:color="auto"/>
              <w:right w:val="single" w:sz="4" w:space="0" w:color="auto"/>
            </w:tcBorders>
            <w:shd w:val="clear" w:color="auto" w:fill="auto"/>
            <w:noWrap/>
            <w:vAlign w:val="center"/>
            <w:hideMark/>
          </w:tcPr>
          <w:p w14:paraId="39FDD86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0.8415 </w:t>
            </w:r>
          </w:p>
        </w:tc>
        <w:tc>
          <w:tcPr>
            <w:tcW w:w="940" w:type="dxa"/>
            <w:tcBorders>
              <w:top w:val="nil"/>
              <w:left w:val="nil"/>
              <w:bottom w:val="single" w:sz="4" w:space="0" w:color="auto"/>
              <w:right w:val="single" w:sz="4" w:space="0" w:color="auto"/>
            </w:tcBorders>
            <w:shd w:val="clear" w:color="auto" w:fill="auto"/>
            <w:noWrap/>
            <w:vAlign w:val="center"/>
            <w:hideMark/>
          </w:tcPr>
          <w:p w14:paraId="5A64076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0.7407 </w:t>
            </w:r>
          </w:p>
        </w:tc>
        <w:tc>
          <w:tcPr>
            <w:tcW w:w="940" w:type="dxa"/>
            <w:tcBorders>
              <w:top w:val="nil"/>
              <w:left w:val="nil"/>
              <w:bottom w:val="single" w:sz="4" w:space="0" w:color="auto"/>
              <w:right w:val="single" w:sz="4" w:space="0" w:color="auto"/>
            </w:tcBorders>
            <w:shd w:val="clear" w:color="auto" w:fill="auto"/>
            <w:noWrap/>
            <w:vAlign w:val="center"/>
            <w:hideMark/>
          </w:tcPr>
          <w:p w14:paraId="4A7C599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0.6435 </w:t>
            </w:r>
          </w:p>
        </w:tc>
      </w:tr>
      <w:tr w:rsidR="000C70FF" w:rsidRPr="00584EB6" w14:paraId="4C23D745"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7986CFA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1.6 </w:t>
            </w:r>
          </w:p>
        </w:tc>
        <w:tc>
          <w:tcPr>
            <w:tcW w:w="940" w:type="dxa"/>
            <w:tcBorders>
              <w:top w:val="nil"/>
              <w:left w:val="nil"/>
              <w:bottom w:val="single" w:sz="4" w:space="0" w:color="auto"/>
              <w:right w:val="single" w:sz="4" w:space="0" w:color="auto"/>
            </w:tcBorders>
            <w:shd w:val="clear" w:color="auto" w:fill="auto"/>
            <w:noWrap/>
            <w:vAlign w:val="center"/>
            <w:hideMark/>
          </w:tcPr>
          <w:p w14:paraId="43DA14F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1.2423 </w:t>
            </w:r>
          </w:p>
        </w:tc>
        <w:tc>
          <w:tcPr>
            <w:tcW w:w="940" w:type="dxa"/>
            <w:tcBorders>
              <w:top w:val="nil"/>
              <w:left w:val="nil"/>
              <w:bottom w:val="single" w:sz="4" w:space="0" w:color="auto"/>
              <w:right w:val="single" w:sz="4" w:space="0" w:color="auto"/>
            </w:tcBorders>
            <w:shd w:val="clear" w:color="auto" w:fill="auto"/>
            <w:noWrap/>
            <w:vAlign w:val="center"/>
            <w:hideMark/>
          </w:tcPr>
          <w:p w14:paraId="2062F79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1.1453 </w:t>
            </w:r>
          </w:p>
        </w:tc>
        <w:tc>
          <w:tcPr>
            <w:tcW w:w="940" w:type="dxa"/>
            <w:tcBorders>
              <w:top w:val="nil"/>
              <w:left w:val="nil"/>
              <w:bottom w:val="single" w:sz="4" w:space="0" w:color="auto"/>
              <w:right w:val="single" w:sz="4" w:space="0" w:color="auto"/>
            </w:tcBorders>
            <w:shd w:val="clear" w:color="auto" w:fill="auto"/>
            <w:noWrap/>
            <w:vAlign w:val="center"/>
            <w:hideMark/>
          </w:tcPr>
          <w:p w14:paraId="0FC1F82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1.0740 </w:t>
            </w:r>
          </w:p>
        </w:tc>
        <w:tc>
          <w:tcPr>
            <w:tcW w:w="940" w:type="dxa"/>
            <w:tcBorders>
              <w:top w:val="nil"/>
              <w:left w:val="nil"/>
              <w:bottom w:val="single" w:sz="4" w:space="0" w:color="auto"/>
              <w:right w:val="single" w:sz="4" w:space="0" w:color="auto"/>
            </w:tcBorders>
            <w:shd w:val="clear" w:color="000000" w:fill="E6B8B7"/>
            <w:vAlign w:val="center"/>
            <w:hideMark/>
          </w:tcPr>
          <w:p w14:paraId="1F590FB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4.1 </w:t>
            </w:r>
          </w:p>
        </w:tc>
        <w:tc>
          <w:tcPr>
            <w:tcW w:w="940" w:type="dxa"/>
            <w:tcBorders>
              <w:top w:val="nil"/>
              <w:left w:val="nil"/>
              <w:bottom w:val="single" w:sz="4" w:space="0" w:color="auto"/>
              <w:right w:val="single" w:sz="4" w:space="0" w:color="auto"/>
            </w:tcBorders>
            <w:shd w:val="clear" w:color="auto" w:fill="auto"/>
            <w:noWrap/>
            <w:vAlign w:val="center"/>
            <w:hideMark/>
          </w:tcPr>
          <w:p w14:paraId="36BD81E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0.9591 </w:t>
            </w:r>
          </w:p>
        </w:tc>
        <w:tc>
          <w:tcPr>
            <w:tcW w:w="940" w:type="dxa"/>
            <w:tcBorders>
              <w:top w:val="nil"/>
              <w:left w:val="nil"/>
              <w:bottom w:val="single" w:sz="4" w:space="0" w:color="auto"/>
              <w:right w:val="single" w:sz="4" w:space="0" w:color="auto"/>
            </w:tcBorders>
            <w:shd w:val="clear" w:color="auto" w:fill="auto"/>
            <w:noWrap/>
            <w:vAlign w:val="center"/>
            <w:hideMark/>
          </w:tcPr>
          <w:p w14:paraId="1F2D564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0.8601 </w:t>
            </w:r>
          </w:p>
        </w:tc>
        <w:tc>
          <w:tcPr>
            <w:tcW w:w="940" w:type="dxa"/>
            <w:tcBorders>
              <w:top w:val="nil"/>
              <w:left w:val="nil"/>
              <w:bottom w:val="single" w:sz="4" w:space="0" w:color="auto"/>
              <w:right w:val="single" w:sz="4" w:space="0" w:color="auto"/>
            </w:tcBorders>
            <w:shd w:val="clear" w:color="auto" w:fill="auto"/>
            <w:noWrap/>
            <w:vAlign w:val="center"/>
            <w:hideMark/>
          </w:tcPr>
          <w:p w14:paraId="2952E59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0.7820 </w:t>
            </w:r>
          </w:p>
        </w:tc>
        <w:tc>
          <w:tcPr>
            <w:tcW w:w="940" w:type="dxa"/>
            <w:tcBorders>
              <w:top w:val="nil"/>
              <w:left w:val="nil"/>
              <w:bottom w:val="single" w:sz="4" w:space="0" w:color="auto"/>
              <w:right w:val="single" w:sz="4" w:space="0" w:color="auto"/>
            </w:tcBorders>
            <w:shd w:val="clear" w:color="000000" w:fill="E6B8B7"/>
            <w:noWrap/>
            <w:vAlign w:val="center"/>
            <w:hideMark/>
          </w:tcPr>
          <w:p w14:paraId="6C3D9901"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6.6 </w:t>
            </w:r>
          </w:p>
        </w:tc>
        <w:tc>
          <w:tcPr>
            <w:tcW w:w="940" w:type="dxa"/>
            <w:tcBorders>
              <w:top w:val="nil"/>
              <w:left w:val="nil"/>
              <w:bottom w:val="single" w:sz="4" w:space="0" w:color="auto"/>
              <w:right w:val="single" w:sz="4" w:space="0" w:color="auto"/>
            </w:tcBorders>
            <w:shd w:val="clear" w:color="auto" w:fill="auto"/>
            <w:noWrap/>
            <w:vAlign w:val="center"/>
            <w:hideMark/>
          </w:tcPr>
          <w:p w14:paraId="1223B77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shd w:val="clear" w:color="auto" w:fill="auto"/>
            <w:noWrap/>
            <w:vAlign w:val="center"/>
            <w:hideMark/>
          </w:tcPr>
          <w:p w14:paraId="7F41627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0.7795 </w:t>
            </w:r>
          </w:p>
        </w:tc>
        <w:tc>
          <w:tcPr>
            <w:tcW w:w="940" w:type="dxa"/>
            <w:tcBorders>
              <w:top w:val="nil"/>
              <w:left w:val="nil"/>
              <w:bottom w:val="single" w:sz="4" w:space="0" w:color="auto"/>
              <w:right w:val="single" w:sz="4" w:space="0" w:color="auto"/>
            </w:tcBorders>
            <w:shd w:val="clear" w:color="auto" w:fill="auto"/>
            <w:noWrap/>
            <w:vAlign w:val="center"/>
            <w:hideMark/>
          </w:tcPr>
          <w:p w14:paraId="0A6B1EB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0.6876 </w:t>
            </w:r>
          </w:p>
        </w:tc>
        <w:tc>
          <w:tcPr>
            <w:tcW w:w="940" w:type="dxa"/>
            <w:tcBorders>
              <w:top w:val="nil"/>
              <w:left w:val="nil"/>
              <w:bottom w:val="single" w:sz="4" w:space="0" w:color="auto"/>
              <w:right w:val="single" w:sz="4" w:space="0" w:color="auto"/>
            </w:tcBorders>
            <w:shd w:val="clear" w:color="000000" w:fill="E6B8B7"/>
            <w:vAlign w:val="center"/>
            <w:hideMark/>
          </w:tcPr>
          <w:p w14:paraId="4A86F26E"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9.1 </w:t>
            </w:r>
          </w:p>
        </w:tc>
        <w:tc>
          <w:tcPr>
            <w:tcW w:w="940" w:type="dxa"/>
            <w:tcBorders>
              <w:top w:val="nil"/>
              <w:left w:val="nil"/>
              <w:bottom w:val="single" w:sz="4" w:space="0" w:color="auto"/>
              <w:right w:val="single" w:sz="4" w:space="0" w:color="auto"/>
            </w:tcBorders>
            <w:shd w:val="clear" w:color="auto" w:fill="auto"/>
            <w:noWrap/>
            <w:vAlign w:val="center"/>
            <w:hideMark/>
          </w:tcPr>
          <w:p w14:paraId="360F418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40" w:type="dxa"/>
            <w:tcBorders>
              <w:top w:val="nil"/>
              <w:left w:val="nil"/>
              <w:bottom w:val="single" w:sz="4" w:space="0" w:color="auto"/>
              <w:right w:val="single" w:sz="4" w:space="0" w:color="auto"/>
            </w:tcBorders>
            <w:shd w:val="clear" w:color="auto" w:fill="auto"/>
            <w:noWrap/>
            <w:vAlign w:val="center"/>
            <w:hideMark/>
          </w:tcPr>
          <w:p w14:paraId="02518A2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0.7392 </w:t>
            </w:r>
          </w:p>
        </w:tc>
        <w:tc>
          <w:tcPr>
            <w:tcW w:w="940" w:type="dxa"/>
            <w:tcBorders>
              <w:top w:val="nil"/>
              <w:left w:val="nil"/>
              <w:bottom w:val="single" w:sz="4" w:space="0" w:color="auto"/>
              <w:right w:val="single" w:sz="4" w:space="0" w:color="auto"/>
            </w:tcBorders>
            <w:shd w:val="clear" w:color="auto" w:fill="auto"/>
            <w:noWrap/>
            <w:vAlign w:val="center"/>
            <w:hideMark/>
          </w:tcPr>
          <w:p w14:paraId="0D2E815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0.6420 </w:t>
            </w:r>
          </w:p>
        </w:tc>
      </w:tr>
      <w:tr w:rsidR="000C70FF" w:rsidRPr="00584EB6" w14:paraId="36F3AA41"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1606508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1.7 </w:t>
            </w:r>
          </w:p>
        </w:tc>
        <w:tc>
          <w:tcPr>
            <w:tcW w:w="940" w:type="dxa"/>
            <w:tcBorders>
              <w:top w:val="nil"/>
              <w:left w:val="nil"/>
              <w:bottom w:val="single" w:sz="4" w:space="0" w:color="auto"/>
              <w:right w:val="single" w:sz="4" w:space="0" w:color="auto"/>
            </w:tcBorders>
            <w:shd w:val="clear" w:color="auto" w:fill="auto"/>
            <w:noWrap/>
            <w:vAlign w:val="center"/>
            <w:hideMark/>
          </w:tcPr>
          <w:p w14:paraId="0B4CB0E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1.2237 </w:t>
            </w:r>
          </w:p>
        </w:tc>
        <w:tc>
          <w:tcPr>
            <w:tcW w:w="940" w:type="dxa"/>
            <w:tcBorders>
              <w:top w:val="nil"/>
              <w:left w:val="nil"/>
              <w:bottom w:val="single" w:sz="4" w:space="0" w:color="auto"/>
              <w:right w:val="single" w:sz="4" w:space="0" w:color="auto"/>
            </w:tcBorders>
            <w:shd w:val="clear" w:color="auto" w:fill="auto"/>
            <w:noWrap/>
            <w:vAlign w:val="center"/>
            <w:hideMark/>
          </w:tcPr>
          <w:p w14:paraId="182C321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1.1261 </w:t>
            </w:r>
          </w:p>
        </w:tc>
        <w:tc>
          <w:tcPr>
            <w:tcW w:w="940" w:type="dxa"/>
            <w:tcBorders>
              <w:top w:val="nil"/>
              <w:left w:val="nil"/>
              <w:bottom w:val="single" w:sz="4" w:space="0" w:color="auto"/>
              <w:right w:val="single" w:sz="4" w:space="0" w:color="auto"/>
            </w:tcBorders>
            <w:shd w:val="clear" w:color="auto" w:fill="auto"/>
            <w:noWrap/>
            <w:vAlign w:val="center"/>
            <w:hideMark/>
          </w:tcPr>
          <w:p w14:paraId="728971F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1.0535 </w:t>
            </w:r>
          </w:p>
        </w:tc>
        <w:tc>
          <w:tcPr>
            <w:tcW w:w="940" w:type="dxa"/>
            <w:tcBorders>
              <w:top w:val="nil"/>
              <w:left w:val="nil"/>
              <w:bottom w:val="single" w:sz="4" w:space="0" w:color="auto"/>
              <w:right w:val="single" w:sz="4" w:space="0" w:color="auto"/>
            </w:tcBorders>
            <w:shd w:val="clear" w:color="000000" w:fill="E6B8B7"/>
            <w:vAlign w:val="center"/>
            <w:hideMark/>
          </w:tcPr>
          <w:p w14:paraId="1DE60EF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4.2 </w:t>
            </w:r>
          </w:p>
        </w:tc>
        <w:tc>
          <w:tcPr>
            <w:tcW w:w="940" w:type="dxa"/>
            <w:tcBorders>
              <w:top w:val="nil"/>
              <w:left w:val="nil"/>
              <w:bottom w:val="single" w:sz="4" w:space="0" w:color="auto"/>
              <w:right w:val="single" w:sz="4" w:space="0" w:color="auto"/>
            </w:tcBorders>
            <w:shd w:val="clear" w:color="auto" w:fill="auto"/>
            <w:noWrap/>
            <w:vAlign w:val="center"/>
            <w:hideMark/>
          </w:tcPr>
          <w:p w14:paraId="1DD9B5F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0.9535 </w:t>
            </w:r>
          </w:p>
        </w:tc>
        <w:tc>
          <w:tcPr>
            <w:tcW w:w="940" w:type="dxa"/>
            <w:tcBorders>
              <w:top w:val="nil"/>
              <w:left w:val="nil"/>
              <w:bottom w:val="single" w:sz="4" w:space="0" w:color="auto"/>
              <w:right w:val="single" w:sz="4" w:space="0" w:color="auto"/>
            </w:tcBorders>
            <w:shd w:val="clear" w:color="auto" w:fill="auto"/>
            <w:noWrap/>
            <w:vAlign w:val="center"/>
            <w:hideMark/>
          </w:tcPr>
          <w:p w14:paraId="44256A3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0.8547 </w:t>
            </w:r>
          </w:p>
        </w:tc>
        <w:tc>
          <w:tcPr>
            <w:tcW w:w="940" w:type="dxa"/>
            <w:tcBorders>
              <w:top w:val="nil"/>
              <w:left w:val="nil"/>
              <w:bottom w:val="single" w:sz="4" w:space="0" w:color="auto"/>
              <w:right w:val="single" w:sz="4" w:space="0" w:color="auto"/>
            </w:tcBorders>
            <w:shd w:val="clear" w:color="auto" w:fill="auto"/>
            <w:noWrap/>
            <w:vAlign w:val="center"/>
            <w:hideMark/>
          </w:tcPr>
          <w:p w14:paraId="6A698CE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0.7760 </w:t>
            </w:r>
          </w:p>
        </w:tc>
        <w:tc>
          <w:tcPr>
            <w:tcW w:w="940" w:type="dxa"/>
            <w:tcBorders>
              <w:top w:val="nil"/>
              <w:left w:val="nil"/>
              <w:bottom w:val="single" w:sz="4" w:space="0" w:color="auto"/>
              <w:right w:val="single" w:sz="4" w:space="0" w:color="auto"/>
            </w:tcBorders>
            <w:shd w:val="clear" w:color="000000" w:fill="E6B8B7"/>
            <w:noWrap/>
            <w:vAlign w:val="center"/>
            <w:hideMark/>
          </w:tcPr>
          <w:p w14:paraId="6E4EBB6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6.7 </w:t>
            </w:r>
          </w:p>
        </w:tc>
        <w:tc>
          <w:tcPr>
            <w:tcW w:w="940" w:type="dxa"/>
            <w:tcBorders>
              <w:top w:val="nil"/>
              <w:left w:val="nil"/>
              <w:bottom w:val="single" w:sz="4" w:space="0" w:color="auto"/>
              <w:right w:val="single" w:sz="4" w:space="0" w:color="auto"/>
            </w:tcBorders>
            <w:shd w:val="clear" w:color="auto" w:fill="auto"/>
            <w:noWrap/>
            <w:vAlign w:val="center"/>
            <w:hideMark/>
          </w:tcPr>
          <w:p w14:paraId="5D79321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0.8763 </w:t>
            </w:r>
          </w:p>
        </w:tc>
        <w:tc>
          <w:tcPr>
            <w:tcW w:w="940" w:type="dxa"/>
            <w:tcBorders>
              <w:top w:val="nil"/>
              <w:left w:val="nil"/>
              <w:bottom w:val="single" w:sz="4" w:space="0" w:color="auto"/>
              <w:right w:val="single" w:sz="4" w:space="0" w:color="auto"/>
            </w:tcBorders>
            <w:shd w:val="clear" w:color="auto" w:fill="auto"/>
            <w:noWrap/>
            <w:vAlign w:val="center"/>
            <w:hideMark/>
          </w:tcPr>
          <w:p w14:paraId="0D829E8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0.7776 </w:t>
            </w:r>
          </w:p>
        </w:tc>
        <w:tc>
          <w:tcPr>
            <w:tcW w:w="940" w:type="dxa"/>
            <w:tcBorders>
              <w:top w:val="nil"/>
              <w:left w:val="nil"/>
              <w:bottom w:val="single" w:sz="4" w:space="0" w:color="auto"/>
              <w:right w:val="single" w:sz="4" w:space="0" w:color="auto"/>
            </w:tcBorders>
            <w:shd w:val="clear" w:color="auto" w:fill="auto"/>
            <w:noWrap/>
            <w:vAlign w:val="center"/>
            <w:hideMark/>
          </w:tcPr>
          <w:p w14:paraId="6709620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0.6853 </w:t>
            </w:r>
          </w:p>
        </w:tc>
        <w:tc>
          <w:tcPr>
            <w:tcW w:w="940" w:type="dxa"/>
            <w:tcBorders>
              <w:top w:val="nil"/>
              <w:left w:val="nil"/>
              <w:bottom w:val="single" w:sz="4" w:space="0" w:color="auto"/>
              <w:right w:val="single" w:sz="4" w:space="0" w:color="auto"/>
            </w:tcBorders>
            <w:shd w:val="clear" w:color="000000" w:fill="E6B8B7"/>
            <w:vAlign w:val="center"/>
            <w:hideMark/>
          </w:tcPr>
          <w:p w14:paraId="6E02D2C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9.2 </w:t>
            </w:r>
          </w:p>
        </w:tc>
        <w:tc>
          <w:tcPr>
            <w:tcW w:w="940" w:type="dxa"/>
            <w:tcBorders>
              <w:top w:val="nil"/>
              <w:left w:val="nil"/>
              <w:bottom w:val="single" w:sz="4" w:space="0" w:color="auto"/>
              <w:right w:val="single" w:sz="4" w:space="0" w:color="auto"/>
            </w:tcBorders>
            <w:shd w:val="clear" w:color="auto" w:fill="auto"/>
            <w:noWrap/>
            <w:vAlign w:val="center"/>
            <w:hideMark/>
          </w:tcPr>
          <w:p w14:paraId="7D5DF30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0.8389 </w:t>
            </w:r>
          </w:p>
        </w:tc>
        <w:tc>
          <w:tcPr>
            <w:tcW w:w="940" w:type="dxa"/>
            <w:tcBorders>
              <w:top w:val="nil"/>
              <w:left w:val="nil"/>
              <w:bottom w:val="single" w:sz="4" w:space="0" w:color="auto"/>
              <w:right w:val="single" w:sz="4" w:space="0" w:color="auto"/>
            </w:tcBorders>
            <w:shd w:val="clear" w:color="auto" w:fill="auto"/>
            <w:noWrap/>
            <w:vAlign w:val="center"/>
            <w:hideMark/>
          </w:tcPr>
          <w:p w14:paraId="1840B3B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0.7377 </w:t>
            </w:r>
          </w:p>
        </w:tc>
        <w:tc>
          <w:tcPr>
            <w:tcW w:w="940" w:type="dxa"/>
            <w:tcBorders>
              <w:top w:val="nil"/>
              <w:left w:val="nil"/>
              <w:bottom w:val="single" w:sz="4" w:space="0" w:color="auto"/>
              <w:right w:val="single" w:sz="4" w:space="0" w:color="auto"/>
            </w:tcBorders>
            <w:shd w:val="clear" w:color="auto" w:fill="auto"/>
            <w:noWrap/>
            <w:vAlign w:val="center"/>
            <w:hideMark/>
          </w:tcPr>
          <w:p w14:paraId="053AAC6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0.6406 </w:t>
            </w:r>
          </w:p>
        </w:tc>
      </w:tr>
      <w:tr w:rsidR="000C70FF" w:rsidRPr="00584EB6" w14:paraId="2A06E7B2"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CD74F1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1.8 </w:t>
            </w:r>
          </w:p>
        </w:tc>
        <w:tc>
          <w:tcPr>
            <w:tcW w:w="940" w:type="dxa"/>
            <w:tcBorders>
              <w:top w:val="nil"/>
              <w:left w:val="nil"/>
              <w:bottom w:val="single" w:sz="4" w:space="0" w:color="auto"/>
              <w:right w:val="single" w:sz="4" w:space="0" w:color="auto"/>
            </w:tcBorders>
            <w:shd w:val="clear" w:color="auto" w:fill="auto"/>
            <w:noWrap/>
            <w:vAlign w:val="center"/>
            <w:hideMark/>
          </w:tcPr>
          <w:p w14:paraId="2B02DAA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1.2060 </w:t>
            </w:r>
          </w:p>
        </w:tc>
        <w:tc>
          <w:tcPr>
            <w:tcW w:w="940" w:type="dxa"/>
            <w:tcBorders>
              <w:top w:val="nil"/>
              <w:left w:val="nil"/>
              <w:bottom w:val="single" w:sz="4" w:space="0" w:color="auto"/>
              <w:right w:val="single" w:sz="4" w:space="0" w:color="auto"/>
            </w:tcBorders>
            <w:shd w:val="clear" w:color="auto" w:fill="auto"/>
            <w:noWrap/>
            <w:vAlign w:val="center"/>
            <w:hideMark/>
          </w:tcPr>
          <w:p w14:paraId="278B580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1.1077 </w:t>
            </w:r>
          </w:p>
        </w:tc>
        <w:tc>
          <w:tcPr>
            <w:tcW w:w="940" w:type="dxa"/>
            <w:tcBorders>
              <w:top w:val="nil"/>
              <w:left w:val="nil"/>
              <w:bottom w:val="single" w:sz="4" w:space="0" w:color="auto"/>
              <w:right w:val="single" w:sz="4" w:space="0" w:color="auto"/>
            </w:tcBorders>
            <w:shd w:val="clear" w:color="auto" w:fill="auto"/>
            <w:noWrap/>
            <w:vAlign w:val="center"/>
            <w:hideMark/>
          </w:tcPr>
          <w:p w14:paraId="27BD5EE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1.0345 </w:t>
            </w:r>
          </w:p>
        </w:tc>
        <w:tc>
          <w:tcPr>
            <w:tcW w:w="940" w:type="dxa"/>
            <w:tcBorders>
              <w:top w:val="nil"/>
              <w:left w:val="nil"/>
              <w:bottom w:val="single" w:sz="4" w:space="0" w:color="auto"/>
              <w:right w:val="single" w:sz="4" w:space="0" w:color="auto"/>
            </w:tcBorders>
            <w:shd w:val="clear" w:color="000000" w:fill="E6B8B7"/>
            <w:vAlign w:val="center"/>
            <w:hideMark/>
          </w:tcPr>
          <w:p w14:paraId="26EDE97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4.3 </w:t>
            </w:r>
          </w:p>
        </w:tc>
        <w:tc>
          <w:tcPr>
            <w:tcW w:w="940" w:type="dxa"/>
            <w:tcBorders>
              <w:top w:val="nil"/>
              <w:left w:val="nil"/>
              <w:bottom w:val="single" w:sz="4" w:space="0" w:color="auto"/>
              <w:right w:val="single" w:sz="4" w:space="0" w:color="auto"/>
            </w:tcBorders>
            <w:shd w:val="clear" w:color="auto" w:fill="auto"/>
            <w:noWrap/>
            <w:vAlign w:val="center"/>
            <w:hideMark/>
          </w:tcPr>
          <w:p w14:paraId="1022E44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0.9482 </w:t>
            </w:r>
          </w:p>
        </w:tc>
        <w:tc>
          <w:tcPr>
            <w:tcW w:w="940" w:type="dxa"/>
            <w:tcBorders>
              <w:top w:val="nil"/>
              <w:left w:val="nil"/>
              <w:bottom w:val="single" w:sz="4" w:space="0" w:color="auto"/>
              <w:right w:val="single" w:sz="4" w:space="0" w:color="auto"/>
            </w:tcBorders>
            <w:shd w:val="clear" w:color="auto" w:fill="auto"/>
            <w:noWrap/>
            <w:vAlign w:val="center"/>
            <w:hideMark/>
          </w:tcPr>
          <w:p w14:paraId="259D6F4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0.8496 </w:t>
            </w:r>
          </w:p>
        </w:tc>
        <w:tc>
          <w:tcPr>
            <w:tcW w:w="940" w:type="dxa"/>
            <w:tcBorders>
              <w:top w:val="nil"/>
              <w:left w:val="nil"/>
              <w:bottom w:val="single" w:sz="4" w:space="0" w:color="auto"/>
              <w:right w:val="single" w:sz="4" w:space="0" w:color="auto"/>
            </w:tcBorders>
            <w:shd w:val="clear" w:color="auto" w:fill="auto"/>
            <w:noWrap/>
            <w:vAlign w:val="center"/>
            <w:hideMark/>
          </w:tcPr>
          <w:p w14:paraId="23C2188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0.7703 </w:t>
            </w:r>
          </w:p>
        </w:tc>
        <w:tc>
          <w:tcPr>
            <w:tcW w:w="940" w:type="dxa"/>
            <w:tcBorders>
              <w:top w:val="nil"/>
              <w:left w:val="nil"/>
              <w:bottom w:val="single" w:sz="4" w:space="0" w:color="auto"/>
              <w:right w:val="single" w:sz="4" w:space="0" w:color="auto"/>
            </w:tcBorders>
            <w:shd w:val="clear" w:color="000000" w:fill="E6B8B7"/>
            <w:noWrap/>
            <w:vAlign w:val="center"/>
            <w:hideMark/>
          </w:tcPr>
          <w:p w14:paraId="68340646"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6.8 </w:t>
            </w:r>
          </w:p>
        </w:tc>
        <w:tc>
          <w:tcPr>
            <w:tcW w:w="940" w:type="dxa"/>
            <w:tcBorders>
              <w:top w:val="nil"/>
              <w:left w:val="nil"/>
              <w:bottom w:val="single" w:sz="4" w:space="0" w:color="auto"/>
              <w:right w:val="single" w:sz="4" w:space="0" w:color="auto"/>
            </w:tcBorders>
            <w:shd w:val="clear" w:color="auto" w:fill="auto"/>
            <w:noWrap/>
            <w:vAlign w:val="center"/>
            <w:hideMark/>
          </w:tcPr>
          <w:p w14:paraId="2EE1A8B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0.8745 </w:t>
            </w:r>
          </w:p>
        </w:tc>
        <w:tc>
          <w:tcPr>
            <w:tcW w:w="940" w:type="dxa"/>
            <w:tcBorders>
              <w:top w:val="nil"/>
              <w:left w:val="nil"/>
              <w:bottom w:val="single" w:sz="4" w:space="0" w:color="auto"/>
              <w:right w:val="single" w:sz="4" w:space="0" w:color="auto"/>
            </w:tcBorders>
            <w:shd w:val="clear" w:color="auto" w:fill="auto"/>
            <w:noWrap/>
            <w:vAlign w:val="center"/>
            <w:hideMark/>
          </w:tcPr>
          <w:p w14:paraId="22121C9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0.7757 </w:t>
            </w:r>
          </w:p>
        </w:tc>
        <w:tc>
          <w:tcPr>
            <w:tcW w:w="940" w:type="dxa"/>
            <w:tcBorders>
              <w:top w:val="nil"/>
              <w:left w:val="nil"/>
              <w:bottom w:val="single" w:sz="4" w:space="0" w:color="auto"/>
              <w:right w:val="single" w:sz="4" w:space="0" w:color="auto"/>
            </w:tcBorders>
            <w:shd w:val="clear" w:color="auto" w:fill="auto"/>
            <w:noWrap/>
            <w:vAlign w:val="center"/>
            <w:hideMark/>
          </w:tcPr>
          <w:p w14:paraId="2BDEC75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0.6831 </w:t>
            </w:r>
          </w:p>
        </w:tc>
        <w:tc>
          <w:tcPr>
            <w:tcW w:w="940" w:type="dxa"/>
            <w:tcBorders>
              <w:top w:val="nil"/>
              <w:left w:val="nil"/>
              <w:bottom w:val="single" w:sz="4" w:space="0" w:color="auto"/>
              <w:right w:val="single" w:sz="4" w:space="0" w:color="auto"/>
            </w:tcBorders>
            <w:shd w:val="clear" w:color="000000" w:fill="E6B8B7"/>
            <w:vAlign w:val="center"/>
            <w:hideMark/>
          </w:tcPr>
          <w:p w14:paraId="1C91EDDC"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9.3 </w:t>
            </w:r>
          </w:p>
        </w:tc>
        <w:tc>
          <w:tcPr>
            <w:tcW w:w="940" w:type="dxa"/>
            <w:tcBorders>
              <w:top w:val="nil"/>
              <w:left w:val="nil"/>
              <w:bottom w:val="single" w:sz="4" w:space="0" w:color="auto"/>
              <w:right w:val="single" w:sz="4" w:space="0" w:color="auto"/>
            </w:tcBorders>
            <w:shd w:val="clear" w:color="auto" w:fill="auto"/>
            <w:noWrap/>
            <w:vAlign w:val="center"/>
            <w:hideMark/>
          </w:tcPr>
          <w:p w14:paraId="255ECC9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0.8376 </w:t>
            </w:r>
          </w:p>
        </w:tc>
        <w:tc>
          <w:tcPr>
            <w:tcW w:w="940" w:type="dxa"/>
            <w:tcBorders>
              <w:top w:val="nil"/>
              <w:left w:val="nil"/>
              <w:bottom w:val="single" w:sz="4" w:space="0" w:color="auto"/>
              <w:right w:val="single" w:sz="4" w:space="0" w:color="auto"/>
            </w:tcBorders>
            <w:shd w:val="clear" w:color="auto" w:fill="auto"/>
            <w:noWrap/>
            <w:vAlign w:val="center"/>
            <w:hideMark/>
          </w:tcPr>
          <w:p w14:paraId="40DAA0A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0.7363 </w:t>
            </w:r>
          </w:p>
        </w:tc>
        <w:tc>
          <w:tcPr>
            <w:tcW w:w="940" w:type="dxa"/>
            <w:tcBorders>
              <w:top w:val="nil"/>
              <w:left w:val="nil"/>
              <w:bottom w:val="single" w:sz="4" w:space="0" w:color="auto"/>
              <w:right w:val="single" w:sz="4" w:space="0" w:color="auto"/>
            </w:tcBorders>
            <w:shd w:val="clear" w:color="auto" w:fill="auto"/>
            <w:noWrap/>
            <w:vAlign w:val="center"/>
            <w:hideMark/>
          </w:tcPr>
          <w:p w14:paraId="1E51250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0.6392 </w:t>
            </w:r>
          </w:p>
        </w:tc>
      </w:tr>
      <w:tr w:rsidR="000C70FF" w:rsidRPr="00584EB6" w14:paraId="34105184"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5F36331"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1.9 </w:t>
            </w:r>
          </w:p>
        </w:tc>
        <w:tc>
          <w:tcPr>
            <w:tcW w:w="940" w:type="dxa"/>
            <w:tcBorders>
              <w:top w:val="nil"/>
              <w:left w:val="nil"/>
              <w:bottom w:val="single" w:sz="4" w:space="0" w:color="auto"/>
              <w:right w:val="single" w:sz="4" w:space="0" w:color="auto"/>
            </w:tcBorders>
            <w:shd w:val="clear" w:color="auto" w:fill="auto"/>
            <w:noWrap/>
            <w:vAlign w:val="center"/>
            <w:hideMark/>
          </w:tcPr>
          <w:p w14:paraId="45312C3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1.1891 </w:t>
            </w:r>
          </w:p>
        </w:tc>
        <w:tc>
          <w:tcPr>
            <w:tcW w:w="940" w:type="dxa"/>
            <w:tcBorders>
              <w:top w:val="nil"/>
              <w:left w:val="nil"/>
              <w:bottom w:val="single" w:sz="4" w:space="0" w:color="auto"/>
              <w:right w:val="single" w:sz="4" w:space="0" w:color="auto"/>
            </w:tcBorders>
            <w:shd w:val="clear" w:color="auto" w:fill="auto"/>
            <w:noWrap/>
            <w:vAlign w:val="center"/>
            <w:hideMark/>
          </w:tcPr>
          <w:p w14:paraId="0A7AE70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1.0901 </w:t>
            </w:r>
          </w:p>
        </w:tc>
        <w:tc>
          <w:tcPr>
            <w:tcW w:w="940" w:type="dxa"/>
            <w:tcBorders>
              <w:top w:val="nil"/>
              <w:left w:val="nil"/>
              <w:bottom w:val="single" w:sz="4" w:space="0" w:color="auto"/>
              <w:right w:val="single" w:sz="4" w:space="0" w:color="auto"/>
            </w:tcBorders>
            <w:shd w:val="clear" w:color="auto" w:fill="auto"/>
            <w:noWrap/>
            <w:vAlign w:val="center"/>
            <w:hideMark/>
          </w:tcPr>
          <w:p w14:paraId="27FE646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1.0167 </w:t>
            </w:r>
          </w:p>
        </w:tc>
        <w:tc>
          <w:tcPr>
            <w:tcW w:w="940" w:type="dxa"/>
            <w:tcBorders>
              <w:top w:val="nil"/>
              <w:left w:val="nil"/>
              <w:bottom w:val="single" w:sz="4" w:space="0" w:color="auto"/>
              <w:right w:val="single" w:sz="4" w:space="0" w:color="auto"/>
            </w:tcBorders>
            <w:shd w:val="clear" w:color="000000" w:fill="E6B8B7"/>
            <w:vAlign w:val="center"/>
            <w:hideMark/>
          </w:tcPr>
          <w:p w14:paraId="655E3089"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4.4 </w:t>
            </w:r>
          </w:p>
        </w:tc>
        <w:tc>
          <w:tcPr>
            <w:tcW w:w="940" w:type="dxa"/>
            <w:tcBorders>
              <w:top w:val="nil"/>
              <w:left w:val="nil"/>
              <w:bottom w:val="single" w:sz="4" w:space="0" w:color="auto"/>
              <w:right w:val="single" w:sz="4" w:space="0" w:color="auto"/>
            </w:tcBorders>
            <w:shd w:val="clear" w:color="auto" w:fill="auto"/>
            <w:noWrap/>
            <w:vAlign w:val="center"/>
            <w:hideMark/>
          </w:tcPr>
          <w:p w14:paraId="6978DA4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0.9432 </w:t>
            </w:r>
          </w:p>
        </w:tc>
        <w:tc>
          <w:tcPr>
            <w:tcW w:w="940" w:type="dxa"/>
            <w:tcBorders>
              <w:top w:val="nil"/>
              <w:left w:val="nil"/>
              <w:bottom w:val="single" w:sz="4" w:space="0" w:color="auto"/>
              <w:right w:val="single" w:sz="4" w:space="0" w:color="auto"/>
            </w:tcBorders>
            <w:shd w:val="clear" w:color="auto" w:fill="auto"/>
            <w:noWrap/>
            <w:vAlign w:val="center"/>
            <w:hideMark/>
          </w:tcPr>
          <w:p w14:paraId="5C5B905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0.8448 </w:t>
            </w:r>
          </w:p>
        </w:tc>
        <w:tc>
          <w:tcPr>
            <w:tcW w:w="940" w:type="dxa"/>
            <w:tcBorders>
              <w:top w:val="nil"/>
              <w:left w:val="nil"/>
              <w:bottom w:val="single" w:sz="4" w:space="0" w:color="auto"/>
              <w:right w:val="single" w:sz="4" w:space="0" w:color="auto"/>
            </w:tcBorders>
            <w:shd w:val="clear" w:color="auto" w:fill="auto"/>
            <w:noWrap/>
            <w:vAlign w:val="center"/>
            <w:hideMark/>
          </w:tcPr>
          <w:p w14:paraId="3FBD47A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0.7649 </w:t>
            </w:r>
          </w:p>
        </w:tc>
        <w:tc>
          <w:tcPr>
            <w:tcW w:w="940" w:type="dxa"/>
            <w:tcBorders>
              <w:top w:val="nil"/>
              <w:left w:val="nil"/>
              <w:bottom w:val="single" w:sz="4" w:space="0" w:color="auto"/>
              <w:right w:val="single" w:sz="4" w:space="0" w:color="auto"/>
            </w:tcBorders>
            <w:shd w:val="clear" w:color="000000" w:fill="E6B8B7"/>
            <w:noWrap/>
            <w:vAlign w:val="center"/>
            <w:hideMark/>
          </w:tcPr>
          <w:p w14:paraId="5B738B2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6.9 </w:t>
            </w:r>
          </w:p>
        </w:tc>
        <w:tc>
          <w:tcPr>
            <w:tcW w:w="940" w:type="dxa"/>
            <w:tcBorders>
              <w:top w:val="nil"/>
              <w:left w:val="nil"/>
              <w:bottom w:val="single" w:sz="4" w:space="0" w:color="auto"/>
              <w:right w:val="single" w:sz="4" w:space="0" w:color="auto"/>
            </w:tcBorders>
            <w:shd w:val="clear" w:color="auto" w:fill="auto"/>
            <w:noWrap/>
            <w:vAlign w:val="center"/>
            <w:hideMark/>
          </w:tcPr>
          <w:p w14:paraId="7AAEC9D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0.8728 </w:t>
            </w:r>
          </w:p>
        </w:tc>
        <w:tc>
          <w:tcPr>
            <w:tcW w:w="940" w:type="dxa"/>
            <w:tcBorders>
              <w:top w:val="nil"/>
              <w:left w:val="nil"/>
              <w:bottom w:val="single" w:sz="4" w:space="0" w:color="auto"/>
              <w:right w:val="single" w:sz="4" w:space="0" w:color="auto"/>
            </w:tcBorders>
            <w:shd w:val="clear" w:color="auto" w:fill="auto"/>
            <w:noWrap/>
            <w:vAlign w:val="center"/>
            <w:hideMark/>
          </w:tcPr>
          <w:p w14:paraId="1E82E39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0.7739 </w:t>
            </w:r>
          </w:p>
        </w:tc>
        <w:tc>
          <w:tcPr>
            <w:tcW w:w="940" w:type="dxa"/>
            <w:tcBorders>
              <w:top w:val="nil"/>
              <w:left w:val="nil"/>
              <w:bottom w:val="single" w:sz="4" w:space="0" w:color="auto"/>
              <w:right w:val="single" w:sz="4" w:space="0" w:color="auto"/>
            </w:tcBorders>
            <w:shd w:val="clear" w:color="auto" w:fill="auto"/>
            <w:noWrap/>
            <w:vAlign w:val="center"/>
            <w:hideMark/>
          </w:tcPr>
          <w:p w14:paraId="1E61528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0.6809 </w:t>
            </w:r>
          </w:p>
        </w:tc>
        <w:tc>
          <w:tcPr>
            <w:tcW w:w="940" w:type="dxa"/>
            <w:tcBorders>
              <w:top w:val="nil"/>
              <w:left w:val="nil"/>
              <w:bottom w:val="single" w:sz="4" w:space="0" w:color="auto"/>
              <w:right w:val="single" w:sz="4" w:space="0" w:color="auto"/>
            </w:tcBorders>
            <w:shd w:val="clear" w:color="000000" w:fill="E6B8B7"/>
            <w:vAlign w:val="center"/>
            <w:hideMark/>
          </w:tcPr>
          <w:p w14:paraId="16A89E07"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9.4 </w:t>
            </w:r>
          </w:p>
        </w:tc>
        <w:tc>
          <w:tcPr>
            <w:tcW w:w="940" w:type="dxa"/>
            <w:tcBorders>
              <w:top w:val="nil"/>
              <w:left w:val="nil"/>
              <w:bottom w:val="single" w:sz="4" w:space="0" w:color="auto"/>
              <w:right w:val="single" w:sz="4" w:space="0" w:color="auto"/>
            </w:tcBorders>
            <w:shd w:val="clear" w:color="auto" w:fill="auto"/>
            <w:noWrap/>
            <w:vAlign w:val="center"/>
            <w:hideMark/>
          </w:tcPr>
          <w:p w14:paraId="5DC32BD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0.8363 </w:t>
            </w:r>
          </w:p>
        </w:tc>
        <w:tc>
          <w:tcPr>
            <w:tcW w:w="940" w:type="dxa"/>
            <w:tcBorders>
              <w:top w:val="nil"/>
              <w:left w:val="nil"/>
              <w:bottom w:val="single" w:sz="4" w:space="0" w:color="auto"/>
              <w:right w:val="single" w:sz="4" w:space="0" w:color="auto"/>
            </w:tcBorders>
            <w:shd w:val="clear" w:color="auto" w:fill="auto"/>
            <w:noWrap/>
            <w:vAlign w:val="center"/>
            <w:hideMark/>
          </w:tcPr>
          <w:p w14:paraId="2376956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0.7349 </w:t>
            </w:r>
          </w:p>
        </w:tc>
        <w:tc>
          <w:tcPr>
            <w:tcW w:w="940" w:type="dxa"/>
            <w:tcBorders>
              <w:top w:val="nil"/>
              <w:left w:val="nil"/>
              <w:bottom w:val="single" w:sz="4" w:space="0" w:color="auto"/>
              <w:right w:val="single" w:sz="4" w:space="0" w:color="auto"/>
            </w:tcBorders>
            <w:shd w:val="clear" w:color="auto" w:fill="auto"/>
            <w:noWrap/>
            <w:vAlign w:val="center"/>
            <w:hideMark/>
          </w:tcPr>
          <w:p w14:paraId="174E5B4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0.6378 </w:t>
            </w:r>
          </w:p>
        </w:tc>
      </w:tr>
      <w:tr w:rsidR="000C70FF" w:rsidRPr="00584EB6" w14:paraId="5C29D5D0"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7113FA8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2.0 </w:t>
            </w:r>
          </w:p>
        </w:tc>
        <w:tc>
          <w:tcPr>
            <w:tcW w:w="940" w:type="dxa"/>
            <w:tcBorders>
              <w:top w:val="nil"/>
              <w:left w:val="nil"/>
              <w:bottom w:val="single" w:sz="4" w:space="0" w:color="auto"/>
              <w:right w:val="single" w:sz="4" w:space="0" w:color="auto"/>
            </w:tcBorders>
            <w:shd w:val="clear" w:color="auto" w:fill="auto"/>
            <w:noWrap/>
            <w:vAlign w:val="center"/>
            <w:hideMark/>
          </w:tcPr>
          <w:p w14:paraId="2680365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1.1729 </w:t>
            </w:r>
          </w:p>
        </w:tc>
        <w:tc>
          <w:tcPr>
            <w:tcW w:w="940" w:type="dxa"/>
            <w:tcBorders>
              <w:top w:val="nil"/>
              <w:left w:val="nil"/>
              <w:bottom w:val="single" w:sz="4" w:space="0" w:color="auto"/>
              <w:right w:val="single" w:sz="4" w:space="0" w:color="auto"/>
            </w:tcBorders>
            <w:shd w:val="clear" w:color="auto" w:fill="auto"/>
            <w:noWrap/>
            <w:vAlign w:val="center"/>
            <w:hideMark/>
          </w:tcPr>
          <w:p w14:paraId="1FB15AC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1.0733 </w:t>
            </w:r>
          </w:p>
        </w:tc>
        <w:tc>
          <w:tcPr>
            <w:tcW w:w="940" w:type="dxa"/>
            <w:tcBorders>
              <w:top w:val="nil"/>
              <w:left w:val="nil"/>
              <w:bottom w:val="single" w:sz="4" w:space="0" w:color="auto"/>
              <w:right w:val="single" w:sz="4" w:space="0" w:color="auto"/>
            </w:tcBorders>
            <w:shd w:val="clear" w:color="auto" w:fill="auto"/>
            <w:noWrap/>
            <w:vAlign w:val="center"/>
            <w:hideMark/>
          </w:tcPr>
          <w:p w14:paraId="71F486D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000000" w:fill="E6B8B7"/>
            <w:vAlign w:val="center"/>
            <w:hideMark/>
          </w:tcPr>
          <w:p w14:paraId="4CE4E9C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4.5 </w:t>
            </w:r>
          </w:p>
        </w:tc>
        <w:tc>
          <w:tcPr>
            <w:tcW w:w="940" w:type="dxa"/>
            <w:tcBorders>
              <w:top w:val="nil"/>
              <w:left w:val="nil"/>
              <w:bottom w:val="single" w:sz="4" w:space="0" w:color="auto"/>
              <w:right w:val="single" w:sz="4" w:space="0" w:color="auto"/>
            </w:tcBorders>
            <w:shd w:val="clear" w:color="auto" w:fill="auto"/>
            <w:noWrap/>
            <w:vAlign w:val="center"/>
            <w:hideMark/>
          </w:tcPr>
          <w:p w14:paraId="04EA2A4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0.9385 </w:t>
            </w:r>
          </w:p>
        </w:tc>
        <w:tc>
          <w:tcPr>
            <w:tcW w:w="940" w:type="dxa"/>
            <w:tcBorders>
              <w:top w:val="nil"/>
              <w:left w:val="nil"/>
              <w:bottom w:val="single" w:sz="4" w:space="0" w:color="auto"/>
              <w:right w:val="single" w:sz="4" w:space="0" w:color="auto"/>
            </w:tcBorders>
            <w:shd w:val="clear" w:color="auto" w:fill="auto"/>
            <w:noWrap/>
            <w:vAlign w:val="center"/>
            <w:hideMark/>
          </w:tcPr>
          <w:p w14:paraId="2664A03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40" w:type="dxa"/>
            <w:tcBorders>
              <w:top w:val="nil"/>
              <w:left w:val="nil"/>
              <w:bottom w:val="single" w:sz="4" w:space="0" w:color="auto"/>
              <w:right w:val="single" w:sz="4" w:space="0" w:color="auto"/>
            </w:tcBorders>
            <w:shd w:val="clear" w:color="auto" w:fill="auto"/>
            <w:noWrap/>
            <w:vAlign w:val="center"/>
            <w:hideMark/>
          </w:tcPr>
          <w:p w14:paraId="7D6411B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0.7597 </w:t>
            </w:r>
          </w:p>
        </w:tc>
        <w:tc>
          <w:tcPr>
            <w:tcW w:w="940" w:type="dxa"/>
            <w:tcBorders>
              <w:top w:val="nil"/>
              <w:left w:val="nil"/>
              <w:bottom w:val="single" w:sz="4" w:space="0" w:color="auto"/>
              <w:right w:val="single" w:sz="4" w:space="0" w:color="auto"/>
            </w:tcBorders>
            <w:shd w:val="clear" w:color="000000" w:fill="E6B8B7"/>
            <w:noWrap/>
            <w:vAlign w:val="center"/>
            <w:hideMark/>
          </w:tcPr>
          <w:p w14:paraId="03084CE3"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7.0 </w:t>
            </w:r>
          </w:p>
        </w:tc>
        <w:tc>
          <w:tcPr>
            <w:tcW w:w="940" w:type="dxa"/>
            <w:tcBorders>
              <w:top w:val="nil"/>
              <w:left w:val="nil"/>
              <w:bottom w:val="single" w:sz="4" w:space="0" w:color="auto"/>
              <w:right w:val="single" w:sz="4" w:space="0" w:color="auto"/>
            </w:tcBorders>
            <w:shd w:val="clear" w:color="auto" w:fill="auto"/>
            <w:noWrap/>
            <w:vAlign w:val="center"/>
            <w:hideMark/>
          </w:tcPr>
          <w:p w14:paraId="707A44F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0.8711 </w:t>
            </w:r>
          </w:p>
        </w:tc>
        <w:tc>
          <w:tcPr>
            <w:tcW w:w="940" w:type="dxa"/>
            <w:tcBorders>
              <w:top w:val="nil"/>
              <w:left w:val="nil"/>
              <w:bottom w:val="single" w:sz="4" w:space="0" w:color="auto"/>
              <w:right w:val="single" w:sz="4" w:space="0" w:color="auto"/>
            </w:tcBorders>
            <w:shd w:val="clear" w:color="auto" w:fill="auto"/>
            <w:noWrap/>
            <w:vAlign w:val="center"/>
            <w:hideMark/>
          </w:tcPr>
          <w:p w14:paraId="1DB4301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0.7721 </w:t>
            </w:r>
          </w:p>
        </w:tc>
        <w:tc>
          <w:tcPr>
            <w:tcW w:w="940" w:type="dxa"/>
            <w:tcBorders>
              <w:top w:val="nil"/>
              <w:left w:val="nil"/>
              <w:bottom w:val="single" w:sz="4" w:space="0" w:color="auto"/>
              <w:right w:val="single" w:sz="4" w:space="0" w:color="auto"/>
            </w:tcBorders>
            <w:shd w:val="clear" w:color="auto" w:fill="auto"/>
            <w:noWrap/>
            <w:vAlign w:val="center"/>
            <w:hideMark/>
          </w:tcPr>
          <w:p w14:paraId="24A5BF0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0.6788 </w:t>
            </w:r>
          </w:p>
        </w:tc>
        <w:tc>
          <w:tcPr>
            <w:tcW w:w="940" w:type="dxa"/>
            <w:tcBorders>
              <w:top w:val="nil"/>
              <w:left w:val="nil"/>
              <w:bottom w:val="single" w:sz="4" w:space="0" w:color="auto"/>
              <w:right w:val="single" w:sz="4" w:space="0" w:color="auto"/>
            </w:tcBorders>
            <w:shd w:val="clear" w:color="000000" w:fill="E6B8B7"/>
            <w:vAlign w:val="center"/>
            <w:hideMark/>
          </w:tcPr>
          <w:p w14:paraId="059ED6E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9.5 </w:t>
            </w:r>
          </w:p>
        </w:tc>
        <w:tc>
          <w:tcPr>
            <w:tcW w:w="940" w:type="dxa"/>
            <w:tcBorders>
              <w:top w:val="nil"/>
              <w:left w:val="nil"/>
              <w:bottom w:val="single" w:sz="4" w:space="0" w:color="auto"/>
              <w:right w:val="single" w:sz="4" w:space="0" w:color="auto"/>
            </w:tcBorders>
            <w:shd w:val="clear" w:color="auto" w:fill="auto"/>
            <w:noWrap/>
            <w:vAlign w:val="center"/>
            <w:hideMark/>
          </w:tcPr>
          <w:p w14:paraId="39A7F1F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0.8350 </w:t>
            </w:r>
          </w:p>
        </w:tc>
        <w:tc>
          <w:tcPr>
            <w:tcW w:w="940" w:type="dxa"/>
            <w:tcBorders>
              <w:top w:val="nil"/>
              <w:left w:val="nil"/>
              <w:bottom w:val="single" w:sz="4" w:space="0" w:color="auto"/>
              <w:right w:val="single" w:sz="4" w:space="0" w:color="auto"/>
            </w:tcBorders>
            <w:shd w:val="clear" w:color="auto" w:fill="auto"/>
            <w:noWrap/>
            <w:vAlign w:val="center"/>
            <w:hideMark/>
          </w:tcPr>
          <w:p w14:paraId="7AFAE04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0.7335 </w:t>
            </w:r>
          </w:p>
        </w:tc>
        <w:tc>
          <w:tcPr>
            <w:tcW w:w="940" w:type="dxa"/>
            <w:tcBorders>
              <w:top w:val="nil"/>
              <w:left w:val="nil"/>
              <w:bottom w:val="single" w:sz="4" w:space="0" w:color="auto"/>
              <w:right w:val="single" w:sz="4" w:space="0" w:color="auto"/>
            </w:tcBorders>
            <w:shd w:val="clear" w:color="auto" w:fill="auto"/>
            <w:noWrap/>
            <w:vAlign w:val="center"/>
            <w:hideMark/>
          </w:tcPr>
          <w:p w14:paraId="057B098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0.6364 </w:t>
            </w:r>
          </w:p>
        </w:tc>
      </w:tr>
      <w:tr w:rsidR="000C70FF" w:rsidRPr="00584EB6" w14:paraId="496ADB22"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4BFC6EDE"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2.1 </w:t>
            </w:r>
          </w:p>
        </w:tc>
        <w:tc>
          <w:tcPr>
            <w:tcW w:w="940" w:type="dxa"/>
            <w:tcBorders>
              <w:top w:val="nil"/>
              <w:left w:val="nil"/>
              <w:bottom w:val="single" w:sz="4" w:space="0" w:color="auto"/>
              <w:right w:val="single" w:sz="4" w:space="0" w:color="auto"/>
            </w:tcBorders>
            <w:shd w:val="clear" w:color="auto" w:fill="auto"/>
            <w:noWrap/>
            <w:vAlign w:val="center"/>
            <w:hideMark/>
          </w:tcPr>
          <w:p w14:paraId="2E36207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1.1574 </w:t>
            </w:r>
          </w:p>
        </w:tc>
        <w:tc>
          <w:tcPr>
            <w:tcW w:w="940" w:type="dxa"/>
            <w:tcBorders>
              <w:top w:val="nil"/>
              <w:left w:val="nil"/>
              <w:bottom w:val="single" w:sz="4" w:space="0" w:color="auto"/>
              <w:right w:val="single" w:sz="4" w:space="0" w:color="auto"/>
            </w:tcBorders>
            <w:shd w:val="clear" w:color="auto" w:fill="auto"/>
            <w:noWrap/>
            <w:vAlign w:val="center"/>
            <w:hideMark/>
          </w:tcPr>
          <w:p w14:paraId="6D88BC6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1.0572 </w:t>
            </w:r>
          </w:p>
        </w:tc>
        <w:tc>
          <w:tcPr>
            <w:tcW w:w="940" w:type="dxa"/>
            <w:tcBorders>
              <w:top w:val="nil"/>
              <w:left w:val="nil"/>
              <w:bottom w:val="single" w:sz="4" w:space="0" w:color="auto"/>
              <w:right w:val="single" w:sz="4" w:space="0" w:color="auto"/>
            </w:tcBorders>
            <w:shd w:val="clear" w:color="auto" w:fill="auto"/>
            <w:noWrap/>
            <w:vAlign w:val="center"/>
            <w:hideMark/>
          </w:tcPr>
          <w:p w14:paraId="31B01A8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0.9841 </w:t>
            </w:r>
          </w:p>
        </w:tc>
        <w:tc>
          <w:tcPr>
            <w:tcW w:w="940" w:type="dxa"/>
            <w:tcBorders>
              <w:top w:val="nil"/>
              <w:left w:val="nil"/>
              <w:bottom w:val="single" w:sz="4" w:space="0" w:color="auto"/>
              <w:right w:val="single" w:sz="4" w:space="0" w:color="auto"/>
            </w:tcBorders>
            <w:shd w:val="clear" w:color="000000" w:fill="E6B8B7"/>
            <w:vAlign w:val="center"/>
            <w:hideMark/>
          </w:tcPr>
          <w:p w14:paraId="4BF66A8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4.6 </w:t>
            </w:r>
          </w:p>
        </w:tc>
        <w:tc>
          <w:tcPr>
            <w:tcW w:w="940" w:type="dxa"/>
            <w:tcBorders>
              <w:top w:val="nil"/>
              <w:left w:val="nil"/>
              <w:bottom w:val="single" w:sz="4" w:space="0" w:color="auto"/>
              <w:right w:val="single" w:sz="4" w:space="0" w:color="auto"/>
            </w:tcBorders>
            <w:shd w:val="clear" w:color="auto" w:fill="auto"/>
            <w:noWrap/>
            <w:vAlign w:val="center"/>
            <w:hideMark/>
          </w:tcPr>
          <w:p w14:paraId="4762CEA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0.9341 </w:t>
            </w:r>
          </w:p>
        </w:tc>
        <w:tc>
          <w:tcPr>
            <w:tcW w:w="940" w:type="dxa"/>
            <w:tcBorders>
              <w:top w:val="nil"/>
              <w:left w:val="nil"/>
              <w:bottom w:val="single" w:sz="4" w:space="0" w:color="auto"/>
              <w:right w:val="single" w:sz="4" w:space="0" w:color="auto"/>
            </w:tcBorders>
            <w:shd w:val="clear" w:color="auto" w:fill="auto"/>
            <w:noWrap/>
            <w:vAlign w:val="center"/>
            <w:hideMark/>
          </w:tcPr>
          <w:p w14:paraId="349EF3A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0.8358 </w:t>
            </w:r>
          </w:p>
        </w:tc>
        <w:tc>
          <w:tcPr>
            <w:tcW w:w="940" w:type="dxa"/>
            <w:tcBorders>
              <w:top w:val="nil"/>
              <w:left w:val="nil"/>
              <w:bottom w:val="single" w:sz="4" w:space="0" w:color="auto"/>
              <w:right w:val="single" w:sz="4" w:space="0" w:color="auto"/>
            </w:tcBorders>
            <w:shd w:val="clear" w:color="auto" w:fill="auto"/>
            <w:noWrap/>
            <w:vAlign w:val="center"/>
            <w:hideMark/>
          </w:tcPr>
          <w:p w14:paraId="50F6015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0.7547 </w:t>
            </w:r>
          </w:p>
        </w:tc>
        <w:tc>
          <w:tcPr>
            <w:tcW w:w="940" w:type="dxa"/>
            <w:tcBorders>
              <w:top w:val="nil"/>
              <w:left w:val="nil"/>
              <w:bottom w:val="single" w:sz="4" w:space="0" w:color="auto"/>
              <w:right w:val="single" w:sz="4" w:space="0" w:color="auto"/>
            </w:tcBorders>
            <w:shd w:val="clear" w:color="000000" w:fill="E6B8B7"/>
            <w:noWrap/>
            <w:vAlign w:val="center"/>
            <w:hideMark/>
          </w:tcPr>
          <w:p w14:paraId="089F59B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7.1 </w:t>
            </w:r>
          </w:p>
        </w:tc>
        <w:tc>
          <w:tcPr>
            <w:tcW w:w="940" w:type="dxa"/>
            <w:tcBorders>
              <w:top w:val="nil"/>
              <w:left w:val="nil"/>
              <w:bottom w:val="single" w:sz="4" w:space="0" w:color="auto"/>
              <w:right w:val="single" w:sz="4" w:space="0" w:color="auto"/>
            </w:tcBorders>
            <w:shd w:val="clear" w:color="auto" w:fill="auto"/>
            <w:noWrap/>
            <w:vAlign w:val="center"/>
            <w:hideMark/>
          </w:tcPr>
          <w:p w14:paraId="6442019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0.8694 </w:t>
            </w:r>
          </w:p>
        </w:tc>
        <w:tc>
          <w:tcPr>
            <w:tcW w:w="940" w:type="dxa"/>
            <w:tcBorders>
              <w:top w:val="nil"/>
              <w:left w:val="nil"/>
              <w:bottom w:val="single" w:sz="4" w:space="0" w:color="auto"/>
              <w:right w:val="single" w:sz="4" w:space="0" w:color="auto"/>
            </w:tcBorders>
            <w:shd w:val="clear" w:color="auto" w:fill="auto"/>
            <w:noWrap/>
            <w:vAlign w:val="center"/>
            <w:hideMark/>
          </w:tcPr>
          <w:p w14:paraId="534419E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0.7704 </w:t>
            </w:r>
          </w:p>
        </w:tc>
        <w:tc>
          <w:tcPr>
            <w:tcW w:w="940" w:type="dxa"/>
            <w:tcBorders>
              <w:top w:val="nil"/>
              <w:left w:val="nil"/>
              <w:bottom w:val="single" w:sz="4" w:space="0" w:color="auto"/>
              <w:right w:val="single" w:sz="4" w:space="0" w:color="auto"/>
            </w:tcBorders>
            <w:shd w:val="clear" w:color="auto" w:fill="auto"/>
            <w:noWrap/>
            <w:vAlign w:val="center"/>
            <w:hideMark/>
          </w:tcPr>
          <w:p w14:paraId="76A3A70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0.6767 </w:t>
            </w:r>
          </w:p>
        </w:tc>
        <w:tc>
          <w:tcPr>
            <w:tcW w:w="940" w:type="dxa"/>
            <w:tcBorders>
              <w:top w:val="nil"/>
              <w:left w:val="nil"/>
              <w:bottom w:val="single" w:sz="4" w:space="0" w:color="auto"/>
              <w:right w:val="single" w:sz="4" w:space="0" w:color="auto"/>
            </w:tcBorders>
            <w:shd w:val="clear" w:color="000000" w:fill="E6B8B7"/>
            <w:vAlign w:val="center"/>
            <w:hideMark/>
          </w:tcPr>
          <w:p w14:paraId="7F4AF8F9"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9.6 </w:t>
            </w:r>
          </w:p>
        </w:tc>
        <w:tc>
          <w:tcPr>
            <w:tcW w:w="940" w:type="dxa"/>
            <w:tcBorders>
              <w:top w:val="nil"/>
              <w:left w:val="nil"/>
              <w:bottom w:val="single" w:sz="4" w:space="0" w:color="auto"/>
              <w:right w:val="single" w:sz="4" w:space="0" w:color="auto"/>
            </w:tcBorders>
            <w:shd w:val="clear" w:color="auto" w:fill="auto"/>
            <w:noWrap/>
            <w:vAlign w:val="center"/>
            <w:hideMark/>
          </w:tcPr>
          <w:p w14:paraId="7A3E756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0.8338 </w:t>
            </w:r>
          </w:p>
        </w:tc>
        <w:tc>
          <w:tcPr>
            <w:tcW w:w="940" w:type="dxa"/>
            <w:tcBorders>
              <w:top w:val="nil"/>
              <w:left w:val="nil"/>
              <w:bottom w:val="single" w:sz="4" w:space="0" w:color="auto"/>
              <w:right w:val="single" w:sz="4" w:space="0" w:color="auto"/>
            </w:tcBorders>
            <w:shd w:val="clear" w:color="auto" w:fill="auto"/>
            <w:noWrap/>
            <w:vAlign w:val="center"/>
            <w:hideMark/>
          </w:tcPr>
          <w:p w14:paraId="492A972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0.7321 </w:t>
            </w:r>
          </w:p>
        </w:tc>
        <w:tc>
          <w:tcPr>
            <w:tcW w:w="940" w:type="dxa"/>
            <w:tcBorders>
              <w:top w:val="nil"/>
              <w:left w:val="nil"/>
              <w:bottom w:val="single" w:sz="4" w:space="0" w:color="auto"/>
              <w:right w:val="single" w:sz="4" w:space="0" w:color="auto"/>
            </w:tcBorders>
            <w:shd w:val="clear" w:color="auto" w:fill="auto"/>
            <w:noWrap/>
            <w:vAlign w:val="center"/>
            <w:hideMark/>
          </w:tcPr>
          <w:p w14:paraId="01F5AFE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0.6350 </w:t>
            </w:r>
          </w:p>
        </w:tc>
      </w:tr>
      <w:tr w:rsidR="000C70FF" w:rsidRPr="00584EB6" w14:paraId="7FAAB62A"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23657E7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2.2 </w:t>
            </w:r>
          </w:p>
        </w:tc>
        <w:tc>
          <w:tcPr>
            <w:tcW w:w="940" w:type="dxa"/>
            <w:tcBorders>
              <w:top w:val="nil"/>
              <w:left w:val="nil"/>
              <w:bottom w:val="single" w:sz="4" w:space="0" w:color="auto"/>
              <w:right w:val="single" w:sz="4" w:space="0" w:color="auto"/>
            </w:tcBorders>
            <w:shd w:val="clear" w:color="auto" w:fill="auto"/>
            <w:noWrap/>
            <w:vAlign w:val="center"/>
            <w:hideMark/>
          </w:tcPr>
          <w:p w14:paraId="07B2A22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1.1426 </w:t>
            </w:r>
          </w:p>
        </w:tc>
        <w:tc>
          <w:tcPr>
            <w:tcW w:w="940" w:type="dxa"/>
            <w:tcBorders>
              <w:top w:val="nil"/>
              <w:left w:val="nil"/>
              <w:bottom w:val="single" w:sz="4" w:space="0" w:color="auto"/>
              <w:right w:val="single" w:sz="4" w:space="0" w:color="auto"/>
            </w:tcBorders>
            <w:shd w:val="clear" w:color="auto" w:fill="auto"/>
            <w:noWrap/>
            <w:vAlign w:val="center"/>
            <w:hideMark/>
          </w:tcPr>
          <w:p w14:paraId="6B02BD9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1.0419 </w:t>
            </w:r>
          </w:p>
        </w:tc>
        <w:tc>
          <w:tcPr>
            <w:tcW w:w="940" w:type="dxa"/>
            <w:tcBorders>
              <w:top w:val="nil"/>
              <w:left w:val="nil"/>
              <w:bottom w:val="single" w:sz="4" w:space="0" w:color="auto"/>
              <w:right w:val="single" w:sz="4" w:space="0" w:color="auto"/>
            </w:tcBorders>
            <w:shd w:val="clear" w:color="auto" w:fill="auto"/>
            <w:noWrap/>
            <w:vAlign w:val="center"/>
            <w:hideMark/>
          </w:tcPr>
          <w:p w14:paraId="632FBEB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0.9689 </w:t>
            </w:r>
          </w:p>
        </w:tc>
        <w:tc>
          <w:tcPr>
            <w:tcW w:w="940" w:type="dxa"/>
            <w:tcBorders>
              <w:top w:val="nil"/>
              <w:left w:val="nil"/>
              <w:bottom w:val="single" w:sz="4" w:space="0" w:color="auto"/>
              <w:right w:val="single" w:sz="4" w:space="0" w:color="auto"/>
            </w:tcBorders>
            <w:shd w:val="clear" w:color="000000" w:fill="E6B8B7"/>
            <w:vAlign w:val="center"/>
            <w:hideMark/>
          </w:tcPr>
          <w:p w14:paraId="39B363BE"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4.7 </w:t>
            </w:r>
          </w:p>
        </w:tc>
        <w:tc>
          <w:tcPr>
            <w:tcW w:w="940" w:type="dxa"/>
            <w:tcBorders>
              <w:top w:val="nil"/>
              <w:left w:val="nil"/>
              <w:bottom w:val="single" w:sz="4" w:space="0" w:color="auto"/>
              <w:right w:val="single" w:sz="4" w:space="0" w:color="auto"/>
            </w:tcBorders>
            <w:shd w:val="clear" w:color="auto" w:fill="auto"/>
            <w:noWrap/>
            <w:vAlign w:val="center"/>
            <w:hideMark/>
          </w:tcPr>
          <w:p w14:paraId="320648E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0.9299 </w:t>
            </w:r>
          </w:p>
        </w:tc>
        <w:tc>
          <w:tcPr>
            <w:tcW w:w="940" w:type="dxa"/>
            <w:tcBorders>
              <w:top w:val="nil"/>
              <w:left w:val="nil"/>
              <w:bottom w:val="single" w:sz="4" w:space="0" w:color="auto"/>
              <w:right w:val="single" w:sz="4" w:space="0" w:color="auto"/>
            </w:tcBorders>
            <w:shd w:val="clear" w:color="auto" w:fill="auto"/>
            <w:noWrap/>
            <w:vAlign w:val="center"/>
            <w:hideMark/>
          </w:tcPr>
          <w:p w14:paraId="362716A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0.8316 </w:t>
            </w:r>
          </w:p>
        </w:tc>
        <w:tc>
          <w:tcPr>
            <w:tcW w:w="940" w:type="dxa"/>
            <w:tcBorders>
              <w:top w:val="nil"/>
              <w:left w:val="nil"/>
              <w:bottom w:val="single" w:sz="4" w:space="0" w:color="auto"/>
              <w:right w:val="single" w:sz="4" w:space="0" w:color="auto"/>
            </w:tcBorders>
            <w:shd w:val="clear" w:color="auto" w:fill="auto"/>
            <w:noWrap/>
            <w:vAlign w:val="center"/>
            <w:hideMark/>
          </w:tcPr>
          <w:p w14:paraId="149C53D1" w14:textId="3541F73B"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0.</w:t>
            </w:r>
            <w:r w:rsidR="000B7D55">
              <w:rPr>
                <w:rFonts w:ascii="微软雅黑" w:eastAsia="微软雅黑" w:hAnsi="微软雅黑" w:cs="宋体" w:hint="eastAsia"/>
                <w:color w:val="000000"/>
                <w:sz w:val="15"/>
                <w:szCs w:val="15"/>
              </w:rPr>
              <w:t>7713</w:t>
            </w:r>
            <w:r w:rsidRPr="00584EB6">
              <w:rPr>
                <w:rFonts w:ascii="微软雅黑" w:eastAsia="微软雅黑" w:hAnsi="微软雅黑" w:cs="宋体" w:hint="eastAsia"/>
                <w:color w:val="000000"/>
                <w:sz w:val="15"/>
                <w:szCs w:val="15"/>
              </w:rPr>
              <w:t xml:space="preserve"> </w:t>
            </w:r>
          </w:p>
        </w:tc>
        <w:tc>
          <w:tcPr>
            <w:tcW w:w="940" w:type="dxa"/>
            <w:tcBorders>
              <w:top w:val="nil"/>
              <w:left w:val="nil"/>
              <w:bottom w:val="single" w:sz="4" w:space="0" w:color="auto"/>
              <w:right w:val="single" w:sz="4" w:space="0" w:color="auto"/>
            </w:tcBorders>
            <w:shd w:val="clear" w:color="000000" w:fill="E6B8B7"/>
            <w:noWrap/>
            <w:vAlign w:val="center"/>
            <w:hideMark/>
          </w:tcPr>
          <w:p w14:paraId="4C484248"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7.2 </w:t>
            </w:r>
          </w:p>
        </w:tc>
        <w:tc>
          <w:tcPr>
            <w:tcW w:w="940" w:type="dxa"/>
            <w:tcBorders>
              <w:top w:val="nil"/>
              <w:left w:val="nil"/>
              <w:bottom w:val="single" w:sz="4" w:space="0" w:color="auto"/>
              <w:right w:val="single" w:sz="4" w:space="0" w:color="auto"/>
            </w:tcBorders>
            <w:shd w:val="clear" w:color="auto" w:fill="auto"/>
            <w:noWrap/>
            <w:vAlign w:val="center"/>
            <w:hideMark/>
          </w:tcPr>
          <w:p w14:paraId="0B23975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0.8677 </w:t>
            </w:r>
          </w:p>
        </w:tc>
        <w:tc>
          <w:tcPr>
            <w:tcW w:w="940" w:type="dxa"/>
            <w:tcBorders>
              <w:top w:val="nil"/>
              <w:left w:val="nil"/>
              <w:bottom w:val="single" w:sz="4" w:space="0" w:color="auto"/>
              <w:right w:val="single" w:sz="4" w:space="0" w:color="auto"/>
            </w:tcBorders>
            <w:shd w:val="clear" w:color="auto" w:fill="auto"/>
            <w:noWrap/>
            <w:vAlign w:val="center"/>
            <w:hideMark/>
          </w:tcPr>
          <w:p w14:paraId="6F713CD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0.7687 </w:t>
            </w:r>
          </w:p>
        </w:tc>
        <w:tc>
          <w:tcPr>
            <w:tcW w:w="940" w:type="dxa"/>
            <w:tcBorders>
              <w:top w:val="nil"/>
              <w:left w:val="nil"/>
              <w:bottom w:val="single" w:sz="4" w:space="0" w:color="auto"/>
              <w:right w:val="single" w:sz="4" w:space="0" w:color="auto"/>
            </w:tcBorders>
            <w:shd w:val="clear" w:color="auto" w:fill="auto"/>
            <w:noWrap/>
            <w:vAlign w:val="center"/>
            <w:hideMark/>
          </w:tcPr>
          <w:p w14:paraId="66370CD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0.6747 </w:t>
            </w:r>
          </w:p>
        </w:tc>
        <w:tc>
          <w:tcPr>
            <w:tcW w:w="940" w:type="dxa"/>
            <w:tcBorders>
              <w:top w:val="nil"/>
              <w:left w:val="nil"/>
              <w:bottom w:val="single" w:sz="4" w:space="0" w:color="auto"/>
              <w:right w:val="single" w:sz="4" w:space="0" w:color="auto"/>
            </w:tcBorders>
            <w:shd w:val="clear" w:color="000000" w:fill="E6B8B7"/>
            <w:vAlign w:val="center"/>
            <w:hideMark/>
          </w:tcPr>
          <w:p w14:paraId="68F3A788"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9.7 </w:t>
            </w:r>
          </w:p>
        </w:tc>
        <w:tc>
          <w:tcPr>
            <w:tcW w:w="940" w:type="dxa"/>
            <w:tcBorders>
              <w:top w:val="nil"/>
              <w:left w:val="nil"/>
              <w:bottom w:val="single" w:sz="4" w:space="0" w:color="auto"/>
              <w:right w:val="single" w:sz="4" w:space="0" w:color="auto"/>
            </w:tcBorders>
            <w:shd w:val="clear" w:color="auto" w:fill="auto"/>
            <w:noWrap/>
            <w:vAlign w:val="center"/>
            <w:hideMark/>
          </w:tcPr>
          <w:p w14:paraId="666F050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0.8326 </w:t>
            </w:r>
          </w:p>
        </w:tc>
        <w:tc>
          <w:tcPr>
            <w:tcW w:w="940" w:type="dxa"/>
            <w:tcBorders>
              <w:top w:val="nil"/>
              <w:left w:val="nil"/>
              <w:bottom w:val="single" w:sz="4" w:space="0" w:color="auto"/>
              <w:right w:val="single" w:sz="4" w:space="0" w:color="auto"/>
            </w:tcBorders>
            <w:shd w:val="clear" w:color="auto" w:fill="auto"/>
            <w:noWrap/>
            <w:vAlign w:val="center"/>
            <w:hideMark/>
          </w:tcPr>
          <w:p w14:paraId="4C213B6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0.7307 </w:t>
            </w:r>
          </w:p>
        </w:tc>
        <w:tc>
          <w:tcPr>
            <w:tcW w:w="940" w:type="dxa"/>
            <w:tcBorders>
              <w:top w:val="nil"/>
              <w:left w:val="nil"/>
              <w:bottom w:val="single" w:sz="4" w:space="0" w:color="auto"/>
              <w:right w:val="single" w:sz="4" w:space="0" w:color="auto"/>
            </w:tcBorders>
            <w:shd w:val="clear" w:color="auto" w:fill="auto"/>
            <w:noWrap/>
            <w:vAlign w:val="center"/>
            <w:hideMark/>
          </w:tcPr>
          <w:p w14:paraId="31F0D86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0.6336 </w:t>
            </w:r>
          </w:p>
        </w:tc>
      </w:tr>
      <w:tr w:rsidR="000C70FF" w:rsidRPr="00584EB6" w14:paraId="3C09FF1F"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531B65CA"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2.3 </w:t>
            </w:r>
          </w:p>
        </w:tc>
        <w:tc>
          <w:tcPr>
            <w:tcW w:w="940" w:type="dxa"/>
            <w:tcBorders>
              <w:top w:val="nil"/>
              <w:left w:val="nil"/>
              <w:bottom w:val="single" w:sz="4" w:space="0" w:color="auto"/>
              <w:right w:val="single" w:sz="4" w:space="0" w:color="auto"/>
            </w:tcBorders>
            <w:shd w:val="clear" w:color="auto" w:fill="auto"/>
            <w:noWrap/>
            <w:vAlign w:val="center"/>
            <w:hideMark/>
          </w:tcPr>
          <w:p w14:paraId="5D1CCC0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1.1285 </w:t>
            </w:r>
          </w:p>
        </w:tc>
        <w:tc>
          <w:tcPr>
            <w:tcW w:w="940" w:type="dxa"/>
            <w:tcBorders>
              <w:top w:val="nil"/>
              <w:left w:val="nil"/>
              <w:bottom w:val="single" w:sz="4" w:space="0" w:color="auto"/>
              <w:right w:val="single" w:sz="4" w:space="0" w:color="auto"/>
            </w:tcBorders>
            <w:shd w:val="clear" w:color="auto" w:fill="auto"/>
            <w:noWrap/>
            <w:vAlign w:val="center"/>
            <w:hideMark/>
          </w:tcPr>
          <w:p w14:paraId="34CBF39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1.0272 </w:t>
            </w:r>
          </w:p>
        </w:tc>
        <w:tc>
          <w:tcPr>
            <w:tcW w:w="940" w:type="dxa"/>
            <w:tcBorders>
              <w:top w:val="nil"/>
              <w:left w:val="nil"/>
              <w:bottom w:val="single" w:sz="4" w:space="0" w:color="auto"/>
              <w:right w:val="single" w:sz="4" w:space="0" w:color="auto"/>
            </w:tcBorders>
            <w:shd w:val="clear" w:color="auto" w:fill="auto"/>
            <w:noWrap/>
            <w:vAlign w:val="center"/>
            <w:hideMark/>
          </w:tcPr>
          <w:p w14:paraId="0F4DF4C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0.9544 </w:t>
            </w:r>
          </w:p>
        </w:tc>
        <w:tc>
          <w:tcPr>
            <w:tcW w:w="940" w:type="dxa"/>
            <w:tcBorders>
              <w:top w:val="nil"/>
              <w:left w:val="nil"/>
              <w:bottom w:val="single" w:sz="4" w:space="0" w:color="auto"/>
              <w:right w:val="single" w:sz="4" w:space="0" w:color="auto"/>
            </w:tcBorders>
            <w:shd w:val="clear" w:color="000000" w:fill="E6B8B7"/>
            <w:vAlign w:val="center"/>
            <w:hideMark/>
          </w:tcPr>
          <w:p w14:paraId="3CB3495C"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4.8 </w:t>
            </w:r>
          </w:p>
        </w:tc>
        <w:tc>
          <w:tcPr>
            <w:tcW w:w="940" w:type="dxa"/>
            <w:tcBorders>
              <w:top w:val="nil"/>
              <w:left w:val="nil"/>
              <w:bottom w:val="single" w:sz="4" w:space="0" w:color="auto"/>
              <w:right w:val="single" w:sz="4" w:space="0" w:color="auto"/>
            </w:tcBorders>
            <w:shd w:val="clear" w:color="auto" w:fill="auto"/>
            <w:noWrap/>
            <w:vAlign w:val="center"/>
            <w:hideMark/>
          </w:tcPr>
          <w:p w14:paraId="45121F9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0.9259 </w:t>
            </w:r>
          </w:p>
        </w:tc>
        <w:tc>
          <w:tcPr>
            <w:tcW w:w="940" w:type="dxa"/>
            <w:tcBorders>
              <w:top w:val="nil"/>
              <w:left w:val="nil"/>
              <w:bottom w:val="single" w:sz="4" w:space="0" w:color="auto"/>
              <w:right w:val="single" w:sz="4" w:space="0" w:color="auto"/>
            </w:tcBorders>
            <w:shd w:val="clear" w:color="auto" w:fill="auto"/>
            <w:noWrap/>
            <w:vAlign w:val="center"/>
            <w:hideMark/>
          </w:tcPr>
          <w:p w14:paraId="6351F30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0.8277 </w:t>
            </w:r>
          </w:p>
        </w:tc>
        <w:tc>
          <w:tcPr>
            <w:tcW w:w="940" w:type="dxa"/>
            <w:tcBorders>
              <w:top w:val="nil"/>
              <w:left w:val="nil"/>
              <w:bottom w:val="single" w:sz="4" w:space="0" w:color="auto"/>
              <w:right w:val="single" w:sz="4" w:space="0" w:color="auto"/>
            </w:tcBorders>
            <w:shd w:val="clear" w:color="auto" w:fill="auto"/>
            <w:noWrap/>
            <w:vAlign w:val="center"/>
            <w:hideMark/>
          </w:tcPr>
          <w:p w14:paraId="59E4A52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0.7453 </w:t>
            </w:r>
          </w:p>
        </w:tc>
        <w:tc>
          <w:tcPr>
            <w:tcW w:w="940" w:type="dxa"/>
            <w:tcBorders>
              <w:top w:val="nil"/>
              <w:left w:val="nil"/>
              <w:bottom w:val="single" w:sz="4" w:space="0" w:color="auto"/>
              <w:right w:val="single" w:sz="4" w:space="0" w:color="auto"/>
            </w:tcBorders>
            <w:shd w:val="clear" w:color="000000" w:fill="E6B8B7"/>
            <w:noWrap/>
            <w:vAlign w:val="center"/>
            <w:hideMark/>
          </w:tcPr>
          <w:p w14:paraId="33A1056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7.3 </w:t>
            </w:r>
          </w:p>
        </w:tc>
        <w:tc>
          <w:tcPr>
            <w:tcW w:w="940" w:type="dxa"/>
            <w:tcBorders>
              <w:top w:val="nil"/>
              <w:left w:val="nil"/>
              <w:bottom w:val="single" w:sz="4" w:space="0" w:color="auto"/>
              <w:right w:val="single" w:sz="4" w:space="0" w:color="auto"/>
            </w:tcBorders>
            <w:shd w:val="clear" w:color="auto" w:fill="auto"/>
            <w:noWrap/>
            <w:vAlign w:val="center"/>
            <w:hideMark/>
          </w:tcPr>
          <w:p w14:paraId="43588B9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0.8661 </w:t>
            </w:r>
          </w:p>
        </w:tc>
        <w:tc>
          <w:tcPr>
            <w:tcW w:w="940" w:type="dxa"/>
            <w:tcBorders>
              <w:top w:val="nil"/>
              <w:left w:val="nil"/>
              <w:bottom w:val="single" w:sz="4" w:space="0" w:color="auto"/>
              <w:right w:val="single" w:sz="4" w:space="0" w:color="auto"/>
            </w:tcBorders>
            <w:shd w:val="clear" w:color="auto" w:fill="auto"/>
            <w:noWrap/>
            <w:vAlign w:val="center"/>
            <w:hideMark/>
          </w:tcPr>
          <w:p w14:paraId="36F01DE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0.7670 </w:t>
            </w:r>
          </w:p>
        </w:tc>
        <w:tc>
          <w:tcPr>
            <w:tcW w:w="940" w:type="dxa"/>
            <w:tcBorders>
              <w:top w:val="nil"/>
              <w:left w:val="nil"/>
              <w:bottom w:val="single" w:sz="4" w:space="0" w:color="auto"/>
              <w:right w:val="single" w:sz="4" w:space="0" w:color="auto"/>
            </w:tcBorders>
            <w:shd w:val="clear" w:color="auto" w:fill="auto"/>
            <w:noWrap/>
            <w:vAlign w:val="center"/>
            <w:hideMark/>
          </w:tcPr>
          <w:p w14:paraId="34B754D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0.6727 </w:t>
            </w:r>
          </w:p>
        </w:tc>
        <w:tc>
          <w:tcPr>
            <w:tcW w:w="940" w:type="dxa"/>
            <w:tcBorders>
              <w:top w:val="nil"/>
              <w:left w:val="nil"/>
              <w:bottom w:val="single" w:sz="4" w:space="0" w:color="auto"/>
              <w:right w:val="single" w:sz="4" w:space="0" w:color="auto"/>
            </w:tcBorders>
            <w:shd w:val="clear" w:color="000000" w:fill="E6B8B7"/>
            <w:vAlign w:val="center"/>
            <w:hideMark/>
          </w:tcPr>
          <w:p w14:paraId="783FCCD2"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9.8 </w:t>
            </w:r>
          </w:p>
        </w:tc>
        <w:tc>
          <w:tcPr>
            <w:tcW w:w="940" w:type="dxa"/>
            <w:tcBorders>
              <w:top w:val="nil"/>
              <w:left w:val="nil"/>
              <w:bottom w:val="single" w:sz="4" w:space="0" w:color="auto"/>
              <w:right w:val="single" w:sz="4" w:space="0" w:color="auto"/>
            </w:tcBorders>
            <w:shd w:val="clear" w:color="auto" w:fill="auto"/>
            <w:noWrap/>
            <w:vAlign w:val="center"/>
            <w:hideMark/>
          </w:tcPr>
          <w:p w14:paraId="42A17E0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0.8314 </w:t>
            </w:r>
          </w:p>
        </w:tc>
        <w:tc>
          <w:tcPr>
            <w:tcW w:w="940" w:type="dxa"/>
            <w:tcBorders>
              <w:top w:val="nil"/>
              <w:left w:val="nil"/>
              <w:bottom w:val="single" w:sz="4" w:space="0" w:color="auto"/>
              <w:right w:val="single" w:sz="4" w:space="0" w:color="auto"/>
            </w:tcBorders>
            <w:shd w:val="clear" w:color="auto" w:fill="auto"/>
            <w:noWrap/>
            <w:vAlign w:val="center"/>
            <w:hideMark/>
          </w:tcPr>
          <w:p w14:paraId="486C1E5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0.7293 </w:t>
            </w:r>
          </w:p>
        </w:tc>
        <w:tc>
          <w:tcPr>
            <w:tcW w:w="940" w:type="dxa"/>
            <w:tcBorders>
              <w:top w:val="nil"/>
              <w:left w:val="nil"/>
              <w:bottom w:val="single" w:sz="4" w:space="0" w:color="auto"/>
              <w:right w:val="single" w:sz="4" w:space="0" w:color="auto"/>
            </w:tcBorders>
            <w:shd w:val="clear" w:color="auto" w:fill="auto"/>
            <w:noWrap/>
            <w:vAlign w:val="center"/>
            <w:hideMark/>
          </w:tcPr>
          <w:p w14:paraId="76D3F27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0.6322 </w:t>
            </w:r>
          </w:p>
        </w:tc>
      </w:tr>
      <w:tr w:rsidR="000C70FF" w:rsidRPr="00584EB6" w14:paraId="34E524C7"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668D292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2.4 </w:t>
            </w:r>
          </w:p>
        </w:tc>
        <w:tc>
          <w:tcPr>
            <w:tcW w:w="940" w:type="dxa"/>
            <w:tcBorders>
              <w:top w:val="nil"/>
              <w:left w:val="nil"/>
              <w:bottom w:val="single" w:sz="4" w:space="0" w:color="auto"/>
              <w:right w:val="single" w:sz="4" w:space="0" w:color="auto"/>
            </w:tcBorders>
            <w:shd w:val="clear" w:color="auto" w:fill="auto"/>
            <w:noWrap/>
            <w:vAlign w:val="center"/>
            <w:hideMark/>
          </w:tcPr>
          <w:p w14:paraId="507044F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1.1149 </w:t>
            </w:r>
          </w:p>
        </w:tc>
        <w:tc>
          <w:tcPr>
            <w:tcW w:w="940" w:type="dxa"/>
            <w:tcBorders>
              <w:top w:val="nil"/>
              <w:left w:val="nil"/>
              <w:bottom w:val="single" w:sz="4" w:space="0" w:color="auto"/>
              <w:right w:val="single" w:sz="4" w:space="0" w:color="auto"/>
            </w:tcBorders>
            <w:shd w:val="clear" w:color="auto" w:fill="auto"/>
            <w:noWrap/>
            <w:vAlign w:val="center"/>
            <w:hideMark/>
          </w:tcPr>
          <w:p w14:paraId="7E12670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1.0133 </w:t>
            </w:r>
          </w:p>
        </w:tc>
        <w:tc>
          <w:tcPr>
            <w:tcW w:w="940" w:type="dxa"/>
            <w:tcBorders>
              <w:top w:val="nil"/>
              <w:left w:val="nil"/>
              <w:bottom w:val="single" w:sz="4" w:space="0" w:color="auto"/>
              <w:right w:val="single" w:sz="4" w:space="0" w:color="auto"/>
            </w:tcBorders>
            <w:shd w:val="clear" w:color="auto" w:fill="auto"/>
            <w:noWrap/>
            <w:vAlign w:val="center"/>
            <w:hideMark/>
          </w:tcPr>
          <w:p w14:paraId="2306A92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0.9405 </w:t>
            </w:r>
          </w:p>
        </w:tc>
        <w:tc>
          <w:tcPr>
            <w:tcW w:w="940" w:type="dxa"/>
            <w:tcBorders>
              <w:top w:val="nil"/>
              <w:left w:val="nil"/>
              <w:bottom w:val="single" w:sz="4" w:space="0" w:color="auto"/>
              <w:right w:val="single" w:sz="4" w:space="0" w:color="auto"/>
            </w:tcBorders>
            <w:shd w:val="clear" w:color="000000" w:fill="E6B8B7"/>
            <w:vAlign w:val="center"/>
            <w:hideMark/>
          </w:tcPr>
          <w:p w14:paraId="5194B0C2"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4.9 </w:t>
            </w:r>
          </w:p>
        </w:tc>
        <w:tc>
          <w:tcPr>
            <w:tcW w:w="940" w:type="dxa"/>
            <w:tcBorders>
              <w:top w:val="nil"/>
              <w:left w:val="nil"/>
              <w:bottom w:val="single" w:sz="4" w:space="0" w:color="auto"/>
              <w:right w:val="single" w:sz="4" w:space="0" w:color="auto"/>
            </w:tcBorders>
            <w:shd w:val="clear" w:color="auto" w:fill="auto"/>
            <w:noWrap/>
            <w:vAlign w:val="center"/>
            <w:hideMark/>
          </w:tcPr>
          <w:p w14:paraId="504DF00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0.9221 </w:t>
            </w:r>
          </w:p>
        </w:tc>
        <w:tc>
          <w:tcPr>
            <w:tcW w:w="940" w:type="dxa"/>
            <w:tcBorders>
              <w:top w:val="nil"/>
              <w:left w:val="nil"/>
              <w:bottom w:val="single" w:sz="4" w:space="0" w:color="auto"/>
              <w:right w:val="single" w:sz="4" w:space="0" w:color="auto"/>
            </w:tcBorders>
            <w:shd w:val="clear" w:color="auto" w:fill="auto"/>
            <w:noWrap/>
            <w:vAlign w:val="center"/>
            <w:hideMark/>
          </w:tcPr>
          <w:p w14:paraId="58FDDF1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0.8239 </w:t>
            </w:r>
          </w:p>
        </w:tc>
        <w:tc>
          <w:tcPr>
            <w:tcW w:w="940" w:type="dxa"/>
            <w:tcBorders>
              <w:top w:val="nil"/>
              <w:left w:val="nil"/>
              <w:bottom w:val="single" w:sz="4" w:space="0" w:color="auto"/>
              <w:right w:val="single" w:sz="4" w:space="0" w:color="auto"/>
            </w:tcBorders>
            <w:shd w:val="clear" w:color="auto" w:fill="auto"/>
            <w:noWrap/>
            <w:vAlign w:val="center"/>
            <w:hideMark/>
          </w:tcPr>
          <w:p w14:paraId="1E641EB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0.7409 </w:t>
            </w:r>
          </w:p>
        </w:tc>
        <w:tc>
          <w:tcPr>
            <w:tcW w:w="940" w:type="dxa"/>
            <w:tcBorders>
              <w:top w:val="nil"/>
              <w:left w:val="nil"/>
              <w:bottom w:val="single" w:sz="4" w:space="0" w:color="auto"/>
              <w:right w:val="single" w:sz="4" w:space="0" w:color="auto"/>
            </w:tcBorders>
            <w:shd w:val="clear" w:color="000000" w:fill="E6B8B7"/>
            <w:noWrap/>
            <w:vAlign w:val="center"/>
            <w:hideMark/>
          </w:tcPr>
          <w:p w14:paraId="01FB368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7.4 </w:t>
            </w:r>
          </w:p>
        </w:tc>
        <w:tc>
          <w:tcPr>
            <w:tcW w:w="940" w:type="dxa"/>
            <w:tcBorders>
              <w:top w:val="nil"/>
              <w:left w:val="nil"/>
              <w:bottom w:val="single" w:sz="4" w:space="0" w:color="auto"/>
              <w:right w:val="single" w:sz="4" w:space="0" w:color="auto"/>
            </w:tcBorders>
            <w:shd w:val="clear" w:color="auto" w:fill="auto"/>
            <w:noWrap/>
            <w:vAlign w:val="center"/>
            <w:hideMark/>
          </w:tcPr>
          <w:p w14:paraId="1D6705E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0.8645 </w:t>
            </w:r>
          </w:p>
        </w:tc>
        <w:tc>
          <w:tcPr>
            <w:tcW w:w="940" w:type="dxa"/>
            <w:tcBorders>
              <w:top w:val="nil"/>
              <w:left w:val="nil"/>
              <w:bottom w:val="single" w:sz="4" w:space="0" w:color="auto"/>
              <w:right w:val="single" w:sz="4" w:space="0" w:color="auto"/>
            </w:tcBorders>
            <w:shd w:val="clear" w:color="auto" w:fill="auto"/>
            <w:noWrap/>
            <w:vAlign w:val="center"/>
            <w:hideMark/>
          </w:tcPr>
          <w:p w14:paraId="1459246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0.7653 </w:t>
            </w:r>
          </w:p>
        </w:tc>
        <w:tc>
          <w:tcPr>
            <w:tcW w:w="940" w:type="dxa"/>
            <w:tcBorders>
              <w:top w:val="nil"/>
              <w:left w:val="nil"/>
              <w:bottom w:val="single" w:sz="4" w:space="0" w:color="auto"/>
              <w:right w:val="single" w:sz="4" w:space="0" w:color="auto"/>
            </w:tcBorders>
            <w:shd w:val="clear" w:color="auto" w:fill="auto"/>
            <w:noWrap/>
            <w:vAlign w:val="center"/>
            <w:hideMark/>
          </w:tcPr>
          <w:p w14:paraId="3AD5DBC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0.6708 </w:t>
            </w:r>
          </w:p>
        </w:tc>
        <w:tc>
          <w:tcPr>
            <w:tcW w:w="940" w:type="dxa"/>
            <w:tcBorders>
              <w:top w:val="nil"/>
              <w:left w:val="nil"/>
              <w:bottom w:val="single" w:sz="4" w:space="0" w:color="auto"/>
              <w:right w:val="single" w:sz="4" w:space="0" w:color="auto"/>
            </w:tcBorders>
            <w:shd w:val="clear" w:color="000000" w:fill="E6B8B7"/>
            <w:vAlign w:val="center"/>
            <w:hideMark/>
          </w:tcPr>
          <w:p w14:paraId="395D5E20"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9.9 </w:t>
            </w:r>
          </w:p>
        </w:tc>
        <w:tc>
          <w:tcPr>
            <w:tcW w:w="940" w:type="dxa"/>
            <w:tcBorders>
              <w:top w:val="nil"/>
              <w:left w:val="nil"/>
              <w:bottom w:val="single" w:sz="4" w:space="0" w:color="auto"/>
              <w:right w:val="single" w:sz="4" w:space="0" w:color="auto"/>
            </w:tcBorders>
            <w:shd w:val="clear" w:color="auto" w:fill="auto"/>
            <w:noWrap/>
            <w:vAlign w:val="center"/>
            <w:hideMark/>
          </w:tcPr>
          <w:p w14:paraId="4DF0BCA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0.8302 </w:t>
            </w:r>
          </w:p>
        </w:tc>
        <w:tc>
          <w:tcPr>
            <w:tcW w:w="940" w:type="dxa"/>
            <w:tcBorders>
              <w:top w:val="nil"/>
              <w:left w:val="nil"/>
              <w:bottom w:val="single" w:sz="4" w:space="0" w:color="auto"/>
              <w:right w:val="single" w:sz="4" w:space="0" w:color="auto"/>
            </w:tcBorders>
            <w:shd w:val="clear" w:color="auto" w:fill="auto"/>
            <w:noWrap/>
            <w:vAlign w:val="center"/>
            <w:hideMark/>
          </w:tcPr>
          <w:p w14:paraId="27813F8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0.7280 </w:t>
            </w:r>
          </w:p>
        </w:tc>
        <w:tc>
          <w:tcPr>
            <w:tcW w:w="940" w:type="dxa"/>
            <w:tcBorders>
              <w:top w:val="nil"/>
              <w:left w:val="nil"/>
              <w:bottom w:val="single" w:sz="4" w:space="0" w:color="auto"/>
              <w:right w:val="single" w:sz="4" w:space="0" w:color="auto"/>
            </w:tcBorders>
            <w:shd w:val="clear" w:color="auto" w:fill="auto"/>
            <w:noWrap/>
            <w:vAlign w:val="center"/>
            <w:hideMark/>
          </w:tcPr>
          <w:p w14:paraId="246E41F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0.6308 </w:t>
            </w:r>
          </w:p>
        </w:tc>
      </w:tr>
      <w:tr w:rsidR="000C70FF" w:rsidRPr="00584EB6" w14:paraId="05EF46DD"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55C0B8CA"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2.5 </w:t>
            </w:r>
          </w:p>
        </w:tc>
        <w:tc>
          <w:tcPr>
            <w:tcW w:w="940" w:type="dxa"/>
            <w:tcBorders>
              <w:top w:val="nil"/>
              <w:left w:val="nil"/>
              <w:bottom w:val="single" w:sz="4" w:space="0" w:color="auto"/>
              <w:right w:val="single" w:sz="4" w:space="0" w:color="auto"/>
            </w:tcBorders>
            <w:shd w:val="clear" w:color="auto" w:fill="auto"/>
            <w:noWrap/>
            <w:vAlign w:val="center"/>
            <w:hideMark/>
          </w:tcPr>
          <w:p w14:paraId="5D7DF6B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1.1020 </w:t>
            </w:r>
          </w:p>
        </w:tc>
        <w:tc>
          <w:tcPr>
            <w:tcW w:w="940" w:type="dxa"/>
            <w:tcBorders>
              <w:top w:val="nil"/>
              <w:left w:val="nil"/>
              <w:bottom w:val="single" w:sz="4" w:space="0" w:color="auto"/>
              <w:right w:val="single" w:sz="4" w:space="0" w:color="auto"/>
            </w:tcBorders>
            <w:shd w:val="clear" w:color="auto" w:fill="auto"/>
            <w:noWrap/>
            <w:vAlign w:val="center"/>
            <w:hideMark/>
          </w:tcPr>
          <w:p w14:paraId="446DF84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auto"/>
            <w:noWrap/>
            <w:vAlign w:val="center"/>
            <w:hideMark/>
          </w:tcPr>
          <w:p w14:paraId="49DAD86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0.9273 </w:t>
            </w:r>
          </w:p>
        </w:tc>
        <w:tc>
          <w:tcPr>
            <w:tcW w:w="940" w:type="dxa"/>
            <w:tcBorders>
              <w:top w:val="nil"/>
              <w:left w:val="nil"/>
              <w:bottom w:val="single" w:sz="4" w:space="0" w:color="auto"/>
              <w:right w:val="single" w:sz="4" w:space="0" w:color="auto"/>
            </w:tcBorders>
            <w:shd w:val="clear" w:color="000000" w:fill="E6B8B7"/>
            <w:vAlign w:val="center"/>
            <w:hideMark/>
          </w:tcPr>
          <w:p w14:paraId="6BAC664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5.0 </w:t>
            </w:r>
          </w:p>
        </w:tc>
        <w:tc>
          <w:tcPr>
            <w:tcW w:w="940" w:type="dxa"/>
            <w:tcBorders>
              <w:top w:val="nil"/>
              <w:left w:val="nil"/>
              <w:bottom w:val="single" w:sz="4" w:space="0" w:color="auto"/>
              <w:right w:val="single" w:sz="4" w:space="0" w:color="auto"/>
            </w:tcBorders>
            <w:shd w:val="clear" w:color="auto" w:fill="auto"/>
            <w:noWrap/>
            <w:vAlign w:val="center"/>
            <w:hideMark/>
          </w:tcPr>
          <w:p w14:paraId="4FDD2FA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0.9185 </w:t>
            </w:r>
          </w:p>
        </w:tc>
        <w:tc>
          <w:tcPr>
            <w:tcW w:w="940" w:type="dxa"/>
            <w:tcBorders>
              <w:top w:val="nil"/>
              <w:left w:val="nil"/>
              <w:bottom w:val="single" w:sz="4" w:space="0" w:color="auto"/>
              <w:right w:val="single" w:sz="4" w:space="0" w:color="auto"/>
            </w:tcBorders>
            <w:shd w:val="clear" w:color="auto" w:fill="auto"/>
            <w:noWrap/>
            <w:vAlign w:val="center"/>
            <w:hideMark/>
          </w:tcPr>
          <w:p w14:paraId="7379DC6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0.8203 </w:t>
            </w:r>
          </w:p>
        </w:tc>
        <w:tc>
          <w:tcPr>
            <w:tcW w:w="940" w:type="dxa"/>
            <w:tcBorders>
              <w:top w:val="nil"/>
              <w:left w:val="nil"/>
              <w:bottom w:val="single" w:sz="4" w:space="0" w:color="auto"/>
              <w:right w:val="single" w:sz="4" w:space="0" w:color="auto"/>
            </w:tcBorders>
            <w:shd w:val="clear" w:color="auto" w:fill="auto"/>
            <w:noWrap/>
            <w:vAlign w:val="center"/>
            <w:hideMark/>
          </w:tcPr>
          <w:p w14:paraId="250A3BB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0.7367 </w:t>
            </w:r>
          </w:p>
        </w:tc>
        <w:tc>
          <w:tcPr>
            <w:tcW w:w="940" w:type="dxa"/>
            <w:tcBorders>
              <w:top w:val="nil"/>
              <w:left w:val="nil"/>
              <w:bottom w:val="single" w:sz="4" w:space="0" w:color="auto"/>
              <w:right w:val="single" w:sz="4" w:space="0" w:color="auto"/>
            </w:tcBorders>
            <w:shd w:val="clear" w:color="000000" w:fill="E6B8B7"/>
            <w:noWrap/>
            <w:vAlign w:val="center"/>
            <w:hideMark/>
          </w:tcPr>
          <w:p w14:paraId="14A251C6"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7.5 </w:t>
            </w:r>
          </w:p>
        </w:tc>
        <w:tc>
          <w:tcPr>
            <w:tcW w:w="940" w:type="dxa"/>
            <w:tcBorders>
              <w:top w:val="nil"/>
              <w:left w:val="nil"/>
              <w:bottom w:val="single" w:sz="4" w:space="0" w:color="auto"/>
              <w:right w:val="single" w:sz="4" w:space="0" w:color="auto"/>
            </w:tcBorders>
            <w:shd w:val="clear" w:color="auto" w:fill="auto"/>
            <w:noWrap/>
            <w:vAlign w:val="center"/>
            <w:hideMark/>
          </w:tcPr>
          <w:p w14:paraId="3227CE6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0.8630 </w:t>
            </w:r>
          </w:p>
        </w:tc>
        <w:tc>
          <w:tcPr>
            <w:tcW w:w="940" w:type="dxa"/>
            <w:tcBorders>
              <w:top w:val="nil"/>
              <w:left w:val="nil"/>
              <w:bottom w:val="single" w:sz="4" w:space="0" w:color="auto"/>
              <w:right w:val="single" w:sz="4" w:space="0" w:color="auto"/>
            </w:tcBorders>
            <w:shd w:val="clear" w:color="auto" w:fill="auto"/>
            <w:noWrap/>
            <w:vAlign w:val="center"/>
            <w:hideMark/>
          </w:tcPr>
          <w:p w14:paraId="3C271FF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0.7636 </w:t>
            </w:r>
          </w:p>
        </w:tc>
        <w:tc>
          <w:tcPr>
            <w:tcW w:w="940" w:type="dxa"/>
            <w:tcBorders>
              <w:top w:val="nil"/>
              <w:left w:val="nil"/>
              <w:bottom w:val="single" w:sz="4" w:space="0" w:color="auto"/>
              <w:right w:val="single" w:sz="4" w:space="0" w:color="auto"/>
            </w:tcBorders>
            <w:shd w:val="clear" w:color="auto" w:fill="auto"/>
            <w:noWrap/>
            <w:vAlign w:val="center"/>
            <w:hideMark/>
          </w:tcPr>
          <w:p w14:paraId="4401FD9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0.6689 </w:t>
            </w:r>
          </w:p>
        </w:tc>
        <w:tc>
          <w:tcPr>
            <w:tcW w:w="940" w:type="dxa"/>
            <w:tcBorders>
              <w:top w:val="nil"/>
              <w:left w:val="nil"/>
              <w:bottom w:val="single" w:sz="4" w:space="0" w:color="auto"/>
              <w:right w:val="single" w:sz="4" w:space="0" w:color="auto"/>
            </w:tcBorders>
            <w:shd w:val="clear" w:color="000000" w:fill="E6B8B7"/>
            <w:vAlign w:val="center"/>
            <w:hideMark/>
          </w:tcPr>
          <w:p w14:paraId="1B69EF1C"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10.0 </w:t>
            </w:r>
          </w:p>
        </w:tc>
        <w:tc>
          <w:tcPr>
            <w:tcW w:w="940" w:type="dxa"/>
            <w:tcBorders>
              <w:top w:val="nil"/>
              <w:left w:val="nil"/>
              <w:bottom w:val="single" w:sz="4" w:space="0" w:color="auto"/>
              <w:right w:val="single" w:sz="4" w:space="0" w:color="auto"/>
            </w:tcBorders>
            <w:shd w:val="clear" w:color="auto" w:fill="auto"/>
            <w:noWrap/>
            <w:vAlign w:val="center"/>
            <w:hideMark/>
          </w:tcPr>
          <w:p w14:paraId="4A06BE9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0.8290 </w:t>
            </w:r>
          </w:p>
        </w:tc>
        <w:tc>
          <w:tcPr>
            <w:tcW w:w="940" w:type="dxa"/>
            <w:tcBorders>
              <w:top w:val="nil"/>
              <w:left w:val="nil"/>
              <w:bottom w:val="single" w:sz="4" w:space="0" w:color="auto"/>
              <w:right w:val="single" w:sz="4" w:space="0" w:color="auto"/>
            </w:tcBorders>
            <w:shd w:val="clear" w:color="auto" w:fill="auto"/>
            <w:noWrap/>
            <w:vAlign w:val="center"/>
            <w:hideMark/>
          </w:tcPr>
          <w:p w14:paraId="7FC99FC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0.7267 </w:t>
            </w:r>
          </w:p>
        </w:tc>
        <w:tc>
          <w:tcPr>
            <w:tcW w:w="940" w:type="dxa"/>
            <w:tcBorders>
              <w:top w:val="nil"/>
              <w:left w:val="nil"/>
              <w:bottom w:val="single" w:sz="4" w:space="0" w:color="auto"/>
              <w:right w:val="single" w:sz="4" w:space="0" w:color="auto"/>
            </w:tcBorders>
            <w:shd w:val="clear" w:color="auto" w:fill="auto"/>
            <w:noWrap/>
            <w:vAlign w:val="center"/>
            <w:hideMark/>
          </w:tcPr>
          <w:p w14:paraId="7502C29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0.6294 </w:t>
            </w:r>
          </w:p>
        </w:tc>
      </w:tr>
      <w:tr w:rsidR="000C70FF" w:rsidRPr="00584EB6" w14:paraId="5394542A" w14:textId="77777777" w:rsidTr="000C70FF">
        <w:trPr>
          <w:trHeight w:hRule="exact" w:val="284"/>
        </w:trPr>
        <w:tc>
          <w:tcPr>
            <w:tcW w:w="15040" w:type="dxa"/>
            <w:gridSpan w:val="16"/>
            <w:tcBorders>
              <w:top w:val="single" w:sz="4" w:space="0" w:color="auto"/>
              <w:left w:val="nil"/>
              <w:bottom w:val="nil"/>
              <w:right w:val="nil"/>
            </w:tcBorders>
            <w:shd w:val="clear" w:color="auto" w:fill="auto"/>
            <w:noWrap/>
            <w:vAlign w:val="center"/>
            <w:hideMark/>
          </w:tcPr>
          <w:p w14:paraId="477E4E72" w14:textId="77777777" w:rsidR="000C70FF" w:rsidRPr="00584EB6" w:rsidRDefault="000C70FF" w:rsidP="000C70FF">
            <w:pPr>
              <w:widowControl/>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说明：容积率大于10时的容积率修正系数按照以下公式计算：1～2级：X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＝0.949－0.012R；3～7级：X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＝0.8567－0.013R；8～12级：X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＝0.7694－0.014R。</w:t>
            </w:r>
          </w:p>
        </w:tc>
      </w:tr>
    </w:tbl>
    <w:p w14:paraId="7C6DA68C" w14:textId="77777777" w:rsidR="000C70FF" w:rsidRPr="00F631FB" w:rsidRDefault="000C70FF" w:rsidP="00AF0914">
      <w:pPr>
        <w:overflowPunct w:val="0"/>
        <w:spacing w:line="360" w:lineRule="auto"/>
        <w:jc w:val="both"/>
        <w:textAlignment w:val="auto"/>
        <w:rPr>
          <w:rFonts w:ascii="Arial" w:eastAsia="仿宋_GB2312" w:hAnsi="Arial" w:cs="Arial"/>
          <w:sz w:val="28"/>
          <w:szCs w:val="28"/>
        </w:rPr>
        <w:sectPr w:rsidR="000C70FF" w:rsidRPr="00F631FB" w:rsidSect="004A2C77">
          <w:pgSz w:w="16838" w:h="11906" w:orient="landscape"/>
          <w:pgMar w:top="1304" w:right="1843" w:bottom="1304" w:left="1134" w:header="1134" w:footer="907" w:gutter="0"/>
          <w:cols w:space="425"/>
          <w:docGrid w:type="linesAndChars" w:linePitch="326"/>
        </w:sectPr>
      </w:pPr>
    </w:p>
    <w:p w14:paraId="5D4656C2" w14:textId="7FE8D3B9" w:rsidR="00914E90" w:rsidRPr="00F631FB" w:rsidRDefault="00914E90" w:rsidP="00AF0914">
      <w:pPr>
        <w:overflowPunct w:val="0"/>
        <w:spacing w:line="360" w:lineRule="auto"/>
        <w:jc w:val="both"/>
        <w:textAlignment w:val="auto"/>
        <w:rPr>
          <w:rFonts w:ascii="Arial" w:eastAsia="仿宋_GB2312" w:hAnsi="Arial" w:cs="Arial"/>
          <w:sz w:val="28"/>
          <w:szCs w:val="28"/>
        </w:rPr>
      </w:pPr>
      <w:r w:rsidRPr="00F631FB">
        <w:rPr>
          <w:rFonts w:ascii="Arial" w:eastAsia="仿宋_GB2312" w:hAnsi="Arial" w:cs="Arial"/>
          <w:sz w:val="28"/>
          <w:szCs w:val="29"/>
        </w:rPr>
        <w:lastRenderedPageBreak/>
        <w:t>根据上表，可查询对应的容积率系数为</w:t>
      </w:r>
      <w:r>
        <w:rPr>
          <w:rFonts w:ascii="Arial" w:eastAsia="仿宋_GB2312" w:hAnsi="Arial" w:cs="Arial"/>
          <w:sz w:val="28"/>
          <w:szCs w:val="29"/>
        </w:rPr>
        <w:t>0.9151</w:t>
      </w:r>
      <w:r>
        <w:rPr>
          <w:rFonts w:ascii="Arial" w:eastAsia="仿宋_GB2312" w:hAnsi="Arial" w:cs="Arial" w:hint="eastAsia"/>
          <w:sz w:val="28"/>
          <w:szCs w:val="29"/>
        </w:rPr>
        <w:t>。</w:t>
      </w:r>
    </w:p>
    <w:p w14:paraId="6E7B3BEC"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sidRPr="00F631FB">
        <w:rPr>
          <w:rFonts w:ascii="Arial" w:eastAsia="仿宋_GB2312" w:hAnsi="Arial" w:cs="Arial"/>
          <w:sz w:val="28"/>
        </w:rPr>
        <w:t>）因素修正系数的确定</w:t>
      </w:r>
    </w:p>
    <w:p w14:paraId="08B6B8B6" w14:textId="77777777" w:rsidR="00914E90" w:rsidRDefault="00914E90" w:rsidP="00914E90">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64D8C7DA" w14:textId="77777777" w:rsidR="00914E90" w:rsidRDefault="00914E90" w:rsidP="00914E90">
      <w:pPr>
        <w:overflowPunct w:val="0"/>
        <w:spacing w:line="360" w:lineRule="auto"/>
        <w:ind w:firstLineChars="200" w:firstLine="560"/>
        <w:jc w:val="both"/>
        <w:textAlignment w:val="auto"/>
        <w:rPr>
          <w:rFonts w:ascii="Arial" w:eastAsia="仿宋_GB2312" w:hAnsi="Arial" w:cs="Arial"/>
          <w:sz w:val="28"/>
        </w:rPr>
      </w:pPr>
    </w:p>
    <w:tbl>
      <w:tblPr>
        <w:tblW w:w="9666" w:type="dxa"/>
        <w:jc w:val="center"/>
        <w:tblLook w:val="04A0" w:firstRow="1" w:lastRow="0" w:firstColumn="1" w:lastColumn="0" w:noHBand="0" w:noVBand="1"/>
      </w:tblPr>
      <w:tblGrid>
        <w:gridCol w:w="678"/>
        <w:gridCol w:w="1018"/>
        <w:gridCol w:w="979"/>
        <w:gridCol w:w="967"/>
        <w:gridCol w:w="1315"/>
        <w:gridCol w:w="850"/>
        <w:gridCol w:w="1341"/>
        <w:gridCol w:w="1211"/>
        <w:gridCol w:w="1307"/>
      </w:tblGrid>
      <w:tr w:rsidR="00914E90" w:rsidRPr="00202C83" w14:paraId="244C261B" w14:textId="77777777" w:rsidTr="008B444E">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7D6B3" w14:textId="77777777" w:rsidR="00914E90" w:rsidRPr="00202C83" w:rsidRDefault="00914E90" w:rsidP="008B444E">
            <w:pPr>
              <w:widowControl/>
              <w:jc w:val="center"/>
              <w:rPr>
                <w:rFonts w:ascii="仿宋_GB2312" w:eastAsia="仿宋_GB2312" w:hAnsi="微软雅黑" w:cs="宋体"/>
                <w:b/>
                <w:bCs/>
                <w:color w:val="000000"/>
                <w:sz w:val="18"/>
                <w:szCs w:val="18"/>
              </w:rPr>
            </w:pPr>
            <w:bookmarkStart w:id="307" w:name="_Hlk88579544"/>
            <w:r w:rsidRPr="00202C83">
              <w:rPr>
                <w:rFonts w:ascii="仿宋_GB2312" w:eastAsia="仿宋_GB2312" w:hAnsi="微软雅黑" w:cs="宋体" w:hint="eastAsia"/>
                <w:b/>
                <w:bCs/>
                <w:color w:val="000000"/>
                <w:sz w:val="18"/>
                <w:szCs w:val="18"/>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748F6E"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商业</w:t>
            </w:r>
          </w:p>
        </w:tc>
        <w:tc>
          <w:tcPr>
            <w:tcW w:w="22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AF5948"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办公</w:t>
            </w:r>
          </w:p>
        </w:tc>
        <w:tc>
          <w:tcPr>
            <w:tcW w:w="219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0115C5"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ACEEA6"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工业</w:t>
            </w:r>
          </w:p>
        </w:tc>
      </w:tr>
      <w:tr w:rsidR="00914E90" w:rsidRPr="00202C83" w14:paraId="150F1603"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185E9E72" w14:textId="77777777" w:rsidR="00914E90" w:rsidRPr="00202C83" w:rsidRDefault="00914E90" w:rsidP="008B444E">
            <w:pPr>
              <w:widowControl/>
              <w:rPr>
                <w:rFonts w:ascii="仿宋_GB2312" w:eastAsia="仿宋_GB2312" w:hAnsi="微软雅黑" w:cs="宋体"/>
                <w:b/>
                <w:bCs/>
                <w:color w:val="000000"/>
                <w:sz w:val="18"/>
                <w:szCs w:val="18"/>
              </w:rPr>
            </w:pPr>
          </w:p>
        </w:tc>
        <w:tc>
          <w:tcPr>
            <w:tcW w:w="1018" w:type="dxa"/>
            <w:tcBorders>
              <w:top w:val="nil"/>
              <w:left w:val="nil"/>
              <w:bottom w:val="single" w:sz="4" w:space="0" w:color="auto"/>
              <w:right w:val="single" w:sz="4" w:space="0" w:color="auto"/>
            </w:tcBorders>
            <w:shd w:val="clear" w:color="auto" w:fill="auto"/>
            <w:noWrap/>
            <w:vAlign w:val="center"/>
            <w:hideMark/>
          </w:tcPr>
          <w:p w14:paraId="00F13D94"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区片编号</w:t>
            </w:r>
          </w:p>
        </w:tc>
        <w:tc>
          <w:tcPr>
            <w:tcW w:w="979" w:type="dxa"/>
            <w:tcBorders>
              <w:top w:val="nil"/>
              <w:left w:val="nil"/>
              <w:bottom w:val="single" w:sz="4" w:space="0" w:color="auto"/>
              <w:right w:val="single" w:sz="4" w:space="0" w:color="auto"/>
            </w:tcBorders>
            <w:shd w:val="clear" w:color="auto" w:fill="auto"/>
            <w:noWrap/>
            <w:vAlign w:val="center"/>
            <w:hideMark/>
          </w:tcPr>
          <w:p w14:paraId="41D41927"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14:paraId="00D5C477"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区片编号</w:t>
            </w:r>
          </w:p>
        </w:tc>
        <w:tc>
          <w:tcPr>
            <w:tcW w:w="1315" w:type="dxa"/>
            <w:tcBorders>
              <w:top w:val="nil"/>
              <w:left w:val="nil"/>
              <w:bottom w:val="single" w:sz="4" w:space="0" w:color="auto"/>
              <w:right w:val="single" w:sz="4" w:space="0" w:color="auto"/>
            </w:tcBorders>
            <w:shd w:val="clear" w:color="auto" w:fill="auto"/>
            <w:noWrap/>
            <w:vAlign w:val="center"/>
            <w:hideMark/>
          </w:tcPr>
          <w:p w14:paraId="23DEB943"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修正幅度</w:t>
            </w:r>
          </w:p>
        </w:tc>
        <w:tc>
          <w:tcPr>
            <w:tcW w:w="850" w:type="dxa"/>
            <w:tcBorders>
              <w:top w:val="nil"/>
              <w:left w:val="nil"/>
              <w:bottom w:val="single" w:sz="4" w:space="0" w:color="auto"/>
              <w:right w:val="single" w:sz="4" w:space="0" w:color="auto"/>
            </w:tcBorders>
            <w:shd w:val="clear" w:color="auto" w:fill="auto"/>
            <w:noWrap/>
            <w:vAlign w:val="center"/>
            <w:hideMark/>
          </w:tcPr>
          <w:p w14:paraId="32760361"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区片编号</w:t>
            </w:r>
          </w:p>
        </w:tc>
        <w:tc>
          <w:tcPr>
            <w:tcW w:w="1341" w:type="dxa"/>
            <w:tcBorders>
              <w:top w:val="nil"/>
              <w:left w:val="nil"/>
              <w:bottom w:val="single" w:sz="4" w:space="0" w:color="auto"/>
              <w:right w:val="single" w:sz="4" w:space="0" w:color="auto"/>
            </w:tcBorders>
            <w:shd w:val="clear" w:color="auto" w:fill="auto"/>
            <w:noWrap/>
            <w:vAlign w:val="center"/>
            <w:hideMark/>
          </w:tcPr>
          <w:p w14:paraId="746C5C84"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修正幅度</w:t>
            </w:r>
          </w:p>
        </w:tc>
        <w:tc>
          <w:tcPr>
            <w:tcW w:w="1211" w:type="dxa"/>
            <w:tcBorders>
              <w:top w:val="nil"/>
              <w:left w:val="nil"/>
              <w:bottom w:val="single" w:sz="4" w:space="0" w:color="auto"/>
              <w:right w:val="single" w:sz="4" w:space="0" w:color="auto"/>
            </w:tcBorders>
            <w:shd w:val="clear" w:color="auto" w:fill="auto"/>
            <w:noWrap/>
            <w:vAlign w:val="center"/>
            <w:hideMark/>
          </w:tcPr>
          <w:p w14:paraId="7C2625F4"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区片编号</w:t>
            </w:r>
          </w:p>
        </w:tc>
        <w:tc>
          <w:tcPr>
            <w:tcW w:w="1307" w:type="dxa"/>
            <w:tcBorders>
              <w:top w:val="nil"/>
              <w:left w:val="nil"/>
              <w:bottom w:val="single" w:sz="4" w:space="0" w:color="auto"/>
              <w:right w:val="single" w:sz="4" w:space="0" w:color="auto"/>
            </w:tcBorders>
            <w:shd w:val="clear" w:color="auto" w:fill="auto"/>
            <w:noWrap/>
            <w:vAlign w:val="center"/>
            <w:hideMark/>
          </w:tcPr>
          <w:p w14:paraId="5E8AFCBF"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修正幅度</w:t>
            </w:r>
          </w:p>
        </w:tc>
      </w:tr>
      <w:tr w:rsidR="00914E90" w:rsidRPr="00202C83" w14:paraId="6A48E87E" w14:textId="77777777" w:rsidTr="008B444E">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C36C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二级</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7B5E20E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6521D33A"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±8.9％</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5DB13BA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Ⅱ—01</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734A388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±７．３％</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166879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Ⅱ—01</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556CF79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±８．２％</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50630AC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Ⅱ—01</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02A0B4E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r>
      <w:tr w:rsidR="00914E90" w:rsidRPr="00202C83" w14:paraId="0C67E2DE"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0A0C1D2B"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0DC7BA9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Ⅱ—02</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424ED12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±8.9％</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64BAC73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Ⅱ—02</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6C7A7BF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±７．３％</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1F1FEB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Ⅱ—02</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2BC623A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±８．２％</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6B53723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Ⅱ—02</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7B51CE6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r>
      <w:tr w:rsidR="00914E90" w:rsidRPr="00202C83" w14:paraId="3E65546F"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087720F7"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5D384DB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Ⅱ—03</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54094E59"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±6.1％</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040F9E6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Ⅱ—03</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663B8DE2"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±７．１％</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5BEFC1C"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Ⅱ—03</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5ADA6BF4"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±９．６％</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086C48CF"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Ⅱ—03</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3D31E68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r>
      <w:tr w:rsidR="00914E90" w:rsidRPr="00202C83" w14:paraId="5F1E9A1A"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5064F12D"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B8536C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Ⅱ—04</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5093F5B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±6.9％</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574663D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Ⅱ—04</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4272153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±６．５％</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DA3AE9A"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Ⅱ—04</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7B6E0D74"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±６．６％</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48070E3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Ⅱ—04</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51B9C74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r>
      <w:tr w:rsidR="00914E90" w:rsidRPr="00202C83" w14:paraId="6F56728A"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340AB0D6"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192ECFF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Ⅱ—05</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33ED28D9"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±10.0％</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2C44D8D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Ⅱ—05</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683E5E14"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±６．５％</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BAC202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Ⅱ—05</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555A2772"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±７．０％</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7EA831DA"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Ⅱ—05</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158D788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r>
      <w:tr w:rsidR="00914E90" w:rsidRPr="00202C83" w14:paraId="0130E7BD"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6275169C"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0F14FE4"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Ⅱ—06</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0492A2EA"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±9.8％</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0880B09F"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Ⅱ—06</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4C046D6C"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±８．９％</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0E6A1C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Ⅱ—06</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0AD9051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±８．９％</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42A52D3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Ⅱ—06</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55C4FD29"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r>
      <w:tr w:rsidR="00914E90" w:rsidRPr="00202C83" w14:paraId="18BFC435"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4C36E8F8"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71944B7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Ⅱ—07</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6120ADBC"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±7.0％</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3DB5EF79"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Ⅱ—07</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07B0B73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±９．３％</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170C28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Ⅱ—07</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7DE33B7C"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±９．６％</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116DF5B7"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Ⅱ—07</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4278361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r>
      <w:tr w:rsidR="00914E90" w:rsidRPr="00202C83" w14:paraId="5E476099"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0FD6F368"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444A191"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Ⅱ—08</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17F707C7"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±9.5％</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7AF2176F"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Ⅱ—08</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3479FBB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6BAF8E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Ⅱ—08</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0DEB395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14048C44"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0D85BA43"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1BBBF8DC"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7351B9A0"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214B2C7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Ⅱ—09</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5BF6402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±7.4％</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1108E1D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Ⅱ—09</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1CCD4A6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±９．９％</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AAD167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Ⅱ—09</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2D435EB2"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0C94A47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3D771060"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17239A29"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1546DC6D"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5A83068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Ⅱ—10</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6F9E6D7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±9.9％</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2BD96051"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Ⅱ—10</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4D50DC5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±７．６％</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222CCE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Ⅱ—10</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7C1C849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±８．７％</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6D16EB7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235536CA"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35E24B58"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4BDDC1E7"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15649EC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502CD6D1"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±9.8％</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633A008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Ⅱ—11</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4333AE8F"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±８．５％</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0BC8A87"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Ⅱ—11</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4C1B2A12"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±８．２％</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4929C3E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624CC304"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249C22F7"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45712F1B"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22290B3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Ⅱ—12</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1BA0A9E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±6.6％</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7DA2EA17"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Ⅱ—12</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6DFB792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±６．４％</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362BBB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Ⅱ—12</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5DC8DF8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±６．５％</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7E3536A1"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5A7DBBD8"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08453CE3"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14F61AE0"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071BF3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Ⅱ—13</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66C28C61"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±8.0％</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509063C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Ⅱ—13</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4E513491"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±９．８％</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C5A8601"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Ⅱ—13</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57D39A5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±９．８％</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6BD514D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688D1AAD"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0192135F"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633D825E"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9BF28F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Ⅱ—14</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45926264"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±9.9％</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1BD5830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Ⅱ—14</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691152B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±９．８％</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89E9A1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Ⅱ—14</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5789F789"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±９．１％</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62EA2FCA"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4D383D3C"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226B8B77"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5BFDDE8E"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354FCC8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Ⅱ—15</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5165F4F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±8.9％</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4F72873C"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Ⅱ—15</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77BADFC9"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±９．７％</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7281DC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Ⅱ—15</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390C1E0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±７．０％</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20E8191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0316F2C1"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3C6F33BA"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12D2144D"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20617DB4"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Ⅱ—16</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572030EA"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±8.9％</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090168A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Ⅱ—16</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1617F0B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F7A322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Ⅱ—16</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7DE22F2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±８．１％</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693794C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145282C3"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37982129"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11204BF4"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1F0E79E7"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979" w:type="dxa"/>
            <w:tcBorders>
              <w:top w:val="single" w:sz="4" w:space="0" w:color="auto"/>
              <w:left w:val="nil"/>
              <w:bottom w:val="single" w:sz="4" w:space="0" w:color="auto"/>
              <w:right w:val="nil"/>
            </w:tcBorders>
            <w:shd w:val="clear" w:color="auto" w:fill="auto"/>
            <w:noWrap/>
            <w:vAlign w:val="center"/>
            <w:hideMark/>
          </w:tcPr>
          <w:p w14:paraId="0967577B" w14:textId="77777777" w:rsidR="00914E90" w:rsidRPr="00202C83" w:rsidRDefault="00914E90" w:rsidP="008B444E">
            <w:pPr>
              <w:widowControl/>
              <w:ind w:firstLineChars="100" w:firstLine="180"/>
              <w:rPr>
                <w:rFonts w:ascii="仿宋_GB2312" w:eastAsia="仿宋_GB2312" w:hAnsi="微软雅黑" w:cs="Arial Unicode MS"/>
                <w:color w:val="000000"/>
                <w:sz w:val="18"/>
                <w:szCs w:val="18"/>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3C4E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Ⅱ—17</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2BF4B23F"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±９．６％</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566F1C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Ⅱ—17</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39573A49"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±９．３％</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6263E32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2D0F1B54"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069C15C9"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623CEBD9"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5630C86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979" w:type="dxa"/>
            <w:tcBorders>
              <w:top w:val="single" w:sz="4" w:space="0" w:color="auto"/>
              <w:left w:val="nil"/>
              <w:bottom w:val="single" w:sz="4" w:space="0" w:color="auto"/>
              <w:right w:val="nil"/>
            </w:tcBorders>
            <w:shd w:val="clear" w:color="auto" w:fill="auto"/>
            <w:noWrap/>
            <w:vAlign w:val="center"/>
            <w:hideMark/>
          </w:tcPr>
          <w:p w14:paraId="28844EAA" w14:textId="77777777" w:rsidR="00914E90" w:rsidRPr="00202C83" w:rsidRDefault="00914E90" w:rsidP="008B444E">
            <w:pPr>
              <w:widowControl/>
              <w:ind w:firstLineChars="100" w:firstLine="180"/>
              <w:rPr>
                <w:rFonts w:ascii="仿宋_GB2312" w:eastAsia="仿宋_GB2312" w:hAnsi="微软雅黑" w:cs="Arial Unicode MS"/>
                <w:color w:val="000000"/>
                <w:sz w:val="18"/>
                <w:szCs w:val="18"/>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A9B4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Ⅱ—18</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55B41CF4"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±７．６％</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9C7A9F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Ⅱ—18</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7BD01CBA"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±９．２％</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79EB0E2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498B788A"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6C967A21"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2CFC76B8"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6C633B3F"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979" w:type="dxa"/>
            <w:tcBorders>
              <w:top w:val="single" w:sz="4" w:space="0" w:color="auto"/>
              <w:left w:val="nil"/>
              <w:bottom w:val="single" w:sz="4" w:space="0" w:color="auto"/>
              <w:right w:val="nil"/>
            </w:tcBorders>
            <w:shd w:val="clear" w:color="auto" w:fill="auto"/>
            <w:noWrap/>
            <w:vAlign w:val="center"/>
            <w:hideMark/>
          </w:tcPr>
          <w:p w14:paraId="35E4C7E3" w14:textId="77777777" w:rsidR="00914E90" w:rsidRPr="00202C83" w:rsidRDefault="00914E90" w:rsidP="008B444E">
            <w:pPr>
              <w:widowControl/>
              <w:ind w:firstLineChars="100" w:firstLine="180"/>
              <w:rPr>
                <w:rFonts w:ascii="仿宋_GB2312" w:eastAsia="仿宋_GB2312" w:hAnsi="微软雅黑" w:cs="Arial Unicode MS"/>
                <w:color w:val="000000"/>
                <w:sz w:val="18"/>
                <w:szCs w:val="18"/>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52DC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Ⅱ—19</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214ADF4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±７．６％</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063628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Ⅱ—19</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0FC8C64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±９．２％</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246BE38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5A04289A"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bookmarkEnd w:id="307"/>
    </w:tbl>
    <w:p w14:paraId="63D82A30"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rPr>
      </w:pPr>
    </w:p>
    <w:p w14:paraId="76D76A58"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lastRenderedPageBreak/>
        <w:t>因素修正系数</w:t>
      </w:r>
      <w:r w:rsidRPr="00F631FB">
        <w:rPr>
          <w:rFonts w:ascii="Arial" w:eastAsia="仿宋_GB2312" w:hAnsi="Arial" w:cs="Arial"/>
          <w:sz w:val="28"/>
        </w:rPr>
        <w:t>=1</w:t>
      </w:r>
      <w:r w:rsidRPr="00F631FB">
        <w:rPr>
          <w:rFonts w:ascii="Arial" w:eastAsia="仿宋_GB2312" w:hAnsi="Arial" w:cs="Arial"/>
          <w:sz w:val="28"/>
          <w:szCs w:val="29"/>
        </w:rPr>
        <w:t>＋</w:t>
      </w:r>
      <w:r w:rsidRPr="00F631FB">
        <w:rPr>
          <w:rFonts w:ascii="Arial" w:eastAsia="仿宋_GB2312" w:hAnsi="Arial" w:cs="Arial"/>
          <w:sz w:val="28"/>
        </w:rPr>
        <w:t>∑</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p>
    <w:p w14:paraId="4117BC49"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其中</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r w:rsidRPr="00F631FB">
        <w:rPr>
          <w:rFonts w:ascii="Arial" w:eastAsia="仿宋_GB2312" w:hAnsi="Arial" w:cs="Arial"/>
          <w:sz w:val="28"/>
        </w:rPr>
        <w:t>：第</w:t>
      </w:r>
      <w:proofErr w:type="spellStart"/>
      <w:r w:rsidRPr="00F631FB">
        <w:rPr>
          <w:rFonts w:ascii="Arial" w:eastAsia="仿宋_GB2312" w:hAnsi="Arial" w:cs="Arial"/>
          <w:sz w:val="28"/>
        </w:rPr>
        <w:t>i</w:t>
      </w:r>
      <w:proofErr w:type="spellEnd"/>
      <w:r w:rsidRPr="00F631FB">
        <w:rPr>
          <w:rFonts w:ascii="Arial" w:eastAsia="仿宋_GB2312" w:hAnsi="Arial" w:cs="Arial"/>
          <w:sz w:val="28"/>
        </w:rPr>
        <w:t>种因素的修正系数</w:t>
      </w:r>
    </w:p>
    <w:p w14:paraId="469F2259"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各因素的修正系数根据影响地价的因素权重和因素总修正幅度确定。</w:t>
      </w:r>
    </w:p>
    <w:p w14:paraId="61F58466" w14:textId="77777777" w:rsidR="00914E90" w:rsidRPr="00F631FB" w:rsidRDefault="00914E90" w:rsidP="00914E90">
      <w:pPr>
        <w:overflowPunct w:val="0"/>
        <w:spacing w:line="360" w:lineRule="auto"/>
        <w:ind w:firstLineChars="200" w:firstLine="482"/>
        <w:jc w:val="center"/>
        <w:textAlignment w:val="auto"/>
        <w:rPr>
          <w:rFonts w:ascii="Arial" w:eastAsia="仿宋_GB2312" w:hAnsi="Arial" w:cs="Arial"/>
          <w:b/>
          <w:bCs/>
          <w:szCs w:val="24"/>
        </w:rPr>
      </w:pPr>
      <w:r w:rsidRPr="00F631FB">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914E90" w:rsidRPr="00F631FB" w14:paraId="2E4B0FF2" w14:textId="77777777" w:rsidTr="008B444E">
        <w:trPr>
          <w:cantSplit/>
          <w:tblHeader/>
          <w:jc w:val="center"/>
        </w:trPr>
        <w:tc>
          <w:tcPr>
            <w:tcW w:w="2324" w:type="dxa"/>
            <w:gridSpan w:val="2"/>
            <w:shd w:val="clear" w:color="auto" w:fill="auto"/>
            <w:noWrap/>
            <w:vAlign w:val="center"/>
            <w:hideMark/>
          </w:tcPr>
          <w:p w14:paraId="22E5359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w:t>
            </w:r>
          </w:p>
        </w:tc>
        <w:tc>
          <w:tcPr>
            <w:tcW w:w="2325" w:type="dxa"/>
            <w:gridSpan w:val="2"/>
            <w:shd w:val="clear" w:color="auto" w:fill="auto"/>
            <w:noWrap/>
            <w:vAlign w:val="center"/>
            <w:hideMark/>
          </w:tcPr>
          <w:p w14:paraId="4E46ABD7"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w:t>
            </w:r>
          </w:p>
        </w:tc>
        <w:tc>
          <w:tcPr>
            <w:tcW w:w="2325" w:type="dxa"/>
            <w:gridSpan w:val="2"/>
            <w:shd w:val="clear" w:color="auto" w:fill="auto"/>
            <w:noWrap/>
            <w:vAlign w:val="center"/>
            <w:hideMark/>
          </w:tcPr>
          <w:p w14:paraId="083B2EDA"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w:t>
            </w:r>
          </w:p>
        </w:tc>
        <w:tc>
          <w:tcPr>
            <w:tcW w:w="2325" w:type="dxa"/>
            <w:gridSpan w:val="2"/>
            <w:shd w:val="clear" w:color="auto" w:fill="auto"/>
            <w:noWrap/>
            <w:vAlign w:val="center"/>
            <w:hideMark/>
          </w:tcPr>
          <w:p w14:paraId="61810935"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工业</w:t>
            </w:r>
          </w:p>
        </w:tc>
      </w:tr>
      <w:tr w:rsidR="00914E90" w:rsidRPr="00F631FB" w14:paraId="2DA3D772" w14:textId="77777777" w:rsidTr="008B444E">
        <w:trPr>
          <w:cantSplit/>
          <w:jc w:val="center"/>
        </w:trPr>
        <w:tc>
          <w:tcPr>
            <w:tcW w:w="1702" w:type="dxa"/>
            <w:shd w:val="clear" w:color="auto" w:fill="auto"/>
            <w:noWrap/>
            <w:vAlign w:val="center"/>
            <w:hideMark/>
          </w:tcPr>
          <w:p w14:paraId="10AF7AA7"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22" w:type="dxa"/>
            <w:shd w:val="clear" w:color="auto" w:fill="auto"/>
            <w:noWrap/>
            <w:vAlign w:val="center"/>
            <w:hideMark/>
          </w:tcPr>
          <w:p w14:paraId="370113F0"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46" w:type="dxa"/>
            <w:shd w:val="clear" w:color="auto" w:fill="auto"/>
            <w:noWrap/>
            <w:vAlign w:val="center"/>
            <w:hideMark/>
          </w:tcPr>
          <w:p w14:paraId="3F66ABAA"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79" w:type="dxa"/>
            <w:shd w:val="clear" w:color="auto" w:fill="auto"/>
            <w:noWrap/>
            <w:vAlign w:val="center"/>
            <w:hideMark/>
          </w:tcPr>
          <w:p w14:paraId="60D46B8D"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731" w:type="dxa"/>
            <w:shd w:val="clear" w:color="auto" w:fill="auto"/>
            <w:noWrap/>
            <w:vAlign w:val="center"/>
            <w:hideMark/>
          </w:tcPr>
          <w:p w14:paraId="502EF569"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594" w:type="dxa"/>
            <w:shd w:val="clear" w:color="auto" w:fill="auto"/>
            <w:noWrap/>
            <w:vAlign w:val="center"/>
            <w:hideMark/>
          </w:tcPr>
          <w:p w14:paraId="34899A4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74" w:type="dxa"/>
            <w:shd w:val="clear" w:color="auto" w:fill="auto"/>
            <w:noWrap/>
            <w:vAlign w:val="center"/>
            <w:hideMark/>
          </w:tcPr>
          <w:p w14:paraId="1DF08D8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51" w:type="dxa"/>
            <w:shd w:val="clear" w:color="auto" w:fill="auto"/>
            <w:noWrap/>
            <w:vAlign w:val="center"/>
            <w:hideMark/>
          </w:tcPr>
          <w:p w14:paraId="307257EC"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r>
      <w:tr w:rsidR="00914E90" w:rsidRPr="00F631FB" w14:paraId="30168E9F" w14:textId="77777777" w:rsidTr="008B444E">
        <w:trPr>
          <w:cantSplit/>
          <w:jc w:val="center"/>
        </w:trPr>
        <w:tc>
          <w:tcPr>
            <w:tcW w:w="1702" w:type="dxa"/>
            <w:shd w:val="clear" w:color="auto" w:fill="auto"/>
            <w:vAlign w:val="center"/>
            <w:hideMark/>
          </w:tcPr>
          <w:p w14:paraId="018CFAAC"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商业繁华程度</w:t>
            </w:r>
          </w:p>
        </w:tc>
        <w:tc>
          <w:tcPr>
            <w:tcW w:w="622" w:type="dxa"/>
            <w:shd w:val="clear" w:color="auto" w:fill="auto"/>
            <w:vAlign w:val="center"/>
            <w:hideMark/>
          </w:tcPr>
          <w:p w14:paraId="18794C30"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c>
          <w:tcPr>
            <w:tcW w:w="1646" w:type="dxa"/>
            <w:shd w:val="clear" w:color="auto" w:fill="auto"/>
            <w:vAlign w:val="center"/>
            <w:hideMark/>
          </w:tcPr>
          <w:p w14:paraId="006C8DA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办公集聚程度</w:t>
            </w:r>
          </w:p>
        </w:tc>
        <w:tc>
          <w:tcPr>
            <w:tcW w:w="679" w:type="dxa"/>
            <w:shd w:val="clear" w:color="auto" w:fill="auto"/>
            <w:vAlign w:val="center"/>
            <w:hideMark/>
          </w:tcPr>
          <w:p w14:paraId="5F831832"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24%</w:t>
            </w:r>
          </w:p>
        </w:tc>
        <w:tc>
          <w:tcPr>
            <w:tcW w:w="1731" w:type="dxa"/>
            <w:shd w:val="clear" w:color="auto" w:fill="auto"/>
            <w:vAlign w:val="center"/>
            <w:hideMark/>
          </w:tcPr>
          <w:p w14:paraId="4344142A"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居住社区成熟度</w:t>
            </w:r>
          </w:p>
        </w:tc>
        <w:tc>
          <w:tcPr>
            <w:tcW w:w="594" w:type="dxa"/>
            <w:shd w:val="clear" w:color="auto" w:fill="auto"/>
            <w:vAlign w:val="center"/>
            <w:hideMark/>
          </w:tcPr>
          <w:p w14:paraId="25C65C5C"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14%</w:t>
            </w:r>
          </w:p>
        </w:tc>
        <w:tc>
          <w:tcPr>
            <w:tcW w:w="1674" w:type="dxa"/>
            <w:shd w:val="clear" w:color="auto" w:fill="auto"/>
            <w:vAlign w:val="center"/>
            <w:hideMark/>
          </w:tcPr>
          <w:p w14:paraId="45D20BBD"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产业集聚程度</w:t>
            </w:r>
          </w:p>
        </w:tc>
        <w:tc>
          <w:tcPr>
            <w:tcW w:w="651" w:type="dxa"/>
            <w:shd w:val="clear" w:color="auto" w:fill="auto"/>
            <w:vAlign w:val="center"/>
            <w:hideMark/>
          </w:tcPr>
          <w:p w14:paraId="2619351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26%</w:t>
            </w:r>
          </w:p>
        </w:tc>
      </w:tr>
      <w:tr w:rsidR="00914E90" w:rsidRPr="00F631FB" w14:paraId="4EED2346" w14:textId="77777777" w:rsidTr="008B444E">
        <w:trPr>
          <w:cantSplit/>
          <w:jc w:val="center"/>
        </w:trPr>
        <w:tc>
          <w:tcPr>
            <w:tcW w:w="1702" w:type="dxa"/>
            <w:shd w:val="clear" w:color="auto" w:fill="auto"/>
            <w:vAlign w:val="center"/>
            <w:hideMark/>
          </w:tcPr>
          <w:p w14:paraId="6C6A2660"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22" w:type="dxa"/>
            <w:shd w:val="clear" w:color="auto" w:fill="auto"/>
            <w:vAlign w:val="center"/>
            <w:hideMark/>
          </w:tcPr>
          <w:p w14:paraId="3F4F2F0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25%</w:t>
            </w:r>
          </w:p>
        </w:tc>
        <w:tc>
          <w:tcPr>
            <w:tcW w:w="1646" w:type="dxa"/>
            <w:shd w:val="clear" w:color="auto" w:fill="auto"/>
            <w:vAlign w:val="center"/>
            <w:hideMark/>
          </w:tcPr>
          <w:p w14:paraId="5BCD016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79" w:type="dxa"/>
            <w:shd w:val="clear" w:color="auto" w:fill="auto"/>
            <w:vAlign w:val="center"/>
            <w:hideMark/>
          </w:tcPr>
          <w:p w14:paraId="62BCAE87"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731" w:type="dxa"/>
            <w:shd w:val="clear" w:color="auto" w:fill="auto"/>
            <w:vAlign w:val="center"/>
            <w:hideMark/>
          </w:tcPr>
          <w:p w14:paraId="7B805B83"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594" w:type="dxa"/>
            <w:shd w:val="clear" w:color="auto" w:fill="auto"/>
            <w:vAlign w:val="center"/>
            <w:hideMark/>
          </w:tcPr>
          <w:p w14:paraId="0643B511"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674" w:type="dxa"/>
            <w:shd w:val="clear" w:color="auto" w:fill="auto"/>
            <w:vAlign w:val="center"/>
            <w:hideMark/>
          </w:tcPr>
          <w:p w14:paraId="6E86060B"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51" w:type="dxa"/>
            <w:shd w:val="clear" w:color="auto" w:fill="auto"/>
            <w:vAlign w:val="center"/>
            <w:hideMark/>
          </w:tcPr>
          <w:p w14:paraId="26A2CF0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r>
      <w:tr w:rsidR="00914E90" w:rsidRPr="00F631FB" w14:paraId="5BA8D287" w14:textId="77777777" w:rsidTr="008B444E">
        <w:trPr>
          <w:cantSplit/>
          <w:jc w:val="center"/>
        </w:trPr>
        <w:tc>
          <w:tcPr>
            <w:tcW w:w="1702" w:type="dxa"/>
            <w:shd w:val="clear" w:color="auto" w:fill="auto"/>
            <w:vAlign w:val="center"/>
            <w:hideMark/>
          </w:tcPr>
          <w:p w14:paraId="7A6F0533"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22" w:type="dxa"/>
            <w:shd w:val="clear" w:color="auto" w:fill="auto"/>
            <w:vAlign w:val="center"/>
            <w:hideMark/>
          </w:tcPr>
          <w:p w14:paraId="10276E64"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53C2A55A"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79" w:type="dxa"/>
            <w:shd w:val="clear" w:color="auto" w:fill="auto"/>
            <w:vAlign w:val="center"/>
            <w:hideMark/>
          </w:tcPr>
          <w:p w14:paraId="6D4E624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731" w:type="dxa"/>
            <w:shd w:val="clear" w:color="auto" w:fill="auto"/>
            <w:vAlign w:val="center"/>
            <w:hideMark/>
          </w:tcPr>
          <w:p w14:paraId="731D5645"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594" w:type="dxa"/>
            <w:shd w:val="clear" w:color="auto" w:fill="auto"/>
            <w:vAlign w:val="center"/>
            <w:hideMark/>
          </w:tcPr>
          <w:p w14:paraId="4783877B"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1BF1619D"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51" w:type="dxa"/>
            <w:shd w:val="clear" w:color="auto" w:fill="auto"/>
            <w:vAlign w:val="center"/>
            <w:hideMark/>
          </w:tcPr>
          <w:p w14:paraId="163A750B"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914E90" w:rsidRPr="00F631FB" w14:paraId="0F8F9E43" w14:textId="77777777" w:rsidTr="008B444E">
        <w:trPr>
          <w:cantSplit/>
          <w:jc w:val="center"/>
        </w:trPr>
        <w:tc>
          <w:tcPr>
            <w:tcW w:w="1702" w:type="dxa"/>
            <w:shd w:val="clear" w:color="auto" w:fill="auto"/>
            <w:vAlign w:val="center"/>
            <w:hideMark/>
          </w:tcPr>
          <w:p w14:paraId="76A17356"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22" w:type="dxa"/>
            <w:shd w:val="clear" w:color="auto" w:fill="auto"/>
            <w:vAlign w:val="center"/>
            <w:hideMark/>
          </w:tcPr>
          <w:p w14:paraId="2AD2927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6B49D28B"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79" w:type="dxa"/>
            <w:shd w:val="clear" w:color="auto" w:fill="auto"/>
            <w:vAlign w:val="center"/>
            <w:hideMark/>
          </w:tcPr>
          <w:p w14:paraId="0A1F0D3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731" w:type="dxa"/>
            <w:shd w:val="clear" w:color="auto" w:fill="auto"/>
            <w:vAlign w:val="center"/>
            <w:hideMark/>
          </w:tcPr>
          <w:p w14:paraId="644BC8FB"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594" w:type="dxa"/>
            <w:shd w:val="clear" w:color="auto" w:fill="auto"/>
            <w:vAlign w:val="center"/>
            <w:hideMark/>
          </w:tcPr>
          <w:p w14:paraId="4A6A2DA2"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666581A2"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651" w:type="dxa"/>
            <w:shd w:val="clear" w:color="auto" w:fill="auto"/>
            <w:vAlign w:val="center"/>
            <w:hideMark/>
          </w:tcPr>
          <w:p w14:paraId="5F2AFF43"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r>
      <w:tr w:rsidR="00914E90" w:rsidRPr="00F631FB" w14:paraId="1362A891" w14:textId="77777777" w:rsidTr="008B444E">
        <w:trPr>
          <w:cantSplit/>
          <w:jc w:val="center"/>
        </w:trPr>
        <w:tc>
          <w:tcPr>
            <w:tcW w:w="1702" w:type="dxa"/>
            <w:shd w:val="clear" w:color="auto" w:fill="auto"/>
            <w:vAlign w:val="center"/>
            <w:hideMark/>
          </w:tcPr>
          <w:p w14:paraId="13B7198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22" w:type="dxa"/>
            <w:shd w:val="clear" w:color="auto" w:fill="auto"/>
            <w:vAlign w:val="center"/>
            <w:hideMark/>
          </w:tcPr>
          <w:p w14:paraId="725C0C50"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46" w:type="dxa"/>
            <w:shd w:val="clear" w:color="auto" w:fill="auto"/>
            <w:vAlign w:val="center"/>
            <w:hideMark/>
          </w:tcPr>
          <w:p w14:paraId="50514DF3"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79" w:type="dxa"/>
            <w:shd w:val="clear" w:color="auto" w:fill="auto"/>
            <w:vAlign w:val="center"/>
            <w:hideMark/>
          </w:tcPr>
          <w:p w14:paraId="5A284AE7"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56CE61C6"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594" w:type="dxa"/>
            <w:shd w:val="clear" w:color="auto" w:fill="auto"/>
            <w:vAlign w:val="center"/>
            <w:hideMark/>
          </w:tcPr>
          <w:p w14:paraId="4689CB4F"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2F49827F"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51" w:type="dxa"/>
            <w:shd w:val="clear" w:color="auto" w:fill="auto"/>
            <w:vAlign w:val="center"/>
            <w:hideMark/>
          </w:tcPr>
          <w:p w14:paraId="32201216"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914E90" w:rsidRPr="00F631FB" w14:paraId="7E11AE29" w14:textId="77777777" w:rsidTr="008B444E">
        <w:trPr>
          <w:cantSplit/>
          <w:jc w:val="center"/>
        </w:trPr>
        <w:tc>
          <w:tcPr>
            <w:tcW w:w="1702" w:type="dxa"/>
            <w:shd w:val="clear" w:color="auto" w:fill="auto"/>
            <w:vAlign w:val="center"/>
            <w:hideMark/>
          </w:tcPr>
          <w:p w14:paraId="4AE97C9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22" w:type="dxa"/>
            <w:shd w:val="clear" w:color="auto" w:fill="auto"/>
            <w:vAlign w:val="center"/>
            <w:hideMark/>
          </w:tcPr>
          <w:p w14:paraId="7A5DBCB7"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w:t>
            </w:r>
          </w:p>
        </w:tc>
        <w:tc>
          <w:tcPr>
            <w:tcW w:w="1646" w:type="dxa"/>
            <w:shd w:val="clear" w:color="auto" w:fill="auto"/>
            <w:vAlign w:val="center"/>
            <w:hideMark/>
          </w:tcPr>
          <w:p w14:paraId="791DAF17"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79" w:type="dxa"/>
            <w:shd w:val="clear" w:color="auto" w:fill="auto"/>
            <w:vAlign w:val="center"/>
            <w:hideMark/>
          </w:tcPr>
          <w:p w14:paraId="02D2F3E1"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71E2AF37"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594" w:type="dxa"/>
            <w:shd w:val="clear" w:color="auto" w:fill="auto"/>
            <w:vAlign w:val="center"/>
            <w:hideMark/>
          </w:tcPr>
          <w:p w14:paraId="2068BED4"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74" w:type="dxa"/>
            <w:shd w:val="clear" w:color="auto" w:fill="auto"/>
            <w:vAlign w:val="center"/>
            <w:hideMark/>
          </w:tcPr>
          <w:p w14:paraId="6D6DA082"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51" w:type="dxa"/>
            <w:shd w:val="clear" w:color="auto" w:fill="auto"/>
            <w:vAlign w:val="center"/>
            <w:hideMark/>
          </w:tcPr>
          <w:p w14:paraId="21B37EBC"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914E90" w:rsidRPr="00F631FB" w14:paraId="0E157CD2" w14:textId="77777777" w:rsidTr="008B444E">
        <w:trPr>
          <w:cantSplit/>
          <w:jc w:val="center"/>
        </w:trPr>
        <w:tc>
          <w:tcPr>
            <w:tcW w:w="1702" w:type="dxa"/>
            <w:shd w:val="clear" w:color="auto" w:fill="auto"/>
            <w:vAlign w:val="center"/>
            <w:hideMark/>
          </w:tcPr>
          <w:p w14:paraId="0753601F"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22" w:type="dxa"/>
            <w:shd w:val="clear" w:color="auto" w:fill="auto"/>
            <w:vAlign w:val="center"/>
            <w:hideMark/>
          </w:tcPr>
          <w:p w14:paraId="249B373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71A2FEEA"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79" w:type="dxa"/>
            <w:shd w:val="clear" w:color="auto" w:fill="auto"/>
            <w:vAlign w:val="center"/>
            <w:hideMark/>
          </w:tcPr>
          <w:p w14:paraId="151A5C75"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2F59BB50"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594" w:type="dxa"/>
            <w:shd w:val="clear" w:color="auto" w:fill="auto"/>
            <w:vAlign w:val="center"/>
            <w:hideMark/>
          </w:tcPr>
          <w:p w14:paraId="2073B87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674" w:type="dxa"/>
            <w:shd w:val="clear" w:color="auto" w:fill="auto"/>
            <w:vAlign w:val="center"/>
            <w:hideMark/>
          </w:tcPr>
          <w:p w14:paraId="127977B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51" w:type="dxa"/>
            <w:shd w:val="clear" w:color="auto" w:fill="auto"/>
            <w:vAlign w:val="center"/>
            <w:hideMark/>
          </w:tcPr>
          <w:p w14:paraId="58F36FD1"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r>
      <w:tr w:rsidR="00914E90" w:rsidRPr="00F631FB" w14:paraId="67C75BD4" w14:textId="77777777" w:rsidTr="008B444E">
        <w:trPr>
          <w:cantSplit/>
          <w:jc w:val="center"/>
        </w:trPr>
        <w:tc>
          <w:tcPr>
            <w:tcW w:w="1702" w:type="dxa"/>
            <w:shd w:val="clear" w:color="auto" w:fill="auto"/>
            <w:vAlign w:val="center"/>
            <w:hideMark/>
          </w:tcPr>
          <w:p w14:paraId="69623A3C"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22" w:type="dxa"/>
            <w:shd w:val="clear" w:color="auto" w:fill="auto"/>
            <w:vAlign w:val="center"/>
            <w:hideMark/>
          </w:tcPr>
          <w:p w14:paraId="7861079B"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10%</w:t>
            </w:r>
          </w:p>
        </w:tc>
        <w:tc>
          <w:tcPr>
            <w:tcW w:w="1646" w:type="dxa"/>
            <w:shd w:val="clear" w:color="auto" w:fill="auto"/>
            <w:vAlign w:val="center"/>
            <w:hideMark/>
          </w:tcPr>
          <w:p w14:paraId="3D6DB02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79" w:type="dxa"/>
            <w:shd w:val="clear" w:color="auto" w:fill="auto"/>
            <w:vAlign w:val="center"/>
            <w:hideMark/>
          </w:tcPr>
          <w:p w14:paraId="340BC945"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731" w:type="dxa"/>
            <w:shd w:val="clear" w:color="auto" w:fill="auto"/>
            <w:vAlign w:val="center"/>
            <w:hideMark/>
          </w:tcPr>
          <w:p w14:paraId="433534A2"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594" w:type="dxa"/>
            <w:shd w:val="clear" w:color="auto" w:fill="auto"/>
            <w:vAlign w:val="center"/>
            <w:hideMark/>
          </w:tcPr>
          <w:p w14:paraId="6B30F926"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c>
          <w:tcPr>
            <w:tcW w:w="1674" w:type="dxa"/>
            <w:shd w:val="clear" w:color="auto" w:fill="auto"/>
            <w:vAlign w:val="center"/>
            <w:hideMark/>
          </w:tcPr>
          <w:p w14:paraId="50D31FE3"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环境状况</w:t>
            </w:r>
          </w:p>
        </w:tc>
        <w:tc>
          <w:tcPr>
            <w:tcW w:w="651" w:type="dxa"/>
            <w:shd w:val="clear" w:color="auto" w:fill="auto"/>
            <w:vAlign w:val="center"/>
            <w:hideMark/>
          </w:tcPr>
          <w:p w14:paraId="4E7B35AF"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914E90" w:rsidRPr="00F631FB" w14:paraId="1C9F8F80" w14:textId="77777777" w:rsidTr="008B444E">
        <w:trPr>
          <w:cantSplit/>
          <w:jc w:val="center"/>
        </w:trPr>
        <w:tc>
          <w:tcPr>
            <w:tcW w:w="1702" w:type="dxa"/>
            <w:shd w:val="clear" w:color="auto" w:fill="auto"/>
            <w:vAlign w:val="center"/>
            <w:hideMark/>
          </w:tcPr>
          <w:p w14:paraId="661ACB60"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22" w:type="dxa"/>
            <w:shd w:val="clear" w:color="auto" w:fill="auto"/>
            <w:vAlign w:val="center"/>
            <w:hideMark/>
          </w:tcPr>
          <w:p w14:paraId="2CF90947"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646" w:type="dxa"/>
            <w:shd w:val="clear" w:color="auto" w:fill="auto"/>
            <w:vAlign w:val="center"/>
            <w:hideMark/>
          </w:tcPr>
          <w:p w14:paraId="68E5B5B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79" w:type="dxa"/>
            <w:shd w:val="clear" w:color="auto" w:fill="auto"/>
            <w:vAlign w:val="center"/>
            <w:hideMark/>
          </w:tcPr>
          <w:p w14:paraId="4F7A28C4"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1C7AD2E1"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与区域中心的接近程度</w:t>
            </w:r>
          </w:p>
        </w:tc>
        <w:tc>
          <w:tcPr>
            <w:tcW w:w="594" w:type="dxa"/>
            <w:shd w:val="clear" w:color="auto" w:fill="auto"/>
            <w:vAlign w:val="center"/>
            <w:hideMark/>
          </w:tcPr>
          <w:p w14:paraId="2EF8B5E4"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1666AF7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c>
          <w:tcPr>
            <w:tcW w:w="651" w:type="dxa"/>
            <w:shd w:val="clear" w:color="auto" w:fill="auto"/>
            <w:vAlign w:val="center"/>
            <w:hideMark/>
          </w:tcPr>
          <w:p w14:paraId="7C672912"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r>
    </w:tbl>
    <w:p w14:paraId="3050F3FF" w14:textId="77777777" w:rsidR="00914E90" w:rsidRPr="00F631FB" w:rsidRDefault="00914E90" w:rsidP="00914E90">
      <w:pPr>
        <w:widowControl/>
        <w:adjustRightInd/>
        <w:spacing w:line="240" w:lineRule="exact"/>
        <w:textAlignment w:val="auto"/>
        <w:rPr>
          <w:rFonts w:ascii="Arial" w:eastAsia="仿宋_GB2312" w:hAnsi="Arial" w:cs="Arial"/>
          <w:sz w:val="18"/>
          <w:szCs w:val="24"/>
        </w:rPr>
      </w:pPr>
    </w:p>
    <w:p w14:paraId="2CAD56F4" w14:textId="77777777" w:rsidR="00914E90" w:rsidRPr="00F631FB" w:rsidRDefault="00914E90" w:rsidP="00914E90">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估价对象位于</w:t>
      </w:r>
      <w:r>
        <w:rPr>
          <w:rFonts w:ascii="Arial" w:eastAsia="仿宋_GB2312" w:hAnsi="Arial" w:cs="Arial" w:hint="eastAsia"/>
          <w:sz w:val="28"/>
          <w:szCs w:val="28"/>
        </w:rPr>
        <w:t>办公类二级</w:t>
      </w:r>
      <w:r w:rsidRPr="00F631FB">
        <w:rPr>
          <w:rFonts w:ascii="Arial" w:eastAsia="仿宋_GB2312" w:hAnsi="Arial" w:cs="Arial"/>
          <w:sz w:val="28"/>
          <w:szCs w:val="28"/>
        </w:rPr>
        <w:t>地价区，该级别《区片基准地价因素总修正幅度表》</w:t>
      </w:r>
      <w:r w:rsidRPr="00F631FB">
        <w:rPr>
          <w:rFonts w:ascii="Arial" w:eastAsia="仿宋_GB2312" w:hAnsi="Arial" w:cs="Arial" w:hint="eastAsia"/>
          <w:sz w:val="28"/>
          <w:szCs w:val="28"/>
        </w:rPr>
        <w:t>详见居住用途测算过程。</w:t>
      </w:r>
    </w:p>
    <w:p w14:paraId="10ED95E7" w14:textId="77777777" w:rsidR="00914E90" w:rsidRPr="00F631FB" w:rsidRDefault="00914E90" w:rsidP="00914E90">
      <w:pPr>
        <w:widowControl/>
        <w:adjustRightInd/>
        <w:spacing w:line="240" w:lineRule="auto"/>
        <w:jc w:val="center"/>
        <w:textAlignment w:val="auto"/>
        <w:rPr>
          <w:rFonts w:ascii="Arial" w:eastAsia="仿宋_GB2312" w:hAnsi="Arial" w:cs="Arial"/>
          <w:sz w:val="28"/>
        </w:rPr>
      </w:pPr>
      <w:r w:rsidRPr="00F631FB">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914E90" w:rsidRPr="00F631FB" w14:paraId="53FAB7B3" w14:textId="77777777" w:rsidTr="008B444E">
        <w:trPr>
          <w:cantSplit/>
          <w:tblHeader/>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59C686F" w14:textId="77777777" w:rsidR="00914E90" w:rsidRPr="00F631FB" w:rsidRDefault="00914E90" w:rsidP="008B444E">
            <w:pPr>
              <w:widowControl/>
              <w:adjustRightInd/>
              <w:spacing w:line="240" w:lineRule="exact"/>
              <w:ind w:firstLineChars="650" w:firstLine="1170"/>
              <w:jc w:val="right"/>
              <w:rPr>
                <w:rFonts w:ascii="Arial" w:eastAsia="仿宋_GB2312" w:hAnsi="Arial" w:cs="Arial"/>
                <w:sz w:val="18"/>
                <w:szCs w:val="24"/>
              </w:rPr>
            </w:pPr>
            <w:r w:rsidRPr="00F631FB">
              <w:rPr>
                <w:rFonts w:ascii="Arial" w:eastAsia="仿宋_GB2312" w:hAnsi="Arial" w:cs="Arial" w:hint="eastAsia"/>
                <w:sz w:val="18"/>
                <w:szCs w:val="24"/>
              </w:rPr>
              <w:t>等级</w:t>
            </w:r>
          </w:p>
          <w:p w14:paraId="5C5F0F90"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5E4EBB7"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A33B49A"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CA47214"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BB9461A"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C32F4F"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差</w:t>
            </w:r>
          </w:p>
        </w:tc>
      </w:tr>
      <w:tr w:rsidR="00914E90" w:rsidRPr="00F631FB" w14:paraId="200C1E2D"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54662B3D"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办公集聚程度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959B80" w14:textId="77777777" w:rsidR="00914E90" w:rsidRPr="00F631FB" w:rsidRDefault="00914E90" w:rsidP="008B444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7B5D41" w14:textId="77777777" w:rsidR="00914E90" w:rsidRPr="00F631FB" w:rsidRDefault="00914E90" w:rsidP="008B444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3B58C36" w14:textId="77777777" w:rsidR="00914E90" w:rsidRPr="00F631FB" w:rsidRDefault="00914E90" w:rsidP="008B444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周围办公用房较少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D0C85D" w14:textId="77777777" w:rsidR="00914E90" w:rsidRPr="00F631FB" w:rsidRDefault="00914E90" w:rsidP="008B444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2A35BF9" w14:textId="77777777" w:rsidR="00914E90" w:rsidRPr="00F631FB" w:rsidRDefault="00914E90" w:rsidP="008B444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周围办公用房基本无</w:t>
            </w:r>
          </w:p>
        </w:tc>
      </w:tr>
      <w:tr w:rsidR="00914E90" w:rsidRPr="00F631FB" w14:paraId="6E74CE79"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BEE591A"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1DCE920"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2E850AF"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较便捷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56C1E2B"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FCE343B"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4B6A8C2"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不便捷</w:t>
            </w:r>
          </w:p>
        </w:tc>
      </w:tr>
      <w:tr w:rsidR="00914E90" w:rsidRPr="00F631FB" w14:paraId="58E772CB"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221FA69"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C904AC3"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90F2A9" w14:textId="77777777" w:rsidR="00914E90" w:rsidRPr="00F631FB" w:rsidRDefault="00914E90" w:rsidP="008B444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零星有</w:t>
            </w:r>
            <w:proofErr w:type="gramEnd"/>
            <w:r w:rsidRPr="00F631FB">
              <w:rPr>
                <w:rFonts w:ascii="Arial" w:eastAsia="仿宋_GB2312" w:hAnsi="Arial" w:cs="Arial" w:hint="eastAsia"/>
                <w:sz w:val="18"/>
                <w:szCs w:val="24"/>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1B9EC61"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4ADF471"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0877D87"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全部为其他用地，对本宗地有大的影响</w:t>
            </w:r>
          </w:p>
        </w:tc>
      </w:tr>
      <w:tr w:rsidR="00914E90" w:rsidRPr="00F631FB" w14:paraId="52B64653"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22BABEA"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6F0581"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32E301"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13B7F98"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29AC914"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720DC75"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临街宽度及深度比例不适宜，影响土地利用</w:t>
            </w:r>
          </w:p>
        </w:tc>
      </w:tr>
      <w:tr w:rsidR="00914E90" w:rsidRPr="00F631FB" w14:paraId="4CD0CC0E"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5B4C57B"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308C5AA" w14:textId="77777777" w:rsidR="00914E90" w:rsidRPr="00F631FB" w:rsidRDefault="00914E90" w:rsidP="008B444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临城市</w:t>
            </w:r>
            <w:proofErr w:type="gramEnd"/>
            <w:r w:rsidRPr="00F631FB">
              <w:rPr>
                <w:rFonts w:ascii="Arial" w:eastAsia="仿宋_GB2312" w:hAnsi="Arial" w:cs="Arial" w:hint="eastAsia"/>
                <w:sz w:val="18"/>
                <w:szCs w:val="24"/>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293FDA0" w14:textId="77777777" w:rsidR="00914E90" w:rsidRPr="00F631FB" w:rsidRDefault="00914E90" w:rsidP="008B444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临城市</w:t>
            </w:r>
            <w:proofErr w:type="gramEnd"/>
            <w:r w:rsidRPr="00F631FB">
              <w:rPr>
                <w:rFonts w:ascii="Arial" w:eastAsia="仿宋_GB2312" w:hAnsi="Arial" w:cs="Arial" w:hint="eastAsia"/>
                <w:sz w:val="18"/>
                <w:szCs w:val="24"/>
              </w:rPr>
              <w:t>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275A822" w14:textId="77777777" w:rsidR="00914E90" w:rsidRPr="00F631FB" w:rsidRDefault="00914E90" w:rsidP="008B444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临城市</w:t>
            </w:r>
            <w:proofErr w:type="gramEnd"/>
            <w:r w:rsidRPr="00F631FB">
              <w:rPr>
                <w:rFonts w:ascii="Arial" w:eastAsia="仿宋_GB2312" w:hAnsi="Arial" w:cs="Arial" w:hint="eastAsia"/>
                <w:sz w:val="18"/>
                <w:szCs w:val="24"/>
              </w:rPr>
              <w:t>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6C0055B" w14:textId="77777777" w:rsidR="00914E90" w:rsidRPr="00F631FB" w:rsidRDefault="00914E90" w:rsidP="008B444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临城市</w:t>
            </w:r>
            <w:proofErr w:type="gramEnd"/>
            <w:r w:rsidRPr="00F631FB">
              <w:rPr>
                <w:rFonts w:ascii="Arial" w:eastAsia="仿宋_GB2312" w:hAnsi="Arial" w:cs="Arial" w:hint="eastAsia"/>
                <w:sz w:val="18"/>
                <w:szCs w:val="24"/>
              </w:rPr>
              <w:t>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F9A4834"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临街坊路</w:t>
            </w:r>
          </w:p>
        </w:tc>
      </w:tr>
      <w:tr w:rsidR="00914E90" w:rsidRPr="00F631FB" w14:paraId="3BCD8876"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13114C6"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2F6A1AE"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AA5816D"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A632983"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93C442E"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8107E63"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宗地形状极其不规则，对宗地利用影响很大</w:t>
            </w:r>
          </w:p>
        </w:tc>
      </w:tr>
      <w:tr w:rsidR="00914E90" w:rsidRPr="00F631FB" w14:paraId="1064A6A0"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56F8F14E"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lastRenderedPageBreak/>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74E2065"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3D7B1C"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0A8D8C3"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890606B"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CFCFD4"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配套极少</w:t>
            </w:r>
          </w:p>
        </w:tc>
      </w:tr>
      <w:tr w:rsidR="00914E90" w:rsidRPr="00F631FB" w14:paraId="1DABAFE0"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0058FADB"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709C55E8"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3898A7E2"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536D620A"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26570AC7"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74453268"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三通</w:t>
            </w:r>
          </w:p>
        </w:tc>
      </w:tr>
      <w:tr w:rsidR="00914E90" w:rsidRPr="00F631FB" w14:paraId="1C67D534"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5E86F406"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7A4C673D"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0217FED"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00358F2D"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21C2704A"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3B5A908A"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自然和人文环境差</w:t>
            </w:r>
          </w:p>
        </w:tc>
      </w:tr>
    </w:tbl>
    <w:p w14:paraId="566AE1EA" w14:textId="77777777" w:rsidR="00914E90" w:rsidRPr="00F631FB" w:rsidRDefault="00914E90" w:rsidP="00914E90">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估价对象地处</w:t>
      </w:r>
      <w:r>
        <w:rPr>
          <w:rFonts w:ascii="Arial" w:eastAsia="仿宋_GB2312" w:hAnsi="Arial" w:cs="Arial" w:hint="eastAsia"/>
          <w:sz w:val="28"/>
          <w:szCs w:val="28"/>
        </w:rPr>
        <w:t>办公类二级</w:t>
      </w:r>
      <w:r>
        <w:rPr>
          <w:rFonts w:ascii="Arial" w:eastAsia="仿宋_GB2312" w:hAnsi="Arial" w:cs="Arial"/>
          <w:sz w:val="28"/>
          <w:szCs w:val="28"/>
        </w:rPr>
        <w:t>II-03</w:t>
      </w:r>
      <w:r w:rsidRPr="00F631FB">
        <w:rPr>
          <w:rFonts w:ascii="Arial" w:eastAsia="仿宋_GB2312" w:hAnsi="Arial" w:cs="Arial"/>
          <w:sz w:val="28"/>
          <w:szCs w:val="28"/>
        </w:rPr>
        <w:t>区片，依据前述《区片基准地价因素总修正幅度表》、《北京市基准地价因素权重表》及《因素等级说明表》，整理出《等级系数表》如下：</w:t>
      </w:r>
    </w:p>
    <w:p w14:paraId="5D69A66C" w14:textId="77777777" w:rsidR="00914E90" w:rsidRPr="00F631FB" w:rsidRDefault="00914E90" w:rsidP="00914E90">
      <w:pPr>
        <w:widowControl/>
        <w:adjustRightInd/>
        <w:spacing w:line="240" w:lineRule="auto"/>
        <w:jc w:val="center"/>
        <w:textAlignment w:val="auto"/>
        <w:rPr>
          <w:rFonts w:ascii="Arial" w:eastAsia="仿宋_GB2312" w:hAnsi="Arial" w:cs="Arial"/>
          <w:b/>
          <w:bCs/>
          <w:szCs w:val="24"/>
        </w:rPr>
      </w:pPr>
      <w:r w:rsidRPr="00F631FB">
        <w:rPr>
          <w:rFonts w:ascii="Arial" w:eastAsia="仿宋_GB2312" w:hAnsi="Arial" w:cs="Arial"/>
          <w:b/>
          <w:bCs/>
          <w:szCs w:val="24"/>
        </w:rPr>
        <w:t>等级系数表</w:t>
      </w:r>
    </w:p>
    <w:tbl>
      <w:tblPr>
        <w:tblW w:w="5000" w:type="pct"/>
        <w:tblLook w:val="04A0" w:firstRow="1" w:lastRow="0" w:firstColumn="1" w:lastColumn="0" w:noHBand="0" w:noVBand="1"/>
      </w:tblPr>
      <w:tblGrid>
        <w:gridCol w:w="2697"/>
        <w:gridCol w:w="1319"/>
        <w:gridCol w:w="1319"/>
        <w:gridCol w:w="1319"/>
        <w:gridCol w:w="1319"/>
        <w:gridCol w:w="1315"/>
      </w:tblGrid>
      <w:tr w:rsidR="00914E90" w:rsidRPr="00202C83" w14:paraId="2B4FCDC3" w14:textId="77777777" w:rsidTr="008B444E">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hideMark/>
          </w:tcPr>
          <w:p w14:paraId="392263F6" w14:textId="77777777" w:rsidR="00914E90" w:rsidRPr="00202C83" w:rsidRDefault="00914E90" w:rsidP="008B444E">
            <w:pPr>
              <w:widowControl/>
              <w:adjustRightInd/>
              <w:spacing w:line="240" w:lineRule="auto"/>
              <w:jc w:val="center"/>
              <w:rPr>
                <w:rFonts w:ascii="Arial" w:eastAsia="仿宋_GB2312" w:hAnsi="Arial" w:cs="Arial"/>
                <w:sz w:val="18"/>
                <w:szCs w:val="18"/>
              </w:rPr>
            </w:pPr>
            <w:r w:rsidRPr="00202C83">
              <w:rPr>
                <w:rFonts w:ascii="Arial" w:eastAsia="仿宋_GB2312" w:hAnsi="Arial" w:cs="Arial"/>
                <w:sz w:val="18"/>
                <w:szCs w:val="18"/>
              </w:rPr>
              <w:t xml:space="preserve">        </w:t>
            </w:r>
            <w:r w:rsidRPr="00202C83">
              <w:rPr>
                <w:rFonts w:ascii="Arial" w:eastAsia="仿宋_GB2312" w:hAnsi="Arial" w:cs="Arial"/>
                <w:sz w:val="18"/>
                <w:szCs w:val="18"/>
              </w:rPr>
              <w:t>等级</w:t>
            </w:r>
            <w:r w:rsidRPr="00202C83">
              <w:rPr>
                <w:rFonts w:ascii="Arial" w:eastAsia="仿宋_GB2312" w:hAnsi="Arial" w:cs="Arial"/>
                <w:sz w:val="18"/>
                <w:szCs w:val="18"/>
              </w:rPr>
              <w:br/>
            </w:r>
            <w:r w:rsidRPr="00202C83">
              <w:rPr>
                <w:rFonts w:ascii="Arial" w:eastAsia="仿宋_GB2312" w:hAnsi="Arial" w:cs="Arial"/>
                <w:sz w:val="18"/>
                <w:szCs w:val="18"/>
              </w:rPr>
              <w:br/>
            </w:r>
            <w:r w:rsidRPr="00202C83">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noWrap/>
            <w:vAlign w:val="center"/>
            <w:hideMark/>
          </w:tcPr>
          <w:p w14:paraId="7761AF54" w14:textId="77777777" w:rsidR="00914E90" w:rsidRPr="00202C83" w:rsidRDefault="00914E90" w:rsidP="008B444E">
            <w:pPr>
              <w:widowControl/>
              <w:adjustRightInd/>
              <w:spacing w:line="240" w:lineRule="auto"/>
              <w:jc w:val="center"/>
              <w:rPr>
                <w:rFonts w:ascii="Arial" w:eastAsia="仿宋_GB2312" w:hAnsi="Arial" w:cs="Arial"/>
                <w:sz w:val="18"/>
                <w:szCs w:val="18"/>
              </w:rPr>
            </w:pPr>
            <w:r w:rsidRPr="00202C83">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799016FC" w14:textId="77777777" w:rsidR="00914E90" w:rsidRPr="00202C83" w:rsidRDefault="00914E90" w:rsidP="008B444E">
            <w:pPr>
              <w:widowControl/>
              <w:adjustRightInd/>
              <w:spacing w:line="240" w:lineRule="auto"/>
              <w:jc w:val="center"/>
              <w:rPr>
                <w:rFonts w:ascii="Arial" w:eastAsia="仿宋_GB2312" w:hAnsi="Arial" w:cs="Arial"/>
                <w:sz w:val="18"/>
                <w:szCs w:val="18"/>
              </w:rPr>
            </w:pPr>
            <w:r w:rsidRPr="00202C83">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27CEA9EC" w14:textId="77777777" w:rsidR="00914E90" w:rsidRPr="00202C83" w:rsidRDefault="00914E90" w:rsidP="008B444E">
            <w:pPr>
              <w:widowControl/>
              <w:adjustRightInd/>
              <w:spacing w:line="240" w:lineRule="auto"/>
              <w:jc w:val="center"/>
              <w:rPr>
                <w:rFonts w:ascii="Arial" w:eastAsia="仿宋_GB2312" w:hAnsi="Arial" w:cs="Arial"/>
                <w:sz w:val="18"/>
                <w:szCs w:val="18"/>
              </w:rPr>
            </w:pPr>
            <w:r w:rsidRPr="00202C83">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3E599D9F" w14:textId="77777777" w:rsidR="00914E90" w:rsidRPr="00202C83" w:rsidRDefault="00914E90" w:rsidP="008B444E">
            <w:pPr>
              <w:widowControl/>
              <w:adjustRightInd/>
              <w:spacing w:line="240" w:lineRule="auto"/>
              <w:jc w:val="center"/>
              <w:rPr>
                <w:rFonts w:ascii="Arial" w:eastAsia="仿宋_GB2312" w:hAnsi="Arial" w:cs="Arial"/>
                <w:sz w:val="18"/>
                <w:szCs w:val="18"/>
              </w:rPr>
            </w:pPr>
            <w:r w:rsidRPr="00202C83">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hideMark/>
          </w:tcPr>
          <w:p w14:paraId="0F00C344" w14:textId="77777777" w:rsidR="00914E90" w:rsidRPr="00202C83" w:rsidRDefault="00914E90" w:rsidP="008B444E">
            <w:pPr>
              <w:widowControl/>
              <w:adjustRightInd/>
              <w:spacing w:line="240" w:lineRule="auto"/>
              <w:jc w:val="center"/>
              <w:rPr>
                <w:rFonts w:ascii="Arial" w:eastAsia="仿宋_GB2312" w:hAnsi="Arial" w:cs="Arial"/>
                <w:sz w:val="18"/>
                <w:szCs w:val="18"/>
              </w:rPr>
            </w:pPr>
            <w:r w:rsidRPr="00202C83">
              <w:rPr>
                <w:rFonts w:ascii="Arial" w:eastAsia="仿宋_GB2312" w:hAnsi="Arial" w:cs="Arial"/>
                <w:sz w:val="18"/>
                <w:szCs w:val="18"/>
              </w:rPr>
              <w:t>差</w:t>
            </w:r>
          </w:p>
        </w:tc>
      </w:tr>
      <w:tr w:rsidR="00914E90" w:rsidRPr="00202C83" w14:paraId="2E6D3F1C" w14:textId="77777777" w:rsidTr="008B444E">
        <w:trPr>
          <w:trHeight w:val="46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F958550" w14:textId="77777777" w:rsidR="00914E90" w:rsidRPr="00202C83" w:rsidRDefault="00914E90" w:rsidP="008B444E">
            <w:pPr>
              <w:widowControl/>
              <w:adjustRightInd/>
              <w:spacing w:line="240" w:lineRule="auto"/>
              <w:rPr>
                <w:rFonts w:ascii="Arial" w:eastAsia="仿宋_GB2312"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hideMark/>
          </w:tcPr>
          <w:p w14:paraId="16280EE1" w14:textId="77777777" w:rsidR="00914E90" w:rsidRPr="00202C83" w:rsidRDefault="00914E90" w:rsidP="008B444E">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CF85CA" w14:textId="77777777" w:rsidR="00914E90" w:rsidRPr="00202C83" w:rsidRDefault="00914E90" w:rsidP="008B444E">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C44C3" w14:textId="77777777" w:rsidR="00914E90" w:rsidRPr="00202C83" w:rsidRDefault="00914E90" w:rsidP="008B444E">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F6D764" w14:textId="77777777" w:rsidR="00914E90" w:rsidRPr="00202C83" w:rsidRDefault="00914E90" w:rsidP="008B444E">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1D60B" w14:textId="77777777" w:rsidR="00914E90" w:rsidRPr="00202C83" w:rsidRDefault="00914E90" w:rsidP="008B444E">
            <w:pPr>
              <w:widowControl/>
              <w:adjustRightInd/>
              <w:spacing w:line="240" w:lineRule="auto"/>
              <w:rPr>
                <w:rFonts w:ascii="Arial" w:eastAsia="仿宋_GB2312" w:hAnsi="Arial" w:cs="Arial"/>
                <w:sz w:val="18"/>
                <w:szCs w:val="18"/>
              </w:rPr>
            </w:pPr>
          </w:p>
        </w:tc>
      </w:tr>
      <w:tr w:rsidR="00914E90" w:rsidRPr="00202C83" w14:paraId="0C05C5A8" w14:textId="77777777" w:rsidTr="008B444E">
        <w:trPr>
          <w:trHeight w:val="413"/>
        </w:trPr>
        <w:tc>
          <w:tcPr>
            <w:tcW w:w="1452" w:type="pct"/>
            <w:tcBorders>
              <w:top w:val="nil"/>
              <w:left w:val="single" w:sz="4" w:space="0" w:color="auto"/>
              <w:bottom w:val="single" w:sz="4" w:space="0" w:color="auto"/>
              <w:right w:val="single" w:sz="4" w:space="0" w:color="auto"/>
            </w:tcBorders>
            <w:noWrap/>
            <w:vAlign w:val="center"/>
            <w:hideMark/>
          </w:tcPr>
          <w:p w14:paraId="301AEA37"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办公集聚程度</w:t>
            </w:r>
          </w:p>
        </w:tc>
        <w:tc>
          <w:tcPr>
            <w:tcW w:w="710" w:type="pct"/>
            <w:tcBorders>
              <w:top w:val="nil"/>
              <w:left w:val="nil"/>
              <w:bottom w:val="single" w:sz="4" w:space="0" w:color="auto"/>
              <w:right w:val="single" w:sz="4" w:space="0" w:color="auto"/>
            </w:tcBorders>
            <w:noWrap/>
            <w:hideMark/>
          </w:tcPr>
          <w:p w14:paraId="1398200B"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1.700%</w:t>
            </w:r>
          </w:p>
        </w:tc>
        <w:tc>
          <w:tcPr>
            <w:tcW w:w="710" w:type="pct"/>
            <w:tcBorders>
              <w:top w:val="nil"/>
              <w:left w:val="nil"/>
              <w:bottom w:val="single" w:sz="4" w:space="0" w:color="auto"/>
              <w:right w:val="single" w:sz="4" w:space="0" w:color="auto"/>
            </w:tcBorders>
            <w:noWrap/>
            <w:hideMark/>
          </w:tcPr>
          <w:p w14:paraId="4E11F43A"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0.850%</w:t>
            </w:r>
          </w:p>
        </w:tc>
        <w:tc>
          <w:tcPr>
            <w:tcW w:w="710" w:type="pct"/>
            <w:tcBorders>
              <w:top w:val="nil"/>
              <w:left w:val="nil"/>
              <w:bottom w:val="single" w:sz="4" w:space="0" w:color="auto"/>
              <w:right w:val="single" w:sz="4" w:space="0" w:color="auto"/>
            </w:tcBorders>
            <w:noWrap/>
            <w:hideMark/>
          </w:tcPr>
          <w:p w14:paraId="21D331AF"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3E25CD88"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-0.850%</w:t>
            </w:r>
          </w:p>
        </w:tc>
        <w:tc>
          <w:tcPr>
            <w:tcW w:w="708" w:type="pct"/>
            <w:tcBorders>
              <w:top w:val="nil"/>
              <w:left w:val="nil"/>
              <w:bottom w:val="single" w:sz="4" w:space="0" w:color="auto"/>
              <w:right w:val="single" w:sz="4" w:space="0" w:color="auto"/>
            </w:tcBorders>
            <w:noWrap/>
            <w:hideMark/>
          </w:tcPr>
          <w:p w14:paraId="4B4AB4C5"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-1.700%</w:t>
            </w:r>
          </w:p>
        </w:tc>
      </w:tr>
      <w:tr w:rsidR="00914E90" w:rsidRPr="00202C83" w14:paraId="458C90B5" w14:textId="77777777" w:rsidTr="008B444E">
        <w:trPr>
          <w:trHeight w:val="270"/>
        </w:trPr>
        <w:tc>
          <w:tcPr>
            <w:tcW w:w="1452" w:type="pct"/>
            <w:tcBorders>
              <w:top w:val="nil"/>
              <w:left w:val="single" w:sz="4" w:space="0" w:color="auto"/>
              <w:bottom w:val="single" w:sz="4" w:space="0" w:color="auto"/>
              <w:right w:val="single" w:sz="4" w:space="0" w:color="auto"/>
            </w:tcBorders>
            <w:noWrap/>
            <w:vAlign w:val="center"/>
            <w:hideMark/>
          </w:tcPr>
          <w:p w14:paraId="547C7A93"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交通便捷度</w:t>
            </w:r>
          </w:p>
        </w:tc>
        <w:tc>
          <w:tcPr>
            <w:tcW w:w="710" w:type="pct"/>
            <w:tcBorders>
              <w:top w:val="nil"/>
              <w:left w:val="nil"/>
              <w:bottom w:val="single" w:sz="4" w:space="0" w:color="auto"/>
              <w:right w:val="single" w:sz="4" w:space="0" w:color="auto"/>
            </w:tcBorders>
            <w:noWrap/>
            <w:hideMark/>
          </w:tcPr>
          <w:p w14:paraId="46772A40"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2.130%</w:t>
            </w:r>
          </w:p>
        </w:tc>
        <w:tc>
          <w:tcPr>
            <w:tcW w:w="710" w:type="pct"/>
            <w:tcBorders>
              <w:top w:val="nil"/>
              <w:left w:val="nil"/>
              <w:bottom w:val="single" w:sz="4" w:space="0" w:color="auto"/>
              <w:right w:val="single" w:sz="4" w:space="0" w:color="auto"/>
            </w:tcBorders>
            <w:noWrap/>
            <w:hideMark/>
          </w:tcPr>
          <w:p w14:paraId="649CB2B6"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1.065%</w:t>
            </w:r>
          </w:p>
        </w:tc>
        <w:tc>
          <w:tcPr>
            <w:tcW w:w="710" w:type="pct"/>
            <w:tcBorders>
              <w:top w:val="nil"/>
              <w:left w:val="nil"/>
              <w:bottom w:val="single" w:sz="4" w:space="0" w:color="auto"/>
              <w:right w:val="single" w:sz="4" w:space="0" w:color="auto"/>
            </w:tcBorders>
            <w:noWrap/>
            <w:hideMark/>
          </w:tcPr>
          <w:p w14:paraId="6A80EBAC"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6EDE137A"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-1.065%</w:t>
            </w:r>
          </w:p>
        </w:tc>
        <w:tc>
          <w:tcPr>
            <w:tcW w:w="708" w:type="pct"/>
            <w:tcBorders>
              <w:top w:val="nil"/>
              <w:left w:val="nil"/>
              <w:bottom w:val="single" w:sz="4" w:space="0" w:color="auto"/>
              <w:right w:val="single" w:sz="4" w:space="0" w:color="auto"/>
            </w:tcBorders>
            <w:noWrap/>
            <w:hideMark/>
          </w:tcPr>
          <w:p w14:paraId="589E2209"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-2.130%</w:t>
            </w:r>
          </w:p>
        </w:tc>
      </w:tr>
      <w:tr w:rsidR="00914E90" w:rsidRPr="00202C83" w14:paraId="0AF3D104" w14:textId="77777777" w:rsidTr="008B444E">
        <w:trPr>
          <w:trHeight w:val="270"/>
        </w:trPr>
        <w:tc>
          <w:tcPr>
            <w:tcW w:w="1452" w:type="pct"/>
            <w:tcBorders>
              <w:top w:val="nil"/>
              <w:left w:val="single" w:sz="4" w:space="0" w:color="auto"/>
              <w:bottom w:val="single" w:sz="4" w:space="0" w:color="auto"/>
              <w:right w:val="single" w:sz="4" w:space="0" w:color="auto"/>
            </w:tcBorders>
            <w:noWrap/>
            <w:vAlign w:val="center"/>
            <w:hideMark/>
          </w:tcPr>
          <w:p w14:paraId="3C9836A3"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区域土地利用方向</w:t>
            </w:r>
          </w:p>
        </w:tc>
        <w:tc>
          <w:tcPr>
            <w:tcW w:w="710" w:type="pct"/>
            <w:tcBorders>
              <w:top w:val="nil"/>
              <w:left w:val="nil"/>
              <w:bottom w:val="single" w:sz="4" w:space="0" w:color="auto"/>
              <w:right w:val="single" w:sz="4" w:space="0" w:color="auto"/>
            </w:tcBorders>
            <w:noWrap/>
            <w:hideMark/>
          </w:tcPr>
          <w:p w14:paraId="3674DE9C"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0.568%</w:t>
            </w:r>
          </w:p>
        </w:tc>
        <w:tc>
          <w:tcPr>
            <w:tcW w:w="710" w:type="pct"/>
            <w:tcBorders>
              <w:top w:val="nil"/>
              <w:left w:val="nil"/>
              <w:bottom w:val="single" w:sz="4" w:space="0" w:color="auto"/>
              <w:right w:val="single" w:sz="4" w:space="0" w:color="auto"/>
            </w:tcBorders>
            <w:noWrap/>
            <w:hideMark/>
          </w:tcPr>
          <w:p w14:paraId="3C8CE6E1"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0.284%</w:t>
            </w:r>
          </w:p>
        </w:tc>
        <w:tc>
          <w:tcPr>
            <w:tcW w:w="710" w:type="pct"/>
            <w:tcBorders>
              <w:top w:val="nil"/>
              <w:left w:val="nil"/>
              <w:bottom w:val="single" w:sz="4" w:space="0" w:color="auto"/>
              <w:right w:val="single" w:sz="4" w:space="0" w:color="auto"/>
            </w:tcBorders>
            <w:noWrap/>
            <w:hideMark/>
          </w:tcPr>
          <w:p w14:paraId="04822846"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104FB370"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-0.284%</w:t>
            </w:r>
          </w:p>
        </w:tc>
        <w:tc>
          <w:tcPr>
            <w:tcW w:w="708" w:type="pct"/>
            <w:tcBorders>
              <w:top w:val="nil"/>
              <w:left w:val="nil"/>
              <w:bottom w:val="single" w:sz="4" w:space="0" w:color="auto"/>
              <w:right w:val="single" w:sz="4" w:space="0" w:color="auto"/>
            </w:tcBorders>
            <w:noWrap/>
            <w:hideMark/>
          </w:tcPr>
          <w:p w14:paraId="5CA39764"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-0.568%</w:t>
            </w:r>
          </w:p>
        </w:tc>
      </w:tr>
      <w:tr w:rsidR="00914E90" w:rsidRPr="00202C83" w14:paraId="7AB2C958" w14:textId="77777777" w:rsidTr="008B444E">
        <w:trPr>
          <w:trHeight w:val="270"/>
        </w:trPr>
        <w:tc>
          <w:tcPr>
            <w:tcW w:w="1452" w:type="pct"/>
            <w:tcBorders>
              <w:top w:val="nil"/>
              <w:left w:val="single" w:sz="4" w:space="0" w:color="auto"/>
              <w:bottom w:val="single" w:sz="4" w:space="0" w:color="auto"/>
              <w:right w:val="single" w:sz="4" w:space="0" w:color="auto"/>
            </w:tcBorders>
            <w:noWrap/>
            <w:vAlign w:val="center"/>
            <w:hideMark/>
          </w:tcPr>
          <w:p w14:paraId="46A63954"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临街宽度和深度</w:t>
            </w:r>
          </w:p>
        </w:tc>
        <w:tc>
          <w:tcPr>
            <w:tcW w:w="710" w:type="pct"/>
            <w:tcBorders>
              <w:top w:val="nil"/>
              <w:left w:val="nil"/>
              <w:bottom w:val="single" w:sz="4" w:space="0" w:color="auto"/>
              <w:right w:val="single" w:sz="4" w:space="0" w:color="auto"/>
            </w:tcBorders>
            <w:noWrap/>
            <w:hideMark/>
          </w:tcPr>
          <w:p w14:paraId="71F2322A"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0.284%</w:t>
            </w:r>
          </w:p>
        </w:tc>
        <w:tc>
          <w:tcPr>
            <w:tcW w:w="710" w:type="pct"/>
            <w:tcBorders>
              <w:top w:val="nil"/>
              <w:left w:val="nil"/>
              <w:bottom w:val="single" w:sz="4" w:space="0" w:color="auto"/>
              <w:right w:val="single" w:sz="4" w:space="0" w:color="auto"/>
            </w:tcBorders>
            <w:noWrap/>
            <w:hideMark/>
          </w:tcPr>
          <w:p w14:paraId="737B6F9D"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0.142%</w:t>
            </w:r>
          </w:p>
        </w:tc>
        <w:tc>
          <w:tcPr>
            <w:tcW w:w="710" w:type="pct"/>
            <w:tcBorders>
              <w:top w:val="nil"/>
              <w:left w:val="nil"/>
              <w:bottom w:val="single" w:sz="4" w:space="0" w:color="auto"/>
              <w:right w:val="single" w:sz="4" w:space="0" w:color="auto"/>
            </w:tcBorders>
            <w:noWrap/>
            <w:hideMark/>
          </w:tcPr>
          <w:p w14:paraId="6175CBB3"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7F1480FE"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-0.142%</w:t>
            </w:r>
          </w:p>
        </w:tc>
        <w:tc>
          <w:tcPr>
            <w:tcW w:w="708" w:type="pct"/>
            <w:tcBorders>
              <w:top w:val="nil"/>
              <w:left w:val="nil"/>
              <w:bottom w:val="single" w:sz="4" w:space="0" w:color="auto"/>
              <w:right w:val="single" w:sz="4" w:space="0" w:color="auto"/>
            </w:tcBorders>
            <w:noWrap/>
            <w:hideMark/>
          </w:tcPr>
          <w:p w14:paraId="50A590DA"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-0.284%</w:t>
            </w:r>
          </w:p>
        </w:tc>
      </w:tr>
      <w:tr w:rsidR="00914E90" w:rsidRPr="00202C83" w14:paraId="515EFDD8" w14:textId="77777777" w:rsidTr="008B444E">
        <w:trPr>
          <w:trHeight w:val="270"/>
        </w:trPr>
        <w:tc>
          <w:tcPr>
            <w:tcW w:w="1452" w:type="pct"/>
            <w:tcBorders>
              <w:top w:val="nil"/>
              <w:left w:val="single" w:sz="4" w:space="0" w:color="auto"/>
              <w:bottom w:val="single" w:sz="4" w:space="0" w:color="auto"/>
              <w:right w:val="single" w:sz="4" w:space="0" w:color="auto"/>
            </w:tcBorders>
            <w:noWrap/>
            <w:vAlign w:val="center"/>
            <w:hideMark/>
          </w:tcPr>
          <w:p w14:paraId="37E3201E"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临街道路状况</w:t>
            </w:r>
          </w:p>
        </w:tc>
        <w:tc>
          <w:tcPr>
            <w:tcW w:w="710" w:type="pct"/>
            <w:tcBorders>
              <w:top w:val="nil"/>
              <w:left w:val="nil"/>
              <w:bottom w:val="single" w:sz="4" w:space="0" w:color="auto"/>
              <w:right w:val="single" w:sz="4" w:space="0" w:color="auto"/>
            </w:tcBorders>
            <w:noWrap/>
            <w:hideMark/>
          </w:tcPr>
          <w:p w14:paraId="1F53EF26" w14:textId="67C1D590"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0.35</w:t>
            </w:r>
            <w:r w:rsidR="00A679FA">
              <w:rPr>
                <w:rFonts w:ascii="Arial" w:eastAsia="仿宋_GB2312" w:hAnsi="Arial" w:cs="Arial"/>
                <w:sz w:val="18"/>
                <w:szCs w:val="18"/>
              </w:rPr>
              <w:t>0</w:t>
            </w:r>
            <w:r w:rsidRPr="00202C83">
              <w:rPr>
                <w:rFonts w:ascii="Arial" w:eastAsia="仿宋_GB2312" w:hAnsi="Arial" w:cs="Arial"/>
                <w:sz w:val="18"/>
                <w:szCs w:val="18"/>
              </w:rPr>
              <w:t>%</w:t>
            </w:r>
          </w:p>
        </w:tc>
        <w:tc>
          <w:tcPr>
            <w:tcW w:w="710" w:type="pct"/>
            <w:tcBorders>
              <w:top w:val="nil"/>
              <w:left w:val="nil"/>
              <w:bottom w:val="single" w:sz="4" w:space="0" w:color="auto"/>
              <w:right w:val="single" w:sz="4" w:space="0" w:color="auto"/>
            </w:tcBorders>
            <w:noWrap/>
            <w:hideMark/>
          </w:tcPr>
          <w:p w14:paraId="720A4CE2" w14:textId="79EF8505"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0.17</w:t>
            </w:r>
            <w:r w:rsidR="00A679FA">
              <w:rPr>
                <w:rFonts w:ascii="Arial" w:eastAsia="仿宋_GB2312" w:hAnsi="Arial" w:cs="Arial"/>
                <w:sz w:val="18"/>
                <w:szCs w:val="18"/>
              </w:rPr>
              <w:t>5</w:t>
            </w:r>
            <w:r w:rsidRPr="00202C83">
              <w:rPr>
                <w:rFonts w:ascii="Arial" w:eastAsia="仿宋_GB2312" w:hAnsi="Arial" w:cs="Arial"/>
                <w:sz w:val="18"/>
                <w:szCs w:val="18"/>
              </w:rPr>
              <w:t>%</w:t>
            </w:r>
          </w:p>
        </w:tc>
        <w:tc>
          <w:tcPr>
            <w:tcW w:w="710" w:type="pct"/>
            <w:tcBorders>
              <w:top w:val="nil"/>
              <w:left w:val="nil"/>
              <w:bottom w:val="single" w:sz="4" w:space="0" w:color="auto"/>
              <w:right w:val="single" w:sz="4" w:space="0" w:color="auto"/>
            </w:tcBorders>
            <w:noWrap/>
            <w:hideMark/>
          </w:tcPr>
          <w:p w14:paraId="10347044"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46C3A56A" w14:textId="59BC8CD5"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-0.17</w:t>
            </w:r>
            <w:r w:rsidR="00A679FA">
              <w:rPr>
                <w:rFonts w:ascii="Arial" w:eastAsia="仿宋_GB2312" w:hAnsi="Arial" w:cs="Arial"/>
                <w:sz w:val="18"/>
                <w:szCs w:val="18"/>
              </w:rPr>
              <w:t>5</w:t>
            </w:r>
            <w:r w:rsidRPr="00202C83">
              <w:rPr>
                <w:rFonts w:ascii="Arial" w:eastAsia="仿宋_GB2312" w:hAnsi="Arial" w:cs="Arial"/>
                <w:sz w:val="18"/>
                <w:szCs w:val="18"/>
              </w:rPr>
              <w:t>%</w:t>
            </w:r>
          </w:p>
        </w:tc>
        <w:tc>
          <w:tcPr>
            <w:tcW w:w="708" w:type="pct"/>
            <w:tcBorders>
              <w:top w:val="nil"/>
              <w:left w:val="nil"/>
              <w:bottom w:val="single" w:sz="4" w:space="0" w:color="auto"/>
              <w:right w:val="single" w:sz="4" w:space="0" w:color="auto"/>
            </w:tcBorders>
            <w:noWrap/>
            <w:hideMark/>
          </w:tcPr>
          <w:p w14:paraId="5AAD9CA3" w14:textId="672CE176"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-0.35</w:t>
            </w:r>
            <w:r w:rsidR="00A679FA">
              <w:rPr>
                <w:rFonts w:ascii="Arial" w:eastAsia="仿宋_GB2312" w:hAnsi="Arial" w:cs="Arial"/>
                <w:sz w:val="18"/>
                <w:szCs w:val="18"/>
              </w:rPr>
              <w:t>0</w:t>
            </w:r>
            <w:r w:rsidRPr="00202C83">
              <w:rPr>
                <w:rFonts w:ascii="Arial" w:eastAsia="仿宋_GB2312" w:hAnsi="Arial" w:cs="Arial"/>
                <w:sz w:val="18"/>
                <w:szCs w:val="18"/>
              </w:rPr>
              <w:t>%</w:t>
            </w:r>
          </w:p>
        </w:tc>
      </w:tr>
      <w:tr w:rsidR="00914E90" w:rsidRPr="00202C83" w14:paraId="3FD31E5F" w14:textId="77777777" w:rsidTr="008B444E">
        <w:trPr>
          <w:trHeight w:val="270"/>
        </w:trPr>
        <w:tc>
          <w:tcPr>
            <w:tcW w:w="1452" w:type="pct"/>
            <w:tcBorders>
              <w:top w:val="nil"/>
              <w:left w:val="single" w:sz="4" w:space="0" w:color="auto"/>
              <w:bottom w:val="single" w:sz="4" w:space="0" w:color="auto"/>
              <w:right w:val="single" w:sz="4" w:space="0" w:color="auto"/>
            </w:tcBorders>
            <w:noWrap/>
            <w:vAlign w:val="center"/>
            <w:hideMark/>
          </w:tcPr>
          <w:p w14:paraId="443D1F23"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宗地形状及可利用程度</w:t>
            </w:r>
          </w:p>
        </w:tc>
        <w:tc>
          <w:tcPr>
            <w:tcW w:w="710" w:type="pct"/>
            <w:tcBorders>
              <w:top w:val="nil"/>
              <w:left w:val="nil"/>
              <w:bottom w:val="single" w:sz="4" w:space="0" w:color="auto"/>
              <w:right w:val="single" w:sz="4" w:space="0" w:color="auto"/>
            </w:tcBorders>
            <w:noWrap/>
            <w:hideMark/>
          </w:tcPr>
          <w:p w14:paraId="77E0491E" w14:textId="1302F2AF"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0.35</w:t>
            </w:r>
            <w:r w:rsidR="00A679FA">
              <w:rPr>
                <w:rFonts w:ascii="Arial" w:eastAsia="仿宋_GB2312" w:hAnsi="Arial" w:cs="Arial"/>
                <w:sz w:val="18"/>
                <w:szCs w:val="18"/>
              </w:rPr>
              <w:t>0</w:t>
            </w:r>
            <w:r w:rsidRPr="00202C83">
              <w:rPr>
                <w:rFonts w:ascii="Arial" w:eastAsia="仿宋_GB2312" w:hAnsi="Arial" w:cs="Arial"/>
                <w:sz w:val="18"/>
                <w:szCs w:val="18"/>
              </w:rPr>
              <w:t>%</w:t>
            </w:r>
          </w:p>
        </w:tc>
        <w:tc>
          <w:tcPr>
            <w:tcW w:w="710" w:type="pct"/>
            <w:tcBorders>
              <w:top w:val="nil"/>
              <w:left w:val="nil"/>
              <w:bottom w:val="single" w:sz="4" w:space="0" w:color="auto"/>
              <w:right w:val="single" w:sz="4" w:space="0" w:color="auto"/>
            </w:tcBorders>
            <w:noWrap/>
            <w:hideMark/>
          </w:tcPr>
          <w:p w14:paraId="72620812" w14:textId="44E2A4A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0.17</w:t>
            </w:r>
            <w:r w:rsidR="00A679FA">
              <w:rPr>
                <w:rFonts w:ascii="Arial" w:eastAsia="仿宋_GB2312" w:hAnsi="Arial" w:cs="Arial"/>
                <w:sz w:val="18"/>
                <w:szCs w:val="18"/>
              </w:rPr>
              <w:t>5</w:t>
            </w:r>
            <w:r w:rsidRPr="00202C83">
              <w:rPr>
                <w:rFonts w:ascii="Arial" w:eastAsia="仿宋_GB2312" w:hAnsi="Arial" w:cs="Arial"/>
                <w:sz w:val="18"/>
                <w:szCs w:val="18"/>
              </w:rPr>
              <w:t>%</w:t>
            </w:r>
          </w:p>
        </w:tc>
        <w:tc>
          <w:tcPr>
            <w:tcW w:w="710" w:type="pct"/>
            <w:tcBorders>
              <w:top w:val="nil"/>
              <w:left w:val="nil"/>
              <w:bottom w:val="single" w:sz="4" w:space="0" w:color="auto"/>
              <w:right w:val="single" w:sz="4" w:space="0" w:color="auto"/>
            </w:tcBorders>
            <w:noWrap/>
            <w:hideMark/>
          </w:tcPr>
          <w:p w14:paraId="35DC8444"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67CAE391" w14:textId="3D166658"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-0.17</w:t>
            </w:r>
            <w:r w:rsidR="00A679FA">
              <w:rPr>
                <w:rFonts w:ascii="Arial" w:eastAsia="仿宋_GB2312" w:hAnsi="Arial" w:cs="Arial"/>
                <w:sz w:val="18"/>
                <w:szCs w:val="18"/>
              </w:rPr>
              <w:t>5</w:t>
            </w:r>
            <w:r w:rsidRPr="00202C83">
              <w:rPr>
                <w:rFonts w:ascii="Arial" w:eastAsia="仿宋_GB2312" w:hAnsi="Arial" w:cs="Arial"/>
                <w:sz w:val="18"/>
                <w:szCs w:val="18"/>
              </w:rPr>
              <w:t>%</w:t>
            </w:r>
          </w:p>
        </w:tc>
        <w:tc>
          <w:tcPr>
            <w:tcW w:w="708" w:type="pct"/>
            <w:tcBorders>
              <w:top w:val="nil"/>
              <w:left w:val="nil"/>
              <w:bottom w:val="single" w:sz="4" w:space="0" w:color="auto"/>
              <w:right w:val="single" w:sz="4" w:space="0" w:color="auto"/>
            </w:tcBorders>
            <w:noWrap/>
            <w:hideMark/>
          </w:tcPr>
          <w:p w14:paraId="6D891AB9" w14:textId="04DF535B"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-0.35</w:t>
            </w:r>
            <w:r w:rsidR="00A679FA">
              <w:rPr>
                <w:rFonts w:ascii="Arial" w:eastAsia="仿宋_GB2312" w:hAnsi="Arial" w:cs="Arial"/>
                <w:sz w:val="18"/>
                <w:szCs w:val="18"/>
              </w:rPr>
              <w:t>0</w:t>
            </w:r>
            <w:r w:rsidRPr="00202C83">
              <w:rPr>
                <w:rFonts w:ascii="Arial" w:eastAsia="仿宋_GB2312" w:hAnsi="Arial" w:cs="Arial"/>
                <w:sz w:val="18"/>
                <w:szCs w:val="18"/>
              </w:rPr>
              <w:t>%</w:t>
            </w:r>
          </w:p>
        </w:tc>
      </w:tr>
      <w:tr w:rsidR="00914E90" w:rsidRPr="00202C83" w14:paraId="19222F57" w14:textId="77777777" w:rsidTr="008B444E">
        <w:trPr>
          <w:trHeight w:val="270"/>
        </w:trPr>
        <w:tc>
          <w:tcPr>
            <w:tcW w:w="1452" w:type="pct"/>
            <w:tcBorders>
              <w:top w:val="nil"/>
              <w:left w:val="single" w:sz="4" w:space="0" w:color="auto"/>
              <w:bottom w:val="single" w:sz="4" w:space="0" w:color="auto"/>
              <w:right w:val="single" w:sz="4" w:space="0" w:color="auto"/>
            </w:tcBorders>
            <w:noWrap/>
            <w:vAlign w:val="center"/>
            <w:hideMark/>
          </w:tcPr>
          <w:p w14:paraId="21410365"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公共服务设施状况</w:t>
            </w:r>
          </w:p>
        </w:tc>
        <w:tc>
          <w:tcPr>
            <w:tcW w:w="710" w:type="pct"/>
            <w:tcBorders>
              <w:top w:val="nil"/>
              <w:left w:val="nil"/>
              <w:bottom w:val="single" w:sz="4" w:space="0" w:color="auto"/>
              <w:right w:val="single" w:sz="4" w:space="0" w:color="auto"/>
            </w:tcBorders>
            <w:noWrap/>
            <w:hideMark/>
          </w:tcPr>
          <w:p w14:paraId="562C0E36"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0.426%</w:t>
            </w:r>
          </w:p>
        </w:tc>
        <w:tc>
          <w:tcPr>
            <w:tcW w:w="710" w:type="pct"/>
            <w:tcBorders>
              <w:top w:val="nil"/>
              <w:left w:val="nil"/>
              <w:bottom w:val="single" w:sz="4" w:space="0" w:color="auto"/>
              <w:right w:val="single" w:sz="4" w:space="0" w:color="auto"/>
            </w:tcBorders>
            <w:noWrap/>
            <w:hideMark/>
          </w:tcPr>
          <w:p w14:paraId="732A0342"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0.213%</w:t>
            </w:r>
          </w:p>
        </w:tc>
        <w:tc>
          <w:tcPr>
            <w:tcW w:w="710" w:type="pct"/>
            <w:tcBorders>
              <w:top w:val="nil"/>
              <w:left w:val="nil"/>
              <w:bottom w:val="single" w:sz="4" w:space="0" w:color="auto"/>
              <w:right w:val="single" w:sz="4" w:space="0" w:color="auto"/>
            </w:tcBorders>
            <w:noWrap/>
            <w:hideMark/>
          </w:tcPr>
          <w:p w14:paraId="2DCBEC6B"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03399F04"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-0.213%</w:t>
            </w:r>
          </w:p>
        </w:tc>
        <w:tc>
          <w:tcPr>
            <w:tcW w:w="708" w:type="pct"/>
            <w:tcBorders>
              <w:top w:val="nil"/>
              <w:left w:val="nil"/>
              <w:bottom w:val="single" w:sz="4" w:space="0" w:color="auto"/>
              <w:right w:val="single" w:sz="4" w:space="0" w:color="auto"/>
            </w:tcBorders>
            <w:noWrap/>
            <w:hideMark/>
          </w:tcPr>
          <w:p w14:paraId="5495FD45"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-0.426%</w:t>
            </w:r>
          </w:p>
        </w:tc>
      </w:tr>
      <w:tr w:rsidR="00914E90" w:rsidRPr="00202C83" w14:paraId="012084DE" w14:textId="77777777" w:rsidTr="008B444E">
        <w:trPr>
          <w:trHeight w:val="270"/>
        </w:trPr>
        <w:tc>
          <w:tcPr>
            <w:tcW w:w="1452" w:type="pct"/>
            <w:tcBorders>
              <w:top w:val="nil"/>
              <w:left w:val="single" w:sz="4" w:space="0" w:color="auto"/>
              <w:bottom w:val="single" w:sz="4" w:space="0" w:color="auto"/>
              <w:right w:val="single" w:sz="4" w:space="0" w:color="auto"/>
            </w:tcBorders>
            <w:noWrap/>
            <w:vAlign w:val="center"/>
            <w:hideMark/>
          </w:tcPr>
          <w:p w14:paraId="4F7EDCF8"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基础设施完备状况</w:t>
            </w:r>
          </w:p>
        </w:tc>
        <w:tc>
          <w:tcPr>
            <w:tcW w:w="710" w:type="pct"/>
            <w:tcBorders>
              <w:top w:val="nil"/>
              <w:left w:val="nil"/>
              <w:bottom w:val="single" w:sz="4" w:space="0" w:color="auto"/>
              <w:right w:val="single" w:sz="4" w:space="0" w:color="auto"/>
            </w:tcBorders>
            <w:noWrap/>
            <w:hideMark/>
          </w:tcPr>
          <w:p w14:paraId="50EFF10E"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0.852%</w:t>
            </w:r>
          </w:p>
        </w:tc>
        <w:tc>
          <w:tcPr>
            <w:tcW w:w="710" w:type="pct"/>
            <w:tcBorders>
              <w:top w:val="nil"/>
              <w:left w:val="nil"/>
              <w:bottom w:val="single" w:sz="4" w:space="0" w:color="auto"/>
              <w:right w:val="single" w:sz="4" w:space="0" w:color="auto"/>
            </w:tcBorders>
            <w:noWrap/>
            <w:hideMark/>
          </w:tcPr>
          <w:p w14:paraId="1FFF938F"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0.426%</w:t>
            </w:r>
          </w:p>
        </w:tc>
        <w:tc>
          <w:tcPr>
            <w:tcW w:w="710" w:type="pct"/>
            <w:tcBorders>
              <w:top w:val="nil"/>
              <w:left w:val="nil"/>
              <w:bottom w:val="single" w:sz="4" w:space="0" w:color="auto"/>
              <w:right w:val="single" w:sz="4" w:space="0" w:color="auto"/>
            </w:tcBorders>
            <w:noWrap/>
            <w:hideMark/>
          </w:tcPr>
          <w:p w14:paraId="2ACC96E3"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05C55650"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-0.426%</w:t>
            </w:r>
          </w:p>
        </w:tc>
        <w:tc>
          <w:tcPr>
            <w:tcW w:w="708" w:type="pct"/>
            <w:tcBorders>
              <w:top w:val="nil"/>
              <w:left w:val="nil"/>
              <w:bottom w:val="single" w:sz="4" w:space="0" w:color="auto"/>
              <w:right w:val="single" w:sz="4" w:space="0" w:color="auto"/>
            </w:tcBorders>
            <w:noWrap/>
            <w:hideMark/>
          </w:tcPr>
          <w:p w14:paraId="7E8CF85A"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-0.852%</w:t>
            </w:r>
          </w:p>
        </w:tc>
      </w:tr>
      <w:tr w:rsidR="00914E90" w:rsidRPr="00202C83" w14:paraId="68F0B23A" w14:textId="77777777" w:rsidTr="008B444E">
        <w:trPr>
          <w:trHeight w:val="270"/>
        </w:trPr>
        <w:tc>
          <w:tcPr>
            <w:tcW w:w="1452" w:type="pct"/>
            <w:tcBorders>
              <w:top w:val="nil"/>
              <w:left w:val="single" w:sz="4" w:space="0" w:color="auto"/>
              <w:bottom w:val="single" w:sz="4" w:space="0" w:color="auto"/>
              <w:right w:val="single" w:sz="4" w:space="0" w:color="auto"/>
            </w:tcBorders>
            <w:noWrap/>
            <w:vAlign w:val="center"/>
            <w:hideMark/>
          </w:tcPr>
          <w:p w14:paraId="5795E8FA"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自然和人文环境状况</w:t>
            </w:r>
          </w:p>
        </w:tc>
        <w:tc>
          <w:tcPr>
            <w:tcW w:w="710" w:type="pct"/>
            <w:tcBorders>
              <w:top w:val="nil"/>
              <w:left w:val="nil"/>
              <w:bottom w:val="single" w:sz="4" w:space="0" w:color="auto"/>
              <w:right w:val="single" w:sz="4" w:space="0" w:color="auto"/>
            </w:tcBorders>
            <w:noWrap/>
            <w:hideMark/>
          </w:tcPr>
          <w:p w14:paraId="2D179EBB"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0.426%</w:t>
            </w:r>
          </w:p>
        </w:tc>
        <w:tc>
          <w:tcPr>
            <w:tcW w:w="710" w:type="pct"/>
            <w:tcBorders>
              <w:top w:val="nil"/>
              <w:left w:val="nil"/>
              <w:bottom w:val="single" w:sz="4" w:space="0" w:color="auto"/>
              <w:right w:val="single" w:sz="4" w:space="0" w:color="auto"/>
            </w:tcBorders>
            <w:noWrap/>
            <w:hideMark/>
          </w:tcPr>
          <w:p w14:paraId="7E313E0D"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0.213%</w:t>
            </w:r>
          </w:p>
        </w:tc>
        <w:tc>
          <w:tcPr>
            <w:tcW w:w="710" w:type="pct"/>
            <w:tcBorders>
              <w:top w:val="nil"/>
              <w:left w:val="nil"/>
              <w:bottom w:val="single" w:sz="4" w:space="0" w:color="auto"/>
              <w:right w:val="single" w:sz="4" w:space="0" w:color="auto"/>
            </w:tcBorders>
            <w:noWrap/>
            <w:hideMark/>
          </w:tcPr>
          <w:p w14:paraId="42267BEC"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596CE8AC"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-0.213%</w:t>
            </w:r>
          </w:p>
        </w:tc>
        <w:tc>
          <w:tcPr>
            <w:tcW w:w="708" w:type="pct"/>
            <w:tcBorders>
              <w:top w:val="nil"/>
              <w:left w:val="nil"/>
              <w:bottom w:val="single" w:sz="4" w:space="0" w:color="auto"/>
              <w:right w:val="single" w:sz="4" w:space="0" w:color="auto"/>
            </w:tcBorders>
            <w:noWrap/>
            <w:hideMark/>
          </w:tcPr>
          <w:p w14:paraId="4226E374"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-0.426%</w:t>
            </w:r>
          </w:p>
        </w:tc>
      </w:tr>
    </w:tbl>
    <w:p w14:paraId="74F25A25" w14:textId="77777777" w:rsidR="00914E90" w:rsidRPr="00F631FB" w:rsidRDefault="00914E90" w:rsidP="00914E90">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单位：</w:t>
      </w:r>
      <w:r w:rsidRPr="00F631FB">
        <w:rPr>
          <w:rFonts w:ascii="Arial" w:eastAsia="仿宋_GB2312" w:hAnsi="Arial" w:cs="Arial"/>
          <w:sz w:val="18"/>
          <w:szCs w:val="24"/>
        </w:rPr>
        <w:t>%</w:t>
      </w:r>
    </w:p>
    <w:p w14:paraId="1079400B" w14:textId="77777777" w:rsidR="00914E90" w:rsidRPr="00F631FB" w:rsidRDefault="00914E90" w:rsidP="00914E90">
      <w:pPr>
        <w:spacing w:line="360" w:lineRule="auto"/>
        <w:jc w:val="center"/>
        <w:rPr>
          <w:rFonts w:ascii="Arial" w:eastAsia="仿宋_GB2312" w:hAnsi="Arial" w:cs="Arial"/>
          <w:b/>
          <w:bCs/>
          <w:szCs w:val="24"/>
        </w:rPr>
      </w:pPr>
      <w:r w:rsidRPr="00F631FB">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107"/>
        <w:gridCol w:w="709"/>
        <w:gridCol w:w="1054"/>
      </w:tblGrid>
      <w:tr w:rsidR="00914E90" w:rsidRPr="00F32B31" w14:paraId="77776534" w14:textId="77777777" w:rsidTr="008B444E">
        <w:trPr>
          <w:trHeight w:val="270"/>
          <w:tblHeader/>
        </w:trPr>
        <w:tc>
          <w:tcPr>
            <w:tcW w:w="289" w:type="dxa"/>
            <w:tcBorders>
              <w:top w:val="single" w:sz="4" w:space="0" w:color="auto"/>
              <w:left w:val="single" w:sz="4" w:space="0" w:color="auto"/>
              <w:bottom w:val="single" w:sz="4" w:space="0" w:color="auto"/>
              <w:right w:val="single" w:sz="4" w:space="0" w:color="auto"/>
            </w:tcBorders>
            <w:vAlign w:val="center"/>
            <w:hideMark/>
          </w:tcPr>
          <w:p w14:paraId="169AB08D"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序号</w:t>
            </w:r>
          </w:p>
        </w:tc>
        <w:tc>
          <w:tcPr>
            <w:tcW w:w="2126" w:type="dxa"/>
            <w:tcBorders>
              <w:top w:val="single" w:sz="4" w:space="0" w:color="auto"/>
              <w:left w:val="nil"/>
              <w:bottom w:val="single" w:sz="4" w:space="0" w:color="auto"/>
              <w:right w:val="single" w:sz="4" w:space="0" w:color="auto"/>
            </w:tcBorders>
            <w:vAlign w:val="center"/>
            <w:hideMark/>
          </w:tcPr>
          <w:p w14:paraId="4773E0CC"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影响因素</w:t>
            </w:r>
          </w:p>
        </w:tc>
        <w:tc>
          <w:tcPr>
            <w:tcW w:w="5107" w:type="dxa"/>
            <w:tcBorders>
              <w:top w:val="single" w:sz="4" w:space="0" w:color="auto"/>
              <w:left w:val="nil"/>
              <w:bottom w:val="single" w:sz="4" w:space="0" w:color="auto"/>
              <w:right w:val="single" w:sz="4" w:space="0" w:color="auto"/>
            </w:tcBorders>
            <w:vAlign w:val="center"/>
            <w:hideMark/>
          </w:tcPr>
          <w:p w14:paraId="4383C834"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估价对象情况</w:t>
            </w:r>
          </w:p>
        </w:tc>
        <w:tc>
          <w:tcPr>
            <w:tcW w:w="709" w:type="dxa"/>
            <w:tcBorders>
              <w:top w:val="single" w:sz="4" w:space="0" w:color="auto"/>
              <w:left w:val="nil"/>
              <w:bottom w:val="single" w:sz="4" w:space="0" w:color="auto"/>
              <w:right w:val="single" w:sz="4" w:space="0" w:color="auto"/>
            </w:tcBorders>
            <w:vAlign w:val="center"/>
            <w:hideMark/>
          </w:tcPr>
          <w:p w14:paraId="31A4416B"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等级</w:t>
            </w:r>
          </w:p>
        </w:tc>
        <w:tc>
          <w:tcPr>
            <w:tcW w:w="1054" w:type="dxa"/>
            <w:tcBorders>
              <w:top w:val="single" w:sz="4" w:space="0" w:color="auto"/>
              <w:left w:val="nil"/>
              <w:bottom w:val="single" w:sz="4" w:space="0" w:color="auto"/>
              <w:right w:val="single" w:sz="4" w:space="0" w:color="auto"/>
            </w:tcBorders>
            <w:vAlign w:val="center"/>
            <w:hideMark/>
          </w:tcPr>
          <w:p w14:paraId="056E6723"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修正系数</w:t>
            </w:r>
          </w:p>
        </w:tc>
      </w:tr>
      <w:tr w:rsidR="00914E90" w:rsidRPr="00F32B31" w14:paraId="40F519ED" w14:textId="77777777" w:rsidTr="008B444E">
        <w:trPr>
          <w:trHeight w:val="675"/>
        </w:trPr>
        <w:tc>
          <w:tcPr>
            <w:tcW w:w="289" w:type="dxa"/>
            <w:tcBorders>
              <w:top w:val="nil"/>
              <w:left w:val="single" w:sz="4" w:space="0" w:color="auto"/>
              <w:bottom w:val="single" w:sz="4" w:space="0" w:color="auto"/>
              <w:right w:val="single" w:sz="4" w:space="0" w:color="auto"/>
            </w:tcBorders>
            <w:vAlign w:val="center"/>
            <w:hideMark/>
          </w:tcPr>
          <w:p w14:paraId="3A7284A3"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hideMark/>
          </w:tcPr>
          <w:p w14:paraId="565727B9"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办公集聚程度</w:t>
            </w:r>
          </w:p>
        </w:tc>
        <w:tc>
          <w:tcPr>
            <w:tcW w:w="5107" w:type="dxa"/>
            <w:tcBorders>
              <w:top w:val="nil"/>
              <w:left w:val="nil"/>
              <w:bottom w:val="single" w:sz="4" w:space="0" w:color="auto"/>
              <w:right w:val="single" w:sz="4" w:space="0" w:color="auto"/>
            </w:tcBorders>
            <w:vAlign w:val="center"/>
            <w:hideMark/>
          </w:tcPr>
          <w:p w14:paraId="689BBB1F"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hint="eastAsia"/>
                <w:sz w:val="18"/>
                <w:szCs w:val="18"/>
              </w:rPr>
              <w:t>估价对象位于海淀区苏州街，估价对象周边有亿方大厦、</w:t>
            </w:r>
            <w:proofErr w:type="gramStart"/>
            <w:r w:rsidRPr="00F32B31">
              <w:rPr>
                <w:rFonts w:ascii="Arial" w:eastAsia="仿宋_GB2312" w:hAnsi="Arial" w:cs="Arial" w:hint="eastAsia"/>
                <w:sz w:val="18"/>
                <w:szCs w:val="18"/>
              </w:rPr>
              <w:t>中电投大厦</w:t>
            </w:r>
            <w:proofErr w:type="gramEnd"/>
            <w:r w:rsidRPr="00F32B31">
              <w:rPr>
                <w:rFonts w:ascii="Arial" w:eastAsia="仿宋_GB2312" w:hAnsi="Arial" w:cs="Arial" w:hint="eastAsia"/>
                <w:sz w:val="18"/>
                <w:szCs w:val="18"/>
              </w:rPr>
              <w:t>、国家电投大厦、</w:t>
            </w:r>
            <w:proofErr w:type="gramStart"/>
            <w:r w:rsidRPr="00F32B31">
              <w:rPr>
                <w:rFonts w:ascii="Arial" w:eastAsia="仿宋_GB2312" w:hAnsi="Arial" w:cs="Arial" w:hint="eastAsia"/>
                <w:sz w:val="18"/>
                <w:szCs w:val="18"/>
              </w:rPr>
              <w:t>鼎钧大厦</w:t>
            </w:r>
            <w:proofErr w:type="gramEnd"/>
            <w:r w:rsidRPr="00F32B31">
              <w:rPr>
                <w:rFonts w:ascii="Arial" w:eastAsia="仿宋_GB2312" w:hAnsi="Arial" w:cs="Arial" w:hint="eastAsia"/>
                <w:sz w:val="18"/>
                <w:szCs w:val="18"/>
              </w:rPr>
              <w:t>、</w:t>
            </w:r>
            <w:proofErr w:type="gramStart"/>
            <w:r w:rsidRPr="00F32B31">
              <w:rPr>
                <w:rFonts w:ascii="Arial" w:eastAsia="仿宋_GB2312" w:hAnsi="Arial" w:cs="Arial" w:hint="eastAsia"/>
                <w:sz w:val="18"/>
                <w:szCs w:val="18"/>
              </w:rPr>
              <w:t>盈智大厦</w:t>
            </w:r>
            <w:proofErr w:type="gramEnd"/>
            <w:r w:rsidRPr="00F32B31">
              <w:rPr>
                <w:rFonts w:ascii="Arial" w:eastAsia="仿宋_GB2312" w:hAnsi="Arial" w:cs="Arial" w:hint="eastAsia"/>
                <w:sz w:val="18"/>
                <w:szCs w:val="18"/>
              </w:rPr>
              <w:t>等写字楼项目，办公集聚程度较好。</w:t>
            </w:r>
          </w:p>
        </w:tc>
        <w:tc>
          <w:tcPr>
            <w:tcW w:w="709" w:type="dxa"/>
            <w:tcBorders>
              <w:top w:val="nil"/>
              <w:left w:val="nil"/>
              <w:bottom w:val="single" w:sz="4" w:space="0" w:color="auto"/>
              <w:right w:val="single" w:sz="4" w:space="0" w:color="auto"/>
            </w:tcBorders>
            <w:hideMark/>
          </w:tcPr>
          <w:p w14:paraId="39668913"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hideMark/>
          </w:tcPr>
          <w:p w14:paraId="2DA57E90" w14:textId="77777777"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0.850%</w:t>
            </w:r>
          </w:p>
        </w:tc>
      </w:tr>
      <w:tr w:rsidR="00914E90" w:rsidRPr="00F32B31" w14:paraId="240BF9DE" w14:textId="77777777" w:rsidTr="008B444E">
        <w:trPr>
          <w:trHeight w:val="900"/>
        </w:trPr>
        <w:tc>
          <w:tcPr>
            <w:tcW w:w="289" w:type="dxa"/>
            <w:tcBorders>
              <w:top w:val="nil"/>
              <w:left w:val="single" w:sz="4" w:space="0" w:color="auto"/>
              <w:bottom w:val="single" w:sz="4" w:space="0" w:color="auto"/>
              <w:right w:val="single" w:sz="4" w:space="0" w:color="auto"/>
            </w:tcBorders>
            <w:vAlign w:val="center"/>
            <w:hideMark/>
          </w:tcPr>
          <w:p w14:paraId="15F07B1B"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hideMark/>
          </w:tcPr>
          <w:p w14:paraId="45AF84C3"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交通便捷度</w:t>
            </w:r>
          </w:p>
        </w:tc>
        <w:tc>
          <w:tcPr>
            <w:tcW w:w="5107" w:type="dxa"/>
            <w:tcBorders>
              <w:top w:val="nil"/>
              <w:left w:val="nil"/>
              <w:bottom w:val="single" w:sz="4" w:space="0" w:color="auto"/>
              <w:right w:val="single" w:sz="4" w:space="0" w:color="auto"/>
            </w:tcBorders>
            <w:vAlign w:val="center"/>
            <w:hideMark/>
          </w:tcPr>
          <w:p w14:paraId="79851164"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hint="eastAsia"/>
                <w:sz w:val="18"/>
                <w:szCs w:val="18"/>
              </w:rPr>
              <w:t>估价对象紧邻城市主干道—海淀南路、苏州街，南距北三环西路约</w:t>
            </w:r>
            <w:r w:rsidRPr="00F32B31">
              <w:rPr>
                <w:rFonts w:ascii="Arial" w:eastAsia="仿宋_GB2312" w:hAnsi="Arial" w:cs="Arial" w:hint="eastAsia"/>
                <w:sz w:val="18"/>
                <w:szCs w:val="18"/>
              </w:rPr>
              <w:t>1500</w:t>
            </w:r>
            <w:r w:rsidRPr="00F32B31">
              <w:rPr>
                <w:rFonts w:ascii="Arial" w:eastAsia="仿宋_GB2312" w:hAnsi="Arial" w:cs="Arial" w:hint="eastAsia"/>
                <w:sz w:val="18"/>
                <w:szCs w:val="18"/>
              </w:rPr>
              <w:t>米，距北京首都国际机场约</w:t>
            </w:r>
            <w:r w:rsidRPr="00F32B31">
              <w:rPr>
                <w:rFonts w:ascii="Arial" w:eastAsia="仿宋_GB2312" w:hAnsi="Arial" w:cs="Arial" w:hint="eastAsia"/>
                <w:sz w:val="18"/>
                <w:szCs w:val="18"/>
              </w:rPr>
              <w:t>29</w:t>
            </w:r>
            <w:r w:rsidRPr="00F32B31">
              <w:rPr>
                <w:rFonts w:ascii="Arial" w:eastAsia="仿宋_GB2312" w:hAnsi="Arial" w:cs="Arial" w:hint="eastAsia"/>
                <w:sz w:val="18"/>
                <w:szCs w:val="18"/>
              </w:rPr>
              <w:t>公里，距北京站约</w:t>
            </w:r>
            <w:r w:rsidRPr="00F32B31">
              <w:rPr>
                <w:rFonts w:ascii="Arial" w:eastAsia="仿宋_GB2312" w:hAnsi="Arial" w:cs="Arial" w:hint="eastAsia"/>
                <w:sz w:val="18"/>
                <w:szCs w:val="18"/>
              </w:rPr>
              <w:t>13</w:t>
            </w:r>
            <w:r w:rsidRPr="00F32B31">
              <w:rPr>
                <w:rFonts w:ascii="Arial" w:eastAsia="仿宋_GB2312" w:hAnsi="Arial" w:cs="Arial" w:hint="eastAsia"/>
                <w:sz w:val="18"/>
                <w:szCs w:val="18"/>
              </w:rPr>
              <w:t>公里，紧邻地铁</w:t>
            </w:r>
            <w:r w:rsidRPr="00F32B31">
              <w:rPr>
                <w:rFonts w:ascii="Arial" w:eastAsia="仿宋_GB2312" w:hAnsi="Arial" w:cs="Arial" w:hint="eastAsia"/>
                <w:sz w:val="18"/>
                <w:szCs w:val="18"/>
              </w:rPr>
              <w:t>10</w:t>
            </w:r>
            <w:r w:rsidRPr="00F32B31">
              <w:rPr>
                <w:rFonts w:ascii="Arial" w:eastAsia="仿宋_GB2312" w:hAnsi="Arial" w:cs="Arial" w:hint="eastAsia"/>
                <w:sz w:val="18"/>
                <w:szCs w:val="18"/>
              </w:rPr>
              <w:t>、</w:t>
            </w:r>
            <w:r w:rsidRPr="00F32B31">
              <w:rPr>
                <w:rFonts w:ascii="Arial" w:eastAsia="仿宋_GB2312" w:hAnsi="Arial" w:cs="Arial" w:hint="eastAsia"/>
                <w:sz w:val="18"/>
                <w:szCs w:val="18"/>
              </w:rPr>
              <w:t>16</w:t>
            </w:r>
            <w:r w:rsidRPr="00F32B31">
              <w:rPr>
                <w:rFonts w:ascii="Arial" w:eastAsia="仿宋_GB2312" w:hAnsi="Arial" w:cs="Arial" w:hint="eastAsia"/>
                <w:sz w:val="18"/>
                <w:szCs w:val="18"/>
              </w:rPr>
              <w:t>号线（苏州街站），周边有</w:t>
            </w:r>
            <w:r w:rsidRPr="00F32B31">
              <w:rPr>
                <w:rFonts w:ascii="Arial" w:eastAsia="仿宋_GB2312" w:hAnsi="Arial" w:cs="Arial" w:hint="eastAsia"/>
                <w:sz w:val="18"/>
                <w:szCs w:val="18"/>
              </w:rPr>
              <w:t>304</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307</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386</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630</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634</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671</w:t>
            </w:r>
            <w:r w:rsidRPr="00F32B31">
              <w:rPr>
                <w:rFonts w:ascii="Arial" w:eastAsia="仿宋_GB2312" w:hAnsi="Arial" w:cs="Arial" w:hint="eastAsia"/>
                <w:sz w:val="18"/>
                <w:szCs w:val="18"/>
              </w:rPr>
              <w:t>路等多条公交线路通过，综合评价交通便捷度较好。</w:t>
            </w:r>
          </w:p>
        </w:tc>
        <w:tc>
          <w:tcPr>
            <w:tcW w:w="709" w:type="dxa"/>
            <w:tcBorders>
              <w:top w:val="nil"/>
              <w:left w:val="nil"/>
              <w:bottom w:val="single" w:sz="4" w:space="0" w:color="auto"/>
              <w:right w:val="single" w:sz="4" w:space="0" w:color="auto"/>
            </w:tcBorders>
            <w:hideMark/>
          </w:tcPr>
          <w:p w14:paraId="00F92065"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hideMark/>
          </w:tcPr>
          <w:p w14:paraId="705C67EE" w14:textId="77777777"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1.065%</w:t>
            </w:r>
          </w:p>
        </w:tc>
      </w:tr>
      <w:tr w:rsidR="00914E90" w:rsidRPr="00F32B31" w14:paraId="6A5F0C22" w14:textId="77777777" w:rsidTr="008B444E">
        <w:trPr>
          <w:trHeight w:val="270"/>
        </w:trPr>
        <w:tc>
          <w:tcPr>
            <w:tcW w:w="289" w:type="dxa"/>
            <w:tcBorders>
              <w:top w:val="nil"/>
              <w:left w:val="single" w:sz="4" w:space="0" w:color="auto"/>
              <w:bottom w:val="single" w:sz="4" w:space="0" w:color="auto"/>
              <w:right w:val="single" w:sz="4" w:space="0" w:color="auto"/>
            </w:tcBorders>
            <w:vAlign w:val="center"/>
            <w:hideMark/>
          </w:tcPr>
          <w:p w14:paraId="7A7D87F2"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hideMark/>
          </w:tcPr>
          <w:p w14:paraId="3CD54800"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区域土地利用方向</w:t>
            </w:r>
          </w:p>
        </w:tc>
        <w:tc>
          <w:tcPr>
            <w:tcW w:w="5107" w:type="dxa"/>
            <w:tcBorders>
              <w:top w:val="nil"/>
              <w:left w:val="nil"/>
              <w:bottom w:val="single" w:sz="4" w:space="0" w:color="auto"/>
              <w:right w:val="single" w:sz="4" w:space="0" w:color="auto"/>
            </w:tcBorders>
            <w:vAlign w:val="center"/>
            <w:hideMark/>
          </w:tcPr>
          <w:p w14:paraId="5D37EFDB"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区域土地利用方向较好</w:t>
            </w:r>
          </w:p>
        </w:tc>
        <w:tc>
          <w:tcPr>
            <w:tcW w:w="709" w:type="dxa"/>
            <w:tcBorders>
              <w:top w:val="nil"/>
              <w:left w:val="nil"/>
              <w:bottom w:val="single" w:sz="4" w:space="0" w:color="auto"/>
              <w:right w:val="single" w:sz="4" w:space="0" w:color="auto"/>
            </w:tcBorders>
            <w:hideMark/>
          </w:tcPr>
          <w:p w14:paraId="45F985D1"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hideMark/>
          </w:tcPr>
          <w:p w14:paraId="108F73ED" w14:textId="77777777"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0.284%</w:t>
            </w:r>
          </w:p>
        </w:tc>
      </w:tr>
      <w:tr w:rsidR="00914E90" w:rsidRPr="00F32B31" w14:paraId="29FC308F" w14:textId="77777777" w:rsidTr="008B444E">
        <w:trPr>
          <w:trHeight w:val="270"/>
        </w:trPr>
        <w:tc>
          <w:tcPr>
            <w:tcW w:w="289" w:type="dxa"/>
            <w:tcBorders>
              <w:top w:val="nil"/>
              <w:left w:val="single" w:sz="4" w:space="0" w:color="auto"/>
              <w:bottom w:val="single" w:sz="4" w:space="0" w:color="auto"/>
              <w:right w:val="single" w:sz="4" w:space="0" w:color="auto"/>
            </w:tcBorders>
            <w:vAlign w:val="center"/>
            <w:hideMark/>
          </w:tcPr>
          <w:p w14:paraId="5B6167AA"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hideMark/>
          </w:tcPr>
          <w:p w14:paraId="42D2D381"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临街宽度和深度</w:t>
            </w:r>
          </w:p>
        </w:tc>
        <w:tc>
          <w:tcPr>
            <w:tcW w:w="5107" w:type="dxa"/>
            <w:tcBorders>
              <w:top w:val="nil"/>
              <w:left w:val="nil"/>
              <w:bottom w:val="single" w:sz="4" w:space="0" w:color="auto"/>
              <w:right w:val="single" w:sz="4" w:space="0" w:color="auto"/>
            </w:tcBorders>
            <w:vAlign w:val="center"/>
            <w:hideMark/>
          </w:tcPr>
          <w:p w14:paraId="2D08C12C"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临街宽度及深度比例较适宜，对土地利用无不利影响</w:t>
            </w:r>
          </w:p>
        </w:tc>
        <w:tc>
          <w:tcPr>
            <w:tcW w:w="709" w:type="dxa"/>
            <w:tcBorders>
              <w:top w:val="nil"/>
              <w:left w:val="nil"/>
              <w:bottom w:val="single" w:sz="4" w:space="0" w:color="auto"/>
              <w:right w:val="single" w:sz="4" w:space="0" w:color="auto"/>
            </w:tcBorders>
            <w:hideMark/>
          </w:tcPr>
          <w:p w14:paraId="43E78F7F"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hideMark/>
          </w:tcPr>
          <w:p w14:paraId="2578E52A" w14:textId="77777777"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0.142%</w:t>
            </w:r>
          </w:p>
        </w:tc>
      </w:tr>
      <w:tr w:rsidR="00914E90" w:rsidRPr="00F32B31" w14:paraId="16420B79" w14:textId="77777777" w:rsidTr="008B444E">
        <w:trPr>
          <w:trHeight w:val="270"/>
        </w:trPr>
        <w:tc>
          <w:tcPr>
            <w:tcW w:w="289" w:type="dxa"/>
            <w:tcBorders>
              <w:top w:val="nil"/>
              <w:left w:val="single" w:sz="4" w:space="0" w:color="auto"/>
              <w:bottom w:val="single" w:sz="4" w:space="0" w:color="auto"/>
              <w:right w:val="single" w:sz="4" w:space="0" w:color="auto"/>
            </w:tcBorders>
            <w:vAlign w:val="center"/>
            <w:hideMark/>
          </w:tcPr>
          <w:p w14:paraId="4ADFAF8C"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hideMark/>
          </w:tcPr>
          <w:p w14:paraId="025E6049"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临街道路状况</w:t>
            </w:r>
          </w:p>
        </w:tc>
        <w:tc>
          <w:tcPr>
            <w:tcW w:w="5107" w:type="dxa"/>
            <w:tcBorders>
              <w:top w:val="nil"/>
              <w:left w:val="nil"/>
              <w:bottom w:val="single" w:sz="4" w:space="0" w:color="auto"/>
              <w:right w:val="single" w:sz="4" w:space="0" w:color="auto"/>
            </w:tcBorders>
            <w:vAlign w:val="center"/>
            <w:hideMark/>
          </w:tcPr>
          <w:p w14:paraId="79A07C80"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hint="eastAsia"/>
                <w:sz w:val="18"/>
                <w:szCs w:val="18"/>
              </w:rPr>
              <w:t>城市主干道—海淀南路</w:t>
            </w:r>
          </w:p>
        </w:tc>
        <w:tc>
          <w:tcPr>
            <w:tcW w:w="709" w:type="dxa"/>
            <w:tcBorders>
              <w:top w:val="nil"/>
              <w:left w:val="nil"/>
              <w:bottom w:val="single" w:sz="4" w:space="0" w:color="auto"/>
              <w:right w:val="single" w:sz="4" w:space="0" w:color="auto"/>
            </w:tcBorders>
            <w:hideMark/>
          </w:tcPr>
          <w:p w14:paraId="1CD52C3F"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hideMark/>
          </w:tcPr>
          <w:p w14:paraId="390F2D1A" w14:textId="4BD68839"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0.17</w:t>
            </w:r>
            <w:r w:rsidR="00A679FA">
              <w:rPr>
                <w:rFonts w:ascii="Arial" w:eastAsia="仿宋_GB2312" w:hAnsi="Arial" w:cs="Arial"/>
                <w:sz w:val="18"/>
                <w:szCs w:val="18"/>
              </w:rPr>
              <w:t>5</w:t>
            </w:r>
            <w:r w:rsidRPr="00F32B31">
              <w:rPr>
                <w:rFonts w:ascii="Arial" w:eastAsia="仿宋_GB2312" w:hAnsi="Arial" w:cs="Arial"/>
                <w:sz w:val="18"/>
                <w:szCs w:val="18"/>
              </w:rPr>
              <w:t>%</w:t>
            </w:r>
          </w:p>
        </w:tc>
      </w:tr>
      <w:tr w:rsidR="00914E90" w:rsidRPr="00F32B31" w14:paraId="13F26769" w14:textId="77777777" w:rsidTr="008B444E">
        <w:trPr>
          <w:trHeight w:val="270"/>
        </w:trPr>
        <w:tc>
          <w:tcPr>
            <w:tcW w:w="289" w:type="dxa"/>
            <w:tcBorders>
              <w:top w:val="nil"/>
              <w:left w:val="single" w:sz="4" w:space="0" w:color="auto"/>
              <w:bottom w:val="single" w:sz="4" w:space="0" w:color="auto"/>
              <w:right w:val="single" w:sz="4" w:space="0" w:color="auto"/>
            </w:tcBorders>
            <w:vAlign w:val="center"/>
            <w:hideMark/>
          </w:tcPr>
          <w:p w14:paraId="7EBEF04D"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hideMark/>
          </w:tcPr>
          <w:p w14:paraId="7E15C7E2"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宗地形状及可利用程度</w:t>
            </w:r>
          </w:p>
        </w:tc>
        <w:tc>
          <w:tcPr>
            <w:tcW w:w="5107" w:type="dxa"/>
            <w:tcBorders>
              <w:top w:val="nil"/>
              <w:left w:val="nil"/>
              <w:bottom w:val="single" w:sz="4" w:space="0" w:color="auto"/>
              <w:right w:val="single" w:sz="4" w:space="0" w:color="auto"/>
            </w:tcBorders>
            <w:vAlign w:val="center"/>
            <w:hideMark/>
          </w:tcPr>
          <w:p w14:paraId="24A22A81"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宗地形状较规则</w:t>
            </w:r>
          </w:p>
        </w:tc>
        <w:tc>
          <w:tcPr>
            <w:tcW w:w="709" w:type="dxa"/>
            <w:tcBorders>
              <w:top w:val="nil"/>
              <w:left w:val="nil"/>
              <w:bottom w:val="single" w:sz="4" w:space="0" w:color="auto"/>
              <w:right w:val="single" w:sz="4" w:space="0" w:color="auto"/>
            </w:tcBorders>
            <w:hideMark/>
          </w:tcPr>
          <w:p w14:paraId="7C456503"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hideMark/>
          </w:tcPr>
          <w:p w14:paraId="0D410F3E" w14:textId="029DFF4C"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0.17</w:t>
            </w:r>
            <w:r w:rsidR="00A679FA">
              <w:rPr>
                <w:rFonts w:ascii="Arial" w:eastAsia="仿宋_GB2312" w:hAnsi="Arial" w:cs="Arial"/>
                <w:sz w:val="18"/>
                <w:szCs w:val="18"/>
              </w:rPr>
              <w:t>5</w:t>
            </w:r>
            <w:r w:rsidRPr="00F32B31">
              <w:rPr>
                <w:rFonts w:ascii="Arial" w:eastAsia="仿宋_GB2312" w:hAnsi="Arial" w:cs="Arial"/>
                <w:sz w:val="18"/>
                <w:szCs w:val="18"/>
              </w:rPr>
              <w:t>%</w:t>
            </w:r>
          </w:p>
        </w:tc>
      </w:tr>
      <w:tr w:rsidR="00914E90" w:rsidRPr="00F32B31" w14:paraId="44EFFD7A" w14:textId="77777777" w:rsidTr="008B444E">
        <w:trPr>
          <w:trHeight w:val="1350"/>
        </w:trPr>
        <w:tc>
          <w:tcPr>
            <w:tcW w:w="289" w:type="dxa"/>
            <w:tcBorders>
              <w:top w:val="nil"/>
              <w:left w:val="single" w:sz="4" w:space="0" w:color="auto"/>
              <w:bottom w:val="single" w:sz="4" w:space="0" w:color="auto"/>
              <w:right w:val="single" w:sz="4" w:space="0" w:color="auto"/>
            </w:tcBorders>
            <w:vAlign w:val="center"/>
            <w:hideMark/>
          </w:tcPr>
          <w:p w14:paraId="5575EF39"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lastRenderedPageBreak/>
              <w:t>g</w:t>
            </w:r>
          </w:p>
        </w:tc>
        <w:tc>
          <w:tcPr>
            <w:tcW w:w="2126" w:type="dxa"/>
            <w:tcBorders>
              <w:top w:val="nil"/>
              <w:left w:val="nil"/>
              <w:bottom w:val="single" w:sz="4" w:space="0" w:color="auto"/>
              <w:right w:val="single" w:sz="4" w:space="0" w:color="auto"/>
            </w:tcBorders>
            <w:vAlign w:val="center"/>
            <w:hideMark/>
          </w:tcPr>
          <w:p w14:paraId="286753DF"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公共服务设施状况</w:t>
            </w:r>
          </w:p>
        </w:tc>
        <w:tc>
          <w:tcPr>
            <w:tcW w:w="5107" w:type="dxa"/>
            <w:tcBorders>
              <w:top w:val="nil"/>
              <w:left w:val="nil"/>
              <w:bottom w:val="single" w:sz="4" w:space="0" w:color="auto"/>
              <w:right w:val="single" w:sz="4" w:space="0" w:color="auto"/>
            </w:tcBorders>
            <w:vAlign w:val="center"/>
            <w:hideMark/>
          </w:tcPr>
          <w:p w14:paraId="1F0956A6"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hint="eastAsia"/>
                <w:sz w:val="18"/>
                <w:szCs w:val="18"/>
              </w:rPr>
              <w:t>购物场所（新中关购物中心、</w:t>
            </w:r>
            <w:proofErr w:type="gramStart"/>
            <w:r w:rsidRPr="00F32B31">
              <w:rPr>
                <w:rFonts w:ascii="Arial" w:eastAsia="仿宋_GB2312" w:hAnsi="Arial" w:cs="Arial" w:hint="eastAsia"/>
                <w:sz w:val="18"/>
                <w:szCs w:val="18"/>
              </w:rPr>
              <w:t>领展购物</w:t>
            </w:r>
            <w:proofErr w:type="gramEnd"/>
            <w:r w:rsidRPr="00F32B31">
              <w:rPr>
                <w:rFonts w:ascii="Arial" w:eastAsia="仿宋_GB2312" w:hAnsi="Arial" w:cs="Arial" w:hint="eastAsia"/>
                <w:sz w:val="18"/>
                <w:szCs w:val="18"/>
              </w:rPr>
              <w:t>广场（中关村店）、</w:t>
            </w:r>
            <w:r w:rsidRPr="00F32B31">
              <w:rPr>
                <w:rFonts w:ascii="Arial" w:eastAsia="仿宋_GB2312" w:hAnsi="Arial" w:cs="Arial" w:hint="eastAsia"/>
                <w:sz w:val="18"/>
                <w:szCs w:val="18"/>
              </w:rPr>
              <w:t>BHG MALL</w:t>
            </w:r>
            <w:r w:rsidRPr="00F32B31">
              <w:rPr>
                <w:rFonts w:ascii="Arial" w:eastAsia="仿宋_GB2312" w:hAnsi="Arial" w:cs="Arial" w:hint="eastAsia"/>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709" w:type="dxa"/>
            <w:tcBorders>
              <w:top w:val="nil"/>
              <w:left w:val="nil"/>
              <w:bottom w:val="single" w:sz="4" w:space="0" w:color="auto"/>
              <w:right w:val="single" w:sz="4" w:space="0" w:color="auto"/>
            </w:tcBorders>
            <w:hideMark/>
          </w:tcPr>
          <w:p w14:paraId="444DE077"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hideMark/>
          </w:tcPr>
          <w:p w14:paraId="7AA91DFA" w14:textId="77777777"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0.213%</w:t>
            </w:r>
          </w:p>
        </w:tc>
      </w:tr>
      <w:tr w:rsidR="00914E90" w:rsidRPr="00F32B31" w14:paraId="2210663B" w14:textId="77777777" w:rsidTr="008B444E">
        <w:trPr>
          <w:trHeight w:val="270"/>
        </w:trPr>
        <w:tc>
          <w:tcPr>
            <w:tcW w:w="289" w:type="dxa"/>
            <w:tcBorders>
              <w:top w:val="nil"/>
              <w:left w:val="single" w:sz="4" w:space="0" w:color="auto"/>
              <w:bottom w:val="single" w:sz="4" w:space="0" w:color="auto"/>
              <w:right w:val="single" w:sz="4" w:space="0" w:color="auto"/>
            </w:tcBorders>
            <w:vAlign w:val="center"/>
            <w:hideMark/>
          </w:tcPr>
          <w:p w14:paraId="45DBFC53"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hideMark/>
          </w:tcPr>
          <w:p w14:paraId="236BCF2D"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基础设施完备状况</w:t>
            </w:r>
          </w:p>
        </w:tc>
        <w:tc>
          <w:tcPr>
            <w:tcW w:w="5107" w:type="dxa"/>
            <w:tcBorders>
              <w:top w:val="nil"/>
              <w:left w:val="nil"/>
              <w:bottom w:val="single" w:sz="4" w:space="0" w:color="auto"/>
              <w:right w:val="single" w:sz="4" w:space="0" w:color="auto"/>
            </w:tcBorders>
            <w:vAlign w:val="center"/>
            <w:hideMark/>
          </w:tcPr>
          <w:p w14:paraId="79F7AEB6"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七通</w:t>
            </w:r>
          </w:p>
        </w:tc>
        <w:tc>
          <w:tcPr>
            <w:tcW w:w="709" w:type="dxa"/>
            <w:tcBorders>
              <w:top w:val="nil"/>
              <w:left w:val="nil"/>
              <w:bottom w:val="single" w:sz="4" w:space="0" w:color="auto"/>
              <w:right w:val="single" w:sz="4" w:space="0" w:color="auto"/>
            </w:tcBorders>
            <w:hideMark/>
          </w:tcPr>
          <w:p w14:paraId="2DF67341"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好</w:t>
            </w:r>
          </w:p>
        </w:tc>
        <w:tc>
          <w:tcPr>
            <w:tcW w:w="1054" w:type="dxa"/>
            <w:tcBorders>
              <w:top w:val="nil"/>
              <w:left w:val="nil"/>
              <w:bottom w:val="single" w:sz="4" w:space="0" w:color="auto"/>
              <w:right w:val="single" w:sz="4" w:space="0" w:color="auto"/>
            </w:tcBorders>
            <w:hideMark/>
          </w:tcPr>
          <w:p w14:paraId="62B05742" w14:textId="77777777"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0.852%</w:t>
            </w:r>
          </w:p>
        </w:tc>
      </w:tr>
      <w:tr w:rsidR="00914E90" w:rsidRPr="00F32B31" w14:paraId="07ACE04F" w14:textId="77777777" w:rsidTr="008B444E">
        <w:trPr>
          <w:trHeight w:val="900"/>
        </w:trPr>
        <w:tc>
          <w:tcPr>
            <w:tcW w:w="289" w:type="dxa"/>
            <w:tcBorders>
              <w:top w:val="nil"/>
              <w:left w:val="single" w:sz="4" w:space="0" w:color="auto"/>
              <w:bottom w:val="single" w:sz="4" w:space="0" w:color="auto"/>
              <w:right w:val="single" w:sz="4" w:space="0" w:color="auto"/>
            </w:tcBorders>
            <w:vAlign w:val="center"/>
            <w:hideMark/>
          </w:tcPr>
          <w:p w14:paraId="6A2EA472" w14:textId="77777777" w:rsidR="00914E90" w:rsidRPr="00F32B31" w:rsidRDefault="00914E90" w:rsidP="008B444E">
            <w:pPr>
              <w:widowControl/>
              <w:adjustRightInd/>
              <w:spacing w:line="240" w:lineRule="auto"/>
              <w:rPr>
                <w:rFonts w:ascii="Arial" w:eastAsia="仿宋_GB2312" w:hAnsi="Arial" w:cs="Arial"/>
                <w:sz w:val="18"/>
                <w:szCs w:val="18"/>
              </w:rPr>
            </w:pPr>
            <w:proofErr w:type="spellStart"/>
            <w:r w:rsidRPr="00F32B31">
              <w:rPr>
                <w:rFonts w:ascii="Arial" w:eastAsia="仿宋_GB2312" w:hAnsi="Arial" w:cs="Arial"/>
                <w:sz w:val="18"/>
                <w:szCs w:val="18"/>
              </w:rPr>
              <w:t>i</w:t>
            </w:r>
            <w:proofErr w:type="spellEnd"/>
          </w:p>
        </w:tc>
        <w:tc>
          <w:tcPr>
            <w:tcW w:w="2126" w:type="dxa"/>
            <w:tcBorders>
              <w:top w:val="nil"/>
              <w:left w:val="nil"/>
              <w:bottom w:val="single" w:sz="4" w:space="0" w:color="auto"/>
              <w:right w:val="single" w:sz="4" w:space="0" w:color="auto"/>
            </w:tcBorders>
            <w:vAlign w:val="center"/>
            <w:hideMark/>
          </w:tcPr>
          <w:p w14:paraId="1A67A067"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自然和人文环境状况</w:t>
            </w:r>
          </w:p>
        </w:tc>
        <w:tc>
          <w:tcPr>
            <w:tcW w:w="5107" w:type="dxa"/>
            <w:tcBorders>
              <w:top w:val="nil"/>
              <w:left w:val="nil"/>
              <w:bottom w:val="single" w:sz="4" w:space="0" w:color="auto"/>
              <w:right w:val="single" w:sz="4" w:space="0" w:color="auto"/>
            </w:tcBorders>
            <w:vAlign w:val="center"/>
            <w:hideMark/>
          </w:tcPr>
          <w:p w14:paraId="148153FB"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hint="eastAsia"/>
                <w:sz w:val="18"/>
                <w:szCs w:val="18"/>
              </w:rPr>
              <w:t>周边</w:t>
            </w:r>
            <w:r w:rsidRPr="00F32B31">
              <w:rPr>
                <w:rFonts w:ascii="Arial" w:eastAsia="仿宋_GB2312" w:hAnsi="Arial" w:cs="Arial" w:hint="eastAsia"/>
                <w:sz w:val="18"/>
                <w:szCs w:val="18"/>
              </w:rPr>
              <w:t>2</w:t>
            </w:r>
            <w:r w:rsidRPr="00F32B31">
              <w:rPr>
                <w:rFonts w:ascii="Arial" w:eastAsia="仿宋_GB2312" w:hAnsi="Arial" w:cs="Arial" w:hint="eastAsia"/>
                <w:sz w:val="18"/>
                <w:szCs w:val="18"/>
              </w:rPr>
              <w:t>公里内有海淀公园、知春公园、</w:t>
            </w:r>
            <w:proofErr w:type="gramStart"/>
            <w:r w:rsidRPr="00F32B31">
              <w:rPr>
                <w:rFonts w:ascii="Arial" w:eastAsia="仿宋_GB2312" w:hAnsi="Arial" w:cs="Arial" w:hint="eastAsia"/>
                <w:sz w:val="18"/>
                <w:szCs w:val="18"/>
              </w:rPr>
              <w:t>巴沟山水园</w:t>
            </w:r>
            <w:proofErr w:type="gramEnd"/>
            <w:r w:rsidRPr="00F32B31">
              <w:rPr>
                <w:rFonts w:ascii="Arial" w:eastAsia="仿宋_GB2312" w:hAnsi="Arial" w:cs="Arial" w:hint="eastAsia"/>
                <w:sz w:val="18"/>
                <w:szCs w:val="18"/>
              </w:rPr>
              <w:t>等；中国人民大学、北京大学等人文设施，综合考虑自然环境与人文环境较好。</w:t>
            </w:r>
          </w:p>
        </w:tc>
        <w:tc>
          <w:tcPr>
            <w:tcW w:w="709" w:type="dxa"/>
            <w:tcBorders>
              <w:top w:val="nil"/>
              <w:left w:val="nil"/>
              <w:bottom w:val="single" w:sz="4" w:space="0" w:color="auto"/>
              <w:right w:val="single" w:sz="4" w:space="0" w:color="auto"/>
            </w:tcBorders>
            <w:hideMark/>
          </w:tcPr>
          <w:p w14:paraId="407F7F61"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hideMark/>
          </w:tcPr>
          <w:p w14:paraId="764672BE" w14:textId="77777777"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0.213%</w:t>
            </w:r>
          </w:p>
        </w:tc>
      </w:tr>
      <w:tr w:rsidR="00914E90" w:rsidRPr="00F32B31" w14:paraId="0E40C3D4" w14:textId="77777777" w:rsidTr="008B444E">
        <w:trPr>
          <w:trHeight w:val="270"/>
        </w:trPr>
        <w:tc>
          <w:tcPr>
            <w:tcW w:w="8231" w:type="dxa"/>
            <w:gridSpan w:val="4"/>
            <w:tcBorders>
              <w:top w:val="single" w:sz="4" w:space="0" w:color="auto"/>
              <w:left w:val="single" w:sz="4" w:space="0" w:color="auto"/>
              <w:bottom w:val="single" w:sz="4" w:space="0" w:color="auto"/>
              <w:right w:val="single" w:sz="4" w:space="0" w:color="auto"/>
            </w:tcBorders>
            <w:vAlign w:val="center"/>
            <w:hideMark/>
          </w:tcPr>
          <w:p w14:paraId="0E25DECA"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合计（</w:t>
            </w:r>
            <w:r w:rsidRPr="00F32B31">
              <w:rPr>
                <w:rFonts w:ascii="Arial" w:eastAsia="仿宋_GB2312" w:hAnsi="Arial" w:cs="Arial"/>
                <w:sz w:val="18"/>
                <w:szCs w:val="18"/>
              </w:rPr>
              <w:t>∑K</w:t>
            </w:r>
            <w:r w:rsidRPr="00F32B31">
              <w:rPr>
                <w:rFonts w:ascii="Arial" w:eastAsia="仿宋_GB2312" w:hAnsi="Arial" w:cs="Arial"/>
                <w:sz w:val="18"/>
                <w:szCs w:val="18"/>
                <w:vertAlign w:val="subscript"/>
              </w:rPr>
              <w:t>i</w:t>
            </w:r>
            <w:r w:rsidRPr="00F32B31">
              <w:rPr>
                <w:rFonts w:ascii="Arial" w:eastAsia="仿宋_GB2312" w:hAnsi="Arial" w:cs="Arial"/>
                <w:sz w:val="18"/>
                <w:szCs w:val="18"/>
              </w:rPr>
              <w:t>）</w:t>
            </w:r>
          </w:p>
        </w:tc>
        <w:tc>
          <w:tcPr>
            <w:tcW w:w="1054" w:type="dxa"/>
            <w:tcBorders>
              <w:top w:val="nil"/>
              <w:left w:val="nil"/>
              <w:bottom w:val="single" w:sz="4" w:space="0" w:color="auto"/>
              <w:right w:val="single" w:sz="4" w:space="0" w:color="auto"/>
            </w:tcBorders>
            <w:vAlign w:val="center"/>
            <w:hideMark/>
          </w:tcPr>
          <w:p w14:paraId="5DE0A5AD" w14:textId="77777777" w:rsidR="00914E90" w:rsidRPr="00F32B31" w:rsidRDefault="00914E90" w:rsidP="008B444E">
            <w:pPr>
              <w:widowControl/>
              <w:adjustRightInd/>
              <w:spacing w:line="240" w:lineRule="auto"/>
              <w:jc w:val="right"/>
              <w:rPr>
                <w:rFonts w:ascii="Arial" w:eastAsia="仿宋_GB2312" w:hAnsi="Arial" w:cs="Arial"/>
                <w:sz w:val="18"/>
                <w:szCs w:val="18"/>
              </w:rPr>
            </w:pPr>
            <w:r>
              <w:rPr>
                <w:rFonts w:ascii="Arial" w:eastAsia="仿宋_GB2312" w:hAnsi="Arial" w:cs="Arial"/>
                <w:sz w:val="18"/>
                <w:szCs w:val="18"/>
              </w:rPr>
              <w:t>3.97</w:t>
            </w:r>
            <w:r w:rsidRPr="00F32B31">
              <w:rPr>
                <w:rFonts w:ascii="Arial" w:eastAsia="仿宋_GB2312" w:hAnsi="Arial" w:cs="Arial"/>
                <w:sz w:val="18"/>
                <w:szCs w:val="18"/>
              </w:rPr>
              <w:t>%</w:t>
            </w:r>
          </w:p>
        </w:tc>
      </w:tr>
      <w:tr w:rsidR="00914E90" w:rsidRPr="00F32B31" w14:paraId="694D12E2" w14:textId="77777777" w:rsidTr="008B444E">
        <w:trPr>
          <w:trHeight w:val="270"/>
        </w:trPr>
        <w:tc>
          <w:tcPr>
            <w:tcW w:w="8231" w:type="dxa"/>
            <w:gridSpan w:val="4"/>
            <w:tcBorders>
              <w:top w:val="single" w:sz="4" w:space="0" w:color="auto"/>
              <w:left w:val="single" w:sz="4" w:space="0" w:color="auto"/>
              <w:bottom w:val="single" w:sz="4" w:space="0" w:color="auto"/>
              <w:right w:val="single" w:sz="4" w:space="0" w:color="auto"/>
            </w:tcBorders>
            <w:vAlign w:val="center"/>
            <w:hideMark/>
          </w:tcPr>
          <w:p w14:paraId="65A557A8"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因素修正系数（</w:t>
            </w:r>
            <w:r w:rsidRPr="00F32B31">
              <w:rPr>
                <w:rFonts w:ascii="Arial" w:eastAsia="仿宋_GB2312" w:hAnsi="Arial" w:cs="Arial"/>
                <w:sz w:val="18"/>
                <w:szCs w:val="18"/>
              </w:rPr>
              <w:t>1+∑K</w:t>
            </w:r>
            <w:r w:rsidRPr="00F32B31">
              <w:rPr>
                <w:rFonts w:ascii="Arial" w:eastAsia="仿宋_GB2312" w:hAnsi="Arial" w:cs="Arial"/>
                <w:sz w:val="18"/>
                <w:szCs w:val="18"/>
                <w:vertAlign w:val="subscript"/>
              </w:rPr>
              <w:t>i</w:t>
            </w:r>
            <w:r w:rsidRPr="00F32B31">
              <w:rPr>
                <w:rFonts w:ascii="Arial" w:eastAsia="仿宋_GB2312" w:hAnsi="Arial" w:cs="Arial"/>
                <w:sz w:val="18"/>
                <w:szCs w:val="18"/>
              </w:rPr>
              <w:t>）</w:t>
            </w:r>
          </w:p>
        </w:tc>
        <w:tc>
          <w:tcPr>
            <w:tcW w:w="1054" w:type="dxa"/>
            <w:tcBorders>
              <w:top w:val="nil"/>
              <w:left w:val="nil"/>
              <w:bottom w:val="single" w:sz="4" w:space="0" w:color="auto"/>
              <w:right w:val="single" w:sz="4" w:space="0" w:color="auto"/>
            </w:tcBorders>
            <w:vAlign w:val="center"/>
            <w:hideMark/>
          </w:tcPr>
          <w:p w14:paraId="1320B85A" w14:textId="77777777"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1.0</w:t>
            </w:r>
            <w:r>
              <w:rPr>
                <w:rFonts w:ascii="Arial" w:eastAsia="仿宋_GB2312" w:hAnsi="Arial" w:cs="Arial"/>
                <w:sz w:val="18"/>
                <w:szCs w:val="18"/>
              </w:rPr>
              <w:t>397</w:t>
            </w:r>
          </w:p>
        </w:tc>
      </w:tr>
    </w:tbl>
    <w:p w14:paraId="4CDA5F2A" w14:textId="77777777" w:rsidR="00914E90" w:rsidRPr="00F631FB" w:rsidRDefault="00914E90" w:rsidP="00914E90">
      <w:pPr>
        <w:spacing w:line="240" w:lineRule="exact"/>
        <w:rPr>
          <w:rFonts w:ascii="Arial" w:eastAsia="仿宋_GB2312" w:hAnsi="Arial" w:cs="Arial"/>
          <w:sz w:val="18"/>
          <w:szCs w:val="24"/>
        </w:rPr>
      </w:pPr>
    </w:p>
    <w:p w14:paraId="708199C8" w14:textId="77777777" w:rsidR="00914E90" w:rsidRPr="00F631FB" w:rsidRDefault="00914E90" w:rsidP="00914E90">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7</w:t>
      </w:r>
      <w:r w:rsidRPr="00F631FB">
        <w:rPr>
          <w:rFonts w:ascii="Arial" w:eastAsia="仿宋_GB2312" w:hAnsi="Arial" w:cs="Arial" w:hint="eastAsia"/>
          <w:sz w:val="28"/>
          <w:szCs w:val="28"/>
        </w:rPr>
        <w:t>）</w:t>
      </w:r>
      <w:r w:rsidRPr="00F631FB">
        <w:rPr>
          <w:rFonts w:ascii="Arial" w:eastAsia="仿宋_GB2312" w:hAnsi="Arial" w:cs="Arial"/>
          <w:sz w:val="28"/>
          <w:szCs w:val="28"/>
        </w:rPr>
        <w:t>估价</w:t>
      </w:r>
      <w:proofErr w:type="gramStart"/>
      <w:r w:rsidRPr="00F631FB">
        <w:rPr>
          <w:rFonts w:ascii="Arial" w:eastAsia="仿宋_GB2312" w:hAnsi="Arial" w:cs="Arial"/>
          <w:sz w:val="28"/>
          <w:szCs w:val="28"/>
        </w:rPr>
        <w:t>对象楼</w:t>
      </w:r>
      <w:proofErr w:type="gramEnd"/>
      <w:r w:rsidRPr="00F631FB">
        <w:rPr>
          <w:rFonts w:ascii="Arial" w:eastAsia="仿宋_GB2312" w:hAnsi="Arial" w:cs="Arial"/>
          <w:sz w:val="28"/>
          <w:szCs w:val="28"/>
        </w:rPr>
        <w:t>面熟地价</w:t>
      </w:r>
    </w:p>
    <w:p w14:paraId="36F59175" w14:textId="77777777" w:rsidR="00914E90" w:rsidRPr="00F631FB" w:rsidRDefault="00914E90" w:rsidP="00914E90">
      <w:pPr>
        <w:spacing w:line="360" w:lineRule="auto"/>
        <w:ind w:firstLineChars="200" w:firstLine="560"/>
        <w:jc w:val="both"/>
        <w:rPr>
          <w:rFonts w:ascii="Arial" w:eastAsia="仿宋_GB2312" w:hAnsi="Arial" w:cs="Arial"/>
          <w:snapToGrid w:val="0"/>
          <w:sz w:val="28"/>
        </w:rPr>
      </w:pPr>
      <w:r>
        <w:rPr>
          <w:rFonts w:ascii="Arial" w:eastAsia="仿宋_GB2312" w:hAnsi="Arial" w:cs="Arial" w:hint="eastAsia"/>
          <w:snapToGrid w:val="0"/>
          <w:sz w:val="28"/>
        </w:rPr>
        <w:t>办公</w:t>
      </w:r>
      <w:proofErr w:type="gramStart"/>
      <w:r w:rsidRPr="00F631FB">
        <w:rPr>
          <w:rFonts w:ascii="Arial" w:eastAsia="仿宋_GB2312" w:hAnsi="Arial" w:cs="Arial" w:hint="eastAsia"/>
          <w:snapToGrid w:val="0"/>
          <w:sz w:val="28"/>
        </w:rPr>
        <w:t>用途</w:t>
      </w:r>
      <w:r w:rsidRPr="00F631FB">
        <w:rPr>
          <w:rFonts w:ascii="Arial" w:eastAsia="仿宋_GB2312" w:hAnsi="Arial" w:cs="Arial"/>
          <w:snapToGrid w:val="0"/>
          <w:sz w:val="28"/>
        </w:rPr>
        <w:t>楼</w:t>
      </w:r>
      <w:proofErr w:type="gramEnd"/>
      <w:r w:rsidRPr="00F631FB">
        <w:rPr>
          <w:rFonts w:ascii="Arial" w:eastAsia="仿宋_GB2312" w:hAnsi="Arial" w:cs="Arial"/>
          <w:snapToGrid w:val="0"/>
          <w:sz w:val="28"/>
        </w:rPr>
        <w:t>面熟地价</w:t>
      </w:r>
    </w:p>
    <w:p w14:paraId="05D9FC77" w14:textId="77777777" w:rsidR="00914E90" w:rsidRPr="00F631FB" w:rsidRDefault="00914E90" w:rsidP="00914E90">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sidRPr="00F631FB">
        <w:rPr>
          <w:rFonts w:ascii="Arial" w:eastAsia="仿宋_GB2312" w:hAnsi="Arial" w:cs="Arial" w:hint="eastAsia"/>
          <w:snapToGrid w:val="0"/>
          <w:sz w:val="28"/>
        </w:rPr>
        <w:t>适用的基准地价</w:t>
      </w:r>
      <w:r w:rsidRPr="00F631FB">
        <w:rPr>
          <w:rFonts w:ascii="Arial" w:eastAsia="仿宋_GB2312" w:hAnsi="Arial" w:cs="Arial"/>
          <w:sz w:val="29"/>
          <w:szCs w:val="29"/>
        </w:rPr>
        <w:t>×</w:t>
      </w:r>
      <w:r>
        <w:rPr>
          <w:rFonts w:ascii="Arial" w:eastAsia="仿宋_GB2312" w:hAnsi="Arial" w:cs="Arial" w:hint="eastAsia"/>
          <w:sz w:val="29"/>
          <w:szCs w:val="29"/>
        </w:rPr>
        <w:t>用途修正系数×</w:t>
      </w:r>
      <w:r w:rsidRPr="00F631FB">
        <w:rPr>
          <w:rFonts w:ascii="Arial" w:eastAsia="仿宋_GB2312" w:hAnsi="Arial" w:cs="Arial" w:hint="eastAsia"/>
          <w:snapToGrid w:val="0"/>
          <w:sz w:val="28"/>
        </w:rPr>
        <w:t>期日修正系数</w:t>
      </w:r>
      <w:r w:rsidRPr="00F631FB">
        <w:rPr>
          <w:rFonts w:ascii="Arial" w:eastAsia="仿宋_GB2312" w:hAnsi="Arial" w:cs="Arial"/>
          <w:sz w:val="29"/>
          <w:szCs w:val="29"/>
        </w:rPr>
        <w:t>×</w:t>
      </w:r>
      <w:r w:rsidRPr="00F631FB">
        <w:rPr>
          <w:rFonts w:ascii="Arial" w:eastAsia="仿宋_GB2312" w:hAnsi="Arial" w:cs="Arial" w:hint="eastAsia"/>
          <w:snapToGrid w:val="0"/>
          <w:sz w:val="28"/>
        </w:rPr>
        <w:t>年期修正系数</w:t>
      </w:r>
      <w:r w:rsidRPr="00F631FB">
        <w:rPr>
          <w:rFonts w:ascii="Arial" w:eastAsia="仿宋_GB2312" w:hAnsi="Arial" w:cs="Arial"/>
          <w:sz w:val="29"/>
          <w:szCs w:val="29"/>
        </w:rPr>
        <w:t>×</w:t>
      </w:r>
      <w:r w:rsidRPr="00F631FB">
        <w:rPr>
          <w:rFonts w:ascii="Arial" w:eastAsia="仿宋_GB2312" w:hAnsi="Arial" w:cs="Arial" w:hint="eastAsia"/>
          <w:snapToGrid w:val="0"/>
          <w:sz w:val="28"/>
        </w:rPr>
        <w:t>容积率修正系数</w:t>
      </w:r>
      <w:r w:rsidRPr="00F631FB">
        <w:rPr>
          <w:rFonts w:ascii="Arial" w:eastAsia="仿宋_GB2312" w:hAnsi="Arial" w:cs="Arial"/>
          <w:sz w:val="29"/>
          <w:szCs w:val="29"/>
        </w:rPr>
        <w:t>×</w:t>
      </w:r>
      <w:r w:rsidRPr="00F631FB">
        <w:rPr>
          <w:rFonts w:ascii="Arial" w:eastAsia="仿宋_GB2312" w:hAnsi="Arial" w:cs="Arial" w:hint="eastAsia"/>
          <w:snapToGrid w:val="0"/>
          <w:sz w:val="28"/>
        </w:rPr>
        <w:t>因素修正系数</w:t>
      </w:r>
    </w:p>
    <w:p w14:paraId="16B7153C" w14:textId="77777777" w:rsidR="00914E90" w:rsidRPr="00F631FB" w:rsidRDefault="00914E90" w:rsidP="00914E90">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Pr>
          <w:rFonts w:ascii="Arial" w:eastAsia="仿宋_GB2312" w:hAnsi="Arial" w:cs="Arial"/>
          <w:sz w:val="28"/>
        </w:rPr>
        <w:t>23180</w:t>
      </w:r>
      <w:r w:rsidRPr="00F631FB">
        <w:rPr>
          <w:rFonts w:ascii="Arial" w:eastAsia="仿宋_GB2312" w:hAnsi="Arial" w:cs="Arial"/>
          <w:sz w:val="29"/>
          <w:szCs w:val="29"/>
        </w:rPr>
        <w:t>×</w:t>
      </w:r>
      <w:r>
        <w:rPr>
          <w:rFonts w:ascii="Arial" w:eastAsia="仿宋_GB2312" w:hAnsi="Arial" w:cs="Arial"/>
          <w:sz w:val="29"/>
          <w:szCs w:val="29"/>
        </w:rPr>
        <w:t>1×</w:t>
      </w:r>
      <w:r w:rsidRPr="00F631FB">
        <w:rPr>
          <w:rFonts w:ascii="Arial" w:eastAsia="仿宋_GB2312" w:hAnsi="Arial" w:cs="Arial" w:hint="eastAsia"/>
          <w:sz w:val="28"/>
        </w:rPr>
        <w:t>1.39</w:t>
      </w:r>
      <w:r>
        <w:rPr>
          <w:rFonts w:ascii="Arial" w:eastAsia="仿宋_GB2312" w:hAnsi="Arial" w:cs="Arial"/>
          <w:sz w:val="28"/>
        </w:rPr>
        <w:t>63</w:t>
      </w:r>
      <w:r w:rsidRPr="00F631FB">
        <w:rPr>
          <w:rFonts w:ascii="Arial" w:eastAsia="仿宋_GB2312" w:hAnsi="Arial" w:cs="Arial"/>
          <w:sz w:val="29"/>
          <w:szCs w:val="29"/>
        </w:rPr>
        <w:t>×</w:t>
      </w:r>
      <w:r w:rsidRPr="00F631FB">
        <w:rPr>
          <w:rFonts w:ascii="Arial" w:eastAsia="仿宋_GB2312" w:hAnsi="Arial" w:cs="Arial" w:hint="eastAsia"/>
          <w:sz w:val="29"/>
          <w:szCs w:val="29"/>
        </w:rPr>
        <w:t>1</w:t>
      </w:r>
      <w:r w:rsidRPr="00F631FB">
        <w:rPr>
          <w:rFonts w:ascii="Arial" w:eastAsia="仿宋_GB2312" w:hAnsi="Arial" w:cs="Arial" w:hint="eastAsia"/>
          <w:sz w:val="29"/>
          <w:szCs w:val="29"/>
        </w:rPr>
        <w:t>×</w:t>
      </w:r>
      <w:r w:rsidRPr="00F631FB">
        <w:rPr>
          <w:rFonts w:ascii="Arial" w:eastAsia="仿宋_GB2312" w:hAnsi="Arial" w:cs="Arial" w:hint="eastAsia"/>
          <w:sz w:val="28"/>
        </w:rPr>
        <w:t>0.</w:t>
      </w:r>
      <w:r>
        <w:rPr>
          <w:rFonts w:ascii="Arial" w:eastAsia="仿宋_GB2312" w:hAnsi="Arial" w:cs="Arial"/>
          <w:sz w:val="28"/>
        </w:rPr>
        <w:t>9151</w:t>
      </w:r>
      <w:r w:rsidRPr="00F631FB">
        <w:rPr>
          <w:rFonts w:ascii="Arial" w:eastAsia="仿宋_GB2312" w:hAnsi="Arial" w:cs="Arial"/>
          <w:sz w:val="29"/>
          <w:szCs w:val="29"/>
        </w:rPr>
        <w:t>×</w:t>
      </w:r>
      <w:r w:rsidRPr="00F631FB">
        <w:rPr>
          <w:rFonts w:ascii="Arial" w:eastAsia="仿宋_GB2312" w:hAnsi="Arial" w:cs="Arial" w:hint="eastAsia"/>
          <w:sz w:val="29"/>
          <w:szCs w:val="29"/>
        </w:rPr>
        <w:t>1.</w:t>
      </w:r>
      <w:r>
        <w:rPr>
          <w:rFonts w:ascii="Arial" w:eastAsia="仿宋_GB2312" w:hAnsi="Arial" w:cs="Arial"/>
          <w:sz w:val="29"/>
          <w:szCs w:val="29"/>
        </w:rPr>
        <w:t>0397</w:t>
      </w:r>
    </w:p>
    <w:p w14:paraId="08B65486" w14:textId="77777777" w:rsidR="00914E90" w:rsidRPr="00F631FB" w:rsidRDefault="00914E90" w:rsidP="00914E90">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Pr>
          <w:rFonts w:ascii="Arial" w:eastAsia="仿宋_GB2312" w:hAnsi="Arial" w:cs="Arial"/>
          <w:sz w:val="28"/>
        </w:rPr>
        <w:t>30794</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18FE427D" w14:textId="77777777" w:rsidR="00914E90" w:rsidRDefault="00914E90" w:rsidP="00914E90">
      <w:pPr>
        <w:spacing w:line="360" w:lineRule="auto"/>
        <w:ind w:left="142" w:firstLineChars="151" w:firstLine="424"/>
        <w:jc w:val="both"/>
        <w:rPr>
          <w:rFonts w:ascii="Arial" w:eastAsia="仿宋_GB2312" w:hAnsi="Arial" w:cs="Arial"/>
          <w:b/>
          <w:sz w:val="28"/>
        </w:rPr>
      </w:pPr>
      <w:r>
        <w:rPr>
          <w:rFonts w:ascii="Arial" w:eastAsia="仿宋_GB2312" w:hAnsi="Arial" w:cs="Arial"/>
          <w:b/>
          <w:sz w:val="28"/>
        </w:rPr>
        <w:br w:type="page"/>
      </w:r>
    </w:p>
    <w:p w14:paraId="55D55539" w14:textId="038178A7" w:rsidR="00914E90" w:rsidRPr="00F631FB" w:rsidRDefault="00914E90" w:rsidP="00914E90">
      <w:pPr>
        <w:spacing w:line="360" w:lineRule="auto"/>
        <w:ind w:left="142" w:firstLineChars="151" w:firstLine="424"/>
        <w:jc w:val="both"/>
        <w:rPr>
          <w:rFonts w:ascii="Arial" w:eastAsia="仿宋_GB2312" w:hAnsi="Arial" w:cs="Arial"/>
          <w:b/>
          <w:sz w:val="28"/>
        </w:rPr>
      </w:pPr>
      <w:r w:rsidRPr="00F631FB">
        <w:rPr>
          <w:rFonts w:ascii="Arial" w:eastAsia="仿宋_GB2312" w:hAnsi="Arial" w:cs="Arial" w:hint="eastAsia"/>
          <w:b/>
          <w:sz w:val="28"/>
        </w:rPr>
        <w:lastRenderedPageBreak/>
        <w:t>（</w:t>
      </w:r>
      <w:r w:rsidRPr="00F631FB">
        <w:rPr>
          <w:rFonts w:ascii="Arial" w:eastAsia="仿宋_GB2312" w:hAnsi="Arial" w:cs="Arial" w:hint="eastAsia"/>
          <w:b/>
          <w:sz w:val="28"/>
        </w:rPr>
        <w:t>4</w:t>
      </w:r>
      <w:r w:rsidRPr="00F631FB">
        <w:rPr>
          <w:rFonts w:ascii="Arial" w:eastAsia="仿宋_GB2312" w:hAnsi="Arial" w:cs="Arial" w:hint="eastAsia"/>
          <w:b/>
          <w:sz w:val="28"/>
        </w:rPr>
        <w:t>）</w:t>
      </w:r>
      <w:r w:rsidRPr="00F631FB">
        <w:rPr>
          <w:rFonts w:ascii="Arial" w:eastAsia="仿宋_GB2312" w:hAnsi="Arial" w:cs="Arial"/>
          <w:b/>
          <w:sz w:val="28"/>
        </w:rPr>
        <w:t>求取估价对象</w:t>
      </w:r>
      <w:r>
        <w:rPr>
          <w:rFonts w:ascii="Arial" w:eastAsia="仿宋_GB2312" w:hAnsi="Arial" w:cs="Arial" w:hint="eastAsia"/>
          <w:b/>
          <w:sz w:val="28"/>
        </w:rPr>
        <w:t>地下</w:t>
      </w:r>
      <w:r w:rsidRPr="00F631FB">
        <w:rPr>
          <w:rFonts w:ascii="Arial" w:eastAsia="仿宋_GB2312" w:hAnsi="Arial" w:cs="Arial" w:hint="eastAsia"/>
          <w:b/>
          <w:sz w:val="28"/>
        </w:rPr>
        <w:t>办公</w:t>
      </w:r>
      <w:r w:rsidRPr="00F631FB">
        <w:rPr>
          <w:rFonts w:ascii="Arial" w:eastAsia="仿宋_GB2312" w:hAnsi="Arial" w:cs="Arial"/>
          <w:b/>
          <w:sz w:val="28"/>
        </w:rPr>
        <w:t>用房楼面熟地价</w:t>
      </w:r>
      <w:r w:rsidRPr="00F631FB">
        <w:rPr>
          <w:rFonts w:ascii="Arial" w:eastAsia="仿宋_GB2312" w:hAnsi="Arial" w:cs="Arial" w:hint="eastAsia"/>
          <w:b/>
          <w:sz w:val="28"/>
        </w:rPr>
        <w:t>（土地剩余使用年限</w:t>
      </w:r>
      <w:r>
        <w:rPr>
          <w:rFonts w:ascii="Arial" w:eastAsia="仿宋_GB2312" w:hAnsi="Arial" w:cs="Arial"/>
          <w:b/>
          <w:sz w:val="28"/>
        </w:rPr>
        <w:t>50</w:t>
      </w:r>
      <w:r w:rsidRPr="00F631FB">
        <w:rPr>
          <w:rFonts w:ascii="Arial" w:eastAsia="仿宋_GB2312" w:hAnsi="Arial" w:cs="Arial" w:hint="eastAsia"/>
          <w:b/>
          <w:sz w:val="28"/>
        </w:rPr>
        <w:t>年）</w:t>
      </w:r>
    </w:p>
    <w:p w14:paraId="74333C8D" w14:textId="77777777" w:rsidR="00914E90" w:rsidRPr="00F631FB" w:rsidRDefault="00914E90" w:rsidP="00914E90">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w:t>
      </w:r>
      <w:r w:rsidRPr="00F631FB">
        <w:rPr>
          <w:rFonts w:ascii="Arial" w:eastAsia="仿宋_GB2312" w:hAnsi="Arial" w:cs="Arial" w:hint="eastAsia"/>
          <w:sz w:val="28"/>
          <w:szCs w:val="28"/>
        </w:rPr>
        <w:t>办公</w:t>
      </w:r>
      <w:r w:rsidRPr="00F631FB">
        <w:rPr>
          <w:rFonts w:ascii="Arial" w:eastAsia="仿宋_GB2312" w:hAnsi="Arial" w:cs="Arial"/>
          <w:sz w:val="28"/>
        </w:rPr>
        <w:t>依据地上比准类别确定地下空间修正系数，地上</w:t>
      </w:r>
      <w:r w:rsidRPr="00F631FB">
        <w:rPr>
          <w:rFonts w:ascii="Arial" w:eastAsia="仿宋_GB2312" w:hAnsi="Arial" w:cs="Arial" w:hint="eastAsia"/>
          <w:sz w:val="28"/>
        </w:rPr>
        <w:t>比准</w:t>
      </w:r>
      <w:r w:rsidRPr="00F631FB">
        <w:rPr>
          <w:rFonts w:ascii="Arial" w:eastAsia="仿宋_GB2312" w:hAnsi="Arial" w:cs="Arial"/>
          <w:sz w:val="28"/>
        </w:rPr>
        <w:t>用途为</w:t>
      </w:r>
      <w:r w:rsidRPr="00F631FB">
        <w:rPr>
          <w:rFonts w:ascii="Arial" w:eastAsia="仿宋_GB2312" w:hAnsi="Arial" w:cs="Arial" w:hint="eastAsia"/>
          <w:sz w:val="28"/>
        </w:rPr>
        <w:t>办公</w:t>
      </w:r>
      <w:r w:rsidRPr="00F631FB">
        <w:rPr>
          <w:rFonts w:ascii="Arial" w:eastAsia="仿宋_GB2312" w:hAnsi="Arial" w:cs="Arial"/>
          <w:sz w:val="28"/>
        </w:rPr>
        <w:t>用地，地处</w:t>
      </w:r>
      <w:r>
        <w:rPr>
          <w:rFonts w:ascii="Arial" w:eastAsia="仿宋_GB2312" w:hAnsi="Arial" w:cs="Arial" w:hint="eastAsia"/>
          <w:sz w:val="28"/>
        </w:rPr>
        <w:t>办公类二级</w:t>
      </w:r>
      <w:r w:rsidRPr="00F631FB">
        <w:rPr>
          <w:rFonts w:ascii="Arial" w:eastAsia="仿宋_GB2312" w:hAnsi="Arial" w:cs="Arial"/>
          <w:sz w:val="28"/>
        </w:rPr>
        <w:t>地价区，需根据《北京市基准地价地下空间修正系数表》进行用途修正。地下空间修正系数表详见下表：</w:t>
      </w:r>
    </w:p>
    <w:p w14:paraId="77D6295D" w14:textId="77777777" w:rsidR="00914E90" w:rsidRPr="00F631FB" w:rsidRDefault="00914E90" w:rsidP="00914E90">
      <w:pPr>
        <w:spacing w:line="360" w:lineRule="auto"/>
        <w:jc w:val="center"/>
        <w:rPr>
          <w:rFonts w:ascii="Arial" w:eastAsia="仿宋_GB2312" w:hAnsi="Arial" w:cs="Arial"/>
          <w:sz w:val="28"/>
        </w:rPr>
      </w:pPr>
      <w:r w:rsidRPr="00F631FB">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914E90" w:rsidRPr="00F631FB" w14:paraId="5B718C03" w14:textId="77777777" w:rsidTr="008B444E">
        <w:trPr>
          <w:cantSplit/>
          <w:jc w:val="center"/>
        </w:trPr>
        <w:tc>
          <w:tcPr>
            <w:tcW w:w="1277" w:type="dxa"/>
            <w:vMerge w:val="restart"/>
            <w:shd w:val="clear" w:color="auto" w:fill="auto"/>
            <w:vAlign w:val="center"/>
            <w:hideMark/>
          </w:tcPr>
          <w:p w14:paraId="6DFDD523"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1701" w:type="dxa"/>
            <w:vMerge w:val="restart"/>
            <w:shd w:val="clear" w:color="auto" w:fill="auto"/>
            <w:vAlign w:val="center"/>
            <w:hideMark/>
          </w:tcPr>
          <w:p w14:paraId="3DE68DC9"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1134" w:type="dxa"/>
            <w:vMerge w:val="restart"/>
            <w:shd w:val="clear" w:color="auto" w:fill="auto"/>
            <w:vAlign w:val="center"/>
            <w:hideMark/>
          </w:tcPr>
          <w:p w14:paraId="50DA2B6A"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5187" w:type="dxa"/>
            <w:gridSpan w:val="3"/>
            <w:shd w:val="clear" w:color="auto" w:fill="auto"/>
            <w:vAlign w:val="center"/>
            <w:hideMark/>
          </w:tcPr>
          <w:p w14:paraId="5CC061B7"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914E90" w:rsidRPr="00F631FB" w14:paraId="2FE09C37" w14:textId="77777777" w:rsidTr="008B444E">
        <w:trPr>
          <w:cantSplit/>
          <w:jc w:val="center"/>
        </w:trPr>
        <w:tc>
          <w:tcPr>
            <w:tcW w:w="1277" w:type="dxa"/>
            <w:vMerge/>
            <w:vAlign w:val="center"/>
            <w:hideMark/>
          </w:tcPr>
          <w:p w14:paraId="2E152376"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7BFE2D92"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p>
        </w:tc>
        <w:tc>
          <w:tcPr>
            <w:tcW w:w="1134" w:type="dxa"/>
            <w:vMerge/>
            <w:vAlign w:val="center"/>
            <w:hideMark/>
          </w:tcPr>
          <w:p w14:paraId="612733B9"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hideMark/>
          </w:tcPr>
          <w:p w14:paraId="37F81973"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729" w:type="dxa"/>
            <w:shd w:val="clear" w:color="auto" w:fill="auto"/>
            <w:vAlign w:val="center"/>
            <w:hideMark/>
          </w:tcPr>
          <w:p w14:paraId="43F51111"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729" w:type="dxa"/>
            <w:shd w:val="clear" w:color="auto" w:fill="auto"/>
            <w:vAlign w:val="center"/>
            <w:hideMark/>
          </w:tcPr>
          <w:p w14:paraId="2B9C8D2C"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914E90" w:rsidRPr="00F631FB" w14:paraId="23A495B6" w14:textId="77777777" w:rsidTr="008B444E">
        <w:trPr>
          <w:cantSplit/>
          <w:jc w:val="center"/>
        </w:trPr>
        <w:tc>
          <w:tcPr>
            <w:tcW w:w="1277" w:type="dxa"/>
            <w:shd w:val="clear" w:color="auto" w:fill="auto"/>
            <w:hideMark/>
          </w:tcPr>
          <w:p w14:paraId="56D5AB8B"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地下办公</w:t>
            </w:r>
          </w:p>
        </w:tc>
        <w:tc>
          <w:tcPr>
            <w:tcW w:w="1701" w:type="dxa"/>
            <w:shd w:val="clear" w:color="auto" w:fill="auto"/>
            <w:hideMark/>
          </w:tcPr>
          <w:p w14:paraId="5E22CADC"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办公用途比准类别</w:t>
            </w:r>
          </w:p>
        </w:tc>
        <w:tc>
          <w:tcPr>
            <w:tcW w:w="1134" w:type="dxa"/>
            <w:shd w:val="clear" w:color="auto" w:fill="auto"/>
            <w:hideMark/>
          </w:tcPr>
          <w:p w14:paraId="77CD522E"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w:t>
            </w:r>
          </w:p>
        </w:tc>
        <w:tc>
          <w:tcPr>
            <w:tcW w:w="1729" w:type="dxa"/>
            <w:shd w:val="clear" w:color="auto" w:fill="auto"/>
            <w:hideMark/>
          </w:tcPr>
          <w:p w14:paraId="1AD69D02"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0.3</w:t>
            </w:r>
          </w:p>
        </w:tc>
        <w:tc>
          <w:tcPr>
            <w:tcW w:w="1729" w:type="dxa"/>
            <w:shd w:val="clear" w:color="auto" w:fill="auto"/>
            <w:hideMark/>
          </w:tcPr>
          <w:p w14:paraId="36521797"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0.25</w:t>
            </w:r>
          </w:p>
        </w:tc>
        <w:tc>
          <w:tcPr>
            <w:tcW w:w="1729" w:type="dxa"/>
            <w:shd w:val="clear" w:color="auto" w:fill="auto"/>
            <w:hideMark/>
          </w:tcPr>
          <w:p w14:paraId="065FC8BC"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0.2</w:t>
            </w:r>
          </w:p>
        </w:tc>
      </w:tr>
    </w:tbl>
    <w:p w14:paraId="7C10308B" w14:textId="77777777" w:rsidR="00914E90" w:rsidRPr="00F631FB" w:rsidRDefault="00914E90" w:rsidP="00914E90">
      <w:pPr>
        <w:spacing w:beforeLines="50" w:before="163"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依据上表，估价对象</w:t>
      </w:r>
      <w:r w:rsidRPr="00F631FB">
        <w:rPr>
          <w:rFonts w:ascii="Arial" w:eastAsia="仿宋_GB2312" w:hAnsi="Arial" w:cs="Arial"/>
          <w:sz w:val="28"/>
          <w:szCs w:val="28"/>
        </w:rPr>
        <w:t>土地级别为</w:t>
      </w:r>
      <w:r>
        <w:rPr>
          <w:rFonts w:ascii="Arial" w:eastAsia="仿宋_GB2312" w:hAnsi="Arial" w:cs="Arial" w:hint="eastAsia"/>
          <w:sz w:val="28"/>
          <w:szCs w:val="28"/>
        </w:rPr>
        <w:t>办公类二级</w:t>
      </w:r>
      <w:r w:rsidRPr="00F631FB">
        <w:rPr>
          <w:rFonts w:ascii="Arial" w:eastAsia="仿宋_GB2312" w:hAnsi="Arial" w:cs="Arial"/>
          <w:sz w:val="28"/>
          <w:szCs w:val="28"/>
        </w:rPr>
        <w:t>，故地下</w:t>
      </w:r>
      <w:r w:rsidRPr="00F631FB">
        <w:rPr>
          <w:rFonts w:ascii="Arial" w:eastAsia="仿宋_GB2312" w:hAnsi="Arial" w:cs="Arial" w:hint="eastAsia"/>
          <w:sz w:val="28"/>
          <w:szCs w:val="28"/>
        </w:rPr>
        <w:t>办公（公共服务设施）</w:t>
      </w:r>
      <w:r w:rsidRPr="00F631FB">
        <w:rPr>
          <w:rFonts w:ascii="Arial" w:eastAsia="仿宋_GB2312" w:hAnsi="Arial" w:cs="Arial"/>
          <w:sz w:val="28"/>
          <w:szCs w:val="28"/>
        </w:rPr>
        <w:t>用房的地下空间修正系数为</w:t>
      </w:r>
      <w:r w:rsidRPr="00F631FB">
        <w:rPr>
          <w:rFonts w:ascii="Arial" w:eastAsia="仿宋_GB2312" w:hAnsi="Arial" w:cs="Arial"/>
          <w:sz w:val="28"/>
          <w:szCs w:val="28"/>
        </w:rPr>
        <w:t>0.</w:t>
      </w:r>
      <w:r>
        <w:rPr>
          <w:rFonts w:ascii="Arial" w:eastAsia="仿宋_GB2312" w:hAnsi="Arial" w:cs="Arial"/>
          <w:sz w:val="28"/>
          <w:szCs w:val="28"/>
        </w:rPr>
        <w:t>3</w:t>
      </w:r>
      <w:r w:rsidRPr="00F631FB">
        <w:rPr>
          <w:rFonts w:ascii="Arial" w:eastAsia="仿宋_GB2312" w:hAnsi="Arial" w:cs="Arial"/>
          <w:sz w:val="28"/>
          <w:szCs w:val="28"/>
        </w:rPr>
        <w:t>。</w:t>
      </w:r>
    </w:p>
    <w:p w14:paraId="14234500" w14:textId="77777777" w:rsidR="00914E90" w:rsidRPr="00F631FB" w:rsidRDefault="00914E90" w:rsidP="00914E90">
      <w:pPr>
        <w:spacing w:beforeLines="50" w:before="163" w:line="360" w:lineRule="auto"/>
        <w:ind w:firstLineChars="200" w:firstLine="562"/>
        <w:jc w:val="both"/>
        <w:rPr>
          <w:rFonts w:ascii="Arial" w:eastAsia="仿宋_GB2312" w:hAnsi="Arial" w:cs="Arial"/>
          <w:sz w:val="28"/>
          <w:szCs w:val="28"/>
        </w:rPr>
      </w:pPr>
      <w:r w:rsidRPr="00F631FB">
        <w:rPr>
          <w:rFonts w:ascii="Arial" w:eastAsia="仿宋_GB2312" w:hAnsi="Arial" w:cs="Arial"/>
          <w:b/>
          <w:sz w:val="28"/>
          <w:szCs w:val="28"/>
        </w:rPr>
        <w:t>地下</w:t>
      </w:r>
      <w:r w:rsidRPr="00F631FB">
        <w:rPr>
          <w:rFonts w:ascii="Arial" w:eastAsia="仿宋_GB2312" w:hAnsi="Arial" w:cs="Arial" w:hint="eastAsia"/>
          <w:b/>
          <w:sz w:val="28"/>
          <w:szCs w:val="28"/>
        </w:rPr>
        <w:t>办公</w:t>
      </w:r>
      <w:r w:rsidRPr="00F631FB">
        <w:rPr>
          <w:rFonts w:ascii="Arial" w:eastAsia="仿宋_GB2312" w:hAnsi="Arial" w:cs="Arial"/>
          <w:b/>
          <w:sz w:val="28"/>
          <w:szCs w:val="28"/>
        </w:rPr>
        <w:t>适用基准地价、期日修正系数、年期修正系数</w:t>
      </w:r>
      <w:proofErr w:type="gramStart"/>
      <w:r w:rsidRPr="00F631FB">
        <w:rPr>
          <w:rFonts w:ascii="Arial" w:eastAsia="仿宋_GB2312" w:hAnsi="Arial" w:cs="Arial"/>
          <w:b/>
          <w:sz w:val="28"/>
          <w:szCs w:val="28"/>
        </w:rPr>
        <w:t>及因素</w:t>
      </w:r>
      <w:proofErr w:type="gramEnd"/>
      <w:r w:rsidRPr="00F631FB">
        <w:rPr>
          <w:rFonts w:ascii="Arial" w:eastAsia="仿宋_GB2312" w:hAnsi="Arial" w:cs="Arial"/>
          <w:b/>
          <w:sz w:val="28"/>
          <w:szCs w:val="28"/>
        </w:rPr>
        <w:t>修正系数同地上</w:t>
      </w:r>
      <w:r w:rsidRPr="00F631FB">
        <w:rPr>
          <w:rFonts w:ascii="Arial" w:eastAsia="仿宋_GB2312" w:hAnsi="Arial" w:cs="Arial" w:hint="eastAsia"/>
          <w:b/>
          <w:sz w:val="28"/>
          <w:szCs w:val="28"/>
        </w:rPr>
        <w:t>办公</w:t>
      </w:r>
      <w:r w:rsidRPr="00F631FB">
        <w:rPr>
          <w:rFonts w:ascii="Arial" w:eastAsia="仿宋_GB2312" w:hAnsi="Arial" w:cs="Arial"/>
          <w:b/>
          <w:sz w:val="28"/>
          <w:szCs w:val="28"/>
        </w:rPr>
        <w:t>用途基准地价系数修正法求取过程及结果，则：</w:t>
      </w:r>
    </w:p>
    <w:p w14:paraId="281AD842" w14:textId="77777777" w:rsidR="00914E90" w:rsidRPr="00F631FB" w:rsidRDefault="00914E90" w:rsidP="00914E90">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地下</w:t>
      </w:r>
      <w:r w:rsidRPr="00F631FB">
        <w:rPr>
          <w:rFonts w:ascii="Arial" w:eastAsia="仿宋_GB2312" w:hAnsi="Arial" w:cs="Arial" w:hint="eastAsia"/>
          <w:sz w:val="28"/>
          <w:szCs w:val="28"/>
        </w:rPr>
        <w:t>办公</w:t>
      </w:r>
      <w:r w:rsidRPr="00F631FB">
        <w:rPr>
          <w:rFonts w:ascii="Arial" w:eastAsia="仿宋_GB2312" w:hAnsi="Arial" w:cs="Arial"/>
          <w:sz w:val="28"/>
          <w:szCs w:val="28"/>
        </w:rPr>
        <w:t>楼面熟地价</w:t>
      </w:r>
    </w:p>
    <w:p w14:paraId="28E72BDA" w14:textId="77777777" w:rsidR="00914E90" w:rsidRPr="00F631FB" w:rsidRDefault="00914E90" w:rsidP="00914E90">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＝适用基准地价（参照地上</w:t>
      </w:r>
      <w:r w:rsidRPr="00F631FB">
        <w:rPr>
          <w:rFonts w:ascii="Arial" w:eastAsia="仿宋_GB2312" w:hAnsi="Arial" w:cs="Arial" w:hint="eastAsia"/>
          <w:sz w:val="28"/>
          <w:szCs w:val="28"/>
        </w:rPr>
        <w:t>比准</w:t>
      </w:r>
      <w:r w:rsidRPr="00F631FB">
        <w:rPr>
          <w:rFonts w:ascii="Arial" w:eastAsia="仿宋_GB2312" w:hAnsi="Arial" w:cs="Arial"/>
          <w:sz w:val="28"/>
          <w:szCs w:val="28"/>
        </w:rPr>
        <w:t>用途</w:t>
      </w:r>
      <w:r w:rsidRPr="00F631FB">
        <w:rPr>
          <w:rFonts w:ascii="Arial" w:eastAsia="仿宋_GB2312" w:hAnsi="Arial" w:cs="Arial" w:hint="eastAsia"/>
          <w:sz w:val="28"/>
          <w:szCs w:val="28"/>
        </w:rPr>
        <w:t>办公</w:t>
      </w:r>
      <w:r w:rsidRPr="00F631FB">
        <w:rPr>
          <w:rFonts w:ascii="Arial" w:eastAsia="仿宋_GB2312" w:hAnsi="Arial" w:cs="Arial"/>
          <w:sz w:val="28"/>
          <w:szCs w:val="28"/>
        </w:rPr>
        <w:t>用途比准类别）</w:t>
      </w:r>
      <w:r w:rsidRPr="00F631FB">
        <w:rPr>
          <w:rFonts w:ascii="Arial" w:eastAsia="仿宋_GB2312" w:hAnsi="Arial" w:cs="Arial"/>
          <w:sz w:val="28"/>
          <w:szCs w:val="28"/>
        </w:rPr>
        <w:t>×</w:t>
      </w:r>
      <w:r w:rsidRPr="00F631FB">
        <w:rPr>
          <w:rFonts w:ascii="Arial" w:eastAsia="仿宋_GB2312" w:hAnsi="Arial" w:cs="Arial"/>
          <w:sz w:val="28"/>
          <w:szCs w:val="28"/>
        </w:rPr>
        <w:t>期日修正系数</w:t>
      </w:r>
      <w:r w:rsidRPr="00F631FB">
        <w:rPr>
          <w:rFonts w:ascii="Arial" w:eastAsia="仿宋_GB2312" w:hAnsi="Arial" w:cs="Arial"/>
          <w:sz w:val="28"/>
          <w:szCs w:val="28"/>
        </w:rPr>
        <w:t>×</w:t>
      </w:r>
      <w:r w:rsidRPr="00F631FB">
        <w:rPr>
          <w:rFonts w:ascii="Arial" w:eastAsia="仿宋_GB2312" w:hAnsi="Arial" w:cs="Arial"/>
          <w:sz w:val="28"/>
          <w:szCs w:val="28"/>
        </w:rPr>
        <w:t>年期修正系数</w:t>
      </w:r>
      <w:r w:rsidRPr="00F631FB">
        <w:rPr>
          <w:rFonts w:ascii="Arial" w:eastAsia="仿宋_GB2312" w:hAnsi="Arial" w:cs="Arial"/>
          <w:sz w:val="28"/>
          <w:szCs w:val="28"/>
        </w:rPr>
        <w:t>×</w:t>
      </w:r>
      <w:r w:rsidRPr="00F631FB">
        <w:rPr>
          <w:rFonts w:ascii="Arial" w:eastAsia="仿宋_GB2312" w:hAnsi="Arial" w:cs="Arial"/>
          <w:sz w:val="28"/>
          <w:szCs w:val="28"/>
        </w:rPr>
        <w:t>因素修正系数</w:t>
      </w:r>
      <w:r w:rsidRPr="00F631FB">
        <w:rPr>
          <w:rFonts w:ascii="Arial" w:eastAsia="仿宋_GB2312" w:hAnsi="Arial" w:cs="Arial"/>
          <w:sz w:val="28"/>
          <w:szCs w:val="28"/>
        </w:rPr>
        <w:t>×</w:t>
      </w:r>
      <w:r w:rsidRPr="00F631FB">
        <w:rPr>
          <w:rFonts w:ascii="Arial" w:eastAsia="仿宋_GB2312" w:hAnsi="Arial" w:cs="Arial"/>
          <w:sz w:val="28"/>
          <w:szCs w:val="28"/>
        </w:rPr>
        <w:t>相应用途地下空间修正系数</w:t>
      </w:r>
    </w:p>
    <w:p w14:paraId="478A15CC" w14:textId="77777777" w:rsidR="00914E90" w:rsidRPr="00F631FB" w:rsidRDefault="00914E90" w:rsidP="00914E90">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Pr>
          <w:rFonts w:ascii="Arial" w:eastAsia="仿宋_GB2312" w:hAnsi="Arial" w:cs="Arial"/>
          <w:sz w:val="28"/>
          <w:szCs w:val="28"/>
        </w:rPr>
        <w:t>23180</w:t>
      </w:r>
      <w:r w:rsidRPr="00F631FB">
        <w:rPr>
          <w:rFonts w:ascii="Arial" w:eastAsia="仿宋_GB2312" w:hAnsi="Arial" w:cs="Arial"/>
          <w:sz w:val="28"/>
          <w:szCs w:val="28"/>
        </w:rPr>
        <w:t>×1.</w:t>
      </w:r>
      <w:r w:rsidRPr="00F631FB">
        <w:rPr>
          <w:rFonts w:ascii="Arial" w:eastAsia="仿宋_GB2312" w:hAnsi="Arial" w:cs="Arial" w:hint="eastAsia"/>
          <w:sz w:val="28"/>
          <w:szCs w:val="28"/>
        </w:rPr>
        <w:t>39</w:t>
      </w:r>
      <w:r>
        <w:rPr>
          <w:rFonts w:ascii="Arial" w:eastAsia="仿宋_GB2312" w:hAnsi="Arial" w:cs="Arial"/>
          <w:sz w:val="28"/>
          <w:szCs w:val="28"/>
        </w:rPr>
        <w:t>63</w:t>
      </w:r>
      <w:r w:rsidRPr="00F631FB">
        <w:rPr>
          <w:rFonts w:ascii="Arial" w:eastAsia="仿宋_GB2312" w:hAnsi="Arial" w:cs="Arial"/>
          <w:sz w:val="28"/>
          <w:szCs w:val="28"/>
        </w:rPr>
        <w:t>×</w:t>
      </w:r>
      <w:r>
        <w:rPr>
          <w:rFonts w:ascii="Arial" w:eastAsia="仿宋_GB2312" w:hAnsi="Arial" w:cs="Arial"/>
          <w:sz w:val="28"/>
          <w:szCs w:val="28"/>
        </w:rPr>
        <w:t>1</w:t>
      </w:r>
      <w:r w:rsidRPr="00F631FB">
        <w:rPr>
          <w:rFonts w:ascii="Arial" w:eastAsia="仿宋_GB2312" w:hAnsi="Arial" w:cs="Arial"/>
          <w:sz w:val="28"/>
          <w:szCs w:val="28"/>
        </w:rPr>
        <w:t>×1.0</w:t>
      </w:r>
      <w:r>
        <w:rPr>
          <w:rFonts w:ascii="Arial" w:eastAsia="仿宋_GB2312" w:hAnsi="Arial" w:cs="Arial"/>
          <w:sz w:val="28"/>
          <w:szCs w:val="28"/>
        </w:rPr>
        <w:t>397</w:t>
      </w:r>
      <w:r w:rsidRPr="00F631FB">
        <w:rPr>
          <w:rFonts w:ascii="Arial" w:eastAsia="仿宋_GB2312" w:hAnsi="Arial" w:cs="Arial"/>
          <w:sz w:val="28"/>
          <w:szCs w:val="28"/>
        </w:rPr>
        <w:t>×0.</w:t>
      </w:r>
      <w:r>
        <w:rPr>
          <w:rFonts w:ascii="Arial" w:eastAsia="仿宋_GB2312" w:hAnsi="Arial" w:cs="Arial"/>
          <w:sz w:val="28"/>
          <w:szCs w:val="28"/>
        </w:rPr>
        <w:t>3</w:t>
      </w:r>
    </w:p>
    <w:p w14:paraId="17731784" w14:textId="77777777" w:rsidR="00914E90" w:rsidRPr="00F631FB" w:rsidRDefault="00914E90" w:rsidP="00914E90">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10095</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2A814A41" w14:textId="3559E5B7" w:rsidR="00914E90" w:rsidRPr="00914E90" w:rsidRDefault="00914E90">
      <w:pPr>
        <w:widowControl/>
        <w:adjustRightInd/>
        <w:spacing w:line="240" w:lineRule="auto"/>
        <w:textAlignment w:val="auto"/>
        <w:rPr>
          <w:rFonts w:ascii="Arial" w:eastAsia="仿宋_GB2312" w:hAnsi="Arial" w:cs="Arial"/>
          <w:b/>
          <w:sz w:val="28"/>
        </w:rPr>
      </w:pPr>
    </w:p>
    <w:p w14:paraId="428343F2" w14:textId="77777777" w:rsidR="00914E90" w:rsidRDefault="00914E90" w:rsidP="002C3ABF">
      <w:pPr>
        <w:spacing w:line="360" w:lineRule="auto"/>
        <w:ind w:left="420"/>
        <w:jc w:val="both"/>
        <w:rPr>
          <w:rFonts w:ascii="Arial" w:eastAsia="仿宋_GB2312" w:hAnsi="Arial" w:cs="Arial"/>
          <w:b/>
          <w:sz w:val="28"/>
        </w:rPr>
      </w:pPr>
      <w:r>
        <w:rPr>
          <w:rFonts w:ascii="Arial" w:eastAsia="仿宋_GB2312" w:hAnsi="Arial" w:cs="Arial"/>
          <w:b/>
          <w:sz w:val="28"/>
        </w:rPr>
        <w:br w:type="page"/>
      </w:r>
    </w:p>
    <w:p w14:paraId="21DC8118" w14:textId="3346E9C7" w:rsidR="002C3ABF" w:rsidRPr="00F631FB" w:rsidRDefault="002C3ABF" w:rsidP="002C3ABF">
      <w:pPr>
        <w:spacing w:line="360" w:lineRule="auto"/>
        <w:ind w:left="420"/>
        <w:jc w:val="both"/>
        <w:rPr>
          <w:rFonts w:ascii="Arial" w:eastAsia="仿宋_GB2312" w:hAnsi="Arial" w:cs="Arial"/>
          <w:b/>
          <w:sz w:val="28"/>
        </w:rPr>
      </w:pPr>
      <w:r w:rsidRPr="00F631FB">
        <w:rPr>
          <w:rFonts w:ascii="Arial" w:eastAsia="仿宋_GB2312" w:hAnsi="Arial" w:cs="Arial"/>
          <w:b/>
          <w:sz w:val="28"/>
        </w:rPr>
        <w:lastRenderedPageBreak/>
        <w:t>方法二：剩余法</w:t>
      </w:r>
    </w:p>
    <w:p w14:paraId="221C8307" w14:textId="77777777" w:rsidR="00914E90" w:rsidRPr="00F631FB" w:rsidRDefault="00914E90" w:rsidP="00914E90">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1.</w:t>
      </w:r>
      <w:r w:rsidRPr="00F631FB">
        <w:rPr>
          <w:rFonts w:ascii="Arial" w:eastAsia="仿宋_GB2312" w:hAnsi="Arial" w:cs="Arial"/>
          <w:bCs/>
          <w:sz w:val="28"/>
        </w:rPr>
        <w:t>土地最有效利用方式</w:t>
      </w:r>
    </w:p>
    <w:p w14:paraId="3ADB7B0F" w14:textId="77777777" w:rsidR="00914E90" w:rsidRPr="00F631FB" w:rsidRDefault="00914E90" w:rsidP="00914E90">
      <w:pPr>
        <w:spacing w:line="360" w:lineRule="auto"/>
        <w:ind w:firstLineChars="200" w:firstLine="560"/>
        <w:jc w:val="both"/>
        <w:rPr>
          <w:rFonts w:ascii="Arial" w:eastAsia="仿宋_GB2312" w:hAnsi="Arial" w:cs="Arial"/>
          <w:bCs/>
          <w:sz w:val="28"/>
        </w:rPr>
      </w:pPr>
      <w:r w:rsidRPr="00F631FB">
        <w:rPr>
          <w:rFonts w:ascii="Arial" w:eastAsia="仿宋_GB2312" w:hAnsi="Arial" w:cs="Arial"/>
          <w:sz w:val="28"/>
        </w:rPr>
        <w:t>委托估价方在</w:t>
      </w:r>
      <w:r w:rsidRPr="00F631FB">
        <w:rPr>
          <w:rFonts w:ascii="Arial" w:eastAsia="仿宋_GB2312" w:hAnsi="Arial" w:cs="Arial" w:hint="eastAsia"/>
          <w:sz w:val="28"/>
        </w:rPr>
        <w:t>《国有建设用地使用权出让地价评估委托书》中明确土地用途为</w:t>
      </w:r>
      <w:r>
        <w:rPr>
          <w:rFonts w:ascii="Arial" w:eastAsia="仿宋_GB2312" w:hAnsi="Arial" w:cs="Arial" w:hint="eastAsia"/>
          <w:sz w:val="28"/>
          <w:szCs w:val="28"/>
        </w:rPr>
        <w:t>住宅、商业、办公、地下办公、地下车库</w:t>
      </w:r>
      <w:r w:rsidRPr="00F631FB">
        <w:rPr>
          <w:rFonts w:ascii="Arial" w:eastAsia="仿宋_GB2312" w:hAnsi="Arial" w:cs="Arial"/>
          <w:sz w:val="28"/>
        </w:rPr>
        <w:t>。结合《土地利用现状分类》</w:t>
      </w:r>
      <w:r w:rsidRPr="00F631FB">
        <w:rPr>
          <w:rFonts w:ascii="Arial" w:eastAsia="仿宋_GB2312" w:hAnsi="Arial" w:cs="Arial"/>
          <w:sz w:val="28"/>
          <w:szCs w:val="28"/>
        </w:rPr>
        <w:t>[</w:t>
      </w:r>
      <w:r w:rsidRPr="00F631FB">
        <w:rPr>
          <w:rFonts w:ascii="Arial" w:eastAsia="仿宋_GB2312" w:hAnsi="Arial" w:cs="Arial"/>
          <w:caps/>
          <w:sz w:val="28"/>
          <w:szCs w:val="28"/>
        </w:rPr>
        <w:t>GB/T21010-2007</w:t>
      </w:r>
      <w:r w:rsidRPr="00F631FB">
        <w:rPr>
          <w:rFonts w:ascii="Arial" w:eastAsia="仿宋_GB2312" w:hAnsi="Arial" w:cs="Arial"/>
          <w:sz w:val="28"/>
          <w:szCs w:val="28"/>
        </w:rPr>
        <w:t>]</w:t>
      </w:r>
      <w:r w:rsidRPr="00F631FB">
        <w:rPr>
          <w:rFonts w:ascii="Arial" w:eastAsia="仿宋_GB2312" w:hAnsi="Arial" w:cs="Arial"/>
          <w:sz w:val="28"/>
        </w:rPr>
        <w:t>、《北京市关于更新出让国有建设用地使用权基准地价的通知》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szCs w:val="28"/>
        </w:rPr>
        <w:t>]</w:t>
      </w:r>
      <w:r w:rsidRPr="00F631FB">
        <w:rPr>
          <w:rFonts w:ascii="Arial" w:eastAsia="仿宋_GB2312" w:hAnsi="Arial" w:cs="Arial"/>
          <w:sz w:val="28"/>
        </w:rPr>
        <w:t>，根据评估委托书，</w:t>
      </w:r>
      <w:r w:rsidRPr="00F631FB">
        <w:rPr>
          <w:rFonts w:ascii="Arial" w:eastAsia="仿宋_GB2312" w:hAnsi="Arial" w:cs="Arial" w:hint="eastAsia"/>
          <w:sz w:val="28"/>
        </w:rPr>
        <w:t>此次估价设定估价对象用途为</w:t>
      </w:r>
      <w:r>
        <w:rPr>
          <w:rFonts w:ascii="Arial" w:eastAsia="仿宋_GB2312" w:hAnsi="Arial" w:cs="Arial" w:hint="eastAsia"/>
          <w:sz w:val="28"/>
          <w:szCs w:val="28"/>
        </w:rPr>
        <w:t>住宅、商业、办公、地下办公、地下车库</w:t>
      </w:r>
      <w:r w:rsidRPr="00F631FB">
        <w:rPr>
          <w:rFonts w:ascii="Arial" w:eastAsia="仿宋_GB2312" w:hAnsi="Arial" w:cs="Arial"/>
          <w:bCs/>
          <w:sz w:val="28"/>
        </w:rPr>
        <w:t>为其最有效利用方式。</w:t>
      </w:r>
    </w:p>
    <w:p w14:paraId="110CCE49" w14:textId="77777777" w:rsidR="00914E90" w:rsidRPr="00F631FB" w:rsidRDefault="00914E90" w:rsidP="00914E90">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2.</w:t>
      </w:r>
      <w:r w:rsidRPr="00F631FB">
        <w:rPr>
          <w:rFonts w:ascii="Arial" w:eastAsia="仿宋_GB2312" w:hAnsi="Arial" w:cs="Arial"/>
          <w:bCs/>
          <w:sz w:val="28"/>
        </w:rPr>
        <w:t>测算过程</w:t>
      </w:r>
    </w:p>
    <w:p w14:paraId="33528636" w14:textId="77777777" w:rsidR="00914E90" w:rsidRPr="00F631FB" w:rsidRDefault="00914E90" w:rsidP="00914E90">
      <w:pPr>
        <w:spacing w:line="360" w:lineRule="auto"/>
        <w:ind w:firstLineChars="200" w:firstLine="562"/>
        <w:jc w:val="both"/>
        <w:rPr>
          <w:rFonts w:ascii="Arial" w:eastAsia="仿宋_GB2312" w:hAnsi="Arial" w:cs="Arial"/>
          <w:b/>
          <w:sz w:val="28"/>
        </w:rPr>
      </w:pPr>
      <w:r w:rsidRPr="00F631FB">
        <w:rPr>
          <w:rFonts w:ascii="Arial" w:eastAsia="仿宋_GB2312" w:hAnsi="Arial" w:cs="Arial"/>
          <w:b/>
          <w:sz w:val="28"/>
        </w:rPr>
        <w:t>（</w:t>
      </w:r>
      <w:r w:rsidRPr="00F631FB">
        <w:rPr>
          <w:rFonts w:ascii="Arial" w:eastAsia="仿宋_GB2312" w:hAnsi="Arial" w:cs="Arial" w:hint="eastAsia"/>
          <w:b/>
          <w:sz w:val="28"/>
        </w:rPr>
        <w:t>1</w:t>
      </w:r>
      <w:r w:rsidRPr="00F631FB">
        <w:rPr>
          <w:rFonts w:ascii="Arial" w:eastAsia="仿宋_GB2312" w:hAnsi="Arial" w:cs="Arial"/>
          <w:b/>
          <w:sz w:val="28"/>
        </w:rPr>
        <w:t>）求取</w:t>
      </w:r>
      <w:r w:rsidRPr="00F631FB">
        <w:rPr>
          <w:rFonts w:ascii="Arial" w:eastAsia="仿宋_GB2312" w:hAnsi="Arial" w:cs="Arial" w:hint="eastAsia"/>
          <w:b/>
          <w:sz w:val="28"/>
        </w:rPr>
        <w:t>地上住宅</w:t>
      </w:r>
      <w:proofErr w:type="gramStart"/>
      <w:r w:rsidRPr="00F631FB">
        <w:rPr>
          <w:rFonts w:ascii="Arial" w:eastAsia="仿宋_GB2312" w:hAnsi="Arial" w:cs="Arial"/>
          <w:b/>
          <w:sz w:val="28"/>
        </w:rPr>
        <w:t>用途楼</w:t>
      </w:r>
      <w:proofErr w:type="gramEnd"/>
      <w:r w:rsidRPr="00F631FB">
        <w:rPr>
          <w:rFonts w:ascii="Arial" w:eastAsia="仿宋_GB2312" w:hAnsi="Arial" w:cs="Arial"/>
          <w:b/>
          <w:sz w:val="28"/>
        </w:rPr>
        <w:t>面</w:t>
      </w:r>
      <w:r w:rsidRPr="00F631FB">
        <w:rPr>
          <w:rFonts w:ascii="Arial" w:eastAsia="仿宋_GB2312" w:hAnsi="Arial" w:cs="Arial" w:hint="eastAsia"/>
          <w:b/>
          <w:sz w:val="28"/>
        </w:rPr>
        <w:t>熟地</w:t>
      </w:r>
      <w:r w:rsidRPr="00F631FB">
        <w:rPr>
          <w:rFonts w:ascii="Arial" w:eastAsia="仿宋_GB2312" w:hAnsi="Arial" w:cs="Arial"/>
          <w:b/>
          <w:sz w:val="28"/>
        </w:rPr>
        <w:t>价</w:t>
      </w:r>
      <w:r w:rsidRPr="00F631FB">
        <w:rPr>
          <w:rFonts w:ascii="Arial" w:eastAsia="仿宋_GB2312" w:hAnsi="Arial" w:cs="Arial" w:hint="eastAsia"/>
          <w:b/>
          <w:sz w:val="28"/>
        </w:rPr>
        <w:t>（土地剩余使用年限</w:t>
      </w:r>
      <w:r w:rsidRPr="00F631FB">
        <w:rPr>
          <w:rFonts w:ascii="Arial" w:eastAsia="仿宋_GB2312" w:hAnsi="Arial" w:cs="Arial" w:hint="eastAsia"/>
          <w:b/>
          <w:sz w:val="28"/>
        </w:rPr>
        <w:t>70</w:t>
      </w:r>
      <w:r w:rsidRPr="00F631FB">
        <w:rPr>
          <w:rFonts w:ascii="Arial" w:eastAsia="仿宋_GB2312" w:hAnsi="Arial" w:cs="Arial" w:hint="eastAsia"/>
          <w:b/>
          <w:sz w:val="28"/>
        </w:rPr>
        <w:t>年）</w:t>
      </w:r>
    </w:p>
    <w:p w14:paraId="7FF3883A" w14:textId="77777777" w:rsidR="00914E90" w:rsidRPr="00F631FB" w:rsidRDefault="00914E90" w:rsidP="00914E90">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1</w:t>
      </w:r>
      <w:r w:rsidRPr="00F631FB">
        <w:rPr>
          <w:rFonts w:ascii="Arial" w:eastAsia="仿宋_GB2312" w:hAnsi="Arial" w:cs="Arial"/>
          <w:bCs/>
          <w:sz w:val="28"/>
        </w:rPr>
        <w:t>）开发完成后的不动产总价</w:t>
      </w:r>
    </w:p>
    <w:p w14:paraId="3CBE0544" w14:textId="57E2C00C" w:rsidR="00914E90" w:rsidRPr="00AD6D80" w:rsidRDefault="00914E90" w:rsidP="00AD6D80">
      <w:pPr>
        <w:spacing w:line="360" w:lineRule="auto"/>
        <w:ind w:firstLineChars="200" w:firstLine="560"/>
        <w:jc w:val="both"/>
        <w:rPr>
          <w:rFonts w:ascii="Arial" w:eastAsia="仿宋_GB2312" w:hAnsi="Arial" w:cs="Arial"/>
          <w:bCs/>
          <w:sz w:val="28"/>
        </w:rPr>
      </w:pPr>
      <w:r w:rsidRPr="00AD6D80">
        <w:rPr>
          <w:rFonts w:ascii="Arial" w:eastAsia="仿宋_GB2312" w:hAnsi="Arial" w:cs="Arial" w:hint="eastAsia"/>
          <w:bCs/>
          <w:sz w:val="28"/>
        </w:rPr>
        <w:t>估价对象所属项目为居住项目。</w:t>
      </w:r>
      <w:r w:rsidRPr="00AD6D80">
        <w:rPr>
          <w:rFonts w:ascii="Arial" w:eastAsia="仿宋_GB2312" w:hAnsi="Arial" w:cs="Arial"/>
          <w:bCs/>
          <w:sz w:val="28"/>
        </w:rPr>
        <w:t>经过网上询价，采用房地产交易中的替代原则，选取与估价对象类似用途的案例，并分别进行交易情况、交易时间、用途、区域因素、个别因素的修正。</w:t>
      </w:r>
      <w:r w:rsidRPr="00AD6D80">
        <w:rPr>
          <w:rFonts w:ascii="Arial" w:eastAsia="仿宋_GB2312" w:hAnsi="Arial" w:cs="Arial" w:hint="eastAsia"/>
          <w:bCs/>
          <w:sz w:val="28"/>
        </w:rPr>
        <w:t>住宅</w:t>
      </w:r>
      <w:r w:rsidRPr="00AD6D80">
        <w:rPr>
          <w:rFonts w:ascii="Arial" w:eastAsia="仿宋_GB2312" w:hAnsi="Arial" w:cs="Arial"/>
          <w:bCs/>
          <w:sz w:val="28"/>
        </w:rPr>
        <w:t>用房开发完成后不动产总价</w:t>
      </w:r>
      <w:r w:rsidRPr="00AD6D80">
        <w:rPr>
          <w:rFonts w:ascii="Arial" w:eastAsia="仿宋_GB2312" w:hAnsi="Arial" w:cs="Arial" w:hint="eastAsia"/>
          <w:bCs/>
          <w:sz w:val="28"/>
        </w:rPr>
        <w:t>。</w:t>
      </w:r>
    </w:p>
    <w:p w14:paraId="60DCE6A1" w14:textId="77777777" w:rsidR="00914E90" w:rsidRPr="00AD6D80" w:rsidRDefault="00914E90" w:rsidP="00AD6D80">
      <w:pPr>
        <w:spacing w:line="360" w:lineRule="auto"/>
        <w:ind w:firstLineChars="200" w:firstLine="560"/>
        <w:jc w:val="both"/>
        <w:rPr>
          <w:rFonts w:ascii="Arial" w:eastAsia="仿宋_GB2312" w:hAnsi="Arial" w:cs="Arial"/>
          <w:bCs/>
          <w:sz w:val="28"/>
        </w:rPr>
      </w:pPr>
      <w:r w:rsidRPr="00AD6D80">
        <w:rPr>
          <w:rFonts w:ascii="Arial" w:eastAsia="仿宋_GB2312" w:hAnsi="Arial" w:cs="Arial" w:hint="eastAsia"/>
          <w:bCs/>
          <w:sz w:val="28"/>
        </w:rPr>
        <w:t>（转下页）</w:t>
      </w:r>
    </w:p>
    <w:p w14:paraId="02A0C84C" w14:textId="7A8FE53F" w:rsidR="00914E90" w:rsidRPr="00F631FB" w:rsidRDefault="00914E90" w:rsidP="00AD6D80">
      <w:pPr>
        <w:pStyle w:val="aff4"/>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br w:type="page"/>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914E90" w:rsidRPr="00F631FB" w14:paraId="25B17B54" w14:textId="77777777" w:rsidTr="008B444E">
        <w:trPr>
          <w:cantSplit/>
          <w:jc w:val="center"/>
        </w:trPr>
        <w:tc>
          <w:tcPr>
            <w:tcW w:w="8897" w:type="dxa"/>
          </w:tcPr>
          <w:p w14:paraId="35BCC3D4" w14:textId="77777777" w:rsidR="00914E90" w:rsidRPr="00F631FB" w:rsidRDefault="00914E90" w:rsidP="008B444E">
            <w:pPr>
              <w:jc w:val="center"/>
              <w:rPr>
                <w:rFonts w:ascii="Arial" w:eastAsia="仿宋_GB2312" w:hAnsi="Arial" w:cs="Arial"/>
                <w:sz w:val="22"/>
              </w:rPr>
            </w:pPr>
            <w:r w:rsidRPr="00F631FB">
              <w:rPr>
                <w:rFonts w:ascii="Arial" w:eastAsia="仿宋_GB2312" w:hAnsi="Arial" w:cs="Arial"/>
                <w:sz w:val="22"/>
              </w:rPr>
              <w:lastRenderedPageBreak/>
              <w:t>案例位置</w:t>
            </w:r>
          </w:p>
        </w:tc>
      </w:tr>
      <w:tr w:rsidR="00914E90" w:rsidRPr="00F631FB" w14:paraId="19A5F6D8" w14:textId="77777777" w:rsidTr="008B444E">
        <w:trPr>
          <w:cantSplit/>
          <w:trHeight w:hRule="exact" w:val="5761"/>
          <w:jc w:val="center"/>
        </w:trPr>
        <w:tc>
          <w:tcPr>
            <w:tcW w:w="8897" w:type="dxa"/>
          </w:tcPr>
          <w:p w14:paraId="24D4FACB" w14:textId="77777777" w:rsidR="00914E90" w:rsidRPr="00F631FB" w:rsidRDefault="00914E90" w:rsidP="008B444E">
            <w:pPr>
              <w:jc w:val="center"/>
              <w:rPr>
                <w:rFonts w:ascii="Arial" w:eastAsia="仿宋_GB2312" w:hAnsi="Arial" w:cs="Arial"/>
                <w:sz w:val="22"/>
              </w:rPr>
            </w:pPr>
            <w:r w:rsidRPr="00F631FB">
              <w:rPr>
                <w:rFonts w:ascii="Arial" w:eastAsia="仿宋_GB2312" w:hAnsi="Arial" w:cs="Arial"/>
                <w:noProof/>
                <w:sz w:val="22"/>
              </w:rPr>
              <w:drawing>
                <wp:anchor distT="0" distB="0" distL="114300" distR="114300" simplePos="0" relativeHeight="251666432" behindDoc="0" locked="0" layoutInCell="1" allowOverlap="1" wp14:anchorId="57C2399B" wp14:editId="79175CFE">
                  <wp:simplePos x="0" y="0"/>
                  <wp:positionH relativeFrom="column">
                    <wp:posOffset>1280426</wp:posOffset>
                  </wp:positionH>
                  <wp:positionV relativeFrom="paragraph">
                    <wp:posOffset>651643</wp:posOffset>
                  </wp:positionV>
                  <wp:extent cx="1010285" cy="564515"/>
                  <wp:effectExtent l="0" t="0" r="0" b="6985"/>
                  <wp:wrapNone/>
                  <wp:docPr id="95" name="图片 95"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Pr>
                <w:noProof/>
              </w:rPr>
              <w:drawing>
                <wp:inline distT="0" distB="0" distL="0" distR="0" wp14:anchorId="2803C296" wp14:editId="0741612A">
                  <wp:extent cx="5082363" cy="3432727"/>
                  <wp:effectExtent l="0" t="0" r="444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103285" cy="3446858"/>
                          </a:xfrm>
                          <a:prstGeom prst="rect">
                            <a:avLst/>
                          </a:prstGeom>
                        </pic:spPr>
                      </pic:pic>
                    </a:graphicData>
                  </a:graphic>
                </wp:inline>
              </w:drawing>
            </w:r>
          </w:p>
        </w:tc>
      </w:tr>
    </w:tbl>
    <w:p w14:paraId="0EFB7FAF" w14:textId="77777777" w:rsidR="00914E90" w:rsidRPr="00F631FB" w:rsidRDefault="00914E90" w:rsidP="00914E90">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615E0D6D" w14:textId="77777777" w:rsidR="00914E90" w:rsidRPr="00F631FB" w:rsidRDefault="00914E90" w:rsidP="00914E90">
      <w:pPr>
        <w:spacing w:line="360" w:lineRule="auto"/>
        <w:ind w:firstLineChars="200" w:firstLine="482"/>
        <w:jc w:val="center"/>
        <w:rPr>
          <w:rFonts w:ascii="Arial" w:eastAsia="仿宋_GB2312" w:hAnsi="Arial" w:cs="Arial"/>
          <w:sz w:val="28"/>
        </w:rPr>
      </w:pPr>
      <w:r w:rsidRPr="00F631FB">
        <w:rPr>
          <w:rFonts w:ascii="Arial" w:eastAsia="仿宋_GB2312" w:hAnsi="Arial" w:cs="Arial"/>
          <w:b/>
          <w:bCs/>
        </w:rPr>
        <w:lastRenderedPageBreak/>
        <w:t>表</w:t>
      </w:r>
      <w:r w:rsidRPr="00F631FB">
        <w:rPr>
          <w:rFonts w:ascii="Arial" w:eastAsia="仿宋_GB2312" w:hAnsi="Arial" w:cs="Arial"/>
          <w:b/>
          <w:bCs/>
        </w:rPr>
        <w:t>1</w:t>
      </w:r>
      <w:r w:rsidRPr="00F631FB">
        <w:rPr>
          <w:rFonts w:ascii="Arial" w:eastAsia="仿宋_GB2312" w:hAnsi="Arial" w:cs="Arial"/>
          <w:b/>
          <w:bCs/>
        </w:rPr>
        <w:t>：比较因素条件说明及指数表</w:t>
      </w:r>
    </w:p>
    <w:tbl>
      <w:tblPr>
        <w:tblW w:w="5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1028"/>
        <w:gridCol w:w="1846"/>
        <w:gridCol w:w="566"/>
        <w:gridCol w:w="1700"/>
        <w:gridCol w:w="709"/>
        <w:gridCol w:w="1700"/>
        <w:gridCol w:w="709"/>
        <w:gridCol w:w="1702"/>
        <w:gridCol w:w="707"/>
      </w:tblGrid>
      <w:tr w:rsidR="00914E90" w:rsidRPr="00F631FB" w14:paraId="00908485" w14:textId="77777777" w:rsidTr="008B444E">
        <w:trPr>
          <w:trHeight w:val="300"/>
          <w:tblHeader/>
          <w:jc w:val="center"/>
        </w:trPr>
        <w:tc>
          <w:tcPr>
            <w:tcW w:w="639" w:type="pct"/>
            <w:gridSpan w:val="2"/>
            <w:vMerge w:val="restart"/>
            <w:shd w:val="clear" w:color="auto" w:fill="auto"/>
            <w:noWrap/>
            <w:vAlign w:val="center"/>
            <w:hideMark/>
          </w:tcPr>
          <w:p w14:paraId="7035F8E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91" w:type="pct"/>
            <w:gridSpan w:val="2"/>
            <w:shd w:val="clear" w:color="auto" w:fill="auto"/>
            <w:vAlign w:val="center"/>
            <w:hideMark/>
          </w:tcPr>
          <w:p w14:paraId="619B45E8"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1090" w:type="pct"/>
            <w:gridSpan w:val="2"/>
            <w:shd w:val="clear" w:color="auto" w:fill="auto"/>
            <w:vAlign w:val="center"/>
            <w:hideMark/>
          </w:tcPr>
          <w:p w14:paraId="1CD5BCE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Pr="00F631FB">
              <w:rPr>
                <w:rFonts w:ascii="Arial" w:eastAsia="仿宋_GB2312" w:hAnsi="Arial" w:cs="Arial"/>
                <w:sz w:val="18"/>
                <w:szCs w:val="18"/>
              </w:rPr>
              <w:t>A</w:t>
            </w:r>
          </w:p>
        </w:tc>
        <w:tc>
          <w:tcPr>
            <w:tcW w:w="1090" w:type="pct"/>
            <w:gridSpan w:val="2"/>
            <w:shd w:val="clear" w:color="auto" w:fill="auto"/>
            <w:vAlign w:val="center"/>
            <w:hideMark/>
          </w:tcPr>
          <w:p w14:paraId="4EBCF223"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Pr="00F631FB">
              <w:rPr>
                <w:rFonts w:ascii="Arial" w:eastAsia="仿宋_GB2312" w:hAnsi="Arial" w:cs="Arial"/>
                <w:sz w:val="18"/>
                <w:szCs w:val="18"/>
              </w:rPr>
              <w:t>B</w:t>
            </w:r>
          </w:p>
        </w:tc>
        <w:tc>
          <w:tcPr>
            <w:tcW w:w="1090" w:type="pct"/>
            <w:gridSpan w:val="2"/>
            <w:shd w:val="clear" w:color="auto" w:fill="auto"/>
            <w:vAlign w:val="center"/>
            <w:hideMark/>
          </w:tcPr>
          <w:p w14:paraId="41A20B1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Pr="00F631FB">
              <w:rPr>
                <w:rFonts w:ascii="Arial" w:eastAsia="仿宋_GB2312" w:hAnsi="Arial" w:cs="Arial"/>
                <w:sz w:val="18"/>
                <w:szCs w:val="18"/>
              </w:rPr>
              <w:t>C</w:t>
            </w:r>
          </w:p>
        </w:tc>
      </w:tr>
      <w:tr w:rsidR="00914E90" w:rsidRPr="00F631FB" w14:paraId="6D4DE3E2" w14:textId="77777777" w:rsidTr="008B444E">
        <w:trPr>
          <w:trHeight w:val="450"/>
          <w:tblHeader/>
          <w:jc w:val="center"/>
        </w:trPr>
        <w:tc>
          <w:tcPr>
            <w:tcW w:w="639" w:type="pct"/>
            <w:gridSpan w:val="2"/>
            <w:vMerge/>
            <w:vAlign w:val="center"/>
            <w:hideMark/>
          </w:tcPr>
          <w:p w14:paraId="43388BE7"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835" w:type="pct"/>
            <w:shd w:val="clear" w:color="auto" w:fill="auto"/>
            <w:vAlign w:val="center"/>
            <w:hideMark/>
          </w:tcPr>
          <w:p w14:paraId="6B5BEF7D"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苏州街棚改项目</w:t>
            </w:r>
          </w:p>
        </w:tc>
        <w:tc>
          <w:tcPr>
            <w:tcW w:w="256" w:type="pct"/>
            <w:shd w:val="clear" w:color="auto" w:fill="auto"/>
            <w:vAlign w:val="center"/>
            <w:hideMark/>
          </w:tcPr>
          <w:p w14:paraId="40FF7A28"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769" w:type="pct"/>
            <w:shd w:val="clear" w:color="auto" w:fill="auto"/>
            <w:vAlign w:val="center"/>
            <w:hideMark/>
          </w:tcPr>
          <w:p w14:paraId="23FE322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海淀南路</w:t>
            </w:r>
            <w:r>
              <w:rPr>
                <w:rFonts w:ascii="Arial" w:eastAsia="仿宋_GB2312" w:hAnsi="Arial" w:cs="Arial" w:hint="eastAsia"/>
                <w:sz w:val="18"/>
                <w:szCs w:val="18"/>
              </w:rPr>
              <w:t>2</w:t>
            </w:r>
            <w:r>
              <w:rPr>
                <w:rFonts w:ascii="Arial" w:eastAsia="仿宋_GB2312" w:hAnsi="Arial" w:cs="Arial" w:hint="eastAsia"/>
                <w:sz w:val="18"/>
                <w:szCs w:val="18"/>
              </w:rPr>
              <w:t>号楼</w:t>
            </w:r>
          </w:p>
        </w:tc>
        <w:tc>
          <w:tcPr>
            <w:tcW w:w="321" w:type="pct"/>
            <w:shd w:val="clear" w:color="auto" w:fill="auto"/>
            <w:vAlign w:val="center"/>
            <w:hideMark/>
          </w:tcPr>
          <w:p w14:paraId="69D742B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769" w:type="pct"/>
            <w:shd w:val="clear" w:color="auto" w:fill="auto"/>
            <w:vAlign w:val="center"/>
            <w:hideMark/>
          </w:tcPr>
          <w:p w14:paraId="0227F91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海淀南路西</w:t>
            </w:r>
            <w:r>
              <w:rPr>
                <w:rFonts w:ascii="Arial" w:eastAsia="仿宋_GB2312" w:hAnsi="Arial" w:cs="Arial" w:hint="eastAsia"/>
                <w:sz w:val="18"/>
                <w:szCs w:val="18"/>
              </w:rPr>
              <w:t>4</w:t>
            </w:r>
            <w:r>
              <w:rPr>
                <w:rFonts w:ascii="Arial" w:eastAsia="仿宋_GB2312" w:hAnsi="Arial" w:cs="Arial" w:hint="eastAsia"/>
                <w:sz w:val="18"/>
                <w:szCs w:val="18"/>
              </w:rPr>
              <w:t>号楼</w:t>
            </w:r>
          </w:p>
        </w:tc>
        <w:tc>
          <w:tcPr>
            <w:tcW w:w="321" w:type="pct"/>
            <w:shd w:val="clear" w:color="auto" w:fill="auto"/>
            <w:vAlign w:val="center"/>
            <w:hideMark/>
          </w:tcPr>
          <w:p w14:paraId="528BDC8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770" w:type="pct"/>
            <w:shd w:val="clear" w:color="auto" w:fill="auto"/>
            <w:vAlign w:val="center"/>
            <w:hideMark/>
          </w:tcPr>
          <w:p w14:paraId="5A989DA2"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海淀南路</w:t>
            </w:r>
            <w:r>
              <w:rPr>
                <w:rFonts w:ascii="Arial" w:eastAsia="仿宋_GB2312" w:hAnsi="Arial" w:cs="Arial" w:hint="eastAsia"/>
                <w:sz w:val="18"/>
                <w:szCs w:val="18"/>
              </w:rPr>
              <w:t>2</w:t>
            </w:r>
            <w:r>
              <w:rPr>
                <w:rFonts w:ascii="Arial" w:eastAsia="仿宋_GB2312" w:hAnsi="Arial" w:cs="Arial"/>
                <w:sz w:val="18"/>
                <w:szCs w:val="18"/>
              </w:rPr>
              <w:t>4</w:t>
            </w:r>
            <w:r>
              <w:rPr>
                <w:rFonts w:ascii="Arial" w:eastAsia="仿宋_GB2312" w:hAnsi="Arial" w:cs="Arial" w:hint="eastAsia"/>
                <w:sz w:val="18"/>
                <w:szCs w:val="18"/>
              </w:rPr>
              <w:t>号院</w:t>
            </w:r>
          </w:p>
        </w:tc>
        <w:tc>
          <w:tcPr>
            <w:tcW w:w="320" w:type="pct"/>
            <w:shd w:val="clear" w:color="auto" w:fill="auto"/>
            <w:vAlign w:val="center"/>
            <w:hideMark/>
          </w:tcPr>
          <w:p w14:paraId="2BE4383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r>
      <w:tr w:rsidR="00914E90" w:rsidRPr="00F631FB" w14:paraId="35F59F14" w14:textId="77777777" w:rsidTr="008B444E">
        <w:trPr>
          <w:trHeight w:val="315"/>
          <w:jc w:val="center"/>
        </w:trPr>
        <w:tc>
          <w:tcPr>
            <w:tcW w:w="639" w:type="pct"/>
            <w:gridSpan w:val="2"/>
            <w:shd w:val="clear" w:color="auto" w:fill="auto"/>
            <w:noWrap/>
            <w:vAlign w:val="center"/>
            <w:hideMark/>
          </w:tcPr>
          <w:p w14:paraId="602C34A2"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835" w:type="pct"/>
            <w:shd w:val="clear" w:color="auto" w:fill="auto"/>
            <w:vAlign w:val="center"/>
            <w:hideMark/>
          </w:tcPr>
          <w:p w14:paraId="1AEC1B7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2021-10-15</w:t>
            </w:r>
          </w:p>
        </w:tc>
        <w:tc>
          <w:tcPr>
            <w:tcW w:w="256" w:type="pct"/>
            <w:shd w:val="clear" w:color="auto" w:fill="auto"/>
            <w:vAlign w:val="center"/>
            <w:hideMark/>
          </w:tcPr>
          <w:p w14:paraId="6EE6A4A8"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2147A79C"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2021-6</w:t>
            </w:r>
          </w:p>
        </w:tc>
        <w:tc>
          <w:tcPr>
            <w:tcW w:w="321" w:type="pct"/>
            <w:shd w:val="clear" w:color="auto" w:fill="auto"/>
            <w:vAlign w:val="center"/>
            <w:hideMark/>
          </w:tcPr>
          <w:p w14:paraId="54F5D8C6" w14:textId="1BE2FF53" w:rsidR="00914E90" w:rsidRPr="00F631FB" w:rsidRDefault="00AD6D8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102</w:t>
            </w:r>
          </w:p>
        </w:tc>
        <w:tc>
          <w:tcPr>
            <w:tcW w:w="769" w:type="pct"/>
            <w:shd w:val="clear" w:color="auto" w:fill="auto"/>
            <w:vAlign w:val="center"/>
            <w:hideMark/>
          </w:tcPr>
          <w:p w14:paraId="7689FA3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2021-2</w:t>
            </w:r>
          </w:p>
        </w:tc>
        <w:tc>
          <w:tcPr>
            <w:tcW w:w="321" w:type="pct"/>
            <w:shd w:val="clear" w:color="auto" w:fill="auto"/>
            <w:vAlign w:val="center"/>
            <w:hideMark/>
          </w:tcPr>
          <w:p w14:paraId="26522652" w14:textId="17539B9D" w:rsidR="00914E90" w:rsidRPr="00F631FB" w:rsidRDefault="00AD6D8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103</w:t>
            </w:r>
          </w:p>
        </w:tc>
        <w:tc>
          <w:tcPr>
            <w:tcW w:w="770" w:type="pct"/>
            <w:shd w:val="clear" w:color="auto" w:fill="auto"/>
            <w:vAlign w:val="center"/>
            <w:hideMark/>
          </w:tcPr>
          <w:p w14:paraId="3894CCC4"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w:t>
            </w:r>
          </w:p>
        </w:tc>
        <w:tc>
          <w:tcPr>
            <w:tcW w:w="320" w:type="pct"/>
            <w:shd w:val="clear" w:color="auto" w:fill="auto"/>
            <w:vAlign w:val="center"/>
            <w:hideMark/>
          </w:tcPr>
          <w:p w14:paraId="3F803ECA" w14:textId="4A2B766A" w:rsidR="00914E90" w:rsidRPr="00F631FB" w:rsidRDefault="00AD6D8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103</w:t>
            </w:r>
          </w:p>
        </w:tc>
      </w:tr>
      <w:tr w:rsidR="00914E90" w:rsidRPr="00F631FB" w14:paraId="749EA7B5" w14:textId="77777777" w:rsidTr="008B444E">
        <w:trPr>
          <w:trHeight w:val="288"/>
          <w:jc w:val="center"/>
        </w:trPr>
        <w:tc>
          <w:tcPr>
            <w:tcW w:w="639" w:type="pct"/>
            <w:gridSpan w:val="2"/>
            <w:shd w:val="clear" w:color="auto" w:fill="auto"/>
            <w:noWrap/>
            <w:vAlign w:val="center"/>
            <w:hideMark/>
          </w:tcPr>
          <w:p w14:paraId="2AE497FC"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835" w:type="pct"/>
            <w:shd w:val="clear" w:color="auto" w:fill="auto"/>
            <w:vAlign w:val="center"/>
            <w:hideMark/>
          </w:tcPr>
          <w:p w14:paraId="1EA7709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56" w:type="pct"/>
            <w:shd w:val="clear" w:color="auto" w:fill="auto"/>
            <w:vAlign w:val="center"/>
            <w:hideMark/>
          </w:tcPr>
          <w:p w14:paraId="18974D1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7F7524F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321" w:type="pct"/>
            <w:shd w:val="clear" w:color="auto" w:fill="auto"/>
            <w:vAlign w:val="center"/>
            <w:hideMark/>
          </w:tcPr>
          <w:p w14:paraId="4C185872"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5D05EE25"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321" w:type="pct"/>
            <w:shd w:val="clear" w:color="auto" w:fill="auto"/>
            <w:vAlign w:val="center"/>
            <w:hideMark/>
          </w:tcPr>
          <w:p w14:paraId="478DEE63"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2AFF29D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320" w:type="pct"/>
            <w:shd w:val="clear" w:color="auto" w:fill="auto"/>
            <w:vAlign w:val="center"/>
            <w:hideMark/>
          </w:tcPr>
          <w:p w14:paraId="19F55A8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0A048C94" w14:textId="77777777" w:rsidTr="008B444E">
        <w:trPr>
          <w:trHeight w:val="377"/>
          <w:jc w:val="center"/>
        </w:trPr>
        <w:tc>
          <w:tcPr>
            <w:tcW w:w="639" w:type="pct"/>
            <w:gridSpan w:val="2"/>
            <w:shd w:val="clear" w:color="auto" w:fill="auto"/>
            <w:vAlign w:val="center"/>
            <w:hideMark/>
          </w:tcPr>
          <w:p w14:paraId="0594D394"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用途</w:t>
            </w:r>
          </w:p>
        </w:tc>
        <w:tc>
          <w:tcPr>
            <w:tcW w:w="835" w:type="pct"/>
            <w:shd w:val="clear" w:color="auto" w:fill="auto"/>
            <w:vAlign w:val="center"/>
            <w:hideMark/>
          </w:tcPr>
          <w:p w14:paraId="39857BF4"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256" w:type="pct"/>
            <w:shd w:val="clear" w:color="auto" w:fill="auto"/>
            <w:vAlign w:val="center"/>
            <w:hideMark/>
          </w:tcPr>
          <w:p w14:paraId="50F1196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4C68757C"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321" w:type="pct"/>
            <w:shd w:val="clear" w:color="auto" w:fill="auto"/>
            <w:vAlign w:val="center"/>
            <w:hideMark/>
          </w:tcPr>
          <w:p w14:paraId="5E6FF38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07DF82C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321" w:type="pct"/>
            <w:shd w:val="clear" w:color="auto" w:fill="auto"/>
            <w:vAlign w:val="center"/>
            <w:hideMark/>
          </w:tcPr>
          <w:p w14:paraId="24A9C1C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1F7A9CF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320" w:type="pct"/>
            <w:shd w:val="clear" w:color="auto" w:fill="auto"/>
            <w:vAlign w:val="center"/>
            <w:hideMark/>
          </w:tcPr>
          <w:p w14:paraId="3DE4B51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72B2ADF7" w14:textId="77777777" w:rsidTr="008B444E">
        <w:trPr>
          <w:trHeight w:val="540"/>
          <w:jc w:val="center"/>
        </w:trPr>
        <w:tc>
          <w:tcPr>
            <w:tcW w:w="174" w:type="pct"/>
            <w:vMerge w:val="restart"/>
            <w:shd w:val="clear" w:color="auto" w:fill="auto"/>
            <w:vAlign w:val="center"/>
            <w:hideMark/>
          </w:tcPr>
          <w:p w14:paraId="6B91ACF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465" w:type="pct"/>
            <w:shd w:val="clear" w:color="auto" w:fill="auto"/>
            <w:noWrap/>
            <w:vAlign w:val="center"/>
            <w:hideMark/>
          </w:tcPr>
          <w:p w14:paraId="4EA60142"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居住社区成熟度</w:t>
            </w:r>
          </w:p>
        </w:tc>
        <w:tc>
          <w:tcPr>
            <w:tcW w:w="835" w:type="pct"/>
            <w:shd w:val="clear" w:color="auto" w:fill="auto"/>
            <w:vAlign w:val="center"/>
            <w:hideMark/>
          </w:tcPr>
          <w:p w14:paraId="518B265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估价对象周边有海淀南路</w:t>
            </w:r>
            <w:r w:rsidRPr="00F21B5D">
              <w:rPr>
                <w:rFonts w:ascii="Arial" w:eastAsia="仿宋_GB2312" w:hAnsi="Arial" w:cs="Arial" w:hint="eastAsia"/>
                <w:sz w:val="18"/>
                <w:szCs w:val="18"/>
              </w:rPr>
              <w:t>24</w:t>
            </w:r>
            <w:r w:rsidRPr="00F21B5D">
              <w:rPr>
                <w:rFonts w:ascii="Arial" w:eastAsia="仿宋_GB2312" w:hAnsi="Arial" w:cs="Arial" w:hint="eastAsia"/>
                <w:sz w:val="18"/>
                <w:szCs w:val="18"/>
              </w:rPr>
              <w:t>号院、飞达社区、海淀区苏州街</w:t>
            </w:r>
            <w:r w:rsidRPr="00F21B5D">
              <w:rPr>
                <w:rFonts w:ascii="Arial" w:eastAsia="仿宋_GB2312" w:hAnsi="Arial" w:cs="Arial" w:hint="eastAsia"/>
                <w:sz w:val="18"/>
                <w:szCs w:val="18"/>
              </w:rPr>
              <w:t>77</w:t>
            </w:r>
            <w:r w:rsidRPr="00F21B5D">
              <w:rPr>
                <w:rFonts w:ascii="Arial" w:eastAsia="仿宋_GB2312" w:hAnsi="Arial" w:cs="Arial" w:hint="eastAsia"/>
                <w:sz w:val="18"/>
                <w:szCs w:val="18"/>
              </w:rPr>
              <w:t>号院、倒座庙</w:t>
            </w:r>
            <w:r w:rsidRPr="00F21B5D">
              <w:rPr>
                <w:rFonts w:ascii="Arial" w:eastAsia="仿宋_GB2312" w:hAnsi="Arial" w:cs="Arial" w:hint="eastAsia"/>
                <w:sz w:val="18"/>
                <w:szCs w:val="18"/>
              </w:rPr>
              <w:t>1</w:t>
            </w:r>
            <w:r w:rsidRPr="00F21B5D">
              <w:rPr>
                <w:rFonts w:ascii="Arial" w:eastAsia="仿宋_GB2312" w:hAnsi="Arial" w:cs="Arial" w:hint="eastAsia"/>
                <w:sz w:val="18"/>
                <w:szCs w:val="18"/>
              </w:rPr>
              <w:t>号院、海淀南路</w:t>
            </w:r>
            <w:r w:rsidRPr="00F21B5D">
              <w:rPr>
                <w:rFonts w:ascii="Arial" w:eastAsia="仿宋_GB2312" w:hAnsi="Arial" w:cs="Arial" w:hint="eastAsia"/>
                <w:sz w:val="18"/>
                <w:szCs w:val="18"/>
              </w:rPr>
              <w:t>31</w:t>
            </w:r>
            <w:r w:rsidRPr="00F21B5D">
              <w:rPr>
                <w:rFonts w:ascii="Arial" w:eastAsia="仿宋_GB2312" w:hAnsi="Arial" w:cs="Arial" w:hint="eastAsia"/>
                <w:sz w:val="18"/>
                <w:szCs w:val="18"/>
              </w:rPr>
              <w:t>号院等居住小区，入住率较好，居住社区成熟度较好。</w:t>
            </w:r>
          </w:p>
        </w:tc>
        <w:tc>
          <w:tcPr>
            <w:tcW w:w="256" w:type="pct"/>
            <w:shd w:val="clear" w:color="auto" w:fill="auto"/>
            <w:vAlign w:val="center"/>
            <w:hideMark/>
          </w:tcPr>
          <w:p w14:paraId="624B41A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7C239B2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周边有海淀南路</w:t>
            </w:r>
            <w:r w:rsidRPr="00F21B5D">
              <w:rPr>
                <w:rFonts w:ascii="Arial" w:eastAsia="仿宋_GB2312" w:hAnsi="Arial" w:cs="Arial" w:hint="eastAsia"/>
                <w:sz w:val="18"/>
                <w:szCs w:val="18"/>
              </w:rPr>
              <w:t>24</w:t>
            </w:r>
            <w:r w:rsidRPr="00F21B5D">
              <w:rPr>
                <w:rFonts w:ascii="Arial" w:eastAsia="仿宋_GB2312" w:hAnsi="Arial" w:cs="Arial" w:hint="eastAsia"/>
                <w:sz w:val="18"/>
                <w:szCs w:val="18"/>
              </w:rPr>
              <w:t>号院、飞达社区、海淀区苏州街</w:t>
            </w:r>
            <w:r w:rsidRPr="00F21B5D">
              <w:rPr>
                <w:rFonts w:ascii="Arial" w:eastAsia="仿宋_GB2312" w:hAnsi="Arial" w:cs="Arial" w:hint="eastAsia"/>
                <w:sz w:val="18"/>
                <w:szCs w:val="18"/>
              </w:rPr>
              <w:t>77</w:t>
            </w:r>
            <w:r w:rsidRPr="00F21B5D">
              <w:rPr>
                <w:rFonts w:ascii="Arial" w:eastAsia="仿宋_GB2312" w:hAnsi="Arial" w:cs="Arial" w:hint="eastAsia"/>
                <w:sz w:val="18"/>
                <w:szCs w:val="18"/>
              </w:rPr>
              <w:t>号院、倒座庙</w:t>
            </w:r>
            <w:r w:rsidRPr="00F21B5D">
              <w:rPr>
                <w:rFonts w:ascii="Arial" w:eastAsia="仿宋_GB2312" w:hAnsi="Arial" w:cs="Arial" w:hint="eastAsia"/>
                <w:sz w:val="18"/>
                <w:szCs w:val="18"/>
              </w:rPr>
              <w:t>1</w:t>
            </w:r>
            <w:r w:rsidRPr="00F21B5D">
              <w:rPr>
                <w:rFonts w:ascii="Arial" w:eastAsia="仿宋_GB2312" w:hAnsi="Arial" w:cs="Arial" w:hint="eastAsia"/>
                <w:sz w:val="18"/>
                <w:szCs w:val="18"/>
              </w:rPr>
              <w:t>号院、海淀南路</w:t>
            </w:r>
            <w:r w:rsidRPr="00F21B5D">
              <w:rPr>
                <w:rFonts w:ascii="Arial" w:eastAsia="仿宋_GB2312" w:hAnsi="Arial" w:cs="Arial" w:hint="eastAsia"/>
                <w:sz w:val="18"/>
                <w:szCs w:val="18"/>
              </w:rPr>
              <w:t>31</w:t>
            </w:r>
            <w:r w:rsidRPr="00F21B5D">
              <w:rPr>
                <w:rFonts w:ascii="Arial" w:eastAsia="仿宋_GB2312" w:hAnsi="Arial" w:cs="Arial" w:hint="eastAsia"/>
                <w:sz w:val="18"/>
                <w:szCs w:val="18"/>
              </w:rPr>
              <w:t>号院等居住小区，入住率较好，居住社区成熟度较好。</w:t>
            </w:r>
          </w:p>
        </w:tc>
        <w:tc>
          <w:tcPr>
            <w:tcW w:w="321" w:type="pct"/>
            <w:shd w:val="clear" w:color="auto" w:fill="auto"/>
            <w:vAlign w:val="center"/>
            <w:hideMark/>
          </w:tcPr>
          <w:p w14:paraId="7D0348E8"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69" w:type="pct"/>
            <w:shd w:val="clear" w:color="auto" w:fill="auto"/>
            <w:vAlign w:val="center"/>
            <w:hideMark/>
          </w:tcPr>
          <w:p w14:paraId="0210D94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周边有海淀南路</w:t>
            </w:r>
            <w:r w:rsidRPr="00F21B5D">
              <w:rPr>
                <w:rFonts w:ascii="Arial" w:eastAsia="仿宋_GB2312" w:hAnsi="Arial" w:cs="Arial" w:hint="eastAsia"/>
                <w:sz w:val="18"/>
                <w:szCs w:val="18"/>
              </w:rPr>
              <w:t>24</w:t>
            </w:r>
            <w:r w:rsidRPr="00F21B5D">
              <w:rPr>
                <w:rFonts w:ascii="Arial" w:eastAsia="仿宋_GB2312" w:hAnsi="Arial" w:cs="Arial" w:hint="eastAsia"/>
                <w:sz w:val="18"/>
                <w:szCs w:val="18"/>
              </w:rPr>
              <w:t>号院、飞达社区、海淀区苏州街</w:t>
            </w:r>
            <w:r w:rsidRPr="00F21B5D">
              <w:rPr>
                <w:rFonts w:ascii="Arial" w:eastAsia="仿宋_GB2312" w:hAnsi="Arial" w:cs="Arial" w:hint="eastAsia"/>
                <w:sz w:val="18"/>
                <w:szCs w:val="18"/>
              </w:rPr>
              <w:t>77</w:t>
            </w:r>
            <w:r w:rsidRPr="00F21B5D">
              <w:rPr>
                <w:rFonts w:ascii="Arial" w:eastAsia="仿宋_GB2312" w:hAnsi="Arial" w:cs="Arial" w:hint="eastAsia"/>
                <w:sz w:val="18"/>
                <w:szCs w:val="18"/>
              </w:rPr>
              <w:t>号院、倒座庙</w:t>
            </w:r>
            <w:r w:rsidRPr="00F21B5D">
              <w:rPr>
                <w:rFonts w:ascii="Arial" w:eastAsia="仿宋_GB2312" w:hAnsi="Arial" w:cs="Arial" w:hint="eastAsia"/>
                <w:sz w:val="18"/>
                <w:szCs w:val="18"/>
              </w:rPr>
              <w:t>1</w:t>
            </w:r>
            <w:r w:rsidRPr="00F21B5D">
              <w:rPr>
                <w:rFonts w:ascii="Arial" w:eastAsia="仿宋_GB2312" w:hAnsi="Arial" w:cs="Arial" w:hint="eastAsia"/>
                <w:sz w:val="18"/>
                <w:szCs w:val="18"/>
              </w:rPr>
              <w:t>号院、海淀南路</w:t>
            </w:r>
            <w:r w:rsidRPr="00F21B5D">
              <w:rPr>
                <w:rFonts w:ascii="Arial" w:eastAsia="仿宋_GB2312" w:hAnsi="Arial" w:cs="Arial" w:hint="eastAsia"/>
                <w:sz w:val="18"/>
                <w:szCs w:val="18"/>
              </w:rPr>
              <w:t>31</w:t>
            </w:r>
            <w:r w:rsidRPr="00F21B5D">
              <w:rPr>
                <w:rFonts w:ascii="Arial" w:eastAsia="仿宋_GB2312" w:hAnsi="Arial" w:cs="Arial" w:hint="eastAsia"/>
                <w:sz w:val="18"/>
                <w:szCs w:val="18"/>
              </w:rPr>
              <w:t>号院等居住小区，入住率较好，居住社区成熟度较好。</w:t>
            </w:r>
          </w:p>
        </w:tc>
        <w:tc>
          <w:tcPr>
            <w:tcW w:w="321" w:type="pct"/>
            <w:shd w:val="clear" w:color="auto" w:fill="auto"/>
            <w:vAlign w:val="center"/>
            <w:hideMark/>
          </w:tcPr>
          <w:p w14:paraId="5B6D43E6"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70" w:type="pct"/>
            <w:shd w:val="clear" w:color="auto" w:fill="auto"/>
            <w:vAlign w:val="center"/>
            <w:hideMark/>
          </w:tcPr>
          <w:p w14:paraId="09D2C21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周边有飞达社区、海淀区苏州街</w:t>
            </w:r>
            <w:r w:rsidRPr="00F21B5D">
              <w:rPr>
                <w:rFonts w:ascii="Arial" w:eastAsia="仿宋_GB2312" w:hAnsi="Arial" w:cs="Arial" w:hint="eastAsia"/>
                <w:sz w:val="18"/>
                <w:szCs w:val="18"/>
              </w:rPr>
              <w:t>77</w:t>
            </w:r>
            <w:r w:rsidRPr="00F21B5D">
              <w:rPr>
                <w:rFonts w:ascii="Arial" w:eastAsia="仿宋_GB2312" w:hAnsi="Arial" w:cs="Arial" w:hint="eastAsia"/>
                <w:sz w:val="18"/>
                <w:szCs w:val="18"/>
              </w:rPr>
              <w:t>号院、倒座庙</w:t>
            </w:r>
            <w:r w:rsidRPr="00F21B5D">
              <w:rPr>
                <w:rFonts w:ascii="Arial" w:eastAsia="仿宋_GB2312" w:hAnsi="Arial" w:cs="Arial" w:hint="eastAsia"/>
                <w:sz w:val="18"/>
                <w:szCs w:val="18"/>
              </w:rPr>
              <w:t>1</w:t>
            </w:r>
            <w:r w:rsidRPr="00F21B5D">
              <w:rPr>
                <w:rFonts w:ascii="Arial" w:eastAsia="仿宋_GB2312" w:hAnsi="Arial" w:cs="Arial" w:hint="eastAsia"/>
                <w:sz w:val="18"/>
                <w:szCs w:val="18"/>
              </w:rPr>
              <w:t>号院、海淀南路</w:t>
            </w:r>
            <w:r w:rsidRPr="00F21B5D">
              <w:rPr>
                <w:rFonts w:ascii="Arial" w:eastAsia="仿宋_GB2312" w:hAnsi="Arial" w:cs="Arial" w:hint="eastAsia"/>
                <w:sz w:val="18"/>
                <w:szCs w:val="18"/>
              </w:rPr>
              <w:t>31</w:t>
            </w:r>
            <w:r w:rsidRPr="00F21B5D">
              <w:rPr>
                <w:rFonts w:ascii="Arial" w:eastAsia="仿宋_GB2312" w:hAnsi="Arial" w:cs="Arial" w:hint="eastAsia"/>
                <w:sz w:val="18"/>
                <w:szCs w:val="18"/>
              </w:rPr>
              <w:t>号院等居住小区，入住率较好，居住社区成熟度较好。</w:t>
            </w:r>
          </w:p>
        </w:tc>
        <w:tc>
          <w:tcPr>
            <w:tcW w:w="320" w:type="pct"/>
            <w:shd w:val="clear" w:color="auto" w:fill="auto"/>
            <w:vAlign w:val="center"/>
            <w:hideMark/>
          </w:tcPr>
          <w:p w14:paraId="756D070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914E90" w:rsidRPr="00F631FB" w14:paraId="773D969F" w14:textId="77777777" w:rsidTr="008B444E">
        <w:trPr>
          <w:trHeight w:val="285"/>
          <w:jc w:val="center"/>
        </w:trPr>
        <w:tc>
          <w:tcPr>
            <w:tcW w:w="174" w:type="pct"/>
            <w:vMerge/>
            <w:vAlign w:val="center"/>
            <w:hideMark/>
          </w:tcPr>
          <w:p w14:paraId="4BC8DFA1"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743809E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835" w:type="pct"/>
            <w:shd w:val="clear" w:color="auto" w:fill="auto"/>
            <w:vAlign w:val="center"/>
            <w:hideMark/>
          </w:tcPr>
          <w:p w14:paraId="24E13B76"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估价对象紧邻城市主干道—海淀南路、苏州街，南距北三环西路约</w:t>
            </w:r>
            <w:r w:rsidRPr="00F21B5D">
              <w:rPr>
                <w:rFonts w:ascii="Arial" w:eastAsia="仿宋_GB2312" w:hAnsi="Arial" w:cs="Arial" w:hint="eastAsia"/>
                <w:sz w:val="18"/>
                <w:szCs w:val="18"/>
              </w:rPr>
              <w:t>1500</w:t>
            </w:r>
            <w:r w:rsidRPr="00F21B5D">
              <w:rPr>
                <w:rFonts w:ascii="Arial" w:eastAsia="仿宋_GB2312" w:hAnsi="Arial" w:cs="Arial" w:hint="eastAsia"/>
                <w:sz w:val="18"/>
                <w:szCs w:val="18"/>
              </w:rPr>
              <w:t>米，距北京首都国际机场约</w:t>
            </w:r>
            <w:r w:rsidRPr="00F21B5D">
              <w:rPr>
                <w:rFonts w:ascii="Arial" w:eastAsia="仿宋_GB2312" w:hAnsi="Arial" w:cs="Arial" w:hint="eastAsia"/>
                <w:sz w:val="18"/>
                <w:szCs w:val="18"/>
              </w:rPr>
              <w:t>29</w:t>
            </w:r>
            <w:r w:rsidRPr="00F21B5D">
              <w:rPr>
                <w:rFonts w:ascii="Arial" w:eastAsia="仿宋_GB2312" w:hAnsi="Arial" w:cs="Arial" w:hint="eastAsia"/>
                <w:sz w:val="18"/>
                <w:szCs w:val="18"/>
              </w:rPr>
              <w:t>公里，距北京站约</w:t>
            </w:r>
            <w:r w:rsidRPr="00F21B5D">
              <w:rPr>
                <w:rFonts w:ascii="Arial" w:eastAsia="仿宋_GB2312" w:hAnsi="Arial" w:cs="Arial" w:hint="eastAsia"/>
                <w:sz w:val="18"/>
                <w:szCs w:val="18"/>
              </w:rPr>
              <w:t>13</w:t>
            </w:r>
            <w:r w:rsidRPr="00F21B5D">
              <w:rPr>
                <w:rFonts w:ascii="Arial" w:eastAsia="仿宋_GB2312" w:hAnsi="Arial" w:cs="Arial" w:hint="eastAsia"/>
                <w:sz w:val="18"/>
                <w:szCs w:val="18"/>
              </w:rPr>
              <w:t>公里，紧邻地铁</w:t>
            </w:r>
            <w:r w:rsidRPr="00F21B5D">
              <w:rPr>
                <w:rFonts w:ascii="Arial" w:eastAsia="仿宋_GB2312" w:hAnsi="Arial" w:cs="Arial" w:hint="eastAsia"/>
                <w:sz w:val="18"/>
                <w:szCs w:val="18"/>
              </w:rPr>
              <w:t>10</w:t>
            </w:r>
            <w:r w:rsidRPr="00F21B5D">
              <w:rPr>
                <w:rFonts w:ascii="Arial" w:eastAsia="仿宋_GB2312" w:hAnsi="Arial" w:cs="Arial" w:hint="eastAsia"/>
                <w:sz w:val="18"/>
                <w:szCs w:val="18"/>
              </w:rPr>
              <w:t>、</w:t>
            </w:r>
            <w:r w:rsidRPr="00F21B5D">
              <w:rPr>
                <w:rFonts w:ascii="Arial" w:eastAsia="仿宋_GB2312" w:hAnsi="Arial" w:cs="Arial" w:hint="eastAsia"/>
                <w:sz w:val="18"/>
                <w:szCs w:val="18"/>
              </w:rPr>
              <w:t>16</w:t>
            </w:r>
            <w:r w:rsidRPr="00F21B5D">
              <w:rPr>
                <w:rFonts w:ascii="Arial" w:eastAsia="仿宋_GB2312" w:hAnsi="Arial" w:cs="Arial" w:hint="eastAsia"/>
                <w:sz w:val="18"/>
                <w:szCs w:val="18"/>
              </w:rPr>
              <w:t>号线（苏州街站），周边有</w:t>
            </w:r>
            <w:r w:rsidRPr="00F21B5D">
              <w:rPr>
                <w:rFonts w:ascii="Arial" w:eastAsia="仿宋_GB2312" w:hAnsi="Arial" w:cs="Arial" w:hint="eastAsia"/>
                <w:sz w:val="18"/>
                <w:szCs w:val="18"/>
              </w:rPr>
              <w:t>304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307</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386</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630</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671</w:t>
            </w:r>
            <w:r w:rsidRPr="00F21B5D">
              <w:rPr>
                <w:rFonts w:ascii="Arial" w:eastAsia="仿宋_GB2312" w:hAnsi="Arial" w:cs="Arial" w:hint="eastAsia"/>
                <w:sz w:val="18"/>
                <w:szCs w:val="18"/>
              </w:rPr>
              <w:t>路等多条公交线路通过，综合评价交通便捷度较好。</w:t>
            </w:r>
          </w:p>
        </w:tc>
        <w:tc>
          <w:tcPr>
            <w:tcW w:w="256" w:type="pct"/>
            <w:shd w:val="clear" w:color="auto" w:fill="auto"/>
            <w:vAlign w:val="center"/>
            <w:hideMark/>
          </w:tcPr>
          <w:p w14:paraId="6FB2F59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3F85300C"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紧邻城市主干道—海淀南路，紧邻地铁</w:t>
            </w:r>
            <w:r w:rsidRPr="00F21B5D">
              <w:rPr>
                <w:rFonts w:ascii="Arial" w:eastAsia="仿宋_GB2312" w:hAnsi="Arial" w:cs="Arial" w:hint="eastAsia"/>
                <w:sz w:val="18"/>
                <w:szCs w:val="18"/>
              </w:rPr>
              <w:t>10</w:t>
            </w:r>
            <w:r w:rsidRPr="00F21B5D">
              <w:rPr>
                <w:rFonts w:ascii="Arial" w:eastAsia="仿宋_GB2312" w:hAnsi="Arial" w:cs="Arial" w:hint="eastAsia"/>
                <w:sz w:val="18"/>
                <w:szCs w:val="18"/>
              </w:rPr>
              <w:t>号线（海淀黄庄站），周边有</w:t>
            </w:r>
            <w:r w:rsidRPr="00F21B5D">
              <w:rPr>
                <w:rFonts w:ascii="Arial" w:eastAsia="仿宋_GB2312" w:hAnsi="Arial" w:cs="Arial" w:hint="eastAsia"/>
                <w:sz w:val="18"/>
                <w:szCs w:val="18"/>
              </w:rPr>
              <w:t>304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307</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386</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630</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671</w:t>
            </w:r>
            <w:r w:rsidRPr="00F21B5D">
              <w:rPr>
                <w:rFonts w:ascii="Arial" w:eastAsia="仿宋_GB2312" w:hAnsi="Arial" w:cs="Arial" w:hint="eastAsia"/>
                <w:sz w:val="18"/>
                <w:szCs w:val="18"/>
              </w:rPr>
              <w:t>路等多条公交线路通过，综合评价交通便捷度较好。</w:t>
            </w:r>
          </w:p>
        </w:tc>
        <w:tc>
          <w:tcPr>
            <w:tcW w:w="321" w:type="pct"/>
            <w:shd w:val="clear" w:color="auto" w:fill="auto"/>
            <w:vAlign w:val="center"/>
            <w:hideMark/>
          </w:tcPr>
          <w:p w14:paraId="73911632"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69" w:type="pct"/>
            <w:shd w:val="clear" w:color="auto" w:fill="auto"/>
            <w:vAlign w:val="center"/>
            <w:hideMark/>
          </w:tcPr>
          <w:p w14:paraId="200D7434"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紧邻城市主干道—海淀南路，距离地铁</w:t>
            </w:r>
            <w:r w:rsidRPr="00F21B5D">
              <w:rPr>
                <w:rFonts w:ascii="Arial" w:eastAsia="仿宋_GB2312" w:hAnsi="Arial" w:cs="Arial" w:hint="eastAsia"/>
                <w:sz w:val="18"/>
                <w:szCs w:val="18"/>
              </w:rPr>
              <w:t>10</w:t>
            </w:r>
            <w:r w:rsidRPr="00F21B5D">
              <w:rPr>
                <w:rFonts w:ascii="Arial" w:eastAsia="仿宋_GB2312" w:hAnsi="Arial" w:cs="Arial" w:hint="eastAsia"/>
                <w:sz w:val="18"/>
                <w:szCs w:val="18"/>
              </w:rPr>
              <w:t>号线（海淀黄庄站）约</w:t>
            </w:r>
            <w:r w:rsidRPr="00F21B5D">
              <w:rPr>
                <w:rFonts w:ascii="Arial" w:eastAsia="仿宋_GB2312" w:hAnsi="Arial" w:cs="Arial" w:hint="eastAsia"/>
                <w:sz w:val="18"/>
                <w:szCs w:val="18"/>
              </w:rPr>
              <w:t>300</w:t>
            </w:r>
            <w:r w:rsidRPr="00F21B5D">
              <w:rPr>
                <w:rFonts w:ascii="Arial" w:eastAsia="仿宋_GB2312" w:hAnsi="Arial" w:cs="Arial" w:hint="eastAsia"/>
                <w:sz w:val="18"/>
                <w:szCs w:val="18"/>
              </w:rPr>
              <w:t>米，周边有</w:t>
            </w:r>
            <w:r w:rsidRPr="00F21B5D">
              <w:rPr>
                <w:rFonts w:ascii="Arial" w:eastAsia="仿宋_GB2312" w:hAnsi="Arial" w:cs="Arial" w:hint="eastAsia"/>
                <w:sz w:val="18"/>
                <w:szCs w:val="18"/>
              </w:rPr>
              <w:t>304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307</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386</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630</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671</w:t>
            </w:r>
            <w:r w:rsidRPr="00F21B5D">
              <w:rPr>
                <w:rFonts w:ascii="Arial" w:eastAsia="仿宋_GB2312" w:hAnsi="Arial" w:cs="Arial" w:hint="eastAsia"/>
                <w:sz w:val="18"/>
                <w:szCs w:val="18"/>
              </w:rPr>
              <w:t>路等多条公交线路通过，综合评价交通便捷度较好。</w:t>
            </w:r>
          </w:p>
        </w:tc>
        <w:tc>
          <w:tcPr>
            <w:tcW w:w="321" w:type="pct"/>
            <w:shd w:val="clear" w:color="auto" w:fill="auto"/>
            <w:vAlign w:val="center"/>
            <w:hideMark/>
          </w:tcPr>
          <w:p w14:paraId="3F2FA21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70" w:type="pct"/>
            <w:shd w:val="clear" w:color="auto" w:fill="auto"/>
            <w:vAlign w:val="center"/>
            <w:hideMark/>
          </w:tcPr>
          <w:p w14:paraId="21694257" w14:textId="310D438B"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紧邻城市主干道—海淀南路，距离地铁</w:t>
            </w:r>
            <w:r w:rsidRPr="00F21B5D">
              <w:rPr>
                <w:rFonts w:ascii="Arial" w:eastAsia="仿宋_GB2312" w:hAnsi="Arial" w:cs="Arial" w:hint="eastAsia"/>
                <w:sz w:val="18"/>
                <w:szCs w:val="18"/>
              </w:rPr>
              <w:t>10</w:t>
            </w:r>
            <w:r w:rsidRPr="00F21B5D">
              <w:rPr>
                <w:rFonts w:ascii="Arial" w:eastAsia="仿宋_GB2312" w:hAnsi="Arial" w:cs="Arial" w:hint="eastAsia"/>
                <w:sz w:val="18"/>
                <w:szCs w:val="18"/>
              </w:rPr>
              <w:t>、</w:t>
            </w:r>
            <w:r w:rsidRPr="00F21B5D">
              <w:rPr>
                <w:rFonts w:ascii="Arial" w:eastAsia="仿宋_GB2312" w:hAnsi="Arial" w:cs="Arial" w:hint="eastAsia"/>
                <w:sz w:val="18"/>
                <w:szCs w:val="18"/>
              </w:rPr>
              <w:t>16</w:t>
            </w:r>
            <w:r w:rsidRPr="00F21B5D">
              <w:rPr>
                <w:rFonts w:ascii="Arial" w:eastAsia="仿宋_GB2312" w:hAnsi="Arial" w:cs="Arial" w:hint="eastAsia"/>
                <w:sz w:val="18"/>
                <w:szCs w:val="18"/>
              </w:rPr>
              <w:t>号线（苏州街站）约</w:t>
            </w:r>
            <w:r w:rsidRPr="00F21B5D">
              <w:rPr>
                <w:rFonts w:ascii="Arial" w:eastAsia="仿宋_GB2312" w:hAnsi="Arial" w:cs="Arial" w:hint="eastAsia"/>
                <w:sz w:val="18"/>
                <w:szCs w:val="18"/>
              </w:rPr>
              <w:t>100</w:t>
            </w:r>
            <w:r w:rsidRPr="00F21B5D">
              <w:rPr>
                <w:rFonts w:ascii="Arial" w:eastAsia="仿宋_GB2312" w:hAnsi="Arial" w:cs="Arial" w:hint="eastAsia"/>
                <w:sz w:val="18"/>
                <w:szCs w:val="18"/>
              </w:rPr>
              <w:t>米，周边有</w:t>
            </w:r>
            <w:r w:rsidRPr="00F21B5D">
              <w:rPr>
                <w:rFonts w:ascii="Arial" w:eastAsia="仿宋_GB2312" w:hAnsi="Arial" w:cs="Arial" w:hint="eastAsia"/>
                <w:sz w:val="18"/>
                <w:szCs w:val="18"/>
              </w:rPr>
              <w:t>304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307</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386</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630</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671</w:t>
            </w:r>
            <w:r w:rsidRPr="00F21B5D">
              <w:rPr>
                <w:rFonts w:ascii="Arial" w:eastAsia="仿宋_GB2312" w:hAnsi="Arial" w:cs="Arial" w:hint="eastAsia"/>
                <w:sz w:val="18"/>
                <w:szCs w:val="18"/>
              </w:rPr>
              <w:t>路等多条公交线路通过，综合评价交通便捷度较好。</w:t>
            </w:r>
          </w:p>
        </w:tc>
        <w:tc>
          <w:tcPr>
            <w:tcW w:w="320" w:type="pct"/>
            <w:shd w:val="clear" w:color="auto" w:fill="auto"/>
            <w:vAlign w:val="center"/>
            <w:hideMark/>
          </w:tcPr>
          <w:p w14:paraId="5E22C71D"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914E90" w:rsidRPr="00F631FB" w14:paraId="5A3D8477" w14:textId="77777777" w:rsidTr="008B444E">
        <w:trPr>
          <w:trHeight w:val="5774"/>
          <w:jc w:val="center"/>
        </w:trPr>
        <w:tc>
          <w:tcPr>
            <w:tcW w:w="174" w:type="pct"/>
            <w:vMerge/>
            <w:vAlign w:val="center"/>
            <w:hideMark/>
          </w:tcPr>
          <w:p w14:paraId="10C851F8"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6FFD427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835" w:type="pct"/>
            <w:shd w:val="clear" w:color="auto" w:fill="auto"/>
            <w:vAlign w:val="center"/>
            <w:hideMark/>
          </w:tcPr>
          <w:p w14:paraId="61EC22AD" w14:textId="77777777" w:rsidR="00914E90" w:rsidRPr="00F631FB" w:rsidRDefault="00914E90" w:rsidP="008B444E">
            <w:pPr>
              <w:jc w:val="center"/>
              <w:rPr>
                <w:rFonts w:ascii="Arial" w:eastAsia="仿宋_GB2312" w:hAnsi="Arial" w:cs="Arial"/>
                <w:sz w:val="18"/>
                <w:szCs w:val="18"/>
              </w:rPr>
            </w:pPr>
            <w:r w:rsidRPr="00F21B5D">
              <w:rPr>
                <w:rFonts w:ascii="Arial" w:eastAsia="仿宋_GB2312" w:hAnsi="Arial" w:cs="Arial" w:hint="eastAsia"/>
                <w:sz w:val="18"/>
                <w:szCs w:val="18"/>
              </w:rPr>
              <w:t>购物场所（新中关购物中心、</w:t>
            </w:r>
            <w:proofErr w:type="gramStart"/>
            <w:r w:rsidRPr="00F21B5D">
              <w:rPr>
                <w:rFonts w:ascii="Arial" w:eastAsia="仿宋_GB2312" w:hAnsi="Arial" w:cs="Arial" w:hint="eastAsia"/>
                <w:sz w:val="18"/>
                <w:szCs w:val="18"/>
              </w:rPr>
              <w:t>领展购物</w:t>
            </w:r>
            <w:proofErr w:type="gramEnd"/>
            <w:r w:rsidRPr="00F21B5D">
              <w:rPr>
                <w:rFonts w:ascii="Arial" w:eastAsia="仿宋_GB2312" w:hAnsi="Arial" w:cs="Arial" w:hint="eastAsia"/>
                <w:sz w:val="18"/>
                <w:szCs w:val="18"/>
              </w:rPr>
              <w:t>广场（中关村店）、</w:t>
            </w:r>
            <w:r w:rsidRPr="00F21B5D">
              <w:rPr>
                <w:rFonts w:ascii="Arial" w:eastAsia="仿宋_GB2312" w:hAnsi="Arial" w:cs="Arial" w:hint="eastAsia"/>
                <w:sz w:val="18"/>
                <w:szCs w:val="18"/>
              </w:rPr>
              <w:t>BHG MALL</w:t>
            </w:r>
            <w:r w:rsidRPr="00F21B5D">
              <w:rPr>
                <w:rFonts w:ascii="Arial" w:eastAsia="仿宋_GB2312" w:hAnsi="Arial" w:cs="Arial" w:hint="eastAsia"/>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256" w:type="pct"/>
            <w:shd w:val="clear" w:color="auto" w:fill="auto"/>
            <w:vAlign w:val="center"/>
            <w:hideMark/>
          </w:tcPr>
          <w:p w14:paraId="3AFB377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528BAA4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购物场所（新中关购物中心、</w:t>
            </w:r>
            <w:proofErr w:type="gramStart"/>
            <w:r w:rsidRPr="00F21B5D">
              <w:rPr>
                <w:rFonts w:ascii="Arial" w:eastAsia="仿宋_GB2312" w:hAnsi="Arial" w:cs="Arial" w:hint="eastAsia"/>
                <w:sz w:val="18"/>
                <w:szCs w:val="18"/>
              </w:rPr>
              <w:t>领展购物</w:t>
            </w:r>
            <w:proofErr w:type="gramEnd"/>
            <w:r w:rsidRPr="00F21B5D">
              <w:rPr>
                <w:rFonts w:ascii="Arial" w:eastAsia="仿宋_GB2312" w:hAnsi="Arial" w:cs="Arial" w:hint="eastAsia"/>
                <w:sz w:val="18"/>
                <w:szCs w:val="18"/>
              </w:rPr>
              <w:t>广场（中关村店）、</w:t>
            </w:r>
            <w:r w:rsidRPr="00F21B5D">
              <w:rPr>
                <w:rFonts w:ascii="Arial" w:eastAsia="仿宋_GB2312" w:hAnsi="Arial" w:cs="Arial" w:hint="eastAsia"/>
                <w:sz w:val="18"/>
                <w:szCs w:val="18"/>
              </w:rPr>
              <w:t>BHG MALL</w:t>
            </w:r>
            <w:r w:rsidRPr="00F21B5D">
              <w:rPr>
                <w:rFonts w:ascii="Arial" w:eastAsia="仿宋_GB2312" w:hAnsi="Arial" w:cs="Arial" w:hint="eastAsia"/>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321" w:type="pct"/>
            <w:shd w:val="clear" w:color="auto" w:fill="auto"/>
            <w:vAlign w:val="center"/>
            <w:hideMark/>
          </w:tcPr>
          <w:p w14:paraId="5310E5D2"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69" w:type="pct"/>
            <w:shd w:val="clear" w:color="auto" w:fill="auto"/>
            <w:vAlign w:val="center"/>
            <w:hideMark/>
          </w:tcPr>
          <w:p w14:paraId="4A4D9CAE" w14:textId="77777777" w:rsidR="00914E90" w:rsidRPr="00F631FB" w:rsidRDefault="00914E90" w:rsidP="008B444E">
            <w:pPr>
              <w:jc w:val="center"/>
              <w:rPr>
                <w:rFonts w:ascii="Arial" w:eastAsia="仿宋_GB2312" w:hAnsi="Arial" w:cs="Arial"/>
                <w:sz w:val="18"/>
                <w:szCs w:val="18"/>
              </w:rPr>
            </w:pPr>
            <w:r w:rsidRPr="00F21B5D">
              <w:rPr>
                <w:rFonts w:ascii="Arial" w:eastAsia="仿宋_GB2312" w:hAnsi="Arial" w:cs="Arial" w:hint="eastAsia"/>
                <w:sz w:val="18"/>
                <w:szCs w:val="18"/>
              </w:rPr>
              <w:t>购物场所（新中关购物中心、</w:t>
            </w:r>
            <w:proofErr w:type="gramStart"/>
            <w:r w:rsidRPr="00F21B5D">
              <w:rPr>
                <w:rFonts w:ascii="Arial" w:eastAsia="仿宋_GB2312" w:hAnsi="Arial" w:cs="Arial" w:hint="eastAsia"/>
                <w:sz w:val="18"/>
                <w:szCs w:val="18"/>
              </w:rPr>
              <w:t>领展购物</w:t>
            </w:r>
            <w:proofErr w:type="gramEnd"/>
            <w:r w:rsidRPr="00F21B5D">
              <w:rPr>
                <w:rFonts w:ascii="Arial" w:eastAsia="仿宋_GB2312" w:hAnsi="Arial" w:cs="Arial" w:hint="eastAsia"/>
                <w:sz w:val="18"/>
                <w:szCs w:val="18"/>
              </w:rPr>
              <w:t>广场（中关村店）、</w:t>
            </w:r>
            <w:r w:rsidRPr="00F21B5D">
              <w:rPr>
                <w:rFonts w:ascii="Arial" w:eastAsia="仿宋_GB2312" w:hAnsi="Arial" w:cs="Arial" w:hint="eastAsia"/>
                <w:sz w:val="18"/>
                <w:szCs w:val="18"/>
              </w:rPr>
              <w:t>BHG MALL</w:t>
            </w:r>
            <w:r w:rsidRPr="00F21B5D">
              <w:rPr>
                <w:rFonts w:ascii="Arial" w:eastAsia="仿宋_GB2312" w:hAnsi="Arial" w:cs="Arial" w:hint="eastAsia"/>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321" w:type="pct"/>
            <w:shd w:val="clear" w:color="auto" w:fill="auto"/>
            <w:vAlign w:val="center"/>
            <w:hideMark/>
          </w:tcPr>
          <w:p w14:paraId="1E808E9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70" w:type="pct"/>
            <w:shd w:val="clear" w:color="auto" w:fill="auto"/>
            <w:vAlign w:val="center"/>
            <w:hideMark/>
          </w:tcPr>
          <w:p w14:paraId="44E9EB8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购物场所（新中关购物中心、</w:t>
            </w:r>
            <w:proofErr w:type="gramStart"/>
            <w:r w:rsidRPr="00F21B5D">
              <w:rPr>
                <w:rFonts w:ascii="Arial" w:eastAsia="仿宋_GB2312" w:hAnsi="Arial" w:cs="Arial" w:hint="eastAsia"/>
                <w:sz w:val="18"/>
                <w:szCs w:val="18"/>
              </w:rPr>
              <w:t>领展购物</w:t>
            </w:r>
            <w:proofErr w:type="gramEnd"/>
            <w:r w:rsidRPr="00F21B5D">
              <w:rPr>
                <w:rFonts w:ascii="Arial" w:eastAsia="仿宋_GB2312" w:hAnsi="Arial" w:cs="Arial" w:hint="eastAsia"/>
                <w:sz w:val="18"/>
                <w:szCs w:val="18"/>
              </w:rPr>
              <w:t>广场（中关村店）、</w:t>
            </w:r>
            <w:r w:rsidRPr="00F21B5D">
              <w:rPr>
                <w:rFonts w:ascii="Arial" w:eastAsia="仿宋_GB2312" w:hAnsi="Arial" w:cs="Arial" w:hint="eastAsia"/>
                <w:sz w:val="18"/>
                <w:szCs w:val="18"/>
              </w:rPr>
              <w:t>BHG MALL</w:t>
            </w:r>
            <w:r w:rsidRPr="00F21B5D">
              <w:rPr>
                <w:rFonts w:ascii="Arial" w:eastAsia="仿宋_GB2312" w:hAnsi="Arial" w:cs="Arial" w:hint="eastAsia"/>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320" w:type="pct"/>
            <w:shd w:val="clear" w:color="auto" w:fill="auto"/>
            <w:vAlign w:val="center"/>
            <w:hideMark/>
          </w:tcPr>
          <w:p w14:paraId="5CFC6863"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72457CBD" w14:textId="77777777" w:rsidTr="008B444E">
        <w:trPr>
          <w:trHeight w:val="285"/>
          <w:jc w:val="center"/>
        </w:trPr>
        <w:tc>
          <w:tcPr>
            <w:tcW w:w="174" w:type="pct"/>
            <w:vMerge/>
            <w:vAlign w:val="center"/>
            <w:hideMark/>
          </w:tcPr>
          <w:p w14:paraId="050FB5A8"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46B89B23"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835" w:type="pct"/>
            <w:shd w:val="clear" w:color="auto" w:fill="auto"/>
            <w:vAlign w:val="center"/>
            <w:hideMark/>
          </w:tcPr>
          <w:p w14:paraId="332474E4"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56" w:type="pct"/>
            <w:shd w:val="clear" w:color="auto" w:fill="auto"/>
            <w:vAlign w:val="center"/>
            <w:hideMark/>
          </w:tcPr>
          <w:p w14:paraId="18A52D3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13C551E8"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321" w:type="pct"/>
            <w:shd w:val="clear" w:color="auto" w:fill="auto"/>
            <w:vAlign w:val="center"/>
            <w:hideMark/>
          </w:tcPr>
          <w:p w14:paraId="13E3F578"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2B4CBB4F"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321" w:type="pct"/>
            <w:shd w:val="clear" w:color="auto" w:fill="auto"/>
            <w:vAlign w:val="center"/>
            <w:hideMark/>
          </w:tcPr>
          <w:p w14:paraId="39BAA0D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47B8209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320" w:type="pct"/>
            <w:shd w:val="clear" w:color="auto" w:fill="auto"/>
            <w:vAlign w:val="center"/>
            <w:hideMark/>
          </w:tcPr>
          <w:p w14:paraId="7DC7BA5D"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2E60D10C" w14:textId="77777777" w:rsidTr="008B444E">
        <w:trPr>
          <w:trHeight w:val="151"/>
          <w:jc w:val="center"/>
        </w:trPr>
        <w:tc>
          <w:tcPr>
            <w:tcW w:w="174" w:type="pct"/>
            <w:vMerge/>
            <w:vAlign w:val="center"/>
            <w:hideMark/>
          </w:tcPr>
          <w:p w14:paraId="6ECF61B5"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24E4511F"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w:t>
            </w:r>
          </w:p>
        </w:tc>
        <w:tc>
          <w:tcPr>
            <w:tcW w:w="835" w:type="pct"/>
            <w:shd w:val="clear" w:color="auto" w:fill="auto"/>
            <w:vAlign w:val="center"/>
            <w:hideMark/>
          </w:tcPr>
          <w:p w14:paraId="6608C92F"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周边</w:t>
            </w:r>
            <w:r w:rsidRPr="00476804">
              <w:rPr>
                <w:rFonts w:ascii="Arial" w:eastAsia="仿宋_GB2312" w:hAnsi="Arial" w:cs="Arial" w:hint="eastAsia"/>
                <w:sz w:val="18"/>
                <w:szCs w:val="18"/>
              </w:rPr>
              <w:t>2</w:t>
            </w:r>
            <w:r w:rsidRPr="00476804">
              <w:rPr>
                <w:rFonts w:ascii="Arial" w:eastAsia="仿宋_GB2312" w:hAnsi="Arial" w:cs="Arial" w:hint="eastAsia"/>
                <w:sz w:val="18"/>
                <w:szCs w:val="18"/>
              </w:rPr>
              <w:t>公里内有海淀公园、知春公园、</w:t>
            </w:r>
            <w:proofErr w:type="gramStart"/>
            <w:r w:rsidRPr="00476804">
              <w:rPr>
                <w:rFonts w:ascii="Arial" w:eastAsia="仿宋_GB2312" w:hAnsi="Arial" w:cs="Arial" w:hint="eastAsia"/>
                <w:sz w:val="18"/>
                <w:szCs w:val="18"/>
              </w:rPr>
              <w:t>巴沟山水园</w:t>
            </w:r>
            <w:proofErr w:type="gramEnd"/>
            <w:r w:rsidRPr="00476804">
              <w:rPr>
                <w:rFonts w:ascii="Arial" w:eastAsia="仿宋_GB2312" w:hAnsi="Arial" w:cs="Arial" w:hint="eastAsia"/>
                <w:sz w:val="18"/>
                <w:szCs w:val="18"/>
              </w:rPr>
              <w:t>等；中国人民大学、北京大学等人文设施，综合考</w:t>
            </w:r>
            <w:r w:rsidRPr="00476804">
              <w:rPr>
                <w:rFonts w:ascii="Arial" w:eastAsia="仿宋_GB2312" w:hAnsi="Arial" w:cs="Arial" w:hint="eastAsia"/>
                <w:sz w:val="18"/>
                <w:szCs w:val="18"/>
              </w:rPr>
              <w:lastRenderedPageBreak/>
              <w:t>虑自然环境与人文环境较好。</w:t>
            </w:r>
          </w:p>
        </w:tc>
        <w:tc>
          <w:tcPr>
            <w:tcW w:w="256" w:type="pct"/>
            <w:shd w:val="clear" w:color="auto" w:fill="auto"/>
            <w:vAlign w:val="center"/>
            <w:hideMark/>
          </w:tcPr>
          <w:p w14:paraId="7A1AEF6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lastRenderedPageBreak/>
              <w:t>100</w:t>
            </w:r>
          </w:p>
        </w:tc>
        <w:tc>
          <w:tcPr>
            <w:tcW w:w="769" w:type="pct"/>
            <w:shd w:val="clear" w:color="auto" w:fill="auto"/>
            <w:vAlign w:val="center"/>
            <w:hideMark/>
          </w:tcPr>
          <w:p w14:paraId="765E5E3C"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周边</w:t>
            </w:r>
            <w:r w:rsidRPr="00476804">
              <w:rPr>
                <w:rFonts w:ascii="Arial" w:eastAsia="仿宋_GB2312" w:hAnsi="Arial" w:cs="Arial" w:hint="eastAsia"/>
                <w:sz w:val="18"/>
                <w:szCs w:val="18"/>
              </w:rPr>
              <w:t>2</w:t>
            </w:r>
            <w:r w:rsidRPr="00476804">
              <w:rPr>
                <w:rFonts w:ascii="Arial" w:eastAsia="仿宋_GB2312" w:hAnsi="Arial" w:cs="Arial" w:hint="eastAsia"/>
                <w:sz w:val="18"/>
                <w:szCs w:val="18"/>
              </w:rPr>
              <w:t>公里内有海淀公园、知春公园、</w:t>
            </w:r>
            <w:proofErr w:type="gramStart"/>
            <w:r w:rsidRPr="00476804">
              <w:rPr>
                <w:rFonts w:ascii="Arial" w:eastAsia="仿宋_GB2312" w:hAnsi="Arial" w:cs="Arial" w:hint="eastAsia"/>
                <w:sz w:val="18"/>
                <w:szCs w:val="18"/>
              </w:rPr>
              <w:t>巴沟山水园</w:t>
            </w:r>
            <w:proofErr w:type="gramEnd"/>
            <w:r w:rsidRPr="00476804">
              <w:rPr>
                <w:rFonts w:ascii="Arial" w:eastAsia="仿宋_GB2312" w:hAnsi="Arial" w:cs="Arial" w:hint="eastAsia"/>
                <w:sz w:val="18"/>
                <w:szCs w:val="18"/>
              </w:rPr>
              <w:t>等；中国人民大学、北京大学等人文设施，综合考虑</w:t>
            </w:r>
            <w:r w:rsidRPr="00476804">
              <w:rPr>
                <w:rFonts w:ascii="Arial" w:eastAsia="仿宋_GB2312" w:hAnsi="Arial" w:cs="Arial" w:hint="eastAsia"/>
                <w:sz w:val="18"/>
                <w:szCs w:val="18"/>
              </w:rPr>
              <w:lastRenderedPageBreak/>
              <w:t>自然环境与人文环境较好。</w:t>
            </w:r>
          </w:p>
        </w:tc>
        <w:tc>
          <w:tcPr>
            <w:tcW w:w="321" w:type="pct"/>
            <w:shd w:val="clear" w:color="auto" w:fill="auto"/>
            <w:vAlign w:val="center"/>
            <w:hideMark/>
          </w:tcPr>
          <w:p w14:paraId="1D5229B2"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lastRenderedPageBreak/>
              <w:t>100</w:t>
            </w:r>
          </w:p>
        </w:tc>
        <w:tc>
          <w:tcPr>
            <w:tcW w:w="769" w:type="pct"/>
            <w:shd w:val="clear" w:color="auto" w:fill="auto"/>
            <w:vAlign w:val="center"/>
            <w:hideMark/>
          </w:tcPr>
          <w:p w14:paraId="74165BE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周边</w:t>
            </w:r>
            <w:r w:rsidRPr="00476804">
              <w:rPr>
                <w:rFonts w:ascii="Arial" w:eastAsia="仿宋_GB2312" w:hAnsi="Arial" w:cs="Arial" w:hint="eastAsia"/>
                <w:sz w:val="18"/>
                <w:szCs w:val="18"/>
              </w:rPr>
              <w:t>2</w:t>
            </w:r>
            <w:r w:rsidRPr="00476804">
              <w:rPr>
                <w:rFonts w:ascii="Arial" w:eastAsia="仿宋_GB2312" w:hAnsi="Arial" w:cs="Arial" w:hint="eastAsia"/>
                <w:sz w:val="18"/>
                <w:szCs w:val="18"/>
              </w:rPr>
              <w:t>公里内有海淀公园、知春公园、</w:t>
            </w:r>
            <w:proofErr w:type="gramStart"/>
            <w:r w:rsidRPr="00476804">
              <w:rPr>
                <w:rFonts w:ascii="Arial" w:eastAsia="仿宋_GB2312" w:hAnsi="Arial" w:cs="Arial" w:hint="eastAsia"/>
                <w:sz w:val="18"/>
                <w:szCs w:val="18"/>
              </w:rPr>
              <w:t>巴沟山水园</w:t>
            </w:r>
            <w:proofErr w:type="gramEnd"/>
            <w:r w:rsidRPr="00476804">
              <w:rPr>
                <w:rFonts w:ascii="Arial" w:eastAsia="仿宋_GB2312" w:hAnsi="Arial" w:cs="Arial" w:hint="eastAsia"/>
                <w:sz w:val="18"/>
                <w:szCs w:val="18"/>
              </w:rPr>
              <w:t>等；中国人民大学、北京大学等人文设施，综合考虑</w:t>
            </w:r>
            <w:r w:rsidRPr="00476804">
              <w:rPr>
                <w:rFonts w:ascii="Arial" w:eastAsia="仿宋_GB2312" w:hAnsi="Arial" w:cs="Arial" w:hint="eastAsia"/>
                <w:sz w:val="18"/>
                <w:szCs w:val="18"/>
              </w:rPr>
              <w:lastRenderedPageBreak/>
              <w:t>自然环境与人文环境较好。</w:t>
            </w:r>
          </w:p>
        </w:tc>
        <w:tc>
          <w:tcPr>
            <w:tcW w:w="321" w:type="pct"/>
            <w:shd w:val="clear" w:color="auto" w:fill="auto"/>
            <w:vAlign w:val="center"/>
            <w:hideMark/>
          </w:tcPr>
          <w:p w14:paraId="18D1207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lastRenderedPageBreak/>
              <w:t>100</w:t>
            </w:r>
          </w:p>
        </w:tc>
        <w:tc>
          <w:tcPr>
            <w:tcW w:w="770" w:type="pct"/>
            <w:shd w:val="clear" w:color="auto" w:fill="auto"/>
            <w:vAlign w:val="center"/>
            <w:hideMark/>
          </w:tcPr>
          <w:p w14:paraId="29D6290D"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周边</w:t>
            </w:r>
            <w:r w:rsidRPr="00476804">
              <w:rPr>
                <w:rFonts w:ascii="Arial" w:eastAsia="仿宋_GB2312" w:hAnsi="Arial" w:cs="Arial" w:hint="eastAsia"/>
                <w:sz w:val="18"/>
                <w:szCs w:val="18"/>
              </w:rPr>
              <w:t>2</w:t>
            </w:r>
            <w:r w:rsidRPr="00476804">
              <w:rPr>
                <w:rFonts w:ascii="Arial" w:eastAsia="仿宋_GB2312" w:hAnsi="Arial" w:cs="Arial" w:hint="eastAsia"/>
                <w:sz w:val="18"/>
                <w:szCs w:val="18"/>
              </w:rPr>
              <w:t>公里内有海淀公园、知春公园、</w:t>
            </w:r>
            <w:proofErr w:type="gramStart"/>
            <w:r w:rsidRPr="00476804">
              <w:rPr>
                <w:rFonts w:ascii="Arial" w:eastAsia="仿宋_GB2312" w:hAnsi="Arial" w:cs="Arial" w:hint="eastAsia"/>
                <w:sz w:val="18"/>
                <w:szCs w:val="18"/>
              </w:rPr>
              <w:t>巴沟山水园</w:t>
            </w:r>
            <w:proofErr w:type="gramEnd"/>
            <w:r w:rsidRPr="00476804">
              <w:rPr>
                <w:rFonts w:ascii="Arial" w:eastAsia="仿宋_GB2312" w:hAnsi="Arial" w:cs="Arial" w:hint="eastAsia"/>
                <w:sz w:val="18"/>
                <w:szCs w:val="18"/>
              </w:rPr>
              <w:t>等；中国人民大学、北京大学等人文设施，综合考虑</w:t>
            </w:r>
            <w:r w:rsidRPr="00476804">
              <w:rPr>
                <w:rFonts w:ascii="Arial" w:eastAsia="仿宋_GB2312" w:hAnsi="Arial" w:cs="Arial" w:hint="eastAsia"/>
                <w:sz w:val="18"/>
                <w:szCs w:val="18"/>
              </w:rPr>
              <w:lastRenderedPageBreak/>
              <w:t>自然环境与人文环境较好。</w:t>
            </w:r>
          </w:p>
        </w:tc>
        <w:tc>
          <w:tcPr>
            <w:tcW w:w="320" w:type="pct"/>
            <w:shd w:val="clear" w:color="auto" w:fill="auto"/>
            <w:vAlign w:val="center"/>
            <w:hideMark/>
          </w:tcPr>
          <w:p w14:paraId="17F1B2B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lastRenderedPageBreak/>
              <w:t>100</w:t>
            </w:r>
          </w:p>
        </w:tc>
      </w:tr>
      <w:tr w:rsidR="00914E90" w:rsidRPr="00F631FB" w14:paraId="057B92ED" w14:textId="77777777" w:rsidTr="008B444E">
        <w:trPr>
          <w:trHeight w:val="285"/>
          <w:jc w:val="center"/>
        </w:trPr>
        <w:tc>
          <w:tcPr>
            <w:tcW w:w="174" w:type="pct"/>
            <w:vMerge/>
            <w:vAlign w:val="center"/>
            <w:hideMark/>
          </w:tcPr>
          <w:p w14:paraId="53407B4C"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6BC6E674"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道路级别</w:t>
            </w:r>
          </w:p>
        </w:tc>
        <w:tc>
          <w:tcPr>
            <w:tcW w:w="835" w:type="pct"/>
            <w:shd w:val="clear" w:color="auto" w:fill="auto"/>
            <w:vAlign w:val="center"/>
            <w:hideMark/>
          </w:tcPr>
          <w:p w14:paraId="4883D3CC" w14:textId="5621429E"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城市主干道</w:t>
            </w:r>
            <w:r w:rsidRPr="00476804">
              <w:rPr>
                <w:rFonts w:ascii="Arial" w:eastAsia="仿宋_GB2312" w:hAnsi="Arial" w:cs="Arial" w:hint="eastAsia"/>
                <w:sz w:val="18"/>
                <w:szCs w:val="18"/>
              </w:rPr>
              <w:t>-</w:t>
            </w:r>
            <w:r w:rsidRPr="00476804">
              <w:rPr>
                <w:rFonts w:ascii="Arial" w:eastAsia="仿宋_GB2312" w:hAnsi="Arial" w:cs="Arial" w:hint="eastAsia"/>
                <w:sz w:val="18"/>
                <w:szCs w:val="18"/>
              </w:rPr>
              <w:t>海淀南路</w:t>
            </w:r>
          </w:p>
        </w:tc>
        <w:tc>
          <w:tcPr>
            <w:tcW w:w="256" w:type="pct"/>
            <w:shd w:val="clear" w:color="auto" w:fill="auto"/>
            <w:vAlign w:val="center"/>
            <w:hideMark/>
          </w:tcPr>
          <w:p w14:paraId="0461031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18BF615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城市主干道</w:t>
            </w:r>
            <w:r w:rsidRPr="00476804">
              <w:rPr>
                <w:rFonts w:ascii="Arial" w:eastAsia="仿宋_GB2312" w:hAnsi="Arial" w:cs="Arial" w:hint="eastAsia"/>
                <w:sz w:val="18"/>
                <w:szCs w:val="18"/>
              </w:rPr>
              <w:t>-</w:t>
            </w:r>
            <w:r w:rsidRPr="00476804">
              <w:rPr>
                <w:rFonts w:ascii="Arial" w:eastAsia="仿宋_GB2312" w:hAnsi="Arial" w:cs="Arial" w:hint="eastAsia"/>
                <w:sz w:val="18"/>
                <w:szCs w:val="18"/>
              </w:rPr>
              <w:t>海淀南路</w:t>
            </w:r>
          </w:p>
        </w:tc>
        <w:tc>
          <w:tcPr>
            <w:tcW w:w="321" w:type="pct"/>
            <w:shd w:val="clear" w:color="auto" w:fill="auto"/>
            <w:vAlign w:val="center"/>
            <w:hideMark/>
          </w:tcPr>
          <w:p w14:paraId="010723D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09F7075D"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城市主干道</w:t>
            </w:r>
            <w:r w:rsidRPr="00476804">
              <w:rPr>
                <w:rFonts w:ascii="Arial" w:eastAsia="仿宋_GB2312" w:hAnsi="Arial" w:cs="Arial" w:hint="eastAsia"/>
                <w:sz w:val="18"/>
                <w:szCs w:val="18"/>
              </w:rPr>
              <w:t>-</w:t>
            </w:r>
            <w:r w:rsidRPr="00476804">
              <w:rPr>
                <w:rFonts w:ascii="Arial" w:eastAsia="仿宋_GB2312" w:hAnsi="Arial" w:cs="Arial" w:hint="eastAsia"/>
                <w:sz w:val="18"/>
                <w:szCs w:val="18"/>
              </w:rPr>
              <w:t>海淀南路</w:t>
            </w:r>
          </w:p>
        </w:tc>
        <w:tc>
          <w:tcPr>
            <w:tcW w:w="321" w:type="pct"/>
            <w:shd w:val="clear" w:color="auto" w:fill="auto"/>
            <w:vAlign w:val="center"/>
            <w:hideMark/>
          </w:tcPr>
          <w:p w14:paraId="64E231D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549F974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城市主干道</w:t>
            </w:r>
            <w:r w:rsidRPr="00476804">
              <w:rPr>
                <w:rFonts w:ascii="Arial" w:eastAsia="仿宋_GB2312" w:hAnsi="Arial" w:cs="Arial" w:hint="eastAsia"/>
                <w:sz w:val="18"/>
                <w:szCs w:val="18"/>
              </w:rPr>
              <w:t>-</w:t>
            </w:r>
            <w:r w:rsidRPr="00476804">
              <w:rPr>
                <w:rFonts w:ascii="Arial" w:eastAsia="仿宋_GB2312" w:hAnsi="Arial" w:cs="Arial" w:hint="eastAsia"/>
                <w:sz w:val="18"/>
                <w:szCs w:val="18"/>
              </w:rPr>
              <w:t>海淀南路</w:t>
            </w:r>
          </w:p>
        </w:tc>
        <w:tc>
          <w:tcPr>
            <w:tcW w:w="320" w:type="pct"/>
            <w:shd w:val="clear" w:color="auto" w:fill="auto"/>
            <w:vAlign w:val="center"/>
            <w:hideMark/>
          </w:tcPr>
          <w:p w14:paraId="097C6D5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2954E56A" w14:textId="77777777" w:rsidTr="008B444E">
        <w:trPr>
          <w:trHeight w:val="540"/>
          <w:jc w:val="center"/>
        </w:trPr>
        <w:tc>
          <w:tcPr>
            <w:tcW w:w="174" w:type="pct"/>
            <w:vMerge w:val="restart"/>
            <w:shd w:val="clear" w:color="auto" w:fill="auto"/>
            <w:vAlign w:val="center"/>
            <w:hideMark/>
          </w:tcPr>
          <w:p w14:paraId="70C04C4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465" w:type="pct"/>
            <w:shd w:val="clear" w:color="auto" w:fill="auto"/>
            <w:noWrap/>
            <w:vAlign w:val="center"/>
            <w:hideMark/>
          </w:tcPr>
          <w:p w14:paraId="1C3B8395"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建筑类型</w:t>
            </w:r>
          </w:p>
        </w:tc>
        <w:tc>
          <w:tcPr>
            <w:tcW w:w="835" w:type="pct"/>
            <w:shd w:val="clear" w:color="auto" w:fill="auto"/>
            <w:vAlign w:val="center"/>
            <w:hideMark/>
          </w:tcPr>
          <w:p w14:paraId="3233B6BC"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256" w:type="pct"/>
            <w:shd w:val="clear" w:color="auto" w:fill="auto"/>
            <w:vAlign w:val="center"/>
            <w:hideMark/>
          </w:tcPr>
          <w:p w14:paraId="04F6085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6DAAB45D"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小高层板楼</w:t>
            </w:r>
          </w:p>
        </w:tc>
        <w:tc>
          <w:tcPr>
            <w:tcW w:w="321" w:type="pct"/>
            <w:shd w:val="clear" w:color="auto" w:fill="auto"/>
            <w:vAlign w:val="center"/>
            <w:hideMark/>
          </w:tcPr>
          <w:p w14:paraId="48D64DEB" w14:textId="2243E020"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sidR="00AD6D80">
              <w:rPr>
                <w:rFonts w:ascii="Arial" w:eastAsia="仿宋_GB2312" w:hAnsi="Arial" w:cs="Arial"/>
                <w:sz w:val="18"/>
                <w:szCs w:val="18"/>
              </w:rPr>
              <w:t>5</w:t>
            </w:r>
          </w:p>
        </w:tc>
        <w:tc>
          <w:tcPr>
            <w:tcW w:w="769" w:type="pct"/>
            <w:shd w:val="clear" w:color="auto" w:fill="auto"/>
            <w:vAlign w:val="center"/>
            <w:hideMark/>
          </w:tcPr>
          <w:p w14:paraId="60780D35"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小高层板楼</w:t>
            </w:r>
          </w:p>
        </w:tc>
        <w:tc>
          <w:tcPr>
            <w:tcW w:w="321" w:type="pct"/>
            <w:shd w:val="clear" w:color="auto" w:fill="auto"/>
            <w:vAlign w:val="center"/>
            <w:hideMark/>
          </w:tcPr>
          <w:p w14:paraId="789F861D" w14:textId="304F1352"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sidR="00AD6D80">
              <w:rPr>
                <w:rFonts w:ascii="Arial" w:eastAsia="仿宋_GB2312" w:hAnsi="Arial" w:cs="Arial"/>
                <w:sz w:val="18"/>
                <w:szCs w:val="18"/>
              </w:rPr>
              <w:t>5</w:t>
            </w:r>
          </w:p>
        </w:tc>
        <w:tc>
          <w:tcPr>
            <w:tcW w:w="770" w:type="pct"/>
            <w:shd w:val="clear" w:color="auto" w:fill="auto"/>
            <w:vAlign w:val="center"/>
            <w:hideMark/>
          </w:tcPr>
          <w:p w14:paraId="1AE8FAE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小高层板楼</w:t>
            </w:r>
          </w:p>
        </w:tc>
        <w:tc>
          <w:tcPr>
            <w:tcW w:w="320" w:type="pct"/>
            <w:shd w:val="clear" w:color="auto" w:fill="auto"/>
            <w:vAlign w:val="center"/>
            <w:hideMark/>
          </w:tcPr>
          <w:p w14:paraId="76EE26D6" w14:textId="2936E3F1"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sidR="00AD6D80">
              <w:rPr>
                <w:rFonts w:ascii="Arial" w:eastAsia="仿宋_GB2312" w:hAnsi="Arial" w:cs="Arial"/>
                <w:sz w:val="18"/>
                <w:szCs w:val="18"/>
              </w:rPr>
              <w:t>5</w:t>
            </w:r>
          </w:p>
        </w:tc>
      </w:tr>
      <w:tr w:rsidR="00760DF6" w:rsidRPr="00F631FB" w14:paraId="5FD9C25C" w14:textId="77777777" w:rsidTr="008B444E">
        <w:trPr>
          <w:trHeight w:val="540"/>
          <w:jc w:val="center"/>
        </w:trPr>
        <w:tc>
          <w:tcPr>
            <w:tcW w:w="174" w:type="pct"/>
            <w:vMerge/>
            <w:shd w:val="clear" w:color="auto" w:fill="auto"/>
            <w:vAlign w:val="center"/>
          </w:tcPr>
          <w:p w14:paraId="65D2922D" w14:textId="77777777" w:rsidR="00760DF6" w:rsidRPr="00F631FB" w:rsidRDefault="00760DF6" w:rsidP="008B444E">
            <w:pPr>
              <w:widowControl/>
              <w:adjustRightInd/>
              <w:spacing w:line="240" w:lineRule="auto"/>
              <w:jc w:val="center"/>
              <w:textAlignment w:val="auto"/>
              <w:rPr>
                <w:rFonts w:ascii="Arial" w:eastAsia="仿宋_GB2312" w:hAnsi="Arial" w:cs="Arial"/>
                <w:sz w:val="18"/>
                <w:szCs w:val="18"/>
              </w:rPr>
            </w:pPr>
          </w:p>
        </w:tc>
        <w:tc>
          <w:tcPr>
            <w:tcW w:w="465" w:type="pct"/>
            <w:shd w:val="clear" w:color="auto" w:fill="auto"/>
            <w:noWrap/>
            <w:vAlign w:val="center"/>
          </w:tcPr>
          <w:p w14:paraId="415DED7A" w14:textId="77777777" w:rsidR="00760DF6" w:rsidRDefault="00760DF6"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套均面积</w:t>
            </w:r>
          </w:p>
          <w:p w14:paraId="5A3EA602" w14:textId="47562D75" w:rsidR="00B31BBA" w:rsidRPr="00F631FB" w:rsidRDefault="00B31BBA"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（平方米）</w:t>
            </w:r>
          </w:p>
        </w:tc>
        <w:tc>
          <w:tcPr>
            <w:tcW w:w="835" w:type="pct"/>
            <w:shd w:val="clear" w:color="auto" w:fill="auto"/>
            <w:vAlign w:val="center"/>
          </w:tcPr>
          <w:p w14:paraId="30737684" w14:textId="3B32DC71" w:rsidR="00760DF6" w:rsidRDefault="00936837"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7</w:t>
            </w:r>
            <w:r w:rsidR="00760DF6">
              <w:rPr>
                <w:rFonts w:ascii="Arial" w:eastAsia="仿宋_GB2312" w:hAnsi="Arial" w:cs="Arial"/>
                <w:sz w:val="18"/>
                <w:szCs w:val="18"/>
              </w:rPr>
              <w:t>0-90</w:t>
            </w:r>
          </w:p>
        </w:tc>
        <w:tc>
          <w:tcPr>
            <w:tcW w:w="256" w:type="pct"/>
            <w:shd w:val="clear" w:color="auto" w:fill="auto"/>
            <w:vAlign w:val="center"/>
          </w:tcPr>
          <w:p w14:paraId="58966CFC" w14:textId="23F8F6D7" w:rsidR="00760DF6" w:rsidRPr="00F631FB" w:rsidRDefault="00760DF6"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769" w:type="pct"/>
            <w:shd w:val="clear" w:color="auto" w:fill="auto"/>
            <w:vAlign w:val="center"/>
          </w:tcPr>
          <w:p w14:paraId="1DDFE0E2" w14:textId="0B8AE844" w:rsidR="00760DF6" w:rsidRPr="00F631FB" w:rsidRDefault="00DC3FE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40.3</w:t>
            </w:r>
          </w:p>
        </w:tc>
        <w:tc>
          <w:tcPr>
            <w:tcW w:w="321" w:type="pct"/>
            <w:shd w:val="clear" w:color="auto" w:fill="auto"/>
            <w:vAlign w:val="center"/>
          </w:tcPr>
          <w:p w14:paraId="30C2EFB5" w14:textId="20006E70" w:rsidR="00760DF6" w:rsidRDefault="00AD6D8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105</w:t>
            </w:r>
          </w:p>
        </w:tc>
        <w:tc>
          <w:tcPr>
            <w:tcW w:w="769" w:type="pct"/>
            <w:shd w:val="clear" w:color="auto" w:fill="auto"/>
            <w:vAlign w:val="center"/>
          </w:tcPr>
          <w:p w14:paraId="4172AFAC" w14:textId="5A6E7CEB" w:rsidR="00760DF6" w:rsidRPr="00F631FB" w:rsidRDefault="00DC3FE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75.08</w:t>
            </w:r>
          </w:p>
        </w:tc>
        <w:tc>
          <w:tcPr>
            <w:tcW w:w="321" w:type="pct"/>
            <w:shd w:val="clear" w:color="auto" w:fill="auto"/>
            <w:vAlign w:val="center"/>
          </w:tcPr>
          <w:p w14:paraId="67CA26CF" w14:textId="55135C5E" w:rsidR="00760DF6" w:rsidRDefault="00760DF6"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770" w:type="pct"/>
            <w:shd w:val="clear" w:color="auto" w:fill="auto"/>
            <w:vAlign w:val="center"/>
          </w:tcPr>
          <w:p w14:paraId="513FBE6C" w14:textId="25CD7993" w:rsidR="00760DF6" w:rsidRPr="00F631FB" w:rsidRDefault="00DC3FE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40.3</w:t>
            </w:r>
          </w:p>
        </w:tc>
        <w:tc>
          <w:tcPr>
            <w:tcW w:w="320" w:type="pct"/>
            <w:shd w:val="clear" w:color="auto" w:fill="auto"/>
            <w:vAlign w:val="center"/>
          </w:tcPr>
          <w:p w14:paraId="15790C4E" w14:textId="07B2D9ED" w:rsidR="00760DF6" w:rsidRDefault="00AD6D8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105</w:t>
            </w:r>
          </w:p>
        </w:tc>
      </w:tr>
      <w:tr w:rsidR="00914E90" w:rsidRPr="00F631FB" w14:paraId="181DC7C5" w14:textId="77777777" w:rsidTr="008B444E">
        <w:trPr>
          <w:trHeight w:val="285"/>
          <w:jc w:val="center"/>
        </w:trPr>
        <w:tc>
          <w:tcPr>
            <w:tcW w:w="174" w:type="pct"/>
            <w:vMerge/>
            <w:vAlign w:val="center"/>
            <w:hideMark/>
          </w:tcPr>
          <w:p w14:paraId="38F1EF25"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34703DE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建筑结构</w:t>
            </w:r>
          </w:p>
        </w:tc>
        <w:tc>
          <w:tcPr>
            <w:tcW w:w="835" w:type="pct"/>
            <w:shd w:val="clear" w:color="auto" w:fill="auto"/>
            <w:vAlign w:val="center"/>
            <w:hideMark/>
          </w:tcPr>
          <w:p w14:paraId="51038A2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56" w:type="pct"/>
            <w:shd w:val="clear" w:color="auto" w:fill="auto"/>
            <w:vAlign w:val="center"/>
            <w:hideMark/>
          </w:tcPr>
          <w:p w14:paraId="0FD6EB35"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430A143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321" w:type="pct"/>
            <w:shd w:val="clear" w:color="auto" w:fill="auto"/>
            <w:vAlign w:val="center"/>
            <w:hideMark/>
          </w:tcPr>
          <w:p w14:paraId="74B6522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117A89A6"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321" w:type="pct"/>
            <w:shd w:val="clear" w:color="auto" w:fill="auto"/>
            <w:vAlign w:val="center"/>
            <w:hideMark/>
          </w:tcPr>
          <w:p w14:paraId="24FF52F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721D8C6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320" w:type="pct"/>
            <w:shd w:val="clear" w:color="auto" w:fill="auto"/>
            <w:vAlign w:val="center"/>
            <w:hideMark/>
          </w:tcPr>
          <w:p w14:paraId="72A0A66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2DDCB86D" w14:textId="77777777" w:rsidTr="008B444E">
        <w:trPr>
          <w:trHeight w:val="555"/>
          <w:jc w:val="center"/>
        </w:trPr>
        <w:tc>
          <w:tcPr>
            <w:tcW w:w="174" w:type="pct"/>
            <w:vMerge/>
            <w:vAlign w:val="center"/>
            <w:hideMark/>
          </w:tcPr>
          <w:p w14:paraId="49858325"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2204ED3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公共部分装修</w:t>
            </w:r>
          </w:p>
        </w:tc>
        <w:tc>
          <w:tcPr>
            <w:tcW w:w="835" w:type="pct"/>
            <w:shd w:val="clear" w:color="auto" w:fill="auto"/>
            <w:vAlign w:val="center"/>
            <w:hideMark/>
          </w:tcPr>
          <w:p w14:paraId="320D61D3"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256" w:type="pct"/>
            <w:shd w:val="clear" w:color="auto" w:fill="auto"/>
            <w:vAlign w:val="center"/>
            <w:hideMark/>
          </w:tcPr>
          <w:p w14:paraId="466EA562"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1DCB704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321" w:type="pct"/>
            <w:shd w:val="clear" w:color="auto" w:fill="auto"/>
            <w:vAlign w:val="center"/>
            <w:hideMark/>
          </w:tcPr>
          <w:p w14:paraId="209E245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6DE3DB7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321" w:type="pct"/>
            <w:shd w:val="clear" w:color="auto" w:fill="auto"/>
            <w:vAlign w:val="center"/>
            <w:hideMark/>
          </w:tcPr>
          <w:p w14:paraId="59674C3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6AE451C4"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320" w:type="pct"/>
            <w:shd w:val="clear" w:color="auto" w:fill="auto"/>
            <w:vAlign w:val="center"/>
            <w:hideMark/>
          </w:tcPr>
          <w:p w14:paraId="5421C05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6AB03F79" w14:textId="77777777" w:rsidTr="008B444E">
        <w:trPr>
          <w:trHeight w:val="300"/>
          <w:jc w:val="center"/>
        </w:trPr>
        <w:tc>
          <w:tcPr>
            <w:tcW w:w="174" w:type="pct"/>
            <w:vMerge/>
            <w:vAlign w:val="center"/>
            <w:hideMark/>
          </w:tcPr>
          <w:p w14:paraId="079BF9E1"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05CDDCC5"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成新度</w:t>
            </w:r>
          </w:p>
        </w:tc>
        <w:tc>
          <w:tcPr>
            <w:tcW w:w="835" w:type="pct"/>
            <w:shd w:val="clear" w:color="auto" w:fill="auto"/>
            <w:vAlign w:val="center"/>
            <w:hideMark/>
          </w:tcPr>
          <w:p w14:paraId="459B359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256" w:type="pct"/>
            <w:shd w:val="clear" w:color="auto" w:fill="auto"/>
            <w:vAlign w:val="center"/>
            <w:hideMark/>
          </w:tcPr>
          <w:p w14:paraId="6E642C16"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13FC2B5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60</w:t>
            </w:r>
            <w:r w:rsidRPr="00F631FB">
              <w:rPr>
                <w:rFonts w:ascii="Arial" w:eastAsia="仿宋_GB2312" w:hAnsi="Arial" w:cs="Arial"/>
                <w:sz w:val="18"/>
                <w:szCs w:val="18"/>
              </w:rPr>
              <w:t>%</w:t>
            </w:r>
          </w:p>
        </w:tc>
        <w:tc>
          <w:tcPr>
            <w:tcW w:w="321" w:type="pct"/>
            <w:shd w:val="clear" w:color="auto" w:fill="auto"/>
            <w:vAlign w:val="center"/>
            <w:hideMark/>
          </w:tcPr>
          <w:p w14:paraId="4C17C9C7" w14:textId="2EDFE738"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w:t>
            </w:r>
            <w:r w:rsidR="00760DF6">
              <w:rPr>
                <w:rFonts w:ascii="Arial" w:eastAsia="仿宋_GB2312" w:hAnsi="Arial" w:cs="Arial"/>
                <w:sz w:val="18"/>
                <w:szCs w:val="18"/>
              </w:rPr>
              <w:t>7</w:t>
            </w:r>
          </w:p>
        </w:tc>
        <w:tc>
          <w:tcPr>
            <w:tcW w:w="769" w:type="pct"/>
            <w:shd w:val="clear" w:color="auto" w:fill="auto"/>
            <w:vAlign w:val="center"/>
            <w:hideMark/>
          </w:tcPr>
          <w:p w14:paraId="47A4A5F8"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60%</w:t>
            </w:r>
          </w:p>
        </w:tc>
        <w:tc>
          <w:tcPr>
            <w:tcW w:w="321" w:type="pct"/>
            <w:shd w:val="clear" w:color="auto" w:fill="auto"/>
            <w:vAlign w:val="center"/>
            <w:hideMark/>
          </w:tcPr>
          <w:p w14:paraId="127FEA4C" w14:textId="08C98F03" w:rsidR="00914E90" w:rsidRPr="00F631FB" w:rsidRDefault="00760DF6"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Pr>
                <w:rFonts w:ascii="Arial" w:eastAsia="仿宋_GB2312" w:hAnsi="Arial" w:cs="Arial"/>
                <w:sz w:val="18"/>
                <w:szCs w:val="18"/>
              </w:rPr>
              <w:t>7</w:t>
            </w:r>
          </w:p>
        </w:tc>
        <w:tc>
          <w:tcPr>
            <w:tcW w:w="770" w:type="pct"/>
            <w:shd w:val="clear" w:color="auto" w:fill="auto"/>
            <w:vAlign w:val="center"/>
            <w:hideMark/>
          </w:tcPr>
          <w:p w14:paraId="504C18DC"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60%</w:t>
            </w:r>
          </w:p>
        </w:tc>
        <w:tc>
          <w:tcPr>
            <w:tcW w:w="320" w:type="pct"/>
            <w:shd w:val="clear" w:color="auto" w:fill="auto"/>
            <w:vAlign w:val="center"/>
            <w:hideMark/>
          </w:tcPr>
          <w:p w14:paraId="1262930E" w14:textId="51C43331"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w:t>
            </w:r>
            <w:r w:rsidR="00760DF6">
              <w:rPr>
                <w:rFonts w:ascii="Arial" w:eastAsia="仿宋_GB2312" w:hAnsi="Arial" w:cs="Arial"/>
                <w:sz w:val="18"/>
                <w:szCs w:val="18"/>
              </w:rPr>
              <w:t>7</w:t>
            </w:r>
          </w:p>
        </w:tc>
      </w:tr>
      <w:tr w:rsidR="00914E90" w:rsidRPr="00F631FB" w14:paraId="2D6CD53D" w14:textId="77777777" w:rsidTr="008B444E">
        <w:trPr>
          <w:trHeight w:val="540"/>
          <w:jc w:val="center"/>
        </w:trPr>
        <w:tc>
          <w:tcPr>
            <w:tcW w:w="174" w:type="pct"/>
            <w:vMerge/>
            <w:vAlign w:val="center"/>
            <w:hideMark/>
          </w:tcPr>
          <w:p w14:paraId="067FF86D"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766A1D8C"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物业管理</w:t>
            </w:r>
          </w:p>
        </w:tc>
        <w:tc>
          <w:tcPr>
            <w:tcW w:w="835" w:type="pct"/>
            <w:shd w:val="clear" w:color="auto" w:fill="auto"/>
            <w:vAlign w:val="center"/>
            <w:hideMark/>
          </w:tcPr>
          <w:p w14:paraId="5FFC8DA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256" w:type="pct"/>
            <w:shd w:val="clear" w:color="auto" w:fill="auto"/>
            <w:vAlign w:val="center"/>
            <w:hideMark/>
          </w:tcPr>
          <w:p w14:paraId="76D31B0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1BBFDF5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321" w:type="pct"/>
            <w:shd w:val="clear" w:color="auto" w:fill="auto"/>
            <w:vAlign w:val="center"/>
            <w:hideMark/>
          </w:tcPr>
          <w:p w14:paraId="2AE6D3E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745C4EEF"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321" w:type="pct"/>
            <w:shd w:val="clear" w:color="auto" w:fill="auto"/>
            <w:vAlign w:val="center"/>
            <w:hideMark/>
          </w:tcPr>
          <w:p w14:paraId="144D16FF"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6C77E4F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320" w:type="pct"/>
            <w:shd w:val="clear" w:color="auto" w:fill="auto"/>
            <w:vAlign w:val="center"/>
            <w:hideMark/>
          </w:tcPr>
          <w:p w14:paraId="4E97B7A3"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240CC47D" w14:textId="77777777" w:rsidTr="008B444E">
        <w:trPr>
          <w:trHeight w:val="285"/>
          <w:jc w:val="center"/>
        </w:trPr>
        <w:tc>
          <w:tcPr>
            <w:tcW w:w="174" w:type="pct"/>
            <w:vMerge/>
            <w:vAlign w:val="center"/>
            <w:hideMark/>
          </w:tcPr>
          <w:p w14:paraId="433D43A7"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205923E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市政基础设施</w:t>
            </w:r>
          </w:p>
        </w:tc>
        <w:tc>
          <w:tcPr>
            <w:tcW w:w="835" w:type="pct"/>
            <w:shd w:val="clear" w:color="auto" w:fill="auto"/>
            <w:vAlign w:val="center"/>
            <w:hideMark/>
          </w:tcPr>
          <w:p w14:paraId="16C229C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七通</w:t>
            </w:r>
          </w:p>
        </w:tc>
        <w:tc>
          <w:tcPr>
            <w:tcW w:w="256" w:type="pct"/>
            <w:shd w:val="clear" w:color="auto" w:fill="auto"/>
            <w:vAlign w:val="center"/>
            <w:hideMark/>
          </w:tcPr>
          <w:p w14:paraId="31C9BC9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2354CC04"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七通</w:t>
            </w:r>
          </w:p>
        </w:tc>
        <w:tc>
          <w:tcPr>
            <w:tcW w:w="321" w:type="pct"/>
            <w:shd w:val="clear" w:color="auto" w:fill="auto"/>
            <w:vAlign w:val="center"/>
            <w:hideMark/>
          </w:tcPr>
          <w:p w14:paraId="07238328"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786B56D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七通</w:t>
            </w:r>
          </w:p>
        </w:tc>
        <w:tc>
          <w:tcPr>
            <w:tcW w:w="321" w:type="pct"/>
            <w:shd w:val="clear" w:color="auto" w:fill="auto"/>
            <w:vAlign w:val="center"/>
            <w:hideMark/>
          </w:tcPr>
          <w:p w14:paraId="48F06B7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4A57DF4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七通</w:t>
            </w:r>
          </w:p>
        </w:tc>
        <w:tc>
          <w:tcPr>
            <w:tcW w:w="320" w:type="pct"/>
            <w:shd w:val="clear" w:color="auto" w:fill="auto"/>
            <w:vAlign w:val="center"/>
            <w:hideMark/>
          </w:tcPr>
          <w:p w14:paraId="281E0E06"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351166B9" w14:textId="77777777" w:rsidTr="008B444E">
        <w:trPr>
          <w:trHeight w:val="540"/>
          <w:jc w:val="center"/>
        </w:trPr>
        <w:tc>
          <w:tcPr>
            <w:tcW w:w="174" w:type="pct"/>
            <w:vMerge/>
            <w:vAlign w:val="center"/>
            <w:hideMark/>
          </w:tcPr>
          <w:p w14:paraId="18DAADC1"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18487D63"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w:t>
            </w:r>
          </w:p>
        </w:tc>
        <w:tc>
          <w:tcPr>
            <w:tcW w:w="835" w:type="pct"/>
            <w:shd w:val="clear" w:color="auto" w:fill="auto"/>
            <w:vAlign w:val="center"/>
            <w:hideMark/>
          </w:tcPr>
          <w:p w14:paraId="2FFF024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256" w:type="pct"/>
            <w:shd w:val="clear" w:color="auto" w:fill="auto"/>
            <w:vAlign w:val="center"/>
            <w:hideMark/>
          </w:tcPr>
          <w:p w14:paraId="65062F6F"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39569B8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321" w:type="pct"/>
            <w:shd w:val="clear" w:color="auto" w:fill="auto"/>
            <w:vAlign w:val="center"/>
            <w:hideMark/>
          </w:tcPr>
          <w:p w14:paraId="4A995A9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783536CF" w14:textId="7A090001" w:rsidR="00914E90" w:rsidRPr="00F631FB" w:rsidRDefault="00AD6D8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简单</w:t>
            </w:r>
            <w:r w:rsidR="00914E90">
              <w:rPr>
                <w:rFonts w:ascii="Arial" w:eastAsia="仿宋_GB2312" w:hAnsi="Arial" w:cs="Arial" w:hint="eastAsia"/>
                <w:sz w:val="18"/>
                <w:szCs w:val="18"/>
              </w:rPr>
              <w:t>装修</w:t>
            </w:r>
          </w:p>
        </w:tc>
        <w:tc>
          <w:tcPr>
            <w:tcW w:w="321" w:type="pct"/>
            <w:shd w:val="clear" w:color="auto" w:fill="auto"/>
            <w:vAlign w:val="center"/>
            <w:hideMark/>
          </w:tcPr>
          <w:p w14:paraId="2C8488E1" w14:textId="4C0FBCE2" w:rsidR="00914E90" w:rsidRPr="00F631FB" w:rsidRDefault="00AD6D8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Pr>
                <w:rFonts w:ascii="Arial" w:eastAsia="仿宋_GB2312" w:hAnsi="Arial" w:cs="Arial"/>
                <w:sz w:val="18"/>
                <w:szCs w:val="18"/>
              </w:rPr>
              <w:t>0</w:t>
            </w:r>
          </w:p>
        </w:tc>
        <w:tc>
          <w:tcPr>
            <w:tcW w:w="770" w:type="pct"/>
            <w:shd w:val="clear" w:color="auto" w:fill="auto"/>
            <w:vAlign w:val="center"/>
            <w:hideMark/>
          </w:tcPr>
          <w:p w14:paraId="7383E5F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320" w:type="pct"/>
            <w:shd w:val="clear" w:color="auto" w:fill="auto"/>
            <w:vAlign w:val="center"/>
            <w:hideMark/>
          </w:tcPr>
          <w:p w14:paraId="26195653"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bl>
    <w:p w14:paraId="779EA65D" w14:textId="77777777" w:rsidR="00914E90" w:rsidRPr="00F631FB" w:rsidRDefault="00914E90" w:rsidP="00914E90">
      <w:pPr>
        <w:spacing w:line="360" w:lineRule="auto"/>
        <w:jc w:val="both"/>
        <w:rPr>
          <w:rFonts w:ascii="Arial" w:eastAsia="仿宋_GB2312" w:hAnsi="Arial" w:cs="Arial"/>
          <w:sz w:val="28"/>
        </w:rPr>
      </w:pPr>
    </w:p>
    <w:p w14:paraId="63BB7A36" w14:textId="77777777" w:rsidR="00914E90" w:rsidRDefault="00914E90" w:rsidP="00914E90">
      <w:pPr>
        <w:spacing w:line="360" w:lineRule="auto"/>
        <w:ind w:firstLineChars="200" w:firstLine="480"/>
        <w:jc w:val="both"/>
        <w:rPr>
          <w:rFonts w:ascii="Arial" w:eastAsia="仿宋_GB2312" w:hAnsi="Arial" w:cs="Arial"/>
          <w:bCs/>
        </w:rPr>
      </w:pPr>
      <w:r w:rsidRPr="00F631FB">
        <w:rPr>
          <w:rFonts w:ascii="Arial" w:eastAsia="仿宋_GB2312" w:hAnsi="Arial" w:cs="Arial" w:hint="eastAsia"/>
          <w:bCs/>
        </w:rPr>
        <w:t>（转下页）</w:t>
      </w:r>
    </w:p>
    <w:p w14:paraId="4CF25816" w14:textId="77777777" w:rsidR="00914E90" w:rsidRDefault="00914E90" w:rsidP="00914E90">
      <w:pPr>
        <w:spacing w:line="360" w:lineRule="auto"/>
        <w:ind w:firstLineChars="200" w:firstLine="480"/>
        <w:jc w:val="both"/>
        <w:rPr>
          <w:rFonts w:ascii="Arial" w:eastAsia="仿宋_GB2312" w:hAnsi="Arial" w:cs="Arial"/>
          <w:bCs/>
        </w:rPr>
      </w:pPr>
    </w:p>
    <w:p w14:paraId="53A1BC39" w14:textId="77777777" w:rsidR="00914E90" w:rsidRDefault="00914E90" w:rsidP="00914E90">
      <w:pPr>
        <w:spacing w:line="360" w:lineRule="auto"/>
        <w:ind w:firstLineChars="200" w:firstLine="480"/>
        <w:jc w:val="both"/>
        <w:rPr>
          <w:rFonts w:ascii="Arial" w:eastAsia="仿宋_GB2312" w:hAnsi="Arial" w:cs="Arial"/>
          <w:bCs/>
        </w:rPr>
      </w:pPr>
    </w:p>
    <w:p w14:paraId="7385082B" w14:textId="77777777" w:rsidR="00914E90" w:rsidRDefault="00914E90" w:rsidP="00914E90">
      <w:pPr>
        <w:spacing w:line="360" w:lineRule="auto"/>
        <w:ind w:firstLineChars="200" w:firstLine="480"/>
        <w:jc w:val="both"/>
        <w:rPr>
          <w:rFonts w:ascii="Arial" w:eastAsia="仿宋_GB2312" w:hAnsi="Arial" w:cs="Arial"/>
          <w:bCs/>
        </w:rPr>
      </w:pPr>
    </w:p>
    <w:p w14:paraId="3463DC29" w14:textId="77777777" w:rsidR="00914E90" w:rsidRDefault="00914E90" w:rsidP="00914E90">
      <w:pPr>
        <w:spacing w:line="360" w:lineRule="auto"/>
        <w:ind w:firstLineChars="200" w:firstLine="480"/>
        <w:jc w:val="both"/>
        <w:rPr>
          <w:rFonts w:ascii="Arial" w:eastAsia="仿宋_GB2312" w:hAnsi="Arial" w:cs="Arial"/>
          <w:bCs/>
        </w:rPr>
      </w:pPr>
    </w:p>
    <w:p w14:paraId="7BE986A2" w14:textId="0B5B4327" w:rsidR="00C80498" w:rsidRPr="00F631FB" w:rsidRDefault="00C80498" w:rsidP="00C80498">
      <w:pPr>
        <w:widowControl/>
        <w:adjustRightInd/>
        <w:spacing w:line="240" w:lineRule="auto"/>
        <w:textAlignment w:val="auto"/>
        <w:rPr>
          <w:rFonts w:ascii="Arial" w:eastAsia="仿宋_GB2312" w:hAnsi="Arial" w:cs="Arial"/>
          <w:b/>
          <w:bCs/>
        </w:rPr>
      </w:pPr>
    </w:p>
    <w:p w14:paraId="57CD9AB2" w14:textId="77777777" w:rsidR="00914E90" w:rsidRDefault="00914E90" w:rsidP="00C80498">
      <w:pPr>
        <w:spacing w:line="360" w:lineRule="auto"/>
        <w:ind w:firstLineChars="200" w:firstLine="482"/>
        <w:jc w:val="center"/>
        <w:rPr>
          <w:rFonts w:ascii="Arial" w:eastAsia="仿宋_GB2312" w:hAnsi="Arial" w:cs="Arial"/>
          <w:b/>
          <w:bCs/>
        </w:rPr>
      </w:pPr>
      <w:r>
        <w:rPr>
          <w:rFonts w:ascii="Arial" w:eastAsia="仿宋_GB2312" w:hAnsi="Arial" w:cs="Arial"/>
          <w:b/>
          <w:bCs/>
        </w:rPr>
        <w:br w:type="page"/>
      </w:r>
    </w:p>
    <w:p w14:paraId="48DEDDFA" w14:textId="7B5A71D3" w:rsidR="00C80498" w:rsidRPr="00F631FB" w:rsidRDefault="00C80498" w:rsidP="00C80498">
      <w:pPr>
        <w:spacing w:line="360" w:lineRule="auto"/>
        <w:ind w:firstLineChars="200" w:firstLine="482"/>
        <w:jc w:val="center"/>
        <w:rPr>
          <w:rFonts w:ascii="Arial" w:eastAsia="仿宋_GB2312" w:hAnsi="Arial" w:cs="Arial"/>
          <w:sz w:val="28"/>
        </w:rPr>
      </w:pPr>
      <w:r w:rsidRPr="00F631FB">
        <w:rPr>
          <w:rFonts w:ascii="Arial" w:eastAsia="仿宋_GB2312" w:hAnsi="Arial" w:cs="Arial"/>
          <w:b/>
          <w:bCs/>
        </w:rPr>
        <w:lastRenderedPageBreak/>
        <w:t>表</w:t>
      </w:r>
      <w:r w:rsidR="00146331" w:rsidRPr="00F631FB">
        <w:rPr>
          <w:rFonts w:ascii="Arial" w:eastAsia="仿宋_GB2312" w:hAnsi="Arial" w:cs="Arial"/>
          <w:b/>
          <w:bCs/>
        </w:rPr>
        <w:t>2</w:t>
      </w:r>
      <w:r w:rsidRPr="00F631FB">
        <w:rPr>
          <w:rFonts w:ascii="Arial" w:eastAsia="仿宋_GB2312" w:hAnsi="Arial" w:cs="Arial"/>
          <w:b/>
          <w:bCs/>
        </w:rPr>
        <w:t>：因素修正和调整系数表</w:t>
      </w:r>
    </w:p>
    <w:tbl>
      <w:tblPr>
        <w:tblW w:w="5000" w:type="pct"/>
        <w:tblLook w:val="04A0" w:firstRow="1" w:lastRow="0" w:firstColumn="1" w:lastColumn="0" w:noHBand="0" w:noVBand="1"/>
      </w:tblPr>
      <w:tblGrid>
        <w:gridCol w:w="1092"/>
        <w:gridCol w:w="2060"/>
        <w:gridCol w:w="1908"/>
        <w:gridCol w:w="2136"/>
        <w:gridCol w:w="2092"/>
      </w:tblGrid>
      <w:tr w:rsidR="00C80498" w:rsidRPr="001106FA" w14:paraId="18D77327" w14:textId="77777777" w:rsidTr="0009314F">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F693AB"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BC46A"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案例</w:t>
            </w:r>
            <w:r w:rsidR="00146331" w:rsidRPr="00AF0914">
              <w:rPr>
                <w:rFonts w:ascii="Arial" w:eastAsia="仿宋_GB2312" w:hAnsi="Arial" w:cs="Arial"/>
                <w:sz w:val="18"/>
                <w:szCs w:val="18"/>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AE051"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案例</w:t>
            </w:r>
            <w:r w:rsidR="00146331" w:rsidRPr="00AF0914">
              <w:rPr>
                <w:rFonts w:ascii="Arial" w:eastAsia="仿宋_GB2312" w:hAnsi="Arial" w:cs="Arial"/>
                <w:sz w:val="18"/>
                <w:szCs w:val="18"/>
              </w:rPr>
              <w:t>B</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C33AE"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案例</w:t>
            </w:r>
            <w:r w:rsidR="00146331" w:rsidRPr="00AF0914">
              <w:rPr>
                <w:rFonts w:ascii="Arial" w:eastAsia="仿宋_GB2312" w:hAnsi="Arial" w:cs="Arial"/>
                <w:sz w:val="18"/>
                <w:szCs w:val="18"/>
              </w:rPr>
              <w:t>C</w:t>
            </w:r>
          </w:p>
        </w:tc>
      </w:tr>
      <w:tr w:rsidR="00C80498" w:rsidRPr="001106FA" w14:paraId="5F16CE29" w14:textId="77777777" w:rsidTr="0009314F">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1C6969F3" w14:textId="77777777" w:rsidR="00C80498" w:rsidRPr="00AF0914" w:rsidRDefault="00C80498" w:rsidP="00AF0914">
            <w:pPr>
              <w:widowControl/>
              <w:adjustRightInd/>
              <w:spacing w:line="240" w:lineRule="auto"/>
              <w:jc w:val="center"/>
              <w:textAlignment w:val="auto"/>
              <w:rPr>
                <w:rFonts w:ascii="Arial" w:eastAsia="仿宋_GB2312" w:hAnsi="Arial" w:cs="Arial"/>
                <w:sz w:val="18"/>
                <w:szCs w:val="18"/>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13124D65" w14:textId="77777777" w:rsidR="00C80498" w:rsidRPr="00AF0914" w:rsidRDefault="00C80498" w:rsidP="00AF0914">
            <w:pPr>
              <w:widowControl/>
              <w:adjustRightInd/>
              <w:spacing w:line="240" w:lineRule="auto"/>
              <w:jc w:val="center"/>
              <w:textAlignment w:val="auto"/>
              <w:rPr>
                <w:rFonts w:ascii="Arial" w:eastAsia="仿宋_GB2312" w:hAnsi="Arial" w:cs="Arial"/>
                <w:sz w:val="18"/>
                <w:szCs w:val="18"/>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02FE56C" w14:textId="77777777" w:rsidR="00C80498" w:rsidRPr="00AF0914" w:rsidRDefault="00C80498" w:rsidP="00AF0914">
            <w:pPr>
              <w:widowControl/>
              <w:adjustRightInd/>
              <w:spacing w:line="240" w:lineRule="auto"/>
              <w:jc w:val="center"/>
              <w:textAlignment w:val="auto"/>
              <w:rPr>
                <w:rFonts w:ascii="Arial" w:eastAsia="仿宋_GB2312" w:hAnsi="Arial" w:cs="Arial"/>
                <w:sz w:val="18"/>
                <w:szCs w:val="18"/>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08812FE3" w14:textId="77777777" w:rsidR="00C80498" w:rsidRPr="00AF0914" w:rsidRDefault="00C80498" w:rsidP="00AF0914">
            <w:pPr>
              <w:widowControl/>
              <w:adjustRightInd/>
              <w:spacing w:line="240" w:lineRule="auto"/>
              <w:jc w:val="center"/>
              <w:textAlignment w:val="auto"/>
              <w:rPr>
                <w:rFonts w:ascii="Arial" w:eastAsia="仿宋_GB2312" w:hAnsi="Arial" w:cs="Arial"/>
                <w:sz w:val="18"/>
                <w:szCs w:val="18"/>
              </w:rPr>
            </w:pPr>
          </w:p>
        </w:tc>
      </w:tr>
      <w:tr w:rsidR="00C80498" w:rsidRPr="001106FA" w14:paraId="6C7CEEF7" w14:textId="77777777" w:rsidTr="0009314F">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08EFEBAA" w14:textId="77777777" w:rsidR="00C80498" w:rsidRPr="00AF0914" w:rsidRDefault="00C80498" w:rsidP="00AF0914">
            <w:pPr>
              <w:widowControl/>
              <w:adjustRightInd/>
              <w:spacing w:line="240" w:lineRule="auto"/>
              <w:jc w:val="center"/>
              <w:textAlignment w:val="auto"/>
              <w:rPr>
                <w:rFonts w:ascii="Arial" w:eastAsia="仿宋_GB2312" w:hAnsi="Arial" w:cs="Arial"/>
                <w:sz w:val="18"/>
                <w:szCs w:val="18"/>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77309A64" w14:textId="77777777" w:rsidR="00C80498" w:rsidRPr="00AF0914" w:rsidRDefault="00C80498" w:rsidP="00AF0914">
            <w:pPr>
              <w:widowControl/>
              <w:adjustRightInd/>
              <w:spacing w:line="240" w:lineRule="auto"/>
              <w:jc w:val="center"/>
              <w:textAlignment w:val="auto"/>
              <w:rPr>
                <w:rFonts w:ascii="Arial" w:eastAsia="仿宋_GB2312" w:hAnsi="Arial" w:cs="Arial"/>
                <w:sz w:val="18"/>
                <w:szCs w:val="18"/>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1E9FF307" w14:textId="77777777" w:rsidR="00C80498" w:rsidRPr="00AF0914" w:rsidRDefault="00C80498" w:rsidP="00AF0914">
            <w:pPr>
              <w:widowControl/>
              <w:adjustRightInd/>
              <w:spacing w:line="240" w:lineRule="auto"/>
              <w:jc w:val="center"/>
              <w:textAlignment w:val="auto"/>
              <w:rPr>
                <w:rFonts w:ascii="Arial" w:eastAsia="仿宋_GB2312" w:hAnsi="Arial" w:cs="Arial"/>
                <w:sz w:val="18"/>
                <w:szCs w:val="18"/>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793B2164" w14:textId="77777777" w:rsidR="00C80498" w:rsidRPr="00AF0914" w:rsidRDefault="00C80498" w:rsidP="00AF0914">
            <w:pPr>
              <w:widowControl/>
              <w:adjustRightInd/>
              <w:spacing w:line="240" w:lineRule="auto"/>
              <w:jc w:val="center"/>
              <w:textAlignment w:val="auto"/>
              <w:rPr>
                <w:rFonts w:ascii="Arial" w:eastAsia="仿宋_GB2312" w:hAnsi="Arial" w:cs="Arial"/>
                <w:sz w:val="18"/>
                <w:szCs w:val="18"/>
              </w:rPr>
            </w:pPr>
          </w:p>
        </w:tc>
      </w:tr>
      <w:tr w:rsidR="00C80498" w:rsidRPr="001106FA" w14:paraId="66F9FD0B" w14:textId="77777777" w:rsidTr="0009314F">
        <w:trPr>
          <w:trHeight w:val="314"/>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85A77"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FE34DE3" w14:textId="079082A9"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w:t>
            </w:r>
            <w:r w:rsidR="00AD6D80">
              <w:rPr>
                <w:rFonts w:ascii="Arial" w:eastAsia="仿宋_GB2312" w:hAnsi="Arial" w:cs="Arial"/>
                <w:sz w:val="18"/>
                <w:szCs w:val="18"/>
              </w:rPr>
              <w:t>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E2FE252" w14:textId="3DE4BF12"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w:t>
            </w:r>
            <w:r w:rsidR="00AD6D80">
              <w:rPr>
                <w:rFonts w:ascii="Arial" w:eastAsia="仿宋_GB2312" w:hAnsi="Arial" w:cs="Arial"/>
                <w:sz w:val="18"/>
                <w:szCs w:val="18"/>
              </w:rPr>
              <w:t>3</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E0A29FE" w14:textId="35A27664"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w:t>
            </w:r>
            <w:r w:rsidR="00AD6D80">
              <w:rPr>
                <w:rFonts w:ascii="Arial" w:eastAsia="仿宋_GB2312" w:hAnsi="Arial" w:cs="Arial"/>
                <w:sz w:val="18"/>
                <w:szCs w:val="18"/>
              </w:rPr>
              <w:t>3</w:t>
            </w:r>
          </w:p>
        </w:tc>
      </w:tr>
      <w:tr w:rsidR="00C80498" w:rsidRPr="001106FA" w14:paraId="264E3481"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D6DEF"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41F229F"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97FFB76"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DDEC592"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C80498" w:rsidRPr="001106FA" w14:paraId="4ADDE57F"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40F0C3"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3612FA5"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26DBFBB"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7614D43"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1D496B43" w14:textId="77777777" w:rsidTr="005B6F82">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66A89C27" w14:textId="77777777" w:rsidR="001106FA" w:rsidRPr="00AF0914" w:rsidRDefault="001106FA"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6D7B6413" w14:textId="77777777" w:rsidR="001106FA" w:rsidRPr="00AF0914" w:rsidRDefault="001106FA"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居住社区成熟</w:t>
            </w:r>
            <w:r w:rsidRPr="00AF0914">
              <w:rPr>
                <w:rFonts w:ascii="Arial" w:eastAsia="仿宋_GB2312" w:hAnsi="Arial" w:cs="Arial"/>
                <w:sz w:val="18"/>
                <w:szCs w:val="18"/>
              </w:rPr>
              <w:t>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1BB19ED" w14:textId="59C34D90" w:rsidR="001106FA" w:rsidRPr="00AF0914" w:rsidRDefault="001106FA"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1DE57A9" w14:textId="30C2AD36" w:rsidR="001106FA" w:rsidRPr="00AF0914" w:rsidRDefault="001106FA"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9D5E1EE" w14:textId="21103354" w:rsidR="001106FA" w:rsidRPr="00AF0914" w:rsidRDefault="001106FA"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5BD4922B" w14:textId="77777777" w:rsidTr="005B6F82">
        <w:trPr>
          <w:trHeight w:val="285"/>
        </w:trPr>
        <w:tc>
          <w:tcPr>
            <w:tcW w:w="588" w:type="pct"/>
            <w:vMerge/>
            <w:tcBorders>
              <w:left w:val="single" w:sz="4" w:space="0" w:color="auto"/>
              <w:right w:val="single" w:sz="4" w:space="0" w:color="auto"/>
            </w:tcBorders>
            <w:vAlign w:val="center"/>
            <w:hideMark/>
          </w:tcPr>
          <w:p w14:paraId="24A4B04D"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5D0C2DF9"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74C858B" w14:textId="161BFAC5"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DAC0868" w14:textId="4ADCAEB5"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BCB2845" w14:textId="6C2BD978"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597B46CA" w14:textId="77777777" w:rsidTr="0009314F">
        <w:trPr>
          <w:trHeight w:val="285"/>
        </w:trPr>
        <w:tc>
          <w:tcPr>
            <w:tcW w:w="588" w:type="pct"/>
            <w:vMerge/>
            <w:tcBorders>
              <w:left w:val="single" w:sz="4" w:space="0" w:color="auto"/>
              <w:right w:val="single" w:sz="4" w:space="0" w:color="auto"/>
            </w:tcBorders>
            <w:vAlign w:val="center"/>
            <w:hideMark/>
          </w:tcPr>
          <w:p w14:paraId="04F850D2"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4541298F"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FE41F4C" w14:textId="446B9B19"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D91AA56" w14:textId="332C5781"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840654E" w14:textId="10A38576"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39AE3D65" w14:textId="77777777" w:rsidTr="0009314F">
        <w:trPr>
          <w:trHeight w:val="285"/>
        </w:trPr>
        <w:tc>
          <w:tcPr>
            <w:tcW w:w="588" w:type="pct"/>
            <w:vMerge/>
            <w:tcBorders>
              <w:left w:val="single" w:sz="4" w:space="0" w:color="auto"/>
              <w:right w:val="single" w:sz="4" w:space="0" w:color="auto"/>
            </w:tcBorders>
            <w:vAlign w:val="center"/>
            <w:hideMark/>
          </w:tcPr>
          <w:p w14:paraId="69578B1F"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5E811900"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9A8EEB1" w14:textId="7D4C7CBD"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0D9C00A" w14:textId="78970EC9"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CA8FAE7" w14:textId="072F931D"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479A4F98" w14:textId="77777777" w:rsidTr="0009314F">
        <w:trPr>
          <w:trHeight w:val="285"/>
        </w:trPr>
        <w:tc>
          <w:tcPr>
            <w:tcW w:w="588" w:type="pct"/>
            <w:vMerge/>
            <w:tcBorders>
              <w:left w:val="single" w:sz="4" w:space="0" w:color="auto"/>
              <w:right w:val="single" w:sz="4" w:space="0" w:color="auto"/>
            </w:tcBorders>
            <w:vAlign w:val="center"/>
            <w:hideMark/>
          </w:tcPr>
          <w:p w14:paraId="6C7629F3"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0C343C74"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AFFD447" w14:textId="667847D3"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37F9317" w14:textId="4FA9D6A8"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03AB764" w14:textId="3966EC16"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6280E1F1" w14:textId="77777777" w:rsidTr="0009314F">
        <w:trPr>
          <w:trHeight w:val="285"/>
        </w:trPr>
        <w:tc>
          <w:tcPr>
            <w:tcW w:w="588" w:type="pct"/>
            <w:vMerge/>
            <w:tcBorders>
              <w:left w:val="single" w:sz="4" w:space="0" w:color="auto"/>
              <w:bottom w:val="single" w:sz="4" w:space="0" w:color="auto"/>
              <w:right w:val="single" w:sz="4" w:space="0" w:color="auto"/>
            </w:tcBorders>
            <w:vAlign w:val="center"/>
          </w:tcPr>
          <w:p w14:paraId="05EC5303"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tcPr>
          <w:p w14:paraId="563956EE"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道路级别</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70C8D52E" w14:textId="7534F556"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63A7350D" w14:textId="33AFF221"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0AB30EE" w14:textId="19EE21B9"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C80498" w:rsidRPr="001106FA" w14:paraId="0E0E8E00" w14:textId="77777777" w:rsidTr="0009314F">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0568BF55"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1E80DF1F"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建筑类型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0FC676D" w14:textId="2B64A108" w:rsidR="00C80498" w:rsidRPr="00AF0914" w:rsidRDefault="00AE6A85"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w:t>
            </w:r>
            <w:r w:rsidR="001106FA" w:rsidRPr="00AF0914">
              <w:rPr>
                <w:rFonts w:ascii="Arial" w:eastAsia="仿宋_GB2312" w:hAnsi="Arial" w:cs="Arial"/>
                <w:sz w:val="18"/>
                <w:szCs w:val="18"/>
              </w:rPr>
              <w:t>10</w:t>
            </w:r>
            <w:r w:rsidR="00AD6D80">
              <w:rPr>
                <w:rFonts w:ascii="Arial" w:eastAsia="仿宋_GB2312" w:hAnsi="Arial" w:cs="Arial"/>
                <w:sz w:val="18"/>
                <w:szCs w:val="18"/>
              </w:rPr>
              <w:t>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E189F27" w14:textId="7D450016" w:rsidR="00C80498" w:rsidRPr="00AF0914" w:rsidRDefault="00AE6A85"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w:t>
            </w:r>
            <w:r w:rsidR="00AD6D80">
              <w:rPr>
                <w:rFonts w:ascii="Arial" w:eastAsia="仿宋_GB2312" w:hAnsi="Arial" w:cs="Arial"/>
                <w:sz w:val="18"/>
                <w:szCs w:val="18"/>
              </w:rPr>
              <w:t>5</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19EA437" w14:textId="26E2526F" w:rsidR="00C80498" w:rsidRPr="00AF0914" w:rsidRDefault="00AE6A85"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w:t>
            </w:r>
            <w:r w:rsidR="00AD6D80">
              <w:rPr>
                <w:rFonts w:ascii="Arial" w:eastAsia="仿宋_GB2312" w:hAnsi="Arial" w:cs="Arial"/>
                <w:sz w:val="18"/>
                <w:szCs w:val="18"/>
              </w:rPr>
              <w:t>5</w:t>
            </w:r>
          </w:p>
        </w:tc>
      </w:tr>
      <w:tr w:rsidR="001106FA" w:rsidRPr="001106FA" w14:paraId="38B3B248"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5F6A5C6E"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0E68DE47" w14:textId="39F2B16A" w:rsidR="001106FA" w:rsidRPr="00AF0914" w:rsidRDefault="00760DF6"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套</w:t>
            </w:r>
            <w:proofErr w:type="gramStart"/>
            <w:r>
              <w:rPr>
                <w:rFonts w:ascii="Arial" w:eastAsia="仿宋_GB2312" w:hAnsi="Arial" w:cs="Arial" w:hint="eastAsia"/>
                <w:sz w:val="18"/>
                <w:szCs w:val="18"/>
              </w:rPr>
              <w:t>均面积</w:t>
            </w:r>
            <w:proofErr w:type="gramEnd"/>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23F600" w14:textId="1E5CCE3D"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w:t>
            </w:r>
            <w:r w:rsidR="00760DF6">
              <w:rPr>
                <w:rFonts w:ascii="Arial" w:eastAsia="仿宋_GB2312" w:hAnsi="Arial" w:cs="Arial"/>
                <w:sz w:val="18"/>
                <w:szCs w:val="18"/>
              </w:rPr>
              <w:t>10</w:t>
            </w:r>
            <w:r w:rsidR="00AD6D80">
              <w:rPr>
                <w:rFonts w:ascii="Arial" w:eastAsia="仿宋_GB2312" w:hAnsi="Arial" w:cs="Arial"/>
                <w:sz w:val="18"/>
                <w:szCs w:val="18"/>
              </w:rPr>
              <w:t>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6A13E48" w14:textId="0AD82548"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2DF39A8" w14:textId="3EC0E311"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w:t>
            </w:r>
            <w:r w:rsidR="00760DF6">
              <w:rPr>
                <w:rFonts w:ascii="Arial" w:eastAsia="仿宋_GB2312" w:hAnsi="Arial" w:cs="Arial"/>
                <w:sz w:val="18"/>
                <w:szCs w:val="18"/>
              </w:rPr>
              <w:t>10</w:t>
            </w:r>
            <w:r w:rsidR="00AD6D80">
              <w:rPr>
                <w:rFonts w:ascii="Arial" w:eastAsia="仿宋_GB2312" w:hAnsi="Arial" w:cs="Arial"/>
                <w:sz w:val="18"/>
                <w:szCs w:val="18"/>
              </w:rPr>
              <w:t>5</w:t>
            </w:r>
          </w:p>
        </w:tc>
      </w:tr>
      <w:tr w:rsidR="001106FA" w:rsidRPr="001106FA" w14:paraId="02809442"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60CB3C3C"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6FD2BFF5"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31B0501" w14:textId="01034129"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E9BB986" w14:textId="6F970349"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729326E" w14:textId="54D93D45"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495C2BAE"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19C469D7"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1F1D29FD"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CE080F6" w14:textId="66561676"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BC04419" w14:textId="171772F5" w:rsidR="00C06FE8" w:rsidRPr="00AF0914" w:rsidRDefault="001106FA" w:rsidP="00C06FE8">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A0127AE" w14:textId="6FA84E1C"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6CEC5413"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70049A82"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7BA8676E"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694F10F" w14:textId="3B46F9B4"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w:t>
            </w:r>
            <w:r w:rsidR="00760DF6">
              <w:rPr>
                <w:rFonts w:ascii="Arial" w:eastAsia="仿宋_GB2312" w:hAnsi="Arial" w:cs="Arial"/>
                <w:sz w:val="18"/>
                <w:szCs w:val="18"/>
              </w:rPr>
              <w:t>7</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AF076F0" w14:textId="17430A11"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w:t>
            </w:r>
            <w:r w:rsidR="00760DF6">
              <w:rPr>
                <w:rFonts w:ascii="Arial" w:eastAsia="仿宋_GB2312" w:hAnsi="Arial" w:cs="Arial"/>
                <w:sz w:val="18"/>
                <w:szCs w:val="18"/>
              </w:rPr>
              <w:t>7</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60F884B" w14:textId="6F33459E"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w:t>
            </w:r>
            <w:r w:rsidR="00760DF6">
              <w:rPr>
                <w:rFonts w:ascii="Arial" w:eastAsia="仿宋_GB2312" w:hAnsi="Arial" w:cs="Arial"/>
                <w:sz w:val="18"/>
                <w:szCs w:val="18"/>
              </w:rPr>
              <w:t>7</w:t>
            </w:r>
          </w:p>
        </w:tc>
      </w:tr>
      <w:tr w:rsidR="001106FA" w:rsidRPr="001106FA" w14:paraId="68A14C84"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41624AE6"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72E025E7"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物业管理</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C1B12A5" w14:textId="76C53CDD"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5A70401" w14:textId="73C1E312"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3517FD2" w14:textId="2774A2B5"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15DABB09"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0F014AC3"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3F9DC70C"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市政基础设施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2E9F7A5" w14:textId="5A8A4E60"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4CE3815" w14:textId="633F06DB"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64A2783" w14:textId="35403334"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1B1495DD" w14:textId="77777777" w:rsidTr="0009314F">
        <w:trPr>
          <w:trHeight w:val="319"/>
        </w:trPr>
        <w:tc>
          <w:tcPr>
            <w:tcW w:w="588" w:type="pct"/>
            <w:vMerge/>
            <w:tcBorders>
              <w:top w:val="nil"/>
              <w:left w:val="single" w:sz="4" w:space="0" w:color="auto"/>
              <w:bottom w:val="single" w:sz="4" w:space="0" w:color="auto"/>
              <w:right w:val="single" w:sz="4" w:space="0" w:color="auto"/>
            </w:tcBorders>
            <w:vAlign w:val="center"/>
            <w:hideMark/>
          </w:tcPr>
          <w:p w14:paraId="03461839"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331BEEEA"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1A9674B" w14:textId="426BC97D"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AEC8262" w14:textId="410F686E"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w:t>
            </w:r>
            <w:r w:rsidR="00AD6D80">
              <w:rPr>
                <w:rFonts w:ascii="Arial" w:eastAsia="仿宋_GB2312" w:hAnsi="Arial" w:cs="Arial"/>
                <w:sz w:val="18"/>
                <w:szCs w:val="18"/>
              </w:rPr>
              <w:t>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E52D726" w14:textId="1BEE9CCA"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C80498" w:rsidRPr="001106FA" w14:paraId="57CD469B"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C5F694"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销售价格（元</w:t>
            </w:r>
            <w:r w:rsidRPr="00AF0914">
              <w:rPr>
                <w:rFonts w:ascii="Arial" w:eastAsia="仿宋_GB2312" w:hAnsi="Arial" w:cs="Arial"/>
                <w:sz w:val="18"/>
                <w:szCs w:val="18"/>
              </w:rPr>
              <w:t>/</w:t>
            </w:r>
            <w:r w:rsidRPr="00AF0914">
              <w:rPr>
                <w:rFonts w:ascii="Arial" w:eastAsia="仿宋_GB2312" w:hAnsi="Arial" w:cs="Arial"/>
                <w:sz w:val="18"/>
                <w:szCs w:val="18"/>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918DEA" w14:textId="65FCF76E" w:rsidR="00C80498" w:rsidRPr="00AF0914" w:rsidRDefault="001106FA"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164318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2FE377B" w14:textId="60ECE9ED" w:rsidR="00C80498" w:rsidRPr="00AF0914" w:rsidRDefault="001106FA"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136255</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DA32B9E" w14:textId="403A8551" w:rsidR="00C80498" w:rsidRPr="00AF0914" w:rsidRDefault="001106FA"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162407</w:t>
            </w:r>
          </w:p>
        </w:tc>
      </w:tr>
      <w:tr w:rsidR="00C80498" w:rsidRPr="001106FA" w14:paraId="63AA78F3"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1A8BF6"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比较价格（元</w:t>
            </w:r>
            <w:r w:rsidRPr="00AF0914">
              <w:rPr>
                <w:rFonts w:ascii="Arial" w:eastAsia="仿宋_GB2312" w:hAnsi="Arial" w:cs="Arial"/>
                <w:sz w:val="18"/>
                <w:szCs w:val="18"/>
              </w:rPr>
              <w:t>/</w:t>
            </w:r>
            <w:r w:rsidRPr="00AF0914">
              <w:rPr>
                <w:rFonts w:ascii="Arial" w:eastAsia="仿宋_GB2312" w:hAnsi="Arial" w:cs="Arial"/>
                <w:sz w:val="18"/>
                <w:szCs w:val="18"/>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A784C8A" w14:textId="1F2F35AF" w:rsidR="00C80498" w:rsidRPr="00AF0914" w:rsidRDefault="00AD6D80" w:rsidP="001106F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150638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41CFA76" w14:textId="490BAE11" w:rsidR="00C80498" w:rsidRPr="00AF0914" w:rsidRDefault="00AD6D80" w:rsidP="001106F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144315</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26C160C7" w14:textId="04FB22A3" w:rsidR="00C80498" w:rsidRPr="00AF0914" w:rsidRDefault="00AD6D80" w:rsidP="001106F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147441</w:t>
            </w:r>
          </w:p>
        </w:tc>
      </w:tr>
      <w:tr w:rsidR="00C80498" w:rsidRPr="001106FA" w14:paraId="51B2545B" w14:textId="77777777" w:rsidTr="0009314F">
        <w:trPr>
          <w:trHeight w:val="300"/>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EEE722"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比准价格</w:t>
            </w:r>
            <w:r w:rsidRPr="00AF0914">
              <w:rPr>
                <w:rFonts w:ascii="Arial" w:eastAsia="仿宋_GB2312" w:hAnsi="Arial" w:cs="Arial"/>
                <w:sz w:val="18"/>
                <w:szCs w:val="18"/>
              </w:rPr>
              <w:t>（元</w:t>
            </w:r>
            <w:r w:rsidRPr="00AF0914">
              <w:rPr>
                <w:rFonts w:ascii="Arial" w:eastAsia="仿宋_GB2312" w:hAnsi="Arial" w:cs="Arial"/>
                <w:sz w:val="18"/>
                <w:szCs w:val="18"/>
              </w:rPr>
              <w:t>/</w:t>
            </w:r>
            <w:r w:rsidRPr="00AF0914">
              <w:rPr>
                <w:rFonts w:ascii="Arial" w:eastAsia="仿宋_GB2312" w:hAnsi="Arial" w:cs="Arial"/>
                <w:sz w:val="18"/>
                <w:szCs w:val="18"/>
              </w:rPr>
              <w:t>平方米）</w:t>
            </w:r>
          </w:p>
        </w:tc>
        <w:tc>
          <w:tcPr>
            <w:tcW w:w="3303" w:type="pct"/>
            <w:gridSpan w:val="3"/>
            <w:tcBorders>
              <w:top w:val="single" w:sz="4" w:space="0" w:color="auto"/>
              <w:left w:val="nil"/>
              <w:bottom w:val="single" w:sz="4" w:space="0" w:color="auto"/>
              <w:right w:val="single" w:sz="4" w:space="0" w:color="auto"/>
            </w:tcBorders>
            <w:shd w:val="clear" w:color="auto" w:fill="auto"/>
            <w:noWrap/>
            <w:vAlign w:val="center"/>
            <w:hideMark/>
          </w:tcPr>
          <w:p w14:paraId="7125C98F" w14:textId="32252683" w:rsidR="00C80498" w:rsidRPr="00AF0914" w:rsidRDefault="00AD6D80" w:rsidP="001106F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147465</w:t>
            </w:r>
          </w:p>
        </w:tc>
      </w:tr>
    </w:tbl>
    <w:p w14:paraId="415B05FE" w14:textId="77777777" w:rsidR="00C80498" w:rsidRPr="00F631FB" w:rsidRDefault="00C80498" w:rsidP="00771E24">
      <w:pPr>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5C01C06E" w14:textId="77777777" w:rsidR="00C80498" w:rsidRPr="00F631FB" w:rsidRDefault="00C80498" w:rsidP="00C80498">
      <w:pPr>
        <w:spacing w:line="360" w:lineRule="auto"/>
        <w:ind w:firstLineChars="200" w:firstLine="560"/>
        <w:rPr>
          <w:rFonts w:ascii="Arial" w:eastAsia="仿宋_GB2312" w:hAnsi="Arial" w:cs="Arial"/>
          <w:sz w:val="28"/>
        </w:rPr>
      </w:pPr>
      <w:r w:rsidRPr="00F631FB">
        <w:rPr>
          <w:rFonts w:ascii="Arial" w:eastAsia="仿宋_GB2312" w:hAnsi="Arial" w:cs="Arial"/>
          <w:sz w:val="28"/>
        </w:rPr>
        <w:t>估价对象</w:t>
      </w:r>
      <w:r w:rsidRPr="00F631FB">
        <w:rPr>
          <w:rFonts w:ascii="Arial" w:eastAsia="仿宋_GB2312" w:hAnsi="Arial" w:cs="Arial" w:hint="eastAsia"/>
          <w:sz w:val="28"/>
        </w:rPr>
        <w:t>住宅</w:t>
      </w:r>
      <w:r w:rsidRPr="00F631FB">
        <w:rPr>
          <w:rFonts w:ascii="Arial" w:eastAsia="仿宋_GB2312" w:hAnsi="Arial" w:cs="Arial"/>
          <w:sz w:val="28"/>
        </w:rPr>
        <w:t>用房不动产</w:t>
      </w:r>
      <w:r w:rsidRPr="00F631FB">
        <w:rPr>
          <w:rFonts w:ascii="Arial" w:eastAsia="仿宋_GB2312" w:hAnsi="Arial" w:cs="Arial" w:hint="eastAsia"/>
          <w:sz w:val="28"/>
        </w:rPr>
        <w:t>比准价格</w:t>
      </w:r>
      <w:r w:rsidRPr="00F631FB">
        <w:rPr>
          <w:rFonts w:ascii="Arial" w:eastAsia="仿宋_GB2312" w:hAnsi="Arial" w:cs="Arial"/>
          <w:sz w:val="28"/>
        </w:rPr>
        <w:t xml:space="preserve"> </w:t>
      </w:r>
    </w:p>
    <w:p w14:paraId="4A403006" w14:textId="64D7E786" w:rsidR="00C80498" w:rsidRPr="00F631FB" w:rsidRDefault="00C80498" w:rsidP="00C80498">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sidR="00AD6D80">
        <w:rPr>
          <w:rFonts w:ascii="Arial" w:eastAsia="仿宋_GB2312" w:hAnsi="Arial" w:cs="Arial"/>
          <w:sz w:val="28"/>
        </w:rPr>
        <w:t>150638</w:t>
      </w:r>
      <w:r w:rsidR="008D5406">
        <w:rPr>
          <w:rFonts w:ascii="Arial" w:eastAsia="仿宋_GB2312" w:hAnsi="Arial" w:cs="Arial"/>
          <w:sz w:val="28"/>
        </w:rPr>
        <w:t>+</w:t>
      </w:r>
      <w:r w:rsidR="00AD6D80">
        <w:rPr>
          <w:rFonts w:ascii="Arial" w:eastAsia="仿宋_GB2312" w:hAnsi="Arial" w:cs="Arial"/>
          <w:sz w:val="28"/>
        </w:rPr>
        <w:t>144315</w:t>
      </w:r>
      <w:r w:rsidR="008D5406">
        <w:rPr>
          <w:rFonts w:ascii="Arial" w:eastAsia="仿宋_GB2312" w:hAnsi="Arial" w:cs="Arial"/>
          <w:sz w:val="28"/>
        </w:rPr>
        <w:t>+</w:t>
      </w:r>
      <w:r w:rsidR="00AD6D80">
        <w:rPr>
          <w:rFonts w:ascii="Arial" w:eastAsia="仿宋_GB2312" w:hAnsi="Arial" w:cs="Arial"/>
          <w:sz w:val="28"/>
        </w:rPr>
        <w:t>147441</w:t>
      </w:r>
      <w:r w:rsidRPr="00F631FB">
        <w:rPr>
          <w:rFonts w:ascii="Arial" w:eastAsia="仿宋_GB2312" w:hAnsi="Arial" w:cs="Arial"/>
          <w:sz w:val="28"/>
        </w:rPr>
        <w:t>）</w:t>
      </w:r>
      <w:r w:rsidRPr="00F631FB">
        <w:rPr>
          <w:rFonts w:ascii="Arial" w:eastAsia="仿宋_GB2312" w:hAnsi="Arial" w:cs="Arial"/>
          <w:sz w:val="28"/>
        </w:rPr>
        <w:t>÷3</w:t>
      </w:r>
    </w:p>
    <w:p w14:paraId="7B75C98F" w14:textId="53ADCEFE" w:rsidR="00C80498" w:rsidRDefault="00C80498" w:rsidP="001106FA">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AD6D80">
        <w:rPr>
          <w:rFonts w:ascii="Arial" w:eastAsia="仿宋_GB2312" w:hAnsi="Arial" w:cs="Arial"/>
          <w:bCs/>
          <w:sz w:val="28"/>
        </w:rPr>
        <w:t>147465</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3D47CCAF" w14:textId="1BF80A02" w:rsidR="001106FA" w:rsidRDefault="001106FA" w:rsidP="001106F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根据《北京市海淀区人民政府关于商请加快地铁</w:t>
      </w: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w:t>
      </w:r>
      <w:r>
        <w:rPr>
          <w:rFonts w:ascii="Arial" w:eastAsia="仿宋_GB2312" w:hAnsi="Arial" w:cs="Arial" w:hint="eastAsia"/>
          <w:sz w:val="28"/>
        </w:rPr>
        <w:lastRenderedPageBreak/>
        <w:t>5</w:t>
      </w:r>
      <w:r>
        <w:rPr>
          <w:rFonts w:ascii="Arial" w:eastAsia="仿宋_GB2312" w:hAnsi="Arial" w:cs="Arial"/>
          <w:sz w:val="28"/>
        </w:rPr>
        <w:t>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及其附件，《北京市规划和自然资源委员会关于北京市海淀区苏州街站</w:t>
      </w:r>
      <w:r w:rsidRPr="00331D08">
        <w:rPr>
          <w:rFonts w:ascii="Arial" w:eastAsia="仿宋_GB2312" w:hAnsi="Arial" w:cs="Arial" w:hint="eastAsia"/>
          <w:sz w:val="28"/>
        </w:rPr>
        <w:t>一体化棚户区改造项目用地相关意见及设计方案审查意见的函（城镇建筑工程）》</w:t>
      </w:r>
      <w:r w:rsidRPr="00331D08">
        <w:rPr>
          <w:rFonts w:ascii="Arial" w:eastAsia="仿宋_GB2312" w:hAnsi="Arial" w:cs="Arial" w:hint="eastAsia"/>
          <w:sz w:val="28"/>
        </w:rPr>
        <w:t>[</w:t>
      </w:r>
      <w:r w:rsidRPr="00331D08">
        <w:rPr>
          <w:rFonts w:ascii="Arial" w:eastAsia="仿宋_GB2312" w:hAnsi="Arial" w:cs="Arial"/>
          <w:sz w:val="28"/>
        </w:rPr>
        <w:t>2019</w:t>
      </w:r>
      <w:proofErr w:type="gramStart"/>
      <w:r w:rsidRPr="00331D08">
        <w:rPr>
          <w:rFonts w:ascii="Arial" w:eastAsia="仿宋_GB2312" w:hAnsi="Arial" w:cs="Arial" w:hint="eastAsia"/>
          <w:sz w:val="28"/>
        </w:rPr>
        <w:t>规</w:t>
      </w:r>
      <w:proofErr w:type="gramEnd"/>
      <w:r w:rsidRPr="00331D08">
        <w:rPr>
          <w:rFonts w:ascii="Arial" w:eastAsia="仿宋_GB2312" w:hAnsi="Arial" w:cs="Arial" w:hint="eastAsia"/>
          <w:sz w:val="28"/>
        </w:rPr>
        <w:t>自（海）</w:t>
      </w:r>
      <w:proofErr w:type="gramStart"/>
      <w:r w:rsidRPr="00331D08">
        <w:rPr>
          <w:rFonts w:ascii="Arial" w:eastAsia="仿宋_GB2312" w:hAnsi="Arial" w:cs="Arial" w:hint="eastAsia"/>
          <w:sz w:val="28"/>
        </w:rPr>
        <w:t>审改试点函</w:t>
      </w:r>
      <w:proofErr w:type="gramEnd"/>
      <w:r w:rsidRPr="00331D08">
        <w:rPr>
          <w:rFonts w:ascii="Arial" w:eastAsia="仿宋_GB2312" w:hAnsi="Arial" w:cs="Arial" w:hint="eastAsia"/>
          <w:sz w:val="28"/>
        </w:rPr>
        <w:t>字</w:t>
      </w:r>
      <w:r w:rsidRPr="00331D08">
        <w:rPr>
          <w:rFonts w:ascii="Arial" w:eastAsia="仿宋_GB2312" w:hAnsi="Arial" w:cs="Arial" w:hint="eastAsia"/>
          <w:sz w:val="28"/>
        </w:rPr>
        <w:t>0</w:t>
      </w:r>
      <w:r w:rsidRPr="00331D08">
        <w:rPr>
          <w:rFonts w:ascii="Arial" w:eastAsia="仿宋_GB2312" w:hAnsi="Arial" w:cs="Arial"/>
          <w:sz w:val="28"/>
        </w:rPr>
        <w:t>001</w:t>
      </w:r>
      <w:r w:rsidRPr="00331D08">
        <w:rPr>
          <w:rFonts w:ascii="Arial" w:eastAsia="仿宋_GB2312" w:hAnsi="Arial" w:cs="Arial" w:hint="eastAsia"/>
          <w:sz w:val="28"/>
        </w:rPr>
        <w:t>号</w:t>
      </w:r>
      <w:r w:rsidRPr="00331D08">
        <w:rPr>
          <w:rFonts w:ascii="Arial" w:eastAsia="仿宋_GB2312" w:hAnsi="Arial" w:cs="Arial"/>
          <w:sz w:val="28"/>
        </w:rPr>
        <w:t>]</w:t>
      </w:r>
      <w:r w:rsidRPr="00331D08">
        <w:rPr>
          <w:rFonts w:ascii="Arial" w:eastAsia="仿宋_GB2312" w:hAnsi="Arial" w:cs="Arial" w:hint="eastAsia"/>
          <w:sz w:val="28"/>
        </w:rPr>
        <w:t>及其附图、《海淀区苏州街一体化棚户区改造项目建筑面积及用途的说明》及其附表记载，估价对象总建筑面积</w:t>
      </w:r>
      <w:r w:rsidRPr="00331D08">
        <w:rPr>
          <w:rFonts w:ascii="Arial" w:eastAsia="仿宋_GB2312" w:hAnsi="Arial" w:cs="Arial" w:hint="eastAsia"/>
          <w:sz w:val="28"/>
        </w:rPr>
        <w:t>4</w:t>
      </w:r>
      <w:r w:rsidRPr="00331D08">
        <w:rPr>
          <w:rFonts w:ascii="Arial" w:eastAsia="仿宋_GB2312" w:hAnsi="Arial" w:cs="Arial"/>
          <w:sz w:val="28"/>
        </w:rPr>
        <w:t>6793</w:t>
      </w:r>
      <w:r w:rsidRPr="00331D08">
        <w:rPr>
          <w:rFonts w:ascii="Arial" w:eastAsia="仿宋_GB2312" w:hAnsi="Arial" w:cs="Arial" w:hint="eastAsia"/>
          <w:sz w:val="28"/>
        </w:rPr>
        <w:t>平方米，其中，地上总建筑面积</w:t>
      </w:r>
      <w:r w:rsidRPr="00331D08">
        <w:rPr>
          <w:rFonts w:ascii="Arial" w:eastAsia="仿宋_GB2312" w:hAnsi="Arial" w:cs="Arial" w:hint="eastAsia"/>
          <w:sz w:val="28"/>
        </w:rPr>
        <w:t>3</w:t>
      </w:r>
      <w:r w:rsidRPr="00331D08">
        <w:rPr>
          <w:rFonts w:ascii="Arial" w:eastAsia="仿宋_GB2312" w:hAnsi="Arial" w:cs="Arial"/>
          <w:sz w:val="28"/>
        </w:rPr>
        <w:t>1511</w:t>
      </w:r>
      <w:r w:rsidRPr="00331D08">
        <w:rPr>
          <w:rFonts w:ascii="Arial" w:eastAsia="仿宋_GB2312" w:hAnsi="Arial" w:cs="Arial" w:hint="eastAsia"/>
          <w:sz w:val="28"/>
        </w:rPr>
        <w:t>平方米，住宅用房</w:t>
      </w:r>
      <w:r w:rsidRPr="00331D08">
        <w:rPr>
          <w:rFonts w:ascii="Arial" w:eastAsia="仿宋_GB2312" w:hAnsi="Arial" w:cs="Arial" w:hint="eastAsia"/>
          <w:sz w:val="28"/>
        </w:rPr>
        <w:t>2</w:t>
      </w:r>
      <w:r w:rsidRPr="00331D08">
        <w:rPr>
          <w:rFonts w:ascii="Arial" w:eastAsia="仿宋_GB2312" w:hAnsi="Arial" w:cs="Arial"/>
          <w:sz w:val="28"/>
        </w:rPr>
        <w:t>8075</w:t>
      </w:r>
      <w:r w:rsidRPr="00331D08">
        <w:rPr>
          <w:rFonts w:ascii="Arial" w:eastAsia="仿宋_GB2312" w:hAnsi="Arial" w:cs="Arial" w:hint="eastAsia"/>
          <w:sz w:val="28"/>
        </w:rPr>
        <w:t>平方米（包含回迁安置房</w:t>
      </w:r>
      <w:r w:rsidRPr="00331D08">
        <w:rPr>
          <w:rFonts w:ascii="Arial" w:eastAsia="仿宋_GB2312" w:hAnsi="Arial" w:cs="Arial" w:hint="eastAsia"/>
          <w:sz w:val="28"/>
        </w:rPr>
        <w:t>1</w:t>
      </w:r>
      <w:r w:rsidRPr="00331D08">
        <w:rPr>
          <w:rFonts w:ascii="Arial" w:eastAsia="仿宋_GB2312" w:hAnsi="Arial" w:cs="Arial"/>
          <w:sz w:val="28"/>
        </w:rPr>
        <w:t>3920.98</w:t>
      </w:r>
      <w:r w:rsidRPr="00331D08">
        <w:rPr>
          <w:rFonts w:ascii="Arial" w:eastAsia="仿宋_GB2312" w:hAnsi="Arial" w:cs="Arial" w:hint="eastAsia"/>
          <w:sz w:val="28"/>
        </w:rPr>
        <w:t>平方米、平衡资金商品房</w:t>
      </w:r>
      <w:r w:rsidRPr="00331D08">
        <w:rPr>
          <w:rFonts w:ascii="Arial" w:eastAsia="仿宋_GB2312" w:hAnsi="Arial" w:cs="Arial" w:hint="eastAsia"/>
          <w:sz w:val="28"/>
        </w:rPr>
        <w:t>1</w:t>
      </w:r>
      <w:r w:rsidRPr="00331D08">
        <w:rPr>
          <w:rFonts w:ascii="Arial" w:eastAsia="仿宋_GB2312" w:hAnsi="Arial" w:cs="Arial"/>
          <w:sz w:val="28"/>
        </w:rPr>
        <w:t>3794.02</w:t>
      </w:r>
      <w:r w:rsidRPr="00331D08">
        <w:rPr>
          <w:rFonts w:ascii="Arial" w:eastAsia="仿宋_GB2312" w:hAnsi="Arial" w:cs="Arial" w:hint="eastAsia"/>
          <w:sz w:val="28"/>
        </w:rPr>
        <w:t>平方米、人防室外出入口及其他</w:t>
      </w:r>
      <w:r w:rsidRPr="00331D08">
        <w:rPr>
          <w:rFonts w:ascii="Arial" w:eastAsia="仿宋_GB2312" w:hAnsi="Arial" w:cs="Arial" w:hint="eastAsia"/>
          <w:sz w:val="28"/>
        </w:rPr>
        <w:t>3</w:t>
      </w:r>
      <w:r w:rsidRPr="00331D08">
        <w:rPr>
          <w:rFonts w:ascii="Arial" w:eastAsia="仿宋_GB2312" w:hAnsi="Arial" w:cs="Arial"/>
          <w:sz w:val="28"/>
        </w:rPr>
        <w:t>60</w:t>
      </w:r>
      <w:r w:rsidRPr="00331D08">
        <w:rPr>
          <w:rFonts w:ascii="Arial" w:eastAsia="仿宋_GB2312" w:hAnsi="Arial" w:cs="Arial" w:hint="eastAsia"/>
          <w:sz w:val="28"/>
        </w:rPr>
        <w:t>平方米），地下总建筑面积</w:t>
      </w:r>
      <w:r w:rsidRPr="00331D08">
        <w:rPr>
          <w:rFonts w:ascii="Arial" w:eastAsia="仿宋_GB2312" w:hAnsi="Arial" w:cs="Arial" w:hint="eastAsia"/>
          <w:sz w:val="28"/>
        </w:rPr>
        <w:t>1</w:t>
      </w:r>
      <w:r w:rsidRPr="00331D08">
        <w:rPr>
          <w:rFonts w:ascii="Arial" w:eastAsia="仿宋_GB2312" w:hAnsi="Arial" w:cs="Arial"/>
          <w:sz w:val="28"/>
        </w:rPr>
        <w:t>5282</w:t>
      </w:r>
      <w:r w:rsidRPr="00331D08">
        <w:rPr>
          <w:rFonts w:ascii="Arial" w:eastAsia="仿宋_GB2312" w:hAnsi="Arial" w:cs="Arial" w:hint="eastAsia"/>
          <w:sz w:val="28"/>
        </w:rPr>
        <w:t>平方米。</w:t>
      </w:r>
    </w:p>
    <w:p w14:paraId="18C27FAE" w14:textId="53CB84BA" w:rsidR="001106FA" w:rsidRPr="00F631FB" w:rsidRDefault="00331D08" w:rsidP="00331D08">
      <w:pPr>
        <w:spacing w:line="360" w:lineRule="auto"/>
        <w:jc w:val="both"/>
        <w:rPr>
          <w:rFonts w:ascii="Arial" w:eastAsia="仿宋_GB2312" w:hAnsi="Arial" w:cs="Arial"/>
          <w:sz w:val="28"/>
        </w:rPr>
      </w:pPr>
      <w:r>
        <w:rPr>
          <w:rFonts w:ascii="Arial" w:eastAsia="仿宋_GB2312" w:hAnsi="Arial" w:cs="Arial" w:hint="eastAsia"/>
          <w:sz w:val="28"/>
        </w:rPr>
        <w:t>住宅部分</w:t>
      </w:r>
      <w:r w:rsidR="00F36FAD">
        <w:rPr>
          <w:rFonts w:ascii="Arial" w:eastAsia="仿宋_GB2312" w:hAnsi="Arial" w:cs="Arial" w:hint="eastAsia"/>
          <w:sz w:val="28"/>
        </w:rPr>
        <w:t>中</w:t>
      </w:r>
      <w:r w:rsidR="00F36FAD" w:rsidRPr="00331D08">
        <w:rPr>
          <w:rFonts w:ascii="Arial" w:eastAsia="仿宋_GB2312" w:hAnsi="Arial" w:cs="Arial" w:hint="eastAsia"/>
          <w:sz w:val="28"/>
        </w:rPr>
        <w:t>人防室外出入口及其他</w:t>
      </w:r>
      <w:r w:rsidR="00F36FAD">
        <w:rPr>
          <w:rFonts w:ascii="Arial" w:eastAsia="仿宋_GB2312" w:hAnsi="Arial" w:cs="Arial" w:hint="eastAsia"/>
          <w:sz w:val="28"/>
        </w:rPr>
        <w:t>不</w:t>
      </w:r>
      <w:r w:rsidR="00EE4F78">
        <w:rPr>
          <w:rFonts w:ascii="Arial" w:eastAsia="仿宋_GB2312" w:hAnsi="Arial" w:cs="Arial" w:hint="eastAsia"/>
          <w:sz w:val="28"/>
        </w:rPr>
        <w:t>存在</w:t>
      </w:r>
      <w:r>
        <w:rPr>
          <w:rFonts w:ascii="Arial" w:eastAsia="仿宋_GB2312" w:hAnsi="Arial" w:cs="Arial" w:hint="eastAsia"/>
          <w:sz w:val="28"/>
        </w:rPr>
        <w:t>未来</w:t>
      </w:r>
      <w:r w:rsidR="00EE4F78">
        <w:rPr>
          <w:rFonts w:ascii="Arial" w:eastAsia="仿宋_GB2312" w:hAnsi="Arial" w:cs="Arial" w:hint="eastAsia"/>
          <w:sz w:val="28"/>
        </w:rPr>
        <w:t>销售收益，</w:t>
      </w:r>
      <w:proofErr w:type="gramStart"/>
      <w:r w:rsidR="00EE4F78">
        <w:rPr>
          <w:rFonts w:ascii="Arial" w:eastAsia="仿宋_GB2312" w:hAnsi="Arial" w:cs="Arial" w:hint="eastAsia"/>
          <w:sz w:val="28"/>
        </w:rPr>
        <w:t>故开发</w:t>
      </w:r>
      <w:proofErr w:type="gramEnd"/>
      <w:r w:rsidR="00EE4F78">
        <w:rPr>
          <w:rFonts w:ascii="Arial" w:eastAsia="仿宋_GB2312" w:hAnsi="Arial" w:cs="Arial" w:hint="eastAsia"/>
          <w:sz w:val="28"/>
        </w:rPr>
        <w:t>完成后不动产价值仅包含</w:t>
      </w:r>
      <w:r w:rsidR="00F36FAD" w:rsidRPr="00331D08">
        <w:rPr>
          <w:rFonts w:ascii="Arial" w:eastAsia="仿宋_GB2312" w:hAnsi="Arial" w:cs="Arial" w:hint="eastAsia"/>
          <w:sz w:val="28"/>
        </w:rPr>
        <w:t>回迁安置房</w:t>
      </w:r>
      <w:r w:rsidR="00F36FAD">
        <w:rPr>
          <w:rFonts w:ascii="Arial" w:eastAsia="仿宋_GB2312" w:hAnsi="Arial" w:cs="Arial" w:hint="eastAsia"/>
          <w:sz w:val="28"/>
        </w:rPr>
        <w:t>及</w:t>
      </w:r>
      <w:r w:rsidR="00EE4F78">
        <w:rPr>
          <w:rFonts w:ascii="Arial" w:eastAsia="仿宋_GB2312" w:hAnsi="Arial" w:cs="Arial" w:hint="eastAsia"/>
          <w:sz w:val="28"/>
        </w:rPr>
        <w:t>平衡资金商品房部分，建筑面积为</w:t>
      </w:r>
      <w:r w:rsidR="00327999">
        <w:rPr>
          <w:rFonts w:ascii="Arial" w:eastAsia="仿宋_GB2312" w:hAnsi="Arial" w:cs="Arial" w:hint="eastAsia"/>
          <w:sz w:val="28"/>
        </w:rPr>
        <w:t>13920.98+13794.02</w:t>
      </w:r>
      <w:r w:rsidR="00327999">
        <w:rPr>
          <w:rFonts w:ascii="Arial" w:eastAsia="仿宋_GB2312" w:hAnsi="Arial" w:cs="Arial"/>
          <w:sz w:val="28"/>
        </w:rPr>
        <w:t>=</w:t>
      </w:r>
      <w:r w:rsidR="00F36FAD">
        <w:rPr>
          <w:rFonts w:ascii="Arial" w:eastAsia="仿宋_GB2312" w:hAnsi="Arial" w:cs="Arial"/>
          <w:sz w:val="28"/>
        </w:rPr>
        <w:t>27715</w:t>
      </w:r>
      <w:r w:rsidR="00EE4F78">
        <w:rPr>
          <w:rFonts w:ascii="Arial" w:eastAsia="仿宋_GB2312" w:hAnsi="Arial" w:cs="Arial" w:hint="eastAsia"/>
          <w:sz w:val="28"/>
        </w:rPr>
        <w:t>平方米。</w:t>
      </w:r>
    </w:p>
    <w:p w14:paraId="70C2779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开发完成后不动产总价＝</w:t>
      </w:r>
      <w:r w:rsidRPr="00F631FB">
        <w:rPr>
          <w:rFonts w:ascii="Arial" w:eastAsia="仿宋_GB2312" w:hAnsi="Arial" w:cs="Arial" w:hint="eastAsia"/>
          <w:sz w:val="28"/>
        </w:rPr>
        <w:t>比准价格</w:t>
      </w:r>
      <w:r w:rsidRPr="00F631FB">
        <w:rPr>
          <w:rFonts w:ascii="Arial" w:eastAsia="仿宋_GB2312" w:hAnsi="Arial" w:cs="Arial"/>
          <w:sz w:val="28"/>
        </w:rPr>
        <w:t>×</w:t>
      </w:r>
      <w:r w:rsidRPr="00F631FB">
        <w:rPr>
          <w:rFonts w:ascii="Arial" w:eastAsia="仿宋_GB2312" w:hAnsi="Arial" w:cs="Arial"/>
          <w:sz w:val="28"/>
        </w:rPr>
        <w:t>建筑面积</w:t>
      </w:r>
    </w:p>
    <w:p w14:paraId="6F72095B" w14:textId="15DFCE04" w:rsidR="00C80498" w:rsidRPr="00F631FB" w:rsidRDefault="00C80498" w:rsidP="00C80498">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sidR="00F36FAD">
        <w:rPr>
          <w:rFonts w:ascii="Arial" w:eastAsia="仿宋_GB2312" w:hAnsi="Arial" w:cs="Arial"/>
          <w:sz w:val="28"/>
        </w:rPr>
        <w:t>147465</w:t>
      </w:r>
      <w:r w:rsidR="00382993" w:rsidRPr="00F631FB">
        <w:rPr>
          <w:rFonts w:ascii="Arial" w:eastAsia="仿宋_GB2312" w:hAnsi="Arial" w:cs="Arial" w:hint="eastAsia"/>
          <w:sz w:val="28"/>
        </w:rPr>
        <w:t>×</w:t>
      </w:r>
      <w:r w:rsidR="00327999">
        <w:rPr>
          <w:rFonts w:ascii="Arial" w:eastAsia="仿宋_GB2312" w:hAnsi="Arial" w:cs="Arial"/>
          <w:sz w:val="28"/>
        </w:rPr>
        <w:t>27715</w:t>
      </w:r>
      <w:r w:rsidRPr="00F631FB">
        <w:rPr>
          <w:rFonts w:ascii="Arial" w:eastAsia="仿宋_GB2312" w:hAnsi="Arial" w:cs="Arial"/>
          <w:sz w:val="28"/>
        </w:rPr>
        <w:t>÷10000</w:t>
      </w:r>
    </w:p>
    <w:p w14:paraId="04DDE8DD" w14:textId="593D22B3" w:rsidR="00C80498" w:rsidRPr="00F631FB" w:rsidRDefault="00F36FAD" w:rsidP="00C80498">
      <w:pPr>
        <w:spacing w:line="360" w:lineRule="auto"/>
        <w:ind w:firstLineChars="1250" w:firstLine="3500"/>
        <w:jc w:val="both"/>
        <w:rPr>
          <w:rFonts w:ascii="Arial" w:eastAsia="仿宋_GB2312" w:hAnsi="Arial" w:cs="Arial"/>
          <w:sz w:val="28"/>
        </w:rPr>
      </w:pPr>
      <w:r>
        <w:rPr>
          <w:rFonts w:ascii="Arial" w:eastAsia="仿宋_GB2312" w:hAnsi="Arial" w:cs="Arial"/>
          <w:sz w:val="28"/>
        </w:rPr>
        <w:t>=408699</w:t>
      </w:r>
      <w:r w:rsidR="00C80498" w:rsidRPr="00F631FB">
        <w:rPr>
          <w:rFonts w:ascii="Arial" w:eastAsia="仿宋_GB2312" w:hAnsi="Arial" w:cs="Arial"/>
          <w:sz w:val="28"/>
        </w:rPr>
        <w:t>(</w:t>
      </w:r>
      <w:r w:rsidR="00C80498" w:rsidRPr="00F631FB">
        <w:rPr>
          <w:rFonts w:ascii="Arial" w:eastAsia="仿宋_GB2312" w:hAnsi="Arial" w:cs="Arial"/>
          <w:sz w:val="28"/>
        </w:rPr>
        <w:t>万元</w:t>
      </w:r>
      <w:r w:rsidR="00C80498" w:rsidRPr="00F631FB">
        <w:rPr>
          <w:rFonts w:ascii="Arial" w:eastAsia="仿宋_GB2312" w:hAnsi="Arial" w:cs="Arial"/>
          <w:sz w:val="28"/>
        </w:rPr>
        <w:t>)</w:t>
      </w:r>
    </w:p>
    <w:p w14:paraId="503B230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）开发成本</w:t>
      </w:r>
    </w:p>
    <w:p w14:paraId="07BC8F7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sz w:val="28"/>
        </w:rPr>
        <w:t>建造成本</w:t>
      </w:r>
    </w:p>
    <w:p w14:paraId="67D9086B" w14:textId="374B850F" w:rsidR="00C80498"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sz w:val="28"/>
        </w:rPr>
        <w:t>建安费用</w:t>
      </w:r>
    </w:p>
    <w:p w14:paraId="0C24ED8E" w14:textId="2DBD7A6C" w:rsidR="00C80498" w:rsidRPr="00F631FB" w:rsidRDefault="0028694F" w:rsidP="00C8049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由上述</w:t>
      </w:r>
      <w:r w:rsidRPr="0028694F">
        <w:rPr>
          <w:rFonts w:ascii="Arial" w:eastAsia="仿宋_GB2312" w:hAnsi="Arial" w:cs="Arial" w:hint="eastAsia"/>
          <w:sz w:val="28"/>
        </w:rPr>
        <w:t>土地用途及建筑面积表</w:t>
      </w:r>
      <w:r>
        <w:rPr>
          <w:rFonts w:ascii="Arial" w:eastAsia="仿宋_GB2312" w:hAnsi="Arial" w:cs="Arial" w:hint="eastAsia"/>
          <w:sz w:val="28"/>
        </w:rPr>
        <w:t>可知，估价对象总建筑面积</w:t>
      </w:r>
      <w:r>
        <w:rPr>
          <w:rFonts w:ascii="Arial" w:eastAsia="仿宋_GB2312" w:hAnsi="Arial" w:cs="Arial" w:hint="eastAsia"/>
          <w:sz w:val="28"/>
        </w:rPr>
        <w:t>4</w:t>
      </w:r>
      <w:r>
        <w:rPr>
          <w:rFonts w:ascii="Arial" w:eastAsia="仿宋_GB2312" w:hAnsi="Arial" w:cs="Arial"/>
          <w:sz w:val="28"/>
        </w:rPr>
        <w:t>6793</w:t>
      </w:r>
      <w:r>
        <w:rPr>
          <w:rFonts w:ascii="Arial" w:eastAsia="仿宋_GB2312" w:hAnsi="Arial" w:cs="Arial" w:hint="eastAsia"/>
          <w:sz w:val="28"/>
        </w:rPr>
        <w:t>平方米，出让建筑面积为</w:t>
      </w:r>
      <w:r>
        <w:rPr>
          <w:rFonts w:ascii="Arial" w:eastAsia="仿宋_GB2312" w:hAnsi="Arial" w:cs="Arial" w:hint="eastAsia"/>
          <w:sz w:val="28"/>
        </w:rPr>
        <w:t>4</w:t>
      </w:r>
      <w:r>
        <w:rPr>
          <w:rFonts w:ascii="Arial" w:eastAsia="仿宋_GB2312" w:hAnsi="Arial" w:cs="Arial"/>
          <w:sz w:val="28"/>
        </w:rPr>
        <w:t>1888.02</w:t>
      </w:r>
      <w:r>
        <w:rPr>
          <w:rFonts w:ascii="Arial" w:eastAsia="仿宋_GB2312" w:hAnsi="Arial" w:cs="Arial" w:hint="eastAsia"/>
          <w:sz w:val="28"/>
        </w:rPr>
        <w:t>平方米</w:t>
      </w:r>
      <w:r w:rsidR="00DC3337">
        <w:rPr>
          <w:rFonts w:ascii="Arial" w:eastAsia="仿宋_GB2312" w:hAnsi="Arial" w:cs="Arial" w:hint="eastAsia"/>
          <w:sz w:val="28"/>
        </w:rPr>
        <w:t>，</w:t>
      </w:r>
      <w:r>
        <w:rPr>
          <w:rFonts w:ascii="Arial" w:eastAsia="仿宋_GB2312" w:hAnsi="Arial" w:cs="Arial" w:hint="eastAsia"/>
          <w:sz w:val="28"/>
        </w:rPr>
        <w:t>包含住宅用房</w:t>
      </w:r>
      <w:r>
        <w:rPr>
          <w:rFonts w:ascii="Arial" w:eastAsia="仿宋_GB2312" w:hAnsi="Arial" w:cs="Arial" w:hint="eastAsia"/>
          <w:sz w:val="28"/>
        </w:rPr>
        <w:t>2</w:t>
      </w:r>
      <w:r>
        <w:rPr>
          <w:rFonts w:ascii="Arial" w:eastAsia="仿宋_GB2312" w:hAnsi="Arial" w:cs="Arial"/>
          <w:sz w:val="28"/>
        </w:rPr>
        <w:t>8075</w:t>
      </w:r>
      <w:r>
        <w:rPr>
          <w:rFonts w:ascii="Arial" w:eastAsia="仿宋_GB2312" w:hAnsi="Arial" w:cs="Arial" w:hint="eastAsia"/>
          <w:sz w:val="28"/>
        </w:rPr>
        <w:t>平方米。</w:t>
      </w:r>
      <w:r w:rsidR="00C80498" w:rsidRPr="00F631FB">
        <w:rPr>
          <w:rFonts w:ascii="Arial" w:eastAsia="仿宋_GB2312" w:hAnsi="Arial" w:cs="Arial"/>
          <w:sz w:val="28"/>
        </w:rPr>
        <w:t>本次评估参考现行北京市工程概预算定额以及同类建筑的建安水平，同时考虑估价对象建筑结构、设备与装修标准等，综合确定</w:t>
      </w:r>
      <w:r>
        <w:rPr>
          <w:rFonts w:ascii="Arial" w:eastAsia="仿宋_GB2312" w:hAnsi="Arial" w:cs="Arial" w:hint="eastAsia"/>
          <w:sz w:val="28"/>
        </w:rPr>
        <w:t>住宅用房</w:t>
      </w:r>
      <w:r w:rsidR="00C80498" w:rsidRPr="00F631FB">
        <w:rPr>
          <w:rFonts w:ascii="Arial" w:eastAsia="仿宋_GB2312" w:hAnsi="Arial" w:cs="Arial"/>
          <w:sz w:val="28"/>
        </w:rPr>
        <w:t>建安费用为</w:t>
      </w:r>
      <w:r w:rsidR="001106FA">
        <w:rPr>
          <w:rFonts w:ascii="Arial" w:eastAsia="仿宋_GB2312" w:hAnsi="Arial" w:cs="Arial"/>
          <w:sz w:val="28"/>
        </w:rPr>
        <w:t>5000</w:t>
      </w:r>
      <w:r w:rsidR="00C80498" w:rsidRPr="00F631FB">
        <w:rPr>
          <w:rFonts w:ascii="Arial" w:eastAsia="仿宋_GB2312" w:hAnsi="Arial" w:cs="Arial"/>
          <w:sz w:val="28"/>
        </w:rPr>
        <w:t>元</w:t>
      </w:r>
      <w:r w:rsidR="00C80498" w:rsidRPr="00F631FB">
        <w:rPr>
          <w:rFonts w:ascii="Arial" w:eastAsia="仿宋_GB2312" w:hAnsi="Arial" w:cs="Arial"/>
          <w:sz w:val="28"/>
        </w:rPr>
        <w:t>/</w:t>
      </w:r>
      <w:r w:rsidR="00C80498" w:rsidRPr="00F631FB">
        <w:rPr>
          <w:rFonts w:ascii="Arial" w:eastAsia="仿宋_GB2312" w:hAnsi="Arial" w:cs="Arial"/>
          <w:sz w:val="28"/>
        </w:rPr>
        <w:t>平方米，则有：</w:t>
      </w:r>
    </w:p>
    <w:p w14:paraId="7FBA1DA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建安费用＝单方造价</w:t>
      </w:r>
      <w:r w:rsidRPr="00F631FB">
        <w:rPr>
          <w:rFonts w:ascii="Arial" w:eastAsia="仿宋_GB2312" w:hAnsi="Arial" w:cs="Arial"/>
          <w:sz w:val="28"/>
        </w:rPr>
        <w:t>×</w:t>
      </w:r>
      <w:r w:rsidRPr="00F631FB">
        <w:rPr>
          <w:rFonts w:ascii="Arial" w:eastAsia="仿宋_GB2312" w:hAnsi="Arial" w:cs="Arial"/>
          <w:sz w:val="28"/>
        </w:rPr>
        <w:t>建筑面积</w:t>
      </w:r>
    </w:p>
    <w:p w14:paraId="22106AEF" w14:textId="356AA951"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EE4F78">
        <w:rPr>
          <w:rFonts w:ascii="Arial" w:eastAsia="仿宋_GB2312" w:hAnsi="Arial" w:cs="Arial"/>
          <w:sz w:val="28"/>
        </w:rPr>
        <w:t>5000</w:t>
      </w:r>
      <w:r w:rsidR="00EE4F78" w:rsidRPr="00F631FB">
        <w:rPr>
          <w:rFonts w:ascii="Arial" w:eastAsia="仿宋_GB2312" w:hAnsi="Arial" w:cs="Arial"/>
          <w:sz w:val="28"/>
        </w:rPr>
        <w:t>×</w:t>
      </w:r>
      <w:r w:rsidR="00EE4F78">
        <w:rPr>
          <w:rFonts w:ascii="Arial" w:eastAsia="仿宋_GB2312" w:hAnsi="Arial" w:cs="Arial"/>
          <w:sz w:val="28"/>
        </w:rPr>
        <w:t>28075</w:t>
      </w:r>
      <w:r w:rsidRPr="00F631FB">
        <w:rPr>
          <w:rFonts w:ascii="Arial" w:eastAsia="仿宋_GB2312" w:hAnsi="Arial" w:cs="Arial"/>
          <w:sz w:val="28"/>
        </w:rPr>
        <w:t>÷10000</w:t>
      </w:r>
    </w:p>
    <w:p w14:paraId="6AE30F97" w14:textId="0DB4B175"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1106FA">
        <w:rPr>
          <w:rFonts w:ascii="Arial" w:eastAsia="仿宋_GB2312" w:hAnsi="Arial" w:cs="Arial"/>
          <w:sz w:val="28"/>
        </w:rPr>
        <w:t>1</w:t>
      </w:r>
      <w:r w:rsidR="0028694F">
        <w:rPr>
          <w:rFonts w:ascii="Arial" w:eastAsia="仿宋_GB2312" w:hAnsi="Arial" w:cs="Arial"/>
          <w:sz w:val="28"/>
        </w:rPr>
        <w:t>4</w:t>
      </w:r>
      <w:r w:rsidR="00DC3337">
        <w:rPr>
          <w:rFonts w:ascii="Arial" w:eastAsia="仿宋_GB2312" w:hAnsi="Arial" w:cs="Arial"/>
          <w:sz w:val="28"/>
        </w:rPr>
        <w:t>03</w:t>
      </w:r>
      <w:r w:rsidR="0028694F">
        <w:rPr>
          <w:rFonts w:ascii="Arial" w:eastAsia="仿宋_GB2312" w:hAnsi="Arial" w:cs="Arial"/>
          <w:sz w:val="28"/>
        </w:rPr>
        <w:t>8</w:t>
      </w:r>
      <w:r w:rsidR="0028694F">
        <w:rPr>
          <w:rFonts w:ascii="Arial" w:eastAsia="仿宋_GB2312" w:hAnsi="Arial" w:cs="Arial" w:hint="eastAsia"/>
          <w:sz w:val="28"/>
        </w:rPr>
        <w:t>（万元）</w:t>
      </w:r>
    </w:p>
    <w:p w14:paraId="23D9F99C"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sz w:val="28"/>
        </w:rPr>
        <w:t>勘查设计和前期工程费</w:t>
      </w:r>
    </w:p>
    <w:p w14:paraId="7C49A2E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F631FB">
        <w:rPr>
          <w:rFonts w:ascii="Arial" w:eastAsia="仿宋_GB2312" w:hAnsi="Arial" w:cs="Arial"/>
          <w:sz w:val="28"/>
        </w:rPr>
        <w:t>3%</w:t>
      </w:r>
      <w:r w:rsidRPr="00F631FB">
        <w:rPr>
          <w:rFonts w:ascii="Arial" w:eastAsia="仿宋_GB2312" w:hAnsi="Arial" w:cs="Arial"/>
          <w:sz w:val="28"/>
        </w:rPr>
        <w:t>取费，则有：</w:t>
      </w:r>
    </w:p>
    <w:p w14:paraId="2FFC1BF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w:t>
      </w:r>
    </w:p>
    <w:p w14:paraId="75CA943F"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＝建安费用</w:t>
      </w:r>
      <w:r w:rsidRPr="00F631FB">
        <w:rPr>
          <w:rFonts w:ascii="Arial" w:eastAsia="仿宋_GB2312" w:hAnsi="Arial" w:cs="Arial"/>
          <w:sz w:val="28"/>
        </w:rPr>
        <w:t>×</w:t>
      </w:r>
      <w:r w:rsidRPr="00F631FB">
        <w:rPr>
          <w:rFonts w:ascii="Arial" w:eastAsia="仿宋_GB2312" w:hAnsi="Arial" w:cs="Arial"/>
          <w:sz w:val="28"/>
        </w:rPr>
        <w:t>取费标准</w:t>
      </w:r>
    </w:p>
    <w:p w14:paraId="1BBB0EE4" w14:textId="423E0276" w:rsidR="0028694F"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DC3337">
        <w:rPr>
          <w:rFonts w:ascii="Arial" w:eastAsia="仿宋_GB2312" w:hAnsi="Arial" w:cs="Arial"/>
          <w:sz w:val="28"/>
        </w:rPr>
        <w:t>14038</w:t>
      </w:r>
      <w:r w:rsidRPr="00F631FB">
        <w:rPr>
          <w:rFonts w:ascii="Arial" w:eastAsia="仿宋_GB2312" w:hAnsi="Arial" w:cs="Arial"/>
          <w:sz w:val="28"/>
        </w:rPr>
        <w:t>×3%</w:t>
      </w:r>
    </w:p>
    <w:p w14:paraId="77A61ED5" w14:textId="59B9035D"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28694F">
        <w:rPr>
          <w:rFonts w:ascii="Arial" w:eastAsia="仿宋_GB2312" w:hAnsi="Arial" w:cs="Arial"/>
          <w:sz w:val="28"/>
        </w:rPr>
        <w:t>4</w:t>
      </w:r>
      <w:r w:rsidR="00DC3337">
        <w:rPr>
          <w:rFonts w:ascii="Arial" w:eastAsia="仿宋_GB2312" w:hAnsi="Arial" w:cs="Arial"/>
          <w:sz w:val="28"/>
        </w:rPr>
        <w:t>21</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3AF9CB9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sz w:val="28"/>
        </w:rPr>
        <w:t>公共配套设施费用</w:t>
      </w:r>
    </w:p>
    <w:p w14:paraId="1C041D39" w14:textId="74E565ED" w:rsidR="00C80498" w:rsidRPr="00F631FB" w:rsidRDefault="00C80498" w:rsidP="00C80498">
      <w:pPr>
        <w:spacing w:before="50" w:after="50" w:line="360" w:lineRule="auto"/>
        <w:ind w:firstLineChars="200" w:firstLine="560"/>
        <w:jc w:val="both"/>
        <w:rPr>
          <w:rFonts w:ascii="Arial" w:eastAsia="仿宋_GB2312" w:hAnsi="Arial" w:cs="Arial"/>
          <w:sz w:val="28"/>
        </w:rPr>
      </w:pPr>
      <w:r w:rsidRPr="00F631FB">
        <w:rPr>
          <w:rFonts w:ascii="Arial" w:eastAsia="仿宋_GB2312"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sidR="008D5406">
        <w:rPr>
          <w:rFonts w:ascii="Arial" w:eastAsia="仿宋_GB2312" w:hAnsi="Arial" w:cs="Arial"/>
          <w:sz w:val="28"/>
        </w:rPr>
        <w:t>10</w:t>
      </w:r>
      <w:r w:rsidRPr="00F631FB">
        <w:rPr>
          <w:rFonts w:ascii="Arial" w:eastAsia="仿宋_GB2312" w:hAnsi="Arial" w:cs="Arial"/>
          <w:sz w:val="28"/>
        </w:rPr>
        <w:t>%</w:t>
      </w:r>
      <w:r w:rsidRPr="00F631FB">
        <w:rPr>
          <w:rFonts w:ascii="Arial" w:eastAsia="仿宋_GB2312" w:hAnsi="Arial" w:cs="Arial"/>
          <w:sz w:val="28"/>
        </w:rPr>
        <w:t>取费，则有：</w:t>
      </w:r>
    </w:p>
    <w:p w14:paraId="64E1E47A" w14:textId="77777777" w:rsidR="00C80498" w:rsidRPr="00F631FB" w:rsidRDefault="00C80498" w:rsidP="00C80498">
      <w:pPr>
        <w:spacing w:before="50" w:after="50" w:line="360" w:lineRule="auto"/>
        <w:ind w:firstLineChars="200" w:firstLine="560"/>
        <w:rPr>
          <w:rFonts w:ascii="Arial" w:eastAsia="仿宋_GB2312" w:hAnsi="Arial" w:cs="Arial"/>
          <w:sz w:val="28"/>
        </w:rPr>
      </w:pPr>
      <w:r w:rsidRPr="00F631FB">
        <w:rPr>
          <w:rFonts w:ascii="Arial" w:eastAsia="仿宋_GB2312" w:hAnsi="Arial" w:cs="Arial"/>
          <w:sz w:val="28"/>
        </w:rPr>
        <w:t>公共配套设施费用</w:t>
      </w:r>
      <w:r w:rsidRPr="00F631FB">
        <w:rPr>
          <w:rFonts w:ascii="Arial" w:eastAsia="仿宋_GB2312" w:hAnsi="Arial" w:cs="Arial"/>
          <w:sz w:val="28"/>
        </w:rPr>
        <w:t>=</w:t>
      </w:r>
      <w:r w:rsidRPr="00F631FB">
        <w:rPr>
          <w:rFonts w:ascii="Arial" w:eastAsia="仿宋_GB2312" w:hAnsi="Arial" w:cs="Arial"/>
          <w:sz w:val="28"/>
        </w:rPr>
        <w:t>建安费用</w:t>
      </w:r>
      <w:r w:rsidRPr="00F631FB">
        <w:rPr>
          <w:rFonts w:ascii="Arial" w:eastAsia="仿宋_GB2312" w:hAnsi="Arial" w:cs="Arial"/>
          <w:sz w:val="28"/>
        </w:rPr>
        <w:t>×</w:t>
      </w:r>
      <w:r w:rsidRPr="00F631FB">
        <w:rPr>
          <w:rFonts w:ascii="Arial" w:eastAsia="仿宋_GB2312" w:hAnsi="Arial" w:cs="Arial"/>
          <w:sz w:val="28"/>
        </w:rPr>
        <w:t>取费标准</w:t>
      </w:r>
    </w:p>
    <w:p w14:paraId="4907152E" w14:textId="453A0FB2" w:rsidR="00C80498" w:rsidRPr="00F631FB" w:rsidRDefault="00C80498" w:rsidP="00C80498">
      <w:pPr>
        <w:spacing w:before="50" w:after="50" w:line="360" w:lineRule="auto"/>
        <w:ind w:firstLineChars="950" w:firstLine="2660"/>
        <w:jc w:val="both"/>
        <w:rPr>
          <w:rFonts w:ascii="Arial" w:eastAsia="仿宋_GB2312" w:hAnsi="Arial" w:cs="Arial"/>
          <w:sz w:val="28"/>
        </w:rPr>
      </w:pPr>
      <w:r w:rsidRPr="00F631FB">
        <w:rPr>
          <w:rFonts w:ascii="Arial" w:eastAsia="仿宋_GB2312" w:hAnsi="Arial" w:cs="Arial"/>
          <w:sz w:val="28"/>
        </w:rPr>
        <w:t>＝</w:t>
      </w:r>
      <w:r w:rsidR="00DC3337">
        <w:rPr>
          <w:rFonts w:ascii="Arial" w:eastAsia="仿宋_GB2312" w:hAnsi="Arial" w:cs="Arial"/>
          <w:sz w:val="28"/>
        </w:rPr>
        <w:t>14038</w:t>
      </w:r>
      <w:r w:rsidRPr="00F631FB">
        <w:rPr>
          <w:rFonts w:ascii="Arial" w:eastAsia="仿宋_GB2312" w:hAnsi="Arial" w:cs="Arial"/>
          <w:sz w:val="28"/>
        </w:rPr>
        <w:t>×</w:t>
      </w:r>
      <w:r w:rsidR="008D5406">
        <w:rPr>
          <w:rFonts w:ascii="Arial" w:eastAsia="仿宋_GB2312" w:hAnsi="Arial" w:cs="Arial"/>
          <w:sz w:val="28"/>
        </w:rPr>
        <w:t>10</w:t>
      </w:r>
      <w:r w:rsidRPr="00F631FB">
        <w:rPr>
          <w:rFonts w:ascii="Arial" w:eastAsia="仿宋_GB2312" w:hAnsi="Arial" w:cs="Arial"/>
          <w:sz w:val="28"/>
        </w:rPr>
        <w:t>%</w:t>
      </w:r>
    </w:p>
    <w:p w14:paraId="2FC45F07" w14:textId="0F13F0DC" w:rsidR="00C80498" w:rsidRPr="00F631FB" w:rsidRDefault="00C80498" w:rsidP="00C80498">
      <w:pPr>
        <w:spacing w:line="360" w:lineRule="auto"/>
        <w:ind w:firstLineChars="950" w:firstLine="2660"/>
        <w:jc w:val="both"/>
        <w:rPr>
          <w:rFonts w:ascii="Arial" w:eastAsia="仿宋_GB2312" w:hAnsi="Arial" w:cs="Arial"/>
          <w:sz w:val="28"/>
        </w:rPr>
      </w:pPr>
      <w:r w:rsidRPr="00F631FB">
        <w:rPr>
          <w:rFonts w:ascii="Arial" w:eastAsia="仿宋_GB2312" w:hAnsi="Arial" w:cs="Arial"/>
          <w:sz w:val="28"/>
        </w:rPr>
        <w:t>＝</w:t>
      </w:r>
      <w:r w:rsidR="0028694F">
        <w:rPr>
          <w:rFonts w:ascii="Arial" w:eastAsia="仿宋_GB2312" w:hAnsi="Arial" w:cs="Arial"/>
          <w:sz w:val="28"/>
        </w:rPr>
        <w:t>14</w:t>
      </w:r>
      <w:r w:rsidR="00DC3337">
        <w:rPr>
          <w:rFonts w:ascii="Arial" w:eastAsia="仿宋_GB2312" w:hAnsi="Arial" w:cs="Arial"/>
          <w:sz w:val="28"/>
        </w:rPr>
        <w:t>04</w:t>
      </w:r>
      <w:r w:rsidRPr="00F631FB">
        <w:rPr>
          <w:rFonts w:ascii="Arial" w:eastAsia="仿宋_GB2312" w:hAnsi="Arial" w:cs="Arial" w:hint="eastAsia"/>
          <w:sz w:val="28"/>
        </w:rPr>
        <w:t>（</w:t>
      </w:r>
      <w:r w:rsidRPr="00F631FB">
        <w:rPr>
          <w:rFonts w:ascii="Arial" w:eastAsia="仿宋_GB2312" w:hAnsi="Arial" w:cs="Arial"/>
          <w:sz w:val="28"/>
        </w:rPr>
        <w:t>万元</w:t>
      </w:r>
      <w:r w:rsidRPr="00F631FB">
        <w:rPr>
          <w:rFonts w:ascii="Arial" w:eastAsia="仿宋_GB2312" w:hAnsi="Arial" w:cs="Arial" w:hint="eastAsia"/>
          <w:sz w:val="28"/>
        </w:rPr>
        <w:t>）</w:t>
      </w:r>
    </w:p>
    <w:p w14:paraId="1B7E56C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d.</w:t>
      </w:r>
      <w:r w:rsidRPr="00F631FB">
        <w:rPr>
          <w:rFonts w:ascii="Arial" w:eastAsia="仿宋_GB2312" w:hAnsi="Arial" w:cs="Arial"/>
          <w:sz w:val="28"/>
        </w:rPr>
        <w:t>红线内市政基础设施费</w:t>
      </w:r>
    </w:p>
    <w:p w14:paraId="58D4C658"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（即通路、通电、通讯、通上水、通下水、通燃气、通热力），结合估价对象所在区域实际情况确定红线内市政基础设施费为</w:t>
      </w:r>
      <w:r w:rsidRPr="00F631FB">
        <w:rPr>
          <w:rFonts w:ascii="Arial" w:eastAsia="仿宋_GB2312" w:hAnsi="Arial" w:cs="Arial"/>
          <w:sz w:val="28"/>
        </w:rPr>
        <w:t>200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75CA0FEF"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w:t>
      </w:r>
    </w:p>
    <w:p w14:paraId="63D2283A"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105E2233" w14:textId="20C16CEB"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sz w:val="28"/>
        </w:rPr>
        <w:t>28075</w:t>
      </w:r>
      <w:r w:rsidRPr="00F631FB">
        <w:rPr>
          <w:rFonts w:ascii="Arial" w:eastAsia="仿宋_GB2312" w:hAnsi="Arial" w:cs="Arial"/>
          <w:sz w:val="28"/>
        </w:rPr>
        <w:t>×200÷10000</w:t>
      </w:r>
    </w:p>
    <w:p w14:paraId="0652ABF0" w14:textId="11D393B9"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sz w:val="28"/>
        </w:rPr>
        <w:t>562</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2C9ACC83"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相关税费</w:t>
      </w:r>
    </w:p>
    <w:p w14:paraId="49A48B84"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F631FB">
        <w:rPr>
          <w:rFonts w:ascii="Arial" w:eastAsia="仿宋_GB2312" w:hAnsi="Arial" w:cs="Arial"/>
          <w:sz w:val="28"/>
        </w:rPr>
        <w:t>1.5%</w:t>
      </w:r>
      <w:r w:rsidRPr="00F631FB">
        <w:rPr>
          <w:rFonts w:ascii="Arial" w:eastAsia="仿宋_GB2312" w:hAnsi="Arial" w:cs="Arial"/>
          <w:sz w:val="28"/>
        </w:rPr>
        <w:t>取费，则有：</w:t>
      </w:r>
    </w:p>
    <w:p w14:paraId="48891D3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相关税费＝建安费用</w:t>
      </w:r>
      <w:r w:rsidRPr="00F631FB">
        <w:rPr>
          <w:rFonts w:ascii="Arial" w:eastAsia="仿宋_GB2312" w:hAnsi="Arial" w:cs="Arial"/>
          <w:sz w:val="28"/>
        </w:rPr>
        <w:t>×</w:t>
      </w:r>
      <w:r w:rsidRPr="00F631FB">
        <w:rPr>
          <w:rFonts w:ascii="Arial" w:eastAsia="仿宋_GB2312" w:hAnsi="Arial" w:cs="Arial"/>
          <w:sz w:val="28"/>
        </w:rPr>
        <w:t>取费标准</w:t>
      </w:r>
    </w:p>
    <w:p w14:paraId="4F31E3A0" w14:textId="3C599A72"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DC3337">
        <w:rPr>
          <w:rFonts w:ascii="Arial" w:eastAsia="仿宋_GB2312" w:hAnsi="Arial" w:cs="Arial"/>
          <w:sz w:val="28"/>
        </w:rPr>
        <w:t>14038</w:t>
      </w:r>
      <w:r w:rsidRPr="00F631FB">
        <w:rPr>
          <w:rFonts w:ascii="Arial" w:eastAsia="仿宋_GB2312" w:hAnsi="Arial" w:cs="Arial"/>
          <w:sz w:val="28"/>
        </w:rPr>
        <w:t>×1.5%</w:t>
      </w:r>
    </w:p>
    <w:p w14:paraId="47F65082" w14:textId="778F72D4"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sz w:val="28"/>
        </w:rPr>
        <w:t>2</w:t>
      </w:r>
      <w:r w:rsidR="00DC3337">
        <w:rPr>
          <w:rFonts w:ascii="Arial" w:eastAsia="仿宋_GB2312" w:hAnsi="Arial" w:cs="Arial"/>
          <w:sz w:val="28"/>
        </w:rPr>
        <w:t>11</w:t>
      </w:r>
      <w:r w:rsidRPr="00F631FB">
        <w:rPr>
          <w:rFonts w:ascii="Arial" w:eastAsia="仿宋_GB2312" w:hAnsi="Arial" w:cs="Arial"/>
          <w:sz w:val="28"/>
        </w:rPr>
        <w:t>（万元）</w:t>
      </w:r>
    </w:p>
    <w:p w14:paraId="4F7B6DD5"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f.</w:t>
      </w:r>
      <w:r w:rsidRPr="00F631FB">
        <w:rPr>
          <w:rFonts w:ascii="Arial" w:eastAsia="仿宋_GB2312" w:hAnsi="Arial" w:cs="Arial"/>
          <w:sz w:val="28"/>
        </w:rPr>
        <w:t>建造成本</w:t>
      </w:r>
    </w:p>
    <w:p w14:paraId="4D315FB7"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建造成本为上述</w:t>
      </w:r>
      <w:r w:rsidRPr="00F631FB">
        <w:rPr>
          <w:rFonts w:ascii="Arial" w:eastAsia="仿宋_GB2312" w:hAnsi="Arial" w:cs="Arial"/>
          <w:sz w:val="28"/>
        </w:rPr>
        <w:t>5</w:t>
      </w:r>
      <w:r w:rsidRPr="00F631FB">
        <w:rPr>
          <w:rFonts w:ascii="Arial" w:eastAsia="仿宋_GB2312" w:hAnsi="Arial" w:cs="Arial"/>
          <w:sz w:val="28"/>
        </w:rPr>
        <w:t>项之和，则有：</w:t>
      </w:r>
    </w:p>
    <w:p w14:paraId="7A31D96D" w14:textId="26AAEE4E" w:rsidR="00C80498" w:rsidRPr="00F631FB" w:rsidRDefault="00C80498" w:rsidP="00C80498">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建造成本</w:t>
      </w:r>
      <w:r w:rsidRPr="00F631FB">
        <w:rPr>
          <w:rFonts w:ascii="Arial" w:eastAsia="仿宋_GB2312" w:hAnsi="Arial" w:cs="Arial"/>
          <w:sz w:val="28"/>
        </w:rPr>
        <w:t>=</w:t>
      </w:r>
      <w:r w:rsidR="00DC3337">
        <w:rPr>
          <w:rFonts w:ascii="Arial" w:eastAsia="仿宋_GB2312" w:hAnsi="Arial" w:cs="Arial"/>
          <w:sz w:val="28"/>
        </w:rPr>
        <w:t>14038</w:t>
      </w:r>
      <w:r w:rsidRPr="00F631FB">
        <w:rPr>
          <w:rFonts w:ascii="Arial" w:eastAsia="仿宋_GB2312" w:hAnsi="Arial" w:cs="Arial"/>
          <w:sz w:val="28"/>
        </w:rPr>
        <w:t>+</w:t>
      </w:r>
      <w:r w:rsidR="00084DF6">
        <w:rPr>
          <w:rFonts w:ascii="Arial" w:eastAsia="仿宋_GB2312" w:hAnsi="Arial" w:cs="Arial"/>
          <w:sz w:val="28"/>
        </w:rPr>
        <w:t>4</w:t>
      </w:r>
      <w:r w:rsidR="00DC3337">
        <w:rPr>
          <w:rFonts w:ascii="Arial" w:eastAsia="仿宋_GB2312" w:hAnsi="Arial" w:cs="Arial"/>
          <w:sz w:val="28"/>
        </w:rPr>
        <w:t>21</w:t>
      </w:r>
      <w:r w:rsidRPr="00F631FB">
        <w:rPr>
          <w:rFonts w:ascii="Arial" w:eastAsia="仿宋_GB2312" w:hAnsi="Arial" w:cs="Arial"/>
          <w:sz w:val="28"/>
        </w:rPr>
        <w:t>+</w:t>
      </w:r>
      <w:r w:rsidR="001106FA">
        <w:rPr>
          <w:rFonts w:ascii="Arial" w:eastAsia="仿宋_GB2312" w:hAnsi="Arial" w:cs="Arial"/>
          <w:sz w:val="28"/>
        </w:rPr>
        <w:t>1</w:t>
      </w:r>
      <w:r w:rsidR="00084DF6">
        <w:rPr>
          <w:rFonts w:ascii="Arial" w:eastAsia="仿宋_GB2312" w:hAnsi="Arial" w:cs="Arial"/>
          <w:sz w:val="28"/>
        </w:rPr>
        <w:t>4</w:t>
      </w:r>
      <w:r w:rsidR="00DC3337">
        <w:rPr>
          <w:rFonts w:ascii="Arial" w:eastAsia="仿宋_GB2312" w:hAnsi="Arial" w:cs="Arial"/>
          <w:sz w:val="28"/>
        </w:rPr>
        <w:t>04</w:t>
      </w:r>
      <w:r w:rsidR="001106FA">
        <w:rPr>
          <w:rFonts w:ascii="Arial" w:eastAsia="仿宋_GB2312" w:hAnsi="Arial" w:cs="Arial"/>
          <w:sz w:val="28"/>
        </w:rPr>
        <w:t>+</w:t>
      </w:r>
      <w:r w:rsidR="00084DF6">
        <w:rPr>
          <w:rFonts w:ascii="Arial" w:eastAsia="仿宋_GB2312" w:hAnsi="Arial" w:cs="Arial"/>
          <w:sz w:val="28"/>
        </w:rPr>
        <w:t>5</w:t>
      </w:r>
      <w:r w:rsidR="00DC3337">
        <w:rPr>
          <w:rFonts w:ascii="Arial" w:eastAsia="仿宋_GB2312" w:hAnsi="Arial" w:cs="Arial"/>
          <w:sz w:val="28"/>
        </w:rPr>
        <w:t>62</w:t>
      </w:r>
      <w:r w:rsidR="001106FA">
        <w:rPr>
          <w:rFonts w:ascii="Arial" w:eastAsia="仿宋_GB2312" w:hAnsi="Arial" w:cs="Arial"/>
          <w:sz w:val="28"/>
        </w:rPr>
        <w:t>+2</w:t>
      </w:r>
      <w:r w:rsidR="00DC3337">
        <w:rPr>
          <w:rFonts w:ascii="Arial" w:eastAsia="仿宋_GB2312" w:hAnsi="Arial" w:cs="Arial"/>
          <w:sz w:val="28"/>
        </w:rPr>
        <w:t>11</w:t>
      </w:r>
    </w:p>
    <w:p w14:paraId="656F24A7" w14:textId="515152DB" w:rsidR="00C80498" w:rsidRPr="00F631FB" w:rsidRDefault="00C80498" w:rsidP="00C80498">
      <w:pPr>
        <w:spacing w:line="360" w:lineRule="auto"/>
        <w:ind w:firstLineChars="601" w:firstLine="1683"/>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sz w:val="28"/>
        </w:rPr>
        <w:t>1</w:t>
      </w:r>
      <w:r w:rsidR="00DC3337">
        <w:rPr>
          <w:rFonts w:ascii="Arial" w:eastAsia="仿宋_GB2312" w:hAnsi="Arial" w:cs="Arial"/>
          <w:sz w:val="28"/>
        </w:rPr>
        <w:t>6636</w:t>
      </w:r>
      <w:r w:rsidRPr="00F631FB">
        <w:rPr>
          <w:rFonts w:ascii="Arial" w:eastAsia="仿宋_GB2312" w:hAnsi="Arial" w:cs="Arial"/>
          <w:sz w:val="28"/>
        </w:rPr>
        <w:t>（万元）</w:t>
      </w:r>
    </w:p>
    <w:p w14:paraId="73DE16D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B.</w:t>
      </w:r>
      <w:r w:rsidRPr="00F631FB">
        <w:rPr>
          <w:rFonts w:ascii="Arial" w:eastAsia="仿宋_GB2312" w:hAnsi="Arial" w:cs="Arial"/>
          <w:sz w:val="28"/>
        </w:rPr>
        <w:t>城市基础设施建设费</w:t>
      </w:r>
    </w:p>
    <w:p w14:paraId="2A1E75A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城市基础设施建设费是政府向建设单位收取、专项用于城市基础设施和城市共用设施建设，包括城市道路、桥梁、公共交通、供水、燃气、</w:t>
      </w:r>
      <w:hyperlink r:id="rId81" w:tgtFrame="_blank" w:history="1">
        <w:r w:rsidRPr="00F631FB">
          <w:rPr>
            <w:rFonts w:ascii="Arial" w:eastAsia="仿宋_GB2312" w:hAnsi="Arial" w:cs="Arial"/>
            <w:sz w:val="28"/>
          </w:rPr>
          <w:t>污水处理</w:t>
        </w:r>
      </w:hyperlink>
      <w:r w:rsidRPr="00F631FB">
        <w:rPr>
          <w:rFonts w:ascii="Arial" w:eastAsia="仿宋_GB2312" w:hAnsi="Arial" w:cs="Arial"/>
          <w:sz w:val="28"/>
        </w:rPr>
        <w:t>、集中供热、园林、绿化、路灯、环境卫生等设施的建设。估价对象位于</w:t>
      </w:r>
      <w:r w:rsidRPr="00F631FB">
        <w:rPr>
          <w:rFonts w:ascii="Arial" w:eastAsia="仿宋_GB2312" w:hAnsi="Arial" w:cs="Arial"/>
          <w:bCs/>
          <w:sz w:val="28"/>
        </w:rPr>
        <w:t>北京市海淀区，根</w:t>
      </w:r>
      <w:r w:rsidRPr="00F631FB">
        <w:rPr>
          <w:rFonts w:ascii="Arial" w:eastAsia="仿宋_GB2312" w:hAnsi="Arial" w:cs="Arial"/>
          <w:sz w:val="28"/>
        </w:rPr>
        <w:t>据《北京市征收城市基础设施建设费暂行办法》</w:t>
      </w:r>
      <w:r w:rsidRPr="00F631FB">
        <w:rPr>
          <w:rFonts w:ascii="Arial" w:eastAsia="仿宋_GB2312" w:hAnsi="Arial" w:cs="Arial"/>
          <w:sz w:val="28"/>
        </w:rPr>
        <w:t>[</w:t>
      </w:r>
      <w:proofErr w:type="gramStart"/>
      <w:r w:rsidRPr="00F631FB">
        <w:rPr>
          <w:rFonts w:ascii="Arial" w:eastAsia="仿宋_GB2312" w:hAnsi="Arial" w:cs="Arial"/>
          <w:sz w:val="28"/>
        </w:rPr>
        <w:t>京计投资字</w:t>
      </w:r>
      <w:proofErr w:type="gramEnd"/>
      <w:r w:rsidRPr="00F631FB">
        <w:rPr>
          <w:rFonts w:ascii="Arial" w:eastAsia="仿宋_GB2312" w:hAnsi="Arial" w:cs="Arial"/>
          <w:sz w:val="28"/>
        </w:rPr>
        <w:t>[2002]1792</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，估价对象属于北京市区，估价对象应缴的城市基础设施建设费标准为：</w:t>
      </w:r>
      <w:r w:rsidRPr="00F631FB">
        <w:rPr>
          <w:rFonts w:ascii="Arial" w:eastAsia="仿宋_GB2312" w:hAnsi="Arial" w:cs="Arial" w:hint="eastAsia"/>
          <w:sz w:val="28"/>
        </w:rPr>
        <w:t>16</w:t>
      </w:r>
      <w:r w:rsidRPr="00F631FB">
        <w:rPr>
          <w:rFonts w:ascii="Arial" w:eastAsia="仿宋_GB2312" w:hAnsi="Arial" w:cs="Arial"/>
          <w:sz w:val="28"/>
        </w:rPr>
        <w:t>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6D94F2DE"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w:t>
      </w:r>
    </w:p>
    <w:p w14:paraId="06360F03"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62EA89FB" w14:textId="20E1067E"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sz w:val="28"/>
        </w:rPr>
        <w:t>28075</w:t>
      </w:r>
      <w:r w:rsidRPr="00F631FB">
        <w:rPr>
          <w:rFonts w:ascii="Arial" w:eastAsia="仿宋_GB2312" w:hAnsi="Arial" w:cs="Arial"/>
          <w:sz w:val="28"/>
        </w:rPr>
        <w:t>×</w:t>
      </w:r>
      <w:r w:rsidRPr="00F631FB">
        <w:rPr>
          <w:rFonts w:ascii="Arial" w:eastAsia="仿宋_GB2312" w:hAnsi="Arial" w:cs="Arial" w:hint="eastAsia"/>
          <w:sz w:val="28"/>
        </w:rPr>
        <w:t>16</w:t>
      </w:r>
      <w:r w:rsidRPr="00F631FB">
        <w:rPr>
          <w:rFonts w:ascii="Arial" w:eastAsia="仿宋_GB2312" w:hAnsi="Arial" w:cs="Arial"/>
          <w:sz w:val="28"/>
        </w:rPr>
        <w:t>0÷10000</w:t>
      </w:r>
    </w:p>
    <w:p w14:paraId="02602378" w14:textId="563B763F" w:rsidR="00C80498" w:rsidRPr="00F631FB" w:rsidRDefault="00C80498" w:rsidP="001106FA">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sz w:val="28"/>
        </w:rPr>
        <w:t>449</w:t>
      </w:r>
      <w:r w:rsidRPr="00F631FB">
        <w:rPr>
          <w:rFonts w:ascii="Arial" w:eastAsia="仿宋_GB2312" w:hAnsi="Arial" w:cs="Arial"/>
          <w:sz w:val="28"/>
        </w:rPr>
        <w:t>（万元）</w:t>
      </w:r>
    </w:p>
    <w:p w14:paraId="3D3D594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sz w:val="28"/>
        </w:rPr>
        <w:t>管理费用</w:t>
      </w:r>
    </w:p>
    <w:p w14:paraId="75960853" w14:textId="2239B6F4"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F631FB">
        <w:rPr>
          <w:rFonts w:ascii="Arial" w:eastAsia="仿宋_GB2312" w:hAnsi="Arial" w:cs="Arial"/>
          <w:sz w:val="28"/>
        </w:rPr>
        <w:t>2</w:t>
      </w:r>
      <w:r w:rsidRPr="00F631FB">
        <w:rPr>
          <w:rFonts w:ascii="Arial" w:eastAsia="仿宋_GB2312" w:hAnsi="Arial" w:cs="Arial"/>
          <w:sz w:val="28"/>
        </w:rPr>
        <w:t>项的</w:t>
      </w:r>
      <w:r w:rsidR="001106FA">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sz w:val="28"/>
        </w:rPr>
        <w:t>计算，则有：</w:t>
      </w:r>
    </w:p>
    <w:p w14:paraId="17CA56B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管理费用</w:t>
      </w:r>
    </w:p>
    <w:p w14:paraId="486D2FA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A+B</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取费标准</w:t>
      </w:r>
    </w:p>
    <w:p w14:paraId="1FC9E19A" w14:textId="2FFBC4AD"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sz w:val="28"/>
        </w:rPr>
        <w:t>1</w:t>
      </w:r>
      <w:r w:rsidR="00DC3337">
        <w:rPr>
          <w:rFonts w:ascii="Arial" w:eastAsia="仿宋_GB2312" w:hAnsi="Arial" w:cs="Arial"/>
          <w:sz w:val="28"/>
        </w:rPr>
        <w:t>6636</w:t>
      </w:r>
      <w:r w:rsidR="008D5406">
        <w:rPr>
          <w:rFonts w:ascii="Arial" w:eastAsia="仿宋_GB2312" w:hAnsi="Arial" w:cs="Arial"/>
          <w:sz w:val="28"/>
        </w:rPr>
        <w:t>+</w:t>
      </w:r>
      <w:r w:rsidR="00084DF6">
        <w:rPr>
          <w:rFonts w:ascii="Arial" w:eastAsia="仿宋_GB2312" w:hAnsi="Arial" w:cs="Arial"/>
          <w:sz w:val="28"/>
        </w:rPr>
        <w:t>449</w:t>
      </w:r>
      <w:r w:rsidRPr="00F631FB">
        <w:rPr>
          <w:rFonts w:ascii="Arial" w:eastAsia="仿宋_GB2312" w:hAnsi="Arial" w:cs="Arial"/>
          <w:sz w:val="28"/>
        </w:rPr>
        <w:t>）</w:t>
      </w:r>
      <w:r w:rsidRPr="00F631FB">
        <w:rPr>
          <w:rFonts w:ascii="Arial" w:eastAsia="仿宋_GB2312" w:hAnsi="Arial" w:cs="Arial"/>
          <w:sz w:val="28"/>
        </w:rPr>
        <w:t>×</w:t>
      </w:r>
      <w:r w:rsidR="001106FA">
        <w:rPr>
          <w:rFonts w:ascii="Arial" w:eastAsia="仿宋_GB2312" w:hAnsi="Arial" w:cs="Arial"/>
          <w:sz w:val="28"/>
        </w:rPr>
        <w:t>2</w:t>
      </w:r>
      <w:r w:rsidRPr="00F631FB">
        <w:rPr>
          <w:rFonts w:ascii="Arial" w:eastAsia="仿宋_GB2312" w:hAnsi="Arial" w:cs="Arial"/>
          <w:sz w:val="28"/>
        </w:rPr>
        <w:t>%</w:t>
      </w:r>
    </w:p>
    <w:p w14:paraId="1EE092CF" w14:textId="1AB5C0CF"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sz w:val="28"/>
        </w:rPr>
        <w:t>3</w:t>
      </w:r>
      <w:r w:rsidR="00DC3337">
        <w:rPr>
          <w:rFonts w:ascii="Arial" w:eastAsia="仿宋_GB2312" w:hAnsi="Arial" w:cs="Arial"/>
          <w:sz w:val="28"/>
        </w:rPr>
        <w:t>42</w:t>
      </w:r>
      <w:r w:rsidRPr="00F631FB">
        <w:rPr>
          <w:rFonts w:ascii="Arial" w:eastAsia="仿宋_GB2312" w:hAnsi="Arial" w:cs="Arial"/>
          <w:sz w:val="28"/>
        </w:rPr>
        <w:t>（万元）</w:t>
      </w:r>
    </w:p>
    <w:p w14:paraId="286CDC14" w14:textId="77777777" w:rsidR="00C80498" w:rsidRPr="00F631FB" w:rsidRDefault="00C80498" w:rsidP="00C80498">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sz w:val="28"/>
        </w:rPr>
        <w:t>销售费用</w:t>
      </w:r>
    </w:p>
    <w:p w14:paraId="7343ACAD" w14:textId="71A842F5" w:rsidR="00C80498" w:rsidRPr="00F631FB" w:rsidRDefault="00C80498" w:rsidP="00C80498">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lastRenderedPageBreak/>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1106FA">
        <w:rPr>
          <w:rFonts w:ascii="Arial" w:eastAsia="仿宋_GB2312" w:hAnsi="Arial" w:cs="Arial" w:hint="eastAsia"/>
          <w:sz w:val="28"/>
        </w:rPr>
        <w:t>2</w:t>
      </w:r>
      <w:r w:rsidRPr="00F631FB">
        <w:rPr>
          <w:rFonts w:ascii="Arial" w:eastAsia="仿宋_GB2312" w:hAnsi="Arial" w:cs="Arial"/>
          <w:sz w:val="28"/>
        </w:rPr>
        <w:t>%</w:t>
      </w:r>
      <w:r w:rsidRPr="00F631FB">
        <w:rPr>
          <w:rFonts w:ascii="Arial" w:eastAsia="仿宋_GB2312" w:hAnsi="Arial" w:cs="Arial"/>
          <w:sz w:val="28"/>
        </w:rPr>
        <w:t>计算。</w:t>
      </w:r>
    </w:p>
    <w:p w14:paraId="064458A5" w14:textId="7B6ADE3B" w:rsidR="00C80498" w:rsidRPr="00F631FB" w:rsidRDefault="00C80498" w:rsidP="00C80498">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销售费用＝</w:t>
      </w:r>
      <w:r w:rsidR="00F36FAD">
        <w:rPr>
          <w:rFonts w:ascii="Arial" w:eastAsia="仿宋_GB2312" w:hAnsi="Arial" w:cs="Arial"/>
          <w:sz w:val="28"/>
        </w:rPr>
        <w:t>408699</w:t>
      </w:r>
      <w:r w:rsidRPr="00F631FB">
        <w:rPr>
          <w:rFonts w:ascii="Arial" w:eastAsia="仿宋_GB2312" w:hAnsi="Arial" w:cs="Arial"/>
          <w:sz w:val="28"/>
        </w:rPr>
        <w:t>×</w:t>
      </w:r>
      <w:r w:rsidR="001106FA">
        <w:rPr>
          <w:rFonts w:ascii="Arial" w:eastAsia="仿宋_GB2312" w:hAnsi="Arial" w:cs="Arial"/>
          <w:sz w:val="28"/>
        </w:rPr>
        <w:t>2</w:t>
      </w:r>
      <w:r w:rsidRPr="00F631FB">
        <w:rPr>
          <w:rFonts w:ascii="Arial" w:eastAsia="仿宋_GB2312" w:hAnsi="Arial" w:cs="Arial"/>
          <w:sz w:val="28"/>
        </w:rPr>
        <w:t>%=</w:t>
      </w:r>
      <w:r w:rsidR="00F36FAD">
        <w:rPr>
          <w:rFonts w:ascii="Arial" w:eastAsia="仿宋_GB2312" w:hAnsi="Arial" w:cs="Arial"/>
          <w:sz w:val="28"/>
        </w:rPr>
        <w:t>8174</w:t>
      </w:r>
      <w:r w:rsidRPr="00F631FB">
        <w:rPr>
          <w:rFonts w:ascii="Arial" w:eastAsia="仿宋_GB2312" w:hAnsi="Arial" w:cs="Arial"/>
          <w:sz w:val="28"/>
        </w:rPr>
        <w:t>（万元）</w:t>
      </w:r>
    </w:p>
    <w:p w14:paraId="070965B8"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购地税费</w:t>
      </w:r>
    </w:p>
    <w:p w14:paraId="0E900B07"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假设土地价格为</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，买方购买估价对象税费主要为契税及印花税，税率为</w:t>
      </w:r>
      <w:r w:rsidRPr="00F631FB">
        <w:rPr>
          <w:rFonts w:ascii="Arial" w:eastAsia="仿宋_GB2312" w:hAnsi="Arial" w:cs="Arial"/>
          <w:sz w:val="28"/>
        </w:rPr>
        <w:t>3.05%</w:t>
      </w:r>
      <w:r w:rsidRPr="00F631FB">
        <w:rPr>
          <w:rFonts w:ascii="Arial" w:eastAsia="仿宋_GB2312" w:hAnsi="Arial" w:cs="Arial"/>
          <w:sz w:val="28"/>
        </w:rPr>
        <w:t>，则有：</w:t>
      </w:r>
    </w:p>
    <w:p w14:paraId="4703D473"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购地税费＝土地价格</w:t>
      </w:r>
      <w:r w:rsidRPr="00F631FB">
        <w:rPr>
          <w:rFonts w:ascii="Arial" w:eastAsia="仿宋_GB2312" w:hAnsi="Arial" w:cs="Arial"/>
          <w:sz w:val="28"/>
        </w:rPr>
        <w:t>×</w:t>
      </w:r>
      <w:r w:rsidRPr="00F631FB">
        <w:rPr>
          <w:rFonts w:ascii="Arial" w:eastAsia="仿宋_GB2312" w:hAnsi="Arial" w:cs="Arial"/>
          <w:sz w:val="28"/>
        </w:rPr>
        <w:t>税率</w:t>
      </w:r>
    </w:p>
    <w:p w14:paraId="78FA0F7F" w14:textId="77777777"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w:t>
      </w:r>
      <w:r w:rsidRPr="00F631FB">
        <w:rPr>
          <w:rFonts w:ascii="Arial" w:eastAsia="仿宋_GB2312" w:hAnsi="Arial" w:cs="Arial"/>
          <w:sz w:val="28"/>
        </w:rPr>
        <w:t>（万元）</w:t>
      </w:r>
    </w:p>
    <w:p w14:paraId="2C318588" w14:textId="77777777" w:rsidR="00C80498" w:rsidRPr="00F631FB" w:rsidRDefault="00C80498" w:rsidP="00C80498">
      <w:pPr>
        <w:pStyle w:val="11"/>
        <w:rPr>
          <w:rFonts w:ascii="Arial" w:hAnsi="Arial" w:cs="Arial"/>
        </w:rPr>
      </w:pPr>
      <w:r w:rsidRPr="00F631FB">
        <w:rPr>
          <w:rFonts w:ascii="Arial" w:hAnsi="Arial" w:cs="Arial"/>
        </w:rPr>
        <w:t>F.</w:t>
      </w:r>
      <w:r w:rsidRPr="00F631FB">
        <w:rPr>
          <w:rFonts w:ascii="Arial" w:hAnsi="Arial" w:cs="Arial"/>
        </w:rPr>
        <w:t>贷款利息</w:t>
      </w:r>
    </w:p>
    <w:p w14:paraId="02DC78C5" w14:textId="23A0E5F3"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估价对象建筑物建设期为</w:t>
      </w:r>
      <w:r w:rsidR="000B1304">
        <w:rPr>
          <w:rFonts w:ascii="Arial" w:eastAsia="仿宋_GB2312" w:hAnsi="Arial" w:cs="Arial"/>
          <w:sz w:val="28"/>
        </w:rPr>
        <w:t>3</w:t>
      </w:r>
      <w:r w:rsidRPr="00F631FB">
        <w:rPr>
          <w:rFonts w:ascii="Arial" w:eastAsia="仿宋_GB2312" w:hAnsi="Arial" w:cs="Arial"/>
          <w:sz w:val="28"/>
        </w:rPr>
        <w:t>年。估价对象土地价格（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）及购地税费在估价期日一次性付清，建造成本、土地开发费、城市基础设施建设费、管理费用于建设期内均匀投入，取</w:t>
      </w:r>
      <w:r w:rsidRPr="00F631FB">
        <w:rPr>
          <w:rFonts w:ascii="Arial" w:eastAsia="仿宋_GB2312" w:hAnsi="Arial" w:cs="Arial"/>
          <w:sz w:val="28"/>
        </w:rPr>
        <w:t>1</w:t>
      </w: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年期固定资产贷款年利息率</w:t>
      </w:r>
      <w:r w:rsidRPr="00F631FB">
        <w:rPr>
          <w:rFonts w:ascii="Arial" w:eastAsia="仿宋_GB2312" w:hAnsi="Arial" w:cs="Arial"/>
          <w:sz w:val="28"/>
        </w:rPr>
        <w:t>4.75%</w:t>
      </w:r>
      <w:r w:rsidRPr="00F631FB">
        <w:rPr>
          <w:rFonts w:ascii="Arial" w:eastAsia="仿宋_GB2312" w:hAnsi="Arial" w:cs="Arial"/>
          <w:sz w:val="28"/>
        </w:rPr>
        <w:t>，以复利计息。则有：</w:t>
      </w:r>
    </w:p>
    <w:p w14:paraId="5F11C02F"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贷款利息</w:t>
      </w:r>
    </w:p>
    <w:p w14:paraId="4706A1C5" w14:textId="5ECCBBA2" w:rsidR="00C80498" w:rsidRPr="00F631FB" w:rsidRDefault="00C80498" w:rsidP="00C80498">
      <w:pPr>
        <w:spacing w:before="50" w:after="50" w:line="360" w:lineRule="auto"/>
        <w:ind w:firstLineChars="200" w:firstLine="560"/>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×0.0305)×[(1+ 4.75%)</w:t>
      </w:r>
      <w:r w:rsidR="000B1304">
        <w:rPr>
          <w:rFonts w:ascii="Arial" w:eastAsia="仿宋_GB2312" w:hAnsi="Arial" w:cs="Arial"/>
          <w:sz w:val="28"/>
          <w:vertAlign w:val="superscript"/>
        </w:rPr>
        <w:t>3</w:t>
      </w:r>
      <w:r w:rsidRPr="00F631FB">
        <w:rPr>
          <w:rFonts w:ascii="Arial" w:eastAsia="仿宋_GB2312" w:hAnsi="Arial" w:cs="Arial"/>
          <w:sz w:val="28"/>
        </w:rPr>
        <w:t>-1]+</w:t>
      </w:r>
      <w:r w:rsidRPr="00F631FB">
        <w:rPr>
          <w:rFonts w:ascii="Arial" w:eastAsia="仿宋_GB2312" w:hAnsi="Arial" w:cs="Arial"/>
          <w:sz w:val="28"/>
        </w:rPr>
        <w:t>（</w:t>
      </w:r>
      <w:r w:rsidR="00C6640C">
        <w:rPr>
          <w:rFonts w:ascii="Arial" w:eastAsia="仿宋_GB2312" w:hAnsi="Arial" w:cs="Arial"/>
          <w:sz w:val="28"/>
        </w:rPr>
        <w:t>16636+</w:t>
      </w:r>
      <w:r w:rsidR="00084DF6">
        <w:rPr>
          <w:rFonts w:ascii="Arial" w:eastAsia="仿宋_GB2312" w:hAnsi="Arial" w:cs="Arial"/>
          <w:sz w:val="28"/>
        </w:rPr>
        <w:t>449</w:t>
      </w:r>
      <w:r w:rsidR="000B1304">
        <w:rPr>
          <w:rFonts w:ascii="Arial" w:eastAsia="仿宋_GB2312" w:hAnsi="Arial" w:cs="Arial"/>
          <w:sz w:val="28"/>
        </w:rPr>
        <w:t>+</w:t>
      </w:r>
      <w:r w:rsidR="00084DF6">
        <w:rPr>
          <w:rFonts w:ascii="Arial" w:eastAsia="仿宋_GB2312" w:hAnsi="Arial" w:cs="Arial"/>
          <w:sz w:val="28"/>
        </w:rPr>
        <w:t>3</w:t>
      </w:r>
      <w:r w:rsidR="00C6640C">
        <w:rPr>
          <w:rFonts w:ascii="Arial" w:eastAsia="仿宋_GB2312" w:hAnsi="Arial" w:cs="Arial"/>
          <w:sz w:val="28"/>
        </w:rPr>
        <w:t>42</w:t>
      </w:r>
      <w:r w:rsidRPr="00F631FB">
        <w:rPr>
          <w:rFonts w:ascii="Arial" w:eastAsia="仿宋_GB2312" w:hAnsi="Arial" w:cs="Arial"/>
          <w:sz w:val="28"/>
        </w:rPr>
        <w:t>+</w:t>
      </w:r>
      <w:r w:rsidR="00F36FAD">
        <w:rPr>
          <w:rFonts w:ascii="Arial" w:eastAsia="仿宋_GB2312" w:hAnsi="Arial" w:cs="Arial"/>
          <w:sz w:val="28"/>
        </w:rPr>
        <w:t>8174</w:t>
      </w:r>
      <w:r w:rsidRPr="00F631FB">
        <w:rPr>
          <w:rFonts w:ascii="Arial" w:eastAsia="仿宋_GB2312" w:hAnsi="Arial" w:cs="Arial"/>
          <w:sz w:val="28"/>
        </w:rPr>
        <w:t>）</w:t>
      </w:r>
      <w:r w:rsidRPr="00F631FB">
        <w:rPr>
          <w:rFonts w:ascii="Arial" w:eastAsia="仿宋_GB2312" w:hAnsi="Arial" w:cs="Arial"/>
          <w:sz w:val="28"/>
        </w:rPr>
        <w:t>×[(1+ 4.75%)</w:t>
      </w:r>
      <w:r w:rsidR="000B1304">
        <w:rPr>
          <w:rFonts w:ascii="Arial" w:eastAsia="仿宋_GB2312" w:hAnsi="Arial" w:cs="Arial"/>
          <w:sz w:val="28"/>
          <w:vertAlign w:val="superscript"/>
        </w:rPr>
        <w:t>3</w:t>
      </w:r>
      <w:r w:rsidRPr="00F631FB">
        <w:rPr>
          <w:rFonts w:ascii="Arial" w:eastAsia="仿宋_GB2312" w:hAnsi="Arial" w:cs="Arial"/>
          <w:sz w:val="28"/>
          <w:vertAlign w:val="superscript"/>
        </w:rPr>
        <w:t>÷2</w:t>
      </w:r>
      <w:r w:rsidRPr="00F631FB">
        <w:rPr>
          <w:rFonts w:ascii="Arial" w:eastAsia="仿宋_GB2312" w:hAnsi="Arial" w:cs="Arial"/>
          <w:sz w:val="28"/>
        </w:rPr>
        <w:t>-1]</w:t>
      </w:r>
      <w:r w:rsidRPr="00F631FB">
        <w:rPr>
          <w:rFonts w:ascii="Arial" w:eastAsia="仿宋_GB2312" w:hAnsi="Arial" w:cs="Arial"/>
          <w:sz w:val="28"/>
        </w:rPr>
        <w:t>＝</w:t>
      </w:r>
      <w:r w:rsidR="00F36FAD">
        <w:rPr>
          <w:rFonts w:ascii="Arial" w:eastAsia="仿宋_GB2312" w:hAnsi="Arial" w:cs="Arial"/>
          <w:sz w:val="28"/>
        </w:rPr>
        <w:t>1846</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w:t>
      </w:r>
      <w:r w:rsidR="00444D2F">
        <w:rPr>
          <w:rFonts w:ascii="Arial" w:eastAsia="仿宋_GB2312" w:hAnsi="Arial" w:cs="Arial"/>
          <w:sz w:val="28"/>
        </w:rPr>
        <w:t>1539</w:t>
      </w:r>
      <w:r w:rsidRPr="00F631FB">
        <w:rPr>
          <w:rFonts w:ascii="Arial" w:eastAsia="仿宋_GB2312" w:hAnsi="Arial" w:cs="Arial"/>
          <w:sz w:val="28"/>
        </w:rPr>
        <w:t xml:space="preserve"> (</w:t>
      </w:r>
      <w:r w:rsidRPr="00F631FB">
        <w:rPr>
          <w:rFonts w:ascii="Arial" w:eastAsia="仿宋_GB2312" w:hAnsi="Arial" w:cs="Arial"/>
          <w:sz w:val="28"/>
        </w:rPr>
        <w:t>万元</w:t>
      </w:r>
      <w:r w:rsidRPr="00F631FB">
        <w:rPr>
          <w:rFonts w:ascii="Arial" w:eastAsia="仿宋_GB2312" w:hAnsi="Arial" w:cs="Arial"/>
          <w:sz w:val="28"/>
        </w:rPr>
        <w:t>)</w:t>
      </w:r>
    </w:p>
    <w:p w14:paraId="6478D31D" w14:textId="77777777" w:rsidR="00C80498" w:rsidRPr="00F631FB" w:rsidRDefault="00C80498" w:rsidP="00C80498">
      <w:pPr>
        <w:pStyle w:val="11"/>
        <w:rPr>
          <w:rFonts w:ascii="Arial" w:hAnsi="Arial" w:cs="Arial"/>
        </w:rPr>
      </w:pPr>
      <w:r w:rsidRPr="00F631FB">
        <w:rPr>
          <w:rFonts w:ascii="Arial" w:hAnsi="Arial" w:cs="Arial"/>
        </w:rPr>
        <w:t>G.</w:t>
      </w:r>
      <w:r w:rsidRPr="00F631FB">
        <w:rPr>
          <w:rFonts w:ascii="Arial" w:hAnsi="Arial" w:cs="Arial"/>
        </w:rPr>
        <w:t>销售税费</w:t>
      </w:r>
      <w:r w:rsidRPr="00F631FB">
        <w:rPr>
          <w:rFonts w:ascii="Arial" w:hAnsi="Arial" w:cs="Arial"/>
        </w:rPr>
        <w:tab/>
      </w:r>
    </w:p>
    <w:p w14:paraId="0A47E37E"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本处所指销售税费是指国家规定的相关销售税费。国家规定的相关销售</w:t>
      </w:r>
      <w:r w:rsidRPr="00F631FB">
        <w:rPr>
          <w:rFonts w:ascii="Arial" w:eastAsia="仿宋_GB2312" w:hAnsi="Arial" w:cs="Arial"/>
          <w:sz w:val="28"/>
        </w:rPr>
        <w:lastRenderedPageBreak/>
        <w:t>税费包括增值税、城市维护建设税、教育费附加及地方教育附加。由于增值税的计税销售额为不含税销售额，故以估价对象开发完成后不动产总价扣除增值税税额为基数计缴，税率为</w:t>
      </w:r>
      <w:r w:rsidRPr="00F631FB">
        <w:rPr>
          <w:rFonts w:ascii="Arial" w:eastAsia="仿宋_GB2312" w:hAnsi="Arial" w:cs="Arial"/>
          <w:sz w:val="28"/>
        </w:rPr>
        <w:t>5.6%</w:t>
      </w:r>
      <w:r w:rsidRPr="00F631FB">
        <w:rPr>
          <w:rFonts w:ascii="Arial" w:eastAsia="仿宋_GB2312" w:hAnsi="Arial" w:cs="Arial"/>
          <w:sz w:val="28"/>
        </w:rPr>
        <w:t>（其中增值税征收率为</w:t>
      </w:r>
      <w:r w:rsidRPr="00F631FB">
        <w:rPr>
          <w:rFonts w:ascii="Arial" w:eastAsia="仿宋_GB2312" w:hAnsi="Arial" w:cs="Arial"/>
          <w:sz w:val="28"/>
        </w:rPr>
        <w:t>5%</w:t>
      </w:r>
      <w:r w:rsidRPr="00F631FB">
        <w:rPr>
          <w:rFonts w:ascii="Arial" w:eastAsia="仿宋_GB2312" w:hAnsi="Arial" w:cs="Arial"/>
          <w:sz w:val="28"/>
        </w:rPr>
        <w:t>，附加税费为</w:t>
      </w:r>
      <w:r w:rsidRPr="00F631FB">
        <w:rPr>
          <w:rFonts w:ascii="Arial" w:eastAsia="仿宋_GB2312" w:hAnsi="Arial" w:cs="Arial"/>
          <w:sz w:val="28"/>
        </w:rPr>
        <w:t>0.6%</w:t>
      </w:r>
      <w:r w:rsidRPr="00F631FB">
        <w:rPr>
          <w:rFonts w:ascii="Arial" w:eastAsia="仿宋_GB2312" w:hAnsi="Arial" w:cs="Arial"/>
          <w:sz w:val="28"/>
        </w:rPr>
        <w:t>）。则有：</w:t>
      </w:r>
    </w:p>
    <w:p w14:paraId="02EF1818" w14:textId="67DF852A"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销售税费＝</w:t>
      </w:r>
      <w:r w:rsidR="00F36FAD">
        <w:rPr>
          <w:rFonts w:ascii="Arial" w:eastAsia="仿宋_GB2312" w:hAnsi="Arial" w:cs="Arial"/>
          <w:sz w:val="28"/>
        </w:rPr>
        <w:t>408699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1+5%</w:t>
      </w:r>
      <w:r w:rsidRPr="00F631FB">
        <w:rPr>
          <w:rFonts w:ascii="Arial" w:eastAsia="仿宋_GB2312" w:hAnsi="Arial" w:cs="Arial"/>
          <w:sz w:val="28"/>
        </w:rPr>
        <w:t>）</w:t>
      </w:r>
      <w:r w:rsidRPr="00F631FB">
        <w:rPr>
          <w:rFonts w:ascii="Arial" w:eastAsia="仿宋_GB2312" w:hAnsi="Arial" w:cs="Arial"/>
          <w:sz w:val="28"/>
        </w:rPr>
        <w:t>×5.6%</w:t>
      </w:r>
      <w:r w:rsidRPr="00F631FB">
        <w:rPr>
          <w:rFonts w:ascii="Arial" w:eastAsia="仿宋_GB2312" w:hAnsi="Arial" w:cs="Arial"/>
          <w:sz w:val="28"/>
        </w:rPr>
        <w:t>＝</w:t>
      </w:r>
      <w:r w:rsidR="00F36FAD">
        <w:rPr>
          <w:rFonts w:ascii="Arial" w:eastAsia="仿宋_GB2312" w:hAnsi="Arial" w:cs="Arial"/>
          <w:sz w:val="28"/>
        </w:rPr>
        <w:t>21797</w:t>
      </w:r>
      <w:r w:rsidRPr="00F631FB">
        <w:rPr>
          <w:rFonts w:ascii="Arial" w:eastAsia="仿宋_GB2312" w:hAnsi="Arial" w:cs="Arial"/>
          <w:sz w:val="28"/>
        </w:rPr>
        <w:t>（万元）</w:t>
      </w:r>
    </w:p>
    <w:p w14:paraId="297BF07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H.</w:t>
      </w:r>
      <w:r w:rsidRPr="00F631FB">
        <w:rPr>
          <w:rFonts w:ascii="Arial" w:eastAsia="仿宋_GB2312" w:hAnsi="Arial" w:cs="Arial"/>
          <w:sz w:val="28"/>
        </w:rPr>
        <w:t>开发成本</w:t>
      </w:r>
    </w:p>
    <w:p w14:paraId="12C5C5D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开发成本为上述</w:t>
      </w:r>
      <w:r w:rsidRPr="00F631FB">
        <w:rPr>
          <w:rFonts w:ascii="Arial" w:eastAsia="仿宋_GB2312" w:hAnsi="Arial" w:cs="Arial"/>
          <w:sz w:val="28"/>
        </w:rPr>
        <w:t>7</w:t>
      </w:r>
      <w:r w:rsidRPr="00F631FB">
        <w:rPr>
          <w:rFonts w:ascii="Arial" w:eastAsia="仿宋_GB2312" w:hAnsi="Arial" w:cs="Arial"/>
          <w:sz w:val="28"/>
        </w:rPr>
        <w:t>项合计，则有：</w:t>
      </w:r>
    </w:p>
    <w:p w14:paraId="48440FE4"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w:t>
      </w:r>
    </w:p>
    <w:p w14:paraId="7622738B" w14:textId="142EEB1B"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C6640C">
        <w:rPr>
          <w:rFonts w:ascii="Arial" w:eastAsia="仿宋_GB2312" w:hAnsi="Arial" w:cs="Arial"/>
          <w:sz w:val="28"/>
        </w:rPr>
        <w:t>16636</w:t>
      </w:r>
      <w:r w:rsidR="00084DF6" w:rsidRPr="00F631FB">
        <w:rPr>
          <w:rFonts w:ascii="Arial" w:eastAsia="仿宋_GB2312" w:hAnsi="Arial" w:cs="Arial"/>
          <w:sz w:val="28"/>
        </w:rPr>
        <w:t>+</w:t>
      </w:r>
      <w:r w:rsidR="00084DF6">
        <w:rPr>
          <w:rFonts w:ascii="Arial" w:eastAsia="仿宋_GB2312" w:hAnsi="Arial" w:cs="Arial"/>
          <w:sz w:val="28"/>
        </w:rPr>
        <w:t>449+</w:t>
      </w:r>
      <w:r w:rsidR="00C6640C">
        <w:rPr>
          <w:rFonts w:ascii="Arial" w:eastAsia="仿宋_GB2312" w:hAnsi="Arial" w:cs="Arial"/>
          <w:sz w:val="28"/>
        </w:rPr>
        <w:t>342</w:t>
      </w:r>
      <w:r w:rsidR="00084DF6" w:rsidRPr="00F631FB">
        <w:rPr>
          <w:rFonts w:ascii="Arial" w:eastAsia="仿宋_GB2312" w:hAnsi="Arial" w:cs="Arial"/>
          <w:sz w:val="28"/>
        </w:rPr>
        <w:t>+</w:t>
      </w:r>
      <w:r w:rsidR="00F36FAD">
        <w:rPr>
          <w:rFonts w:ascii="Arial" w:eastAsia="仿宋_GB2312" w:hAnsi="Arial" w:cs="Arial"/>
          <w:sz w:val="28"/>
        </w:rPr>
        <w:t>8174</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×0.0305+</w:t>
      </w:r>
      <w:r w:rsidR="00F36FAD">
        <w:rPr>
          <w:rFonts w:ascii="Arial" w:eastAsia="仿宋_GB2312" w:hAnsi="Arial" w:cs="Arial"/>
          <w:sz w:val="28"/>
        </w:rPr>
        <w:t>1846</w:t>
      </w:r>
      <w:r w:rsidRPr="00F631FB">
        <w:rPr>
          <w:rFonts w:ascii="Arial" w:eastAsia="仿宋_GB2312" w:hAnsi="Arial" w:cs="Arial"/>
          <w:sz w:val="28"/>
        </w:rPr>
        <w:t xml:space="preserve">+ </w:t>
      </w:r>
    </w:p>
    <w:p w14:paraId="22B793E8" w14:textId="1772ABE9" w:rsidR="00C80498" w:rsidRPr="00F631FB" w:rsidRDefault="00C80498" w:rsidP="00C80498">
      <w:pPr>
        <w:spacing w:line="360" w:lineRule="auto"/>
        <w:ind w:firstLineChars="350" w:firstLine="980"/>
        <w:jc w:val="both"/>
        <w:rPr>
          <w:rFonts w:ascii="Arial" w:eastAsia="仿宋_GB2312" w:hAnsi="Arial" w:cs="Arial"/>
          <w:sz w:val="28"/>
        </w:rPr>
      </w:pP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w:t>
      </w:r>
      <w:r w:rsidR="00AC4D0F">
        <w:rPr>
          <w:rFonts w:ascii="Arial" w:eastAsia="仿宋_GB2312" w:hAnsi="Arial" w:cs="Arial"/>
          <w:sz w:val="28"/>
        </w:rPr>
        <w:t>1539</w:t>
      </w:r>
      <w:r w:rsidRPr="00F631FB">
        <w:rPr>
          <w:rFonts w:ascii="Arial" w:eastAsia="仿宋_GB2312" w:hAnsi="Arial" w:cs="Arial"/>
          <w:sz w:val="28"/>
        </w:rPr>
        <w:t>+</w:t>
      </w:r>
      <w:r w:rsidR="00F36FAD">
        <w:rPr>
          <w:rFonts w:ascii="Arial" w:eastAsia="仿宋_GB2312" w:hAnsi="Arial" w:cs="Arial"/>
          <w:sz w:val="28"/>
        </w:rPr>
        <w:t>21797</w:t>
      </w:r>
    </w:p>
    <w:p w14:paraId="77B20139" w14:textId="1FFF6618"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F36FAD">
        <w:rPr>
          <w:rFonts w:ascii="Arial" w:eastAsia="仿宋_GB2312" w:hAnsi="Arial" w:cs="Arial"/>
          <w:sz w:val="28"/>
        </w:rPr>
        <w:t>49244</w:t>
      </w:r>
      <w:r w:rsidRPr="00F631FB">
        <w:rPr>
          <w:rFonts w:ascii="Arial" w:eastAsia="仿宋_GB2312" w:hAnsi="Arial" w:cs="Arial"/>
          <w:sz w:val="28"/>
        </w:rPr>
        <w:t>+0.</w:t>
      </w:r>
      <w:r w:rsidR="00AC4D0F">
        <w:rPr>
          <w:rFonts w:ascii="Arial" w:eastAsia="仿宋_GB2312" w:hAnsi="Arial" w:cs="Arial"/>
          <w:sz w:val="28"/>
        </w:rPr>
        <w:t>1844</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02E5CEAA"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）开发利润（投资利润）</w:t>
      </w:r>
    </w:p>
    <w:p w14:paraId="4535F30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F631FB">
        <w:rPr>
          <w:rFonts w:ascii="Arial" w:eastAsia="仿宋_GB2312" w:hAnsi="Arial" w:cs="Arial"/>
          <w:sz w:val="28"/>
        </w:rPr>
        <w:t xml:space="preserve"> </w:t>
      </w:r>
    </w:p>
    <w:p w14:paraId="41BA0268" w14:textId="49A37261" w:rsidR="00C80498" w:rsidRPr="00F631FB" w:rsidRDefault="00F36FAD" w:rsidP="00C8049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w:t>
      </w:r>
      <w:r w:rsidRPr="00F631FB">
        <w:rPr>
          <w:rFonts w:ascii="Arial" w:eastAsia="仿宋_GB2312" w:hAnsi="Arial" w:cs="Arial" w:hint="eastAsia"/>
          <w:sz w:val="28"/>
        </w:rPr>
        <w:t>《</w:t>
      </w:r>
      <w:r>
        <w:rPr>
          <w:rFonts w:ascii="Arial" w:eastAsia="仿宋_GB2312" w:hAnsi="Arial" w:cs="Arial" w:hint="eastAsia"/>
          <w:sz w:val="28"/>
        </w:rPr>
        <w:t>海淀区苏州街站一体化棚户区改造项目前期工作及拟改造土地使用权一次性招标方案</w:t>
      </w:r>
      <w:r w:rsidRPr="00F631FB">
        <w:rPr>
          <w:rFonts w:ascii="Arial" w:eastAsia="仿宋_GB2312" w:hAnsi="Arial" w:cs="Arial" w:hint="eastAsia"/>
          <w:sz w:val="28"/>
        </w:rPr>
        <w:t>》</w:t>
      </w:r>
      <w:r>
        <w:rPr>
          <w:rFonts w:ascii="Arial" w:eastAsia="仿宋_GB2312" w:hAnsi="Arial" w:cs="Arial" w:hint="eastAsia"/>
          <w:sz w:val="28"/>
        </w:rPr>
        <w:t>及其附件规定，本项目投资利润率不得超过</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w:t>
      </w:r>
      <w:proofErr w:type="gramStart"/>
      <w:r>
        <w:rPr>
          <w:rFonts w:ascii="Arial" w:eastAsia="仿宋_GB2312" w:hAnsi="Arial" w:cs="Arial" w:hint="eastAsia"/>
          <w:sz w:val="28"/>
        </w:rPr>
        <w:t>故</w:t>
      </w:r>
      <w:r w:rsidRPr="00F631FB">
        <w:rPr>
          <w:rFonts w:ascii="Arial" w:eastAsia="仿宋_GB2312" w:hAnsi="Arial" w:cs="Arial" w:hint="eastAsia"/>
          <w:sz w:val="28"/>
        </w:rPr>
        <w:t>住宅</w:t>
      </w:r>
      <w:proofErr w:type="gramEnd"/>
      <w:r w:rsidRPr="00F631FB">
        <w:rPr>
          <w:rFonts w:ascii="Arial" w:eastAsia="仿宋_GB2312" w:hAnsi="Arial" w:cs="Arial"/>
          <w:sz w:val="28"/>
        </w:rPr>
        <w:t>利润率取</w:t>
      </w:r>
      <w:r>
        <w:rPr>
          <w:rFonts w:ascii="Arial" w:eastAsia="仿宋_GB2312" w:hAnsi="Arial" w:cs="Arial" w:hint="eastAsia"/>
          <w:sz w:val="28"/>
        </w:rPr>
        <w:t>1</w:t>
      </w:r>
      <w:r>
        <w:rPr>
          <w:rFonts w:ascii="Arial" w:eastAsia="仿宋_GB2312" w:hAnsi="Arial" w:cs="Arial"/>
          <w:sz w:val="28"/>
        </w:rPr>
        <w:t>5</w:t>
      </w:r>
      <w:r w:rsidRPr="00F631FB">
        <w:rPr>
          <w:rFonts w:ascii="Arial" w:eastAsia="仿宋_GB2312" w:hAnsi="Arial" w:cs="Arial" w:hint="eastAsia"/>
          <w:sz w:val="28"/>
        </w:rPr>
        <w:t>%</w:t>
      </w:r>
      <w:r w:rsidR="00C80498" w:rsidRPr="00F631FB">
        <w:rPr>
          <w:rFonts w:ascii="Arial" w:eastAsia="仿宋_GB2312" w:hAnsi="Arial" w:cs="Arial"/>
          <w:sz w:val="28"/>
        </w:rPr>
        <w:t xml:space="preserve"> </w:t>
      </w:r>
      <w:r w:rsidR="00C80498" w:rsidRPr="00F631FB">
        <w:rPr>
          <w:rFonts w:ascii="Arial" w:eastAsia="仿宋_GB2312" w:hAnsi="Arial" w:cs="Arial"/>
          <w:sz w:val="28"/>
        </w:rPr>
        <w:t>。则有：</w:t>
      </w:r>
    </w:p>
    <w:p w14:paraId="17FB219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开发利润</w:t>
      </w:r>
    </w:p>
    <w:p w14:paraId="1844F846" w14:textId="509BF453"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×0.0305)×</w:t>
      </w:r>
      <w:r w:rsidR="00F36FAD">
        <w:rPr>
          <w:rFonts w:ascii="Arial" w:eastAsia="仿宋_GB2312" w:hAnsi="Arial" w:cs="Arial"/>
          <w:sz w:val="28"/>
        </w:rPr>
        <w:t>15</w:t>
      </w:r>
      <w:r w:rsidRPr="00F631FB">
        <w:rPr>
          <w:rFonts w:ascii="Arial" w:eastAsia="仿宋_GB2312" w:hAnsi="Arial" w:cs="Arial"/>
          <w:sz w:val="28"/>
        </w:rPr>
        <w:t>%+</w:t>
      </w:r>
      <w:r w:rsidRPr="00F631FB">
        <w:rPr>
          <w:rFonts w:ascii="Arial" w:eastAsia="仿宋_GB2312" w:hAnsi="Arial" w:cs="Arial"/>
          <w:sz w:val="28"/>
        </w:rPr>
        <w:t>（</w:t>
      </w:r>
      <w:r w:rsidR="00C6640C">
        <w:rPr>
          <w:rFonts w:ascii="Arial" w:eastAsia="仿宋_GB2312" w:hAnsi="Arial" w:cs="Arial"/>
          <w:sz w:val="28"/>
        </w:rPr>
        <w:t>16636</w:t>
      </w:r>
      <w:r w:rsidR="00084DF6" w:rsidRPr="00F631FB">
        <w:rPr>
          <w:rFonts w:ascii="Arial" w:eastAsia="仿宋_GB2312" w:hAnsi="Arial" w:cs="Arial"/>
          <w:sz w:val="28"/>
        </w:rPr>
        <w:t>+</w:t>
      </w:r>
      <w:r w:rsidR="00084DF6">
        <w:rPr>
          <w:rFonts w:ascii="Arial" w:eastAsia="仿宋_GB2312" w:hAnsi="Arial" w:cs="Arial"/>
          <w:sz w:val="28"/>
        </w:rPr>
        <w:t>449+3</w:t>
      </w:r>
      <w:r w:rsidR="00C6640C">
        <w:rPr>
          <w:rFonts w:ascii="Arial" w:eastAsia="仿宋_GB2312" w:hAnsi="Arial" w:cs="Arial"/>
          <w:sz w:val="28"/>
        </w:rPr>
        <w:t>42</w:t>
      </w:r>
      <w:r w:rsidR="00084DF6" w:rsidRPr="00F631FB">
        <w:rPr>
          <w:rFonts w:ascii="Arial" w:eastAsia="仿宋_GB2312" w:hAnsi="Arial" w:cs="Arial"/>
          <w:sz w:val="28"/>
        </w:rPr>
        <w:t>+</w:t>
      </w:r>
      <w:r w:rsidR="00F36FAD">
        <w:rPr>
          <w:rFonts w:ascii="Arial" w:eastAsia="仿宋_GB2312" w:hAnsi="Arial" w:cs="Arial"/>
          <w:sz w:val="28"/>
        </w:rPr>
        <w:t>8174</w:t>
      </w:r>
      <w:r w:rsidRPr="00F631FB">
        <w:rPr>
          <w:rFonts w:ascii="Arial" w:eastAsia="仿宋_GB2312" w:hAnsi="Arial" w:cs="Arial"/>
          <w:sz w:val="28"/>
        </w:rPr>
        <w:t>）</w:t>
      </w:r>
      <w:r w:rsidRPr="00F631FB">
        <w:rPr>
          <w:rFonts w:ascii="Arial" w:eastAsia="仿宋_GB2312" w:hAnsi="Arial" w:cs="Arial"/>
          <w:sz w:val="28"/>
        </w:rPr>
        <w:t>×</w:t>
      </w:r>
      <w:r w:rsidR="00F36FAD">
        <w:rPr>
          <w:rFonts w:ascii="Arial" w:eastAsia="仿宋_GB2312" w:hAnsi="Arial" w:cs="Arial"/>
          <w:sz w:val="28"/>
        </w:rPr>
        <w:t>15</w:t>
      </w:r>
      <w:r w:rsidRPr="00F631FB">
        <w:rPr>
          <w:rFonts w:ascii="Arial" w:eastAsia="仿宋_GB2312" w:hAnsi="Arial" w:cs="Arial"/>
          <w:sz w:val="28"/>
        </w:rPr>
        <w:t>%</w:t>
      </w:r>
    </w:p>
    <w:p w14:paraId="28F55B6A" w14:textId="53E48DA2"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F36FAD">
        <w:rPr>
          <w:rFonts w:ascii="Arial" w:eastAsia="仿宋_GB2312" w:hAnsi="Arial" w:cs="Arial"/>
          <w:sz w:val="28"/>
        </w:rPr>
        <w:t>3840</w:t>
      </w:r>
      <w:r w:rsidRPr="00F631FB">
        <w:rPr>
          <w:rFonts w:ascii="Arial" w:eastAsia="仿宋_GB2312" w:hAnsi="Arial" w:cs="Arial"/>
          <w:sz w:val="28"/>
        </w:rPr>
        <w:t>+ 0.</w:t>
      </w:r>
      <w:r w:rsidR="00F36FAD">
        <w:rPr>
          <w:rFonts w:ascii="Arial" w:eastAsia="仿宋_GB2312" w:hAnsi="Arial" w:cs="Arial"/>
          <w:sz w:val="28"/>
        </w:rPr>
        <w:t>1546</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67C0BE0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）求取估价对象</w:t>
      </w:r>
      <w:r w:rsidRPr="00F631FB">
        <w:rPr>
          <w:rFonts w:ascii="Arial" w:eastAsia="仿宋_GB2312" w:hAnsi="Arial" w:cs="Arial" w:hint="eastAsia"/>
          <w:sz w:val="28"/>
        </w:rPr>
        <w:t>地上住宅用途</w:t>
      </w:r>
      <w:r w:rsidRPr="00F631FB">
        <w:rPr>
          <w:rFonts w:ascii="Arial" w:eastAsia="仿宋_GB2312" w:hAnsi="Arial" w:cs="Arial"/>
          <w:sz w:val="28"/>
        </w:rPr>
        <w:t>土地价格</w:t>
      </w:r>
    </w:p>
    <w:p w14:paraId="68463E06" w14:textId="77777777" w:rsidR="00C80498" w:rsidRPr="00F631FB" w:rsidRDefault="00C80498" w:rsidP="00C80498">
      <w:pPr>
        <w:spacing w:line="360" w:lineRule="auto"/>
        <w:ind w:firstLineChars="200" w:firstLine="600"/>
        <w:jc w:val="both"/>
        <w:rPr>
          <w:rFonts w:ascii="Arial" w:eastAsia="仿宋_GB2312" w:hAnsi="Arial" w:cs="Arial"/>
          <w:spacing w:val="10"/>
          <w:sz w:val="28"/>
        </w:rPr>
      </w:pPr>
      <w:r w:rsidRPr="00F631FB">
        <w:rPr>
          <w:rFonts w:ascii="Arial" w:eastAsia="仿宋_GB2312" w:hAnsi="Arial" w:cs="Arial"/>
          <w:spacing w:val="10"/>
          <w:sz w:val="28"/>
        </w:rPr>
        <w:t>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pacing w:val="10"/>
          <w:sz w:val="28"/>
        </w:rPr>
        <w:t>）</w:t>
      </w:r>
    </w:p>
    <w:p w14:paraId="69C64A3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＝开发完成后的不动产总价</w:t>
      </w:r>
      <w:r w:rsidRPr="00F631FB">
        <w:rPr>
          <w:rFonts w:ascii="Arial" w:eastAsia="仿宋_GB2312" w:hAnsi="Arial" w:cs="Arial"/>
          <w:sz w:val="28"/>
        </w:rPr>
        <w:t>-</w:t>
      </w:r>
      <w:r w:rsidRPr="00F631FB">
        <w:rPr>
          <w:rFonts w:ascii="Arial" w:eastAsia="仿宋_GB2312" w:hAnsi="Arial" w:cs="Arial"/>
          <w:sz w:val="28"/>
        </w:rPr>
        <w:t>开发成本</w:t>
      </w:r>
      <w:r w:rsidRPr="00F631FB">
        <w:rPr>
          <w:rFonts w:ascii="Arial" w:eastAsia="仿宋_GB2312" w:hAnsi="Arial" w:cs="Arial"/>
          <w:sz w:val="28"/>
        </w:rPr>
        <w:t>-</w:t>
      </w:r>
      <w:r w:rsidRPr="00F631FB">
        <w:rPr>
          <w:rFonts w:ascii="Arial" w:eastAsia="仿宋_GB2312" w:hAnsi="Arial" w:cs="Arial"/>
          <w:sz w:val="28"/>
        </w:rPr>
        <w:t>开发利润</w:t>
      </w:r>
    </w:p>
    <w:p w14:paraId="7719F83E" w14:textId="520D2591"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F36FAD">
        <w:rPr>
          <w:rFonts w:ascii="Arial" w:eastAsia="仿宋_GB2312" w:hAnsi="Arial" w:cs="Arial"/>
          <w:sz w:val="28"/>
        </w:rPr>
        <w:t>408699</w:t>
      </w:r>
      <w:r w:rsidRPr="00F631FB">
        <w:rPr>
          <w:rFonts w:ascii="Arial" w:eastAsia="仿宋_GB2312" w:hAnsi="Arial" w:cs="Arial"/>
          <w:sz w:val="28"/>
        </w:rPr>
        <w:t>-</w:t>
      </w:r>
      <w:r w:rsidRPr="00F631FB">
        <w:rPr>
          <w:rFonts w:ascii="Arial" w:eastAsia="仿宋_GB2312" w:hAnsi="Arial" w:cs="Arial"/>
          <w:sz w:val="28"/>
        </w:rPr>
        <w:t>（</w:t>
      </w:r>
      <w:r w:rsidR="00F36FAD">
        <w:rPr>
          <w:rFonts w:ascii="Arial" w:eastAsia="仿宋_GB2312" w:hAnsi="Arial" w:cs="Arial"/>
          <w:sz w:val="28"/>
        </w:rPr>
        <w:t>49244</w:t>
      </w:r>
      <w:r w:rsidR="00084DF6" w:rsidRPr="00F631FB">
        <w:rPr>
          <w:rFonts w:ascii="Arial" w:eastAsia="仿宋_GB2312" w:hAnsi="Arial" w:cs="Arial"/>
          <w:sz w:val="28"/>
        </w:rPr>
        <w:t>+0.</w:t>
      </w:r>
      <w:r w:rsidR="00084DF6">
        <w:rPr>
          <w:rFonts w:ascii="Arial" w:eastAsia="仿宋_GB2312" w:hAnsi="Arial" w:cs="Arial"/>
          <w:sz w:val="28"/>
        </w:rPr>
        <w:t>1844</w:t>
      </w:r>
      <w:r w:rsidR="00084DF6" w:rsidRPr="00F631FB">
        <w:rPr>
          <w:rFonts w:ascii="Arial" w:eastAsia="仿宋_GB2312" w:hAnsi="Arial" w:cs="Arial"/>
          <w:sz w:val="28"/>
        </w:rPr>
        <w:t>×P</w:t>
      </w:r>
      <w:r w:rsidR="00084DF6" w:rsidRPr="00F631FB">
        <w:rPr>
          <w:rFonts w:ascii="Arial" w:eastAsia="仿宋_GB2312" w:hAnsi="Arial" w:cs="Arial"/>
          <w:sz w:val="28"/>
          <w:vertAlign w:val="subscript"/>
        </w:rPr>
        <w:t>土</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00F36FAD">
        <w:rPr>
          <w:rFonts w:ascii="Arial" w:eastAsia="仿宋_GB2312" w:hAnsi="Arial" w:cs="Arial"/>
          <w:sz w:val="28"/>
        </w:rPr>
        <w:t>3840</w:t>
      </w:r>
      <w:r w:rsidR="00F36FAD" w:rsidRPr="00F631FB">
        <w:rPr>
          <w:rFonts w:ascii="Arial" w:eastAsia="仿宋_GB2312" w:hAnsi="Arial" w:cs="Arial"/>
          <w:sz w:val="28"/>
        </w:rPr>
        <w:t>+ 0.</w:t>
      </w:r>
      <w:r w:rsidR="00F36FAD">
        <w:rPr>
          <w:rFonts w:ascii="Arial" w:eastAsia="仿宋_GB2312" w:hAnsi="Arial" w:cs="Arial"/>
          <w:sz w:val="28"/>
        </w:rPr>
        <w:t>1546</w:t>
      </w:r>
      <w:r w:rsidR="00F36FAD" w:rsidRPr="00F631FB">
        <w:rPr>
          <w:rFonts w:ascii="Arial" w:eastAsia="仿宋_GB2312" w:hAnsi="Arial" w:cs="Arial"/>
          <w:sz w:val="28"/>
        </w:rPr>
        <w:t>×P</w:t>
      </w:r>
      <w:r w:rsidR="00F36FAD" w:rsidRPr="00F631FB">
        <w:rPr>
          <w:rFonts w:ascii="Arial" w:eastAsia="仿宋_GB2312" w:hAnsi="Arial" w:cs="Arial"/>
          <w:sz w:val="28"/>
          <w:vertAlign w:val="subscript"/>
        </w:rPr>
        <w:t>土</w:t>
      </w:r>
      <w:r w:rsidRPr="00F631FB">
        <w:rPr>
          <w:rFonts w:ascii="Arial" w:eastAsia="仿宋_GB2312" w:hAnsi="Arial" w:cs="Arial"/>
          <w:sz w:val="28"/>
        </w:rPr>
        <w:t>）</w:t>
      </w:r>
    </w:p>
    <w:p w14:paraId="3A5561AD" w14:textId="3B7D0611"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F36FAD">
        <w:rPr>
          <w:rFonts w:ascii="Arial" w:eastAsia="仿宋_GB2312" w:hAnsi="Arial" w:cs="Arial"/>
          <w:sz w:val="28"/>
        </w:rPr>
        <w:t>265583</w:t>
      </w:r>
      <w:r w:rsidRPr="00F631FB">
        <w:rPr>
          <w:rFonts w:ascii="Arial" w:eastAsia="仿宋_GB2312" w:hAnsi="Arial" w:cs="Arial"/>
          <w:sz w:val="28"/>
        </w:rPr>
        <w:t>（万元）</w:t>
      </w:r>
    </w:p>
    <w:p w14:paraId="78910D20"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地上住宅</w:t>
      </w:r>
      <w:proofErr w:type="gramStart"/>
      <w:r w:rsidRPr="00F631FB">
        <w:rPr>
          <w:rFonts w:ascii="Arial" w:eastAsia="仿宋_GB2312" w:hAnsi="Arial" w:cs="Arial" w:hint="eastAsia"/>
          <w:sz w:val="28"/>
        </w:rPr>
        <w:t>用途</w:t>
      </w:r>
      <w:r w:rsidRPr="00F631FB">
        <w:rPr>
          <w:rFonts w:ascii="Arial" w:eastAsia="仿宋_GB2312" w:hAnsi="Arial" w:cs="Arial"/>
          <w:sz w:val="28"/>
        </w:rPr>
        <w:t>楼</w:t>
      </w:r>
      <w:proofErr w:type="gramEnd"/>
      <w:r w:rsidRPr="00F631FB">
        <w:rPr>
          <w:rFonts w:ascii="Arial" w:eastAsia="仿宋_GB2312" w:hAnsi="Arial" w:cs="Arial"/>
          <w:sz w:val="28"/>
        </w:rPr>
        <w:t>面</w:t>
      </w:r>
      <w:r w:rsidRPr="00F631FB">
        <w:rPr>
          <w:rFonts w:ascii="Arial" w:eastAsia="仿宋_GB2312" w:hAnsi="Arial" w:cs="Arial" w:hint="eastAsia"/>
          <w:sz w:val="28"/>
        </w:rPr>
        <w:t>熟地</w:t>
      </w:r>
      <w:r w:rsidRPr="00F631FB">
        <w:rPr>
          <w:rFonts w:ascii="Arial" w:eastAsia="仿宋_GB2312" w:hAnsi="Arial" w:cs="Arial"/>
          <w:sz w:val="28"/>
        </w:rPr>
        <w:t>价</w:t>
      </w:r>
    </w:p>
    <w:p w14:paraId="7CFB6981" w14:textId="079F3389" w:rsidR="00C6640C"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F36FAD">
        <w:rPr>
          <w:rFonts w:ascii="Arial" w:eastAsia="仿宋_GB2312" w:hAnsi="Arial" w:cs="Arial"/>
          <w:sz w:val="28"/>
        </w:rPr>
        <w:t>265583</w:t>
      </w:r>
      <w:r w:rsidRPr="00F631FB">
        <w:rPr>
          <w:rFonts w:ascii="Arial" w:eastAsia="仿宋_GB2312" w:hAnsi="Arial" w:cs="Arial"/>
          <w:sz w:val="28"/>
        </w:rPr>
        <w:t>÷</w:t>
      </w:r>
      <w:r w:rsidR="005A5141">
        <w:rPr>
          <w:rFonts w:ascii="Arial" w:eastAsia="仿宋_GB2312" w:hAnsi="Arial" w:cs="Arial"/>
          <w:sz w:val="28"/>
        </w:rPr>
        <w:t>28075</w:t>
      </w:r>
      <w:r w:rsidRPr="00F631FB">
        <w:rPr>
          <w:rFonts w:ascii="Arial" w:eastAsia="仿宋_GB2312" w:hAnsi="Arial" w:cs="Arial"/>
          <w:sz w:val="28"/>
        </w:rPr>
        <w:t>×10000</w:t>
      </w:r>
    </w:p>
    <w:p w14:paraId="6FB17850" w14:textId="7506DAD2"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F36FAD">
        <w:rPr>
          <w:rFonts w:ascii="Arial" w:eastAsia="仿宋_GB2312" w:hAnsi="Arial" w:cs="Arial"/>
          <w:sz w:val="28"/>
        </w:rPr>
        <w:t>94598</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5E8A2B57" w14:textId="055DFF4C" w:rsidR="00C80498" w:rsidRPr="0087591C" w:rsidRDefault="00C61BB4" w:rsidP="0087591C">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75AD8B48" w14:textId="60BE2D05" w:rsidR="0009314F" w:rsidRPr="00F631FB" w:rsidRDefault="0009314F" w:rsidP="0009314F">
      <w:pPr>
        <w:spacing w:line="360" w:lineRule="auto"/>
        <w:ind w:firstLineChars="200" w:firstLine="562"/>
        <w:jc w:val="both"/>
        <w:rPr>
          <w:rFonts w:ascii="Arial" w:eastAsia="仿宋_GB2312" w:hAnsi="Arial" w:cs="Arial"/>
          <w:b/>
          <w:sz w:val="28"/>
        </w:rPr>
      </w:pPr>
      <w:r w:rsidRPr="00F631FB">
        <w:rPr>
          <w:rFonts w:ascii="Arial" w:eastAsia="仿宋_GB2312" w:hAnsi="Arial" w:cs="Arial" w:hint="eastAsia"/>
          <w:b/>
          <w:sz w:val="28"/>
        </w:rPr>
        <w:lastRenderedPageBreak/>
        <w:t>（</w:t>
      </w:r>
      <w:r w:rsidR="0087591C">
        <w:rPr>
          <w:rFonts w:ascii="Arial" w:eastAsia="仿宋_GB2312" w:hAnsi="Arial" w:cs="Arial"/>
          <w:b/>
          <w:sz w:val="28"/>
        </w:rPr>
        <w:t>2</w:t>
      </w:r>
      <w:r w:rsidRPr="00F631FB">
        <w:rPr>
          <w:rFonts w:ascii="Arial" w:eastAsia="仿宋_GB2312" w:hAnsi="Arial" w:cs="Arial" w:hint="eastAsia"/>
          <w:b/>
          <w:sz w:val="28"/>
        </w:rPr>
        <w:t>）求取商业</w:t>
      </w:r>
      <w:proofErr w:type="gramStart"/>
      <w:r w:rsidRPr="00F631FB">
        <w:rPr>
          <w:rFonts w:ascii="Arial" w:eastAsia="仿宋_GB2312" w:hAnsi="Arial" w:cs="Arial" w:hint="eastAsia"/>
          <w:b/>
          <w:sz w:val="28"/>
        </w:rPr>
        <w:t>用途楼</w:t>
      </w:r>
      <w:proofErr w:type="gramEnd"/>
      <w:r w:rsidRPr="00F631FB">
        <w:rPr>
          <w:rFonts w:ascii="Arial" w:eastAsia="仿宋_GB2312" w:hAnsi="Arial" w:cs="Arial" w:hint="eastAsia"/>
          <w:b/>
          <w:sz w:val="28"/>
        </w:rPr>
        <w:t>面熟地价（土地剩余使用年限</w:t>
      </w:r>
      <w:r w:rsidR="00503BBF" w:rsidRPr="00F631FB">
        <w:rPr>
          <w:rFonts w:ascii="Arial" w:eastAsia="仿宋_GB2312" w:hAnsi="Arial" w:cs="Arial" w:hint="eastAsia"/>
          <w:b/>
          <w:sz w:val="28"/>
        </w:rPr>
        <w:t>40</w:t>
      </w:r>
      <w:r w:rsidRPr="00F631FB">
        <w:rPr>
          <w:rFonts w:ascii="Arial" w:eastAsia="仿宋_GB2312" w:hAnsi="Arial" w:cs="Arial" w:hint="eastAsia"/>
          <w:b/>
          <w:sz w:val="28"/>
        </w:rPr>
        <w:t>年）</w:t>
      </w:r>
    </w:p>
    <w:p w14:paraId="1DC551D4" w14:textId="77777777" w:rsidR="0009314F" w:rsidRPr="00F631FB" w:rsidRDefault="0009314F" w:rsidP="0009314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1</w:t>
      </w:r>
      <w:r w:rsidRPr="00F631FB">
        <w:rPr>
          <w:rFonts w:ascii="Arial" w:eastAsia="仿宋_GB2312" w:hAnsi="Arial" w:cs="Arial" w:hint="eastAsia"/>
          <w:bCs/>
          <w:sz w:val="28"/>
        </w:rPr>
        <w:t>）开发完成后的不动产总价</w:t>
      </w:r>
    </w:p>
    <w:p w14:paraId="39B243FB" w14:textId="1FB2C7F5" w:rsidR="00DC566A" w:rsidRPr="00F631FB" w:rsidRDefault="0009314F" w:rsidP="00C61BB4">
      <w:pPr>
        <w:pStyle w:val="aff4"/>
        <w:autoSpaceDE w:val="0"/>
        <w:autoSpaceDN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hint="eastAsia"/>
          <w:sz w:val="28"/>
          <w:szCs w:val="28"/>
        </w:rPr>
        <w:t>经过网上询价，</w:t>
      </w:r>
      <w:r w:rsidRPr="00F631FB">
        <w:rPr>
          <w:rFonts w:ascii="Arial" w:eastAsia="仿宋_GB2312" w:hAnsi="Arial" w:cs="Arial" w:hint="eastAsia"/>
          <w:sz w:val="28"/>
        </w:rPr>
        <w:t>采用房地产交易中的替代原则，选取与估价对象类似用途的案例，并分别进行交易情况、交易时间、用途、土地使用年限、区域因素、个别因素的修正</w:t>
      </w:r>
      <w:r w:rsidRPr="00F631FB">
        <w:rPr>
          <w:rFonts w:ascii="Arial" w:eastAsia="仿宋_GB2312" w:hAnsi="Arial" w:cs="Arial" w:hint="eastAsia"/>
          <w:sz w:val="28"/>
          <w:szCs w:val="28"/>
        </w:rPr>
        <w:t>。</w:t>
      </w:r>
      <w:r w:rsidRPr="00F631FB">
        <w:rPr>
          <w:rFonts w:ascii="Arial" w:eastAsia="仿宋_GB2312" w:hAnsi="Arial" w:cs="Arial" w:hint="eastAsia"/>
          <w:sz w:val="28"/>
        </w:rPr>
        <w:t>商业用房开发完成后不动产总价</w:t>
      </w:r>
      <w:r w:rsidR="00C61BB4">
        <w:rPr>
          <w:rFonts w:ascii="Arial" w:eastAsia="仿宋_GB2312" w:hAnsi="Arial" w:cs="Arial" w:hint="eastAsia"/>
          <w:sz w:val="28"/>
        </w:rPr>
        <w:t>：</w:t>
      </w:r>
    </w:p>
    <w:tbl>
      <w:tblPr>
        <w:tblW w:w="8895"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5"/>
      </w:tblGrid>
      <w:tr w:rsidR="0009314F" w:rsidRPr="00F631FB" w14:paraId="02CDC8C7" w14:textId="77777777" w:rsidTr="0009314F">
        <w:trPr>
          <w:cantSplit/>
          <w:jc w:val="center"/>
        </w:trPr>
        <w:tc>
          <w:tcPr>
            <w:tcW w:w="8895" w:type="dxa"/>
            <w:tcBorders>
              <w:top w:val="dotted" w:sz="2" w:space="0" w:color="404040"/>
              <w:left w:val="dotted" w:sz="2" w:space="0" w:color="404040"/>
              <w:bottom w:val="dotted" w:sz="2" w:space="0" w:color="404040"/>
              <w:right w:val="dotted" w:sz="2" w:space="0" w:color="404040"/>
            </w:tcBorders>
            <w:hideMark/>
          </w:tcPr>
          <w:p w14:paraId="50024995" w14:textId="77777777" w:rsidR="0009314F" w:rsidRPr="00F631FB" w:rsidRDefault="0009314F">
            <w:pPr>
              <w:jc w:val="center"/>
              <w:rPr>
                <w:rFonts w:ascii="Arial" w:eastAsia="仿宋_GB2312" w:hAnsi="Arial" w:cs="Arial"/>
                <w:kern w:val="2"/>
                <w:sz w:val="22"/>
              </w:rPr>
            </w:pPr>
            <w:r w:rsidRPr="00F631FB">
              <w:rPr>
                <w:rFonts w:ascii="Arial" w:eastAsia="仿宋_GB2312" w:hAnsi="Arial" w:cs="Arial" w:hint="eastAsia"/>
                <w:kern w:val="2"/>
                <w:sz w:val="22"/>
              </w:rPr>
              <w:t>案例位置</w:t>
            </w:r>
          </w:p>
        </w:tc>
      </w:tr>
      <w:tr w:rsidR="0009314F" w:rsidRPr="00F631FB" w14:paraId="1F8987C8" w14:textId="77777777" w:rsidTr="00C61BB4">
        <w:trPr>
          <w:cantSplit/>
          <w:trHeight w:val="6243"/>
          <w:jc w:val="center"/>
        </w:trPr>
        <w:tc>
          <w:tcPr>
            <w:tcW w:w="8895" w:type="dxa"/>
            <w:tcBorders>
              <w:top w:val="dotted" w:sz="2" w:space="0" w:color="404040"/>
              <w:left w:val="dotted" w:sz="2" w:space="0" w:color="404040"/>
              <w:bottom w:val="dotted" w:sz="2" w:space="0" w:color="404040"/>
              <w:right w:val="dotted" w:sz="2" w:space="0" w:color="404040"/>
            </w:tcBorders>
            <w:hideMark/>
          </w:tcPr>
          <w:p w14:paraId="2B9C2022" w14:textId="73F37E38" w:rsidR="0009314F" w:rsidRPr="00F631FB" w:rsidRDefault="0009314F">
            <w:pPr>
              <w:jc w:val="center"/>
              <w:rPr>
                <w:rFonts w:ascii="Arial" w:eastAsia="仿宋_GB2312" w:hAnsi="Arial" w:cs="Arial"/>
                <w:kern w:val="2"/>
                <w:sz w:val="22"/>
              </w:rPr>
            </w:pPr>
            <w:r w:rsidRPr="00F631FB">
              <w:rPr>
                <w:noProof/>
                <w:kern w:val="2"/>
              </w:rPr>
              <w:drawing>
                <wp:anchor distT="0" distB="0" distL="114300" distR="114300" simplePos="0" relativeHeight="251660288" behindDoc="0" locked="0" layoutInCell="1" allowOverlap="1" wp14:anchorId="7D3D80B5" wp14:editId="7CFEEFA5">
                  <wp:simplePos x="0" y="0"/>
                  <wp:positionH relativeFrom="column">
                    <wp:posOffset>2404169</wp:posOffset>
                  </wp:positionH>
                  <wp:positionV relativeFrom="paragraph">
                    <wp:posOffset>602497</wp:posOffset>
                  </wp:positionV>
                  <wp:extent cx="1010285" cy="564515"/>
                  <wp:effectExtent l="0" t="0" r="0" b="6985"/>
                  <wp:wrapNone/>
                  <wp:docPr id="10" name="图片 10" descr="说明: 说明: 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说明: 说明: 估价对象tag-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pic:spPr>
                      </pic:pic>
                    </a:graphicData>
                  </a:graphic>
                </wp:anchor>
              </w:drawing>
            </w:r>
            <w:r w:rsidR="00C61BB4">
              <w:rPr>
                <w:noProof/>
              </w:rPr>
              <w:drawing>
                <wp:inline distT="0" distB="0" distL="0" distR="0" wp14:anchorId="5F3E1C15" wp14:editId="6052E16B">
                  <wp:extent cx="5511165" cy="3572540"/>
                  <wp:effectExtent l="0" t="0" r="0" b="8890"/>
                  <wp:docPr id="28" name="图片 27">
                    <a:extLst xmlns:a="http://schemas.openxmlformats.org/drawingml/2006/main">
                      <a:ext uri="{FF2B5EF4-FFF2-40B4-BE49-F238E27FC236}">
                        <a16:creationId xmlns:a16="http://schemas.microsoft.com/office/drawing/2014/main" id="{8E3AA15C-4178-4A76-BF1E-2A1809BCEA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8E3AA15C-4178-4A76-BF1E-2A1809BCEA63}"/>
                              </a:ext>
                            </a:extLst>
                          </pic:cNvPr>
                          <pic:cNvPicPr>
                            <a:picLocks noChangeAspect="1"/>
                          </pic:cNvPicPr>
                        </pic:nvPicPr>
                        <pic:blipFill>
                          <a:blip r:embed="rId82"/>
                          <a:stretch>
                            <a:fillRect/>
                          </a:stretch>
                        </pic:blipFill>
                        <pic:spPr>
                          <a:xfrm>
                            <a:off x="0" y="0"/>
                            <a:ext cx="5515355" cy="3575256"/>
                          </a:xfrm>
                          <a:prstGeom prst="rect">
                            <a:avLst/>
                          </a:prstGeom>
                        </pic:spPr>
                      </pic:pic>
                    </a:graphicData>
                  </a:graphic>
                </wp:inline>
              </w:drawing>
            </w:r>
          </w:p>
        </w:tc>
      </w:tr>
    </w:tbl>
    <w:p w14:paraId="7A2ABC73"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548C7BD7" w14:textId="77777777" w:rsidR="0009314F" w:rsidRPr="00F631FB" w:rsidRDefault="0009314F" w:rsidP="0009314F">
      <w:pPr>
        <w:widowControl/>
        <w:adjustRightInd/>
        <w:spacing w:line="240" w:lineRule="auto"/>
        <w:rPr>
          <w:rFonts w:ascii="Arial" w:eastAsia="仿宋_GB2312" w:hAnsi="Arial" w:cs="Arial"/>
          <w:b/>
          <w:bCs/>
        </w:rPr>
      </w:pPr>
      <w:r w:rsidRPr="00F631FB">
        <w:rPr>
          <w:rFonts w:ascii="Arial" w:eastAsia="仿宋_GB2312" w:hAnsi="Arial" w:cs="Arial"/>
          <w:b/>
          <w:bCs/>
        </w:rPr>
        <w:br w:type="page"/>
      </w:r>
    </w:p>
    <w:p w14:paraId="2C77CEE2" w14:textId="77777777" w:rsidR="0009314F" w:rsidRPr="00F631FB" w:rsidRDefault="0009314F" w:rsidP="0009314F">
      <w:pPr>
        <w:spacing w:line="360" w:lineRule="auto"/>
        <w:ind w:firstLineChars="200" w:firstLine="482"/>
        <w:jc w:val="center"/>
        <w:rPr>
          <w:rFonts w:ascii="Arial" w:eastAsia="仿宋_GB2312" w:hAnsi="Arial" w:cs="Arial"/>
          <w:sz w:val="28"/>
        </w:rPr>
      </w:pPr>
      <w:r w:rsidRPr="00F631FB">
        <w:rPr>
          <w:rFonts w:ascii="Arial" w:eastAsia="仿宋_GB2312" w:hAnsi="Arial" w:cs="Arial" w:hint="eastAsia"/>
          <w:b/>
          <w:bCs/>
        </w:rPr>
        <w:lastRenderedPageBreak/>
        <w:t>表</w:t>
      </w:r>
      <w:r w:rsidRPr="00F631FB">
        <w:rPr>
          <w:rFonts w:ascii="Arial" w:eastAsia="仿宋_GB2312" w:hAnsi="Arial" w:cs="Arial"/>
          <w:b/>
          <w:bCs/>
        </w:rPr>
        <w:t>3</w:t>
      </w:r>
      <w:r w:rsidRPr="00F631FB">
        <w:rPr>
          <w:rFonts w:ascii="Arial" w:eastAsia="仿宋_GB2312" w:hAnsi="Arial" w:cs="Arial" w:hint="eastAsia"/>
          <w:b/>
          <w:bCs/>
        </w:rPr>
        <w:t>：比较因素条件说明及指数表</w:t>
      </w:r>
    </w:p>
    <w:tbl>
      <w:tblPr>
        <w:tblW w:w="5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1656"/>
        <w:gridCol w:w="1771"/>
        <w:gridCol w:w="517"/>
        <w:gridCol w:w="1697"/>
        <w:gridCol w:w="667"/>
        <w:gridCol w:w="1434"/>
        <w:gridCol w:w="517"/>
        <w:gridCol w:w="1655"/>
        <w:gridCol w:w="649"/>
      </w:tblGrid>
      <w:tr w:rsidR="0009314F" w:rsidRPr="00F631FB" w14:paraId="2FA3F064" w14:textId="77777777" w:rsidTr="00C6640C">
        <w:trPr>
          <w:cantSplit/>
          <w:trHeight w:val="300"/>
          <w:tblHeader/>
          <w:jc w:val="center"/>
        </w:trPr>
        <w:tc>
          <w:tcPr>
            <w:tcW w:w="936"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B487D8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比较因素</w:t>
            </w:r>
          </w:p>
        </w:tc>
        <w:tc>
          <w:tcPr>
            <w:tcW w:w="1044" w:type="pct"/>
            <w:gridSpan w:val="2"/>
            <w:tcBorders>
              <w:top w:val="single" w:sz="4" w:space="0" w:color="auto"/>
              <w:left w:val="single" w:sz="4" w:space="0" w:color="auto"/>
              <w:bottom w:val="single" w:sz="4" w:space="0" w:color="auto"/>
              <w:right w:val="single" w:sz="4" w:space="0" w:color="auto"/>
            </w:tcBorders>
            <w:vAlign w:val="center"/>
            <w:hideMark/>
          </w:tcPr>
          <w:p w14:paraId="7704A48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估价对象</w:t>
            </w:r>
          </w:p>
        </w:tc>
        <w:tc>
          <w:tcPr>
            <w:tcW w:w="1078" w:type="pct"/>
            <w:gridSpan w:val="2"/>
            <w:tcBorders>
              <w:top w:val="single" w:sz="4" w:space="0" w:color="auto"/>
              <w:left w:val="single" w:sz="4" w:space="0" w:color="auto"/>
              <w:bottom w:val="single" w:sz="4" w:space="0" w:color="auto"/>
              <w:right w:val="single" w:sz="4" w:space="0" w:color="auto"/>
            </w:tcBorders>
            <w:vAlign w:val="center"/>
            <w:hideMark/>
          </w:tcPr>
          <w:p w14:paraId="0829560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案例：</w:t>
            </w:r>
            <w:r w:rsidRPr="00F631FB">
              <w:rPr>
                <w:rFonts w:ascii="Arial" w:eastAsia="仿宋_GB2312" w:hAnsi="Arial" w:cs="Arial"/>
                <w:kern w:val="2"/>
                <w:sz w:val="18"/>
                <w:szCs w:val="18"/>
              </w:rPr>
              <w:t>D</w:t>
            </w:r>
          </w:p>
        </w:tc>
        <w:tc>
          <w:tcPr>
            <w:tcW w:w="890" w:type="pct"/>
            <w:gridSpan w:val="2"/>
            <w:tcBorders>
              <w:top w:val="single" w:sz="4" w:space="0" w:color="auto"/>
              <w:left w:val="single" w:sz="4" w:space="0" w:color="auto"/>
              <w:bottom w:val="single" w:sz="4" w:space="0" w:color="auto"/>
              <w:right w:val="single" w:sz="4" w:space="0" w:color="auto"/>
            </w:tcBorders>
            <w:vAlign w:val="center"/>
            <w:hideMark/>
          </w:tcPr>
          <w:p w14:paraId="34D6AD0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案例：</w:t>
            </w:r>
            <w:r w:rsidRPr="00F631FB">
              <w:rPr>
                <w:rFonts w:ascii="Arial" w:eastAsia="仿宋_GB2312" w:hAnsi="Arial" w:cs="Arial"/>
                <w:kern w:val="2"/>
                <w:sz w:val="18"/>
                <w:szCs w:val="18"/>
              </w:rPr>
              <w:t>E</w:t>
            </w:r>
          </w:p>
        </w:tc>
        <w:tc>
          <w:tcPr>
            <w:tcW w:w="1051" w:type="pct"/>
            <w:gridSpan w:val="2"/>
            <w:tcBorders>
              <w:top w:val="single" w:sz="4" w:space="0" w:color="auto"/>
              <w:left w:val="single" w:sz="4" w:space="0" w:color="auto"/>
              <w:bottom w:val="single" w:sz="4" w:space="0" w:color="auto"/>
              <w:right w:val="single" w:sz="4" w:space="0" w:color="auto"/>
            </w:tcBorders>
            <w:vAlign w:val="center"/>
            <w:hideMark/>
          </w:tcPr>
          <w:p w14:paraId="2AB9A96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案例：</w:t>
            </w:r>
            <w:r w:rsidRPr="00F631FB">
              <w:rPr>
                <w:rFonts w:ascii="Arial" w:eastAsia="仿宋_GB2312" w:hAnsi="Arial" w:cs="Arial"/>
                <w:kern w:val="2"/>
                <w:sz w:val="18"/>
                <w:szCs w:val="18"/>
              </w:rPr>
              <w:t>F</w:t>
            </w:r>
          </w:p>
        </w:tc>
      </w:tr>
      <w:tr w:rsidR="0009314F" w:rsidRPr="00F631FB" w14:paraId="0E311125" w14:textId="77777777" w:rsidTr="00C6640C">
        <w:trPr>
          <w:cantSplit/>
          <w:trHeight w:val="450"/>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49F35C" w14:textId="77777777" w:rsidR="0009314F" w:rsidRPr="00F631FB" w:rsidRDefault="0009314F">
            <w:pPr>
              <w:widowControl/>
              <w:adjustRightInd/>
              <w:spacing w:line="240" w:lineRule="auto"/>
              <w:rPr>
                <w:rFonts w:ascii="Arial" w:eastAsia="仿宋_GB2312" w:hAnsi="Arial" w:cs="Arial"/>
                <w:kern w:val="2"/>
                <w:sz w:val="18"/>
                <w:szCs w:val="18"/>
              </w:rPr>
            </w:pPr>
          </w:p>
        </w:tc>
        <w:tc>
          <w:tcPr>
            <w:tcW w:w="808" w:type="pct"/>
            <w:tcBorders>
              <w:top w:val="single" w:sz="4" w:space="0" w:color="auto"/>
              <w:left w:val="single" w:sz="4" w:space="0" w:color="auto"/>
              <w:bottom w:val="single" w:sz="4" w:space="0" w:color="auto"/>
              <w:right w:val="single" w:sz="4" w:space="0" w:color="auto"/>
            </w:tcBorders>
            <w:vAlign w:val="center"/>
            <w:hideMark/>
          </w:tcPr>
          <w:p w14:paraId="1309F1C2" w14:textId="12AEA10C" w:rsidR="0009314F" w:rsidRPr="00F631FB" w:rsidRDefault="00C61BB4">
            <w:pPr>
              <w:widowControl/>
              <w:adjustRightInd/>
              <w:spacing w:line="240" w:lineRule="auto"/>
              <w:jc w:val="center"/>
              <w:rPr>
                <w:rFonts w:ascii="Arial" w:eastAsia="仿宋_GB2312" w:hAnsi="Arial" w:cs="Arial"/>
                <w:kern w:val="2"/>
                <w:sz w:val="18"/>
                <w:szCs w:val="18"/>
              </w:rPr>
            </w:pPr>
            <w:r w:rsidRPr="00C61BB4">
              <w:rPr>
                <w:rFonts w:ascii="Arial" w:eastAsia="仿宋_GB2312" w:hAnsi="Arial" w:cs="Arial" w:hint="eastAsia"/>
                <w:kern w:val="2"/>
                <w:sz w:val="18"/>
                <w:szCs w:val="18"/>
              </w:rPr>
              <w:t>苏州街棚改项目</w:t>
            </w:r>
          </w:p>
        </w:tc>
        <w:tc>
          <w:tcPr>
            <w:tcW w:w="236" w:type="pct"/>
            <w:tcBorders>
              <w:top w:val="single" w:sz="4" w:space="0" w:color="auto"/>
              <w:left w:val="single" w:sz="4" w:space="0" w:color="auto"/>
              <w:bottom w:val="single" w:sz="4" w:space="0" w:color="auto"/>
              <w:right w:val="single" w:sz="4" w:space="0" w:color="auto"/>
            </w:tcBorders>
            <w:vAlign w:val="center"/>
            <w:hideMark/>
          </w:tcPr>
          <w:p w14:paraId="7F8C5113"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系数</w:t>
            </w:r>
          </w:p>
        </w:tc>
        <w:tc>
          <w:tcPr>
            <w:tcW w:w="774" w:type="pct"/>
            <w:tcBorders>
              <w:top w:val="single" w:sz="4" w:space="0" w:color="auto"/>
              <w:left w:val="single" w:sz="4" w:space="0" w:color="auto"/>
              <w:bottom w:val="single" w:sz="4" w:space="0" w:color="auto"/>
              <w:right w:val="single" w:sz="4" w:space="0" w:color="auto"/>
            </w:tcBorders>
            <w:vAlign w:val="center"/>
            <w:hideMark/>
          </w:tcPr>
          <w:p w14:paraId="450F4F8C" w14:textId="4CC5F51B" w:rsidR="0009314F" w:rsidRPr="00F631FB" w:rsidRDefault="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名商大厦</w:t>
            </w:r>
          </w:p>
        </w:tc>
        <w:tc>
          <w:tcPr>
            <w:tcW w:w="304" w:type="pct"/>
            <w:tcBorders>
              <w:top w:val="single" w:sz="4" w:space="0" w:color="auto"/>
              <w:left w:val="single" w:sz="4" w:space="0" w:color="auto"/>
              <w:bottom w:val="single" w:sz="4" w:space="0" w:color="auto"/>
              <w:right w:val="single" w:sz="4" w:space="0" w:color="auto"/>
            </w:tcBorders>
            <w:vAlign w:val="center"/>
            <w:hideMark/>
          </w:tcPr>
          <w:p w14:paraId="776B7B4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系数</w:t>
            </w:r>
          </w:p>
        </w:tc>
        <w:tc>
          <w:tcPr>
            <w:tcW w:w="654" w:type="pct"/>
            <w:tcBorders>
              <w:top w:val="single" w:sz="4" w:space="0" w:color="auto"/>
              <w:left w:val="single" w:sz="4" w:space="0" w:color="auto"/>
              <w:bottom w:val="single" w:sz="4" w:space="0" w:color="auto"/>
              <w:right w:val="single" w:sz="4" w:space="0" w:color="auto"/>
            </w:tcBorders>
            <w:vAlign w:val="center"/>
            <w:hideMark/>
          </w:tcPr>
          <w:p w14:paraId="7164852A" w14:textId="4EBA9259" w:rsidR="0009314F" w:rsidRPr="00F631FB" w:rsidRDefault="00C61BB4">
            <w:pPr>
              <w:widowControl/>
              <w:adjustRightInd/>
              <w:spacing w:line="240" w:lineRule="auto"/>
              <w:jc w:val="center"/>
              <w:rPr>
                <w:rFonts w:ascii="Arial" w:eastAsia="仿宋_GB2312" w:hAnsi="Arial" w:cs="Arial"/>
                <w:kern w:val="2"/>
                <w:sz w:val="18"/>
                <w:szCs w:val="18"/>
              </w:rPr>
            </w:pPr>
            <w:proofErr w:type="gramStart"/>
            <w:r>
              <w:rPr>
                <w:rFonts w:ascii="Arial" w:eastAsia="仿宋_GB2312" w:hAnsi="Arial" w:cs="Arial" w:hint="eastAsia"/>
                <w:kern w:val="2"/>
                <w:sz w:val="18"/>
                <w:szCs w:val="18"/>
              </w:rPr>
              <w:t>华联万柳</w:t>
            </w:r>
            <w:proofErr w:type="gramEnd"/>
            <w:r>
              <w:rPr>
                <w:rFonts w:ascii="Arial" w:eastAsia="仿宋_GB2312" w:hAnsi="Arial" w:cs="Arial" w:hint="eastAsia"/>
                <w:kern w:val="2"/>
                <w:sz w:val="18"/>
                <w:szCs w:val="18"/>
              </w:rPr>
              <w:t>购物中</w:t>
            </w:r>
            <w:r>
              <w:rPr>
                <w:rFonts w:ascii="Arial" w:eastAsia="仿宋_GB2312" w:hAnsi="Arial" w:cs="Arial"/>
                <w:kern w:val="2"/>
                <w:sz w:val="18"/>
                <w:szCs w:val="18"/>
              </w:rPr>
              <w:t>心</w:t>
            </w:r>
          </w:p>
        </w:tc>
        <w:tc>
          <w:tcPr>
            <w:tcW w:w="236" w:type="pct"/>
            <w:tcBorders>
              <w:top w:val="single" w:sz="4" w:space="0" w:color="auto"/>
              <w:left w:val="single" w:sz="4" w:space="0" w:color="auto"/>
              <w:bottom w:val="single" w:sz="4" w:space="0" w:color="auto"/>
              <w:right w:val="single" w:sz="4" w:space="0" w:color="auto"/>
            </w:tcBorders>
            <w:vAlign w:val="center"/>
            <w:hideMark/>
          </w:tcPr>
          <w:p w14:paraId="3855959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系数</w:t>
            </w:r>
          </w:p>
        </w:tc>
        <w:tc>
          <w:tcPr>
            <w:tcW w:w="755" w:type="pct"/>
            <w:tcBorders>
              <w:top w:val="single" w:sz="4" w:space="0" w:color="auto"/>
              <w:left w:val="single" w:sz="4" w:space="0" w:color="auto"/>
              <w:bottom w:val="single" w:sz="4" w:space="0" w:color="auto"/>
              <w:right w:val="single" w:sz="4" w:space="0" w:color="auto"/>
            </w:tcBorders>
            <w:vAlign w:val="center"/>
            <w:hideMark/>
          </w:tcPr>
          <w:p w14:paraId="4657B883" w14:textId="5350D7E8" w:rsidR="0009314F" w:rsidRPr="00F631FB" w:rsidRDefault="00C61BB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知春里小区</w:t>
            </w:r>
          </w:p>
        </w:tc>
        <w:tc>
          <w:tcPr>
            <w:tcW w:w="296" w:type="pct"/>
            <w:tcBorders>
              <w:top w:val="single" w:sz="4" w:space="0" w:color="auto"/>
              <w:left w:val="single" w:sz="4" w:space="0" w:color="auto"/>
              <w:bottom w:val="single" w:sz="4" w:space="0" w:color="auto"/>
              <w:right w:val="single" w:sz="4" w:space="0" w:color="auto"/>
            </w:tcBorders>
            <w:vAlign w:val="center"/>
            <w:hideMark/>
          </w:tcPr>
          <w:p w14:paraId="2E4E557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系数</w:t>
            </w:r>
          </w:p>
        </w:tc>
      </w:tr>
      <w:tr w:rsidR="00C61BB4" w:rsidRPr="00F631FB" w14:paraId="3DA17FD1" w14:textId="77777777" w:rsidTr="00C6640C">
        <w:trPr>
          <w:cantSplit/>
          <w:trHeight w:val="315"/>
          <w:jc w:val="center"/>
        </w:trPr>
        <w:tc>
          <w:tcPr>
            <w:tcW w:w="936" w:type="pct"/>
            <w:gridSpan w:val="2"/>
            <w:tcBorders>
              <w:top w:val="single" w:sz="4" w:space="0" w:color="auto"/>
              <w:left w:val="single" w:sz="4" w:space="0" w:color="auto"/>
              <w:bottom w:val="single" w:sz="4" w:space="0" w:color="auto"/>
              <w:right w:val="single" w:sz="4" w:space="0" w:color="auto"/>
            </w:tcBorders>
            <w:noWrap/>
            <w:vAlign w:val="center"/>
            <w:hideMark/>
          </w:tcPr>
          <w:p w14:paraId="0B6B6F4B"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交易时间</w:t>
            </w:r>
          </w:p>
        </w:tc>
        <w:tc>
          <w:tcPr>
            <w:tcW w:w="808" w:type="pct"/>
            <w:tcBorders>
              <w:top w:val="single" w:sz="4" w:space="0" w:color="auto"/>
              <w:left w:val="single" w:sz="4" w:space="0" w:color="auto"/>
              <w:bottom w:val="single" w:sz="4" w:space="0" w:color="auto"/>
              <w:right w:val="single" w:sz="4" w:space="0" w:color="auto"/>
            </w:tcBorders>
            <w:vAlign w:val="center"/>
            <w:hideMark/>
          </w:tcPr>
          <w:p w14:paraId="33994239" w14:textId="635EF4B0" w:rsidR="00C61BB4" w:rsidRPr="00F631FB" w:rsidRDefault="00C61BB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sz w:val="18"/>
                <w:szCs w:val="18"/>
              </w:rPr>
              <w:t>2021-10-15</w:t>
            </w:r>
          </w:p>
        </w:tc>
        <w:tc>
          <w:tcPr>
            <w:tcW w:w="236" w:type="pct"/>
            <w:tcBorders>
              <w:top w:val="single" w:sz="4" w:space="0" w:color="auto"/>
              <w:left w:val="single" w:sz="4" w:space="0" w:color="auto"/>
              <w:bottom w:val="single" w:sz="4" w:space="0" w:color="auto"/>
              <w:right w:val="single" w:sz="4" w:space="0" w:color="auto"/>
            </w:tcBorders>
            <w:vAlign w:val="center"/>
            <w:hideMark/>
          </w:tcPr>
          <w:p w14:paraId="198E6478" w14:textId="76C2CAC3"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06B10851" w14:textId="05ED5F0B" w:rsidR="00C61BB4" w:rsidRPr="00F631FB" w:rsidRDefault="00C61BB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sz w:val="18"/>
                <w:szCs w:val="18"/>
              </w:rPr>
              <w:t>2021-10</w:t>
            </w:r>
          </w:p>
        </w:tc>
        <w:tc>
          <w:tcPr>
            <w:tcW w:w="304" w:type="pct"/>
            <w:tcBorders>
              <w:top w:val="single" w:sz="4" w:space="0" w:color="auto"/>
              <w:left w:val="single" w:sz="4" w:space="0" w:color="auto"/>
              <w:bottom w:val="single" w:sz="4" w:space="0" w:color="auto"/>
              <w:right w:val="single" w:sz="4" w:space="0" w:color="auto"/>
            </w:tcBorders>
            <w:vAlign w:val="center"/>
            <w:hideMark/>
          </w:tcPr>
          <w:p w14:paraId="5098D228" w14:textId="6539AF6D"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11C3345B" w14:textId="565EB307" w:rsidR="00C61BB4" w:rsidRPr="00F631FB" w:rsidRDefault="00C61BB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sz w:val="18"/>
                <w:szCs w:val="18"/>
              </w:rPr>
              <w:t>2021-10</w:t>
            </w:r>
          </w:p>
        </w:tc>
        <w:tc>
          <w:tcPr>
            <w:tcW w:w="236" w:type="pct"/>
            <w:tcBorders>
              <w:top w:val="single" w:sz="4" w:space="0" w:color="auto"/>
              <w:left w:val="single" w:sz="4" w:space="0" w:color="auto"/>
              <w:bottom w:val="single" w:sz="4" w:space="0" w:color="auto"/>
              <w:right w:val="single" w:sz="4" w:space="0" w:color="auto"/>
            </w:tcBorders>
            <w:vAlign w:val="center"/>
            <w:hideMark/>
          </w:tcPr>
          <w:p w14:paraId="08BC4926" w14:textId="6A3AC94C"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3A4EF239" w14:textId="4763138C" w:rsidR="00C61BB4" w:rsidRPr="00F631FB" w:rsidRDefault="00C61BB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sz w:val="18"/>
                <w:szCs w:val="18"/>
              </w:rPr>
              <w:t>2021-10</w:t>
            </w:r>
          </w:p>
        </w:tc>
        <w:tc>
          <w:tcPr>
            <w:tcW w:w="296" w:type="pct"/>
            <w:tcBorders>
              <w:top w:val="single" w:sz="4" w:space="0" w:color="auto"/>
              <w:left w:val="single" w:sz="4" w:space="0" w:color="auto"/>
              <w:bottom w:val="single" w:sz="4" w:space="0" w:color="auto"/>
              <w:right w:val="single" w:sz="4" w:space="0" w:color="auto"/>
            </w:tcBorders>
            <w:vAlign w:val="center"/>
            <w:hideMark/>
          </w:tcPr>
          <w:p w14:paraId="01AF5020" w14:textId="002EC8BC"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sz w:val="18"/>
                <w:szCs w:val="18"/>
              </w:rPr>
              <w:t>100</w:t>
            </w:r>
          </w:p>
        </w:tc>
      </w:tr>
      <w:tr w:rsidR="0009314F" w:rsidRPr="00F631FB" w14:paraId="06AF10ED" w14:textId="77777777" w:rsidTr="00C6640C">
        <w:trPr>
          <w:cantSplit/>
          <w:trHeight w:val="555"/>
          <w:jc w:val="center"/>
        </w:trPr>
        <w:tc>
          <w:tcPr>
            <w:tcW w:w="936" w:type="pct"/>
            <w:gridSpan w:val="2"/>
            <w:tcBorders>
              <w:top w:val="single" w:sz="4" w:space="0" w:color="auto"/>
              <w:left w:val="single" w:sz="4" w:space="0" w:color="auto"/>
              <w:bottom w:val="single" w:sz="4" w:space="0" w:color="auto"/>
              <w:right w:val="single" w:sz="4" w:space="0" w:color="auto"/>
            </w:tcBorders>
            <w:noWrap/>
            <w:vAlign w:val="center"/>
            <w:hideMark/>
          </w:tcPr>
          <w:p w14:paraId="77B1448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交易情况</w:t>
            </w:r>
          </w:p>
        </w:tc>
        <w:tc>
          <w:tcPr>
            <w:tcW w:w="808" w:type="pct"/>
            <w:tcBorders>
              <w:top w:val="single" w:sz="4" w:space="0" w:color="auto"/>
              <w:left w:val="single" w:sz="4" w:space="0" w:color="auto"/>
              <w:bottom w:val="single" w:sz="4" w:space="0" w:color="auto"/>
              <w:right w:val="single" w:sz="4" w:space="0" w:color="auto"/>
            </w:tcBorders>
            <w:vAlign w:val="center"/>
            <w:hideMark/>
          </w:tcPr>
          <w:p w14:paraId="669DCF9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正常</w:t>
            </w:r>
          </w:p>
        </w:tc>
        <w:tc>
          <w:tcPr>
            <w:tcW w:w="236" w:type="pct"/>
            <w:tcBorders>
              <w:top w:val="single" w:sz="4" w:space="0" w:color="auto"/>
              <w:left w:val="single" w:sz="4" w:space="0" w:color="auto"/>
              <w:bottom w:val="single" w:sz="4" w:space="0" w:color="auto"/>
              <w:right w:val="single" w:sz="4" w:space="0" w:color="auto"/>
            </w:tcBorders>
            <w:vAlign w:val="center"/>
            <w:hideMark/>
          </w:tcPr>
          <w:p w14:paraId="4F31E60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4852F61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正常</w:t>
            </w:r>
          </w:p>
        </w:tc>
        <w:tc>
          <w:tcPr>
            <w:tcW w:w="304" w:type="pct"/>
            <w:tcBorders>
              <w:top w:val="single" w:sz="4" w:space="0" w:color="auto"/>
              <w:left w:val="single" w:sz="4" w:space="0" w:color="auto"/>
              <w:bottom w:val="single" w:sz="4" w:space="0" w:color="auto"/>
              <w:right w:val="single" w:sz="4" w:space="0" w:color="auto"/>
            </w:tcBorders>
            <w:vAlign w:val="center"/>
            <w:hideMark/>
          </w:tcPr>
          <w:p w14:paraId="31B7656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3BA488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正常</w:t>
            </w:r>
          </w:p>
        </w:tc>
        <w:tc>
          <w:tcPr>
            <w:tcW w:w="236" w:type="pct"/>
            <w:tcBorders>
              <w:top w:val="single" w:sz="4" w:space="0" w:color="auto"/>
              <w:left w:val="single" w:sz="4" w:space="0" w:color="auto"/>
              <w:bottom w:val="single" w:sz="4" w:space="0" w:color="auto"/>
              <w:right w:val="single" w:sz="4" w:space="0" w:color="auto"/>
            </w:tcBorders>
            <w:vAlign w:val="center"/>
            <w:hideMark/>
          </w:tcPr>
          <w:p w14:paraId="7C7E608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1749047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正常</w:t>
            </w:r>
          </w:p>
        </w:tc>
        <w:tc>
          <w:tcPr>
            <w:tcW w:w="296" w:type="pct"/>
            <w:tcBorders>
              <w:top w:val="single" w:sz="4" w:space="0" w:color="auto"/>
              <w:left w:val="single" w:sz="4" w:space="0" w:color="auto"/>
              <w:bottom w:val="single" w:sz="4" w:space="0" w:color="auto"/>
              <w:right w:val="single" w:sz="4" w:space="0" w:color="auto"/>
            </w:tcBorders>
            <w:vAlign w:val="center"/>
            <w:hideMark/>
          </w:tcPr>
          <w:p w14:paraId="673C12E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29C06AB6" w14:textId="77777777" w:rsidTr="00C6640C">
        <w:trPr>
          <w:cantSplit/>
          <w:trHeight w:val="555"/>
          <w:jc w:val="center"/>
        </w:trPr>
        <w:tc>
          <w:tcPr>
            <w:tcW w:w="936" w:type="pct"/>
            <w:gridSpan w:val="2"/>
            <w:tcBorders>
              <w:top w:val="single" w:sz="4" w:space="0" w:color="auto"/>
              <w:left w:val="single" w:sz="4" w:space="0" w:color="auto"/>
              <w:bottom w:val="single" w:sz="4" w:space="0" w:color="auto"/>
              <w:right w:val="single" w:sz="4" w:space="0" w:color="auto"/>
            </w:tcBorders>
            <w:vAlign w:val="center"/>
            <w:hideMark/>
          </w:tcPr>
          <w:p w14:paraId="05290D1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用途</w:t>
            </w:r>
          </w:p>
        </w:tc>
        <w:tc>
          <w:tcPr>
            <w:tcW w:w="808" w:type="pct"/>
            <w:tcBorders>
              <w:top w:val="single" w:sz="4" w:space="0" w:color="auto"/>
              <w:left w:val="single" w:sz="4" w:space="0" w:color="auto"/>
              <w:bottom w:val="single" w:sz="4" w:space="0" w:color="auto"/>
              <w:right w:val="single" w:sz="4" w:space="0" w:color="auto"/>
            </w:tcBorders>
            <w:vAlign w:val="center"/>
            <w:hideMark/>
          </w:tcPr>
          <w:p w14:paraId="12E91A8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w:t>
            </w:r>
          </w:p>
        </w:tc>
        <w:tc>
          <w:tcPr>
            <w:tcW w:w="236" w:type="pct"/>
            <w:tcBorders>
              <w:top w:val="single" w:sz="4" w:space="0" w:color="auto"/>
              <w:left w:val="single" w:sz="4" w:space="0" w:color="auto"/>
              <w:bottom w:val="single" w:sz="4" w:space="0" w:color="auto"/>
              <w:right w:val="single" w:sz="4" w:space="0" w:color="auto"/>
            </w:tcBorders>
            <w:vAlign w:val="center"/>
            <w:hideMark/>
          </w:tcPr>
          <w:p w14:paraId="13AAA23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141D687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w:t>
            </w:r>
          </w:p>
        </w:tc>
        <w:tc>
          <w:tcPr>
            <w:tcW w:w="304" w:type="pct"/>
            <w:tcBorders>
              <w:top w:val="single" w:sz="4" w:space="0" w:color="auto"/>
              <w:left w:val="single" w:sz="4" w:space="0" w:color="auto"/>
              <w:bottom w:val="single" w:sz="4" w:space="0" w:color="auto"/>
              <w:right w:val="single" w:sz="4" w:space="0" w:color="auto"/>
            </w:tcBorders>
            <w:vAlign w:val="center"/>
            <w:hideMark/>
          </w:tcPr>
          <w:p w14:paraId="473DE40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C61432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w:t>
            </w:r>
          </w:p>
        </w:tc>
        <w:tc>
          <w:tcPr>
            <w:tcW w:w="236" w:type="pct"/>
            <w:tcBorders>
              <w:top w:val="single" w:sz="4" w:space="0" w:color="auto"/>
              <w:left w:val="single" w:sz="4" w:space="0" w:color="auto"/>
              <w:bottom w:val="single" w:sz="4" w:space="0" w:color="auto"/>
              <w:right w:val="single" w:sz="4" w:space="0" w:color="auto"/>
            </w:tcBorders>
            <w:vAlign w:val="center"/>
            <w:hideMark/>
          </w:tcPr>
          <w:p w14:paraId="2A5AC10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76AC25C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w:t>
            </w:r>
          </w:p>
        </w:tc>
        <w:tc>
          <w:tcPr>
            <w:tcW w:w="296" w:type="pct"/>
            <w:tcBorders>
              <w:top w:val="single" w:sz="4" w:space="0" w:color="auto"/>
              <w:left w:val="single" w:sz="4" w:space="0" w:color="auto"/>
              <w:bottom w:val="single" w:sz="4" w:space="0" w:color="auto"/>
              <w:right w:val="single" w:sz="4" w:space="0" w:color="auto"/>
            </w:tcBorders>
            <w:vAlign w:val="center"/>
            <w:hideMark/>
          </w:tcPr>
          <w:p w14:paraId="4531FCE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120A020D" w14:textId="77777777" w:rsidTr="00C6640C">
        <w:trPr>
          <w:cantSplit/>
          <w:trHeight w:val="555"/>
          <w:jc w:val="center"/>
        </w:trPr>
        <w:tc>
          <w:tcPr>
            <w:tcW w:w="936" w:type="pct"/>
            <w:gridSpan w:val="2"/>
            <w:tcBorders>
              <w:top w:val="single" w:sz="4" w:space="0" w:color="auto"/>
              <w:left w:val="single" w:sz="4" w:space="0" w:color="auto"/>
              <w:bottom w:val="single" w:sz="4" w:space="0" w:color="auto"/>
              <w:right w:val="single" w:sz="4" w:space="0" w:color="auto"/>
            </w:tcBorders>
            <w:vAlign w:val="center"/>
            <w:hideMark/>
          </w:tcPr>
          <w:p w14:paraId="55CA897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土地使用年限（年）</w:t>
            </w:r>
          </w:p>
        </w:tc>
        <w:tc>
          <w:tcPr>
            <w:tcW w:w="808" w:type="pct"/>
            <w:tcBorders>
              <w:top w:val="single" w:sz="4" w:space="0" w:color="auto"/>
              <w:left w:val="single" w:sz="4" w:space="0" w:color="auto"/>
              <w:bottom w:val="single" w:sz="4" w:space="0" w:color="auto"/>
              <w:right w:val="single" w:sz="4" w:space="0" w:color="auto"/>
            </w:tcBorders>
            <w:vAlign w:val="center"/>
            <w:hideMark/>
          </w:tcPr>
          <w:p w14:paraId="56080FF7" w14:textId="77777777" w:rsidR="0009314F" w:rsidRPr="00F631FB" w:rsidRDefault="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40</w:t>
            </w:r>
            <w:r w:rsidRPr="00F631FB">
              <w:rPr>
                <w:rFonts w:ascii="Arial" w:eastAsia="仿宋_GB2312" w:hAnsi="Arial" w:cs="Arial" w:hint="eastAsia"/>
                <w:kern w:val="2"/>
                <w:sz w:val="18"/>
                <w:szCs w:val="18"/>
              </w:rPr>
              <w:t>年</w:t>
            </w:r>
          </w:p>
        </w:tc>
        <w:tc>
          <w:tcPr>
            <w:tcW w:w="236" w:type="pct"/>
            <w:tcBorders>
              <w:top w:val="single" w:sz="4" w:space="0" w:color="auto"/>
              <w:left w:val="single" w:sz="4" w:space="0" w:color="auto"/>
              <w:bottom w:val="single" w:sz="4" w:space="0" w:color="auto"/>
              <w:right w:val="single" w:sz="4" w:space="0" w:color="auto"/>
            </w:tcBorders>
            <w:vAlign w:val="center"/>
            <w:hideMark/>
          </w:tcPr>
          <w:p w14:paraId="0E5954F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141E5B1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20-30</w:t>
            </w:r>
            <w:r w:rsidRPr="00F631FB">
              <w:rPr>
                <w:rFonts w:ascii="Arial" w:eastAsia="仿宋_GB2312" w:hAnsi="Arial" w:cs="Arial" w:hint="eastAsia"/>
                <w:kern w:val="2"/>
                <w:sz w:val="18"/>
                <w:szCs w:val="18"/>
              </w:rPr>
              <w:t>（含）</w:t>
            </w:r>
          </w:p>
        </w:tc>
        <w:tc>
          <w:tcPr>
            <w:tcW w:w="304" w:type="pct"/>
            <w:tcBorders>
              <w:top w:val="single" w:sz="4" w:space="0" w:color="auto"/>
              <w:left w:val="single" w:sz="4" w:space="0" w:color="auto"/>
              <w:bottom w:val="single" w:sz="4" w:space="0" w:color="auto"/>
              <w:right w:val="single" w:sz="4" w:space="0" w:color="auto"/>
            </w:tcBorders>
            <w:vAlign w:val="center"/>
            <w:hideMark/>
          </w:tcPr>
          <w:p w14:paraId="6B99010E" w14:textId="67B44B64" w:rsidR="0009314F" w:rsidRPr="00F631FB" w:rsidRDefault="007C3005">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c>
          <w:tcPr>
            <w:tcW w:w="654" w:type="pct"/>
            <w:tcBorders>
              <w:top w:val="single" w:sz="4" w:space="0" w:color="auto"/>
              <w:left w:val="single" w:sz="4" w:space="0" w:color="auto"/>
              <w:bottom w:val="single" w:sz="4" w:space="0" w:color="auto"/>
              <w:right w:val="single" w:sz="4" w:space="0" w:color="auto"/>
            </w:tcBorders>
            <w:vAlign w:val="center"/>
            <w:hideMark/>
          </w:tcPr>
          <w:p w14:paraId="67CA5A6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20-30</w:t>
            </w:r>
            <w:r w:rsidRPr="00F631FB">
              <w:rPr>
                <w:rFonts w:ascii="Arial" w:eastAsia="仿宋_GB2312" w:hAnsi="Arial" w:cs="Arial" w:hint="eastAsia"/>
                <w:kern w:val="2"/>
                <w:sz w:val="18"/>
                <w:szCs w:val="18"/>
              </w:rPr>
              <w:t>（含）</w:t>
            </w:r>
          </w:p>
        </w:tc>
        <w:tc>
          <w:tcPr>
            <w:tcW w:w="236" w:type="pct"/>
            <w:tcBorders>
              <w:top w:val="single" w:sz="4" w:space="0" w:color="auto"/>
              <w:left w:val="single" w:sz="4" w:space="0" w:color="auto"/>
              <w:bottom w:val="single" w:sz="4" w:space="0" w:color="auto"/>
              <w:right w:val="single" w:sz="4" w:space="0" w:color="auto"/>
            </w:tcBorders>
            <w:vAlign w:val="center"/>
            <w:hideMark/>
          </w:tcPr>
          <w:p w14:paraId="58FB76BD" w14:textId="0ABD334B" w:rsidR="0009314F" w:rsidRPr="00F631FB" w:rsidRDefault="007C3005">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c>
          <w:tcPr>
            <w:tcW w:w="755" w:type="pct"/>
            <w:tcBorders>
              <w:top w:val="single" w:sz="4" w:space="0" w:color="auto"/>
              <w:left w:val="single" w:sz="4" w:space="0" w:color="auto"/>
              <w:bottom w:val="single" w:sz="4" w:space="0" w:color="auto"/>
              <w:right w:val="single" w:sz="4" w:space="0" w:color="auto"/>
            </w:tcBorders>
            <w:vAlign w:val="center"/>
            <w:hideMark/>
          </w:tcPr>
          <w:p w14:paraId="42070F8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20-30</w:t>
            </w:r>
            <w:r w:rsidRPr="00F631FB">
              <w:rPr>
                <w:rFonts w:ascii="Arial" w:eastAsia="仿宋_GB2312" w:hAnsi="Arial" w:cs="Arial" w:hint="eastAsia"/>
                <w:kern w:val="2"/>
                <w:sz w:val="18"/>
                <w:szCs w:val="18"/>
              </w:rPr>
              <w:t>（含）</w:t>
            </w:r>
          </w:p>
        </w:tc>
        <w:tc>
          <w:tcPr>
            <w:tcW w:w="296" w:type="pct"/>
            <w:tcBorders>
              <w:top w:val="single" w:sz="4" w:space="0" w:color="auto"/>
              <w:left w:val="single" w:sz="4" w:space="0" w:color="auto"/>
              <w:bottom w:val="single" w:sz="4" w:space="0" w:color="auto"/>
              <w:right w:val="single" w:sz="4" w:space="0" w:color="auto"/>
            </w:tcBorders>
            <w:vAlign w:val="center"/>
            <w:hideMark/>
          </w:tcPr>
          <w:p w14:paraId="23EB3982" w14:textId="1765704F" w:rsidR="0009314F" w:rsidRPr="00F631FB" w:rsidRDefault="007C3005">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r>
      <w:tr w:rsidR="0009314F" w:rsidRPr="00F631FB" w14:paraId="241F9D0E" w14:textId="77777777" w:rsidTr="00C6640C">
        <w:trPr>
          <w:cantSplit/>
          <w:trHeight w:val="540"/>
          <w:jc w:val="center"/>
        </w:trPr>
        <w:tc>
          <w:tcPr>
            <w:tcW w:w="181" w:type="pct"/>
            <w:vMerge w:val="restart"/>
            <w:tcBorders>
              <w:top w:val="single" w:sz="4" w:space="0" w:color="auto"/>
              <w:left w:val="single" w:sz="4" w:space="0" w:color="auto"/>
              <w:bottom w:val="single" w:sz="4" w:space="0" w:color="auto"/>
              <w:right w:val="single" w:sz="4" w:space="0" w:color="auto"/>
            </w:tcBorders>
            <w:vAlign w:val="center"/>
            <w:hideMark/>
          </w:tcPr>
          <w:p w14:paraId="24FD6DB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区域因素</w:t>
            </w: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2965BEE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商业繁华度</w:t>
            </w:r>
          </w:p>
        </w:tc>
        <w:tc>
          <w:tcPr>
            <w:tcW w:w="808" w:type="pct"/>
            <w:tcBorders>
              <w:top w:val="single" w:sz="4" w:space="0" w:color="auto"/>
              <w:left w:val="single" w:sz="4" w:space="0" w:color="auto"/>
              <w:bottom w:val="single" w:sz="4" w:space="0" w:color="auto"/>
              <w:right w:val="single" w:sz="4" w:space="0" w:color="auto"/>
            </w:tcBorders>
            <w:vAlign w:val="center"/>
            <w:hideMark/>
          </w:tcPr>
          <w:p w14:paraId="01F95919" w14:textId="3380DF00" w:rsidR="0009314F" w:rsidRPr="00F631FB" w:rsidRDefault="00C61BB4" w:rsidP="0009314F">
            <w:pPr>
              <w:widowControl/>
              <w:adjustRightInd/>
              <w:spacing w:line="240" w:lineRule="auto"/>
              <w:jc w:val="center"/>
              <w:rPr>
                <w:rFonts w:ascii="Arial" w:eastAsia="仿宋_GB2312" w:hAnsi="Arial" w:cs="Arial"/>
                <w:kern w:val="2"/>
                <w:sz w:val="18"/>
                <w:szCs w:val="18"/>
              </w:rPr>
            </w:pPr>
            <w:r w:rsidRPr="00C61BB4">
              <w:rPr>
                <w:rFonts w:ascii="Arial" w:eastAsia="仿宋_GB2312" w:hAnsi="Arial" w:cs="Arial" w:hint="eastAsia"/>
                <w:kern w:val="2"/>
                <w:sz w:val="18"/>
                <w:szCs w:val="18"/>
              </w:rPr>
              <w:t>估价对象位于海淀区苏州街，周边有新中关购物中心、</w:t>
            </w:r>
            <w:proofErr w:type="gramStart"/>
            <w:r w:rsidRPr="00C61BB4">
              <w:rPr>
                <w:rFonts w:ascii="Arial" w:eastAsia="仿宋_GB2312" w:hAnsi="Arial" w:cs="Arial" w:hint="eastAsia"/>
                <w:kern w:val="2"/>
                <w:sz w:val="18"/>
                <w:szCs w:val="18"/>
              </w:rPr>
              <w:t>领展购物</w:t>
            </w:r>
            <w:proofErr w:type="gramEnd"/>
            <w:r w:rsidRPr="00C61BB4">
              <w:rPr>
                <w:rFonts w:ascii="Arial" w:eastAsia="仿宋_GB2312" w:hAnsi="Arial" w:cs="Arial" w:hint="eastAsia"/>
                <w:kern w:val="2"/>
                <w:sz w:val="18"/>
                <w:szCs w:val="18"/>
              </w:rPr>
              <w:t>广场（中关村店）、</w:t>
            </w:r>
            <w:r w:rsidRPr="00C61BB4">
              <w:rPr>
                <w:rFonts w:ascii="Arial" w:eastAsia="仿宋_GB2312" w:hAnsi="Arial" w:cs="Arial" w:hint="eastAsia"/>
                <w:kern w:val="2"/>
                <w:sz w:val="18"/>
                <w:szCs w:val="18"/>
              </w:rPr>
              <w:t>BHG MALL</w:t>
            </w:r>
            <w:r w:rsidRPr="00C61BB4">
              <w:rPr>
                <w:rFonts w:ascii="Arial" w:eastAsia="仿宋_GB2312" w:hAnsi="Arial" w:cs="Arial" w:hint="eastAsia"/>
                <w:kern w:val="2"/>
                <w:sz w:val="18"/>
                <w:szCs w:val="18"/>
              </w:rPr>
              <w:t>北京华联万柳购物中心等商业机构，在建的商业项目较少，商业繁华度较好</w:t>
            </w:r>
            <w:r>
              <w:rPr>
                <w:rFonts w:ascii="Arial" w:eastAsia="仿宋_GB2312" w:hAnsi="Arial" w:cs="Arial"/>
                <w:kern w:val="2"/>
                <w:sz w:val="18"/>
                <w:szCs w:val="18"/>
              </w:rPr>
              <w:t>。</w:t>
            </w:r>
          </w:p>
        </w:tc>
        <w:tc>
          <w:tcPr>
            <w:tcW w:w="236" w:type="pct"/>
            <w:tcBorders>
              <w:top w:val="single" w:sz="4" w:space="0" w:color="auto"/>
              <w:left w:val="single" w:sz="4" w:space="0" w:color="auto"/>
              <w:bottom w:val="single" w:sz="4" w:space="0" w:color="auto"/>
              <w:right w:val="single" w:sz="4" w:space="0" w:color="auto"/>
            </w:tcBorders>
            <w:vAlign w:val="center"/>
            <w:hideMark/>
          </w:tcPr>
          <w:p w14:paraId="55DBCBC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6C248361" w14:textId="0F03A009" w:rsidR="0009314F" w:rsidRPr="00F631FB" w:rsidRDefault="0009314F">
            <w:pPr>
              <w:widowControl/>
              <w:adjustRightInd/>
              <w:spacing w:line="240" w:lineRule="auto"/>
              <w:jc w:val="center"/>
              <w:rPr>
                <w:rFonts w:ascii="Arial" w:eastAsia="仿宋_GB2312" w:hAnsi="Arial" w:cs="Arial"/>
                <w:kern w:val="2"/>
                <w:sz w:val="18"/>
                <w:szCs w:val="18"/>
              </w:rPr>
            </w:pPr>
            <w:r w:rsidRPr="00C61BB4">
              <w:rPr>
                <w:rFonts w:ascii="Arial" w:eastAsia="仿宋_GB2312" w:hAnsi="Arial" w:cs="Arial" w:hint="eastAsia"/>
                <w:kern w:val="2"/>
                <w:sz w:val="18"/>
                <w:szCs w:val="18"/>
              </w:rPr>
              <w:t>周边有</w:t>
            </w:r>
            <w:r w:rsidR="00C61BB4" w:rsidRPr="00C61BB4">
              <w:rPr>
                <w:rFonts w:ascii="Arial" w:eastAsia="仿宋_GB2312" w:hAnsi="Arial" w:cs="Arial" w:hint="eastAsia"/>
                <w:kern w:val="2"/>
                <w:sz w:val="18"/>
                <w:szCs w:val="18"/>
              </w:rPr>
              <w:t>中关购物中心、</w:t>
            </w:r>
            <w:proofErr w:type="gramStart"/>
            <w:r w:rsidR="00C61BB4" w:rsidRPr="00C61BB4">
              <w:rPr>
                <w:rFonts w:ascii="Arial" w:eastAsia="仿宋_GB2312" w:hAnsi="Arial" w:cs="Arial" w:hint="eastAsia"/>
                <w:kern w:val="2"/>
                <w:sz w:val="18"/>
                <w:szCs w:val="18"/>
              </w:rPr>
              <w:t>领展购物</w:t>
            </w:r>
            <w:proofErr w:type="gramEnd"/>
            <w:r w:rsidR="00C61BB4" w:rsidRPr="00C61BB4">
              <w:rPr>
                <w:rFonts w:ascii="Arial" w:eastAsia="仿宋_GB2312" w:hAnsi="Arial" w:cs="Arial" w:hint="eastAsia"/>
                <w:kern w:val="2"/>
                <w:sz w:val="18"/>
                <w:szCs w:val="18"/>
              </w:rPr>
              <w:t>广场（中关村店）、</w:t>
            </w:r>
            <w:r w:rsidR="00C61BB4" w:rsidRPr="00C61BB4">
              <w:rPr>
                <w:rFonts w:ascii="Arial" w:eastAsia="仿宋_GB2312" w:hAnsi="Arial" w:cs="Arial" w:hint="eastAsia"/>
                <w:kern w:val="2"/>
                <w:sz w:val="18"/>
                <w:szCs w:val="18"/>
              </w:rPr>
              <w:t>BHG MALL</w:t>
            </w:r>
            <w:r w:rsidR="00C61BB4" w:rsidRPr="00C61BB4">
              <w:rPr>
                <w:rFonts w:ascii="Arial" w:eastAsia="仿宋_GB2312" w:hAnsi="Arial" w:cs="Arial" w:hint="eastAsia"/>
                <w:kern w:val="2"/>
                <w:sz w:val="18"/>
                <w:szCs w:val="18"/>
              </w:rPr>
              <w:t>北京华联万柳购物中心等商业机构，在建的商业项目较少，商业繁华度较好</w:t>
            </w:r>
            <w:r w:rsidR="00C61BB4">
              <w:rPr>
                <w:rFonts w:ascii="Arial" w:eastAsia="仿宋_GB2312" w:hAnsi="Arial" w:cs="Arial"/>
                <w:kern w:val="2"/>
                <w:sz w:val="18"/>
                <w:szCs w:val="18"/>
              </w:rPr>
              <w:t>。</w:t>
            </w:r>
          </w:p>
        </w:tc>
        <w:tc>
          <w:tcPr>
            <w:tcW w:w="304" w:type="pct"/>
            <w:tcBorders>
              <w:top w:val="single" w:sz="4" w:space="0" w:color="auto"/>
              <w:left w:val="single" w:sz="4" w:space="0" w:color="auto"/>
              <w:bottom w:val="single" w:sz="4" w:space="0" w:color="auto"/>
              <w:right w:val="single" w:sz="4" w:space="0" w:color="auto"/>
            </w:tcBorders>
            <w:vAlign w:val="center"/>
            <w:hideMark/>
          </w:tcPr>
          <w:p w14:paraId="4FD11008" w14:textId="2FCE58A9" w:rsidR="0009314F" w:rsidRPr="00F631FB" w:rsidRDefault="00C61BB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260DD0C" w14:textId="5C326AFD"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周边有</w:t>
            </w:r>
            <w:r w:rsidR="00C61BB4" w:rsidRPr="00C61BB4">
              <w:rPr>
                <w:rFonts w:ascii="Arial" w:eastAsia="仿宋_GB2312" w:hAnsi="Arial" w:cs="Arial" w:hint="eastAsia"/>
                <w:kern w:val="2"/>
                <w:sz w:val="18"/>
                <w:szCs w:val="18"/>
              </w:rPr>
              <w:t>中关购物中心、</w:t>
            </w:r>
            <w:proofErr w:type="gramStart"/>
            <w:r w:rsidR="00C61BB4" w:rsidRPr="00C61BB4">
              <w:rPr>
                <w:rFonts w:ascii="Arial" w:eastAsia="仿宋_GB2312" w:hAnsi="Arial" w:cs="Arial" w:hint="eastAsia"/>
                <w:kern w:val="2"/>
                <w:sz w:val="18"/>
                <w:szCs w:val="18"/>
              </w:rPr>
              <w:t>领展购物</w:t>
            </w:r>
            <w:proofErr w:type="gramEnd"/>
            <w:r w:rsidR="00C61BB4" w:rsidRPr="00C61BB4">
              <w:rPr>
                <w:rFonts w:ascii="Arial" w:eastAsia="仿宋_GB2312" w:hAnsi="Arial" w:cs="Arial" w:hint="eastAsia"/>
                <w:kern w:val="2"/>
                <w:sz w:val="18"/>
                <w:szCs w:val="18"/>
              </w:rPr>
              <w:t>广场（中关村店）、</w:t>
            </w:r>
            <w:r w:rsidR="00C61BB4" w:rsidRPr="00C61BB4">
              <w:rPr>
                <w:rFonts w:ascii="Arial" w:eastAsia="仿宋_GB2312" w:hAnsi="Arial" w:cs="Arial" w:hint="eastAsia"/>
                <w:kern w:val="2"/>
                <w:sz w:val="18"/>
                <w:szCs w:val="18"/>
              </w:rPr>
              <w:t>BHG MALL</w:t>
            </w:r>
            <w:r w:rsidR="00C61BB4" w:rsidRPr="00C61BB4">
              <w:rPr>
                <w:rFonts w:ascii="Arial" w:eastAsia="仿宋_GB2312" w:hAnsi="Arial" w:cs="Arial" w:hint="eastAsia"/>
                <w:kern w:val="2"/>
                <w:sz w:val="18"/>
                <w:szCs w:val="18"/>
              </w:rPr>
              <w:t>北京华联万柳购物中心等商业机构，在建的商业项目较少，商业繁华度较好</w:t>
            </w:r>
            <w:r w:rsidR="00C61BB4">
              <w:rPr>
                <w:rFonts w:ascii="Arial" w:eastAsia="仿宋_GB2312" w:hAnsi="Arial" w:cs="Arial"/>
                <w:kern w:val="2"/>
                <w:sz w:val="18"/>
                <w:szCs w:val="18"/>
              </w:rPr>
              <w:t>。</w:t>
            </w:r>
          </w:p>
        </w:tc>
        <w:tc>
          <w:tcPr>
            <w:tcW w:w="236" w:type="pct"/>
            <w:tcBorders>
              <w:top w:val="single" w:sz="4" w:space="0" w:color="auto"/>
              <w:left w:val="single" w:sz="4" w:space="0" w:color="auto"/>
              <w:bottom w:val="single" w:sz="4" w:space="0" w:color="auto"/>
              <w:right w:val="single" w:sz="4" w:space="0" w:color="auto"/>
            </w:tcBorders>
            <w:vAlign w:val="center"/>
            <w:hideMark/>
          </w:tcPr>
          <w:p w14:paraId="790CDC8A" w14:textId="2D09E4A7" w:rsidR="0009314F" w:rsidRPr="00F631FB" w:rsidRDefault="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kern w:val="2"/>
                <w:sz w:val="18"/>
                <w:szCs w:val="18"/>
              </w:rPr>
              <w:t>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7D758966" w14:textId="38F05693"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周边有</w:t>
            </w:r>
            <w:r w:rsidR="00C61BB4" w:rsidRPr="00C61BB4">
              <w:rPr>
                <w:rFonts w:ascii="Arial" w:eastAsia="仿宋_GB2312" w:hAnsi="Arial" w:cs="Arial" w:hint="eastAsia"/>
                <w:kern w:val="2"/>
                <w:sz w:val="18"/>
                <w:szCs w:val="18"/>
              </w:rPr>
              <w:t>中关购物中心、</w:t>
            </w:r>
            <w:proofErr w:type="gramStart"/>
            <w:r w:rsidR="00C61BB4" w:rsidRPr="00C61BB4">
              <w:rPr>
                <w:rFonts w:ascii="Arial" w:eastAsia="仿宋_GB2312" w:hAnsi="Arial" w:cs="Arial" w:hint="eastAsia"/>
                <w:kern w:val="2"/>
                <w:sz w:val="18"/>
                <w:szCs w:val="18"/>
              </w:rPr>
              <w:t>领展购物</w:t>
            </w:r>
            <w:proofErr w:type="gramEnd"/>
            <w:r w:rsidR="00C61BB4" w:rsidRPr="00C61BB4">
              <w:rPr>
                <w:rFonts w:ascii="Arial" w:eastAsia="仿宋_GB2312" w:hAnsi="Arial" w:cs="Arial" w:hint="eastAsia"/>
                <w:kern w:val="2"/>
                <w:sz w:val="18"/>
                <w:szCs w:val="18"/>
              </w:rPr>
              <w:t>广场（中关村店）、</w:t>
            </w:r>
            <w:r w:rsidR="00C61BB4" w:rsidRPr="00C61BB4">
              <w:rPr>
                <w:rFonts w:ascii="Arial" w:eastAsia="仿宋_GB2312" w:hAnsi="Arial" w:cs="Arial" w:hint="eastAsia"/>
                <w:kern w:val="2"/>
                <w:sz w:val="18"/>
                <w:szCs w:val="18"/>
              </w:rPr>
              <w:t>BHG MALL</w:t>
            </w:r>
            <w:r w:rsidR="00C61BB4" w:rsidRPr="00C61BB4">
              <w:rPr>
                <w:rFonts w:ascii="Arial" w:eastAsia="仿宋_GB2312" w:hAnsi="Arial" w:cs="Arial" w:hint="eastAsia"/>
                <w:kern w:val="2"/>
                <w:sz w:val="18"/>
                <w:szCs w:val="18"/>
              </w:rPr>
              <w:t>北京华联万柳购物中心等商业机构，在建的商业项目较少，商业繁华度较好</w:t>
            </w:r>
            <w:r w:rsidR="00C61BB4">
              <w:rPr>
                <w:rFonts w:ascii="Arial" w:eastAsia="仿宋_GB2312" w:hAnsi="Arial" w:cs="Arial"/>
                <w:kern w:val="2"/>
                <w:sz w:val="18"/>
                <w:szCs w:val="18"/>
              </w:rPr>
              <w:t>。</w:t>
            </w:r>
          </w:p>
        </w:tc>
        <w:tc>
          <w:tcPr>
            <w:tcW w:w="296" w:type="pct"/>
            <w:tcBorders>
              <w:top w:val="single" w:sz="4" w:space="0" w:color="auto"/>
              <w:left w:val="single" w:sz="4" w:space="0" w:color="auto"/>
              <w:bottom w:val="single" w:sz="4" w:space="0" w:color="auto"/>
              <w:right w:val="single" w:sz="4" w:space="0" w:color="auto"/>
            </w:tcBorders>
            <w:vAlign w:val="center"/>
            <w:hideMark/>
          </w:tcPr>
          <w:p w14:paraId="21250438" w14:textId="6C65A4AE" w:rsidR="0009314F" w:rsidRPr="00F631FB" w:rsidRDefault="00C61BB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rsidRPr="00F631FB" w14:paraId="12F4074D" w14:textId="77777777" w:rsidTr="00C6640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8EB37" w14:textId="77777777" w:rsidR="0009314F" w:rsidRPr="00F631FB" w:rsidRDefault="0009314F">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7BC4819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交通便捷度</w:t>
            </w:r>
          </w:p>
        </w:tc>
        <w:tc>
          <w:tcPr>
            <w:tcW w:w="808" w:type="pct"/>
            <w:tcBorders>
              <w:top w:val="single" w:sz="4" w:space="0" w:color="auto"/>
              <w:left w:val="single" w:sz="4" w:space="0" w:color="auto"/>
              <w:bottom w:val="single" w:sz="4" w:space="0" w:color="auto"/>
              <w:right w:val="single" w:sz="4" w:space="0" w:color="auto"/>
            </w:tcBorders>
            <w:vAlign w:val="center"/>
            <w:hideMark/>
          </w:tcPr>
          <w:p w14:paraId="3CAD156A" w14:textId="1815591A" w:rsidR="0009314F" w:rsidRPr="00F631FB" w:rsidRDefault="00C61BB4" w:rsidP="0009314F">
            <w:pPr>
              <w:widowControl/>
              <w:adjustRightInd/>
              <w:spacing w:line="240" w:lineRule="auto"/>
              <w:jc w:val="center"/>
              <w:rPr>
                <w:rFonts w:ascii="Arial" w:eastAsia="仿宋_GB2312" w:hAnsi="Arial" w:cs="Arial"/>
                <w:kern w:val="2"/>
                <w:sz w:val="18"/>
                <w:szCs w:val="18"/>
              </w:rPr>
            </w:pPr>
            <w:r w:rsidRPr="00F21B5D">
              <w:rPr>
                <w:rFonts w:ascii="Arial" w:eastAsia="仿宋_GB2312" w:hAnsi="Arial" w:cs="Arial" w:hint="eastAsia"/>
                <w:sz w:val="18"/>
                <w:szCs w:val="18"/>
              </w:rPr>
              <w:t>估价对象紧邻城市主干道—海淀南路、苏州街，南距北三环西路约</w:t>
            </w:r>
            <w:r w:rsidRPr="00F21B5D">
              <w:rPr>
                <w:rFonts w:ascii="Arial" w:eastAsia="仿宋_GB2312" w:hAnsi="Arial" w:cs="Arial" w:hint="eastAsia"/>
                <w:sz w:val="18"/>
                <w:szCs w:val="18"/>
              </w:rPr>
              <w:t>1500</w:t>
            </w:r>
            <w:r w:rsidRPr="00F21B5D">
              <w:rPr>
                <w:rFonts w:ascii="Arial" w:eastAsia="仿宋_GB2312" w:hAnsi="Arial" w:cs="Arial" w:hint="eastAsia"/>
                <w:sz w:val="18"/>
                <w:szCs w:val="18"/>
              </w:rPr>
              <w:t>米，距北京首都国际机场约</w:t>
            </w:r>
            <w:r w:rsidRPr="00F21B5D">
              <w:rPr>
                <w:rFonts w:ascii="Arial" w:eastAsia="仿宋_GB2312" w:hAnsi="Arial" w:cs="Arial" w:hint="eastAsia"/>
                <w:sz w:val="18"/>
                <w:szCs w:val="18"/>
              </w:rPr>
              <w:t>29</w:t>
            </w:r>
            <w:r w:rsidRPr="00F21B5D">
              <w:rPr>
                <w:rFonts w:ascii="Arial" w:eastAsia="仿宋_GB2312" w:hAnsi="Arial" w:cs="Arial" w:hint="eastAsia"/>
                <w:sz w:val="18"/>
                <w:szCs w:val="18"/>
              </w:rPr>
              <w:t>公里，距北京站约</w:t>
            </w:r>
            <w:r w:rsidRPr="00F21B5D">
              <w:rPr>
                <w:rFonts w:ascii="Arial" w:eastAsia="仿宋_GB2312" w:hAnsi="Arial" w:cs="Arial" w:hint="eastAsia"/>
                <w:sz w:val="18"/>
                <w:szCs w:val="18"/>
              </w:rPr>
              <w:t>13</w:t>
            </w:r>
            <w:r w:rsidRPr="00F21B5D">
              <w:rPr>
                <w:rFonts w:ascii="Arial" w:eastAsia="仿宋_GB2312" w:hAnsi="Arial" w:cs="Arial" w:hint="eastAsia"/>
                <w:sz w:val="18"/>
                <w:szCs w:val="18"/>
              </w:rPr>
              <w:t>公里，紧邻地铁</w:t>
            </w:r>
            <w:r w:rsidRPr="00F21B5D">
              <w:rPr>
                <w:rFonts w:ascii="Arial" w:eastAsia="仿宋_GB2312" w:hAnsi="Arial" w:cs="Arial" w:hint="eastAsia"/>
                <w:sz w:val="18"/>
                <w:szCs w:val="18"/>
              </w:rPr>
              <w:t>10</w:t>
            </w:r>
            <w:r w:rsidRPr="00F21B5D">
              <w:rPr>
                <w:rFonts w:ascii="Arial" w:eastAsia="仿宋_GB2312" w:hAnsi="Arial" w:cs="Arial" w:hint="eastAsia"/>
                <w:sz w:val="18"/>
                <w:szCs w:val="18"/>
              </w:rPr>
              <w:t>、</w:t>
            </w:r>
            <w:r w:rsidRPr="00F21B5D">
              <w:rPr>
                <w:rFonts w:ascii="Arial" w:eastAsia="仿宋_GB2312" w:hAnsi="Arial" w:cs="Arial" w:hint="eastAsia"/>
                <w:sz w:val="18"/>
                <w:szCs w:val="18"/>
              </w:rPr>
              <w:t>16</w:t>
            </w:r>
            <w:r w:rsidRPr="00F21B5D">
              <w:rPr>
                <w:rFonts w:ascii="Arial" w:eastAsia="仿宋_GB2312" w:hAnsi="Arial" w:cs="Arial" w:hint="eastAsia"/>
                <w:sz w:val="18"/>
                <w:szCs w:val="18"/>
              </w:rPr>
              <w:t>号线（苏州街站），周边有</w:t>
            </w:r>
            <w:r w:rsidRPr="00F21B5D">
              <w:rPr>
                <w:rFonts w:ascii="Arial" w:eastAsia="仿宋_GB2312" w:hAnsi="Arial" w:cs="Arial" w:hint="eastAsia"/>
                <w:sz w:val="18"/>
                <w:szCs w:val="18"/>
              </w:rPr>
              <w:t>304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307</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386</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630</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671</w:t>
            </w:r>
            <w:r w:rsidRPr="00F21B5D">
              <w:rPr>
                <w:rFonts w:ascii="Arial" w:eastAsia="仿宋_GB2312" w:hAnsi="Arial" w:cs="Arial" w:hint="eastAsia"/>
                <w:sz w:val="18"/>
                <w:szCs w:val="18"/>
              </w:rPr>
              <w:t>路等多条公交线路通过，综合评价交通便捷度较好。</w:t>
            </w:r>
          </w:p>
          <w:p w14:paraId="571B51F5" w14:textId="77777777" w:rsidR="0009314F" w:rsidRPr="00F631FB" w:rsidRDefault="0009314F" w:rsidP="0009314F">
            <w:pPr>
              <w:widowControl/>
              <w:adjustRightInd/>
              <w:spacing w:line="240" w:lineRule="auto"/>
              <w:jc w:val="center"/>
              <w:rPr>
                <w:rFonts w:ascii="Arial" w:eastAsia="仿宋_GB2312" w:hAnsi="Arial" w:cs="Arial"/>
                <w:kern w:val="2"/>
                <w:sz w:val="18"/>
                <w:szCs w:val="18"/>
              </w:rPr>
            </w:pPr>
          </w:p>
        </w:tc>
        <w:tc>
          <w:tcPr>
            <w:tcW w:w="236" w:type="pct"/>
            <w:tcBorders>
              <w:top w:val="single" w:sz="4" w:space="0" w:color="auto"/>
              <w:left w:val="single" w:sz="4" w:space="0" w:color="auto"/>
              <w:bottom w:val="single" w:sz="4" w:space="0" w:color="auto"/>
              <w:right w:val="single" w:sz="4" w:space="0" w:color="auto"/>
            </w:tcBorders>
            <w:vAlign w:val="center"/>
            <w:hideMark/>
          </w:tcPr>
          <w:p w14:paraId="4E2404A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12702B46" w14:textId="1F8D922D" w:rsidR="00246664" w:rsidRPr="00246664" w:rsidRDefault="00246664" w:rsidP="00246664">
            <w:pPr>
              <w:widowControl/>
              <w:adjustRightInd/>
              <w:spacing w:line="240" w:lineRule="auto"/>
              <w:jc w:val="center"/>
              <w:rPr>
                <w:rFonts w:ascii="Arial" w:eastAsia="仿宋_GB2312" w:hAnsi="Arial" w:cs="Arial"/>
                <w:kern w:val="2"/>
                <w:sz w:val="18"/>
                <w:szCs w:val="18"/>
              </w:rPr>
            </w:pPr>
            <w:r w:rsidRPr="00246664">
              <w:rPr>
                <w:rFonts w:ascii="Arial" w:eastAsia="仿宋_GB2312" w:hAnsi="Arial" w:cs="Arial" w:hint="eastAsia"/>
                <w:sz w:val="18"/>
                <w:szCs w:val="18"/>
              </w:rPr>
              <w:t>紧邻城市主干道—苏州街，南距北三环西路约</w:t>
            </w:r>
            <w:r w:rsidRPr="00246664">
              <w:rPr>
                <w:rFonts w:ascii="Arial" w:eastAsia="仿宋_GB2312" w:hAnsi="Arial" w:cs="Arial" w:hint="eastAsia"/>
                <w:sz w:val="18"/>
                <w:szCs w:val="18"/>
              </w:rPr>
              <w:t>1</w:t>
            </w:r>
            <w:r>
              <w:rPr>
                <w:rFonts w:ascii="Arial" w:eastAsia="仿宋_GB2312" w:hAnsi="Arial" w:cs="Arial"/>
                <w:sz w:val="18"/>
                <w:szCs w:val="18"/>
              </w:rPr>
              <w:t>00</w:t>
            </w:r>
            <w:r w:rsidRPr="00246664">
              <w:rPr>
                <w:rFonts w:ascii="Arial" w:eastAsia="仿宋_GB2312" w:hAnsi="Arial" w:cs="Arial" w:hint="eastAsia"/>
                <w:sz w:val="18"/>
                <w:szCs w:val="18"/>
              </w:rPr>
              <w:t>米，距北京首都国际机场约</w:t>
            </w:r>
            <w:r w:rsidRPr="00246664">
              <w:rPr>
                <w:rFonts w:ascii="Arial" w:eastAsia="仿宋_GB2312" w:hAnsi="Arial" w:cs="Arial" w:hint="eastAsia"/>
                <w:sz w:val="18"/>
                <w:szCs w:val="18"/>
              </w:rPr>
              <w:t>29</w:t>
            </w:r>
            <w:r w:rsidRPr="00246664">
              <w:rPr>
                <w:rFonts w:ascii="Arial" w:eastAsia="仿宋_GB2312" w:hAnsi="Arial" w:cs="Arial" w:hint="eastAsia"/>
                <w:sz w:val="18"/>
                <w:szCs w:val="18"/>
              </w:rPr>
              <w:t>公里，距北京站约</w:t>
            </w:r>
            <w:r w:rsidRPr="00246664">
              <w:rPr>
                <w:rFonts w:ascii="Arial" w:eastAsia="仿宋_GB2312" w:hAnsi="Arial" w:cs="Arial" w:hint="eastAsia"/>
                <w:sz w:val="18"/>
                <w:szCs w:val="18"/>
              </w:rPr>
              <w:t>13</w:t>
            </w:r>
            <w:r w:rsidRPr="00246664">
              <w:rPr>
                <w:rFonts w:ascii="Arial" w:eastAsia="仿宋_GB2312" w:hAnsi="Arial" w:cs="Arial" w:hint="eastAsia"/>
                <w:sz w:val="18"/>
                <w:szCs w:val="18"/>
              </w:rPr>
              <w:t>公里，紧邻地铁</w:t>
            </w:r>
            <w:r w:rsidRPr="00246664">
              <w:rPr>
                <w:rFonts w:ascii="Arial" w:eastAsia="仿宋_GB2312" w:hAnsi="Arial" w:cs="Arial" w:hint="eastAsia"/>
                <w:sz w:val="18"/>
                <w:szCs w:val="18"/>
              </w:rPr>
              <w:t>10</w:t>
            </w:r>
            <w:r w:rsidRPr="00246664">
              <w:rPr>
                <w:rFonts w:ascii="Arial" w:eastAsia="仿宋_GB2312" w:hAnsi="Arial" w:cs="Arial" w:hint="eastAsia"/>
                <w:sz w:val="18"/>
                <w:szCs w:val="18"/>
              </w:rPr>
              <w:t>、</w:t>
            </w:r>
            <w:r w:rsidRPr="00246664">
              <w:rPr>
                <w:rFonts w:ascii="Arial" w:eastAsia="仿宋_GB2312" w:hAnsi="Arial" w:cs="Arial" w:hint="eastAsia"/>
                <w:sz w:val="18"/>
                <w:szCs w:val="18"/>
              </w:rPr>
              <w:t>16</w:t>
            </w:r>
            <w:r w:rsidRPr="00246664">
              <w:rPr>
                <w:rFonts w:ascii="Arial" w:eastAsia="仿宋_GB2312" w:hAnsi="Arial" w:cs="Arial" w:hint="eastAsia"/>
                <w:sz w:val="18"/>
                <w:szCs w:val="18"/>
              </w:rPr>
              <w:t>号线（苏州街站），周边有</w:t>
            </w:r>
            <w:r w:rsidRPr="00246664">
              <w:rPr>
                <w:rFonts w:ascii="Arial" w:eastAsia="仿宋_GB2312" w:hAnsi="Arial" w:cs="Arial" w:hint="eastAsia"/>
                <w:sz w:val="18"/>
                <w:szCs w:val="18"/>
              </w:rPr>
              <w:t>304</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307</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386</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630</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634</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671</w:t>
            </w:r>
            <w:r w:rsidRPr="00246664">
              <w:rPr>
                <w:rFonts w:ascii="Arial" w:eastAsia="仿宋_GB2312" w:hAnsi="Arial" w:cs="Arial" w:hint="eastAsia"/>
                <w:sz w:val="18"/>
                <w:szCs w:val="18"/>
              </w:rPr>
              <w:t>路等多条公交线路通过，综合评价交通便捷度较好。</w:t>
            </w:r>
          </w:p>
          <w:p w14:paraId="56D3AD5F" w14:textId="5553FF26" w:rsidR="0009314F" w:rsidRPr="00246664" w:rsidRDefault="0009314F">
            <w:pPr>
              <w:widowControl/>
              <w:adjustRightInd/>
              <w:spacing w:line="240" w:lineRule="auto"/>
              <w:jc w:val="center"/>
              <w:rPr>
                <w:rFonts w:ascii="Arial" w:eastAsia="仿宋_GB2312" w:hAnsi="Arial" w:cs="Arial"/>
                <w:kern w:val="2"/>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hideMark/>
          </w:tcPr>
          <w:p w14:paraId="11AEF785" w14:textId="599E31D1" w:rsidR="0009314F" w:rsidRPr="00246664" w:rsidRDefault="00C61BB4">
            <w:pPr>
              <w:widowControl/>
              <w:adjustRightInd/>
              <w:spacing w:line="240" w:lineRule="auto"/>
              <w:jc w:val="center"/>
              <w:rPr>
                <w:rFonts w:ascii="Arial" w:eastAsia="仿宋_GB2312" w:hAnsi="Arial" w:cs="Arial"/>
                <w:kern w:val="2"/>
                <w:sz w:val="18"/>
                <w:szCs w:val="18"/>
              </w:rPr>
            </w:pPr>
            <w:r w:rsidRPr="00246664">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6136058" w14:textId="7625D426" w:rsidR="00246664" w:rsidRPr="00246664" w:rsidRDefault="00246664" w:rsidP="00246664">
            <w:pPr>
              <w:widowControl/>
              <w:adjustRightInd/>
              <w:spacing w:line="240" w:lineRule="auto"/>
              <w:jc w:val="center"/>
              <w:rPr>
                <w:rFonts w:ascii="Arial" w:eastAsia="仿宋_GB2312" w:hAnsi="Arial" w:cs="Arial"/>
                <w:kern w:val="2"/>
                <w:sz w:val="18"/>
                <w:szCs w:val="18"/>
              </w:rPr>
            </w:pPr>
            <w:r w:rsidRPr="00246664">
              <w:rPr>
                <w:rFonts w:ascii="Arial" w:eastAsia="仿宋_GB2312" w:hAnsi="Arial" w:cs="Arial" w:hint="eastAsia"/>
                <w:sz w:val="18"/>
                <w:szCs w:val="18"/>
              </w:rPr>
              <w:t>紧邻城市主干道—</w:t>
            </w:r>
            <w:proofErr w:type="gramStart"/>
            <w:r>
              <w:rPr>
                <w:rFonts w:ascii="Arial" w:eastAsia="仿宋_GB2312" w:hAnsi="Arial" w:cs="Arial"/>
                <w:sz w:val="18"/>
                <w:szCs w:val="18"/>
              </w:rPr>
              <w:t>巴沟路</w:t>
            </w:r>
            <w:proofErr w:type="gramEnd"/>
            <w:r w:rsidRPr="00246664">
              <w:rPr>
                <w:rFonts w:ascii="Arial" w:eastAsia="仿宋_GB2312" w:hAnsi="Arial" w:cs="Arial" w:hint="eastAsia"/>
                <w:sz w:val="18"/>
                <w:szCs w:val="18"/>
              </w:rPr>
              <w:t>，南距北三环西路约</w:t>
            </w:r>
            <w:r w:rsidRPr="00246664">
              <w:rPr>
                <w:rFonts w:ascii="Arial" w:eastAsia="仿宋_GB2312" w:hAnsi="Arial" w:cs="Arial" w:hint="eastAsia"/>
                <w:sz w:val="18"/>
                <w:szCs w:val="18"/>
              </w:rPr>
              <w:t>1</w:t>
            </w:r>
            <w:r>
              <w:rPr>
                <w:rFonts w:ascii="Arial" w:eastAsia="仿宋_GB2312" w:hAnsi="Arial" w:cs="Arial"/>
                <w:sz w:val="18"/>
                <w:szCs w:val="18"/>
              </w:rPr>
              <w:t>800</w:t>
            </w:r>
            <w:r w:rsidRPr="00246664">
              <w:rPr>
                <w:rFonts w:ascii="Arial" w:eastAsia="仿宋_GB2312" w:hAnsi="Arial" w:cs="Arial" w:hint="eastAsia"/>
                <w:sz w:val="18"/>
                <w:szCs w:val="18"/>
              </w:rPr>
              <w:t>米，距北京首都国际机场约</w:t>
            </w:r>
            <w:r w:rsidRPr="00246664">
              <w:rPr>
                <w:rFonts w:ascii="Arial" w:eastAsia="仿宋_GB2312" w:hAnsi="Arial" w:cs="Arial" w:hint="eastAsia"/>
                <w:sz w:val="18"/>
                <w:szCs w:val="18"/>
              </w:rPr>
              <w:t>29</w:t>
            </w:r>
            <w:r w:rsidRPr="00246664">
              <w:rPr>
                <w:rFonts w:ascii="Arial" w:eastAsia="仿宋_GB2312" w:hAnsi="Arial" w:cs="Arial" w:hint="eastAsia"/>
                <w:sz w:val="18"/>
                <w:szCs w:val="18"/>
              </w:rPr>
              <w:t>公里，距北京站约</w:t>
            </w:r>
            <w:r w:rsidRPr="00246664">
              <w:rPr>
                <w:rFonts w:ascii="Arial" w:eastAsia="仿宋_GB2312" w:hAnsi="Arial" w:cs="Arial" w:hint="eastAsia"/>
                <w:sz w:val="18"/>
                <w:szCs w:val="18"/>
              </w:rPr>
              <w:t>13</w:t>
            </w:r>
            <w:r w:rsidRPr="00246664">
              <w:rPr>
                <w:rFonts w:ascii="Arial" w:eastAsia="仿宋_GB2312" w:hAnsi="Arial" w:cs="Arial" w:hint="eastAsia"/>
                <w:sz w:val="18"/>
                <w:szCs w:val="18"/>
              </w:rPr>
              <w:t>公里，紧邻地铁</w:t>
            </w:r>
            <w:r w:rsidRPr="00246664">
              <w:rPr>
                <w:rFonts w:ascii="Arial" w:eastAsia="仿宋_GB2312" w:hAnsi="Arial" w:cs="Arial" w:hint="eastAsia"/>
                <w:sz w:val="18"/>
                <w:szCs w:val="18"/>
              </w:rPr>
              <w:t>10</w:t>
            </w:r>
            <w:r w:rsidRPr="00246664">
              <w:rPr>
                <w:rFonts w:ascii="Arial" w:eastAsia="仿宋_GB2312" w:hAnsi="Arial" w:cs="Arial" w:hint="eastAsia"/>
                <w:sz w:val="18"/>
                <w:szCs w:val="18"/>
              </w:rPr>
              <w:t>号线（</w:t>
            </w:r>
            <w:proofErr w:type="gramStart"/>
            <w:r>
              <w:rPr>
                <w:rFonts w:ascii="Arial" w:eastAsia="仿宋_GB2312" w:hAnsi="Arial" w:cs="Arial" w:hint="eastAsia"/>
                <w:sz w:val="18"/>
                <w:szCs w:val="18"/>
              </w:rPr>
              <w:t>巴沟站</w:t>
            </w:r>
            <w:r w:rsidRPr="00246664">
              <w:rPr>
                <w:rFonts w:ascii="Arial" w:eastAsia="仿宋_GB2312" w:hAnsi="Arial" w:cs="Arial" w:hint="eastAsia"/>
                <w:sz w:val="18"/>
                <w:szCs w:val="18"/>
              </w:rPr>
              <w:t>站</w:t>
            </w:r>
            <w:proofErr w:type="gramEnd"/>
            <w:r w:rsidRPr="00246664">
              <w:rPr>
                <w:rFonts w:ascii="Arial" w:eastAsia="仿宋_GB2312" w:hAnsi="Arial" w:cs="Arial" w:hint="eastAsia"/>
                <w:sz w:val="18"/>
                <w:szCs w:val="18"/>
              </w:rPr>
              <w:t>），周边有</w:t>
            </w:r>
            <w:r w:rsidRPr="00246664">
              <w:rPr>
                <w:rFonts w:ascii="Arial" w:eastAsia="仿宋_GB2312" w:hAnsi="Arial" w:cs="Arial" w:hint="eastAsia"/>
                <w:sz w:val="18"/>
                <w:szCs w:val="18"/>
              </w:rPr>
              <w:t>304</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307</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386</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630</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634</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671</w:t>
            </w:r>
            <w:r w:rsidRPr="00246664">
              <w:rPr>
                <w:rFonts w:ascii="Arial" w:eastAsia="仿宋_GB2312" w:hAnsi="Arial" w:cs="Arial" w:hint="eastAsia"/>
                <w:sz w:val="18"/>
                <w:szCs w:val="18"/>
              </w:rPr>
              <w:t>路等多条公交线路通过，综合评价交通便捷度较好。</w:t>
            </w:r>
          </w:p>
          <w:p w14:paraId="005A7346" w14:textId="7438E76E" w:rsidR="0009314F" w:rsidRPr="00246664" w:rsidRDefault="0009314F">
            <w:pPr>
              <w:widowControl/>
              <w:adjustRightInd/>
              <w:spacing w:line="240" w:lineRule="auto"/>
              <w:jc w:val="center"/>
              <w:rPr>
                <w:rFonts w:ascii="Arial" w:eastAsia="仿宋_GB2312" w:hAnsi="Arial" w:cs="Arial"/>
                <w:kern w:val="2"/>
                <w:sz w:val="18"/>
                <w:szCs w:val="18"/>
              </w:rPr>
            </w:pPr>
          </w:p>
        </w:tc>
        <w:tc>
          <w:tcPr>
            <w:tcW w:w="236" w:type="pct"/>
            <w:tcBorders>
              <w:top w:val="single" w:sz="4" w:space="0" w:color="auto"/>
              <w:left w:val="single" w:sz="4" w:space="0" w:color="auto"/>
              <w:bottom w:val="single" w:sz="4" w:space="0" w:color="auto"/>
              <w:right w:val="single" w:sz="4" w:space="0" w:color="auto"/>
            </w:tcBorders>
            <w:vAlign w:val="center"/>
            <w:hideMark/>
          </w:tcPr>
          <w:p w14:paraId="2905029F" w14:textId="77777777" w:rsidR="0009314F" w:rsidRPr="00246664" w:rsidRDefault="0009314F">
            <w:pPr>
              <w:widowControl/>
              <w:adjustRightInd/>
              <w:spacing w:line="240" w:lineRule="auto"/>
              <w:jc w:val="center"/>
              <w:rPr>
                <w:rFonts w:ascii="Arial" w:eastAsia="仿宋_GB2312" w:hAnsi="Arial" w:cs="Arial"/>
                <w:kern w:val="2"/>
                <w:sz w:val="18"/>
                <w:szCs w:val="18"/>
              </w:rPr>
            </w:pPr>
            <w:r w:rsidRPr="00246664">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4588EACD" w14:textId="5445F0A9" w:rsidR="00246664" w:rsidRPr="00246664" w:rsidRDefault="00246664" w:rsidP="00246664">
            <w:pPr>
              <w:widowControl/>
              <w:adjustRightInd/>
              <w:spacing w:line="240" w:lineRule="auto"/>
              <w:jc w:val="center"/>
              <w:rPr>
                <w:rFonts w:ascii="Arial" w:eastAsia="仿宋_GB2312" w:hAnsi="Arial" w:cs="Arial"/>
                <w:kern w:val="2"/>
                <w:sz w:val="18"/>
                <w:szCs w:val="18"/>
              </w:rPr>
            </w:pPr>
            <w:r w:rsidRPr="00246664">
              <w:rPr>
                <w:rFonts w:ascii="Arial" w:eastAsia="仿宋_GB2312" w:hAnsi="Arial" w:cs="Arial" w:hint="eastAsia"/>
                <w:sz w:val="18"/>
                <w:szCs w:val="18"/>
              </w:rPr>
              <w:t>紧邻城市</w:t>
            </w:r>
            <w:r>
              <w:rPr>
                <w:rFonts w:ascii="Arial" w:eastAsia="仿宋_GB2312" w:hAnsi="Arial" w:cs="Arial" w:hint="eastAsia"/>
                <w:sz w:val="18"/>
                <w:szCs w:val="18"/>
              </w:rPr>
              <w:t>次</w:t>
            </w:r>
            <w:r w:rsidRPr="00246664">
              <w:rPr>
                <w:rFonts w:ascii="Arial" w:eastAsia="仿宋_GB2312" w:hAnsi="Arial" w:cs="Arial" w:hint="eastAsia"/>
                <w:sz w:val="18"/>
                <w:szCs w:val="18"/>
              </w:rPr>
              <w:t>干道—</w:t>
            </w:r>
            <w:r>
              <w:rPr>
                <w:rFonts w:ascii="Arial" w:eastAsia="仿宋_GB2312" w:hAnsi="Arial" w:cs="Arial" w:hint="eastAsia"/>
                <w:sz w:val="18"/>
                <w:szCs w:val="18"/>
              </w:rPr>
              <w:t>双榆树北路</w:t>
            </w:r>
            <w:r w:rsidRPr="00246664">
              <w:rPr>
                <w:rFonts w:ascii="Arial" w:eastAsia="仿宋_GB2312" w:hAnsi="Arial" w:cs="Arial" w:hint="eastAsia"/>
                <w:sz w:val="18"/>
                <w:szCs w:val="18"/>
              </w:rPr>
              <w:t>，南距北三环西路约</w:t>
            </w:r>
            <w:r w:rsidRPr="00246664">
              <w:rPr>
                <w:rFonts w:ascii="Arial" w:eastAsia="仿宋_GB2312" w:hAnsi="Arial" w:cs="Arial" w:hint="eastAsia"/>
                <w:sz w:val="18"/>
                <w:szCs w:val="18"/>
              </w:rPr>
              <w:t>1500</w:t>
            </w:r>
            <w:r w:rsidRPr="00246664">
              <w:rPr>
                <w:rFonts w:ascii="Arial" w:eastAsia="仿宋_GB2312" w:hAnsi="Arial" w:cs="Arial" w:hint="eastAsia"/>
                <w:sz w:val="18"/>
                <w:szCs w:val="18"/>
              </w:rPr>
              <w:t>米，距北京首都国际机场约</w:t>
            </w:r>
            <w:r w:rsidRPr="00246664">
              <w:rPr>
                <w:rFonts w:ascii="Arial" w:eastAsia="仿宋_GB2312" w:hAnsi="Arial" w:cs="Arial" w:hint="eastAsia"/>
                <w:sz w:val="18"/>
                <w:szCs w:val="18"/>
              </w:rPr>
              <w:t>29</w:t>
            </w:r>
            <w:r w:rsidRPr="00246664">
              <w:rPr>
                <w:rFonts w:ascii="Arial" w:eastAsia="仿宋_GB2312" w:hAnsi="Arial" w:cs="Arial" w:hint="eastAsia"/>
                <w:sz w:val="18"/>
                <w:szCs w:val="18"/>
              </w:rPr>
              <w:t>公里，距北京站约</w:t>
            </w:r>
            <w:r w:rsidRPr="00246664">
              <w:rPr>
                <w:rFonts w:ascii="Arial" w:eastAsia="仿宋_GB2312" w:hAnsi="Arial" w:cs="Arial" w:hint="eastAsia"/>
                <w:sz w:val="18"/>
                <w:szCs w:val="18"/>
              </w:rPr>
              <w:t>13</w:t>
            </w:r>
            <w:r w:rsidRPr="00246664">
              <w:rPr>
                <w:rFonts w:ascii="Arial" w:eastAsia="仿宋_GB2312" w:hAnsi="Arial" w:cs="Arial" w:hint="eastAsia"/>
                <w:sz w:val="18"/>
                <w:szCs w:val="18"/>
              </w:rPr>
              <w:t>公里，紧邻地铁</w:t>
            </w:r>
            <w:r w:rsidRPr="00246664">
              <w:rPr>
                <w:rFonts w:ascii="Arial" w:eastAsia="仿宋_GB2312" w:hAnsi="Arial" w:cs="Arial" w:hint="eastAsia"/>
                <w:sz w:val="18"/>
                <w:szCs w:val="18"/>
              </w:rPr>
              <w:t>10</w:t>
            </w:r>
            <w:r w:rsidRPr="00246664">
              <w:rPr>
                <w:rFonts w:ascii="Arial" w:eastAsia="仿宋_GB2312" w:hAnsi="Arial" w:cs="Arial" w:hint="eastAsia"/>
                <w:sz w:val="18"/>
                <w:szCs w:val="18"/>
              </w:rPr>
              <w:t>号线（</w:t>
            </w:r>
            <w:r>
              <w:rPr>
                <w:rFonts w:ascii="Arial" w:eastAsia="仿宋_GB2312" w:hAnsi="Arial" w:cs="Arial" w:hint="eastAsia"/>
                <w:sz w:val="18"/>
                <w:szCs w:val="18"/>
              </w:rPr>
              <w:t>海淀黄庄</w:t>
            </w:r>
            <w:r w:rsidRPr="00246664">
              <w:rPr>
                <w:rFonts w:ascii="Arial" w:eastAsia="仿宋_GB2312" w:hAnsi="Arial" w:cs="Arial" w:hint="eastAsia"/>
                <w:sz w:val="18"/>
                <w:szCs w:val="18"/>
              </w:rPr>
              <w:t>站），周边有</w:t>
            </w:r>
            <w:r w:rsidRPr="00246664">
              <w:rPr>
                <w:rFonts w:ascii="Arial" w:eastAsia="仿宋_GB2312" w:hAnsi="Arial" w:cs="Arial" w:hint="eastAsia"/>
                <w:sz w:val="18"/>
                <w:szCs w:val="18"/>
              </w:rPr>
              <w:t>304</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307</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386</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630</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634</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671</w:t>
            </w:r>
            <w:r w:rsidRPr="00246664">
              <w:rPr>
                <w:rFonts w:ascii="Arial" w:eastAsia="仿宋_GB2312" w:hAnsi="Arial" w:cs="Arial" w:hint="eastAsia"/>
                <w:sz w:val="18"/>
                <w:szCs w:val="18"/>
              </w:rPr>
              <w:t>路等多条公交线路通过，综合评价交通便捷度较好。</w:t>
            </w:r>
          </w:p>
          <w:p w14:paraId="40425E76" w14:textId="7063F3B2" w:rsidR="0009314F" w:rsidRPr="00246664" w:rsidRDefault="0009314F">
            <w:pPr>
              <w:widowControl/>
              <w:adjustRightInd/>
              <w:spacing w:line="240" w:lineRule="auto"/>
              <w:jc w:val="center"/>
              <w:rPr>
                <w:rFonts w:ascii="Arial" w:eastAsia="仿宋_GB2312" w:hAnsi="Arial" w:cs="Arial"/>
                <w:kern w:val="2"/>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hideMark/>
          </w:tcPr>
          <w:p w14:paraId="4D2EAEC8" w14:textId="41075135" w:rsidR="0009314F" w:rsidRPr="00F631FB" w:rsidRDefault="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C61BB4" w:rsidRPr="00F631FB" w14:paraId="5603849E" w14:textId="77777777" w:rsidTr="00C6640C">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8C3E1" w14:textId="77777777" w:rsidR="00C61BB4" w:rsidRPr="00F631FB" w:rsidRDefault="00C61BB4"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4F0F5D56"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公共配套设施</w:t>
            </w:r>
          </w:p>
        </w:tc>
        <w:tc>
          <w:tcPr>
            <w:tcW w:w="808" w:type="pct"/>
            <w:tcBorders>
              <w:top w:val="single" w:sz="4" w:space="0" w:color="auto"/>
              <w:left w:val="single" w:sz="4" w:space="0" w:color="auto"/>
              <w:bottom w:val="single" w:sz="4" w:space="0" w:color="auto"/>
              <w:right w:val="single" w:sz="4" w:space="0" w:color="auto"/>
            </w:tcBorders>
            <w:vAlign w:val="center"/>
            <w:hideMark/>
          </w:tcPr>
          <w:p w14:paraId="164CE17B" w14:textId="447951E2" w:rsidR="00C61BB4" w:rsidRPr="00F631FB" w:rsidRDefault="0081160B"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估价对象周边</w:t>
            </w:r>
            <w:r>
              <w:rPr>
                <w:rFonts w:ascii="Arial" w:eastAsia="仿宋_GB2312" w:hAnsi="Arial" w:cs="Arial" w:hint="eastAsia"/>
                <w:kern w:val="2"/>
                <w:sz w:val="18"/>
                <w:szCs w:val="18"/>
              </w:rPr>
              <w:t>2</w:t>
            </w:r>
            <w:r>
              <w:rPr>
                <w:rFonts w:ascii="Arial" w:eastAsia="仿宋_GB2312" w:hAnsi="Arial" w:cs="Arial" w:hint="eastAsia"/>
                <w:kern w:val="2"/>
                <w:sz w:val="18"/>
                <w:szCs w:val="18"/>
              </w:rPr>
              <w:t>公里范围内有</w:t>
            </w:r>
            <w:r w:rsidR="00C61BB4" w:rsidRPr="00C61BB4">
              <w:rPr>
                <w:rFonts w:ascii="Arial" w:eastAsia="仿宋_GB2312" w:hAnsi="Arial" w:cs="Arial" w:hint="eastAsia"/>
                <w:kern w:val="2"/>
                <w:sz w:val="18"/>
                <w:szCs w:val="18"/>
              </w:rPr>
              <w:t>购物场所（新中关购物中心、</w:t>
            </w:r>
            <w:proofErr w:type="gramStart"/>
            <w:r w:rsidR="00C61BB4" w:rsidRPr="00C61BB4">
              <w:rPr>
                <w:rFonts w:ascii="Arial" w:eastAsia="仿宋_GB2312" w:hAnsi="Arial" w:cs="Arial" w:hint="eastAsia"/>
                <w:kern w:val="2"/>
                <w:sz w:val="18"/>
                <w:szCs w:val="18"/>
              </w:rPr>
              <w:t>领展购物</w:t>
            </w:r>
            <w:proofErr w:type="gramEnd"/>
            <w:r w:rsidR="00C61BB4" w:rsidRPr="00C61BB4">
              <w:rPr>
                <w:rFonts w:ascii="Arial" w:eastAsia="仿宋_GB2312" w:hAnsi="Arial" w:cs="Arial" w:hint="eastAsia"/>
                <w:kern w:val="2"/>
                <w:sz w:val="18"/>
                <w:szCs w:val="18"/>
              </w:rPr>
              <w:t>广场（中关村店）、</w:t>
            </w:r>
            <w:r w:rsidR="00C61BB4" w:rsidRPr="00C61BB4">
              <w:rPr>
                <w:rFonts w:ascii="Arial" w:eastAsia="仿宋_GB2312" w:hAnsi="Arial" w:cs="Arial" w:hint="eastAsia"/>
                <w:kern w:val="2"/>
                <w:sz w:val="18"/>
                <w:szCs w:val="18"/>
              </w:rPr>
              <w:t>BHG MALL</w:t>
            </w:r>
            <w:r w:rsidR="00C61BB4" w:rsidRPr="00C61BB4">
              <w:rPr>
                <w:rFonts w:ascii="Arial" w:eastAsia="仿宋_GB2312" w:hAnsi="Arial" w:cs="Arial" w:hint="eastAsia"/>
                <w:kern w:val="2"/>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236" w:type="pct"/>
            <w:tcBorders>
              <w:top w:val="single" w:sz="4" w:space="0" w:color="auto"/>
              <w:left w:val="single" w:sz="4" w:space="0" w:color="auto"/>
              <w:bottom w:val="single" w:sz="4" w:space="0" w:color="auto"/>
              <w:right w:val="single" w:sz="4" w:space="0" w:color="auto"/>
            </w:tcBorders>
            <w:vAlign w:val="center"/>
            <w:hideMark/>
          </w:tcPr>
          <w:p w14:paraId="1E72E814"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393E0A2D" w14:textId="40619721" w:rsidR="00C61BB4" w:rsidRPr="00F631FB" w:rsidRDefault="0081160B"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hint="eastAsia"/>
                <w:kern w:val="2"/>
                <w:sz w:val="18"/>
                <w:szCs w:val="18"/>
              </w:rPr>
              <w:t>2</w:t>
            </w:r>
            <w:r>
              <w:rPr>
                <w:rFonts w:ascii="Arial" w:eastAsia="仿宋_GB2312" w:hAnsi="Arial" w:cs="Arial" w:hint="eastAsia"/>
                <w:kern w:val="2"/>
                <w:sz w:val="18"/>
                <w:szCs w:val="18"/>
              </w:rPr>
              <w:t>公里范围内有</w:t>
            </w:r>
            <w:r w:rsidR="00C61BB4" w:rsidRPr="00C61BB4">
              <w:rPr>
                <w:rFonts w:ascii="Arial" w:eastAsia="仿宋_GB2312" w:hAnsi="Arial" w:cs="Arial" w:hint="eastAsia"/>
                <w:kern w:val="2"/>
                <w:sz w:val="18"/>
                <w:szCs w:val="18"/>
              </w:rPr>
              <w:t>购物场所（新中关购物中心、</w:t>
            </w:r>
            <w:proofErr w:type="gramStart"/>
            <w:r w:rsidR="00C61BB4" w:rsidRPr="00C61BB4">
              <w:rPr>
                <w:rFonts w:ascii="Arial" w:eastAsia="仿宋_GB2312" w:hAnsi="Arial" w:cs="Arial" w:hint="eastAsia"/>
                <w:kern w:val="2"/>
                <w:sz w:val="18"/>
                <w:szCs w:val="18"/>
              </w:rPr>
              <w:t>领展购物</w:t>
            </w:r>
            <w:proofErr w:type="gramEnd"/>
            <w:r w:rsidR="00C61BB4" w:rsidRPr="00C61BB4">
              <w:rPr>
                <w:rFonts w:ascii="Arial" w:eastAsia="仿宋_GB2312" w:hAnsi="Arial" w:cs="Arial" w:hint="eastAsia"/>
                <w:kern w:val="2"/>
                <w:sz w:val="18"/>
                <w:szCs w:val="18"/>
              </w:rPr>
              <w:t>广场（中关村店）、</w:t>
            </w:r>
            <w:r w:rsidR="00C61BB4" w:rsidRPr="00C61BB4">
              <w:rPr>
                <w:rFonts w:ascii="Arial" w:eastAsia="仿宋_GB2312" w:hAnsi="Arial" w:cs="Arial" w:hint="eastAsia"/>
                <w:kern w:val="2"/>
                <w:sz w:val="18"/>
                <w:szCs w:val="18"/>
              </w:rPr>
              <w:t>BHG MALL</w:t>
            </w:r>
            <w:r w:rsidR="00C61BB4" w:rsidRPr="00C61BB4">
              <w:rPr>
                <w:rFonts w:ascii="Arial" w:eastAsia="仿宋_GB2312" w:hAnsi="Arial" w:cs="Arial" w:hint="eastAsia"/>
                <w:kern w:val="2"/>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304" w:type="pct"/>
            <w:tcBorders>
              <w:top w:val="single" w:sz="4" w:space="0" w:color="auto"/>
              <w:left w:val="single" w:sz="4" w:space="0" w:color="auto"/>
              <w:bottom w:val="single" w:sz="4" w:space="0" w:color="auto"/>
              <w:right w:val="single" w:sz="4" w:space="0" w:color="auto"/>
            </w:tcBorders>
            <w:vAlign w:val="center"/>
            <w:hideMark/>
          </w:tcPr>
          <w:p w14:paraId="1C19420F"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1007E789" w14:textId="7AEFA15B" w:rsidR="00C61BB4" w:rsidRPr="00F631FB" w:rsidRDefault="0081160B"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hint="eastAsia"/>
                <w:kern w:val="2"/>
                <w:sz w:val="18"/>
                <w:szCs w:val="18"/>
              </w:rPr>
              <w:t>2</w:t>
            </w:r>
            <w:r>
              <w:rPr>
                <w:rFonts w:ascii="Arial" w:eastAsia="仿宋_GB2312" w:hAnsi="Arial" w:cs="Arial" w:hint="eastAsia"/>
                <w:kern w:val="2"/>
                <w:sz w:val="18"/>
                <w:szCs w:val="18"/>
              </w:rPr>
              <w:t>公里范围内有</w:t>
            </w:r>
            <w:r w:rsidR="00C61BB4" w:rsidRPr="00C61BB4">
              <w:rPr>
                <w:rFonts w:ascii="Arial" w:eastAsia="仿宋_GB2312" w:hAnsi="Arial" w:cs="Arial" w:hint="eastAsia"/>
                <w:kern w:val="2"/>
                <w:sz w:val="18"/>
                <w:szCs w:val="18"/>
              </w:rPr>
              <w:t>购物场所（新中关购物中心、</w:t>
            </w:r>
            <w:proofErr w:type="gramStart"/>
            <w:r w:rsidR="00C61BB4" w:rsidRPr="00C61BB4">
              <w:rPr>
                <w:rFonts w:ascii="Arial" w:eastAsia="仿宋_GB2312" w:hAnsi="Arial" w:cs="Arial" w:hint="eastAsia"/>
                <w:kern w:val="2"/>
                <w:sz w:val="18"/>
                <w:szCs w:val="18"/>
              </w:rPr>
              <w:t>领展购物</w:t>
            </w:r>
            <w:proofErr w:type="gramEnd"/>
            <w:r w:rsidR="00C61BB4" w:rsidRPr="00C61BB4">
              <w:rPr>
                <w:rFonts w:ascii="Arial" w:eastAsia="仿宋_GB2312" w:hAnsi="Arial" w:cs="Arial" w:hint="eastAsia"/>
                <w:kern w:val="2"/>
                <w:sz w:val="18"/>
                <w:szCs w:val="18"/>
              </w:rPr>
              <w:t>广场（中关村店）、</w:t>
            </w:r>
            <w:r w:rsidR="00C61BB4" w:rsidRPr="00C61BB4">
              <w:rPr>
                <w:rFonts w:ascii="Arial" w:eastAsia="仿宋_GB2312" w:hAnsi="Arial" w:cs="Arial" w:hint="eastAsia"/>
                <w:kern w:val="2"/>
                <w:sz w:val="18"/>
                <w:szCs w:val="18"/>
              </w:rPr>
              <w:t>BHG MALL</w:t>
            </w:r>
            <w:r w:rsidR="00C61BB4" w:rsidRPr="00C61BB4">
              <w:rPr>
                <w:rFonts w:ascii="Arial" w:eastAsia="仿宋_GB2312" w:hAnsi="Arial" w:cs="Arial" w:hint="eastAsia"/>
                <w:kern w:val="2"/>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236" w:type="pct"/>
            <w:tcBorders>
              <w:top w:val="single" w:sz="4" w:space="0" w:color="auto"/>
              <w:left w:val="single" w:sz="4" w:space="0" w:color="auto"/>
              <w:bottom w:val="single" w:sz="4" w:space="0" w:color="auto"/>
              <w:right w:val="single" w:sz="4" w:space="0" w:color="auto"/>
            </w:tcBorders>
            <w:vAlign w:val="center"/>
            <w:hideMark/>
          </w:tcPr>
          <w:p w14:paraId="1A4A1B15"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27FDC3D4" w14:textId="560E0E21" w:rsidR="00C61BB4" w:rsidRPr="00F631FB" w:rsidRDefault="0081160B"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hint="eastAsia"/>
                <w:kern w:val="2"/>
                <w:sz w:val="18"/>
                <w:szCs w:val="18"/>
              </w:rPr>
              <w:t>2</w:t>
            </w:r>
            <w:r>
              <w:rPr>
                <w:rFonts w:ascii="Arial" w:eastAsia="仿宋_GB2312" w:hAnsi="Arial" w:cs="Arial" w:hint="eastAsia"/>
                <w:kern w:val="2"/>
                <w:sz w:val="18"/>
                <w:szCs w:val="18"/>
              </w:rPr>
              <w:t>公里范围内有</w:t>
            </w:r>
            <w:r w:rsidR="00C61BB4" w:rsidRPr="00C61BB4">
              <w:rPr>
                <w:rFonts w:ascii="Arial" w:eastAsia="仿宋_GB2312" w:hAnsi="Arial" w:cs="Arial" w:hint="eastAsia"/>
                <w:kern w:val="2"/>
                <w:sz w:val="18"/>
                <w:szCs w:val="18"/>
              </w:rPr>
              <w:t>购物场所（新中关购物中心、</w:t>
            </w:r>
            <w:proofErr w:type="gramStart"/>
            <w:r w:rsidR="00C61BB4" w:rsidRPr="00C61BB4">
              <w:rPr>
                <w:rFonts w:ascii="Arial" w:eastAsia="仿宋_GB2312" w:hAnsi="Arial" w:cs="Arial" w:hint="eastAsia"/>
                <w:kern w:val="2"/>
                <w:sz w:val="18"/>
                <w:szCs w:val="18"/>
              </w:rPr>
              <w:t>领展购物</w:t>
            </w:r>
            <w:proofErr w:type="gramEnd"/>
            <w:r w:rsidR="00C61BB4" w:rsidRPr="00C61BB4">
              <w:rPr>
                <w:rFonts w:ascii="Arial" w:eastAsia="仿宋_GB2312" w:hAnsi="Arial" w:cs="Arial" w:hint="eastAsia"/>
                <w:kern w:val="2"/>
                <w:sz w:val="18"/>
                <w:szCs w:val="18"/>
              </w:rPr>
              <w:t>广场（中关村店）、</w:t>
            </w:r>
            <w:r w:rsidR="00C61BB4" w:rsidRPr="00C61BB4">
              <w:rPr>
                <w:rFonts w:ascii="Arial" w:eastAsia="仿宋_GB2312" w:hAnsi="Arial" w:cs="Arial" w:hint="eastAsia"/>
                <w:kern w:val="2"/>
                <w:sz w:val="18"/>
                <w:szCs w:val="18"/>
              </w:rPr>
              <w:t>BHG MALL</w:t>
            </w:r>
            <w:r w:rsidR="00C61BB4" w:rsidRPr="00C61BB4">
              <w:rPr>
                <w:rFonts w:ascii="Arial" w:eastAsia="仿宋_GB2312" w:hAnsi="Arial" w:cs="Arial" w:hint="eastAsia"/>
                <w:kern w:val="2"/>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296" w:type="pct"/>
            <w:tcBorders>
              <w:top w:val="single" w:sz="4" w:space="0" w:color="auto"/>
              <w:left w:val="single" w:sz="4" w:space="0" w:color="auto"/>
              <w:bottom w:val="single" w:sz="4" w:space="0" w:color="auto"/>
              <w:right w:val="single" w:sz="4" w:space="0" w:color="auto"/>
            </w:tcBorders>
            <w:vAlign w:val="center"/>
            <w:hideMark/>
          </w:tcPr>
          <w:p w14:paraId="4D4E75A1"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C61BB4" w:rsidRPr="00F631FB" w14:paraId="460A7540" w14:textId="77777777" w:rsidTr="00C6640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38726" w14:textId="77777777" w:rsidR="00C61BB4" w:rsidRPr="00F631FB" w:rsidRDefault="00C61BB4"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0264B046"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基础设施水平</w:t>
            </w:r>
          </w:p>
        </w:tc>
        <w:tc>
          <w:tcPr>
            <w:tcW w:w="808" w:type="pct"/>
            <w:tcBorders>
              <w:top w:val="single" w:sz="4" w:space="0" w:color="auto"/>
              <w:left w:val="single" w:sz="4" w:space="0" w:color="auto"/>
              <w:bottom w:val="single" w:sz="4" w:space="0" w:color="auto"/>
              <w:right w:val="single" w:sz="4" w:space="0" w:color="auto"/>
            </w:tcBorders>
            <w:vAlign w:val="center"/>
            <w:hideMark/>
          </w:tcPr>
          <w:p w14:paraId="6BCB1D62"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七通</w:t>
            </w:r>
          </w:p>
        </w:tc>
        <w:tc>
          <w:tcPr>
            <w:tcW w:w="236" w:type="pct"/>
            <w:tcBorders>
              <w:top w:val="single" w:sz="4" w:space="0" w:color="auto"/>
              <w:left w:val="single" w:sz="4" w:space="0" w:color="auto"/>
              <w:bottom w:val="single" w:sz="4" w:space="0" w:color="auto"/>
              <w:right w:val="single" w:sz="4" w:space="0" w:color="auto"/>
            </w:tcBorders>
            <w:vAlign w:val="center"/>
            <w:hideMark/>
          </w:tcPr>
          <w:p w14:paraId="6A331C08"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45C7512C"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七通</w:t>
            </w:r>
          </w:p>
        </w:tc>
        <w:tc>
          <w:tcPr>
            <w:tcW w:w="304" w:type="pct"/>
            <w:tcBorders>
              <w:top w:val="single" w:sz="4" w:space="0" w:color="auto"/>
              <w:left w:val="single" w:sz="4" w:space="0" w:color="auto"/>
              <w:bottom w:val="single" w:sz="4" w:space="0" w:color="auto"/>
              <w:right w:val="single" w:sz="4" w:space="0" w:color="auto"/>
            </w:tcBorders>
            <w:vAlign w:val="center"/>
            <w:hideMark/>
          </w:tcPr>
          <w:p w14:paraId="0A81DEE7"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3350F632"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七通</w:t>
            </w:r>
          </w:p>
        </w:tc>
        <w:tc>
          <w:tcPr>
            <w:tcW w:w="236" w:type="pct"/>
            <w:tcBorders>
              <w:top w:val="single" w:sz="4" w:space="0" w:color="auto"/>
              <w:left w:val="single" w:sz="4" w:space="0" w:color="auto"/>
              <w:bottom w:val="single" w:sz="4" w:space="0" w:color="auto"/>
              <w:right w:val="single" w:sz="4" w:space="0" w:color="auto"/>
            </w:tcBorders>
            <w:vAlign w:val="center"/>
            <w:hideMark/>
          </w:tcPr>
          <w:p w14:paraId="4401B16F"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1000BDED"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七通</w:t>
            </w:r>
          </w:p>
        </w:tc>
        <w:tc>
          <w:tcPr>
            <w:tcW w:w="296" w:type="pct"/>
            <w:tcBorders>
              <w:top w:val="single" w:sz="4" w:space="0" w:color="auto"/>
              <w:left w:val="single" w:sz="4" w:space="0" w:color="auto"/>
              <w:bottom w:val="single" w:sz="4" w:space="0" w:color="auto"/>
              <w:right w:val="single" w:sz="4" w:space="0" w:color="auto"/>
            </w:tcBorders>
            <w:vAlign w:val="center"/>
            <w:hideMark/>
          </w:tcPr>
          <w:p w14:paraId="0782F555"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C61BB4" w:rsidRPr="00F631FB" w14:paraId="36B0B96F" w14:textId="77777777" w:rsidTr="00C6640C">
        <w:trPr>
          <w:cantSplit/>
          <w:trHeight w:val="1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0FB02" w14:textId="77777777" w:rsidR="00C61BB4" w:rsidRPr="00F631FB" w:rsidRDefault="00C61BB4"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49EA3EA3"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自然及人文环境</w:t>
            </w:r>
          </w:p>
        </w:tc>
        <w:tc>
          <w:tcPr>
            <w:tcW w:w="808" w:type="pct"/>
            <w:tcBorders>
              <w:top w:val="single" w:sz="4" w:space="0" w:color="auto"/>
              <w:left w:val="single" w:sz="4" w:space="0" w:color="auto"/>
              <w:bottom w:val="single" w:sz="4" w:space="0" w:color="auto"/>
              <w:right w:val="single" w:sz="4" w:space="0" w:color="auto"/>
            </w:tcBorders>
            <w:vAlign w:val="center"/>
            <w:hideMark/>
          </w:tcPr>
          <w:p w14:paraId="3C02362E" w14:textId="0EFC3834"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C61BB4">
              <w:rPr>
                <w:rFonts w:ascii="Arial" w:eastAsia="仿宋_GB2312" w:hAnsi="Arial" w:cs="Arial" w:hint="eastAsia"/>
                <w:kern w:val="2"/>
                <w:sz w:val="18"/>
                <w:szCs w:val="18"/>
              </w:rPr>
              <w:t>周边</w:t>
            </w:r>
            <w:r w:rsidRPr="00C61BB4">
              <w:rPr>
                <w:rFonts w:ascii="Arial" w:eastAsia="仿宋_GB2312" w:hAnsi="Arial" w:cs="Arial" w:hint="eastAsia"/>
                <w:kern w:val="2"/>
                <w:sz w:val="18"/>
                <w:szCs w:val="18"/>
              </w:rPr>
              <w:t>2</w:t>
            </w:r>
            <w:r w:rsidRPr="00C61BB4">
              <w:rPr>
                <w:rFonts w:ascii="Arial" w:eastAsia="仿宋_GB2312" w:hAnsi="Arial" w:cs="Arial" w:hint="eastAsia"/>
                <w:kern w:val="2"/>
                <w:sz w:val="18"/>
                <w:szCs w:val="18"/>
              </w:rPr>
              <w:t>公里内有海淀公园、知春公园、</w:t>
            </w:r>
            <w:proofErr w:type="gramStart"/>
            <w:r w:rsidRPr="00C61BB4">
              <w:rPr>
                <w:rFonts w:ascii="Arial" w:eastAsia="仿宋_GB2312" w:hAnsi="Arial" w:cs="Arial" w:hint="eastAsia"/>
                <w:kern w:val="2"/>
                <w:sz w:val="18"/>
                <w:szCs w:val="18"/>
              </w:rPr>
              <w:t>巴沟山水园</w:t>
            </w:r>
            <w:proofErr w:type="gramEnd"/>
            <w:r w:rsidRPr="00C61BB4">
              <w:rPr>
                <w:rFonts w:ascii="Arial" w:eastAsia="仿宋_GB2312" w:hAnsi="Arial" w:cs="Arial" w:hint="eastAsia"/>
                <w:kern w:val="2"/>
                <w:sz w:val="18"/>
                <w:szCs w:val="18"/>
              </w:rPr>
              <w:t>等；中国人民大学、北京大学等人文设施，综合考虑自然环境与人文环境较好。</w:t>
            </w:r>
          </w:p>
        </w:tc>
        <w:tc>
          <w:tcPr>
            <w:tcW w:w="236" w:type="pct"/>
            <w:tcBorders>
              <w:top w:val="single" w:sz="4" w:space="0" w:color="auto"/>
              <w:left w:val="single" w:sz="4" w:space="0" w:color="auto"/>
              <w:bottom w:val="single" w:sz="4" w:space="0" w:color="auto"/>
              <w:right w:val="single" w:sz="4" w:space="0" w:color="auto"/>
            </w:tcBorders>
            <w:vAlign w:val="center"/>
            <w:hideMark/>
          </w:tcPr>
          <w:p w14:paraId="3BE55163"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67701229" w14:textId="6638EB80"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C61BB4">
              <w:rPr>
                <w:rFonts w:ascii="Arial" w:eastAsia="仿宋_GB2312" w:hAnsi="Arial" w:cs="Arial" w:hint="eastAsia"/>
                <w:kern w:val="2"/>
                <w:sz w:val="18"/>
                <w:szCs w:val="18"/>
              </w:rPr>
              <w:t>周边</w:t>
            </w:r>
            <w:r w:rsidRPr="00C61BB4">
              <w:rPr>
                <w:rFonts w:ascii="Arial" w:eastAsia="仿宋_GB2312" w:hAnsi="Arial" w:cs="Arial" w:hint="eastAsia"/>
                <w:kern w:val="2"/>
                <w:sz w:val="18"/>
                <w:szCs w:val="18"/>
              </w:rPr>
              <w:t>2</w:t>
            </w:r>
            <w:r w:rsidRPr="00C61BB4">
              <w:rPr>
                <w:rFonts w:ascii="Arial" w:eastAsia="仿宋_GB2312" w:hAnsi="Arial" w:cs="Arial" w:hint="eastAsia"/>
                <w:kern w:val="2"/>
                <w:sz w:val="18"/>
                <w:szCs w:val="18"/>
              </w:rPr>
              <w:t>公里内有海淀公园、知春公园、</w:t>
            </w:r>
            <w:proofErr w:type="gramStart"/>
            <w:r w:rsidRPr="00C61BB4">
              <w:rPr>
                <w:rFonts w:ascii="Arial" w:eastAsia="仿宋_GB2312" w:hAnsi="Arial" w:cs="Arial" w:hint="eastAsia"/>
                <w:kern w:val="2"/>
                <w:sz w:val="18"/>
                <w:szCs w:val="18"/>
              </w:rPr>
              <w:t>巴沟山水园</w:t>
            </w:r>
            <w:proofErr w:type="gramEnd"/>
            <w:r w:rsidRPr="00C61BB4">
              <w:rPr>
                <w:rFonts w:ascii="Arial" w:eastAsia="仿宋_GB2312" w:hAnsi="Arial" w:cs="Arial" w:hint="eastAsia"/>
                <w:kern w:val="2"/>
                <w:sz w:val="18"/>
                <w:szCs w:val="18"/>
              </w:rPr>
              <w:t>等；中国人民大学、北京大学等人文设施，综合考虑自然环境与人文环境较好。</w:t>
            </w:r>
          </w:p>
        </w:tc>
        <w:tc>
          <w:tcPr>
            <w:tcW w:w="304" w:type="pct"/>
            <w:tcBorders>
              <w:top w:val="single" w:sz="4" w:space="0" w:color="auto"/>
              <w:left w:val="single" w:sz="4" w:space="0" w:color="auto"/>
              <w:bottom w:val="single" w:sz="4" w:space="0" w:color="auto"/>
              <w:right w:val="single" w:sz="4" w:space="0" w:color="auto"/>
            </w:tcBorders>
            <w:vAlign w:val="center"/>
            <w:hideMark/>
          </w:tcPr>
          <w:p w14:paraId="5175AEDF"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AC28425" w14:textId="554A18B2"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C61BB4">
              <w:rPr>
                <w:rFonts w:ascii="Arial" w:eastAsia="仿宋_GB2312" w:hAnsi="Arial" w:cs="Arial" w:hint="eastAsia"/>
                <w:kern w:val="2"/>
                <w:sz w:val="18"/>
                <w:szCs w:val="18"/>
              </w:rPr>
              <w:t>周边</w:t>
            </w:r>
            <w:r w:rsidRPr="00C61BB4">
              <w:rPr>
                <w:rFonts w:ascii="Arial" w:eastAsia="仿宋_GB2312" w:hAnsi="Arial" w:cs="Arial" w:hint="eastAsia"/>
                <w:kern w:val="2"/>
                <w:sz w:val="18"/>
                <w:szCs w:val="18"/>
              </w:rPr>
              <w:t>2</w:t>
            </w:r>
            <w:r w:rsidRPr="00C61BB4">
              <w:rPr>
                <w:rFonts w:ascii="Arial" w:eastAsia="仿宋_GB2312" w:hAnsi="Arial" w:cs="Arial" w:hint="eastAsia"/>
                <w:kern w:val="2"/>
                <w:sz w:val="18"/>
                <w:szCs w:val="18"/>
              </w:rPr>
              <w:t>公里内有海淀公园、知春公园、</w:t>
            </w:r>
            <w:proofErr w:type="gramStart"/>
            <w:r w:rsidRPr="00C61BB4">
              <w:rPr>
                <w:rFonts w:ascii="Arial" w:eastAsia="仿宋_GB2312" w:hAnsi="Arial" w:cs="Arial" w:hint="eastAsia"/>
                <w:kern w:val="2"/>
                <w:sz w:val="18"/>
                <w:szCs w:val="18"/>
              </w:rPr>
              <w:t>巴沟山水园</w:t>
            </w:r>
            <w:proofErr w:type="gramEnd"/>
            <w:r w:rsidRPr="00C61BB4">
              <w:rPr>
                <w:rFonts w:ascii="Arial" w:eastAsia="仿宋_GB2312" w:hAnsi="Arial" w:cs="Arial" w:hint="eastAsia"/>
                <w:kern w:val="2"/>
                <w:sz w:val="18"/>
                <w:szCs w:val="18"/>
              </w:rPr>
              <w:t>等；中国人民大学、北京大学等人文设施，综合考虑自然环境与人文环境较好。</w:t>
            </w:r>
          </w:p>
        </w:tc>
        <w:tc>
          <w:tcPr>
            <w:tcW w:w="236" w:type="pct"/>
            <w:tcBorders>
              <w:top w:val="single" w:sz="4" w:space="0" w:color="auto"/>
              <w:left w:val="single" w:sz="4" w:space="0" w:color="auto"/>
              <w:bottom w:val="single" w:sz="4" w:space="0" w:color="auto"/>
              <w:right w:val="single" w:sz="4" w:space="0" w:color="auto"/>
            </w:tcBorders>
            <w:vAlign w:val="center"/>
            <w:hideMark/>
          </w:tcPr>
          <w:p w14:paraId="03543ED6" w14:textId="7DEEB011"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51FB3E7B" w14:textId="6D581D96"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C61BB4">
              <w:rPr>
                <w:rFonts w:ascii="Arial" w:eastAsia="仿宋_GB2312" w:hAnsi="Arial" w:cs="Arial" w:hint="eastAsia"/>
                <w:kern w:val="2"/>
                <w:sz w:val="18"/>
                <w:szCs w:val="18"/>
              </w:rPr>
              <w:t>周边</w:t>
            </w:r>
            <w:r w:rsidRPr="00C61BB4">
              <w:rPr>
                <w:rFonts w:ascii="Arial" w:eastAsia="仿宋_GB2312" w:hAnsi="Arial" w:cs="Arial" w:hint="eastAsia"/>
                <w:kern w:val="2"/>
                <w:sz w:val="18"/>
                <w:szCs w:val="18"/>
              </w:rPr>
              <w:t>2</w:t>
            </w:r>
            <w:r w:rsidRPr="00C61BB4">
              <w:rPr>
                <w:rFonts w:ascii="Arial" w:eastAsia="仿宋_GB2312" w:hAnsi="Arial" w:cs="Arial" w:hint="eastAsia"/>
                <w:kern w:val="2"/>
                <w:sz w:val="18"/>
                <w:szCs w:val="18"/>
              </w:rPr>
              <w:t>公里内有海淀公园、知春公园、</w:t>
            </w:r>
            <w:proofErr w:type="gramStart"/>
            <w:r w:rsidRPr="00C61BB4">
              <w:rPr>
                <w:rFonts w:ascii="Arial" w:eastAsia="仿宋_GB2312" w:hAnsi="Arial" w:cs="Arial" w:hint="eastAsia"/>
                <w:kern w:val="2"/>
                <w:sz w:val="18"/>
                <w:szCs w:val="18"/>
              </w:rPr>
              <w:t>巴沟山水园</w:t>
            </w:r>
            <w:proofErr w:type="gramEnd"/>
            <w:r w:rsidRPr="00C61BB4">
              <w:rPr>
                <w:rFonts w:ascii="Arial" w:eastAsia="仿宋_GB2312" w:hAnsi="Arial" w:cs="Arial" w:hint="eastAsia"/>
                <w:kern w:val="2"/>
                <w:sz w:val="18"/>
                <w:szCs w:val="18"/>
              </w:rPr>
              <w:t>等；中国人民大学、北京大学等人文设施，综合考虑自然环境与人文环境较好。</w:t>
            </w:r>
          </w:p>
        </w:tc>
        <w:tc>
          <w:tcPr>
            <w:tcW w:w="296" w:type="pct"/>
            <w:tcBorders>
              <w:top w:val="single" w:sz="4" w:space="0" w:color="auto"/>
              <w:left w:val="single" w:sz="4" w:space="0" w:color="auto"/>
              <w:bottom w:val="single" w:sz="4" w:space="0" w:color="auto"/>
              <w:right w:val="single" w:sz="4" w:space="0" w:color="auto"/>
            </w:tcBorders>
            <w:vAlign w:val="center"/>
            <w:hideMark/>
          </w:tcPr>
          <w:p w14:paraId="2E98CB01"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100</w:t>
            </w:r>
          </w:p>
        </w:tc>
      </w:tr>
      <w:tr w:rsidR="00C61BB4" w:rsidRPr="00F631FB" w14:paraId="34C75C70" w14:textId="77777777" w:rsidTr="00C6640C">
        <w:trPr>
          <w:cantSplit/>
          <w:trHeight w:val="5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C6A986" w14:textId="77777777" w:rsidR="00C61BB4" w:rsidRPr="00F631FB" w:rsidRDefault="00C61BB4"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4462371F"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临街状况</w:t>
            </w:r>
          </w:p>
        </w:tc>
        <w:tc>
          <w:tcPr>
            <w:tcW w:w="808" w:type="pct"/>
            <w:tcBorders>
              <w:top w:val="single" w:sz="4" w:space="0" w:color="auto"/>
              <w:left w:val="single" w:sz="4" w:space="0" w:color="auto"/>
              <w:bottom w:val="single" w:sz="4" w:space="0" w:color="auto"/>
              <w:right w:val="single" w:sz="4" w:space="0" w:color="auto"/>
            </w:tcBorders>
            <w:vAlign w:val="center"/>
            <w:hideMark/>
          </w:tcPr>
          <w:p w14:paraId="06E97802" w14:textId="7FF515E1" w:rsidR="00C61BB4" w:rsidRPr="00F631FB" w:rsidRDefault="0024666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双</w:t>
            </w:r>
            <w:r w:rsidR="00C61BB4" w:rsidRPr="00F631FB">
              <w:rPr>
                <w:rFonts w:ascii="Arial" w:eastAsia="仿宋_GB2312" w:hAnsi="Arial" w:cs="Arial" w:hint="eastAsia"/>
                <w:kern w:val="2"/>
                <w:sz w:val="18"/>
                <w:szCs w:val="18"/>
              </w:rPr>
              <w:t>面临街</w:t>
            </w:r>
          </w:p>
        </w:tc>
        <w:tc>
          <w:tcPr>
            <w:tcW w:w="236" w:type="pct"/>
            <w:tcBorders>
              <w:top w:val="single" w:sz="4" w:space="0" w:color="auto"/>
              <w:left w:val="single" w:sz="4" w:space="0" w:color="auto"/>
              <w:bottom w:val="single" w:sz="4" w:space="0" w:color="auto"/>
              <w:right w:val="single" w:sz="4" w:space="0" w:color="auto"/>
            </w:tcBorders>
            <w:vAlign w:val="center"/>
            <w:hideMark/>
          </w:tcPr>
          <w:p w14:paraId="45AD8CBD"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2DFD085A" w14:textId="7C5631E6" w:rsidR="00C61BB4" w:rsidRPr="00F631FB" w:rsidRDefault="0024666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单</w:t>
            </w:r>
            <w:r w:rsidR="00C61BB4" w:rsidRPr="00F631FB">
              <w:rPr>
                <w:rFonts w:ascii="Arial" w:eastAsia="仿宋_GB2312" w:hAnsi="Arial" w:cs="Arial" w:hint="eastAsia"/>
                <w:kern w:val="2"/>
                <w:sz w:val="18"/>
                <w:szCs w:val="18"/>
              </w:rPr>
              <w:t>面临街</w:t>
            </w:r>
          </w:p>
        </w:tc>
        <w:tc>
          <w:tcPr>
            <w:tcW w:w="304" w:type="pct"/>
            <w:tcBorders>
              <w:top w:val="single" w:sz="4" w:space="0" w:color="auto"/>
              <w:left w:val="single" w:sz="4" w:space="0" w:color="auto"/>
              <w:bottom w:val="single" w:sz="4" w:space="0" w:color="auto"/>
              <w:right w:val="single" w:sz="4" w:space="0" w:color="auto"/>
            </w:tcBorders>
            <w:vAlign w:val="center"/>
            <w:hideMark/>
          </w:tcPr>
          <w:p w14:paraId="5F36286E" w14:textId="3CD5FA9E" w:rsidR="00C61BB4" w:rsidRPr="00F631FB" w:rsidRDefault="0024666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w:t>
            </w:r>
            <w:r w:rsidR="00084DF6">
              <w:rPr>
                <w:rFonts w:ascii="Arial" w:eastAsia="仿宋_GB2312" w:hAnsi="Arial" w:cs="Arial"/>
                <w:kern w:val="2"/>
                <w:sz w:val="18"/>
                <w:szCs w:val="18"/>
              </w:rPr>
              <w:t>9</w:t>
            </w:r>
            <w:r>
              <w:rPr>
                <w:rFonts w:ascii="Arial" w:eastAsia="仿宋_GB2312" w:hAnsi="Arial" w:cs="Arial"/>
                <w:kern w:val="2"/>
                <w:sz w:val="18"/>
                <w:szCs w:val="18"/>
              </w:rPr>
              <w:t>.5</w:t>
            </w:r>
          </w:p>
        </w:tc>
        <w:tc>
          <w:tcPr>
            <w:tcW w:w="654" w:type="pct"/>
            <w:tcBorders>
              <w:top w:val="single" w:sz="4" w:space="0" w:color="auto"/>
              <w:left w:val="single" w:sz="4" w:space="0" w:color="auto"/>
              <w:bottom w:val="single" w:sz="4" w:space="0" w:color="auto"/>
              <w:right w:val="single" w:sz="4" w:space="0" w:color="auto"/>
            </w:tcBorders>
            <w:vAlign w:val="center"/>
            <w:hideMark/>
          </w:tcPr>
          <w:p w14:paraId="3BB9E598" w14:textId="5DF06B40" w:rsidR="00C61BB4" w:rsidRPr="00F631FB" w:rsidRDefault="0024666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双</w:t>
            </w:r>
            <w:r w:rsidRPr="00F631FB">
              <w:rPr>
                <w:rFonts w:ascii="Arial" w:eastAsia="仿宋_GB2312" w:hAnsi="Arial" w:cs="Arial" w:hint="eastAsia"/>
                <w:kern w:val="2"/>
                <w:sz w:val="18"/>
                <w:szCs w:val="18"/>
              </w:rPr>
              <w:t>面临街</w:t>
            </w:r>
          </w:p>
        </w:tc>
        <w:tc>
          <w:tcPr>
            <w:tcW w:w="236" w:type="pct"/>
            <w:tcBorders>
              <w:top w:val="single" w:sz="4" w:space="0" w:color="auto"/>
              <w:left w:val="single" w:sz="4" w:space="0" w:color="auto"/>
              <w:bottom w:val="single" w:sz="4" w:space="0" w:color="auto"/>
              <w:right w:val="single" w:sz="4" w:space="0" w:color="auto"/>
            </w:tcBorders>
            <w:vAlign w:val="center"/>
            <w:hideMark/>
          </w:tcPr>
          <w:p w14:paraId="65A9C5B1" w14:textId="32C6A7D5"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10</w:t>
            </w:r>
            <w:r w:rsidR="00246664">
              <w:rPr>
                <w:rFonts w:ascii="Arial" w:eastAsia="仿宋_GB2312" w:hAnsi="Arial" w:cs="Arial"/>
                <w:kern w:val="2"/>
                <w:sz w:val="18"/>
                <w:szCs w:val="18"/>
              </w:rPr>
              <w:t>0</w:t>
            </w:r>
          </w:p>
        </w:tc>
        <w:tc>
          <w:tcPr>
            <w:tcW w:w="755" w:type="pct"/>
            <w:tcBorders>
              <w:top w:val="single" w:sz="4" w:space="0" w:color="auto"/>
              <w:left w:val="single" w:sz="4" w:space="0" w:color="auto"/>
              <w:bottom w:val="single" w:sz="4" w:space="0" w:color="auto"/>
              <w:right w:val="single" w:sz="4" w:space="0" w:color="auto"/>
            </w:tcBorders>
            <w:vAlign w:val="center"/>
            <w:hideMark/>
          </w:tcPr>
          <w:p w14:paraId="3D121076" w14:textId="2ED18E1E" w:rsidR="00C61BB4" w:rsidRPr="00F631FB" w:rsidRDefault="0024666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单</w:t>
            </w:r>
            <w:r w:rsidRPr="00F631FB">
              <w:rPr>
                <w:rFonts w:ascii="Arial" w:eastAsia="仿宋_GB2312" w:hAnsi="Arial" w:cs="Arial" w:hint="eastAsia"/>
                <w:kern w:val="2"/>
                <w:sz w:val="18"/>
                <w:szCs w:val="18"/>
              </w:rPr>
              <w:t>面临街</w:t>
            </w:r>
          </w:p>
        </w:tc>
        <w:tc>
          <w:tcPr>
            <w:tcW w:w="296" w:type="pct"/>
            <w:tcBorders>
              <w:top w:val="single" w:sz="4" w:space="0" w:color="auto"/>
              <w:left w:val="single" w:sz="4" w:space="0" w:color="auto"/>
              <w:bottom w:val="single" w:sz="4" w:space="0" w:color="auto"/>
              <w:right w:val="single" w:sz="4" w:space="0" w:color="auto"/>
            </w:tcBorders>
            <w:vAlign w:val="center"/>
            <w:hideMark/>
          </w:tcPr>
          <w:p w14:paraId="790E4DB0" w14:textId="250CC0F3" w:rsidR="00C61BB4" w:rsidRPr="00F631FB" w:rsidRDefault="0024666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9</w:t>
            </w:r>
            <w:r w:rsidR="00084DF6">
              <w:rPr>
                <w:rFonts w:ascii="Arial" w:eastAsia="仿宋_GB2312" w:hAnsi="Arial" w:cs="Arial"/>
                <w:kern w:val="2"/>
                <w:sz w:val="18"/>
                <w:szCs w:val="18"/>
              </w:rPr>
              <w:t>9</w:t>
            </w:r>
            <w:r>
              <w:rPr>
                <w:rFonts w:ascii="Arial" w:eastAsia="仿宋_GB2312" w:hAnsi="Arial" w:cs="Arial"/>
                <w:kern w:val="2"/>
                <w:sz w:val="18"/>
                <w:szCs w:val="18"/>
              </w:rPr>
              <w:t>.5</w:t>
            </w:r>
          </w:p>
        </w:tc>
      </w:tr>
      <w:tr w:rsidR="00C61BB4" w:rsidRPr="00F631FB" w14:paraId="66A67485" w14:textId="77777777" w:rsidTr="00C6640C">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20622" w14:textId="77777777" w:rsidR="00C61BB4" w:rsidRPr="00F631FB" w:rsidRDefault="00C61BB4"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1D223134"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可视性</w:t>
            </w:r>
          </w:p>
        </w:tc>
        <w:tc>
          <w:tcPr>
            <w:tcW w:w="808" w:type="pct"/>
            <w:tcBorders>
              <w:top w:val="single" w:sz="4" w:space="0" w:color="auto"/>
              <w:left w:val="single" w:sz="4" w:space="0" w:color="auto"/>
              <w:bottom w:val="single" w:sz="4" w:space="0" w:color="auto"/>
              <w:right w:val="single" w:sz="4" w:space="0" w:color="auto"/>
            </w:tcBorders>
            <w:vAlign w:val="center"/>
            <w:hideMark/>
          </w:tcPr>
          <w:p w14:paraId="43C64C1E"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好</w:t>
            </w:r>
          </w:p>
        </w:tc>
        <w:tc>
          <w:tcPr>
            <w:tcW w:w="236" w:type="pct"/>
            <w:tcBorders>
              <w:top w:val="single" w:sz="4" w:space="0" w:color="auto"/>
              <w:left w:val="single" w:sz="4" w:space="0" w:color="auto"/>
              <w:bottom w:val="single" w:sz="4" w:space="0" w:color="auto"/>
              <w:right w:val="single" w:sz="4" w:space="0" w:color="auto"/>
            </w:tcBorders>
            <w:vAlign w:val="center"/>
            <w:hideMark/>
          </w:tcPr>
          <w:p w14:paraId="2962E587"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520C4296"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304" w:type="pct"/>
            <w:tcBorders>
              <w:top w:val="single" w:sz="4" w:space="0" w:color="auto"/>
              <w:left w:val="single" w:sz="4" w:space="0" w:color="auto"/>
              <w:bottom w:val="single" w:sz="4" w:space="0" w:color="auto"/>
              <w:right w:val="single" w:sz="4" w:space="0" w:color="auto"/>
            </w:tcBorders>
            <w:vAlign w:val="center"/>
            <w:hideMark/>
          </w:tcPr>
          <w:p w14:paraId="3B634677" w14:textId="0922EEFE"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w:t>
            </w:r>
            <w:r w:rsidR="00084DF6">
              <w:rPr>
                <w:rFonts w:ascii="Arial" w:eastAsia="仿宋_GB2312" w:hAnsi="Arial" w:cs="Arial"/>
                <w:kern w:val="2"/>
                <w:sz w:val="18"/>
                <w:szCs w:val="18"/>
              </w:rPr>
              <w:t>9</w:t>
            </w:r>
          </w:p>
        </w:tc>
        <w:tc>
          <w:tcPr>
            <w:tcW w:w="654" w:type="pct"/>
            <w:tcBorders>
              <w:top w:val="single" w:sz="4" w:space="0" w:color="auto"/>
              <w:left w:val="single" w:sz="4" w:space="0" w:color="auto"/>
              <w:bottom w:val="single" w:sz="4" w:space="0" w:color="auto"/>
              <w:right w:val="single" w:sz="4" w:space="0" w:color="auto"/>
            </w:tcBorders>
            <w:vAlign w:val="center"/>
            <w:hideMark/>
          </w:tcPr>
          <w:p w14:paraId="6A931221" w14:textId="3FDC5961"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好</w:t>
            </w:r>
          </w:p>
        </w:tc>
        <w:tc>
          <w:tcPr>
            <w:tcW w:w="236" w:type="pct"/>
            <w:tcBorders>
              <w:top w:val="single" w:sz="4" w:space="0" w:color="auto"/>
              <w:left w:val="single" w:sz="4" w:space="0" w:color="auto"/>
              <w:bottom w:val="single" w:sz="4" w:space="0" w:color="auto"/>
              <w:right w:val="single" w:sz="4" w:space="0" w:color="auto"/>
            </w:tcBorders>
            <w:vAlign w:val="center"/>
            <w:hideMark/>
          </w:tcPr>
          <w:p w14:paraId="272B6018" w14:textId="2BAD7EA2" w:rsidR="00C61BB4" w:rsidRPr="00F631FB" w:rsidRDefault="0024666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kern w:val="2"/>
                <w:sz w:val="18"/>
                <w:szCs w:val="18"/>
              </w:rPr>
              <w:t>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461245F8"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96" w:type="pct"/>
            <w:tcBorders>
              <w:top w:val="single" w:sz="4" w:space="0" w:color="auto"/>
              <w:left w:val="single" w:sz="4" w:space="0" w:color="auto"/>
              <w:bottom w:val="single" w:sz="4" w:space="0" w:color="auto"/>
              <w:right w:val="single" w:sz="4" w:space="0" w:color="auto"/>
            </w:tcBorders>
            <w:vAlign w:val="center"/>
            <w:hideMark/>
          </w:tcPr>
          <w:p w14:paraId="46131F59" w14:textId="0EFCBD6C"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w:t>
            </w:r>
            <w:r w:rsidR="00084DF6">
              <w:rPr>
                <w:rFonts w:ascii="Arial" w:eastAsia="仿宋_GB2312" w:hAnsi="Arial" w:cs="Arial"/>
                <w:kern w:val="2"/>
                <w:sz w:val="18"/>
                <w:szCs w:val="18"/>
              </w:rPr>
              <w:t>9</w:t>
            </w:r>
          </w:p>
        </w:tc>
      </w:tr>
      <w:tr w:rsidR="00C61BB4" w:rsidRPr="00F631FB" w14:paraId="73A7EBD4" w14:textId="77777777" w:rsidTr="00C6640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0EE55" w14:textId="77777777" w:rsidR="00C61BB4" w:rsidRPr="00F631FB" w:rsidRDefault="00C61BB4"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5C53E874"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人流量</w:t>
            </w:r>
          </w:p>
        </w:tc>
        <w:tc>
          <w:tcPr>
            <w:tcW w:w="808" w:type="pct"/>
            <w:tcBorders>
              <w:top w:val="single" w:sz="4" w:space="0" w:color="auto"/>
              <w:left w:val="single" w:sz="4" w:space="0" w:color="auto"/>
              <w:bottom w:val="single" w:sz="4" w:space="0" w:color="auto"/>
              <w:right w:val="single" w:sz="4" w:space="0" w:color="auto"/>
            </w:tcBorders>
            <w:vAlign w:val="center"/>
            <w:hideMark/>
          </w:tcPr>
          <w:p w14:paraId="1A097F1D"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较大</w:t>
            </w:r>
          </w:p>
        </w:tc>
        <w:tc>
          <w:tcPr>
            <w:tcW w:w="236" w:type="pct"/>
            <w:tcBorders>
              <w:top w:val="single" w:sz="4" w:space="0" w:color="auto"/>
              <w:left w:val="single" w:sz="4" w:space="0" w:color="auto"/>
              <w:bottom w:val="single" w:sz="4" w:space="0" w:color="auto"/>
              <w:right w:val="single" w:sz="4" w:space="0" w:color="auto"/>
            </w:tcBorders>
            <w:vAlign w:val="center"/>
            <w:hideMark/>
          </w:tcPr>
          <w:p w14:paraId="795E2E42"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2D21990E"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较大</w:t>
            </w:r>
          </w:p>
        </w:tc>
        <w:tc>
          <w:tcPr>
            <w:tcW w:w="304" w:type="pct"/>
            <w:tcBorders>
              <w:top w:val="single" w:sz="4" w:space="0" w:color="auto"/>
              <w:left w:val="single" w:sz="4" w:space="0" w:color="auto"/>
              <w:bottom w:val="single" w:sz="4" w:space="0" w:color="auto"/>
              <w:right w:val="single" w:sz="4" w:space="0" w:color="auto"/>
            </w:tcBorders>
            <w:vAlign w:val="center"/>
            <w:hideMark/>
          </w:tcPr>
          <w:p w14:paraId="7CF98A52"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0C3C5CA2"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较大</w:t>
            </w:r>
          </w:p>
        </w:tc>
        <w:tc>
          <w:tcPr>
            <w:tcW w:w="236" w:type="pct"/>
            <w:tcBorders>
              <w:top w:val="single" w:sz="4" w:space="0" w:color="auto"/>
              <w:left w:val="single" w:sz="4" w:space="0" w:color="auto"/>
              <w:bottom w:val="single" w:sz="4" w:space="0" w:color="auto"/>
              <w:right w:val="single" w:sz="4" w:space="0" w:color="auto"/>
            </w:tcBorders>
            <w:vAlign w:val="center"/>
            <w:hideMark/>
          </w:tcPr>
          <w:p w14:paraId="02BA7B9C"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4724D175"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较大</w:t>
            </w:r>
          </w:p>
        </w:tc>
        <w:tc>
          <w:tcPr>
            <w:tcW w:w="296" w:type="pct"/>
            <w:tcBorders>
              <w:top w:val="single" w:sz="4" w:space="0" w:color="auto"/>
              <w:left w:val="single" w:sz="4" w:space="0" w:color="auto"/>
              <w:bottom w:val="single" w:sz="4" w:space="0" w:color="auto"/>
              <w:right w:val="single" w:sz="4" w:space="0" w:color="auto"/>
            </w:tcBorders>
            <w:vAlign w:val="center"/>
            <w:hideMark/>
          </w:tcPr>
          <w:p w14:paraId="6A8461C6"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C6640C" w:rsidRPr="00F631FB" w14:paraId="64F5D667" w14:textId="77777777" w:rsidTr="00C6640C">
        <w:trPr>
          <w:cantSplit/>
          <w:trHeight w:val="285"/>
          <w:jc w:val="center"/>
        </w:trPr>
        <w:tc>
          <w:tcPr>
            <w:tcW w:w="0" w:type="auto"/>
            <w:vMerge w:val="restart"/>
            <w:tcBorders>
              <w:top w:val="single" w:sz="4" w:space="0" w:color="auto"/>
              <w:left w:val="single" w:sz="4" w:space="0" w:color="auto"/>
              <w:right w:val="single" w:sz="4" w:space="0" w:color="auto"/>
            </w:tcBorders>
            <w:vAlign w:val="center"/>
          </w:tcPr>
          <w:p w14:paraId="643B1F97" w14:textId="06B45266" w:rsidR="00C6640C" w:rsidRPr="00F631FB" w:rsidRDefault="00C6640C" w:rsidP="00C6640C">
            <w:pPr>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个别因素</w:t>
            </w:r>
          </w:p>
        </w:tc>
        <w:tc>
          <w:tcPr>
            <w:tcW w:w="755" w:type="pct"/>
            <w:tcBorders>
              <w:top w:val="single" w:sz="4" w:space="0" w:color="auto"/>
              <w:left w:val="single" w:sz="4" w:space="0" w:color="auto"/>
              <w:bottom w:val="single" w:sz="4" w:space="0" w:color="auto"/>
              <w:right w:val="single" w:sz="4" w:space="0" w:color="auto"/>
            </w:tcBorders>
            <w:noWrap/>
            <w:vAlign w:val="center"/>
          </w:tcPr>
          <w:p w14:paraId="4B37C33D" w14:textId="2FFFC7FD"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楼层</w:t>
            </w:r>
          </w:p>
        </w:tc>
        <w:tc>
          <w:tcPr>
            <w:tcW w:w="808" w:type="pct"/>
            <w:tcBorders>
              <w:top w:val="single" w:sz="4" w:space="0" w:color="auto"/>
              <w:left w:val="single" w:sz="4" w:space="0" w:color="auto"/>
              <w:bottom w:val="single" w:sz="4" w:space="0" w:color="auto"/>
              <w:right w:val="single" w:sz="4" w:space="0" w:color="auto"/>
            </w:tcBorders>
            <w:vAlign w:val="center"/>
          </w:tcPr>
          <w:p w14:paraId="3549DDC4" w14:textId="05252399"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hint="eastAsia"/>
                <w:kern w:val="2"/>
                <w:sz w:val="18"/>
                <w:szCs w:val="18"/>
              </w:rPr>
              <w:t>层</w:t>
            </w:r>
          </w:p>
        </w:tc>
        <w:tc>
          <w:tcPr>
            <w:tcW w:w="236" w:type="pct"/>
            <w:tcBorders>
              <w:top w:val="single" w:sz="4" w:space="0" w:color="auto"/>
              <w:left w:val="single" w:sz="4" w:space="0" w:color="auto"/>
              <w:bottom w:val="single" w:sz="4" w:space="0" w:color="auto"/>
              <w:right w:val="single" w:sz="4" w:space="0" w:color="auto"/>
            </w:tcBorders>
            <w:vAlign w:val="center"/>
          </w:tcPr>
          <w:p w14:paraId="6DCD838A" w14:textId="1CA9A5DB"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kern w:val="2"/>
                <w:sz w:val="18"/>
                <w:szCs w:val="18"/>
              </w:rPr>
              <w:t>00</w:t>
            </w:r>
          </w:p>
        </w:tc>
        <w:tc>
          <w:tcPr>
            <w:tcW w:w="774" w:type="pct"/>
            <w:tcBorders>
              <w:top w:val="single" w:sz="4" w:space="0" w:color="auto"/>
              <w:left w:val="single" w:sz="4" w:space="0" w:color="auto"/>
              <w:bottom w:val="single" w:sz="4" w:space="0" w:color="auto"/>
              <w:right w:val="single" w:sz="4" w:space="0" w:color="auto"/>
            </w:tcBorders>
            <w:vAlign w:val="center"/>
          </w:tcPr>
          <w:p w14:paraId="003C2F16" w14:textId="19DC00AD"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hint="eastAsia"/>
                <w:kern w:val="2"/>
                <w:sz w:val="18"/>
                <w:szCs w:val="18"/>
              </w:rPr>
              <w:t>层</w:t>
            </w:r>
          </w:p>
        </w:tc>
        <w:tc>
          <w:tcPr>
            <w:tcW w:w="304" w:type="pct"/>
            <w:tcBorders>
              <w:top w:val="single" w:sz="4" w:space="0" w:color="auto"/>
              <w:left w:val="single" w:sz="4" w:space="0" w:color="auto"/>
              <w:bottom w:val="single" w:sz="4" w:space="0" w:color="auto"/>
              <w:right w:val="single" w:sz="4" w:space="0" w:color="auto"/>
            </w:tcBorders>
            <w:vAlign w:val="center"/>
          </w:tcPr>
          <w:p w14:paraId="1FE70C7A" w14:textId="28129E4D"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kern w:val="2"/>
                <w:sz w:val="18"/>
                <w:szCs w:val="18"/>
              </w:rPr>
              <w:t>00</w:t>
            </w:r>
          </w:p>
        </w:tc>
        <w:tc>
          <w:tcPr>
            <w:tcW w:w="654" w:type="pct"/>
            <w:tcBorders>
              <w:top w:val="single" w:sz="4" w:space="0" w:color="auto"/>
              <w:left w:val="single" w:sz="4" w:space="0" w:color="auto"/>
              <w:bottom w:val="single" w:sz="4" w:space="0" w:color="auto"/>
              <w:right w:val="single" w:sz="4" w:space="0" w:color="auto"/>
            </w:tcBorders>
            <w:vAlign w:val="center"/>
          </w:tcPr>
          <w:p w14:paraId="7DD6619C" w14:textId="6D4FC550"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hint="eastAsia"/>
                <w:kern w:val="2"/>
                <w:sz w:val="18"/>
                <w:szCs w:val="18"/>
              </w:rPr>
              <w:t>层</w:t>
            </w:r>
          </w:p>
        </w:tc>
        <w:tc>
          <w:tcPr>
            <w:tcW w:w="236" w:type="pct"/>
            <w:tcBorders>
              <w:top w:val="single" w:sz="4" w:space="0" w:color="auto"/>
              <w:left w:val="single" w:sz="4" w:space="0" w:color="auto"/>
              <w:bottom w:val="single" w:sz="4" w:space="0" w:color="auto"/>
              <w:right w:val="single" w:sz="4" w:space="0" w:color="auto"/>
            </w:tcBorders>
            <w:vAlign w:val="center"/>
          </w:tcPr>
          <w:p w14:paraId="246B9C3A" w14:textId="285189FF"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kern w:val="2"/>
                <w:sz w:val="18"/>
                <w:szCs w:val="18"/>
              </w:rPr>
              <w:t>00</w:t>
            </w:r>
          </w:p>
        </w:tc>
        <w:tc>
          <w:tcPr>
            <w:tcW w:w="755" w:type="pct"/>
            <w:tcBorders>
              <w:top w:val="single" w:sz="4" w:space="0" w:color="auto"/>
              <w:left w:val="single" w:sz="4" w:space="0" w:color="auto"/>
              <w:bottom w:val="single" w:sz="4" w:space="0" w:color="auto"/>
              <w:right w:val="single" w:sz="4" w:space="0" w:color="auto"/>
            </w:tcBorders>
            <w:vAlign w:val="center"/>
          </w:tcPr>
          <w:p w14:paraId="4F552EF7" w14:textId="5B27BFE5"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hint="eastAsia"/>
                <w:kern w:val="2"/>
                <w:sz w:val="18"/>
                <w:szCs w:val="18"/>
              </w:rPr>
              <w:t>层</w:t>
            </w:r>
          </w:p>
        </w:tc>
        <w:tc>
          <w:tcPr>
            <w:tcW w:w="296" w:type="pct"/>
            <w:tcBorders>
              <w:top w:val="single" w:sz="4" w:space="0" w:color="auto"/>
              <w:left w:val="single" w:sz="4" w:space="0" w:color="auto"/>
              <w:bottom w:val="single" w:sz="4" w:space="0" w:color="auto"/>
              <w:right w:val="single" w:sz="4" w:space="0" w:color="auto"/>
            </w:tcBorders>
            <w:vAlign w:val="center"/>
          </w:tcPr>
          <w:p w14:paraId="11F7A807" w14:textId="1EF9A03E"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kern w:val="2"/>
                <w:sz w:val="18"/>
                <w:szCs w:val="18"/>
              </w:rPr>
              <w:t>00</w:t>
            </w:r>
          </w:p>
        </w:tc>
      </w:tr>
      <w:tr w:rsidR="00C6640C" w:rsidRPr="00F631FB" w14:paraId="29600412" w14:textId="77777777" w:rsidTr="00C6640C">
        <w:trPr>
          <w:cantSplit/>
          <w:trHeight w:val="540"/>
          <w:jc w:val="center"/>
        </w:trPr>
        <w:tc>
          <w:tcPr>
            <w:tcW w:w="181" w:type="pct"/>
            <w:vMerge/>
            <w:tcBorders>
              <w:left w:val="single" w:sz="4" w:space="0" w:color="auto"/>
              <w:right w:val="single" w:sz="4" w:space="0" w:color="auto"/>
            </w:tcBorders>
            <w:vAlign w:val="center"/>
            <w:hideMark/>
          </w:tcPr>
          <w:p w14:paraId="0C0F0A5F" w14:textId="37CB20C1" w:rsidR="00C6640C" w:rsidRPr="00F631FB" w:rsidRDefault="00C6640C" w:rsidP="00246664">
            <w:pPr>
              <w:widowControl/>
              <w:adjustRightInd/>
              <w:spacing w:line="240" w:lineRule="auto"/>
              <w:jc w:val="center"/>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380D96C9"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商业类型</w:t>
            </w:r>
          </w:p>
        </w:tc>
        <w:tc>
          <w:tcPr>
            <w:tcW w:w="808" w:type="pct"/>
            <w:tcBorders>
              <w:top w:val="single" w:sz="4" w:space="0" w:color="auto"/>
              <w:left w:val="single" w:sz="4" w:space="0" w:color="auto"/>
              <w:bottom w:val="single" w:sz="4" w:space="0" w:color="auto"/>
              <w:right w:val="single" w:sz="4" w:space="0" w:color="auto"/>
            </w:tcBorders>
            <w:vAlign w:val="center"/>
            <w:hideMark/>
          </w:tcPr>
          <w:p w14:paraId="7C5E604D"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住宅配套</w:t>
            </w:r>
          </w:p>
        </w:tc>
        <w:tc>
          <w:tcPr>
            <w:tcW w:w="236" w:type="pct"/>
            <w:tcBorders>
              <w:top w:val="single" w:sz="4" w:space="0" w:color="auto"/>
              <w:left w:val="single" w:sz="4" w:space="0" w:color="auto"/>
              <w:bottom w:val="single" w:sz="4" w:space="0" w:color="auto"/>
              <w:right w:val="single" w:sz="4" w:space="0" w:color="auto"/>
            </w:tcBorders>
            <w:vAlign w:val="center"/>
            <w:hideMark/>
          </w:tcPr>
          <w:p w14:paraId="4BA16E85"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0B19CA99" w14:textId="5E093584" w:rsidR="00C6640C" w:rsidRPr="00F631FB" w:rsidRDefault="00C6640C" w:rsidP="0024666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写字楼配套</w:t>
            </w:r>
          </w:p>
        </w:tc>
        <w:tc>
          <w:tcPr>
            <w:tcW w:w="304" w:type="pct"/>
            <w:tcBorders>
              <w:top w:val="single" w:sz="4" w:space="0" w:color="auto"/>
              <w:left w:val="single" w:sz="4" w:space="0" w:color="auto"/>
              <w:bottom w:val="single" w:sz="4" w:space="0" w:color="auto"/>
              <w:right w:val="single" w:sz="4" w:space="0" w:color="auto"/>
            </w:tcBorders>
            <w:vAlign w:val="center"/>
            <w:hideMark/>
          </w:tcPr>
          <w:p w14:paraId="777E00BB" w14:textId="2033B3E0"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w:t>
            </w:r>
            <w:r>
              <w:rPr>
                <w:rFonts w:ascii="Arial" w:eastAsia="仿宋_GB2312" w:hAnsi="Arial" w:cs="Arial"/>
                <w:kern w:val="2"/>
                <w:sz w:val="18"/>
                <w:szCs w:val="18"/>
              </w:rPr>
              <w:t>2.5</w:t>
            </w:r>
          </w:p>
        </w:tc>
        <w:tc>
          <w:tcPr>
            <w:tcW w:w="654" w:type="pct"/>
            <w:tcBorders>
              <w:top w:val="single" w:sz="4" w:space="0" w:color="auto"/>
              <w:left w:val="single" w:sz="4" w:space="0" w:color="auto"/>
              <w:bottom w:val="single" w:sz="4" w:space="0" w:color="auto"/>
              <w:right w:val="single" w:sz="4" w:space="0" w:color="auto"/>
            </w:tcBorders>
            <w:vAlign w:val="center"/>
            <w:hideMark/>
          </w:tcPr>
          <w:p w14:paraId="37EF0C22"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商业街店铺</w:t>
            </w:r>
          </w:p>
        </w:tc>
        <w:tc>
          <w:tcPr>
            <w:tcW w:w="236" w:type="pct"/>
            <w:tcBorders>
              <w:top w:val="single" w:sz="4" w:space="0" w:color="auto"/>
              <w:left w:val="single" w:sz="4" w:space="0" w:color="auto"/>
              <w:bottom w:val="single" w:sz="4" w:space="0" w:color="auto"/>
              <w:right w:val="single" w:sz="4" w:space="0" w:color="auto"/>
            </w:tcBorders>
            <w:vAlign w:val="center"/>
            <w:hideMark/>
          </w:tcPr>
          <w:p w14:paraId="68B1341D" w14:textId="59BBBCE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w:t>
            </w:r>
            <w:r>
              <w:rPr>
                <w:rFonts w:ascii="Arial" w:eastAsia="仿宋_GB2312" w:hAnsi="Arial" w:cs="Arial"/>
                <w:kern w:val="2"/>
                <w:sz w:val="18"/>
                <w:szCs w:val="18"/>
              </w:rPr>
              <w:t>5</w:t>
            </w:r>
          </w:p>
        </w:tc>
        <w:tc>
          <w:tcPr>
            <w:tcW w:w="755" w:type="pct"/>
            <w:tcBorders>
              <w:top w:val="single" w:sz="4" w:space="0" w:color="auto"/>
              <w:left w:val="single" w:sz="4" w:space="0" w:color="auto"/>
              <w:bottom w:val="single" w:sz="4" w:space="0" w:color="auto"/>
              <w:right w:val="single" w:sz="4" w:space="0" w:color="auto"/>
            </w:tcBorders>
            <w:vAlign w:val="center"/>
            <w:hideMark/>
          </w:tcPr>
          <w:p w14:paraId="71292C7A" w14:textId="460F5380"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住宅配套</w:t>
            </w:r>
          </w:p>
        </w:tc>
        <w:tc>
          <w:tcPr>
            <w:tcW w:w="296" w:type="pct"/>
            <w:tcBorders>
              <w:top w:val="single" w:sz="4" w:space="0" w:color="auto"/>
              <w:left w:val="single" w:sz="4" w:space="0" w:color="auto"/>
              <w:bottom w:val="single" w:sz="4" w:space="0" w:color="auto"/>
              <w:right w:val="single" w:sz="4" w:space="0" w:color="auto"/>
            </w:tcBorders>
            <w:vAlign w:val="center"/>
            <w:hideMark/>
          </w:tcPr>
          <w:p w14:paraId="539C2C65" w14:textId="78A8D25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C6640C" w:rsidRPr="00F631FB" w14:paraId="48463259" w14:textId="77777777" w:rsidTr="00C6640C">
        <w:trPr>
          <w:cantSplit/>
          <w:trHeight w:val="330"/>
          <w:jc w:val="center"/>
        </w:trPr>
        <w:tc>
          <w:tcPr>
            <w:tcW w:w="0" w:type="auto"/>
            <w:vMerge/>
            <w:tcBorders>
              <w:left w:val="single" w:sz="4" w:space="0" w:color="auto"/>
              <w:right w:val="single" w:sz="4" w:space="0" w:color="auto"/>
            </w:tcBorders>
            <w:vAlign w:val="center"/>
            <w:hideMark/>
          </w:tcPr>
          <w:p w14:paraId="6388F729" w14:textId="77777777" w:rsidR="00C6640C" w:rsidRPr="00F631FB" w:rsidRDefault="00C6640C"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187ECAD2"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建筑面积</w:t>
            </w:r>
          </w:p>
          <w:p w14:paraId="5337957B"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（平方米）</w:t>
            </w:r>
          </w:p>
        </w:tc>
        <w:tc>
          <w:tcPr>
            <w:tcW w:w="808" w:type="pct"/>
            <w:tcBorders>
              <w:top w:val="single" w:sz="4" w:space="0" w:color="auto"/>
              <w:left w:val="single" w:sz="4" w:space="0" w:color="auto"/>
              <w:bottom w:val="single" w:sz="4" w:space="0" w:color="auto"/>
              <w:right w:val="single" w:sz="4" w:space="0" w:color="auto"/>
            </w:tcBorders>
            <w:vAlign w:val="center"/>
            <w:hideMark/>
          </w:tcPr>
          <w:p w14:paraId="166E7C8F" w14:textId="46E13333" w:rsidR="00C6640C" w:rsidRPr="00F631FB" w:rsidRDefault="00C6640C"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3318</w:t>
            </w:r>
          </w:p>
        </w:tc>
        <w:tc>
          <w:tcPr>
            <w:tcW w:w="236" w:type="pct"/>
            <w:tcBorders>
              <w:top w:val="single" w:sz="4" w:space="0" w:color="auto"/>
              <w:left w:val="single" w:sz="4" w:space="0" w:color="auto"/>
              <w:bottom w:val="single" w:sz="4" w:space="0" w:color="auto"/>
              <w:right w:val="single" w:sz="4" w:space="0" w:color="auto"/>
            </w:tcBorders>
            <w:vAlign w:val="center"/>
            <w:hideMark/>
          </w:tcPr>
          <w:p w14:paraId="27AD2A81"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39446550" w14:textId="6700D0EC" w:rsidR="00C6640C" w:rsidRPr="00F631FB" w:rsidRDefault="00C6640C"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180</w:t>
            </w:r>
          </w:p>
        </w:tc>
        <w:tc>
          <w:tcPr>
            <w:tcW w:w="304" w:type="pct"/>
            <w:tcBorders>
              <w:top w:val="single" w:sz="4" w:space="0" w:color="auto"/>
              <w:left w:val="single" w:sz="4" w:space="0" w:color="auto"/>
              <w:bottom w:val="single" w:sz="4" w:space="0" w:color="auto"/>
              <w:right w:val="single" w:sz="4" w:space="0" w:color="auto"/>
            </w:tcBorders>
            <w:vAlign w:val="center"/>
            <w:hideMark/>
          </w:tcPr>
          <w:p w14:paraId="0FEF8EB9"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102</w:t>
            </w:r>
          </w:p>
        </w:tc>
        <w:tc>
          <w:tcPr>
            <w:tcW w:w="654" w:type="pct"/>
            <w:tcBorders>
              <w:top w:val="single" w:sz="4" w:space="0" w:color="auto"/>
              <w:left w:val="single" w:sz="4" w:space="0" w:color="auto"/>
              <w:bottom w:val="single" w:sz="4" w:space="0" w:color="auto"/>
              <w:right w:val="single" w:sz="4" w:space="0" w:color="auto"/>
            </w:tcBorders>
            <w:vAlign w:val="center"/>
            <w:hideMark/>
          </w:tcPr>
          <w:p w14:paraId="74430ED1" w14:textId="7463A5C6" w:rsidR="00C6640C" w:rsidRPr="00F631FB" w:rsidRDefault="00C6640C"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236" w:type="pct"/>
            <w:tcBorders>
              <w:top w:val="single" w:sz="4" w:space="0" w:color="auto"/>
              <w:left w:val="single" w:sz="4" w:space="0" w:color="auto"/>
              <w:bottom w:val="single" w:sz="4" w:space="0" w:color="auto"/>
              <w:right w:val="single" w:sz="4" w:space="0" w:color="auto"/>
            </w:tcBorders>
            <w:vAlign w:val="center"/>
            <w:hideMark/>
          </w:tcPr>
          <w:p w14:paraId="4B9C704B" w14:textId="5B8445FB"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w:t>
            </w:r>
            <w:r>
              <w:rPr>
                <w:rFonts w:ascii="Arial" w:eastAsia="仿宋_GB2312" w:hAnsi="Arial" w:cs="Arial"/>
                <w:kern w:val="2"/>
                <w:sz w:val="18"/>
                <w:szCs w:val="18"/>
              </w:rPr>
              <w:t>2</w:t>
            </w:r>
          </w:p>
        </w:tc>
        <w:tc>
          <w:tcPr>
            <w:tcW w:w="755" w:type="pct"/>
            <w:tcBorders>
              <w:top w:val="single" w:sz="4" w:space="0" w:color="auto"/>
              <w:left w:val="single" w:sz="4" w:space="0" w:color="auto"/>
              <w:bottom w:val="single" w:sz="4" w:space="0" w:color="auto"/>
              <w:right w:val="single" w:sz="4" w:space="0" w:color="auto"/>
            </w:tcBorders>
            <w:vAlign w:val="center"/>
            <w:hideMark/>
          </w:tcPr>
          <w:p w14:paraId="4B8CDD90" w14:textId="447EF475" w:rsidR="00C6640C" w:rsidRPr="00F631FB" w:rsidRDefault="00C6640C"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120</w:t>
            </w:r>
          </w:p>
        </w:tc>
        <w:tc>
          <w:tcPr>
            <w:tcW w:w="296" w:type="pct"/>
            <w:tcBorders>
              <w:top w:val="single" w:sz="4" w:space="0" w:color="auto"/>
              <w:left w:val="single" w:sz="4" w:space="0" w:color="auto"/>
              <w:bottom w:val="single" w:sz="4" w:space="0" w:color="auto"/>
              <w:right w:val="single" w:sz="4" w:space="0" w:color="auto"/>
            </w:tcBorders>
            <w:vAlign w:val="center"/>
            <w:hideMark/>
          </w:tcPr>
          <w:p w14:paraId="761CC1DD" w14:textId="03286AAC"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w:t>
            </w:r>
            <w:r>
              <w:rPr>
                <w:rFonts w:ascii="Arial" w:eastAsia="仿宋_GB2312" w:hAnsi="Arial" w:cs="Arial"/>
                <w:kern w:val="2"/>
                <w:sz w:val="18"/>
                <w:szCs w:val="18"/>
              </w:rPr>
              <w:t>2</w:t>
            </w:r>
          </w:p>
        </w:tc>
      </w:tr>
      <w:tr w:rsidR="00C6640C" w:rsidRPr="00F631FB" w14:paraId="466CB5CF" w14:textId="77777777" w:rsidTr="00C6640C">
        <w:trPr>
          <w:cantSplit/>
          <w:trHeight w:val="285"/>
          <w:jc w:val="center"/>
        </w:trPr>
        <w:tc>
          <w:tcPr>
            <w:tcW w:w="0" w:type="auto"/>
            <w:vMerge/>
            <w:tcBorders>
              <w:left w:val="single" w:sz="4" w:space="0" w:color="auto"/>
              <w:right w:val="single" w:sz="4" w:space="0" w:color="auto"/>
            </w:tcBorders>
            <w:vAlign w:val="center"/>
            <w:hideMark/>
          </w:tcPr>
          <w:p w14:paraId="48064BEF" w14:textId="77777777" w:rsidR="00C6640C" w:rsidRPr="00F631FB" w:rsidRDefault="00C6640C"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349BF43B"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建筑结构</w:t>
            </w:r>
          </w:p>
        </w:tc>
        <w:tc>
          <w:tcPr>
            <w:tcW w:w="808" w:type="pct"/>
            <w:tcBorders>
              <w:top w:val="single" w:sz="4" w:space="0" w:color="auto"/>
              <w:left w:val="single" w:sz="4" w:space="0" w:color="auto"/>
              <w:bottom w:val="single" w:sz="4" w:space="0" w:color="auto"/>
              <w:right w:val="single" w:sz="4" w:space="0" w:color="auto"/>
            </w:tcBorders>
            <w:vAlign w:val="center"/>
            <w:hideMark/>
          </w:tcPr>
          <w:p w14:paraId="5DF53E31"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钢混</w:t>
            </w:r>
          </w:p>
        </w:tc>
        <w:tc>
          <w:tcPr>
            <w:tcW w:w="236" w:type="pct"/>
            <w:tcBorders>
              <w:top w:val="single" w:sz="4" w:space="0" w:color="auto"/>
              <w:left w:val="single" w:sz="4" w:space="0" w:color="auto"/>
              <w:bottom w:val="single" w:sz="4" w:space="0" w:color="auto"/>
              <w:right w:val="single" w:sz="4" w:space="0" w:color="auto"/>
            </w:tcBorders>
            <w:vAlign w:val="center"/>
            <w:hideMark/>
          </w:tcPr>
          <w:p w14:paraId="245FD7F0"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0BEBC884"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钢混</w:t>
            </w:r>
          </w:p>
        </w:tc>
        <w:tc>
          <w:tcPr>
            <w:tcW w:w="304" w:type="pct"/>
            <w:tcBorders>
              <w:top w:val="single" w:sz="4" w:space="0" w:color="auto"/>
              <w:left w:val="single" w:sz="4" w:space="0" w:color="auto"/>
              <w:bottom w:val="single" w:sz="4" w:space="0" w:color="auto"/>
              <w:right w:val="single" w:sz="4" w:space="0" w:color="auto"/>
            </w:tcBorders>
            <w:vAlign w:val="center"/>
            <w:hideMark/>
          </w:tcPr>
          <w:p w14:paraId="6F781783"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D2AF931"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钢混</w:t>
            </w:r>
          </w:p>
        </w:tc>
        <w:tc>
          <w:tcPr>
            <w:tcW w:w="236" w:type="pct"/>
            <w:tcBorders>
              <w:top w:val="single" w:sz="4" w:space="0" w:color="auto"/>
              <w:left w:val="single" w:sz="4" w:space="0" w:color="auto"/>
              <w:bottom w:val="single" w:sz="4" w:space="0" w:color="auto"/>
              <w:right w:val="single" w:sz="4" w:space="0" w:color="auto"/>
            </w:tcBorders>
            <w:vAlign w:val="center"/>
            <w:hideMark/>
          </w:tcPr>
          <w:p w14:paraId="24A6CFB4"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2E7AEC75"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钢混</w:t>
            </w:r>
          </w:p>
        </w:tc>
        <w:tc>
          <w:tcPr>
            <w:tcW w:w="296" w:type="pct"/>
            <w:tcBorders>
              <w:top w:val="single" w:sz="4" w:space="0" w:color="auto"/>
              <w:left w:val="single" w:sz="4" w:space="0" w:color="auto"/>
              <w:bottom w:val="single" w:sz="4" w:space="0" w:color="auto"/>
              <w:right w:val="single" w:sz="4" w:space="0" w:color="auto"/>
            </w:tcBorders>
            <w:vAlign w:val="center"/>
            <w:hideMark/>
          </w:tcPr>
          <w:p w14:paraId="3CCE0398"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C6640C" w:rsidRPr="00F631FB" w14:paraId="05D09301" w14:textId="77777777" w:rsidTr="00C6640C">
        <w:trPr>
          <w:cantSplit/>
          <w:trHeight w:val="555"/>
          <w:jc w:val="center"/>
        </w:trPr>
        <w:tc>
          <w:tcPr>
            <w:tcW w:w="0" w:type="auto"/>
            <w:vMerge/>
            <w:tcBorders>
              <w:left w:val="single" w:sz="4" w:space="0" w:color="auto"/>
              <w:right w:val="single" w:sz="4" w:space="0" w:color="auto"/>
            </w:tcBorders>
            <w:vAlign w:val="center"/>
            <w:hideMark/>
          </w:tcPr>
          <w:p w14:paraId="5387AD00" w14:textId="77777777" w:rsidR="00C6640C" w:rsidRPr="00F631FB" w:rsidRDefault="00C6640C"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1704BAEF"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公共部分装修</w:t>
            </w:r>
          </w:p>
        </w:tc>
        <w:tc>
          <w:tcPr>
            <w:tcW w:w="808" w:type="pct"/>
            <w:tcBorders>
              <w:top w:val="single" w:sz="4" w:space="0" w:color="auto"/>
              <w:left w:val="single" w:sz="4" w:space="0" w:color="auto"/>
              <w:bottom w:val="single" w:sz="4" w:space="0" w:color="auto"/>
              <w:right w:val="single" w:sz="4" w:space="0" w:color="auto"/>
            </w:tcBorders>
            <w:vAlign w:val="center"/>
            <w:hideMark/>
          </w:tcPr>
          <w:p w14:paraId="2B8425D0"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36" w:type="pct"/>
            <w:tcBorders>
              <w:top w:val="single" w:sz="4" w:space="0" w:color="auto"/>
              <w:left w:val="single" w:sz="4" w:space="0" w:color="auto"/>
              <w:bottom w:val="single" w:sz="4" w:space="0" w:color="auto"/>
              <w:right w:val="single" w:sz="4" w:space="0" w:color="auto"/>
            </w:tcBorders>
            <w:vAlign w:val="center"/>
            <w:hideMark/>
          </w:tcPr>
          <w:p w14:paraId="07AB5EE1"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546387B2"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304" w:type="pct"/>
            <w:tcBorders>
              <w:top w:val="single" w:sz="4" w:space="0" w:color="auto"/>
              <w:left w:val="single" w:sz="4" w:space="0" w:color="auto"/>
              <w:bottom w:val="single" w:sz="4" w:space="0" w:color="auto"/>
              <w:right w:val="single" w:sz="4" w:space="0" w:color="auto"/>
            </w:tcBorders>
            <w:vAlign w:val="center"/>
            <w:hideMark/>
          </w:tcPr>
          <w:p w14:paraId="0959AD15"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5051A3F1"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36" w:type="pct"/>
            <w:tcBorders>
              <w:top w:val="single" w:sz="4" w:space="0" w:color="auto"/>
              <w:left w:val="single" w:sz="4" w:space="0" w:color="auto"/>
              <w:bottom w:val="single" w:sz="4" w:space="0" w:color="auto"/>
              <w:right w:val="single" w:sz="4" w:space="0" w:color="auto"/>
            </w:tcBorders>
            <w:vAlign w:val="center"/>
            <w:hideMark/>
          </w:tcPr>
          <w:p w14:paraId="670B3FEC"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35A025BD"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96" w:type="pct"/>
            <w:tcBorders>
              <w:top w:val="single" w:sz="4" w:space="0" w:color="auto"/>
              <w:left w:val="single" w:sz="4" w:space="0" w:color="auto"/>
              <w:bottom w:val="single" w:sz="4" w:space="0" w:color="auto"/>
              <w:right w:val="single" w:sz="4" w:space="0" w:color="auto"/>
            </w:tcBorders>
            <w:vAlign w:val="center"/>
            <w:hideMark/>
          </w:tcPr>
          <w:p w14:paraId="5BD497CE"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C6640C" w:rsidRPr="00F631FB" w14:paraId="24277DB5" w14:textId="77777777" w:rsidTr="00C6640C">
        <w:trPr>
          <w:cantSplit/>
          <w:trHeight w:val="300"/>
          <w:jc w:val="center"/>
        </w:trPr>
        <w:tc>
          <w:tcPr>
            <w:tcW w:w="0" w:type="auto"/>
            <w:vMerge/>
            <w:tcBorders>
              <w:left w:val="single" w:sz="4" w:space="0" w:color="auto"/>
              <w:right w:val="single" w:sz="4" w:space="0" w:color="auto"/>
            </w:tcBorders>
            <w:vAlign w:val="center"/>
            <w:hideMark/>
          </w:tcPr>
          <w:p w14:paraId="2DA446AF" w14:textId="77777777" w:rsidR="00C6640C" w:rsidRPr="00F631FB" w:rsidRDefault="00C6640C" w:rsidP="0024666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12387FB1"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成新度</w:t>
            </w:r>
          </w:p>
        </w:tc>
        <w:tc>
          <w:tcPr>
            <w:tcW w:w="808" w:type="pct"/>
            <w:tcBorders>
              <w:top w:val="single" w:sz="4" w:space="0" w:color="auto"/>
              <w:left w:val="single" w:sz="4" w:space="0" w:color="auto"/>
              <w:bottom w:val="single" w:sz="4" w:space="0" w:color="auto"/>
              <w:right w:val="single" w:sz="4" w:space="0" w:color="auto"/>
            </w:tcBorders>
            <w:vAlign w:val="center"/>
            <w:hideMark/>
          </w:tcPr>
          <w:p w14:paraId="1C877428"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236" w:type="pct"/>
            <w:tcBorders>
              <w:top w:val="single" w:sz="4" w:space="0" w:color="auto"/>
              <w:left w:val="single" w:sz="4" w:space="0" w:color="auto"/>
              <w:bottom w:val="single" w:sz="4" w:space="0" w:color="auto"/>
              <w:right w:val="single" w:sz="4" w:space="0" w:color="auto"/>
            </w:tcBorders>
            <w:vAlign w:val="center"/>
            <w:hideMark/>
          </w:tcPr>
          <w:p w14:paraId="137FE79E"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2CE55E02" w14:textId="17A5A0F2"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8</w:t>
            </w:r>
            <w:r>
              <w:rPr>
                <w:rFonts w:ascii="Arial" w:eastAsia="仿宋_GB2312" w:hAnsi="Arial" w:cs="Arial"/>
                <w:kern w:val="2"/>
                <w:sz w:val="18"/>
                <w:szCs w:val="18"/>
              </w:rPr>
              <w:t>0</w:t>
            </w:r>
            <w:r w:rsidRPr="00F631FB">
              <w:rPr>
                <w:rFonts w:ascii="Arial" w:eastAsia="仿宋_GB2312" w:hAnsi="Arial" w:cs="Arial"/>
                <w:kern w:val="2"/>
                <w:sz w:val="18"/>
                <w:szCs w:val="18"/>
              </w:rPr>
              <w:t>%</w:t>
            </w:r>
          </w:p>
        </w:tc>
        <w:tc>
          <w:tcPr>
            <w:tcW w:w="304" w:type="pct"/>
            <w:tcBorders>
              <w:top w:val="single" w:sz="4" w:space="0" w:color="auto"/>
              <w:left w:val="single" w:sz="4" w:space="0" w:color="auto"/>
              <w:bottom w:val="single" w:sz="4" w:space="0" w:color="auto"/>
              <w:right w:val="single" w:sz="4" w:space="0" w:color="auto"/>
            </w:tcBorders>
            <w:vAlign w:val="center"/>
            <w:hideMark/>
          </w:tcPr>
          <w:p w14:paraId="765442BF" w14:textId="10D0CEFB"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w:t>
            </w:r>
            <w:r>
              <w:rPr>
                <w:rFonts w:ascii="Arial" w:eastAsia="仿宋_GB2312" w:hAnsi="Arial" w:cs="Arial"/>
                <w:kern w:val="2"/>
                <w:sz w:val="18"/>
                <w:szCs w:val="18"/>
              </w:rPr>
              <w:t>6</w:t>
            </w:r>
          </w:p>
        </w:tc>
        <w:tc>
          <w:tcPr>
            <w:tcW w:w="654" w:type="pct"/>
            <w:tcBorders>
              <w:top w:val="single" w:sz="4" w:space="0" w:color="auto"/>
              <w:left w:val="single" w:sz="4" w:space="0" w:color="auto"/>
              <w:bottom w:val="single" w:sz="4" w:space="0" w:color="auto"/>
              <w:right w:val="single" w:sz="4" w:space="0" w:color="auto"/>
            </w:tcBorders>
            <w:vAlign w:val="center"/>
            <w:hideMark/>
          </w:tcPr>
          <w:p w14:paraId="1991994B" w14:textId="7179944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8</w:t>
            </w:r>
            <w:r>
              <w:rPr>
                <w:rFonts w:ascii="Arial" w:eastAsia="仿宋_GB2312" w:hAnsi="Arial" w:cs="Arial"/>
                <w:kern w:val="2"/>
                <w:sz w:val="18"/>
                <w:szCs w:val="18"/>
              </w:rPr>
              <w:t>0</w:t>
            </w:r>
            <w:r w:rsidRPr="00F631FB">
              <w:rPr>
                <w:rFonts w:ascii="Arial" w:eastAsia="仿宋_GB2312" w:hAnsi="Arial" w:cs="Arial"/>
                <w:kern w:val="2"/>
                <w:sz w:val="18"/>
                <w:szCs w:val="18"/>
              </w:rPr>
              <w:t>%</w:t>
            </w:r>
          </w:p>
        </w:tc>
        <w:tc>
          <w:tcPr>
            <w:tcW w:w="236" w:type="pct"/>
            <w:tcBorders>
              <w:top w:val="single" w:sz="4" w:space="0" w:color="auto"/>
              <w:left w:val="single" w:sz="4" w:space="0" w:color="auto"/>
              <w:bottom w:val="single" w:sz="4" w:space="0" w:color="auto"/>
              <w:right w:val="single" w:sz="4" w:space="0" w:color="auto"/>
            </w:tcBorders>
            <w:vAlign w:val="center"/>
            <w:hideMark/>
          </w:tcPr>
          <w:p w14:paraId="01B28820" w14:textId="05D5CAB8"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w:t>
            </w:r>
            <w:r>
              <w:rPr>
                <w:rFonts w:ascii="Arial" w:eastAsia="仿宋_GB2312" w:hAnsi="Arial" w:cs="Arial"/>
                <w:kern w:val="2"/>
                <w:sz w:val="18"/>
                <w:szCs w:val="18"/>
              </w:rPr>
              <w:t>6</w:t>
            </w:r>
          </w:p>
        </w:tc>
        <w:tc>
          <w:tcPr>
            <w:tcW w:w="755" w:type="pct"/>
            <w:tcBorders>
              <w:top w:val="single" w:sz="4" w:space="0" w:color="auto"/>
              <w:left w:val="single" w:sz="4" w:space="0" w:color="auto"/>
              <w:bottom w:val="single" w:sz="4" w:space="0" w:color="auto"/>
              <w:right w:val="single" w:sz="4" w:space="0" w:color="auto"/>
            </w:tcBorders>
            <w:vAlign w:val="center"/>
            <w:hideMark/>
          </w:tcPr>
          <w:p w14:paraId="391CD7BE" w14:textId="2EF3FF8B"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8</w:t>
            </w:r>
            <w:r>
              <w:rPr>
                <w:rFonts w:ascii="Arial" w:eastAsia="仿宋_GB2312" w:hAnsi="Arial" w:cs="Arial"/>
                <w:kern w:val="2"/>
                <w:sz w:val="18"/>
                <w:szCs w:val="18"/>
              </w:rPr>
              <w:t>0</w:t>
            </w:r>
            <w:r w:rsidRPr="00F631FB">
              <w:rPr>
                <w:rFonts w:ascii="Arial" w:eastAsia="仿宋_GB2312" w:hAnsi="Arial" w:cs="Arial"/>
                <w:kern w:val="2"/>
                <w:sz w:val="18"/>
                <w:szCs w:val="18"/>
              </w:rPr>
              <w:t>%</w:t>
            </w:r>
          </w:p>
        </w:tc>
        <w:tc>
          <w:tcPr>
            <w:tcW w:w="296" w:type="pct"/>
            <w:tcBorders>
              <w:top w:val="single" w:sz="4" w:space="0" w:color="auto"/>
              <w:left w:val="single" w:sz="4" w:space="0" w:color="auto"/>
              <w:bottom w:val="single" w:sz="4" w:space="0" w:color="auto"/>
              <w:right w:val="single" w:sz="4" w:space="0" w:color="auto"/>
            </w:tcBorders>
            <w:vAlign w:val="center"/>
            <w:hideMark/>
          </w:tcPr>
          <w:p w14:paraId="228D5CA2" w14:textId="16D3C42B"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w:t>
            </w:r>
            <w:r>
              <w:rPr>
                <w:rFonts w:ascii="Arial" w:eastAsia="仿宋_GB2312" w:hAnsi="Arial" w:cs="Arial"/>
                <w:kern w:val="2"/>
                <w:sz w:val="18"/>
                <w:szCs w:val="18"/>
              </w:rPr>
              <w:t>6</w:t>
            </w:r>
          </w:p>
        </w:tc>
      </w:tr>
      <w:tr w:rsidR="00C6640C" w:rsidRPr="00F631FB" w14:paraId="7BD0B47A" w14:textId="77777777" w:rsidTr="00C6640C">
        <w:trPr>
          <w:cantSplit/>
          <w:trHeight w:val="540"/>
          <w:jc w:val="center"/>
        </w:trPr>
        <w:tc>
          <w:tcPr>
            <w:tcW w:w="0" w:type="auto"/>
            <w:vMerge/>
            <w:tcBorders>
              <w:left w:val="single" w:sz="4" w:space="0" w:color="auto"/>
              <w:right w:val="single" w:sz="4" w:space="0" w:color="auto"/>
            </w:tcBorders>
            <w:vAlign w:val="center"/>
            <w:hideMark/>
          </w:tcPr>
          <w:p w14:paraId="1A0E4DD7" w14:textId="77777777" w:rsidR="00C6640C" w:rsidRPr="00F631FB" w:rsidRDefault="00C6640C" w:rsidP="0024666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31CCF6B7"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层高</w:t>
            </w:r>
          </w:p>
        </w:tc>
        <w:tc>
          <w:tcPr>
            <w:tcW w:w="808" w:type="pct"/>
            <w:tcBorders>
              <w:top w:val="single" w:sz="4" w:space="0" w:color="auto"/>
              <w:left w:val="single" w:sz="4" w:space="0" w:color="auto"/>
              <w:bottom w:val="single" w:sz="4" w:space="0" w:color="auto"/>
              <w:right w:val="single" w:sz="4" w:space="0" w:color="auto"/>
            </w:tcBorders>
            <w:vAlign w:val="center"/>
            <w:hideMark/>
          </w:tcPr>
          <w:p w14:paraId="1F219A82"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标准层高</w:t>
            </w:r>
          </w:p>
        </w:tc>
        <w:tc>
          <w:tcPr>
            <w:tcW w:w="236" w:type="pct"/>
            <w:tcBorders>
              <w:top w:val="single" w:sz="4" w:space="0" w:color="auto"/>
              <w:left w:val="single" w:sz="4" w:space="0" w:color="auto"/>
              <w:bottom w:val="single" w:sz="4" w:space="0" w:color="auto"/>
              <w:right w:val="single" w:sz="4" w:space="0" w:color="auto"/>
            </w:tcBorders>
            <w:vAlign w:val="center"/>
            <w:hideMark/>
          </w:tcPr>
          <w:p w14:paraId="67312067"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62B4EB94" w14:textId="0FA1DDC8" w:rsidR="00C6640C" w:rsidRPr="00F631FB" w:rsidRDefault="00C6640C" w:rsidP="0024666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6</w:t>
            </w:r>
            <w:r>
              <w:rPr>
                <w:rFonts w:ascii="Arial" w:eastAsia="仿宋_GB2312" w:hAnsi="Arial" w:cs="Arial"/>
                <w:kern w:val="2"/>
                <w:sz w:val="18"/>
                <w:szCs w:val="18"/>
              </w:rPr>
              <w:t>m</w:t>
            </w:r>
          </w:p>
        </w:tc>
        <w:tc>
          <w:tcPr>
            <w:tcW w:w="304" w:type="pct"/>
            <w:tcBorders>
              <w:top w:val="single" w:sz="4" w:space="0" w:color="auto"/>
              <w:left w:val="single" w:sz="4" w:space="0" w:color="auto"/>
              <w:bottom w:val="single" w:sz="4" w:space="0" w:color="auto"/>
              <w:right w:val="single" w:sz="4" w:space="0" w:color="auto"/>
            </w:tcBorders>
            <w:vAlign w:val="center"/>
            <w:hideMark/>
          </w:tcPr>
          <w:p w14:paraId="51BE76A3" w14:textId="7B2E4A6E"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w:t>
            </w:r>
            <w:r>
              <w:rPr>
                <w:rFonts w:ascii="Arial" w:eastAsia="仿宋_GB2312" w:hAnsi="Arial" w:cs="Arial"/>
                <w:kern w:val="2"/>
                <w:sz w:val="18"/>
                <w:szCs w:val="18"/>
              </w:rPr>
              <w:t>1</w:t>
            </w:r>
          </w:p>
        </w:tc>
        <w:tc>
          <w:tcPr>
            <w:tcW w:w="654" w:type="pct"/>
            <w:tcBorders>
              <w:top w:val="single" w:sz="4" w:space="0" w:color="auto"/>
              <w:left w:val="single" w:sz="4" w:space="0" w:color="auto"/>
              <w:bottom w:val="single" w:sz="4" w:space="0" w:color="auto"/>
              <w:right w:val="single" w:sz="4" w:space="0" w:color="auto"/>
            </w:tcBorders>
            <w:vAlign w:val="center"/>
            <w:hideMark/>
          </w:tcPr>
          <w:p w14:paraId="12DA3E4F" w14:textId="5C5EE937" w:rsidR="00C6640C" w:rsidRPr="00F631FB" w:rsidRDefault="00C6640C" w:rsidP="0024666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6</w:t>
            </w:r>
            <w:r>
              <w:rPr>
                <w:rFonts w:ascii="Arial" w:eastAsia="仿宋_GB2312" w:hAnsi="Arial" w:cs="Arial"/>
                <w:kern w:val="2"/>
                <w:sz w:val="18"/>
                <w:szCs w:val="18"/>
              </w:rPr>
              <w:t>m</w:t>
            </w:r>
          </w:p>
        </w:tc>
        <w:tc>
          <w:tcPr>
            <w:tcW w:w="236" w:type="pct"/>
            <w:tcBorders>
              <w:top w:val="single" w:sz="4" w:space="0" w:color="auto"/>
              <w:left w:val="single" w:sz="4" w:space="0" w:color="auto"/>
              <w:bottom w:val="single" w:sz="4" w:space="0" w:color="auto"/>
              <w:right w:val="single" w:sz="4" w:space="0" w:color="auto"/>
            </w:tcBorders>
            <w:vAlign w:val="center"/>
            <w:hideMark/>
          </w:tcPr>
          <w:p w14:paraId="5995102C" w14:textId="05E8B203"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w:t>
            </w:r>
            <w:r>
              <w:rPr>
                <w:rFonts w:ascii="Arial" w:eastAsia="仿宋_GB2312" w:hAnsi="Arial" w:cs="Arial"/>
                <w:kern w:val="2"/>
                <w:sz w:val="18"/>
                <w:szCs w:val="18"/>
              </w:rPr>
              <w:t>1</w:t>
            </w:r>
          </w:p>
        </w:tc>
        <w:tc>
          <w:tcPr>
            <w:tcW w:w="755" w:type="pct"/>
            <w:tcBorders>
              <w:top w:val="single" w:sz="4" w:space="0" w:color="auto"/>
              <w:left w:val="single" w:sz="4" w:space="0" w:color="auto"/>
              <w:bottom w:val="single" w:sz="4" w:space="0" w:color="auto"/>
              <w:right w:val="single" w:sz="4" w:space="0" w:color="auto"/>
            </w:tcBorders>
            <w:vAlign w:val="center"/>
            <w:hideMark/>
          </w:tcPr>
          <w:p w14:paraId="469A6005" w14:textId="3EBEA369" w:rsidR="00C6640C" w:rsidRPr="00F631FB" w:rsidRDefault="00C6640C" w:rsidP="0024666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8.2</w:t>
            </w:r>
            <w:r w:rsidRPr="00F631FB">
              <w:rPr>
                <w:rFonts w:ascii="Arial" w:eastAsia="仿宋_GB2312" w:hAnsi="Arial" w:cs="Arial"/>
                <w:kern w:val="2"/>
                <w:sz w:val="18"/>
                <w:szCs w:val="18"/>
              </w:rPr>
              <w:t>m</w:t>
            </w:r>
          </w:p>
        </w:tc>
        <w:tc>
          <w:tcPr>
            <w:tcW w:w="296" w:type="pct"/>
            <w:tcBorders>
              <w:top w:val="single" w:sz="4" w:space="0" w:color="auto"/>
              <w:left w:val="single" w:sz="4" w:space="0" w:color="auto"/>
              <w:bottom w:val="single" w:sz="4" w:space="0" w:color="auto"/>
              <w:right w:val="single" w:sz="4" w:space="0" w:color="auto"/>
            </w:tcBorders>
            <w:vAlign w:val="center"/>
            <w:hideMark/>
          </w:tcPr>
          <w:p w14:paraId="2B627935" w14:textId="55DE4361" w:rsidR="00C6640C" w:rsidRPr="00F631FB" w:rsidRDefault="00C6640C" w:rsidP="0024666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102</w:t>
            </w:r>
          </w:p>
        </w:tc>
      </w:tr>
      <w:tr w:rsidR="00C6640C" w:rsidRPr="00F631FB" w14:paraId="614BAF1E" w14:textId="77777777" w:rsidTr="00C6640C">
        <w:trPr>
          <w:cantSplit/>
          <w:trHeight w:val="285"/>
          <w:jc w:val="center"/>
        </w:trPr>
        <w:tc>
          <w:tcPr>
            <w:tcW w:w="0" w:type="auto"/>
            <w:vMerge/>
            <w:tcBorders>
              <w:left w:val="single" w:sz="4" w:space="0" w:color="auto"/>
              <w:right w:val="single" w:sz="4" w:space="0" w:color="auto"/>
            </w:tcBorders>
            <w:vAlign w:val="center"/>
            <w:hideMark/>
          </w:tcPr>
          <w:p w14:paraId="10A89E70" w14:textId="77777777" w:rsidR="00C6640C" w:rsidRPr="00F631FB" w:rsidRDefault="00C6640C"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2FD2FABE"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内部装修</w:t>
            </w:r>
          </w:p>
        </w:tc>
        <w:tc>
          <w:tcPr>
            <w:tcW w:w="808" w:type="pct"/>
            <w:tcBorders>
              <w:top w:val="single" w:sz="4" w:space="0" w:color="auto"/>
              <w:left w:val="single" w:sz="4" w:space="0" w:color="auto"/>
              <w:bottom w:val="single" w:sz="4" w:space="0" w:color="auto"/>
              <w:right w:val="single" w:sz="4" w:space="0" w:color="auto"/>
            </w:tcBorders>
            <w:vAlign w:val="center"/>
            <w:hideMark/>
          </w:tcPr>
          <w:p w14:paraId="4BEA0C83"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36" w:type="pct"/>
            <w:tcBorders>
              <w:top w:val="single" w:sz="4" w:space="0" w:color="auto"/>
              <w:left w:val="single" w:sz="4" w:space="0" w:color="auto"/>
              <w:bottom w:val="single" w:sz="4" w:space="0" w:color="auto"/>
              <w:right w:val="single" w:sz="4" w:space="0" w:color="auto"/>
            </w:tcBorders>
            <w:vAlign w:val="center"/>
            <w:hideMark/>
          </w:tcPr>
          <w:p w14:paraId="6CEECDFC"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206138EE"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304" w:type="pct"/>
            <w:tcBorders>
              <w:top w:val="single" w:sz="4" w:space="0" w:color="auto"/>
              <w:left w:val="single" w:sz="4" w:space="0" w:color="auto"/>
              <w:bottom w:val="single" w:sz="4" w:space="0" w:color="auto"/>
              <w:right w:val="single" w:sz="4" w:space="0" w:color="auto"/>
            </w:tcBorders>
            <w:vAlign w:val="center"/>
            <w:hideMark/>
          </w:tcPr>
          <w:p w14:paraId="4CD1CA04"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73FE734" w14:textId="28FA0E9A" w:rsidR="00C6640C" w:rsidRPr="00F631FB" w:rsidRDefault="00C6640C"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简单</w:t>
            </w:r>
            <w:r w:rsidRPr="00F631FB">
              <w:rPr>
                <w:rFonts w:ascii="Arial" w:eastAsia="仿宋_GB2312" w:hAnsi="Arial" w:cs="Arial" w:hint="eastAsia"/>
                <w:kern w:val="2"/>
                <w:sz w:val="18"/>
                <w:szCs w:val="18"/>
              </w:rPr>
              <w:t>装修</w:t>
            </w:r>
          </w:p>
        </w:tc>
        <w:tc>
          <w:tcPr>
            <w:tcW w:w="236" w:type="pct"/>
            <w:tcBorders>
              <w:top w:val="single" w:sz="4" w:space="0" w:color="auto"/>
              <w:left w:val="single" w:sz="4" w:space="0" w:color="auto"/>
              <w:bottom w:val="single" w:sz="4" w:space="0" w:color="auto"/>
              <w:right w:val="single" w:sz="4" w:space="0" w:color="auto"/>
            </w:tcBorders>
            <w:vAlign w:val="center"/>
            <w:hideMark/>
          </w:tcPr>
          <w:p w14:paraId="59957102" w14:textId="57794E1A" w:rsidR="00C6640C" w:rsidRPr="00F631FB" w:rsidRDefault="00C6640C"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9</w:t>
            </w:r>
            <w:r>
              <w:rPr>
                <w:rFonts w:ascii="Arial" w:eastAsia="仿宋_GB2312" w:hAnsi="Arial" w:cs="Arial"/>
                <w:kern w:val="2"/>
                <w:sz w:val="18"/>
                <w:szCs w:val="18"/>
              </w:rPr>
              <w:t>8</w:t>
            </w:r>
          </w:p>
        </w:tc>
        <w:tc>
          <w:tcPr>
            <w:tcW w:w="755" w:type="pct"/>
            <w:tcBorders>
              <w:top w:val="single" w:sz="4" w:space="0" w:color="auto"/>
              <w:left w:val="single" w:sz="4" w:space="0" w:color="auto"/>
              <w:bottom w:val="single" w:sz="4" w:space="0" w:color="auto"/>
              <w:right w:val="single" w:sz="4" w:space="0" w:color="auto"/>
            </w:tcBorders>
            <w:vAlign w:val="center"/>
            <w:hideMark/>
          </w:tcPr>
          <w:p w14:paraId="551D3FA1"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96" w:type="pct"/>
            <w:tcBorders>
              <w:top w:val="single" w:sz="4" w:space="0" w:color="auto"/>
              <w:left w:val="single" w:sz="4" w:space="0" w:color="auto"/>
              <w:bottom w:val="single" w:sz="4" w:space="0" w:color="auto"/>
              <w:right w:val="single" w:sz="4" w:space="0" w:color="auto"/>
            </w:tcBorders>
            <w:vAlign w:val="center"/>
            <w:hideMark/>
          </w:tcPr>
          <w:p w14:paraId="5E1EDE86"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C6640C" w:rsidRPr="00F631FB" w14:paraId="51C9DFB3" w14:textId="77777777" w:rsidTr="00C6640C">
        <w:trPr>
          <w:cantSplit/>
          <w:trHeight w:val="540"/>
          <w:jc w:val="center"/>
        </w:trPr>
        <w:tc>
          <w:tcPr>
            <w:tcW w:w="0" w:type="auto"/>
            <w:vMerge/>
            <w:tcBorders>
              <w:left w:val="single" w:sz="4" w:space="0" w:color="auto"/>
              <w:bottom w:val="single" w:sz="4" w:space="0" w:color="auto"/>
              <w:right w:val="single" w:sz="4" w:space="0" w:color="auto"/>
            </w:tcBorders>
            <w:vAlign w:val="center"/>
            <w:hideMark/>
          </w:tcPr>
          <w:p w14:paraId="2F89F614" w14:textId="77777777" w:rsidR="00C6640C" w:rsidRPr="00F631FB" w:rsidRDefault="00C6640C"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5AB2317C"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内部装修维护情况</w:t>
            </w:r>
          </w:p>
        </w:tc>
        <w:tc>
          <w:tcPr>
            <w:tcW w:w="808" w:type="pct"/>
            <w:tcBorders>
              <w:top w:val="single" w:sz="4" w:space="0" w:color="auto"/>
              <w:left w:val="single" w:sz="4" w:space="0" w:color="auto"/>
              <w:bottom w:val="single" w:sz="4" w:space="0" w:color="auto"/>
              <w:right w:val="single" w:sz="4" w:space="0" w:color="auto"/>
            </w:tcBorders>
            <w:vAlign w:val="center"/>
            <w:hideMark/>
          </w:tcPr>
          <w:p w14:paraId="0121422F"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36" w:type="pct"/>
            <w:tcBorders>
              <w:top w:val="single" w:sz="4" w:space="0" w:color="auto"/>
              <w:left w:val="single" w:sz="4" w:space="0" w:color="auto"/>
              <w:bottom w:val="single" w:sz="4" w:space="0" w:color="auto"/>
              <w:right w:val="single" w:sz="4" w:space="0" w:color="auto"/>
            </w:tcBorders>
            <w:vAlign w:val="center"/>
            <w:hideMark/>
          </w:tcPr>
          <w:p w14:paraId="73F4BA45"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0E9AE7ED"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304" w:type="pct"/>
            <w:tcBorders>
              <w:top w:val="single" w:sz="4" w:space="0" w:color="auto"/>
              <w:left w:val="single" w:sz="4" w:space="0" w:color="auto"/>
              <w:bottom w:val="single" w:sz="4" w:space="0" w:color="auto"/>
              <w:right w:val="single" w:sz="4" w:space="0" w:color="auto"/>
            </w:tcBorders>
            <w:vAlign w:val="center"/>
            <w:hideMark/>
          </w:tcPr>
          <w:p w14:paraId="67C01BAE"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FF2BEF9"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36" w:type="pct"/>
            <w:tcBorders>
              <w:top w:val="single" w:sz="4" w:space="0" w:color="auto"/>
              <w:left w:val="single" w:sz="4" w:space="0" w:color="auto"/>
              <w:bottom w:val="single" w:sz="4" w:space="0" w:color="auto"/>
              <w:right w:val="single" w:sz="4" w:space="0" w:color="auto"/>
            </w:tcBorders>
            <w:vAlign w:val="center"/>
            <w:hideMark/>
          </w:tcPr>
          <w:p w14:paraId="2E952B5A"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2BACEDD1"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96" w:type="pct"/>
            <w:tcBorders>
              <w:top w:val="single" w:sz="4" w:space="0" w:color="auto"/>
              <w:left w:val="single" w:sz="4" w:space="0" w:color="auto"/>
              <w:bottom w:val="single" w:sz="4" w:space="0" w:color="auto"/>
              <w:right w:val="single" w:sz="4" w:space="0" w:color="auto"/>
            </w:tcBorders>
            <w:vAlign w:val="center"/>
            <w:hideMark/>
          </w:tcPr>
          <w:p w14:paraId="242C47C4"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bl>
    <w:p w14:paraId="4897CA64" w14:textId="77777777" w:rsidR="0009314F" w:rsidRPr="00F631FB" w:rsidRDefault="0009314F" w:rsidP="0009314F">
      <w:pPr>
        <w:spacing w:line="360" w:lineRule="auto"/>
        <w:jc w:val="both"/>
        <w:rPr>
          <w:rFonts w:ascii="Arial" w:eastAsia="仿宋_GB2312" w:hAnsi="Arial" w:cs="Arial"/>
          <w:sz w:val="28"/>
        </w:rPr>
      </w:pPr>
    </w:p>
    <w:p w14:paraId="023C3B8B" w14:textId="77777777" w:rsidR="0009314F" w:rsidRPr="00F631FB" w:rsidRDefault="0009314F" w:rsidP="0009314F">
      <w:pPr>
        <w:widowControl/>
        <w:adjustRightInd/>
        <w:spacing w:line="240" w:lineRule="auto"/>
        <w:rPr>
          <w:rFonts w:ascii="Arial" w:eastAsia="仿宋_GB2312" w:hAnsi="Arial" w:cs="Arial"/>
          <w:b/>
          <w:bCs/>
        </w:rPr>
      </w:pPr>
      <w:r w:rsidRPr="00F631FB">
        <w:rPr>
          <w:rFonts w:ascii="Arial" w:eastAsia="仿宋_GB2312" w:hAnsi="Arial" w:cs="Arial"/>
          <w:b/>
          <w:bCs/>
        </w:rPr>
        <w:br w:type="page"/>
      </w:r>
    </w:p>
    <w:p w14:paraId="5BC4F579" w14:textId="77777777" w:rsidR="0009314F" w:rsidRPr="00F631FB" w:rsidRDefault="0009314F" w:rsidP="0009314F">
      <w:pPr>
        <w:spacing w:line="360" w:lineRule="auto"/>
        <w:ind w:firstLineChars="200" w:firstLine="482"/>
        <w:jc w:val="center"/>
        <w:rPr>
          <w:rFonts w:ascii="Arial" w:eastAsia="仿宋_GB2312" w:hAnsi="Arial" w:cs="Arial"/>
          <w:sz w:val="28"/>
        </w:rPr>
      </w:pPr>
      <w:r w:rsidRPr="00F631FB">
        <w:rPr>
          <w:rFonts w:ascii="Arial" w:eastAsia="仿宋_GB2312" w:hAnsi="Arial" w:cs="Arial" w:hint="eastAsia"/>
          <w:b/>
          <w:bCs/>
        </w:rPr>
        <w:lastRenderedPageBreak/>
        <w:t>表</w:t>
      </w:r>
      <w:r w:rsidRPr="00F631FB">
        <w:rPr>
          <w:rFonts w:ascii="Arial" w:eastAsia="仿宋_GB2312" w:hAnsi="Arial" w:cs="Arial"/>
          <w:b/>
          <w:bCs/>
        </w:rPr>
        <w:t>4</w:t>
      </w:r>
      <w:r w:rsidRPr="00F631FB">
        <w:rPr>
          <w:rFonts w:ascii="Arial" w:eastAsia="仿宋_GB2312" w:hAnsi="Arial" w:cs="Arial" w:hint="eastAsia"/>
          <w:b/>
          <w:bCs/>
        </w:rPr>
        <w:t>：因素修正和调整系数表</w:t>
      </w:r>
    </w:p>
    <w:tbl>
      <w:tblPr>
        <w:tblW w:w="5000" w:type="pct"/>
        <w:tblLook w:val="04A0" w:firstRow="1" w:lastRow="0" w:firstColumn="1" w:lastColumn="0" w:noHBand="0" w:noVBand="1"/>
      </w:tblPr>
      <w:tblGrid>
        <w:gridCol w:w="1092"/>
        <w:gridCol w:w="2060"/>
        <w:gridCol w:w="1908"/>
        <w:gridCol w:w="2136"/>
        <w:gridCol w:w="2092"/>
      </w:tblGrid>
      <w:tr w:rsidR="0009314F" w:rsidRPr="00F631FB" w14:paraId="5AD869CB" w14:textId="77777777" w:rsidTr="00BF0453">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E0A02B8"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比较因素</w:t>
            </w:r>
          </w:p>
        </w:tc>
        <w:tc>
          <w:tcPr>
            <w:tcW w:w="1027" w:type="pct"/>
            <w:vMerge w:val="restart"/>
            <w:tcBorders>
              <w:top w:val="single" w:sz="4" w:space="0" w:color="auto"/>
              <w:left w:val="single" w:sz="4" w:space="0" w:color="auto"/>
              <w:bottom w:val="single" w:sz="4" w:space="0" w:color="auto"/>
              <w:right w:val="single" w:sz="4" w:space="0" w:color="auto"/>
            </w:tcBorders>
            <w:noWrap/>
            <w:vAlign w:val="center"/>
            <w:hideMark/>
          </w:tcPr>
          <w:p w14:paraId="51171C91"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案例</w:t>
            </w:r>
            <w:r w:rsidRPr="00AF0914">
              <w:rPr>
                <w:rFonts w:ascii="Arial" w:eastAsia="仿宋_GB2312" w:hAnsi="Arial" w:cs="Arial"/>
                <w:sz w:val="18"/>
                <w:szCs w:val="18"/>
              </w:rPr>
              <w:t>D</w:t>
            </w:r>
          </w:p>
        </w:tc>
        <w:tc>
          <w:tcPr>
            <w:tcW w:w="1150" w:type="pct"/>
            <w:vMerge w:val="restart"/>
            <w:tcBorders>
              <w:top w:val="single" w:sz="4" w:space="0" w:color="auto"/>
              <w:left w:val="single" w:sz="4" w:space="0" w:color="auto"/>
              <w:bottom w:val="single" w:sz="4" w:space="0" w:color="auto"/>
              <w:right w:val="single" w:sz="4" w:space="0" w:color="auto"/>
            </w:tcBorders>
            <w:noWrap/>
            <w:vAlign w:val="center"/>
            <w:hideMark/>
          </w:tcPr>
          <w:p w14:paraId="7EAFCAB4"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案例</w:t>
            </w:r>
            <w:r w:rsidRPr="00AF0914">
              <w:rPr>
                <w:rFonts w:ascii="Arial" w:eastAsia="仿宋_GB2312" w:hAnsi="Arial" w:cs="Arial"/>
                <w:sz w:val="18"/>
                <w:szCs w:val="18"/>
              </w:rPr>
              <w:t>E</w:t>
            </w:r>
          </w:p>
        </w:tc>
        <w:tc>
          <w:tcPr>
            <w:tcW w:w="1126" w:type="pct"/>
            <w:vMerge w:val="restart"/>
            <w:tcBorders>
              <w:top w:val="single" w:sz="4" w:space="0" w:color="auto"/>
              <w:left w:val="single" w:sz="4" w:space="0" w:color="auto"/>
              <w:bottom w:val="single" w:sz="4" w:space="0" w:color="auto"/>
              <w:right w:val="single" w:sz="4" w:space="0" w:color="auto"/>
            </w:tcBorders>
            <w:noWrap/>
            <w:vAlign w:val="center"/>
            <w:hideMark/>
          </w:tcPr>
          <w:p w14:paraId="3900480A"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案例</w:t>
            </w:r>
            <w:r w:rsidRPr="00AF0914">
              <w:rPr>
                <w:rFonts w:ascii="Arial" w:eastAsia="仿宋_GB2312" w:hAnsi="Arial" w:cs="Arial"/>
                <w:sz w:val="18"/>
                <w:szCs w:val="18"/>
              </w:rPr>
              <w:t>F</w:t>
            </w:r>
          </w:p>
        </w:tc>
      </w:tr>
      <w:tr w:rsidR="0009314F" w:rsidRPr="00F631FB" w14:paraId="51E41797" w14:textId="77777777" w:rsidTr="0009314F">
        <w:trPr>
          <w:trHeight w:val="326"/>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B5F797F"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4D46D"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64AE4"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3D8E1"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p>
        </w:tc>
      </w:tr>
      <w:tr w:rsidR="0009314F" w:rsidRPr="00F631FB" w14:paraId="2B0E1144" w14:textId="77777777" w:rsidTr="0009314F">
        <w:trPr>
          <w:trHeight w:val="326"/>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69CC67"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D36F60"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47531"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09EEE"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p>
        </w:tc>
      </w:tr>
      <w:tr w:rsidR="0009314F" w:rsidRPr="00F631FB" w14:paraId="54FD2902" w14:textId="77777777" w:rsidTr="00BF0453">
        <w:trPr>
          <w:trHeight w:val="314"/>
        </w:trPr>
        <w:tc>
          <w:tcPr>
            <w:tcW w:w="1697" w:type="pct"/>
            <w:gridSpan w:val="2"/>
            <w:tcBorders>
              <w:top w:val="single" w:sz="4" w:space="0" w:color="auto"/>
              <w:left w:val="single" w:sz="4" w:space="0" w:color="auto"/>
              <w:bottom w:val="single" w:sz="4" w:space="0" w:color="auto"/>
              <w:right w:val="single" w:sz="4" w:space="0" w:color="auto"/>
            </w:tcBorders>
            <w:noWrap/>
            <w:vAlign w:val="center"/>
            <w:hideMark/>
          </w:tcPr>
          <w:p w14:paraId="55B91A78"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交易时间</w:t>
            </w:r>
          </w:p>
        </w:tc>
        <w:tc>
          <w:tcPr>
            <w:tcW w:w="1027" w:type="pct"/>
            <w:tcBorders>
              <w:top w:val="single" w:sz="4" w:space="0" w:color="auto"/>
              <w:left w:val="nil"/>
              <w:bottom w:val="single" w:sz="4" w:space="0" w:color="auto"/>
              <w:right w:val="single" w:sz="4" w:space="0" w:color="auto"/>
            </w:tcBorders>
            <w:noWrap/>
            <w:vAlign w:val="center"/>
            <w:hideMark/>
          </w:tcPr>
          <w:p w14:paraId="39395359"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673F4A6E"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02175AA5"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9314F" w:rsidRPr="00F631FB" w14:paraId="1C244157"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noWrap/>
            <w:vAlign w:val="center"/>
            <w:hideMark/>
          </w:tcPr>
          <w:p w14:paraId="0F1B0CFF"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交易情况</w:t>
            </w:r>
          </w:p>
        </w:tc>
        <w:tc>
          <w:tcPr>
            <w:tcW w:w="1027" w:type="pct"/>
            <w:tcBorders>
              <w:top w:val="single" w:sz="4" w:space="0" w:color="auto"/>
              <w:left w:val="nil"/>
              <w:bottom w:val="single" w:sz="4" w:space="0" w:color="auto"/>
              <w:right w:val="single" w:sz="4" w:space="0" w:color="auto"/>
            </w:tcBorders>
            <w:noWrap/>
            <w:vAlign w:val="center"/>
            <w:hideMark/>
          </w:tcPr>
          <w:p w14:paraId="1BCE3FE5"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527602F1"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145BADB9"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9314F" w:rsidRPr="00F631FB" w14:paraId="72E3D371"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35EB63BF"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用途</w:t>
            </w:r>
          </w:p>
        </w:tc>
        <w:tc>
          <w:tcPr>
            <w:tcW w:w="1027" w:type="pct"/>
            <w:tcBorders>
              <w:top w:val="single" w:sz="4" w:space="0" w:color="auto"/>
              <w:left w:val="nil"/>
              <w:bottom w:val="single" w:sz="4" w:space="0" w:color="auto"/>
              <w:right w:val="single" w:sz="4" w:space="0" w:color="auto"/>
            </w:tcBorders>
            <w:noWrap/>
            <w:vAlign w:val="center"/>
            <w:hideMark/>
          </w:tcPr>
          <w:p w14:paraId="225E789F"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1D462443"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26E9D02B"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246664" w:rsidRPr="00F631FB" w14:paraId="703B2275" w14:textId="77777777" w:rsidTr="005B6F82">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29337D61"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土地使用年限</w:t>
            </w:r>
          </w:p>
        </w:tc>
        <w:tc>
          <w:tcPr>
            <w:tcW w:w="1027" w:type="pct"/>
            <w:tcBorders>
              <w:top w:val="single" w:sz="4" w:space="0" w:color="auto"/>
              <w:left w:val="nil"/>
              <w:bottom w:val="single" w:sz="4" w:space="0" w:color="auto"/>
              <w:right w:val="single" w:sz="4" w:space="0" w:color="auto"/>
            </w:tcBorders>
            <w:noWrap/>
            <w:vAlign w:val="center"/>
            <w:hideMark/>
          </w:tcPr>
          <w:p w14:paraId="375DB84C" w14:textId="0ED757DD"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100/98</w:t>
            </w:r>
          </w:p>
        </w:tc>
        <w:tc>
          <w:tcPr>
            <w:tcW w:w="1150" w:type="pct"/>
            <w:tcBorders>
              <w:top w:val="single" w:sz="4" w:space="0" w:color="auto"/>
              <w:left w:val="nil"/>
              <w:bottom w:val="single" w:sz="4" w:space="0" w:color="auto"/>
              <w:right w:val="single" w:sz="4" w:space="0" w:color="auto"/>
            </w:tcBorders>
            <w:noWrap/>
            <w:vAlign w:val="center"/>
            <w:hideMark/>
          </w:tcPr>
          <w:p w14:paraId="21740F15" w14:textId="5507B7AF"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100/98</w:t>
            </w:r>
          </w:p>
        </w:tc>
        <w:tc>
          <w:tcPr>
            <w:tcW w:w="1126" w:type="pct"/>
            <w:tcBorders>
              <w:top w:val="single" w:sz="4" w:space="0" w:color="auto"/>
              <w:left w:val="nil"/>
              <w:bottom w:val="single" w:sz="4" w:space="0" w:color="auto"/>
              <w:right w:val="single" w:sz="4" w:space="0" w:color="auto"/>
            </w:tcBorders>
            <w:noWrap/>
            <w:vAlign w:val="center"/>
            <w:hideMark/>
          </w:tcPr>
          <w:p w14:paraId="7C735970" w14:textId="609279CD"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100/98</w:t>
            </w:r>
          </w:p>
        </w:tc>
      </w:tr>
      <w:tr w:rsidR="00246664" w:rsidRPr="00F631FB" w14:paraId="3BE8D44D" w14:textId="77777777" w:rsidTr="00BF0453">
        <w:trPr>
          <w:trHeight w:val="285"/>
        </w:trPr>
        <w:tc>
          <w:tcPr>
            <w:tcW w:w="588" w:type="pct"/>
            <w:vMerge w:val="restart"/>
            <w:tcBorders>
              <w:top w:val="nil"/>
              <w:left w:val="single" w:sz="4" w:space="0" w:color="auto"/>
              <w:bottom w:val="single" w:sz="4" w:space="0" w:color="auto"/>
              <w:right w:val="single" w:sz="4" w:space="0" w:color="auto"/>
            </w:tcBorders>
            <w:vAlign w:val="center"/>
            <w:hideMark/>
          </w:tcPr>
          <w:p w14:paraId="27A5DD9D"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区域因素</w:t>
            </w:r>
          </w:p>
        </w:tc>
        <w:tc>
          <w:tcPr>
            <w:tcW w:w="1109" w:type="pct"/>
            <w:tcBorders>
              <w:top w:val="nil"/>
              <w:left w:val="nil"/>
              <w:bottom w:val="single" w:sz="4" w:space="0" w:color="auto"/>
              <w:right w:val="single" w:sz="4" w:space="0" w:color="auto"/>
            </w:tcBorders>
            <w:vAlign w:val="center"/>
            <w:hideMark/>
          </w:tcPr>
          <w:p w14:paraId="2133944C"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商业繁华度</w:t>
            </w:r>
          </w:p>
        </w:tc>
        <w:tc>
          <w:tcPr>
            <w:tcW w:w="1027" w:type="pct"/>
            <w:tcBorders>
              <w:top w:val="single" w:sz="4" w:space="0" w:color="auto"/>
              <w:left w:val="nil"/>
              <w:bottom w:val="single" w:sz="4" w:space="0" w:color="auto"/>
              <w:right w:val="single" w:sz="4" w:space="0" w:color="auto"/>
            </w:tcBorders>
            <w:noWrap/>
            <w:vAlign w:val="center"/>
            <w:hideMark/>
          </w:tcPr>
          <w:p w14:paraId="52CCED4B" w14:textId="493EE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1AB82D3E" w14:textId="51341E28"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26AC5295" w14:textId="5B2093AA"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246664" w:rsidRPr="00F631FB" w14:paraId="6B9BC62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6E257452"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2DEC72A3"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交通便捷度</w:t>
            </w:r>
          </w:p>
        </w:tc>
        <w:tc>
          <w:tcPr>
            <w:tcW w:w="1027" w:type="pct"/>
            <w:tcBorders>
              <w:top w:val="single" w:sz="4" w:space="0" w:color="auto"/>
              <w:left w:val="nil"/>
              <w:bottom w:val="single" w:sz="4" w:space="0" w:color="auto"/>
              <w:right w:val="single" w:sz="4" w:space="0" w:color="auto"/>
            </w:tcBorders>
            <w:noWrap/>
            <w:vAlign w:val="center"/>
            <w:hideMark/>
          </w:tcPr>
          <w:p w14:paraId="62F6B300" w14:textId="71B26C44"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2D3DF466" w14:textId="725602A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3CD5A806" w14:textId="5D5D39EE"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246664" w:rsidRPr="00F631FB" w14:paraId="28C0B46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20D5CB8"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65AAF29B"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公共配套设施</w:t>
            </w:r>
          </w:p>
        </w:tc>
        <w:tc>
          <w:tcPr>
            <w:tcW w:w="1027" w:type="pct"/>
            <w:tcBorders>
              <w:top w:val="single" w:sz="4" w:space="0" w:color="auto"/>
              <w:left w:val="nil"/>
              <w:bottom w:val="single" w:sz="4" w:space="0" w:color="auto"/>
              <w:right w:val="single" w:sz="4" w:space="0" w:color="auto"/>
            </w:tcBorders>
            <w:noWrap/>
            <w:vAlign w:val="center"/>
            <w:hideMark/>
          </w:tcPr>
          <w:p w14:paraId="6A2A167F" w14:textId="5A968E1D"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6BADFF71" w14:textId="3895283E"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0D2D952E" w14:textId="1FD75550"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246664" w:rsidRPr="00F631FB" w14:paraId="6DDC140C"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03D54064"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2713EA90"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基础设施水平</w:t>
            </w:r>
          </w:p>
        </w:tc>
        <w:tc>
          <w:tcPr>
            <w:tcW w:w="1027" w:type="pct"/>
            <w:tcBorders>
              <w:top w:val="single" w:sz="4" w:space="0" w:color="auto"/>
              <w:left w:val="nil"/>
              <w:bottom w:val="single" w:sz="4" w:space="0" w:color="auto"/>
              <w:right w:val="single" w:sz="4" w:space="0" w:color="auto"/>
            </w:tcBorders>
            <w:noWrap/>
            <w:vAlign w:val="center"/>
            <w:hideMark/>
          </w:tcPr>
          <w:p w14:paraId="421A4C90" w14:textId="0350FE32"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05F7F746" w14:textId="58014A36"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14D5EC6F" w14:textId="4F560A7D"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246664" w:rsidRPr="00F631FB" w14:paraId="3CB6D9E6"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2EF9F344"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45F6488D"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自然及人文环境</w:t>
            </w:r>
          </w:p>
        </w:tc>
        <w:tc>
          <w:tcPr>
            <w:tcW w:w="1027" w:type="pct"/>
            <w:tcBorders>
              <w:top w:val="single" w:sz="4" w:space="0" w:color="auto"/>
              <w:left w:val="nil"/>
              <w:bottom w:val="single" w:sz="4" w:space="0" w:color="auto"/>
              <w:right w:val="single" w:sz="4" w:space="0" w:color="auto"/>
            </w:tcBorders>
            <w:noWrap/>
            <w:vAlign w:val="center"/>
            <w:hideMark/>
          </w:tcPr>
          <w:p w14:paraId="144A22B1" w14:textId="6A053649"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7B218F21" w14:textId="5D14D30E"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517CD2FB" w14:textId="0D81FE8B"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246664" w:rsidRPr="00F631FB" w14:paraId="458AD4FB"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4DD229EA"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129EDC4A"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临街状况</w:t>
            </w:r>
          </w:p>
        </w:tc>
        <w:tc>
          <w:tcPr>
            <w:tcW w:w="1027" w:type="pct"/>
            <w:tcBorders>
              <w:top w:val="single" w:sz="4" w:space="0" w:color="auto"/>
              <w:left w:val="nil"/>
              <w:bottom w:val="single" w:sz="4" w:space="0" w:color="auto"/>
              <w:right w:val="single" w:sz="4" w:space="0" w:color="auto"/>
            </w:tcBorders>
            <w:noWrap/>
            <w:vAlign w:val="center"/>
            <w:hideMark/>
          </w:tcPr>
          <w:p w14:paraId="7375B408" w14:textId="48706645"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w:t>
            </w:r>
            <w:r w:rsidR="00084DF6" w:rsidRPr="00AF0914">
              <w:rPr>
                <w:rFonts w:ascii="Arial" w:eastAsia="仿宋_GB2312" w:hAnsi="Arial" w:cs="Arial"/>
                <w:sz w:val="18"/>
                <w:szCs w:val="18"/>
              </w:rPr>
              <w:t>9</w:t>
            </w:r>
            <w:r w:rsidRPr="00AF0914">
              <w:rPr>
                <w:rFonts w:ascii="Arial" w:eastAsia="仿宋_GB2312" w:hAnsi="Arial" w:cs="Arial"/>
                <w:sz w:val="18"/>
                <w:szCs w:val="18"/>
              </w:rPr>
              <w:t>.5</w:t>
            </w:r>
          </w:p>
        </w:tc>
        <w:tc>
          <w:tcPr>
            <w:tcW w:w="1150" w:type="pct"/>
            <w:tcBorders>
              <w:top w:val="single" w:sz="4" w:space="0" w:color="auto"/>
              <w:left w:val="nil"/>
              <w:bottom w:val="single" w:sz="4" w:space="0" w:color="auto"/>
              <w:right w:val="single" w:sz="4" w:space="0" w:color="auto"/>
            </w:tcBorders>
            <w:noWrap/>
            <w:vAlign w:val="center"/>
            <w:hideMark/>
          </w:tcPr>
          <w:p w14:paraId="05889D1B" w14:textId="4735DFDA"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64FFD492" w14:textId="5BB1404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w:t>
            </w:r>
            <w:r w:rsidR="00084DF6" w:rsidRPr="00AF0914">
              <w:rPr>
                <w:rFonts w:ascii="Arial" w:eastAsia="仿宋_GB2312" w:hAnsi="Arial" w:cs="Arial"/>
                <w:sz w:val="18"/>
                <w:szCs w:val="18"/>
              </w:rPr>
              <w:t>9</w:t>
            </w:r>
            <w:r w:rsidRPr="00AF0914">
              <w:rPr>
                <w:rFonts w:ascii="Arial" w:eastAsia="仿宋_GB2312" w:hAnsi="Arial" w:cs="Arial"/>
                <w:sz w:val="18"/>
                <w:szCs w:val="18"/>
              </w:rPr>
              <w:t>.5</w:t>
            </w:r>
          </w:p>
        </w:tc>
      </w:tr>
      <w:tr w:rsidR="00246664" w:rsidRPr="00F631FB" w14:paraId="7D44E9C8"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7A198941"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40B38E48"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可视性</w:t>
            </w:r>
          </w:p>
        </w:tc>
        <w:tc>
          <w:tcPr>
            <w:tcW w:w="1027" w:type="pct"/>
            <w:tcBorders>
              <w:top w:val="single" w:sz="4" w:space="0" w:color="auto"/>
              <w:left w:val="nil"/>
              <w:bottom w:val="single" w:sz="4" w:space="0" w:color="auto"/>
              <w:right w:val="single" w:sz="4" w:space="0" w:color="auto"/>
            </w:tcBorders>
            <w:noWrap/>
            <w:vAlign w:val="center"/>
            <w:hideMark/>
          </w:tcPr>
          <w:p w14:paraId="436629D0" w14:textId="09A6C18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w:t>
            </w:r>
            <w:r w:rsidR="00084DF6" w:rsidRPr="00AF0914">
              <w:rPr>
                <w:rFonts w:ascii="Arial" w:eastAsia="仿宋_GB2312" w:hAnsi="Arial" w:cs="Arial"/>
                <w:sz w:val="18"/>
                <w:szCs w:val="18"/>
              </w:rPr>
              <w:t>9</w:t>
            </w:r>
          </w:p>
        </w:tc>
        <w:tc>
          <w:tcPr>
            <w:tcW w:w="1150" w:type="pct"/>
            <w:tcBorders>
              <w:top w:val="single" w:sz="4" w:space="0" w:color="auto"/>
              <w:left w:val="nil"/>
              <w:bottom w:val="single" w:sz="4" w:space="0" w:color="auto"/>
              <w:right w:val="single" w:sz="4" w:space="0" w:color="auto"/>
            </w:tcBorders>
            <w:noWrap/>
            <w:vAlign w:val="center"/>
            <w:hideMark/>
          </w:tcPr>
          <w:p w14:paraId="415ED93E" w14:textId="00B1E040"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6EC100B4" w14:textId="08C47FC5"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w:t>
            </w:r>
            <w:r w:rsidR="00084DF6" w:rsidRPr="00AF0914">
              <w:rPr>
                <w:rFonts w:ascii="Arial" w:eastAsia="仿宋_GB2312" w:hAnsi="Arial" w:cs="Arial"/>
                <w:sz w:val="18"/>
                <w:szCs w:val="18"/>
              </w:rPr>
              <w:t>9</w:t>
            </w:r>
          </w:p>
        </w:tc>
      </w:tr>
      <w:tr w:rsidR="00246664" w:rsidRPr="00F631FB" w14:paraId="52D95EDE"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7C9892D"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69A0765C"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人流量</w:t>
            </w:r>
          </w:p>
        </w:tc>
        <w:tc>
          <w:tcPr>
            <w:tcW w:w="1027" w:type="pct"/>
            <w:tcBorders>
              <w:top w:val="single" w:sz="4" w:space="0" w:color="auto"/>
              <w:left w:val="nil"/>
              <w:bottom w:val="single" w:sz="4" w:space="0" w:color="auto"/>
              <w:right w:val="single" w:sz="4" w:space="0" w:color="auto"/>
            </w:tcBorders>
            <w:noWrap/>
            <w:vAlign w:val="center"/>
            <w:hideMark/>
          </w:tcPr>
          <w:p w14:paraId="4BE9A0A8" w14:textId="7AA5D934"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5CC522D3" w14:textId="2B71B2F3"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11D5D1AC" w14:textId="22E992AC"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A169D" w:rsidRPr="00F631FB" w14:paraId="6D59C8FB" w14:textId="77777777" w:rsidTr="001C2131">
        <w:trPr>
          <w:trHeight w:val="285"/>
        </w:trPr>
        <w:tc>
          <w:tcPr>
            <w:tcW w:w="588" w:type="pct"/>
            <w:vMerge w:val="restart"/>
            <w:tcBorders>
              <w:top w:val="nil"/>
              <w:left w:val="single" w:sz="4" w:space="0" w:color="auto"/>
              <w:right w:val="single" w:sz="4" w:space="0" w:color="auto"/>
            </w:tcBorders>
            <w:vAlign w:val="center"/>
          </w:tcPr>
          <w:p w14:paraId="3E21B655" w14:textId="1B99D01E" w:rsidR="000A169D" w:rsidRPr="00AF0914" w:rsidRDefault="000A169D" w:rsidP="000A169D">
            <w:pPr>
              <w:spacing w:line="240" w:lineRule="auto"/>
              <w:jc w:val="center"/>
              <w:rPr>
                <w:rFonts w:ascii="Arial" w:eastAsia="仿宋_GB2312" w:hAnsi="Arial" w:cs="Arial"/>
                <w:sz w:val="18"/>
                <w:szCs w:val="18"/>
              </w:rPr>
            </w:pPr>
            <w:r w:rsidRPr="00AF0914">
              <w:rPr>
                <w:rFonts w:ascii="Arial" w:eastAsia="仿宋_GB2312" w:hAnsi="Arial" w:cs="Arial" w:hint="eastAsia"/>
                <w:sz w:val="18"/>
                <w:szCs w:val="18"/>
              </w:rPr>
              <w:t>个别因素</w:t>
            </w:r>
          </w:p>
        </w:tc>
        <w:tc>
          <w:tcPr>
            <w:tcW w:w="1109" w:type="pct"/>
            <w:tcBorders>
              <w:top w:val="nil"/>
              <w:left w:val="nil"/>
              <w:bottom w:val="single" w:sz="4" w:space="0" w:color="auto"/>
              <w:right w:val="single" w:sz="4" w:space="0" w:color="auto"/>
            </w:tcBorders>
            <w:vAlign w:val="center"/>
          </w:tcPr>
          <w:p w14:paraId="2E5CBD43" w14:textId="67B8F2F1"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楼层</w:t>
            </w:r>
          </w:p>
        </w:tc>
        <w:tc>
          <w:tcPr>
            <w:tcW w:w="1027" w:type="pct"/>
            <w:tcBorders>
              <w:top w:val="single" w:sz="4" w:space="0" w:color="auto"/>
              <w:left w:val="nil"/>
              <w:bottom w:val="single" w:sz="4" w:space="0" w:color="auto"/>
              <w:right w:val="single" w:sz="4" w:space="0" w:color="auto"/>
            </w:tcBorders>
            <w:noWrap/>
            <w:vAlign w:val="center"/>
          </w:tcPr>
          <w:p w14:paraId="36D579C6" w14:textId="20AC2855"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tcPr>
          <w:p w14:paraId="36AD70E1" w14:textId="07940313"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tcPr>
          <w:p w14:paraId="36D03A4F" w14:textId="54469A3C"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A169D" w:rsidRPr="00F631FB" w14:paraId="71559FAE" w14:textId="77777777" w:rsidTr="001C2131">
        <w:trPr>
          <w:trHeight w:val="285"/>
        </w:trPr>
        <w:tc>
          <w:tcPr>
            <w:tcW w:w="588" w:type="pct"/>
            <w:vMerge/>
            <w:tcBorders>
              <w:left w:val="single" w:sz="4" w:space="0" w:color="auto"/>
              <w:right w:val="single" w:sz="4" w:space="0" w:color="auto"/>
            </w:tcBorders>
            <w:vAlign w:val="center"/>
            <w:hideMark/>
          </w:tcPr>
          <w:p w14:paraId="78194B01" w14:textId="2A51B502"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7D5F55D4"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商业类型</w:t>
            </w:r>
          </w:p>
        </w:tc>
        <w:tc>
          <w:tcPr>
            <w:tcW w:w="1027" w:type="pct"/>
            <w:tcBorders>
              <w:top w:val="single" w:sz="4" w:space="0" w:color="auto"/>
              <w:left w:val="nil"/>
              <w:bottom w:val="single" w:sz="4" w:space="0" w:color="auto"/>
              <w:right w:val="single" w:sz="4" w:space="0" w:color="auto"/>
            </w:tcBorders>
            <w:noWrap/>
            <w:vAlign w:val="center"/>
            <w:hideMark/>
          </w:tcPr>
          <w:p w14:paraId="4D6C9895" w14:textId="70C97BFB"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100/102.5</w:t>
            </w:r>
          </w:p>
        </w:tc>
        <w:tc>
          <w:tcPr>
            <w:tcW w:w="1150" w:type="pct"/>
            <w:tcBorders>
              <w:top w:val="single" w:sz="4" w:space="0" w:color="auto"/>
              <w:left w:val="nil"/>
              <w:bottom w:val="single" w:sz="4" w:space="0" w:color="auto"/>
              <w:right w:val="single" w:sz="4" w:space="0" w:color="auto"/>
            </w:tcBorders>
            <w:noWrap/>
            <w:vAlign w:val="center"/>
            <w:hideMark/>
          </w:tcPr>
          <w:p w14:paraId="5A265BA0" w14:textId="0E217984"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100/105</w:t>
            </w:r>
          </w:p>
        </w:tc>
        <w:tc>
          <w:tcPr>
            <w:tcW w:w="1126" w:type="pct"/>
            <w:tcBorders>
              <w:top w:val="single" w:sz="4" w:space="0" w:color="auto"/>
              <w:left w:val="nil"/>
              <w:bottom w:val="single" w:sz="4" w:space="0" w:color="auto"/>
              <w:right w:val="single" w:sz="4" w:space="0" w:color="auto"/>
            </w:tcBorders>
            <w:noWrap/>
            <w:vAlign w:val="center"/>
            <w:hideMark/>
          </w:tcPr>
          <w:p w14:paraId="0C95FE9E" w14:textId="6D3A6256"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A169D" w:rsidRPr="00F631FB" w14:paraId="6FEC443B" w14:textId="77777777" w:rsidTr="001C2131">
        <w:trPr>
          <w:trHeight w:val="285"/>
        </w:trPr>
        <w:tc>
          <w:tcPr>
            <w:tcW w:w="0" w:type="auto"/>
            <w:vMerge/>
            <w:tcBorders>
              <w:left w:val="single" w:sz="4" w:space="0" w:color="auto"/>
              <w:right w:val="single" w:sz="4" w:space="0" w:color="auto"/>
            </w:tcBorders>
            <w:vAlign w:val="center"/>
            <w:hideMark/>
          </w:tcPr>
          <w:p w14:paraId="7CDBBD75"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15003D66"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建筑面积</w:t>
            </w:r>
          </w:p>
        </w:tc>
        <w:tc>
          <w:tcPr>
            <w:tcW w:w="1027" w:type="pct"/>
            <w:tcBorders>
              <w:top w:val="single" w:sz="4" w:space="0" w:color="auto"/>
              <w:left w:val="nil"/>
              <w:bottom w:val="single" w:sz="4" w:space="0" w:color="auto"/>
              <w:right w:val="single" w:sz="4" w:space="0" w:color="auto"/>
            </w:tcBorders>
            <w:noWrap/>
            <w:vAlign w:val="center"/>
            <w:hideMark/>
          </w:tcPr>
          <w:p w14:paraId="45402A53" w14:textId="46B8CC8A"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100/102</w:t>
            </w:r>
          </w:p>
        </w:tc>
        <w:tc>
          <w:tcPr>
            <w:tcW w:w="1150" w:type="pct"/>
            <w:tcBorders>
              <w:top w:val="single" w:sz="4" w:space="0" w:color="auto"/>
              <w:left w:val="nil"/>
              <w:bottom w:val="single" w:sz="4" w:space="0" w:color="auto"/>
              <w:right w:val="single" w:sz="4" w:space="0" w:color="auto"/>
            </w:tcBorders>
            <w:noWrap/>
            <w:vAlign w:val="center"/>
            <w:hideMark/>
          </w:tcPr>
          <w:p w14:paraId="49A49BCD" w14:textId="1B0FCE45"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100/102</w:t>
            </w:r>
          </w:p>
        </w:tc>
        <w:tc>
          <w:tcPr>
            <w:tcW w:w="1126" w:type="pct"/>
            <w:tcBorders>
              <w:top w:val="single" w:sz="4" w:space="0" w:color="auto"/>
              <w:left w:val="nil"/>
              <w:bottom w:val="single" w:sz="4" w:space="0" w:color="auto"/>
              <w:right w:val="single" w:sz="4" w:space="0" w:color="auto"/>
            </w:tcBorders>
            <w:noWrap/>
            <w:vAlign w:val="center"/>
            <w:hideMark/>
          </w:tcPr>
          <w:p w14:paraId="4AF9E5A8" w14:textId="7A47487E"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100/102</w:t>
            </w:r>
          </w:p>
        </w:tc>
      </w:tr>
      <w:tr w:rsidR="000A169D" w:rsidRPr="00F631FB" w14:paraId="1D255DE1" w14:textId="77777777" w:rsidTr="001C2131">
        <w:trPr>
          <w:trHeight w:val="285"/>
        </w:trPr>
        <w:tc>
          <w:tcPr>
            <w:tcW w:w="0" w:type="auto"/>
            <w:vMerge/>
            <w:tcBorders>
              <w:left w:val="single" w:sz="4" w:space="0" w:color="auto"/>
              <w:right w:val="single" w:sz="4" w:space="0" w:color="auto"/>
            </w:tcBorders>
            <w:vAlign w:val="center"/>
            <w:hideMark/>
          </w:tcPr>
          <w:p w14:paraId="56028258"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394F4E00"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建筑结构</w:t>
            </w:r>
          </w:p>
        </w:tc>
        <w:tc>
          <w:tcPr>
            <w:tcW w:w="1027" w:type="pct"/>
            <w:tcBorders>
              <w:top w:val="single" w:sz="4" w:space="0" w:color="auto"/>
              <w:left w:val="nil"/>
              <w:bottom w:val="single" w:sz="4" w:space="0" w:color="auto"/>
              <w:right w:val="single" w:sz="4" w:space="0" w:color="auto"/>
            </w:tcBorders>
            <w:noWrap/>
            <w:vAlign w:val="center"/>
            <w:hideMark/>
          </w:tcPr>
          <w:p w14:paraId="32701C49" w14:textId="76AF2B22"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11F9DE89" w14:textId="337083AB"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39DAE238" w14:textId="5C3B810D"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A169D" w:rsidRPr="00F631FB" w14:paraId="2AB5C085" w14:textId="77777777" w:rsidTr="001C2131">
        <w:trPr>
          <w:trHeight w:val="285"/>
        </w:trPr>
        <w:tc>
          <w:tcPr>
            <w:tcW w:w="0" w:type="auto"/>
            <w:vMerge/>
            <w:tcBorders>
              <w:left w:val="single" w:sz="4" w:space="0" w:color="auto"/>
              <w:right w:val="single" w:sz="4" w:space="0" w:color="auto"/>
            </w:tcBorders>
            <w:vAlign w:val="center"/>
            <w:hideMark/>
          </w:tcPr>
          <w:p w14:paraId="3D8F4AEB"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3D39EC78"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公共部分装修</w:t>
            </w:r>
          </w:p>
        </w:tc>
        <w:tc>
          <w:tcPr>
            <w:tcW w:w="1027" w:type="pct"/>
            <w:tcBorders>
              <w:top w:val="single" w:sz="4" w:space="0" w:color="auto"/>
              <w:left w:val="nil"/>
              <w:bottom w:val="single" w:sz="4" w:space="0" w:color="auto"/>
              <w:right w:val="single" w:sz="4" w:space="0" w:color="auto"/>
            </w:tcBorders>
            <w:noWrap/>
            <w:vAlign w:val="center"/>
            <w:hideMark/>
          </w:tcPr>
          <w:p w14:paraId="72317BED" w14:textId="3B243AF3"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6F6C261C" w14:textId="3E6FA44C"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22FEF97C" w14:textId="59EF77DD"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A169D" w:rsidRPr="00F631FB" w14:paraId="7B6B7082" w14:textId="77777777" w:rsidTr="001C2131">
        <w:trPr>
          <w:trHeight w:val="285"/>
        </w:trPr>
        <w:tc>
          <w:tcPr>
            <w:tcW w:w="0" w:type="auto"/>
            <w:vMerge/>
            <w:tcBorders>
              <w:left w:val="single" w:sz="4" w:space="0" w:color="auto"/>
              <w:right w:val="single" w:sz="4" w:space="0" w:color="auto"/>
            </w:tcBorders>
            <w:vAlign w:val="center"/>
            <w:hideMark/>
          </w:tcPr>
          <w:p w14:paraId="19A78A2E"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4B6CD4B6"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成新度</w:t>
            </w:r>
          </w:p>
        </w:tc>
        <w:tc>
          <w:tcPr>
            <w:tcW w:w="1027" w:type="pct"/>
            <w:tcBorders>
              <w:top w:val="single" w:sz="4" w:space="0" w:color="auto"/>
              <w:left w:val="nil"/>
              <w:bottom w:val="single" w:sz="4" w:space="0" w:color="auto"/>
              <w:right w:val="single" w:sz="4" w:space="0" w:color="auto"/>
            </w:tcBorders>
            <w:noWrap/>
            <w:vAlign w:val="center"/>
            <w:hideMark/>
          </w:tcPr>
          <w:p w14:paraId="29292754" w14:textId="5CFA06F1"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100/96</w:t>
            </w:r>
          </w:p>
        </w:tc>
        <w:tc>
          <w:tcPr>
            <w:tcW w:w="1150" w:type="pct"/>
            <w:tcBorders>
              <w:top w:val="single" w:sz="4" w:space="0" w:color="auto"/>
              <w:left w:val="nil"/>
              <w:bottom w:val="single" w:sz="4" w:space="0" w:color="auto"/>
              <w:right w:val="single" w:sz="4" w:space="0" w:color="auto"/>
            </w:tcBorders>
            <w:noWrap/>
            <w:vAlign w:val="center"/>
            <w:hideMark/>
          </w:tcPr>
          <w:p w14:paraId="2AD699DC" w14:textId="5573CF26"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100/96</w:t>
            </w:r>
          </w:p>
        </w:tc>
        <w:tc>
          <w:tcPr>
            <w:tcW w:w="1126" w:type="pct"/>
            <w:tcBorders>
              <w:top w:val="single" w:sz="4" w:space="0" w:color="auto"/>
              <w:left w:val="nil"/>
              <w:bottom w:val="single" w:sz="4" w:space="0" w:color="auto"/>
              <w:right w:val="single" w:sz="4" w:space="0" w:color="auto"/>
            </w:tcBorders>
            <w:noWrap/>
            <w:vAlign w:val="center"/>
            <w:hideMark/>
          </w:tcPr>
          <w:p w14:paraId="05D94652" w14:textId="3BA90194"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100/96</w:t>
            </w:r>
          </w:p>
        </w:tc>
      </w:tr>
      <w:tr w:rsidR="000A169D" w:rsidRPr="00F631FB" w14:paraId="12784CB4" w14:textId="77777777" w:rsidTr="001C2131">
        <w:trPr>
          <w:trHeight w:val="285"/>
        </w:trPr>
        <w:tc>
          <w:tcPr>
            <w:tcW w:w="0" w:type="auto"/>
            <w:vMerge/>
            <w:tcBorders>
              <w:left w:val="single" w:sz="4" w:space="0" w:color="auto"/>
              <w:right w:val="single" w:sz="4" w:space="0" w:color="auto"/>
            </w:tcBorders>
            <w:vAlign w:val="center"/>
            <w:hideMark/>
          </w:tcPr>
          <w:p w14:paraId="63C81852"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0E59ED9D"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层高</w:t>
            </w:r>
          </w:p>
        </w:tc>
        <w:tc>
          <w:tcPr>
            <w:tcW w:w="1027" w:type="pct"/>
            <w:tcBorders>
              <w:top w:val="single" w:sz="4" w:space="0" w:color="auto"/>
              <w:left w:val="nil"/>
              <w:bottom w:val="single" w:sz="4" w:space="0" w:color="auto"/>
              <w:right w:val="single" w:sz="4" w:space="0" w:color="auto"/>
            </w:tcBorders>
            <w:noWrap/>
            <w:vAlign w:val="center"/>
            <w:hideMark/>
          </w:tcPr>
          <w:p w14:paraId="2AFD6220" w14:textId="3810F58C"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100/101</w:t>
            </w:r>
          </w:p>
        </w:tc>
        <w:tc>
          <w:tcPr>
            <w:tcW w:w="1150" w:type="pct"/>
            <w:tcBorders>
              <w:top w:val="single" w:sz="4" w:space="0" w:color="auto"/>
              <w:left w:val="nil"/>
              <w:bottom w:val="single" w:sz="4" w:space="0" w:color="auto"/>
              <w:right w:val="single" w:sz="4" w:space="0" w:color="auto"/>
            </w:tcBorders>
            <w:noWrap/>
            <w:vAlign w:val="center"/>
            <w:hideMark/>
          </w:tcPr>
          <w:p w14:paraId="55AA210B" w14:textId="5285356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100/101</w:t>
            </w:r>
          </w:p>
        </w:tc>
        <w:tc>
          <w:tcPr>
            <w:tcW w:w="1126" w:type="pct"/>
            <w:tcBorders>
              <w:top w:val="single" w:sz="4" w:space="0" w:color="auto"/>
              <w:left w:val="nil"/>
              <w:bottom w:val="single" w:sz="4" w:space="0" w:color="auto"/>
              <w:right w:val="single" w:sz="4" w:space="0" w:color="auto"/>
            </w:tcBorders>
            <w:noWrap/>
            <w:vAlign w:val="center"/>
            <w:hideMark/>
          </w:tcPr>
          <w:p w14:paraId="7AC27E68" w14:textId="5785B9A5"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100/102</w:t>
            </w:r>
          </w:p>
        </w:tc>
      </w:tr>
      <w:tr w:rsidR="000A169D" w:rsidRPr="00F631FB" w14:paraId="1219E755" w14:textId="77777777" w:rsidTr="001C2131">
        <w:trPr>
          <w:trHeight w:val="285"/>
        </w:trPr>
        <w:tc>
          <w:tcPr>
            <w:tcW w:w="0" w:type="auto"/>
            <w:vMerge/>
            <w:tcBorders>
              <w:left w:val="single" w:sz="4" w:space="0" w:color="auto"/>
              <w:right w:val="single" w:sz="4" w:space="0" w:color="auto"/>
            </w:tcBorders>
            <w:vAlign w:val="center"/>
            <w:hideMark/>
          </w:tcPr>
          <w:p w14:paraId="2C233EAD"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5F284FE8"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内部装修</w:t>
            </w:r>
          </w:p>
        </w:tc>
        <w:tc>
          <w:tcPr>
            <w:tcW w:w="1027" w:type="pct"/>
            <w:tcBorders>
              <w:top w:val="single" w:sz="4" w:space="0" w:color="auto"/>
              <w:left w:val="nil"/>
              <w:bottom w:val="single" w:sz="4" w:space="0" w:color="auto"/>
              <w:right w:val="single" w:sz="4" w:space="0" w:color="auto"/>
            </w:tcBorders>
            <w:noWrap/>
            <w:vAlign w:val="center"/>
            <w:hideMark/>
          </w:tcPr>
          <w:p w14:paraId="288E680D" w14:textId="7397D30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7A3A7C5B" w14:textId="483FC9A9"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100/98</w:t>
            </w:r>
          </w:p>
        </w:tc>
        <w:tc>
          <w:tcPr>
            <w:tcW w:w="1126" w:type="pct"/>
            <w:tcBorders>
              <w:top w:val="single" w:sz="4" w:space="0" w:color="auto"/>
              <w:left w:val="nil"/>
              <w:bottom w:val="single" w:sz="4" w:space="0" w:color="auto"/>
              <w:right w:val="single" w:sz="4" w:space="0" w:color="auto"/>
            </w:tcBorders>
            <w:noWrap/>
            <w:vAlign w:val="center"/>
            <w:hideMark/>
          </w:tcPr>
          <w:p w14:paraId="30C1B3C2" w14:textId="1C14D49A"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A169D" w:rsidRPr="00F631FB" w14:paraId="0E2A8272" w14:textId="77777777" w:rsidTr="001C2131">
        <w:trPr>
          <w:trHeight w:val="319"/>
        </w:trPr>
        <w:tc>
          <w:tcPr>
            <w:tcW w:w="0" w:type="auto"/>
            <w:vMerge/>
            <w:tcBorders>
              <w:left w:val="single" w:sz="4" w:space="0" w:color="auto"/>
              <w:bottom w:val="single" w:sz="4" w:space="0" w:color="auto"/>
              <w:right w:val="single" w:sz="4" w:space="0" w:color="auto"/>
            </w:tcBorders>
            <w:vAlign w:val="center"/>
            <w:hideMark/>
          </w:tcPr>
          <w:p w14:paraId="06CC50CB"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674435F7"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内部装修维护情况</w:t>
            </w:r>
          </w:p>
        </w:tc>
        <w:tc>
          <w:tcPr>
            <w:tcW w:w="1027" w:type="pct"/>
            <w:tcBorders>
              <w:top w:val="single" w:sz="4" w:space="0" w:color="auto"/>
              <w:left w:val="nil"/>
              <w:bottom w:val="single" w:sz="4" w:space="0" w:color="auto"/>
              <w:right w:val="single" w:sz="4" w:space="0" w:color="auto"/>
            </w:tcBorders>
            <w:noWrap/>
            <w:vAlign w:val="center"/>
            <w:hideMark/>
          </w:tcPr>
          <w:p w14:paraId="3ED723BD" w14:textId="632AF5E0"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5E82EFC9" w14:textId="3DDF669C"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6035E1F6" w14:textId="73729F95"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A169D" w:rsidRPr="00F631FB" w14:paraId="54EC1E5E"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0FDB0E5B"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销售价格（元</w:t>
            </w:r>
            <w:r w:rsidRPr="00AF0914">
              <w:rPr>
                <w:rFonts w:ascii="Arial" w:eastAsia="仿宋_GB2312" w:hAnsi="Arial" w:cs="Arial"/>
                <w:sz w:val="18"/>
                <w:szCs w:val="18"/>
              </w:rPr>
              <w:t>/</w:t>
            </w:r>
            <w:r w:rsidRPr="00AF0914">
              <w:rPr>
                <w:rFonts w:ascii="Arial" w:eastAsia="仿宋_GB2312" w:hAnsi="Arial" w:cs="Arial" w:hint="eastAsia"/>
                <w:sz w:val="18"/>
                <w:szCs w:val="18"/>
              </w:rPr>
              <w:t>平方米）</w:t>
            </w:r>
          </w:p>
        </w:tc>
        <w:tc>
          <w:tcPr>
            <w:tcW w:w="1027" w:type="pct"/>
            <w:tcBorders>
              <w:top w:val="single" w:sz="4" w:space="0" w:color="auto"/>
              <w:left w:val="nil"/>
              <w:bottom w:val="single" w:sz="4" w:space="0" w:color="auto"/>
              <w:right w:val="single" w:sz="4" w:space="0" w:color="auto"/>
            </w:tcBorders>
            <w:noWrap/>
            <w:vAlign w:val="center"/>
            <w:hideMark/>
          </w:tcPr>
          <w:p w14:paraId="61C282B6" w14:textId="3E9098FB"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50000</w:t>
            </w:r>
          </w:p>
        </w:tc>
        <w:tc>
          <w:tcPr>
            <w:tcW w:w="1150" w:type="pct"/>
            <w:tcBorders>
              <w:top w:val="single" w:sz="4" w:space="0" w:color="auto"/>
              <w:left w:val="nil"/>
              <w:bottom w:val="single" w:sz="4" w:space="0" w:color="auto"/>
              <w:right w:val="single" w:sz="4" w:space="0" w:color="auto"/>
            </w:tcBorders>
            <w:noWrap/>
            <w:vAlign w:val="center"/>
            <w:hideMark/>
          </w:tcPr>
          <w:p w14:paraId="7E1D6F28" w14:textId="763A7D0B"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50000</w:t>
            </w:r>
          </w:p>
        </w:tc>
        <w:tc>
          <w:tcPr>
            <w:tcW w:w="1126" w:type="pct"/>
            <w:tcBorders>
              <w:top w:val="single" w:sz="4" w:space="0" w:color="auto"/>
              <w:left w:val="nil"/>
              <w:bottom w:val="single" w:sz="4" w:space="0" w:color="auto"/>
              <w:right w:val="single" w:sz="4" w:space="0" w:color="auto"/>
            </w:tcBorders>
            <w:noWrap/>
            <w:vAlign w:val="center"/>
            <w:hideMark/>
          </w:tcPr>
          <w:p w14:paraId="4A3E5914" w14:textId="0B8A2506"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50000</w:t>
            </w:r>
          </w:p>
        </w:tc>
      </w:tr>
      <w:tr w:rsidR="000A169D" w:rsidRPr="00F631FB" w14:paraId="3D0D61DD"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0155EEA5"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比较价格（元</w:t>
            </w:r>
            <w:r w:rsidRPr="00AF0914">
              <w:rPr>
                <w:rFonts w:ascii="Arial" w:eastAsia="仿宋_GB2312" w:hAnsi="Arial" w:cs="Arial"/>
                <w:sz w:val="18"/>
                <w:szCs w:val="18"/>
              </w:rPr>
              <w:t>/</w:t>
            </w:r>
            <w:r w:rsidRPr="00AF0914">
              <w:rPr>
                <w:rFonts w:ascii="Arial" w:eastAsia="仿宋_GB2312" w:hAnsi="Arial" w:cs="Arial" w:hint="eastAsia"/>
                <w:sz w:val="18"/>
                <w:szCs w:val="18"/>
              </w:rPr>
              <w:t>平方米）</w:t>
            </w:r>
          </w:p>
        </w:tc>
        <w:tc>
          <w:tcPr>
            <w:tcW w:w="1027" w:type="pct"/>
            <w:tcBorders>
              <w:top w:val="single" w:sz="4" w:space="0" w:color="auto"/>
              <w:left w:val="nil"/>
              <w:bottom w:val="single" w:sz="4" w:space="0" w:color="auto"/>
              <w:right w:val="single" w:sz="4" w:space="0" w:color="auto"/>
            </w:tcBorders>
            <w:noWrap/>
            <w:vAlign w:val="center"/>
            <w:hideMark/>
          </w:tcPr>
          <w:p w14:paraId="58B0D208" w14:textId="5A989056"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51094</w:t>
            </w:r>
          </w:p>
        </w:tc>
        <w:tc>
          <w:tcPr>
            <w:tcW w:w="1150" w:type="pct"/>
            <w:tcBorders>
              <w:top w:val="single" w:sz="4" w:space="0" w:color="auto"/>
              <w:left w:val="nil"/>
              <w:bottom w:val="single" w:sz="4" w:space="0" w:color="auto"/>
              <w:right w:val="single" w:sz="4" w:space="0" w:color="auto"/>
            </w:tcBorders>
            <w:noWrap/>
            <w:vAlign w:val="center"/>
            <w:hideMark/>
          </w:tcPr>
          <w:p w14:paraId="12766F8D" w14:textId="0527C3C4"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50134</w:t>
            </w:r>
          </w:p>
        </w:tc>
        <w:tc>
          <w:tcPr>
            <w:tcW w:w="1126" w:type="pct"/>
            <w:tcBorders>
              <w:top w:val="single" w:sz="4" w:space="0" w:color="auto"/>
              <w:left w:val="nil"/>
              <w:bottom w:val="single" w:sz="4" w:space="0" w:color="auto"/>
              <w:right w:val="single" w:sz="4" w:space="0" w:color="auto"/>
            </w:tcBorders>
            <w:noWrap/>
            <w:vAlign w:val="center"/>
            <w:hideMark/>
          </w:tcPr>
          <w:p w14:paraId="64A22FB7" w14:textId="38F3E823"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51858</w:t>
            </w:r>
          </w:p>
        </w:tc>
      </w:tr>
      <w:tr w:rsidR="000A169D" w:rsidRPr="00F631FB" w14:paraId="63C9C151" w14:textId="77777777" w:rsidTr="00BF0453">
        <w:trPr>
          <w:trHeight w:val="300"/>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457021B8"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比准价格（元</w:t>
            </w:r>
            <w:r w:rsidRPr="00AF0914">
              <w:rPr>
                <w:rFonts w:ascii="Arial" w:eastAsia="仿宋_GB2312" w:hAnsi="Arial" w:cs="Arial"/>
                <w:sz w:val="18"/>
                <w:szCs w:val="18"/>
              </w:rPr>
              <w:t>/</w:t>
            </w:r>
            <w:r w:rsidRPr="00AF0914">
              <w:rPr>
                <w:rFonts w:ascii="Arial" w:eastAsia="仿宋_GB2312" w:hAnsi="Arial" w:cs="Arial" w:hint="eastAsia"/>
                <w:sz w:val="18"/>
                <w:szCs w:val="18"/>
              </w:rPr>
              <w:t>平方米）</w:t>
            </w:r>
          </w:p>
        </w:tc>
        <w:tc>
          <w:tcPr>
            <w:tcW w:w="3303" w:type="pct"/>
            <w:gridSpan w:val="3"/>
            <w:tcBorders>
              <w:top w:val="single" w:sz="4" w:space="0" w:color="auto"/>
              <w:left w:val="nil"/>
              <w:bottom w:val="single" w:sz="4" w:space="0" w:color="auto"/>
              <w:right w:val="single" w:sz="4" w:space="0" w:color="auto"/>
            </w:tcBorders>
            <w:noWrap/>
            <w:vAlign w:val="center"/>
            <w:hideMark/>
          </w:tcPr>
          <w:p w14:paraId="79CA5FCA" w14:textId="0C172BF9"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51029</w:t>
            </w:r>
          </w:p>
        </w:tc>
      </w:tr>
    </w:tbl>
    <w:p w14:paraId="4E0A20DC" w14:textId="77777777" w:rsidR="0009314F" w:rsidRPr="00F631FB" w:rsidRDefault="0009314F" w:rsidP="00771E24">
      <w:pPr>
        <w:spacing w:beforeLines="50" w:before="163" w:line="360" w:lineRule="auto"/>
        <w:ind w:firstLineChars="200" w:firstLine="560"/>
        <w:rPr>
          <w:rFonts w:ascii="Arial" w:eastAsia="仿宋_GB2312" w:hAnsi="Arial" w:cs="Arial"/>
          <w:sz w:val="28"/>
        </w:rPr>
      </w:pPr>
      <w:r w:rsidRPr="00F631FB">
        <w:rPr>
          <w:rFonts w:ascii="Arial" w:eastAsia="仿宋_GB2312" w:hAnsi="Arial" w:cs="Arial" w:hint="eastAsia"/>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759B68FE" w14:textId="77777777" w:rsidR="0009314F" w:rsidRPr="00F631FB" w:rsidRDefault="0009314F" w:rsidP="0009314F">
      <w:pPr>
        <w:spacing w:line="360" w:lineRule="auto"/>
        <w:ind w:firstLineChars="200" w:firstLine="560"/>
        <w:rPr>
          <w:rFonts w:ascii="Arial" w:eastAsia="仿宋_GB2312" w:hAnsi="Arial" w:cs="Arial"/>
          <w:sz w:val="28"/>
        </w:rPr>
      </w:pPr>
      <w:r w:rsidRPr="00F631FB">
        <w:rPr>
          <w:rFonts w:ascii="Arial" w:eastAsia="仿宋_GB2312" w:hAnsi="Arial" w:cs="Arial" w:hint="eastAsia"/>
          <w:sz w:val="28"/>
        </w:rPr>
        <w:t>估价对象商业用房不动产比准价格</w:t>
      </w:r>
      <w:r w:rsidRPr="00F631FB">
        <w:rPr>
          <w:rFonts w:ascii="Arial" w:eastAsia="仿宋_GB2312" w:hAnsi="Arial" w:cs="Arial"/>
          <w:sz w:val="28"/>
        </w:rPr>
        <w:t xml:space="preserve"> </w:t>
      </w:r>
    </w:p>
    <w:p w14:paraId="6617C6A4" w14:textId="6A00767E" w:rsidR="0009314F" w:rsidRPr="00F631FB" w:rsidRDefault="0009314F" w:rsidP="0009314F">
      <w:pPr>
        <w:spacing w:line="360" w:lineRule="auto"/>
        <w:ind w:firstLineChars="200" w:firstLine="560"/>
        <w:rPr>
          <w:rFonts w:ascii="Arial" w:eastAsia="仿宋_GB2312" w:hAnsi="Arial" w:cs="Arial"/>
          <w:sz w:val="28"/>
        </w:rPr>
      </w:pPr>
      <w:r w:rsidRPr="00F631FB">
        <w:rPr>
          <w:rFonts w:ascii="Arial" w:eastAsia="仿宋_GB2312" w:hAnsi="Arial" w:cs="Arial" w:hint="eastAsia"/>
          <w:sz w:val="28"/>
        </w:rPr>
        <w:t>＝（</w:t>
      </w:r>
      <w:r w:rsidR="00084DF6">
        <w:rPr>
          <w:rFonts w:ascii="Arial" w:eastAsia="仿宋_GB2312" w:hAnsi="Arial" w:cs="Arial"/>
          <w:sz w:val="28"/>
        </w:rPr>
        <w:t>51094</w:t>
      </w:r>
      <w:r w:rsidR="004873DC">
        <w:rPr>
          <w:rFonts w:ascii="Arial" w:eastAsia="仿宋_GB2312" w:hAnsi="Arial" w:cs="Arial"/>
          <w:sz w:val="28"/>
        </w:rPr>
        <w:t>+</w:t>
      </w:r>
      <w:r w:rsidR="00084DF6">
        <w:rPr>
          <w:rFonts w:ascii="Arial" w:eastAsia="仿宋_GB2312" w:hAnsi="Arial" w:cs="Arial"/>
          <w:sz w:val="28"/>
        </w:rPr>
        <w:t>50134</w:t>
      </w:r>
      <w:r w:rsidR="004873DC">
        <w:rPr>
          <w:rFonts w:ascii="Arial" w:eastAsia="仿宋_GB2312" w:hAnsi="Arial" w:cs="Arial"/>
          <w:sz w:val="28"/>
        </w:rPr>
        <w:t>+</w:t>
      </w:r>
      <w:r w:rsidR="00084DF6">
        <w:rPr>
          <w:rFonts w:ascii="Arial" w:eastAsia="仿宋_GB2312" w:hAnsi="Arial" w:cs="Arial"/>
          <w:sz w:val="28"/>
        </w:rPr>
        <w:t>51858</w:t>
      </w:r>
      <w:r w:rsidRPr="00F631FB">
        <w:rPr>
          <w:rFonts w:ascii="Arial" w:eastAsia="仿宋_GB2312" w:hAnsi="Arial" w:cs="Arial" w:hint="eastAsia"/>
          <w:sz w:val="28"/>
        </w:rPr>
        <w:t>）</w:t>
      </w:r>
      <w:r w:rsidRPr="00F631FB">
        <w:rPr>
          <w:rFonts w:ascii="Arial" w:eastAsia="仿宋_GB2312" w:hAnsi="Arial" w:cs="Arial"/>
          <w:sz w:val="28"/>
        </w:rPr>
        <w:t>÷3</w:t>
      </w:r>
    </w:p>
    <w:p w14:paraId="392C70D9" w14:textId="2B090B2D"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084DF6">
        <w:rPr>
          <w:rFonts w:ascii="Arial" w:eastAsia="仿宋_GB2312" w:hAnsi="Arial" w:cs="Arial"/>
          <w:bCs/>
          <w:sz w:val="28"/>
        </w:rPr>
        <w:t>51029</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w:t>
      </w:r>
    </w:p>
    <w:p w14:paraId="44A0107A" w14:textId="2C3F5314" w:rsidR="000A169D" w:rsidRDefault="000A169D" w:rsidP="000A169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由上述</w:t>
      </w:r>
      <w:r w:rsidRPr="0028694F">
        <w:rPr>
          <w:rFonts w:ascii="Arial" w:eastAsia="仿宋_GB2312" w:hAnsi="Arial" w:cs="Arial" w:hint="eastAsia"/>
          <w:sz w:val="28"/>
        </w:rPr>
        <w:t>土地用途及建筑面积表</w:t>
      </w:r>
      <w:r>
        <w:rPr>
          <w:rFonts w:ascii="Arial" w:eastAsia="仿宋_GB2312" w:hAnsi="Arial" w:cs="Arial" w:hint="eastAsia"/>
          <w:sz w:val="28"/>
        </w:rPr>
        <w:t>可知，地上商业用房</w:t>
      </w:r>
      <w:r>
        <w:rPr>
          <w:rFonts w:ascii="Arial" w:eastAsia="仿宋_GB2312" w:hAnsi="Arial" w:cs="Arial" w:hint="eastAsia"/>
          <w:sz w:val="28"/>
        </w:rPr>
        <w:t>3</w:t>
      </w:r>
      <w:r>
        <w:rPr>
          <w:rFonts w:ascii="Arial" w:eastAsia="仿宋_GB2312" w:hAnsi="Arial" w:cs="Arial"/>
          <w:sz w:val="28"/>
        </w:rPr>
        <w:t>318</w:t>
      </w:r>
      <w:r>
        <w:rPr>
          <w:rFonts w:ascii="Arial" w:eastAsia="仿宋_GB2312" w:hAnsi="Arial" w:cs="Arial" w:hint="eastAsia"/>
          <w:sz w:val="28"/>
        </w:rPr>
        <w:t>平方米，</w:t>
      </w:r>
      <w:proofErr w:type="gramStart"/>
      <w:r>
        <w:rPr>
          <w:rFonts w:ascii="Arial" w:eastAsia="仿宋_GB2312" w:hAnsi="Arial" w:cs="Arial" w:hint="eastAsia"/>
          <w:sz w:val="28"/>
        </w:rPr>
        <w:t>故开发</w:t>
      </w:r>
      <w:proofErr w:type="gramEnd"/>
      <w:r>
        <w:rPr>
          <w:rFonts w:ascii="Arial" w:eastAsia="仿宋_GB2312" w:hAnsi="Arial" w:cs="Arial" w:hint="eastAsia"/>
          <w:sz w:val="28"/>
        </w:rPr>
        <w:t>完成后不动产价值</w:t>
      </w:r>
      <w:r w:rsidR="0018367E">
        <w:rPr>
          <w:rFonts w:ascii="Arial" w:eastAsia="仿宋_GB2312" w:hAnsi="Arial" w:cs="Arial" w:hint="eastAsia"/>
          <w:sz w:val="28"/>
        </w:rPr>
        <w:t>为：</w:t>
      </w:r>
    </w:p>
    <w:p w14:paraId="78F2048D" w14:textId="440FAAEE" w:rsidR="0009314F" w:rsidRPr="00F631FB" w:rsidRDefault="0009314F" w:rsidP="000A1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开发完成后不动产总价＝比准价格</w:t>
      </w:r>
      <w:r w:rsidRPr="00F631FB">
        <w:rPr>
          <w:rFonts w:ascii="Arial" w:eastAsia="仿宋_GB2312" w:hAnsi="Arial" w:cs="Arial"/>
          <w:sz w:val="28"/>
        </w:rPr>
        <w:t>×</w:t>
      </w:r>
      <w:r w:rsidRPr="00F631FB">
        <w:rPr>
          <w:rFonts w:ascii="Arial" w:eastAsia="仿宋_GB2312" w:hAnsi="Arial" w:cs="Arial" w:hint="eastAsia"/>
          <w:sz w:val="28"/>
        </w:rPr>
        <w:t>建筑面积</w:t>
      </w:r>
    </w:p>
    <w:p w14:paraId="77A59F9D" w14:textId="316A4720" w:rsidR="0009314F" w:rsidRPr="00F631FB" w:rsidRDefault="0009314F" w:rsidP="0009314F">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bCs/>
          <w:sz w:val="28"/>
        </w:rPr>
        <w:t>51029</w:t>
      </w:r>
      <w:r w:rsidRPr="00F631FB">
        <w:rPr>
          <w:rFonts w:ascii="Arial" w:eastAsia="仿宋_GB2312" w:hAnsi="Arial" w:cs="Arial"/>
          <w:sz w:val="28"/>
        </w:rPr>
        <w:t>×</w:t>
      </w:r>
      <w:r w:rsidR="00995EB3">
        <w:rPr>
          <w:rFonts w:ascii="Arial" w:eastAsia="仿宋_GB2312" w:hAnsi="Arial" w:cs="Arial"/>
          <w:sz w:val="28"/>
        </w:rPr>
        <w:t>3318</w:t>
      </w:r>
      <w:r w:rsidRPr="00F631FB">
        <w:rPr>
          <w:rFonts w:ascii="Arial" w:eastAsia="仿宋_GB2312" w:hAnsi="Arial" w:cs="Arial"/>
          <w:sz w:val="28"/>
        </w:rPr>
        <w:t>÷10000</w:t>
      </w:r>
    </w:p>
    <w:p w14:paraId="27E936C2" w14:textId="09E00363" w:rsidR="0009314F" w:rsidRPr="00F631FB" w:rsidRDefault="0009314F" w:rsidP="0009314F">
      <w:pPr>
        <w:spacing w:line="360" w:lineRule="auto"/>
        <w:ind w:firstLineChars="1250" w:firstLine="3500"/>
        <w:jc w:val="both"/>
        <w:rPr>
          <w:rFonts w:ascii="Arial" w:eastAsia="仿宋_GB2312" w:hAnsi="Arial" w:cs="Arial"/>
          <w:sz w:val="28"/>
        </w:rPr>
      </w:pPr>
      <w:r w:rsidRPr="00F631FB">
        <w:rPr>
          <w:rFonts w:ascii="Arial" w:eastAsia="仿宋_GB2312" w:hAnsi="Arial" w:cs="Arial" w:hint="eastAsia"/>
          <w:sz w:val="28"/>
        </w:rPr>
        <w:t>＝</w:t>
      </w:r>
      <w:r w:rsidR="0018367E">
        <w:rPr>
          <w:rFonts w:ascii="Arial" w:eastAsia="仿宋_GB2312" w:hAnsi="Arial" w:cs="Arial"/>
          <w:sz w:val="28"/>
        </w:rPr>
        <w:t>16931</w:t>
      </w:r>
      <w:r w:rsidRPr="00F631FB">
        <w:rPr>
          <w:rFonts w:ascii="Arial" w:eastAsia="仿宋_GB2312" w:hAnsi="Arial" w:cs="Arial"/>
          <w:sz w:val="28"/>
        </w:rPr>
        <w:t>(</w:t>
      </w:r>
      <w:r w:rsidRPr="00F631FB">
        <w:rPr>
          <w:rFonts w:ascii="Arial" w:eastAsia="仿宋_GB2312" w:hAnsi="Arial" w:cs="Arial" w:hint="eastAsia"/>
          <w:sz w:val="28"/>
        </w:rPr>
        <w:t>万元</w:t>
      </w:r>
      <w:r w:rsidRPr="00F631FB">
        <w:rPr>
          <w:rFonts w:ascii="Arial" w:eastAsia="仿宋_GB2312" w:hAnsi="Arial" w:cs="Arial"/>
          <w:sz w:val="28"/>
        </w:rPr>
        <w:t>)</w:t>
      </w:r>
    </w:p>
    <w:p w14:paraId="38E6798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hint="eastAsia"/>
          <w:sz w:val="28"/>
        </w:rPr>
        <w:t>）开发成本</w:t>
      </w:r>
    </w:p>
    <w:p w14:paraId="7CD13410"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hint="eastAsia"/>
          <w:sz w:val="28"/>
        </w:rPr>
        <w:t>建造成本</w:t>
      </w:r>
    </w:p>
    <w:p w14:paraId="00C74BF8" w14:textId="0436F510" w:rsidR="0009314F" w:rsidRPr="00084DF6" w:rsidRDefault="0009314F" w:rsidP="0009314F">
      <w:pPr>
        <w:spacing w:line="360" w:lineRule="auto"/>
        <w:ind w:firstLineChars="200" w:firstLine="560"/>
        <w:jc w:val="both"/>
        <w:rPr>
          <w:rFonts w:ascii="Arial" w:eastAsia="仿宋_GB2312" w:hAnsi="Arial" w:cs="Arial"/>
          <w:sz w:val="28"/>
        </w:rPr>
      </w:pPr>
      <w:r w:rsidRPr="00084DF6">
        <w:rPr>
          <w:rFonts w:ascii="Arial" w:eastAsia="仿宋_GB2312" w:hAnsi="Arial" w:cs="Arial"/>
          <w:sz w:val="28"/>
        </w:rPr>
        <w:t>a.</w:t>
      </w:r>
      <w:r w:rsidRPr="00084DF6">
        <w:rPr>
          <w:rFonts w:ascii="Arial" w:eastAsia="仿宋_GB2312" w:hAnsi="Arial" w:cs="Arial" w:hint="eastAsia"/>
          <w:sz w:val="28"/>
        </w:rPr>
        <w:t>建安费用</w:t>
      </w:r>
    </w:p>
    <w:p w14:paraId="78BA09D6" w14:textId="54A06639"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本次评估参考现行北京市工程概预算定额以及同类建筑的建安水平，同时考虑估价对象建筑结构、设备与装修标准等，综合确定</w:t>
      </w:r>
      <w:r w:rsidR="00084DF6">
        <w:rPr>
          <w:rFonts w:ascii="Arial" w:eastAsia="仿宋_GB2312" w:hAnsi="Arial" w:cs="Arial" w:hint="eastAsia"/>
          <w:sz w:val="28"/>
        </w:rPr>
        <w:t>商业用房</w:t>
      </w:r>
      <w:r w:rsidRPr="00F631FB">
        <w:rPr>
          <w:rFonts w:ascii="Arial" w:eastAsia="仿宋_GB2312" w:hAnsi="Arial" w:cs="Arial" w:hint="eastAsia"/>
          <w:sz w:val="28"/>
        </w:rPr>
        <w:t>建安费用为</w:t>
      </w:r>
      <w:r w:rsidRPr="00F631FB">
        <w:rPr>
          <w:rFonts w:ascii="Arial" w:eastAsia="仿宋_GB2312" w:hAnsi="Arial" w:cs="Arial"/>
          <w:sz w:val="28"/>
        </w:rPr>
        <w:t>4</w:t>
      </w:r>
      <w:r w:rsidR="00246664">
        <w:rPr>
          <w:rFonts w:ascii="Arial" w:eastAsia="仿宋_GB2312" w:hAnsi="Arial" w:cs="Arial"/>
          <w:sz w:val="28"/>
        </w:rPr>
        <w:t>5</w:t>
      </w:r>
      <w:r w:rsidRPr="00F631FB">
        <w:rPr>
          <w:rFonts w:ascii="Arial" w:eastAsia="仿宋_GB2312" w:hAnsi="Arial" w:cs="Arial"/>
          <w:sz w:val="28"/>
        </w:rPr>
        <w:t>00</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w:t>
      </w:r>
      <w:r w:rsidR="00084DF6" w:rsidRPr="00F631FB">
        <w:rPr>
          <w:rFonts w:ascii="Arial" w:eastAsia="仿宋_GB2312" w:hAnsi="Arial" w:cs="Arial"/>
          <w:sz w:val="28"/>
        </w:rPr>
        <w:t>，</w:t>
      </w:r>
      <w:r w:rsidRPr="00F631FB">
        <w:rPr>
          <w:rFonts w:ascii="Arial" w:eastAsia="仿宋_GB2312" w:hAnsi="Arial" w:cs="Arial" w:hint="eastAsia"/>
          <w:sz w:val="28"/>
        </w:rPr>
        <w:t>则有：</w:t>
      </w:r>
    </w:p>
    <w:p w14:paraId="215EBB71" w14:textId="77777777" w:rsidR="00084DF6"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建安费用＝单方造价</w:t>
      </w:r>
      <w:r w:rsidRPr="00F631FB">
        <w:rPr>
          <w:rFonts w:ascii="Arial" w:eastAsia="仿宋_GB2312" w:hAnsi="Arial" w:cs="Arial"/>
          <w:sz w:val="28"/>
        </w:rPr>
        <w:t>×</w:t>
      </w:r>
      <w:r w:rsidRPr="00F631FB">
        <w:rPr>
          <w:rFonts w:ascii="Arial" w:eastAsia="仿宋_GB2312" w:hAnsi="Arial" w:cs="Arial" w:hint="eastAsia"/>
          <w:sz w:val="28"/>
        </w:rPr>
        <w:t>建筑面积</w:t>
      </w:r>
    </w:p>
    <w:p w14:paraId="1281D29D" w14:textId="0AA2948F" w:rsidR="00084DF6" w:rsidRPr="00F631FB" w:rsidRDefault="00084DF6" w:rsidP="00084DF6">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4500</w:t>
      </w:r>
      <w:r w:rsidRPr="00F631FB">
        <w:rPr>
          <w:rFonts w:ascii="Arial" w:eastAsia="仿宋_GB2312" w:hAnsi="Arial" w:cs="Arial"/>
          <w:sz w:val="28"/>
        </w:rPr>
        <w:t>×</w:t>
      </w:r>
      <w:r>
        <w:rPr>
          <w:rFonts w:ascii="Arial" w:eastAsia="仿宋_GB2312" w:hAnsi="Arial" w:cs="Arial"/>
          <w:sz w:val="28"/>
        </w:rPr>
        <w:t>3318</w:t>
      </w:r>
      <w:r w:rsidRPr="00F631FB">
        <w:rPr>
          <w:rFonts w:ascii="Arial" w:eastAsia="仿宋_GB2312" w:hAnsi="Arial" w:cs="Arial"/>
          <w:sz w:val="28"/>
        </w:rPr>
        <w:t>÷10000</w:t>
      </w:r>
    </w:p>
    <w:p w14:paraId="197990CD" w14:textId="69FEE302" w:rsidR="00084DF6" w:rsidRPr="00F631FB" w:rsidRDefault="00084DF6" w:rsidP="00084DF6">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995EB3">
        <w:rPr>
          <w:rFonts w:ascii="Arial" w:eastAsia="仿宋_GB2312" w:hAnsi="Arial" w:cs="Arial"/>
          <w:sz w:val="28"/>
        </w:rPr>
        <w:t>1493</w:t>
      </w:r>
      <w:r>
        <w:rPr>
          <w:rFonts w:ascii="Arial" w:eastAsia="仿宋_GB2312" w:hAnsi="Arial" w:cs="Arial" w:hint="eastAsia"/>
          <w:sz w:val="28"/>
        </w:rPr>
        <w:t>（万元）</w:t>
      </w:r>
    </w:p>
    <w:p w14:paraId="01376862"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hint="eastAsia"/>
          <w:sz w:val="28"/>
        </w:rPr>
        <w:t>勘查设计和前期工程费</w:t>
      </w:r>
    </w:p>
    <w:p w14:paraId="45AC33D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F631FB">
        <w:rPr>
          <w:rFonts w:ascii="Arial" w:eastAsia="仿宋_GB2312" w:hAnsi="Arial" w:cs="Arial"/>
          <w:sz w:val="28"/>
        </w:rPr>
        <w:t>3%</w:t>
      </w:r>
      <w:r w:rsidRPr="00F631FB">
        <w:rPr>
          <w:rFonts w:ascii="Arial" w:eastAsia="仿宋_GB2312" w:hAnsi="Arial" w:cs="Arial" w:hint="eastAsia"/>
          <w:sz w:val="28"/>
        </w:rPr>
        <w:t>取费，则有：</w:t>
      </w:r>
    </w:p>
    <w:p w14:paraId="7A4DC0C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勘查设计和前期工程费</w:t>
      </w:r>
    </w:p>
    <w:p w14:paraId="13EA9440"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lastRenderedPageBreak/>
        <w:t>＝建安费用</w:t>
      </w:r>
      <w:r w:rsidRPr="00F631FB">
        <w:rPr>
          <w:rFonts w:ascii="Arial" w:eastAsia="仿宋_GB2312" w:hAnsi="Arial" w:cs="Arial"/>
          <w:sz w:val="28"/>
        </w:rPr>
        <w:t>×</w:t>
      </w:r>
      <w:r w:rsidRPr="00F631FB">
        <w:rPr>
          <w:rFonts w:ascii="Arial" w:eastAsia="仿宋_GB2312" w:hAnsi="Arial" w:cs="Arial" w:hint="eastAsia"/>
          <w:sz w:val="28"/>
        </w:rPr>
        <w:t>取费标准</w:t>
      </w:r>
    </w:p>
    <w:p w14:paraId="02BC5292" w14:textId="77777777" w:rsidR="00995EB3"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995EB3">
        <w:rPr>
          <w:rFonts w:ascii="Arial" w:eastAsia="仿宋_GB2312" w:hAnsi="Arial" w:cs="Arial"/>
          <w:sz w:val="28"/>
        </w:rPr>
        <w:t>1493</w:t>
      </w:r>
      <w:r w:rsidRPr="00F631FB">
        <w:rPr>
          <w:rFonts w:ascii="Arial" w:eastAsia="仿宋_GB2312" w:hAnsi="Arial" w:cs="Arial"/>
          <w:sz w:val="28"/>
        </w:rPr>
        <w:t>×3%</w:t>
      </w:r>
    </w:p>
    <w:p w14:paraId="29462701" w14:textId="73C90B1D"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995EB3">
        <w:rPr>
          <w:rFonts w:ascii="Arial" w:eastAsia="仿宋_GB2312" w:hAnsi="Arial" w:cs="Arial"/>
          <w:sz w:val="28"/>
        </w:rPr>
        <w:t>45</w:t>
      </w:r>
      <w:r w:rsidRPr="00F631FB">
        <w:rPr>
          <w:rFonts w:ascii="Arial" w:eastAsia="仿宋_GB2312" w:hAnsi="Arial" w:cs="Arial"/>
          <w:sz w:val="28"/>
        </w:rPr>
        <w:t xml:space="preserve"> (</w:t>
      </w:r>
      <w:r w:rsidRPr="00F631FB">
        <w:rPr>
          <w:rFonts w:ascii="Arial" w:eastAsia="仿宋_GB2312" w:hAnsi="Arial" w:cs="Arial" w:hint="eastAsia"/>
          <w:sz w:val="28"/>
        </w:rPr>
        <w:t>万元</w:t>
      </w:r>
      <w:r w:rsidRPr="00F631FB">
        <w:rPr>
          <w:rFonts w:ascii="Arial" w:eastAsia="仿宋_GB2312" w:hAnsi="Arial" w:cs="Arial"/>
          <w:sz w:val="28"/>
        </w:rPr>
        <w:t>)</w:t>
      </w:r>
    </w:p>
    <w:p w14:paraId="03531D5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hint="eastAsia"/>
          <w:sz w:val="28"/>
        </w:rPr>
        <w:t>公共配套设施费用</w:t>
      </w:r>
    </w:p>
    <w:p w14:paraId="2699737D"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公共配套设施费用是指城市规划要求居住项目需配套建设的教育、医疗卫生、文化体育、社区服务、市政公用等非营利性设施的建设费用，估价对象规划为非住宅用途，故本项费用不计取。</w:t>
      </w:r>
    </w:p>
    <w:p w14:paraId="67F056E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hint="eastAsia"/>
          <w:sz w:val="28"/>
        </w:rPr>
        <w:t>红线内市政基础设施费</w:t>
      </w:r>
    </w:p>
    <w:p w14:paraId="0A43D51C"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红线内市政基础设施费是指包括城市规划要求配套的道路、给排水、电力、电信、燃气、热力等设施的建设费用；估价对象未来红线内基础设施建设将达到</w:t>
      </w:r>
      <w:r w:rsidRPr="00F631FB">
        <w:rPr>
          <w:rFonts w:ascii="Arial" w:eastAsia="仿宋_GB2312" w:hAnsi="Arial" w:cs="Arial"/>
          <w:sz w:val="28"/>
        </w:rPr>
        <w:t>“</w:t>
      </w:r>
      <w:r w:rsidRPr="00F631FB">
        <w:rPr>
          <w:rFonts w:ascii="Arial" w:eastAsia="仿宋_GB2312" w:hAnsi="Arial" w:cs="Arial" w:hint="eastAsia"/>
          <w:sz w:val="28"/>
        </w:rPr>
        <w:t>七通</w:t>
      </w:r>
      <w:r w:rsidRPr="00F631FB">
        <w:rPr>
          <w:rFonts w:ascii="Arial" w:eastAsia="仿宋_GB2312" w:hAnsi="Arial" w:cs="Arial"/>
          <w:sz w:val="28"/>
        </w:rPr>
        <w:t>”</w:t>
      </w:r>
      <w:r w:rsidRPr="00F631FB">
        <w:rPr>
          <w:rFonts w:ascii="Arial" w:eastAsia="仿宋_GB2312" w:hAnsi="Arial" w:cs="Arial" w:hint="eastAsia"/>
          <w:sz w:val="28"/>
        </w:rPr>
        <w:t>（即通路、通电、通讯、通上水、通下水、通燃气、通热力），结合估价对象所在区域实际情况确定红线内市政基础设施费为</w:t>
      </w:r>
      <w:r w:rsidRPr="00F631FB">
        <w:rPr>
          <w:rFonts w:ascii="Arial" w:eastAsia="仿宋_GB2312" w:hAnsi="Arial" w:cs="Arial"/>
          <w:sz w:val="28"/>
        </w:rPr>
        <w:t>200</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平方米，则有：</w:t>
      </w:r>
    </w:p>
    <w:p w14:paraId="6753552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红线内市政基础设施费</w:t>
      </w:r>
    </w:p>
    <w:p w14:paraId="02F7C6E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＝建筑面积</w:t>
      </w:r>
      <w:r w:rsidRPr="00F631FB">
        <w:rPr>
          <w:rFonts w:ascii="Arial" w:eastAsia="仿宋_GB2312" w:hAnsi="Arial" w:cs="Arial"/>
          <w:sz w:val="28"/>
        </w:rPr>
        <w:t>×</w:t>
      </w:r>
      <w:r w:rsidRPr="00F631FB">
        <w:rPr>
          <w:rFonts w:ascii="Arial" w:eastAsia="仿宋_GB2312" w:hAnsi="Arial" w:cs="Arial" w:hint="eastAsia"/>
          <w:sz w:val="28"/>
        </w:rPr>
        <w:t>取费标准</w:t>
      </w:r>
    </w:p>
    <w:p w14:paraId="7695D1FF" w14:textId="76A567CC"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751119">
        <w:rPr>
          <w:rFonts w:ascii="Arial" w:eastAsia="仿宋_GB2312" w:hAnsi="Arial" w:cs="Arial"/>
          <w:sz w:val="28"/>
        </w:rPr>
        <w:t>3318</w:t>
      </w:r>
      <w:r w:rsidRPr="00F631FB">
        <w:rPr>
          <w:rFonts w:ascii="Arial" w:eastAsia="仿宋_GB2312" w:hAnsi="Arial" w:cs="Arial"/>
          <w:sz w:val="28"/>
        </w:rPr>
        <w:t>×200÷10000</w:t>
      </w:r>
    </w:p>
    <w:p w14:paraId="6CA6142E" w14:textId="203FE2EE"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751119">
        <w:rPr>
          <w:rFonts w:ascii="Arial" w:eastAsia="仿宋_GB2312" w:hAnsi="Arial" w:cs="Arial"/>
          <w:sz w:val="28"/>
        </w:rPr>
        <w:t>66</w:t>
      </w:r>
      <w:r w:rsidRPr="00F631FB">
        <w:rPr>
          <w:rFonts w:ascii="Arial" w:eastAsia="仿宋_GB2312" w:hAnsi="Arial" w:cs="Arial"/>
          <w:sz w:val="28"/>
        </w:rPr>
        <w:t>(</w:t>
      </w:r>
      <w:r w:rsidRPr="00F631FB">
        <w:rPr>
          <w:rFonts w:ascii="Arial" w:eastAsia="仿宋_GB2312" w:hAnsi="Arial" w:cs="Arial" w:hint="eastAsia"/>
          <w:sz w:val="28"/>
        </w:rPr>
        <w:t>万元</w:t>
      </w:r>
      <w:r w:rsidRPr="00F631FB">
        <w:rPr>
          <w:rFonts w:ascii="Arial" w:eastAsia="仿宋_GB2312" w:hAnsi="Arial" w:cs="Arial"/>
          <w:sz w:val="28"/>
        </w:rPr>
        <w:t>)</w:t>
      </w:r>
    </w:p>
    <w:p w14:paraId="3A6112E3"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hint="eastAsia"/>
          <w:sz w:val="28"/>
        </w:rPr>
        <w:t>相关税费</w:t>
      </w:r>
    </w:p>
    <w:p w14:paraId="391E50C7"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F631FB">
        <w:rPr>
          <w:rFonts w:ascii="Arial" w:eastAsia="仿宋_GB2312" w:hAnsi="Arial" w:cs="Arial"/>
          <w:sz w:val="28"/>
        </w:rPr>
        <w:t>1.5%</w:t>
      </w:r>
      <w:r w:rsidRPr="00F631FB">
        <w:rPr>
          <w:rFonts w:ascii="Arial" w:eastAsia="仿宋_GB2312" w:hAnsi="Arial" w:cs="Arial" w:hint="eastAsia"/>
          <w:sz w:val="28"/>
        </w:rPr>
        <w:t>取费，则有：</w:t>
      </w:r>
    </w:p>
    <w:p w14:paraId="5B0DB29D" w14:textId="2E28E716"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lastRenderedPageBreak/>
        <w:t>相关税费＝建安费用</w:t>
      </w:r>
      <w:r w:rsidRPr="00F631FB">
        <w:rPr>
          <w:rFonts w:ascii="Arial" w:eastAsia="仿宋_GB2312" w:hAnsi="Arial" w:cs="Arial"/>
          <w:sz w:val="28"/>
        </w:rPr>
        <w:t>×</w:t>
      </w:r>
      <w:r w:rsidRPr="00F631FB">
        <w:rPr>
          <w:rFonts w:ascii="Arial" w:eastAsia="仿宋_GB2312" w:hAnsi="Arial" w:cs="Arial" w:hint="eastAsia"/>
          <w:sz w:val="28"/>
        </w:rPr>
        <w:t>取费标准＝</w:t>
      </w:r>
      <w:r w:rsidR="00995EB3">
        <w:rPr>
          <w:rFonts w:ascii="Arial" w:eastAsia="仿宋_GB2312" w:hAnsi="Arial" w:cs="Arial"/>
          <w:sz w:val="28"/>
        </w:rPr>
        <w:t>1493</w:t>
      </w:r>
      <w:r w:rsidRPr="00F631FB">
        <w:rPr>
          <w:rFonts w:ascii="Arial" w:eastAsia="仿宋_GB2312" w:hAnsi="Arial" w:cs="Arial"/>
          <w:sz w:val="28"/>
        </w:rPr>
        <w:t>×1.5%</w:t>
      </w:r>
      <w:r w:rsidRPr="00F631FB">
        <w:rPr>
          <w:rFonts w:ascii="Arial" w:eastAsia="仿宋_GB2312" w:hAnsi="Arial" w:cs="Arial" w:hint="eastAsia"/>
          <w:sz w:val="28"/>
        </w:rPr>
        <w:t>＝</w:t>
      </w:r>
      <w:r w:rsidR="00995EB3">
        <w:rPr>
          <w:rFonts w:ascii="Arial" w:eastAsia="仿宋_GB2312" w:hAnsi="Arial" w:cs="Arial"/>
          <w:sz w:val="28"/>
        </w:rPr>
        <w:t>22</w:t>
      </w:r>
      <w:r w:rsidRPr="00F631FB">
        <w:rPr>
          <w:rFonts w:ascii="Arial" w:eastAsia="仿宋_GB2312" w:hAnsi="Arial" w:cs="Arial" w:hint="eastAsia"/>
          <w:sz w:val="28"/>
        </w:rPr>
        <w:t>（万元）</w:t>
      </w:r>
    </w:p>
    <w:p w14:paraId="378A2673"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f.</w:t>
      </w:r>
      <w:r w:rsidRPr="00F631FB">
        <w:rPr>
          <w:rFonts w:ascii="Arial" w:eastAsia="仿宋_GB2312" w:hAnsi="Arial" w:cs="Arial" w:hint="eastAsia"/>
          <w:sz w:val="28"/>
        </w:rPr>
        <w:t>建造成本</w:t>
      </w:r>
    </w:p>
    <w:p w14:paraId="49F1D57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建造成本为上述</w:t>
      </w:r>
      <w:r w:rsidRPr="00F631FB">
        <w:rPr>
          <w:rFonts w:ascii="Arial" w:eastAsia="仿宋_GB2312" w:hAnsi="Arial" w:cs="Arial"/>
          <w:sz w:val="28"/>
        </w:rPr>
        <w:t>5</w:t>
      </w:r>
      <w:r w:rsidRPr="00F631FB">
        <w:rPr>
          <w:rFonts w:ascii="Arial" w:eastAsia="仿宋_GB2312" w:hAnsi="Arial" w:cs="Arial" w:hint="eastAsia"/>
          <w:sz w:val="28"/>
        </w:rPr>
        <w:t>项之和，则有：</w:t>
      </w:r>
    </w:p>
    <w:p w14:paraId="5D96AE83" w14:textId="2BB908A4" w:rsidR="0009314F" w:rsidRPr="00F631FB" w:rsidRDefault="0009314F" w:rsidP="0009314F">
      <w:pPr>
        <w:spacing w:line="360" w:lineRule="auto"/>
        <w:ind w:firstLineChars="201" w:firstLine="563"/>
        <w:jc w:val="both"/>
        <w:rPr>
          <w:rFonts w:ascii="Arial" w:eastAsia="仿宋_GB2312" w:hAnsi="Arial" w:cs="Arial"/>
          <w:sz w:val="28"/>
        </w:rPr>
      </w:pPr>
      <w:r w:rsidRPr="00F631FB">
        <w:rPr>
          <w:rFonts w:ascii="Arial" w:eastAsia="仿宋_GB2312" w:hAnsi="Arial" w:cs="Arial" w:hint="eastAsia"/>
          <w:sz w:val="28"/>
        </w:rPr>
        <w:t>建造成本</w:t>
      </w:r>
      <w:r w:rsidRPr="00F631FB">
        <w:rPr>
          <w:rFonts w:ascii="Arial" w:eastAsia="仿宋_GB2312" w:hAnsi="Arial" w:cs="Arial"/>
          <w:sz w:val="28"/>
        </w:rPr>
        <w:t xml:space="preserve">= </w:t>
      </w:r>
      <w:r w:rsidR="00995EB3">
        <w:rPr>
          <w:rFonts w:ascii="Arial" w:eastAsia="仿宋_GB2312" w:hAnsi="Arial" w:cs="Arial"/>
          <w:sz w:val="28"/>
        </w:rPr>
        <w:t>1493</w:t>
      </w:r>
      <w:r w:rsidRPr="00F631FB">
        <w:rPr>
          <w:rFonts w:ascii="Arial" w:eastAsia="仿宋_GB2312" w:hAnsi="Arial" w:cs="Arial"/>
          <w:sz w:val="28"/>
        </w:rPr>
        <w:t>+</w:t>
      </w:r>
      <w:r w:rsidR="00751119">
        <w:rPr>
          <w:rFonts w:ascii="Arial" w:eastAsia="仿宋_GB2312" w:hAnsi="Arial" w:cs="Arial"/>
          <w:sz w:val="28"/>
        </w:rPr>
        <w:t>4</w:t>
      </w:r>
      <w:r w:rsidR="00995EB3">
        <w:rPr>
          <w:rFonts w:ascii="Arial" w:eastAsia="仿宋_GB2312" w:hAnsi="Arial" w:cs="Arial"/>
          <w:sz w:val="28"/>
        </w:rPr>
        <w:t>5</w:t>
      </w:r>
      <w:r w:rsidRPr="00F631FB">
        <w:rPr>
          <w:rFonts w:ascii="Arial" w:eastAsia="仿宋_GB2312" w:hAnsi="Arial" w:cs="Arial"/>
          <w:sz w:val="28"/>
        </w:rPr>
        <w:t>+0+</w:t>
      </w:r>
      <w:r w:rsidR="00751119">
        <w:rPr>
          <w:rFonts w:ascii="Arial" w:eastAsia="仿宋_GB2312" w:hAnsi="Arial" w:cs="Arial"/>
          <w:sz w:val="28"/>
        </w:rPr>
        <w:t>66</w:t>
      </w:r>
      <w:r w:rsidRPr="00F631FB">
        <w:rPr>
          <w:rFonts w:ascii="Arial" w:eastAsia="仿宋_GB2312" w:hAnsi="Arial" w:cs="Arial"/>
          <w:sz w:val="28"/>
        </w:rPr>
        <w:t>+</w:t>
      </w:r>
      <w:r w:rsidR="00751119">
        <w:rPr>
          <w:rFonts w:ascii="Arial" w:eastAsia="仿宋_GB2312" w:hAnsi="Arial" w:cs="Arial"/>
          <w:sz w:val="28"/>
        </w:rPr>
        <w:t>2</w:t>
      </w:r>
      <w:r w:rsidR="00995EB3">
        <w:rPr>
          <w:rFonts w:ascii="Arial" w:eastAsia="仿宋_GB2312" w:hAnsi="Arial" w:cs="Arial"/>
          <w:sz w:val="28"/>
        </w:rPr>
        <w:t>2</w:t>
      </w:r>
      <w:r w:rsidRPr="00F631FB">
        <w:rPr>
          <w:rFonts w:ascii="Arial" w:eastAsia="仿宋_GB2312" w:hAnsi="Arial" w:cs="Arial"/>
          <w:sz w:val="28"/>
        </w:rPr>
        <w:t>=</w:t>
      </w:r>
      <w:r w:rsidR="00995EB3">
        <w:rPr>
          <w:rFonts w:ascii="Arial" w:eastAsia="仿宋_GB2312" w:hAnsi="Arial" w:cs="Arial"/>
          <w:sz w:val="28"/>
        </w:rPr>
        <w:t>1626</w:t>
      </w:r>
      <w:r w:rsidRPr="00F631FB">
        <w:rPr>
          <w:rFonts w:ascii="Arial" w:eastAsia="仿宋_GB2312" w:hAnsi="Arial" w:cs="Arial" w:hint="eastAsia"/>
          <w:sz w:val="28"/>
        </w:rPr>
        <w:t>（万元）</w:t>
      </w:r>
    </w:p>
    <w:p w14:paraId="78B1BC97"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hint="eastAsia"/>
          <w:sz w:val="28"/>
        </w:rPr>
        <w:t>城市基础设施建设费</w:t>
      </w:r>
    </w:p>
    <w:p w14:paraId="559CE75D"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城市基础设施建设费是政府向建设单位收取、专项用于城市基础设施和城市共用设施建设，包括城市道路、桥梁、公共交通、供水、燃气、污水处理、集中供热、园林、绿化、路灯、环境卫生等设施的建设。估价对象位于</w:t>
      </w:r>
      <w:r w:rsidRPr="00F631FB">
        <w:rPr>
          <w:rFonts w:ascii="Arial" w:eastAsia="仿宋_GB2312" w:hAnsi="Arial" w:cs="Arial" w:hint="eastAsia"/>
          <w:bCs/>
          <w:sz w:val="28"/>
        </w:rPr>
        <w:t>北京市海淀区，根</w:t>
      </w:r>
      <w:r w:rsidRPr="00F631FB">
        <w:rPr>
          <w:rFonts w:ascii="Arial" w:eastAsia="仿宋_GB2312" w:hAnsi="Arial" w:cs="Arial" w:hint="eastAsia"/>
          <w:sz w:val="28"/>
        </w:rPr>
        <w:t>据《北京市征收城市基础设施建设费暂行办法》</w:t>
      </w:r>
      <w:r w:rsidRPr="00F631FB">
        <w:rPr>
          <w:rFonts w:ascii="Arial" w:eastAsia="仿宋_GB2312" w:hAnsi="Arial" w:cs="Arial"/>
          <w:sz w:val="28"/>
        </w:rPr>
        <w:t>[</w:t>
      </w:r>
      <w:proofErr w:type="gramStart"/>
      <w:r w:rsidRPr="00F631FB">
        <w:rPr>
          <w:rFonts w:ascii="Arial" w:eastAsia="仿宋_GB2312" w:hAnsi="Arial" w:cs="Arial" w:hint="eastAsia"/>
          <w:sz w:val="28"/>
        </w:rPr>
        <w:t>京计投资字</w:t>
      </w:r>
      <w:proofErr w:type="gramEnd"/>
      <w:r w:rsidRPr="00F631FB">
        <w:rPr>
          <w:rFonts w:ascii="Arial" w:eastAsia="仿宋_GB2312" w:hAnsi="Arial" w:cs="Arial"/>
          <w:sz w:val="28"/>
        </w:rPr>
        <w:t>[2002]1792</w:t>
      </w:r>
      <w:r w:rsidRPr="00F631FB">
        <w:rPr>
          <w:rFonts w:ascii="Arial" w:eastAsia="仿宋_GB2312" w:hAnsi="Arial" w:cs="Arial" w:hint="eastAsia"/>
          <w:sz w:val="28"/>
        </w:rPr>
        <w:t>号</w:t>
      </w:r>
      <w:r w:rsidRPr="00F631FB">
        <w:rPr>
          <w:rFonts w:ascii="Arial" w:eastAsia="仿宋_GB2312" w:hAnsi="Arial" w:cs="Arial"/>
          <w:sz w:val="28"/>
        </w:rPr>
        <w:t>]</w:t>
      </w:r>
      <w:r w:rsidRPr="00F631FB">
        <w:rPr>
          <w:rFonts w:ascii="Arial" w:eastAsia="仿宋_GB2312" w:hAnsi="Arial" w:cs="Arial" w:hint="eastAsia"/>
          <w:sz w:val="28"/>
        </w:rPr>
        <w:t>，估价对象属于北京市区，估价对象应缴的城市基础设施建设费标准为：</w:t>
      </w:r>
      <w:r w:rsidRPr="00F631FB">
        <w:rPr>
          <w:rFonts w:ascii="Arial" w:eastAsia="仿宋_GB2312" w:hAnsi="Arial" w:cs="Arial"/>
          <w:sz w:val="28"/>
        </w:rPr>
        <w:t>200</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平方米，则有：</w:t>
      </w:r>
    </w:p>
    <w:p w14:paraId="7F64B405"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城市基础设施建设费</w:t>
      </w:r>
    </w:p>
    <w:p w14:paraId="555B30D5"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＝建筑面积</w:t>
      </w:r>
      <w:r w:rsidRPr="00F631FB">
        <w:rPr>
          <w:rFonts w:ascii="Arial" w:eastAsia="仿宋_GB2312" w:hAnsi="Arial" w:cs="Arial"/>
          <w:sz w:val="28"/>
        </w:rPr>
        <w:t>×</w:t>
      </w:r>
      <w:r w:rsidRPr="00F631FB">
        <w:rPr>
          <w:rFonts w:ascii="Arial" w:eastAsia="仿宋_GB2312" w:hAnsi="Arial" w:cs="Arial" w:hint="eastAsia"/>
          <w:sz w:val="28"/>
        </w:rPr>
        <w:t>取费标准</w:t>
      </w:r>
    </w:p>
    <w:p w14:paraId="266D2F86" w14:textId="297F73F2"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751119">
        <w:rPr>
          <w:rFonts w:ascii="Arial" w:eastAsia="仿宋_GB2312" w:hAnsi="Arial" w:cs="Arial"/>
          <w:sz w:val="28"/>
        </w:rPr>
        <w:t>3318</w:t>
      </w:r>
      <w:r w:rsidRPr="00F631FB">
        <w:rPr>
          <w:rFonts w:ascii="Arial" w:eastAsia="仿宋_GB2312" w:hAnsi="Arial" w:cs="Arial"/>
          <w:sz w:val="28"/>
        </w:rPr>
        <w:t>×200÷10000</w:t>
      </w:r>
    </w:p>
    <w:p w14:paraId="45C500D8" w14:textId="6B69AFE4"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751119">
        <w:rPr>
          <w:rFonts w:ascii="Arial" w:eastAsia="仿宋_GB2312" w:hAnsi="Arial" w:cs="Arial"/>
          <w:sz w:val="28"/>
        </w:rPr>
        <w:t>66</w:t>
      </w:r>
      <w:r w:rsidRPr="00F631FB">
        <w:rPr>
          <w:rFonts w:ascii="Arial" w:eastAsia="仿宋_GB2312" w:hAnsi="Arial" w:cs="Arial" w:hint="eastAsia"/>
          <w:sz w:val="28"/>
        </w:rPr>
        <w:t>（万元）</w:t>
      </w:r>
    </w:p>
    <w:p w14:paraId="31BE3E27"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hint="eastAsia"/>
          <w:sz w:val="28"/>
        </w:rPr>
        <w:t>管理费用</w:t>
      </w:r>
    </w:p>
    <w:p w14:paraId="6A633648" w14:textId="29BF7A8A"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F631FB">
        <w:rPr>
          <w:rFonts w:ascii="Arial" w:eastAsia="仿宋_GB2312" w:hAnsi="Arial" w:cs="Arial"/>
          <w:sz w:val="28"/>
        </w:rPr>
        <w:t>2</w:t>
      </w:r>
      <w:r w:rsidRPr="00F631FB">
        <w:rPr>
          <w:rFonts w:ascii="Arial" w:eastAsia="仿宋_GB2312" w:hAnsi="Arial" w:cs="Arial" w:hint="eastAsia"/>
          <w:sz w:val="28"/>
        </w:rPr>
        <w:t>项的</w:t>
      </w:r>
      <w:r w:rsidR="00751119">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hint="eastAsia"/>
          <w:sz w:val="28"/>
        </w:rPr>
        <w:t>计算，则有：</w:t>
      </w:r>
    </w:p>
    <w:p w14:paraId="7B26595F"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管理费用</w:t>
      </w:r>
    </w:p>
    <w:p w14:paraId="093F7CF6"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lastRenderedPageBreak/>
        <w:t>＝（</w:t>
      </w:r>
      <w:r w:rsidRPr="00F631FB">
        <w:rPr>
          <w:rFonts w:ascii="Arial" w:eastAsia="仿宋_GB2312" w:hAnsi="Arial" w:cs="Arial"/>
          <w:sz w:val="28"/>
        </w:rPr>
        <w:t>A+B</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取费标准</w:t>
      </w:r>
    </w:p>
    <w:p w14:paraId="63A9AF20" w14:textId="7874184F"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995EB3">
        <w:rPr>
          <w:rFonts w:ascii="Arial" w:eastAsia="仿宋_GB2312" w:hAnsi="Arial" w:cs="Arial"/>
          <w:sz w:val="28"/>
        </w:rPr>
        <w:t>1626</w:t>
      </w:r>
      <w:r w:rsidRPr="00F631FB">
        <w:rPr>
          <w:rFonts w:ascii="Arial" w:eastAsia="仿宋_GB2312" w:hAnsi="Arial" w:cs="Arial"/>
          <w:sz w:val="28"/>
        </w:rPr>
        <w:t>+</w:t>
      </w:r>
      <w:r w:rsidR="00751119">
        <w:rPr>
          <w:rFonts w:ascii="Arial" w:eastAsia="仿宋_GB2312" w:hAnsi="Arial" w:cs="Arial"/>
          <w:sz w:val="28"/>
        </w:rPr>
        <w:t>66</w:t>
      </w:r>
      <w:r w:rsidRPr="00F631FB">
        <w:rPr>
          <w:rFonts w:ascii="Arial" w:eastAsia="仿宋_GB2312" w:hAnsi="Arial" w:cs="Arial" w:hint="eastAsia"/>
          <w:sz w:val="28"/>
        </w:rPr>
        <w:t>）</w:t>
      </w:r>
      <w:r w:rsidRPr="00F631FB">
        <w:rPr>
          <w:rFonts w:ascii="Arial" w:eastAsia="仿宋_GB2312" w:hAnsi="Arial" w:cs="Arial"/>
          <w:sz w:val="28"/>
        </w:rPr>
        <w:t>×</w:t>
      </w:r>
      <w:r w:rsidR="00751119">
        <w:rPr>
          <w:rFonts w:ascii="Arial" w:eastAsia="仿宋_GB2312" w:hAnsi="Arial" w:cs="Arial"/>
          <w:sz w:val="28"/>
        </w:rPr>
        <w:t>2</w:t>
      </w:r>
      <w:r w:rsidRPr="00F631FB">
        <w:rPr>
          <w:rFonts w:ascii="Arial" w:eastAsia="仿宋_GB2312" w:hAnsi="Arial" w:cs="Arial"/>
          <w:sz w:val="28"/>
        </w:rPr>
        <w:t>%</w:t>
      </w:r>
    </w:p>
    <w:p w14:paraId="271117CB" w14:textId="54819E1C" w:rsidR="0009314F" w:rsidRPr="00F631FB" w:rsidRDefault="0009314F" w:rsidP="0075111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751119">
        <w:rPr>
          <w:rFonts w:ascii="Arial" w:eastAsia="仿宋_GB2312" w:hAnsi="Arial" w:cs="Arial"/>
          <w:sz w:val="28"/>
        </w:rPr>
        <w:t>3</w:t>
      </w:r>
      <w:r w:rsidR="00995EB3">
        <w:rPr>
          <w:rFonts w:ascii="Arial" w:eastAsia="仿宋_GB2312" w:hAnsi="Arial" w:cs="Arial"/>
          <w:sz w:val="28"/>
        </w:rPr>
        <w:t>4</w:t>
      </w:r>
      <w:r w:rsidRPr="00F631FB">
        <w:rPr>
          <w:rFonts w:ascii="Arial" w:eastAsia="仿宋_GB2312" w:hAnsi="Arial" w:cs="Arial" w:hint="eastAsia"/>
          <w:sz w:val="28"/>
        </w:rPr>
        <w:t>（万元）</w:t>
      </w:r>
    </w:p>
    <w:p w14:paraId="55CA7D5E" w14:textId="77777777" w:rsidR="0009314F" w:rsidRPr="00F631FB" w:rsidRDefault="0009314F" w:rsidP="0009314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hint="eastAsia"/>
          <w:sz w:val="28"/>
        </w:rPr>
        <w:t>销售费用</w:t>
      </w:r>
    </w:p>
    <w:p w14:paraId="543868F2" w14:textId="372E2846" w:rsidR="0009314F" w:rsidRPr="00F631FB" w:rsidRDefault="0009314F" w:rsidP="0009314F">
      <w:pPr>
        <w:spacing w:line="360" w:lineRule="auto"/>
        <w:ind w:firstLineChars="201" w:firstLine="563"/>
        <w:jc w:val="both"/>
        <w:rPr>
          <w:rFonts w:ascii="Arial" w:eastAsia="仿宋_GB2312" w:hAnsi="Arial" w:cs="Arial"/>
          <w:sz w:val="28"/>
        </w:rPr>
      </w:pPr>
      <w:r w:rsidRPr="00F631FB">
        <w:rPr>
          <w:rFonts w:ascii="Arial" w:eastAsia="仿宋_GB2312" w:hAnsi="Arial" w:cs="Arial" w:hint="eastAsia"/>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751119">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hint="eastAsia"/>
          <w:sz w:val="28"/>
        </w:rPr>
        <w:t>计算。</w:t>
      </w:r>
    </w:p>
    <w:p w14:paraId="131EF80A" w14:textId="448B2E14" w:rsidR="0009314F" w:rsidRPr="00F631FB" w:rsidRDefault="0009314F" w:rsidP="0009314F">
      <w:pPr>
        <w:spacing w:line="360" w:lineRule="auto"/>
        <w:ind w:firstLineChars="201" w:firstLine="563"/>
        <w:jc w:val="both"/>
        <w:rPr>
          <w:rFonts w:ascii="Arial" w:eastAsia="仿宋_GB2312" w:hAnsi="Arial" w:cs="Arial"/>
          <w:sz w:val="28"/>
        </w:rPr>
      </w:pPr>
      <w:r w:rsidRPr="00F631FB">
        <w:rPr>
          <w:rFonts w:ascii="Arial" w:eastAsia="仿宋_GB2312" w:hAnsi="Arial" w:cs="Arial" w:hint="eastAsia"/>
          <w:sz w:val="28"/>
        </w:rPr>
        <w:t>销售费用＝</w:t>
      </w:r>
      <w:r w:rsidR="00596F26">
        <w:rPr>
          <w:rFonts w:ascii="Arial" w:eastAsia="仿宋_GB2312" w:hAnsi="Arial" w:cs="Arial"/>
          <w:sz w:val="28"/>
        </w:rPr>
        <w:t>16931</w:t>
      </w:r>
      <w:r w:rsidRPr="00F631FB">
        <w:rPr>
          <w:rFonts w:ascii="Arial" w:eastAsia="仿宋_GB2312" w:hAnsi="Arial" w:cs="Arial"/>
          <w:sz w:val="28"/>
        </w:rPr>
        <w:t>×</w:t>
      </w:r>
      <w:r w:rsidR="00751119">
        <w:rPr>
          <w:rFonts w:ascii="Arial" w:eastAsia="仿宋_GB2312" w:hAnsi="Arial" w:cs="Arial"/>
          <w:sz w:val="28"/>
        </w:rPr>
        <w:t>2</w:t>
      </w:r>
      <w:r w:rsidRPr="00F631FB">
        <w:rPr>
          <w:rFonts w:ascii="Arial" w:eastAsia="仿宋_GB2312" w:hAnsi="Arial" w:cs="Arial"/>
          <w:sz w:val="28"/>
        </w:rPr>
        <w:t>%=</w:t>
      </w:r>
      <w:r w:rsidR="00596F26">
        <w:rPr>
          <w:rFonts w:ascii="Arial" w:eastAsia="仿宋_GB2312" w:hAnsi="Arial" w:cs="Arial"/>
          <w:sz w:val="28"/>
        </w:rPr>
        <w:t>339</w:t>
      </w:r>
      <w:r w:rsidRPr="00F631FB">
        <w:rPr>
          <w:rFonts w:ascii="Arial" w:eastAsia="仿宋_GB2312" w:hAnsi="Arial" w:cs="Arial" w:hint="eastAsia"/>
          <w:sz w:val="28"/>
        </w:rPr>
        <w:t>（万元）</w:t>
      </w:r>
    </w:p>
    <w:p w14:paraId="261E4F3B"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hint="eastAsia"/>
          <w:sz w:val="28"/>
        </w:rPr>
        <w:t>购地税费</w:t>
      </w:r>
    </w:p>
    <w:p w14:paraId="73D25BBA"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假设土地价格为</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，买方购买估价对象税费主要为契税及印花税，税率为</w:t>
      </w:r>
      <w:r w:rsidRPr="00F631FB">
        <w:rPr>
          <w:rFonts w:ascii="Arial" w:eastAsia="仿宋_GB2312" w:hAnsi="Arial" w:cs="Arial"/>
          <w:sz w:val="28"/>
        </w:rPr>
        <w:t>3.05%</w:t>
      </w:r>
      <w:r w:rsidRPr="00F631FB">
        <w:rPr>
          <w:rFonts w:ascii="Arial" w:eastAsia="仿宋_GB2312" w:hAnsi="Arial" w:cs="Arial" w:hint="eastAsia"/>
          <w:sz w:val="28"/>
        </w:rPr>
        <w:t>，则有：</w:t>
      </w:r>
    </w:p>
    <w:p w14:paraId="6815F1D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购地税费＝土地价格</w:t>
      </w:r>
      <w:r w:rsidRPr="00F631FB">
        <w:rPr>
          <w:rFonts w:ascii="Arial" w:eastAsia="仿宋_GB2312" w:hAnsi="Arial" w:cs="Arial"/>
          <w:sz w:val="28"/>
        </w:rPr>
        <w:t>×</w:t>
      </w:r>
      <w:r w:rsidRPr="00F631FB">
        <w:rPr>
          <w:rFonts w:ascii="Arial" w:eastAsia="仿宋_GB2312" w:hAnsi="Arial" w:cs="Arial" w:hint="eastAsia"/>
          <w:sz w:val="28"/>
        </w:rPr>
        <w:t>税率＝</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sz w:val="28"/>
        </w:rPr>
        <w:t>×0.0305</w:t>
      </w:r>
      <w:r w:rsidRPr="00F631FB">
        <w:rPr>
          <w:rFonts w:ascii="Arial" w:eastAsia="仿宋_GB2312" w:hAnsi="Arial" w:cs="Arial" w:hint="eastAsia"/>
          <w:sz w:val="28"/>
        </w:rPr>
        <w:t>（万元）</w:t>
      </w:r>
    </w:p>
    <w:p w14:paraId="2CEBCE4D" w14:textId="77777777" w:rsidR="0009314F" w:rsidRPr="00F631FB" w:rsidRDefault="0009314F" w:rsidP="0009314F">
      <w:pPr>
        <w:pStyle w:val="11"/>
        <w:rPr>
          <w:rFonts w:ascii="Arial" w:hAnsi="Arial" w:cs="Arial"/>
        </w:rPr>
      </w:pPr>
      <w:r w:rsidRPr="00F631FB">
        <w:rPr>
          <w:rFonts w:ascii="Arial" w:hAnsi="Arial" w:cs="Arial"/>
        </w:rPr>
        <w:t>F.</w:t>
      </w:r>
      <w:r w:rsidRPr="00F631FB">
        <w:rPr>
          <w:rFonts w:ascii="Arial" w:hAnsi="Arial" w:cs="Arial" w:hint="eastAsia"/>
        </w:rPr>
        <w:t>贷款利息</w:t>
      </w:r>
    </w:p>
    <w:p w14:paraId="6D5629D9" w14:textId="287E2D5A"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估价对象建筑物建设期为</w:t>
      </w:r>
      <w:r w:rsidR="00751119">
        <w:rPr>
          <w:rFonts w:ascii="Arial" w:eastAsia="仿宋_GB2312" w:hAnsi="Arial" w:cs="Arial"/>
          <w:sz w:val="28"/>
        </w:rPr>
        <w:t>3</w:t>
      </w:r>
      <w:r w:rsidRPr="00F631FB">
        <w:rPr>
          <w:rFonts w:ascii="Arial" w:eastAsia="仿宋_GB2312" w:hAnsi="Arial" w:cs="Arial" w:hint="eastAsia"/>
          <w:sz w:val="28"/>
        </w:rPr>
        <w:t>年。估价对象土地价格（</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）及购地税费在估价期日一次性付清，建造成本、土地开发费、城市基础设施建设费、管理费用于建设期内均匀投入，取</w:t>
      </w:r>
      <w:r w:rsidRPr="00F631FB">
        <w:rPr>
          <w:rFonts w:ascii="Arial" w:eastAsia="仿宋_GB2312" w:hAnsi="Arial" w:cs="Arial"/>
          <w:sz w:val="28"/>
        </w:rPr>
        <w:t>1</w:t>
      </w:r>
      <w:r w:rsidRPr="00F631FB">
        <w:rPr>
          <w:rFonts w:ascii="Arial" w:eastAsia="仿宋_GB2312" w:hAnsi="Arial" w:cs="Arial" w:hint="eastAsia"/>
          <w:sz w:val="28"/>
        </w:rPr>
        <w:t>～</w:t>
      </w:r>
      <w:r w:rsidRPr="00F631FB">
        <w:rPr>
          <w:rFonts w:ascii="Arial" w:eastAsia="仿宋_GB2312" w:hAnsi="Arial" w:cs="Arial"/>
          <w:sz w:val="28"/>
        </w:rPr>
        <w:t>3</w:t>
      </w:r>
      <w:r w:rsidRPr="00F631FB">
        <w:rPr>
          <w:rFonts w:ascii="Arial" w:eastAsia="仿宋_GB2312" w:hAnsi="Arial" w:cs="Arial" w:hint="eastAsia"/>
          <w:sz w:val="28"/>
        </w:rPr>
        <w:t>年期固定资产贷款年利息率</w:t>
      </w:r>
      <w:r w:rsidRPr="00F631FB">
        <w:rPr>
          <w:rFonts w:ascii="Arial" w:eastAsia="仿宋_GB2312" w:hAnsi="Arial" w:cs="Arial"/>
          <w:sz w:val="28"/>
        </w:rPr>
        <w:t>4.75%</w:t>
      </w:r>
      <w:r w:rsidRPr="00F631FB">
        <w:rPr>
          <w:rFonts w:ascii="Arial" w:eastAsia="仿宋_GB2312" w:hAnsi="Arial" w:cs="Arial" w:hint="eastAsia"/>
          <w:sz w:val="28"/>
        </w:rPr>
        <w:t>，以复利计息。则有：</w:t>
      </w:r>
    </w:p>
    <w:p w14:paraId="1D906DC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贷款利息</w:t>
      </w:r>
    </w:p>
    <w:p w14:paraId="48D0668D" w14:textId="4757299E" w:rsidR="0009314F" w:rsidRPr="00F631FB" w:rsidRDefault="0009314F" w:rsidP="0009314F">
      <w:pPr>
        <w:spacing w:before="50" w:after="50" w:line="360" w:lineRule="auto"/>
        <w:ind w:firstLineChars="200" w:firstLine="560"/>
        <w:rPr>
          <w:rFonts w:ascii="Arial" w:eastAsia="仿宋_GB2312" w:hAnsi="Arial" w:cs="Arial"/>
          <w:sz w:val="28"/>
        </w:rPr>
      </w:pPr>
      <w:r w:rsidRPr="00F631FB">
        <w:rPr>
          <w:rFonts w:ascii="Arial" w:eastAsia="仿宋_GB2312" w:hAnsi="Arial" w:cs="Arial" w:hint="eastAsia"/>
          <w:sz w:val="28"/>
        </w:rPr>
        <w:t>＝</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sz w:val="28"/>
        </w:rPr>
        <w:t>×0.0305)×[(1+ 4.75%)</w:t>
      </w:r>
      <w:r w:rsidR="00751119">
        <w:rPr>
          <w:rFonts w:ascii="Arial" w:eastAsia="仿宋_GB2312" w:hAnsi="Arial" w:cs="Arial"/>
          <w:sz w:val="28"/>
          <w:vertAlign w:val="superscript"/>
        </w:rPr>
        <w:t>3</w:t>
      </w:r>
      <w:r w:rsidRPr="00F631FB">
        <w:rPr>
          <w:rFonts w:ascii="Arial" w:eastAsia="仿宋_GB2312" w:hAnsi="Arial" w:cs="Arial"/>
          <w:sz w:val="28"/>
        </w:rPr>
        <w:t>-1]+</w:t>
      </w:r>
      <w:r w:rsidRPr="00F631FB">
        <w:rPr>
          <w:rFonts w:ascii="Arial" w:eastAsia="仿宋_GB2312" w:hAnsi="Arial" w:cs="Arial" w:hint="eastAsia"/>
          <w:sz w:val="28"/>
        </w:rPr>
        <w:t>（</w:t>
      </w:r>
      <w:r w:rsidR="00413F5F">
        <w:rPr>
          <w:rFonts w:ascii="Arial" w:eastAsia="仿宋_GB2312" w:hAnsi="Arial" w:cs="Arial"/>
          <w:sz w:val="28"/>
        </w:rPr>
        <w:t>1626</w:t>
      </w:r>
      <w:r w:rsidR="00E736F2" w:rsidRPr="00F631FB">
        <w:rPr>
          <w:rFonts w:ascii="Arial" w:eastAsia="仿宋_GB2312" w:hAnsi="Arial" w:cs="Arial"/>
          <w:sz w:val="28"/>
        </w:rPr>
        <w:t>+</w:t>
      </w:r>
      <w:r w:rsidR="00413F5F">
        <w:rPr>
          <w:rFonts w:ascii="Arial" w:eastAsia="仿宋_GB2312" w:hAnsi="Arial" w:cs="Arial"/>
          <w:sz w:val="28"/>
        </w:rPr>
        <w:t>66</w:t>
      </w:r>
      <w:r w:rsidR="00E736F2" w:rsidRPr="00F631FB">
        <w:rPr>
          <w:rFonts w:ascii="Arial" w:eastAsia="仿宋_GB2312" w:hAnsi="Arial" w:cs="Arial"/>
          <w:sz w:val="28"/>
        </w:rPr>
        <w:t>+0+</w:t>
      </w:r>
      <w:r w:rsidR="00413F5F">
        <w:rPr>
          <w:rFonts w:ascii="Arial" w:eastAsia="仿宋_GB2312" w:hAnsi="Arial" w:cs="Arial"/>
          <w:sz w:val="28"/>
        </w:rPr>
        <w:t>34</w:t>
      </w:r>
      <w:r w:rsidR="00E736F2" w:rsidRPr="00F631FB">
        <w:rPr>
          <w:rFonts w:ascii="Arial" w:eastAsia="仿宋_GB2312" w:hAnsi="Arial" w:cs="Arial"/>
          <w:sz w:val="28"/>
        </w:rPr>
        <w:t>+</w:t>
      </w:r>
      <w:r w:rsidR="00596F26">
        <w:rPr>
          <w:rFonts w:ascii="Arial" w:eastAsia="仿宋_GB2312" w:hAnsi="Arial" w:cs="Arial"/>
          <w:sz w:val="28"/>
        </w:rPr>
        <w:t>339</w:t>
      </w:r>
      <w:r w:rsidRPr="00F631FB">
        <w:rPr>
          <w:rFonts w:ascii="Arial" w:eastAsia="仿宋_GB2312" w:hAnsi="Arial" w:cs="Arial" w:hint="eastAsia"/>
          <w:sz w:val="28"/>
        </w:rPr>
        <w:t>）</w:t>
      </w:r>
      <w:r w:rsidRPr="00F631FB">
        <w:rPr>
          <w:rFonts w:ascii="Arial" w:eastAsia="仿宋_GB2312" w:hAnsi="Arial" w:cs="Arial"/>
          <w:sz w:val="28"/>
        </w:rPr>
        <w:t xml:space="preserve">×[(1+ </w:t>
      </w:r>
      <w:r w:rsidRPr="00F631FB">
        <w:rPr>
          <w:rFonts w:ascii="Arial" w:eastAsia="仿宋_GB2312" w:hAnsi="Arial" w:cs="Arial"/>
          <w:sz w:val="28"/>
        </w:rPr>
        <w:lastRenderedPageBreak/>
        <w:t>4.75%)</w:t>
      </w:r>
      <w:r w:rsidR="00751119">
        <w:rPr>
          <w:rFonts w:ascii="Arial" w:eastAsia="仿宋_GB2312" w:hAnsi="Arial" w:cs="Arial"/>
          <w:sz w:val="28"/>
          <w:vertAlign w:val="superscript"/>
        </w:rPr>
        <w:t>3</w:t>
      </w:r>
      <w:r w:rsidRPr="00F631FB">
        <w:rPr>
          <w:rFonts w:ascii="Arial" w:eastAsia="仿宋_GB2312" w:hAnsi="Arial" w:cs="Arial"/>
          <w:sz w:val="28"/>
          <w:vertAlign w:val="superscript"/>
        </w:rPr>
        <w:t>÷2</w:t>
      </w:r>
      <w:r w:rsidRPr="00F631FB">
        <w:rPr>
          <w:rFonts w:ascii="Arial" w:eastAsia="仿宋_GB2312" w:hAnsi="Arial" w:cs="Arial"/>
          <w:sz w:val="28"/>
        </w:rPr>
        <w:t>-1]</w:t>
      </w:r>
    </w:p>
    <w:p w14:paraId="4A3ADFC6" w14:textId="20C328B8" w:rsidR="0009314F" w:rsidRPr="00F631FB" w:rsidRDefault="0009314F" w:rsidP="0075111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596F26">
        <w:rPr>
          <w:rFonts w:ascii="Arial" w:eastAsia="仿宋_GB2312" w:hAnsi="Arial" w:cs="Arial"/>
          <w:sz w:val="28"/>
        </w:rPr>
        <w:t>149</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Pr="00F631FB">
        <w:rPr>
          <w:rFonts w:ascii="Arial" w:eastAsia="仿宋_GB2312" w:hAnsi="Arial" w:cs="Arial"/>
          <w:sz w:val="28"/>
        </w:rPr>
        <w:t>×0.1</w:t>
      </w:r>
      <w:r w:rsidR="00751119">
        <w:rPr>
          <w:rFonts w:ascii="Arial" w:eastAsia="仿宋_GB2312" w:hAnsi="Arial" w:cs="Arial"/>
          <w:sz w:val="28"/>
        </w:rPr>
        <w:t>539</w:t>
      </w:r>
      <w:r w:rsidRPr="00F631FB">
        <w:rPr>
          <w:rFonts w:ascii="Arial" w:eastAsia="仿宋_GB2312" w:hAnsi="Arial" w:cs="Arial"/>
          <w:sz w:val="28"/>
        </w:rPr>
        <w:t xml:space="preserve"> (</w:t>
      </w:r>
      <w:r w:rsidRPr="00F631FB">
        <w:rPr>
          <w:rFonts w:ascii="Arial" w:eastAsia="仿宋_GB2312" w:hAnsi="Arial" w:cs="Arial" w:hint="eastAsia"/>
          <w:sz w:val="28"/>
        </w:rPr>
        <w:t>万元</w:t>
      </w:r>
      <w:r w:rsidRPr="00F631FB">
        <w:rPr>
          <w:rFonts w:ascii="Arial" w:eastAsia="仿宋_GB2312" w:hAnsi="Arial" w:cs="Arial"/>
          <w:sz w:val="28"/>
        </w:rPr>
        <w:t>)</w:t>
      </w:r>
    </w:p>
    <w:p w14:paraId="4FA783E6" w14:textId="77777777" w:rsidR="0009314F" w:rsidRPr="00F631FB" w:rsidRDefault="0009314F" w:rsidP="0009314F">
      <w:pPr>
        <w:pStyle w:val="11"/>
        <w:rPr>
          <w:rFonts w:ascii="Arial" w:hAnsi="Arial" w:cs="Arial"/>
        </w:rPr>
      </w:pPr>
      <w:r w:rsidRPr="00F631FB">
        <w:rPr>
          <w:rFonts w:ascii="Arial" w:hAnsi="Arial" w:cs="Arial"/>
        </w:rPr>
        <w:t>G.</w:t>
      </w:r>
      <w:r w:rsidRPr="00F631FB">
        <w:rPr>
          <w:rFonts w:ascii="Arial" w:hAnsi="Arial" w:cs="Arial" w:hint="eastAsia"/>
        </w:rPr>
        <w:t>销售税费</w:t>
      </w:r>
      <w:r w:rsidRPr="00F631FB">
        <w:rPr>
          <w:rFonts w:ascii="Arial" w:hAnsi="Arial" w:cs="Arial"/>
        </w:rPr>
        <w:tab/>
      </w:r>
    </w:p>
    <w:p w14:paraId="687BE7A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F631FB">
        <w:rPr>
          <w:rFonts w:ascii="Arial" w:eastAsia="仿宋_GB2312" w:hAnsi="Arial" w:cs="Arial"/>
          <w:sz w:val="28"/>
        </w:rPr>
        <w:t>5.6%</w:t>
      </w:r>
      <w:r w:rsidRPr="00F631FB">
        <w:rPr>
          <w:rFonts w:ascii="Arial" w:eastAsia="仿宋_GB2312" w:hAnsi="Arial" w:cs="Arial" w:hint="eastAsia"/>
          <w:sz w:val="28"/>
        </w:rPr>
        <w:t>（其中增值税征收率为</w:t>
      </w:r>
      <w:r w:rsidRPr="00F631FB">
        <w:rPr>
          <w:rFonts w:ascii="Arial" w:eastAsia="仿宋_GB2312" w:hAnsi="Arial" w:cs="Arial"/>
          <w:sz w:val="28"/>
        </w:rPr>
        <w:t>5%</w:t>
      </w:r>
      <w:r w:rsidRPr="00F631FB">
        <w:rPr>
          <w:rFonts w:ascii="Arial" w:eastAsia="仿宋_GB2312" w:hAnsi="Arial" w:cs="Arial" w:hint="eastAsia"/>
          <w:sz w:val="28"/>
        </w:rPr>
        <w:t>，附加税费为</w:t>
      </w:r>
      <w:r w:rsidRPr="00F631FB">
        <w:rPr>
          <w:rFonts w:ascii="Arial" w:eastAsia="仿宋_GB2312" w:hAnsi="Arial" w:cs="Arial"/>
          <w:sz w:val="28"/>
        </w:rPr>
        <w:t>0.6%</w:t>
      </w:r>
      <w:r w:rsidRPr="00F631FB">
        <w:rPr>
          <w:rFonts w:ascii="Arial" w:eastAsia="仿宋_GB2312" w:hAnsi="Arial" w:cs="Arial" w:hint="eastAsia"/>
          <w:sz w:val="28"/>
        </w:rPr>
        <w:t>）。则有：</w:t>
      </w:r>
    </w:p>
    <w:p w14:paraId="74727DA7" w14:textId="33732672"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销售税费＝</w:t>
      </w:r>
      <w:r w:rsidR="00596F26">
        <w:rPr>
          <w:rFonts w:ascii="Arial" w:eastAsia="仿宋_GB2312" w:hAnsi="Arial" w:cs="Arial"/>
          <w:sz w:val="28"/>
        </w:rPr>
        <w:t>16931</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1+5%</w:t>
      </w:r>
      <w:r w:rsidRPr="00F631FB">
        <w:rPr>
          <w:rFonts w:ascii="Arial" w:eastAsia="仿宋_GB2312" w:hAnsi="Arial" w:cs="Arial" w:hint="eastAsia"/>
          <w:sz w:val="28"/>
        </w:rPr>
        <w:t>）</w:t>
      </w:r>
      <w:r w:rsidRPr="00F631FB">
        <w:rPr>
          <w:rFonts w:ascii="Arial" w:eastAsia="仿宋_GB2312" w:hAnsi="Arial" w:cs="Arial"/>
          <w:sz w:val="28"/>
        </w:rPr>
        <w:t>×5.6%</w:t>
      </w:r>
      <w:r w:rsidRPr="00F631FB">
        <w:rPr>
          <w:rFonts w:ascii="Arial" w:eastAsia="仿宋_GB2312" w:hAnsi="Arial" w:cs="Arial" w:hint="eastAsia"/>
          <w:sz w:val="28"/>
        </w:rPr>
        <w:t>＝</w:t>
      </w:r>
      <w:r w:rsidR="00596F26">
        <w:rPr>
          <w:rFonts w:ascii="Arial" w:eastAsia="仿宋_GB2312" w:hAnsi="Arial" w:cs="Arial"/>
          <w:sz w:val="28"/>
        </w:rPr>
        <w:t>903</w:t>
      </w:r>
      <w:r w:rsidRPr="00F631FB">
        <w:rPr>
          <w:rFonts w:ascii="Arial" w:eastAsia="仿宋_GB2312" w:hAnsi="Arial" w:cs="Arial" w:hint="eastAsia"/>
          <w:sz w:val="28"/>
        </w:rPr>
        <w:t>（万元）</w:t>
      </w:r>
    </w:p>
    <w:p w14:paraId="674B724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H.</w:t>
      </w:r>
      <w:r w:rsidRPr="00F631FB">
        <w:rPr>
          <w:rFonts w:ascii="Arial" w:eastAsia="仿宋_GB2312" w:hAnsi="Arial" w:cs="Arial" w:hint="eastAsia"/>
          <w:sz w:val="28"/>
        </w:rPr>
        <w:t>开发成本</w:t>
      </w:r>
    </w:p>
    <w:p w14:paraId="546B8B9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开发成本为上述</w:t>
      </w:r>
      <w:r w:rsidRPr="00F631FB">
        <w:rPr>
          <w:rFonts w:ascii="Arial" w:eastAsia="仿宋_GB2312" w:hAnsi="Arial" w:cs="Arial"/>
          <w:sz w:val="28"/>
        </w:rPr>
        <w:t>7</w:t>
      </w:r>
      <w:r w:rsidRPr="00F631FB">
        <w:rPr>
          <w:rFonts w:ascii="Arial" w:eastAsia="仿宋_GB2312" w:hAnsi="Arial" w:cs="Arial" w:hint="eastAsia"/>
          <w:sz w:val="28"/>
        </w:rPr>
        <w:t>项合计，则有：</w:t>
      </w:r>
    </w:p>
    <w:p w14:paraId="3CD82256"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开发成本</w:t>
      </w:r>
    </w:p>
    <w:p w14:paraId="4AAA1356" w14:textId="7D5875E4"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413F5F">
        <w:rPr>
          <w:rFonts w:ascii="Arial" w:eastAsia="仿宋_GB2312" w:hAnsi="Arial" w:cs="Arial"/>
          <w:sz w:val="28"/>
        </w:rPr>
        <w:t>1626</w:t>
      </w:r>
      <w:r w:rsidR="00413F5F" w:rsidRPr="00F631FB">
        <w:rPr>
          <w:rFonts w:ascii="Arial" w:eastAsia="仿宋_GB2312" w:hAnsi="Arial" w:cs="Arial"/>
          <w:sz w:val="28"/>
        </w:rPr>
        <w:t>+</w:t>
      </w:r>
      <w:r w:rsidR="00413F5F">
        <w:rPr>
          <w:rFonts w:ascii="Arial" w:eastAsia="仿宋_GB2312" w:hAnsi="Arial" w:cs="Arial"/>
          <w:sz w:val="28"/>
        </w:rPr>
        <w:t>66</w:t>
      </w:r>
      <w:r w:rsidR="00413F5F" w:rsidRPr="00F631FB">
        <w:rPr>
          <w:rFonts w:ascii="Arial" w:eastAsia="仿宋_GB2312" w:hAnsi="Arial" w:cs="Arial"/>
          <w:sz w:val="28"/>
        </w:rPr>
        <w:t>+0+</w:t>
      </w:r>
      <w:r w:rsidR="00413F5F">
        <w:rPr>
          <w:rFonts w:ascii="Arial" w:eastAsia="仿宋_GB2312" w:hAnsi="Arial" w:cs="Arial"/>
          <w:sz w:val="28"/>
        </w:rPr>
        <w:t>34</w:t>
      </w:r>
      <w:r w:rsidR="00413F5F" w:rsidRPr="00F631FB">
        <w:rPr>
          <w:rFonts w:ascii="Arial" w:eastAsia="仿宋_GB2312" w:hAnsi="Arial" w:cs="Arial"/>
          <w:sz w:val="28"/>
        </w:rPr>
        <w:t>+</w:t>
      </w:r>
      <w:r w:rsidR="00596F26">
        <w:rPr>
          <w:rFonts w:ascii="Arial" w:eastAsia="仿宋_GB2312" w:hAnsi="Arial" w:cs="Arial"/>
          <w:sz w:val="28"/>
        </w:rPr>
        <w:t>339</w:t>
      </w:r>
      <w:r w:rsidR="00E736F2">
        <w:rPr>
          <w:rFonts w:ascii="Arial" w:eastAsia="仿宋_GB2312" w:hAnsi="Arial" w:cs="Arial"/>
          <w:sz w:val="28"/>
        </w:rPr>
        <w:t>+</w:t>
      </w:r>
      <w:r w:rsidRPr="00F631FB">
        <w:rPr>
          <w:rFonts w:ascii="Arial" w:eastAsia="仿宋_GB2312" w:hAnsi="Arial" w:cs="Arial"/>
          <w:sz w:val="28"/>
        </w:rPr>
        <w:t xml:space="preserve"> P</w:t>
      </w:r>
      <w:r w:rsidRPr="00F631FB">
        <w:rPr>
          <w:rFonts w:ascii="Arial" w:eastAsia="仿宋_GB2312" w:hAnsi="Arial" w:cs="Arial" w:hint="eastAsia"/>
          <w:sz w:val="28"/>
          <w:vertAlign w:val="subscript"/>
        </w:rPr>
        <w:t>土</w:t>
      </w:r>
      <w:r w:rsidR="008B58C6" w:rsidRPr="00F631FB">
        <w:rPr>
          <w:rFonts w:ascii="Arial" w:eastAsia="仿宋_GB2312" w:hAnsi="Arial" w:cs="Arial"/>
          <w:sz w:val="28"/>
        </w:rPr>
        <w:t>×0.0305+</w:t>
      </w:r>
      <w:r w:rsidR="00596F26">
        <w:rPr>
          <w:rFonts w:ascii="Arial" w:eastAsia="仿宋_GB2312" w:hAnsi="Arial" w:cs="Arial"/>
          <w:sz w:val="28"/>
        </w:rPr>
        <w:t>149</w:t>
      </w:r>
      <w:r w:rsidRPr="00F631FB">
        <w:rPr>
          <w:rFonts w:ascii="Arial" w:eastAsia="仿宋_GB2312" w:hAnsi="Arial" w:cs="Arial"/>
          <w:sz w:val="28"/>
        </w:rPr>
        <w:t xml:space="preserve">+ </w:t>
      </w:r>
    </w:p>
    <w:p w14:paraId="79B498C4" w14:textId="1D7A7F7C" w:rsidR="0009314F" w:rsidRPr="00F631FB" w:rsidRDefault="0009314F" w:rsidP="0009314F">
      <w:pPr>
        <w:spacing w:line="360" w:lineRule="auto"/>
        <w:ind w:firstLineChars="350" w:firstLine="980"/>
        <w:jc w:val="both"/>
        <w:rPr>
          <w:rFonts w:ascii="Arial" w:eastAsia="仿宋_GB2312" w:hAnsi="Arial" w:cs="Arial"/>
          <w:sz w:val="28"/>
        </w:rPr>
      </w:pP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sz w:val="28"/>
        </w:rPr>
        <w:t>×0.1</w:t>
      </w:r>
      <w:r w:rsidR="00751119">
        <w:rPr>
          <w:rFonts w:ascii="Arial" w:eastAsia="仿宋_GB2312" w:hAnsi="Arial" w:cs="Arial"/>
          <w:sz w:val="28"/>
        </w:rPr>
        <w:t>539</w:t>
      </w:r>
      <w:r w:rsidRPr="00F631FB">
        <w:rPr>
          <w:rFonts w:ascii="Arial" w:eastAsia="仿宋_GB2312" w:hAnsi="Arial" w:cs="Arial"/>
          <w:sz w:val="28"/>
        </w:rPr>
        <w:t>+</w:t>
      </w:r>
      <w:r w:rsidR="00596F26">
        <w:rPr>
          <w:rFonts w:ascii="Arial" w:eastAsia="仿宋_GB2312" w:hAnsi="Arial" w:cs="Arial"/>
          <w:sz w:val="28"/>
        </w:rPr>
        <w:t>903</w:t>
      </w:r>
    </w:p>
    <w:p w14:paraId="20557ED5" w14:textId="7139E89C"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E736F2">
        <w:rPr>
          <w:rFonts w:ascii="Arial" w:eastAsia="仿宋_GB2312" w:hAnsi="Arial" w:cs="Arial"/>
          <w:sz w:val="28"/>
        </w:rPr>
        <w:t>3</w:t>
      </w:r>
      <w:r w:rsidR="00596F26">
        <w:rPr>
          <w:rFonts w:ascii="Arial" w:eastAsia="仿宋_GB2312" w:hAnsi="Arial" w:cs="Arial"/>
          <w:sz w:val="28"/>
        </w:rPr>
        <w:t>1</w:t>
      </w:r>
      <w:r w:rsidR="00ED30EA">
        <w:rPr>
          <w:rFonts w:ascii="Arial" w:eastAsia="仿宋_GB2312" w:hAnsi="Arial" w:cs="Arial"/>
          <w:sz w:val="28"/>
        </w:rPr>
        <w:t>17</w:t>
      </w:r>
      <w:r w:rsidRPr="00F631FB">
        <w:rPr>
          <w:rFonts w:ascii="Arial" w:eastAsia="仿宋_GB2312" w:hAnsi="Arial" w:cs="Arial"/>
          <w:sz w:val="28"/>
        </w:rPr>
        <w:t>+0.1</w:t>
      </w:r>
      <w:r w:rsidR="00751119">
        <w:rPr>
          <w:rFonts w:ascii="Arial" w:eastAsia="仿宋_GB2312" w:hAnsi="Arial" w:cs="Arial"/>
          <w:sz w:val="28"/>
        </w:rPr>
        <w:t>844</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（万元）</w:t>
      </w:r>
    </w:p>
    <w:p w14:paraId="0AEF6CF3"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hint="eastAsia"/>
          <w:sz w:val="28"/>
        </w:rPr>
        <w:t>）开发利润（投资利润）</w:t>
      </w:r>
    </w:p>
    <w:p w14:paraId="1E33694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F631FB">
        <w:rPr>
          <w:rFonts w:ascii="Arial" w:eastAsia="仿宋_GB2312" w:hAnsi="Arial" w:cs="Arial"/>
          <w:sz w:val="28"/>
        </w:rPr>
        <w:t xml:space="preserve"> </w:t>
      </w:r>
    </w:p>
    <w:p w14:paraId="559DA56D" w14:textId="7544932B" w:rsidR="00596F26" w:rsidRPr="00F631FB" w:rsidRDefault="00596F26" w:rsidP="00596F2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根据</w:t>
      </w:r>
      <w:r w:rsidRPr="00F631FB">
        <w:rPr>
          <w:rFonts w:ascii="Arial" w:eastAsia="仿宋_GB2312" w:hAnsi="Arial" w:cs="Arial" w:hint="eastAsia"/>
          <w:sz w:val="28"/>
        </w:rPr>
        <w:t>《</w:t>
      </w:r>
      <w:r>
        <w:rPr>
          <w:rFonts w:ascii="Arial" w:eastAsia="仿宋_GB2312" w:hAnsi="Arial" w:cs="Arial" w:hint="eastAsia"/>
          <w:sz w:val="28"/>
        </w:rPr>
        <w:t>海淀区苏州街站一体化棚户区改造项目前期工作及拟改造土地使用权一次性招标方案</w:t>
      </w:r>
      <w:r w:rsidRPr="00F631FB">
        <w:rPr>
          <w:rFonts w:ascii="Arial" w:eastAsia="仿宋_GB2312" w:hAnsi="Arial" w:cs="Arial" w:hint="eastAsia"/>
          <w:sz w:val="28"/>
        </w:rPr>
        <w:t>》</w:t>
      </w:r>
      <w:r>
        <w:rPr>
          <w:rFonts w:ascii="Arial" w:eastAsia="仿宋_GB2312" w:hAnsi="Arial" w:cs="Arial" w:hint="eastAsia"/>
          <w:sz w:val="28"/>
        </w:rPr>
        <w:t>及其附件规定，本项目投资利润率不得超过</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；故本次商业用途</w:t>
      </w:r>
      <w:r w:rsidRPr="00F631FB">
        <w:rPr>
          <w:rFonts w:ascii="Arial" w:eastAsia="仿宋_GB2312" w:hAnsi="Arial" w:cs="Arial"/>
          <w:sz w:val="28"/>
        </w:rPr>
        <w:t>利润率取</w:t>
      </w:r>
      <w:r>
        <w:rPr>
          <w:rFonts w:ascii="Arial" w:eastAsia="仿宋_GB2312" w:hAnsi="Arial" w:cs="Arial" w:hint="eastAsia"/>
          <w:sz w:val="28"/>
        </w:rPr>
        <w:t>1</w:t>
      </w:r>
      <w:r>
        <w:rPr>
          <w:rFonts w:ascii="Arial" w:eastAsia="仿宋_GB2312" w:hAnsi="Arial" w:cs="Arial"/>
          <w:sz w:val="28"/>
        </w:rPr>
        <w:t>5</w:t>
      </w:r>
      <w:r w:rsidRPr="00F631FB">
        <w:rPr>
          <w:rFonts w:ascii="Arial" w:eastAsia="仿宋_GB2312" w:hAnsi="Arial" w:cs="Arial" w:hint="eastAsia"/>
          <w:sz w:val="28"/>
        </w:rPr>
        <w:t>%</w:t>
      </w:r>
      <w:r w:rsidRPr="00F631FB">
        <w:rPr>
          <w:rFonts w:ascii="Arial" w:eastAsia="仿宋_GB2312" w:hAnsi="Arial" w:cs="Arial"/>
          <w:sz w:val="28"/>
        </w:rPr>
        <w:t xml:space="preserve"> </w:t>
      </w:r>
      <w:r w:rsidRPr="00F631FB">
        <w:rPr>
          <w:rFonts w:ascii="Arial" w:eastAsia="仿宋_GB2312" w:hAnsi="Arial" w:cs="Arial"/>
          <w:sz w:val="28"/>
        </w:rPr>
        <w:t>。则有：</w:t>
      </w:r>
    </w:p>
    <w:p w14:paraId="5C5821C6"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开发利润</w:t>
      </w:r>
    </w:p>
    <w:p w14:paraId="3C149E58" w14:textId="73083BA8"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Pr="00F631FB">
        <w:rPr>
          <w:rFonts w:ascii="Arial" w:eastAsia="仿宋_GB2312" w:hAnsi="Arial" w:cs="Arial"/>
          <w:sz w:val="28"/>
        </w:rPr>
        <w:t>×0.0305)×</w:t>
      </w:r>
      <w:r w:rsidR="00596F26">
        <w:rPr>
          <w:rFonts w:ascii="Arial" w:eastAsia="仿宋_GB2312" w:hAnsi="Arial" w:cs="Arial"/>
          <w:sz w:val="28"/>
        </w:rPr>
        <w:t>1</w:t>
      </w:r>
      <w:r w:rsidRPr="00F631FB">
        <w:rPr>
          <w:rFonts w:ascii="Arial" w:eastAsia="仿宋_GB2312" w:hAnsi="Arial" w:cs="Arial"/>
          <w:sz w:val="28"/>
        </w:rPr>
        <w:t>5%+</w:t>
      </w:r>
      <w:r w:rsidRPr="00F631FB">
        <w:rPr>
          <w:rFonts w:ascii="Arial" w:eastAsia="仿宋_GB2312" w:hAnsi="Arial" w:cs="Arial" w:hint="eastAsia"/>
          <w:sz w:val="28"/>
        </w:rPr>
        <w:t>（</w:t>
      </w:r>
      <w:r w:rsidR="00413F5F">
        <w:rPr>
          <w:rFonts w:ascii="Arial" w:eastAsia="仿宋_GB2312" w:hAnsi="Arial" w:cs="Arial"/>
          <w:sz w:val="28"/>
        </w:rPr>
        <w:t>1626</w:t>
      </w:r>
      <w:r w:rsidR="00413F5F" w:rsidRPr="00F631FB">
        <w:rPr>
          <w:rFonts w:ascii="Arial" w:eastAsia="仿宋_GB2312" w:hAnsi="Arial" w:cs="Arial"/>
          <w:sz w:val="28"/>
        </w:rPr>
        <w:t>+</w:t>
      </w:r>
      <w:r w:rsidR="00413F5F">
        <w:rPr>
          <w:rFonts w:ascii="Arial" w:eastAsia="仿宋_GB2312" w:hAnsi="Arial" w:cs="Arial"/>
          <w:sz w:val="28"/>
        </w:rPr>
        <w:t>66</w:t>
      </w:r>
      <w:r w:rsidR="00413F5F" w:rsidRPr="00F631FB">
        <w:rPr>
          <w:rFonts w:ascii="Arial" w:eastAsia="仿宋_GB2312" w:hAnsi="Arial" w:cs="Arial"/>
          <w:sz w:val="28"/>
        </w:rPr>
        <w:t>+0+</w:t>
      </w:r>
      <w:r w:rsidR="00413F5F">
        <w:rPr>
          <w:rFonts w:ascii="Arial" w:eastAsia="仿宋_GB2312" w:hAnsi="Arial" w:cs="Arial"/>
          <w:sz w:val="28"/>
        </w:rPr>
        <w:t>34</w:t>
      </w:r>
      <w:r w:rsidR="00413F5F" w:rsidRPr="00F631FB">
        <w:rPr>
          <w:rFonts w:ascii="Arial" w:eastAsia="仿宋_GB2312" w:hAnsi="Arial" w:cs="Arial"/>
          <w:sz w:val="28"/>
        </w:rPr>
        <w:t>+</w:t>
      </w:r>
      <w:r w:rsidR="00413F5F">
        <w:rPr>
          <w:rFonts w:ascii="Arial" w:eastAsia="仿宋_GB2312" w:hAnsi="Arial" w:cs="Arial"/>
          <w:sz w:val="28"/>
        </w:rPr>
        <w:t>3</w:t>
      </w:r>
      <w:r w:rsidR="00596F26">
        <w:rPr>
          <w:rFonts w:ascii="Arial" w:eastAsia="仿宋_GB2312" w:hAnsi="Arial" w:cs="Arial"/>
          <w:sz w:val="28"/>
        </w:rPr>
        <w:t>39</w:t>
      </w:r>
      <w:r w:rsidRPr="00F631FB">
        <w:rPr>
          <w:rFonts w:ascii="Arial" w:eastAsia="仿宋_GB2312" w:hAnsi="Arial" w:cs="Arial" w:hint="eastAsia"/>
          <w:sz w:val="28"/>
        </w:rPr>
        <w:t>）</w:t>
      </w:r>
      <w:r w:rsidRPr="00F631FB">
        <w:rPr>
          <w:rFonts w:ascii="Arial" w:eastAsia="仿宋_GB2312" w:hAnsi="Arial" w:cs="Arial"/>
          <w:sz w:val="28"/>
        </w:rPr>
        <w:t>×</w:t>
      </w:r>
      <w:r w:rsidR="00596F26">
        <w:rPr>
          <w:rFonts w:ascii="Arial" w:eastAsia="仿宋_GB2312" w:hAnsi="Arial" w:cs="Arial"/>
          <w:sz w:val="28"/>
        </w:rPr>
        <w:t>1</w:t>
      </w:r>
      <w:r w:rsidRPr="00F631FB">
        <w:rPr>
          <w:rFonts w:ascii="Arial" w:eastAsia="仿宋_GB2312" w:hAnsi="Arial" w:cs="Arial"/>
          <w:sz w:val="28"/>
        </w:rPr>
        <w:t>5%</w:t>
      </w:r>
    </w:p>
    <w:p w14:paraId="7E0B61A5" w14:textId="6D771E44"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596F26">
        <w:rPr>
          <w:rFonts w:ascii="Arial" w:eastAsia="仿宋_GB2312" w:hAnsi="Arial" w:cs="Arial"/>
          <w:sz w:val="28"/>
        </w:rPr>
        <w:t>310</w:t>
      </w:r>
      <w:r w:rsidRPr="00F631FB">
        <w:rPr>
          <w:rFonts w:ascii="Arial" w:eastAsia="仿宋_GB2312" w:hAnsi="Arial" w:cs="Arial"/>
          <w:sz w:val="28"/>
        </w:rPr>
        <w:t>+ 0.</w:t>
      </w:r>
      <w:r w:rsidR="00596F26">
        <w:rPr>
          <w:rFonts w:ascii="Arial" w:eastAsia="仿宋_GB2312" w:hAnsi="Arial" w:cs="Arial"/>
          <w:sz w:val="28"/>
        </w:rPr>
        <w:t>1546</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（万元）</w:t>
      </w:r>
    </w:p>
    <w:p w14:paraId="15ADE251"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hint="eastAsia"/>
          <w:sz w:val="28"/>
        </w:rPr>
        <w:t>）求取估价对象地上商业土地价格</w:t>
      </w:r>
    </w:p>
    <w:p w14:paraId="4ACFFC24" w14:textId="77777777" w:rsidR="0009314F" w:rsidRPr="00F631FB" w:rsidRDefault="0009314F" w:rsidP="0009314F">
      <w:pPr>
        <w:spacing w:line="360" w:lineRule="auto"/>
        <w:ind w:firstLineChars="200" w:firstLine="600"/>
        <w:jc w:val="both"/>
        <w:rPr>
          <w:rFonts w:ascii="Arial" w:eastAsia="仿宋_GB2312" w:hAnsi="Arial" w:cs="Arial"/>
          <w:spacing w:val="10"/>
          <w:sz w:val="28"/>
        </w:rPr>
      </w:pPr>
      <w:r w:rsidRPr="00F631FB">
        <w:rPr>
          <w:rFonts w:ascii="Arial" w:eastAsia="仿宋_GB2312" w:hAnsi="Arial" w:cs="Arial" w:hint="eastAsia"/>
          <w:spacing w:val="10"/>
          <w:sz w:val="28"/>
        </w:rPr>
        <w:t>土地价格（</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hint="eastAsia"/>
          <w:spacing w:val="10"/>
          <w:sz w:val="28"/>
        </w:rPr>
        <w:t>）</w:t>
      </w:r>
    </w:p>
    <w:p w14:paraId="2808CC31"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＝开发完成后的不动产总价</w:t>
      </w:r>
      <w:r w:rsidRPr="00F631FB">
        <w:rPr>
          <w:rFonts w:ascii="Arial" w:eastAsia="仿宋_GB2312" w:hAnsi="Arial" w:cs="Arial"/>
          <w:sz w:val="28"/>
        </w:rPr>
        <w:t>-</w:t>
      </w:r>
      <w:r w:rsidRPr="00F631FB">
        <w:rPr>
          <w:rFonts w:ascii="Arial" w:eastAsia="仿宋_GB2312" w:hAnsi="Arial" w:cs="Arial" w:hint="eastAsia"/>
          <w:sz w:val="28"/>
        </w:rPr>
        <w:t>开发成本</w:t>
      </w:r>
      <w:r w:rsidRPr="00F631FB">
        <w:rPr>
          <w:rFonts w:ascii="Arial" w:eastAsia="仿宋_GB2312" w:hAnsi="Arial" w:cs="Arial"/>
          <w:sz w:val="28"/>
        </w:rPr>
        <w:t>-</w:t>
      </w:r>
      <w:r w:rsidRPr="00F631FB">
        <w:rPr>
          <w:rFonts w:ascii="Arial" w:eastAsia="仿宋_GB2312" w:hAnsi="Arial" w:cs="Arial" w:hint="eastAsia"/>
          <w:sz w:val="28"/>
        </w:rPr>
        <w:t>开发利润</w:t>
      </w:r>
    </w:p>
    <w:p w14:paraId="748E48D7" w14:textId="7622E164"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596F26">
        <w:rPr>
          <w:rFonts w:ascii="Arial" w:eastAsia="仿宋_GB2312" w:hAnsi="Arial" w:cs="Arial"/>
          <w:sz w:val="28"/>
        </w:rPr>
        <w:t>16931</w:t>
      </w:r>
      <w:r w:rsidRPr="00F631FB">
        <w:rPr>
          <w:rFonts w:ascii="Arial" w:eastAsia="仿宋_GB2312" w:hAnsi="Arial" w:cs="Arial"/>
          <w:sz w:val="28"/>
        </w:rPr>
        <w:t>-</w:t>
      </w:r>
      <w:r w:rsidRPr="00F631FB">
        <w:rPr>
          <w:rFonts w:ascii="Arial" w:eastAsia="仿宋_GB2312" w:hAnsi="Arial" w:cs="Arial" w:hint="eastAsia"/>
          <w:sz w:val="28"/>
        </w:rPr>
        <w:t>（</w:t>
      </w:r>
      <w:r w:rsidR="00ED30EA">
        <w:rPr>
          <w:rFonts w:ascii="Arial" w:eastAsia="仿宋_GB2312" w:hAnsi="Arial" w:cs="Arial"/>
          <w:sz w:val="28"/>
        </w:rPr>
        <w:t>3</w:t>
      </w:r>
      <w:r w:rsidR="00596F26">
        <w:rPr>
          <w:rFonts w:ascii="Arial" w:eastAsia="仿宋_GB2312" w:hAnsi="Arial" w:cs="Arial"/>
          <w:sz w:val="28"/>
        </w:rPr>
        <w:t>1</w:t>
      </w:r>
      <w:r w:rsidR="00ED30EA">
        <w:rPr>
          <w:rFonts w:ascii="Arial" w:eastAsia="仿宋_GB2312" w:hAnsi="Arial" w:cs="Arial"/>
          <w:sz w:val="28"/>
        </w:rPr>
        <w:t>17+</w:t>
      </w:r>
      <w:r w:rsidR="00E736F2" w:rsidRPr="00F631FB">
        <w:rPr>
          <w:rFonts w:ascii="Arial" w:eastAsia="仿宋_GB2312" w:hAnsi="Arial" w:cs="Arial"/>
          <w:sz w:val="28"/>
        </w:rPr>
        <w:t>0.1</w:t>
      </w:r>
      <w:r w:rsidR="00E736F2">
        <w:rPr>
          <w:rFonts w:ascii="Arial" w:eastAsia="仿宋_GB2312" w:hAnsi="Arial" w:cs="Arial"/>
          <w:sz w:val="28"/>
        </w:rPr>
        <w:t>844</w:t>
      </w:r>
      <w:r w:rsidR="00E736F2" w:rsidRPr="00F631FB">
        <w:rPr>
          <w:rFonts w:ascii="Arial" w:eastAsia="仿宋_GB2312" w:hAnsi="Arial" w:cs="Arial"/>
          <w:sz w:val="28"/>
        </w:rPr>
        <w:t>×P</w:t>
      </w:r>
      <w:r w:rsidR="00E736F2" w:rsidRPr="00F631FB">
        <w:rPr>
          <w:rFonts w:ascii="Arial" w:eastAsia="仿宋_GB2312" w:hAnsi="Arial" w:cs="Arial" w:hint="eastAsia"/>
          <w:sz w:val="28"/>
          <w:vertAlign w:val="subscript"/>
        </w:rPr>
        <w:t>土</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00596F26">
        <w:rPr>
          <w:rFonts w:ascii="Arial" w:eastAsia="仿宋_GB2312" w:hAnsi="Arial" w:cs="Arial"/>
          <w:sz w:val="28"/>
        </w:rPr>
        <w:t>310</w:t>
      </w:r>
      <w:r w:rsidR="00E736F2" w:rsidRPr="00F631FB">
        <w:rPr>
          <w:rFonts w:ascii="Arial" w:eastAsia="仿宋_GB2312" w:hAnsi="Arial" w:cs="Arial"/>
          <w:sz w:val="28"/>
        </w:rPr>
        <w:t>+ 0.</w:t>
      </w:r>
      <w:r w:rsidR="00596F26">
        <w:rPr>
          <w:rFonts w:ascii="Arial" w:eastAsia="仿宋_GB2312" w:hAnsi="Arial" w:cs="Arial"/>
          <w:sz w:val="28"/>
        </w:rPr>
        <w:t>1546</w:t>
      </w:r>
      <w:r w:rsidR="00E736F2" w:rsidRPr="00F631FB">
        <w:rPr>
          <w:rFonts w:ascii="Arial" w:eastAsia="仿宋_GB2312" w:hAnsi="Arial" w:cs="Arial"/>
          <w:sz w:val="28"/>
        </w:rPr>
        <w:t>×P</w:t>
      </w:r>
      <w:r w:rsidR="00E736F2" w:rsidRPr="00F631FB">
        <w:rPr>
          <w:rFonts w:ascii="Arial" w:eastAsia="仿宋_GB2312" w:hAnsi="Arial" w:cs="Arial" w:hint="eastAsia"/>
          <w:sz w:val="28"/>
          <w:vertAlign w:val="subscript"/>
        </w:rPr>
        <w:t>土</w:t>
      </w:r>
      <w:r w:rsidRPr="00F631FB">
        <w:rPr>
          <w:rFonts w:ascii="Arial" w:eastAsia="仿宋_GB2312" w:hAnsi="Arial" w:cs="Arial" w:hint="eastAsia"/>
          <w:sz w:val="28"/>
        </w:rPr>
        <w:t>）</w:t>
      </w:r>
    </w:p>
    <w:p w14:paraId="118D6688" w14:textId="401BDE0F"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596F26">
        <w:rPr>
          <w:rFonts w:ascii="Arial" w:eastAsia="仿宋_GB2312" w:hAnsi="Arial" w:cs="Arial"/>
          <w:sz w:val="28"/>
        </w:rPr>
        <w:t>10085</w:t>
      </w:r>
      <w:r w:rsidRPr="00F631FB">
        <w:rPr>
          <w:rFonts w:ascii="Arial" w:eastAsia="仿宋_GB2312" w:hAnsi="Arial" w:cs="Arial" w:hint="eastAsia"/>
          <w:sz w:val="28"/>
        </w:rPr>
        <w:t>（万元）</w:t>
      </w:r>
    </w:p>
    <w:p w14:paraId="78A31DC9"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地上商业</w:t>
      </w:r>
      <w:proofErr w:type="gramStart"/>
      <w:r w:rsidRPr="00F631FB">
        <w:rPr>
          <w:rFonts w:ascii="Arial" w:eastAsia="仿宋_GB2312" w:hAnsi="Arial" w:cs="Arial" w:hint="eastAsia"/>
          <w:sz w:val="28"/>
        </w:rPr>
        <w:t>用途楼</w:t>
      </w:r>
      <w:proofErr w:type="gramEnd"/>
      <w:r w:rsidRPr="00F631FB">
        <w:rPr>
          <w:rFonts w:ascii="Arial" w:eastAsia="仿宋_GB2312" w:hAnsi="Arial" w:cs="Arial" w:hint="eastAsia"/>
          <w:sz w:val="28"/>
        </w:rPr>
        <w:t>面熟地价</w:t>
      </w:r>
    </w:p>
    <w:p w14:paraId="24BA9292" w14:textId="5540808A"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596F26">
        <w:rPr>
          <w:rFonts w:ascii="Arial" w:eastAsia="仿宋_GB2312" w:hAnsi="Arial" w:cs="Arial"/>
          <w:sz w:val="28"/>
        </w:rPr>
        <w:t>10085</w:t>
      </w:r>
      <w:r w:rsidRPr="00F631FB">
        <w:rPr>
          <w:rFonts w:ascii="Arial" w:eastAsia="仿宋_GB2312" w:hAnsi="Arial" w:cs="Arial"/>
          <w:sz w:val="28"/>
        </w:rPr>
        <w:t>÷</w:t>
      </w:r>
      <w:r w:rsidR="00751119">
        <w:rPr>
          <w:rFonts w:ascii="Arial" w:eastAsia="仿宋_GB2312" w:hAnsi="Arial" w:cs="Arial"/>
          <w:sz w:val="28"/>
        </w:rPr>
        <w:t>3318</w:t>
      </w:r>
      <w:r w:rsidRPr="00F631FB">
        <w:rPr>
          <w:rFonts w:ascii="Arial" w:eastAsia="仿宋_GB2312" w:hAnsi="Arial" w:cs="Arial"/>
          <w:sz w:val="28"/>
        </w:rPr>
        <w:t>×10000</w:t>
      </w:r>
    </w:p>
    <w:p w14:paraId="2495A9E8" w14:textId="4E70182B"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596F26">
        <w:rPr>
          <w:rFonts w:ascii="Arial" w:eastAsia="仿宋_GB2312" w:hAnsi="Arial" w:cs="Arial"/>
          <w:sz w:val="28"/>
        </w:rPr>
        <w:t>30395</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w:t>
      </w:r>
    </w:p>
    <w:p w14:paraId="0423CAB2" w14:textId="77777777" w:rsidR="00ED30EA" w:rsidRDefault="00ED30EA" w:rsidP="002C3ABF">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1CA3EBF8" w14:textId="657C0701" w:rsidR="002C3ABF" w:rsidRPr="00F631FB" w:rsidRDefault="002C3ABF" w:rsidP="002C3ABF">
      <w:pPr>
        <w:spacing w:line="360" w:lineRule="auto"/>
        <w:ind w:firstLineChars="200" w:firstLine="562"/>
        <w:jc w:val="both"/>
        <w:rPr>
          <w:rFonts w:ascii="Arial" w:eastAsia="仿宋_GB2312" w:hAnsi="Arial" w:cs="Arial"/>
          <w:sz w:val="28"/>
        </w:rPr>
      </w:pPr>
      <w:r w:rsidRPr="00F631FB">
        <w:rPr>
          <w:rFonts w:ascii="Arial" w:eastAsia="仿宋_GB2312" w:hAnsi="Arial" w:cs="Arial"/>
          <w:b/>
          <w:sz w:val="28"/>
        </w:rPr>
        <w:lastRenderedPageBreak/>
        <w:t>（</w:t>
      </w:r>
      <w:r w:rsidR="0087591C">
        <w:rPr>
          <w:rFonts w:ascii="Arial" w:eastAsia="仿宋_GB2312" w:hAnsi="Arial" w:cs="Arial"/>
          <w:b/>
          <w:sz w:val="28"/>
        </w:rPr>
        <w:t>3</w:t>
      </w:r>
      <w:r w:rsidR="002C3804" w:rsidRPr="00F631FB">
        <w:rPr>
          <w:rFonts w:ascii="Arial" w:eastAsia="仿宋_GB2312" w:hAnsi="Arial" w:cs="Arial"/>
          <w:b/>
          <w:sz w:val="28"/>
        </w:rPr>
        <w:t>）求取</w:t>
      </w:r>
      <w:r w:rsidR="00E736F2">
        <w:rPr>
          <w:rFonts w:ascii="Arial" w:eastAsia="仿宋_GB2312" w:hAnsi="Arial" w:cs="Arial" w:hint="eastAsia"/>
          <w:b/>
          <w:sz w:val="28"/>
        </w:rPr>
        <w:t>地上</w:t>
      </w:r>
      <w:r w:rsidRPr="00F631FB">
        <w:rPr>
          <w:rFonts w:ascii="Arial" w:eastAsia="仿宋_GB2312" w:hAnsi="Arial" w:cs="Arial"/>
          <w:b/>
          <w:sz w:val="28"/>
        </w:rPr>
        <w:t>办公</w:t>
      </w:r>
      <w:proofErr w:type="gramStart"/>
      <w:r w:rsidRPr="00F631FB">
        <w:rPr>
          <w:rFonts w:ascii="Arial" w:eastAsia="仿宋_GB2312" w:hAnsi="Arial" w:cs="Arial"/>
          <w:b/>
          <w:sz w:val="28"/>
        </w:rPr>
        <w:t>用途楼</w:t>
      </w:r>
      <w:proofErr w:type="gramEnd"/>
      <w:r w:rsidRPr="00F631FB">
        <w:rPr>
          <w:rFonts w:ascii="Arial" w:eastAsia="仿宋_GB2312" w:hAnsi="Arial" w:cs="Arial"/>
          <w:b/>
          <w:sz w:val="28"/>
        </w:rPr>
        <w:t>面</w:t>
      </w:r>
      <w:r w:rsidRPr="00F631FB">
        <w:rPr>
          <w:rFonts w:ascii="Arial" w:eastAsia="仿宋_GB2312" w:hAnsi="Arial" w:cs="Arial" w:hint="eastAsia"/>
          <w:b/>
          <w:sz w:val="28"/>
        </w:rPr>
        <w:t>熟地</w:t>
      </w:r>
      <w:r w:rsidRPr="00F631FB">
        <w:rPr>
          <w:rFonts w:ascii="Arial" w:eastAsia="仿宋_GB2312" w:hAnsi="Arial" w:cs="Arial"/>
          <w:b/>
          <w:sz w:val="28"/>
        </w:rPr>
        <w:t>价</w:t>
      </w:r>
      <w:r w:rsidRPr="00F631FB">
        <w:rPr>
          <w:rFonts w:ascii="Arial" w:eastAsia="仿宋_GB2312" w:hAnsi="Arial" w:cs="Arial" w:hint="eastAsia"/>
          <w:b/>
          <w:sz w:val="28"/>
        </w:rPr>
        <w:t>（土地剩余使用年限</w:t>
      </w:r>
      <w:r w:rsidR="00751119">
        <w:rPr>
          <w:rFonts w:ascii="Arial" w:eastAsia="仿宋_GB2312" w:hAnsi="Arial" w:cs="Arial"/>
          <w:b/>
          <w:sz w:val="28"/>
        </w:rPr>
        <w:t>50</w:t>
      </w:r>
      <w:r w:rsidRPr="00F631FB">
        <w:rPr>
          <w:rFonts w:ascii="Arial" w:eastAsia="仿宋_GB2312" w:hAnsi="Arial" w:cs="Arial" w:hint="eastAsia"/>
          <w:b/>
          <w:sz w:val="28"/>
        </w:rPr>
        <w:t>年）</w:t>
      </w:r>
    </w:p>
    <w:p w14:paraId="57A055E5"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1</w:t>
      </w:r>
      <w:r w:rsidRPr="00F631FB">
        <w:rPr>
          <w:rFonts w:ascii="Arial" w:eastAsia="仿宋_GB2312" w:hAnsi="Arial" w:cs="Arial"/>
          <w:bCs/>
          <w:sz w:val="28"/>
        </w:rPr>
        <w:t>）开发完成后的不动产总价</w:t>
      </w:r>
    </w:p>
    <w:p w14:paraId="3D0C1300" w14:textId="77777777" w:rsidR="002C3ABF" w:rsidRPr="00F631FB" w:rsidRDefault="002C3ABF" w:rsidP="002C3ABF">
      <w:pPr>
        <w:pStyle w:val="aff4"/>
        <w:autoSpaceDE w:val="0"/>
        <w:autoSpaceDN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办公用房开发完成后不动产总价</w:t>
      </w:r>
    </w:p>
    <w:p w14:paraId="1341B48E" w14:textId="77777777" w:rsidR="002C3ABF" w:rsidRPr="00F631FB" w:rsidRDefault="002C3ABF" w:rsidP="002C3ABF">
      <w:pPr>
        <w:pStyle w:val="ae"/>
        <w:spacing w:line="360" w:lineRule="auto"/>
        <w:ind w:firstLine="560"/>
        <w:jc w:val="both"/>
        <w:rPr>
          <w:rFonts w:ascii="Arial" w:eastAsia="仿宋_GB2312" w:hAnsi="Arial" w:cs="Arial"/>
          <w:sz w:val="28"/>
          <w:szCs w:val="28"/>
        </w:rPr>
      </w:pPr>
      <w:r w:rsidRPr="00F631FB">
        <w:rPr>
          <w:rFonts w:ascii="Arial" w:eastAsia="仿宋_GB2312" w:hAnsi="Arial" w:cs="Arial"/>
          <w:sz w:val="28"/>
          <w:szCs w:val="28"/>
        </w:rPr>
        <w:t>经过网上询价，</w:t>
      </w:r>
      <w:r w:rsidRPr="00F631FB">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F631FB">
        <w:rPr>
          <w:rFonts w:ascii="Arial" w:eastAsia="仿宋_GB2312" w:hAnsi="Arial" w:cs="Arial"/>
          <w:sz w:val="28"/>
          <w:szCs w:val="28"/>
        </w:rPr>
        <w:t>。</w:t>
      </w:r>
    </w:p>
    <w:p w14:paraId="5AB85EFC" w14:textId="77777777" w:rsidR="008B58C6" w:rsidRPr="00F631FB" w:rsidRDefault="008B58C6" w:rsidP="002C3ABF">
      <w:pPr>
        <w:pStyle w:val="ae"/>
        <w:spacing w:line="360" w:lineRule="auto"/>
        <w:ind w:firstLine="560"/>
        <w:jc w:val="both"/>
        <w:rPr>
          <w:rFonts w:ascii="Arial" w:eastAsia="仿宋_GB2312" w:hAnsi="Arial" w:cs="Arial"/>
          <w:sz w:val="28"/>
          <w:szCs w:val="28"/>
        </w:rPr>
      </w:pPr>
    </w:p>
    <w:tbl>
      <w:tblPr>
        <w:tblW w:w="9063"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9063"/>
      </w:tblGrid>
      <w:tr w:rsidR="002C3ABF" w:rsidRPr="00F631FB" w14:paraId="7D6F968B" w14:textId="77777777" w:rsidTr="005027AE">
        <w:trPr>
          <w:cantSplit/>
          <w:trHeight w:val="560"/>
          <w:jc w:val="center"/>
        </w:trPr>
        <w:tc>
          <w:tcPr>
            <w:tcW w:w="9063" w:type="dxa"/>
          </w:tcPr>
          <w:p w14:paraId="6E20DA9C" w14:textId="77777777" w:rsidR="002C3ABF" w:rsidRPr="00F631FB" w:rsidRDefault="002C3ABF" w:rsidP="004A2C77">
            <w:pPr>
              <w:jc w:val="center"/>
              <w:rPr>
                <w:rFonts w:ascii="Arial" w:eastAsia="仿宋_GB2312" w:hAnsi="Arial" w:cs="Arial"/>
                <w:sz w:val="22"/>
              </w:rPr>
            </w:pPr>
            <w:r w:rsidRPr="00F631FB">
              <w:rPr>
                <w:rFonts w:ascii="Arial" w:eastAsia="仿宋_GB2312" w:hAnsi="Arial" w:cs="Arial"/>
                <w:sz w:val="22"/>
              </w:rPr>
              <w:t>案例位置</w:t>
            </w:r>
          </w:p>
        </w:tc>
      </w:tr>
      <w:tr w:rsidR="002C3ABF" w:rsidRPr="00F631FB" w14:paraId="42788377" w14:textId="77777777" w:rsidTr="005027AE">
        <w:trPr>
          <w:cantSplit/>
          <w:trHeight w:hRule="exact" w:val="5362"/>
          <w:jc w:val="center"/>
        </w:trPr>
        <w:tc>
          <w:tcPr>
            <w:tcW w:w="9063" w:type="dxa"/>
          </w:tcPr>
          <w:p w14:paraId="3CEF46B6" w14:textId="216D9D61" w:rsidR="002C3ABF" w:rsidRPr="00F631FB" w:rsidRDefault="002C3ABF" w:rsidP="004A2C77">
            <w:pPr>
              <w:jc w:val="center"/>
              <w:rPr>
                <w:rFonts w:ascii="Arial" w:eastAsia="仿宋_GB2312" w:hAnsi="Arial" w:cs="Arial"/>
                <w:sz w:val="22"/>
              </w:rPr>
            </w:pPr>
            <w:r w:rsidRPr="00F631FB">
              <w:rPr>
                <w:rFonts w:ascii="Arial" w:eastAsia="仿宋_GB2312" w:hAnsi="Arial" w:cs="Arial"/>
                <w:noProof/>
                <w:sz w:val="22"/>
              </w:rPr>
              <w:drawing>
                <wp:anchor distT="0" distB="0" distL="114300" distR="114300" simplePos="0" relativeHeight="251656192" behindDoc="0" locked="0" layoutInCell="1" allowOverlap="1" wp14:anchorId="06FA60EC" wp14:editId="049939EE">
                  <wp:simplePos x="0" y="0"/>
                  <wp:positionH relativeFrom="column">
                    <wp:posOffset>2386448</wp:posOffset>
                  </wp:positionH>
                  <wp:positionV relativeFrom="paragraph">
                    <wp:posOffset>171716</wp:posOffset>
                  </wp:positionV>
                  <wp:extent cx="998878" cy="558141"/>
                  <wp:effectExtent l="0" t="0" r="0" b="0"/>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98878" cy="558141"/>
                          </a:xfrm>
                          <a:prstGeom prst="rect">
                            <a:avLst/>
                          </a:prstGeom>
                          <a:noFill/>
                          <a:ln>
                            <a:noFill/>
                          </a:ln>
                        </pic:spPr>
                      </pic:pic>
                    </a:graphicData>
                  </a:graphic>
                </wp:anchor>
              </w:drawing>
            </w:r>
            <w:r w:rsidR="005027AE">
              <w:rPr>
                <w:noProof/>
              </w:rPr>
              <w:drawing>
                <wp:inline distT="0" distB="0" distL="0" distR="0" wp14:anchorId="053B5AD9" wp14:editId="30AF651A">
                  <wp:extent cx="5512435" cy="3136605"/>
                  <wp:effectExtent l="0" t="0" r="0" b="6985"/>
                  <wp:docPr id="13" name="图片 12">
                    <a:extLst xmlns:a="http://schemas.openxmlformats.org/drawingml/2006/main">
                      <a:ext uri="{FF2B5EF4-FFF2-40B4-BE49-F238E27FC236}">
                        <a16:creationId xmlns:a16="http://schemas.microsoft.com/office/drawing/2014/main" id="{D3AF2696-DAF2-4209-942E-CED34CFE4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D3AF2696-DAF2-4209-942E-CED34CFE47AB}"/>
                              </a:ext>
                            </a:extLst>
                          </pic:cNvPr>
                          <pic:cNvPicPr>
                            <a:picLocks noChangeAspect="1"/>
                          </pic:cNvPicPr>
                        </pic:nvPicPr>
                        <pic:blipFill>
                          <a:blip r:embed="rId83"/>
                          <a:stretch>
                            <a:fillRect/>
                          </a:stretch>
                        </pic:blipFill>
                        <pic:spPr>
                          <a:xfrm>
                            <a:off x="0" y="0"/>
                            <a:ext cx="5513164" cy="3137020"/>
                          </a:xfrm>
                          <a:prstGeom prst="rect">
                            <a:avLst/>
                          </a:prstGeom>
                        </pic:spPr>
                      </pic:pic>
                    </a:graphicData>
                  </a:graphic>
                </wp:inline>
              </w:drawing>
            </w:r>
          </w:p>
        </w:tc>
      </w:tr>
    </w:tbl>
    <w:p w14:paraId="245853C9" w14:textId="77777777" w:rsidR="002C3ABF" w:rsidRPr="00F631FB" w:rsidRDefault="002C3ABF" w:rsidP="002C3ABF">
      <w:pPr>
        <w:pStyle w:val="ae"/>
        <w:spacing w:line="360" w:lineRule="auto"/>
        <w:ind w:firstLine="560"/>
        <w:jc w:val="both"/>
        <w:rPr>
          <w:rFonts w:ascii="Arial" w:eastAsia="仿宋_GB2312" w:hAnsi="Arial" w:cs="Arial"/>
          <w:sz w:val="28"/>
          <w:szCs w:val="28"/>
        </w:rPr>
      </w:pPr>
    </w:p>
    <w:p w14:paraId="6B92FA8B" w14:textId="77777777" w:rsidR="002C3ABF" w:rsidRPr="00F631FB" w:rsidRDefault="002C3ABF" w:rsidP="002C3ABF">
      <w:pPr>
        <w:pStyle w:val="ae"/>
        <w:spacing w:line="360" w:lineRule="auto"/>
        <w:ind w:firstLine="560"/>
        <w:jc w:val="both"/>
        <w:rPr>
          <w:rFonts w:ascii="Arial" w:eastAsia="仿宋_GB2312" w:hAnsi="Arial" w:cs="Arial"/>
          <w:b/>
          <w:bCs/>
        </w:rPr>
      </w:pPr>
      <w:r w:rsidRPr="00F631FB">
        <w:rPr>
          <w:rFonts w:ascii="Arial" w:eastAsia="仿宋_GB2312" w:hAnsi="Arial" w:cs="Arial"/>
          <w:bCs/>
          <w:sz w:val="28"/>
          <w:szCs w:val="28"/>
        </w:rPr>
        <w:t>（转下页）</w:t>
      </w:r>
      <w:r w:rsidRPr="00F631FB">
        <w:rPr>
          <w:rFonts w:ascii="Arial" w:eastAsia="仿宋_GB2312" w:hAnsi="Arial" w:cs="Arial"/>
          <w:b/>
          <w:bCs/>
        </w:rPr>
        <w:br w:type="page"/>
      </w:r>
    </w:p>
    <w:p w14:paraId="00A28D01" w14:textId="77777777" w:rsidR="002C3ABF" w:rsidRPr="00F631FB" w:rsidRDefault="002C3ABF" w:rsidP="002C3ABF">
      <w:pPr>
        <w:spacing w:line="360" w:lineRule="auto"/>
        <w:ind w:firstLineChars="200" w:firstLine="482"/>
        <w:jc w:val="center"/>
        <w:rPr>
          <w:rFonts w:ascii="Arial" w:eastAsia="仿宋_GB2312" w:hAnsi="Arial" w:cs="Arial"/>
          <w:sz w:val="28"/>
        </w:rPr>
      </w:pPr>
      <w:r w:rsidRPr="00F631FB">
        <w:rPr>
          <w:rFonts w:ascii="Arial" w:eastAsia="仿宋_GB2312" w:hAnsi="Arial" w:cs="Arial"/>
          <w:b/>
          <w:bCs/>
        </w:rPr>
        <w:lastRenderedPageBreak/>
        <w:t>表</w:t>
      </w:r>
      <w:r w:rsidR="00146331" w:rsidRPr="00F631FB">
        <w:rPr>
          <w:rFonts w:ascii="Arial" w:eastAsia="仿宋_GB2312" w:hAnsi="Arial" w:cs="Arial"/>
          <w:b/>
          <w:bCs/>
        </w:rPr>
        <w:t>5</w:t>
      </w:r>
      <w:r w:rsidRPr="00F631FB">
        <w:rPr>
          <w:rFonts w:ascii="Arial" w:eastAsia="仿宋_GB2312" w:hAnsi="Arial" w:cs="Arial"/>
          <w:b/>
          <w:bCs/>
        </w:rPr>
        <w:t>：比较因素条件说明及指数表</w:t>
      </w:r>
    </w:p>
    <w:tbl>
      <w:tblPr>
        <w:tblW w:w="5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
        <w:gridCol w:w="1306"/>
        <w:gridCol w:w="1899"/>
        <w:gridCol w:w="556"/>
        <w:gridCol w:w="1696"/>
        <w:gridCol w:w="695"/>
        <w:gridCol w:w="1430"/>
        <w:gridCol w:w="750"/>
        <w:gridCol w:w="1658"/>
        <w:gridCol w:w="726"/>
      </w:tblGrid>
      <w:tr w:rsidR="002C3ABF" w:rsidRPr="00F631FB" w14:paraId="354089F9" w14:textId="77777777" w:rsidTr="00E736F2">
        <w:trPr>
          <w:trHeight w:val="300"/>
          <w:tblHeader/>
          <w:jc w:val="center"/>
        </w:trPr>
        <w:tc>
          <w:tcPr>
            <w:tcW w:w="749" w:type="pct"/>
            <w:gridSpan w:val="2"/>
            <w:vMerge w:val="restart"/>
            <w:shd w:val="clear" w:color="auto" w:fill="auto"/>
            <w:vAlign w:val="center"/>
            <w:hideMark/>
          </w:tcPr>
          <w:p w14:paraId="7707FF0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109" w:type="pct"/>
            <w:gridSpan w:val="2"/>
            <w:shd w:val="clear" w:color="auto" w:fill="auto"/>
            <w:vAlign w:val="center"/>
            <w:hideMark/>
          </w:tcPr>
          <w:p w14:paraId="08D0B5E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1080" w:type="pct"/>
            <w:gridSpan w:val="2"/>
            <w:shd w:val="clear" w:color="auto" w:fill="auto"/>
            <w:vAlign w:val="center"/>
            <w:hideMark/>
          </w:tcPr>
          <w:p w14:paraId="49DFEB1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G</w:t>
            </w:r>
            <w:r w:rsidRPr="00F631FB">
              <w:rPr>
                <w:rFonts w:ascii="Arial" w:eastAsia="仿宋_GB2312" w:hAnsi="Arial" w:cs="Arial"/>
                <w:sz w:val="18"/>
                <w:szCs w:val="18"/>
              </w:rPr>
              <w:t>：</w:t>
            </w:r>
          </w:p>
        </w:tc>
        <w:tc>
          <w:tcPr>
            <w:tcW w:w="985" w:type="pct"/>
            <w:gridSpan w:val="2"/>
            <w:shd w:val="clear" w:color="auto" w:fill="auto"/>
            <w:vAlign w:val="center"/>
            <w:hideMark/>
          </w:tcPr>
          <w:p w14:paraId="2E4A885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H</w:t>
            </w:r>
            <w:r w:rsidRPr="00F631FB">
              <w:rPr>
                <w:rFonts w:ascii="Arial" w:eastAsia="仿宋_GB2312" w:hAnsi="Arial" w:cs="Arial"/>
                <w:sz w:val="18"/>
                <w:szCs w:val="18"/>
              </w:rPr>
              <w:tab/>
            </w:r>
          </w:p>
        </w:tc>
        <w:tc>
          <w:tcPr>
            <w:tcW w:w="1077" w:type="pct"/>
            <w:gridSpan w:val="2"/>
            <w:shd w:val="clear" w:color="auto" w:fill="auto"/>
            <w:vAlign w:val="center"/>
            <w:hideMark/>
          </w:tcPr>
          <w:p w14:paraId="7C5DCAF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I</w:t>
            </w:r>
          </w:p>
        </w:tc>
      </w:tr>
      <w:tr w:rsidR="002C3ABF" w:rsidRPr="00F631FB" w14:paraId="61C9D339" w14:textId="77777777" w:rsidTr="00E736F2">
        <w:trPr>
          <w:trHeight w:val="300"/>
          <w:tblHeader/>
          <w:jc w:val="center"/>
        </w:trPr>
        <w:tc>
          <w:tcPr>
            <w:tcW w:w="749" w:type="pct"/>
            <w:gridSpan w:val="2"/>
            <w:vMerge/>
            <w:vAlign w:val="center"/>
            <w:hideMark/>
          </w:tcPr>
          <w:p w14:paraId="07F9F54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858" w:type="pct"/>
            <w:shd w:val="clear" w:color="auto" w:fill="auto"/>
            <w:vAlign w:val="center"/>
            <w:hideMark/>
          </w:tcPr>
          <w:p w14:paraId="1B43FDF0" w14:textId="06ED9B1D" w:rsidR="002C3ABF" w:rsidRPr="00F631FB" w:rsidRDefault="005027AE" w:rsidP="004A2C77">
            <w:pPr>
              <w:widowControl/>
              <w:adjustRightInd/>
              <w:spacing w:line="240" w:lineRule="auto"/>
              <w:jc w:val="center"/>
              <w:textAlignment w:val="auto"/>
              <w:rPr>
                <w:rFonts w:ascii="Arial" w:eastAsia="仿宋_GB2312" w:hAnsi="Arial" w:cs="Arial"/>
                <w:sz w:val="18"/>
                <w:szCs w:val="18"/>
              </w:rPr>
            </w:pPr>
            <w:r w:rsidRPr="00C61BB4">
              <w:rPr>
                <w:rFonts w:ascii="Arial" w:eastAsia="仿宋_GB2312" w:hAnsi="Arial" w:cs="Arial" w:hint="eastAsia"/>
                <w:kern w:val="2"/>
                <w:sz w:val="18"/>
                <w:szCs w:val="18"/>
              </w:rPr>
              <w:t>苏州街棚改项目</w:t>
            </w:r>
          </w:p>
        </w:tc>
        <w:tc>
          <w:tcPr>
            <w:tcW w:w="251" w:type="pct"/>
            <w:shd w:val="clear" w:color="auto" w:fill="auto"/>
            <w:vAlign w:val="center"/>
            <w:hideMark/>
          </w:tcPr>
          <w:p w14:paraId="1A71A2C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766" w:type="pct"/>
            <w:shd w:val="clear" w:color="auto" w:fill="auto"/>
            <w:vAlign w:val="center"/>
            <w:hideMark/>
          </w:tcPr>
          <w:p w14:paraId="147F584F" w14:textId="59BF9FA9" w:rsidR="002C3ABF" w:rsidRPr="00F631FB" w:rsidRDefault="005027AE"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西海国际中心</w:t>
            </w:r>
          </w:p>
        </w:tc>
        <w:tc>
          <w:tcPr>
            <w:tcW w:w="314" w:type="pct"/>
            <w:shd w:val="clear" w:color="auto" w:fill="auto"/>
            <w:vAlign w:val="center"/>
            <w:hideMark/>
          </w:tcPr>
          <w:p w14:paraId="746B8D4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646" w:type="pct"/>
            <w:shd w:val="clear" w:color="auto" w:fill="auto"/>
            <w:vAlign w:val="center"/>
            <w:hideMark/>
          </w:tcPr>
          <w:p w14:paraId="5D1736E1" w14:textId="3CBA975A" w:rsidR="002C3ABF" w:rsidRPr="00F631FB" w:rsidRDefault="005027AE"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西海国际中心</w:t>
            </w:r>
          </w:p>
        </w:tc>
        <w:tc>
          <w:tcPr>
            <w:tcW w:w="339" w:type="pct"/>
            <w:shd w:val="clear" w:color="auto" w:fill="auto"/>
            <w:vAlign w:val="center"/>
            <w:hideMark/>
          </w:tcPr>
          <w:p w14:paraId="5EA1332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749" w:type="pct"/>
            <w:shd w:val="clear" w:color="auto" w:fill="auto"/>
            <w:vAlign w:val="center"/>
            <w:hideMark/>
          </w:tcPr>
          <w:p w14:paraId="69350C3A" w14:textId="777D4EE7" w:rsidR="002C3ABF" w:rsidRPr="00F631FB" w:rsidRDefault="005027AE" w:rsidP="004A2C77">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万柳亿城</w:t>
            </w:r>
            <w:proofErr w:type="gramEnd"/>
            <w:r>
              <w:rPr>
                <w:rFonts w:ascii="Arial" w:eastAsia="仿宋_GB2312" w:hAnsi="Arial" w:cs="Arial" w:hint="eastAsia"/>
                <w:sz w:val="18"/>
                <w:szCs w:val="18"/>
              </w:rPr>
              <w:t>中心</w:t>
            </w:r>
          </w:p>
        </w:tc>
        <w:tc>
          <w:tcPr>
            <w:tcW w:w="328" w:type="pct"/>
            <w:shd w:val="clear" w:color="auto" w:fill="auto"/>
            <w:vAlign w:val="center"/>
            <w:hideMark/>
          </w:tcPr>
          <w:p w14:paraId="332306D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r>
      <w:tr w:rsidR="005027AE" w:rsidRPr="00F631FB" w14:paraId="312450CC" w14:textId="77777777" w:rsidTr="00E736F2">
        <w:trPr>
          <w:trHeight w:val="315"/>
          <w:jc w:val="center"/>
        </w:trPr>
        <w:tc>
          <w:tcPr>
            <w:tcW w:w="749" w:type="pct"/>
            <w:gridSpan w:val="2"/>
            <w:shd w:val="clear" w:color="auto" w:fill="auto"/>
            <w:vAlign w:val="center"/>
            <w:hideMark/>
          </w:tcPr>
          <w:p w14:paraId="16B9143E" w14:textId="77777777"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858" w:type="pct"/>
            <w:shd w:val="clear" w:color="auto" w:fill="auto"/>
            <w:vAlign w:val="center"/>
            <w:hideMark/>
          </w:tcPr>
          <w:p w14:paraId="554A3C87" w14:textId="6EBADBEA"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2021-10-15</w:t>
            </w:r>
          </w:p>
        </w:tc>
        <w:tc>
          <w:tcPr>
            <w:tcW w:w="251" w:type="pct"/>
            <w:shd w:val="clear" w:color="auto" w:fill="auto"/>
            <w:vAlign w:val="center"/>
            <w:hideMark/>
          </w:tcPr>
          <w:p w14:paraId="1C00F51D" w14:textId="64C9E824"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6BC82CDA" w14:textId="750F6649"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2021-10</w:t>
            </w:r>
          </w:p>
        </w:tc>
        <w:tc>
          <w:tcPr>
            <w:tcW w:w="314" w:type="pct"/>
            <w:shd w:val="clear" w:color="auto" w:fill="auto"/>
            <w:vAlign w:val="center"/>
            <w:hideMark/>
          </w:tcPr>
          <w:p w14:paraId="796DA6CC" w14:textId="5EF192C8"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7EA4C6D5" w14:textId="298EABF2"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2021-10</w:t>
            </w:r>
          </w:p>
        </w:tc>
        <w:tc>
          <w:tcPr>
            <w:tcW w:w="339" w:type="pct"/>
            <w:shd w:val="clear" w:color="auto" w:fill="auto"/>
            <w:vAlign w:val="center"/>
            <w:hideMark/>
          </w:tcPr>
          <w:p w14:paraId="126CDAC8" w14:textId="4DBE2A60"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7511F8CE" w14:textId="449C4046"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2021-10</w:t>
            </w:r>
          </w:p>
        </w:tc>
        <w:tc>
          <w:tcPr>
            <w:tcW w:w="328" w:type="pct"/>
            <w:shd w:val="clear" w:color="auto" w:fill="auto"/>
            <w:vAlign w:val="center"/>
            <w:hideMark/>
          </w:tcPr>
          <w:p w14:paraId="4D82E1FC" w14:textId="62111341"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5FC025DB" w14:textId="77777777" w:rsidTr="00E736F2">
        <w:trPr>
          <w:trHeight w:val="315"/>
          <w:jc w:val="center"/>
        </w:trPr>
        <w:tc>
          <w:tcPr>
            <w:tcW w:w="749" w:type="pct"/>
            <w:gridSpan w:val="2"/>
            <w:shd w:val="clear" w:color="auto" w:fill="auto"/>
            <w:vAlign w:val="center"/>
            <w:hideMark/>
          </w:tcPr>
          <w:p w14:paraId="593C6A3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858" w:type="pct"/>
            <w:shd w:val="clear" w:color="auto" w:fill="auto"/>
            <w:vAlign w:val="center"/>
            <w:hideMark/>
          </w:tcPr>
          <w:p w14:paraId="7DC2A99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51" w:type="pct"/>
            <w:shd w:val="clear" w:color="auto" w:fill="auto"/>
            <w:vAlign w:val="center"/>
            <w:hideMark/>
          </w:tcPr>
          <w:p w14:paraId="2FF13D9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54D43F4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314" w:type="pct"/>
            <w:shd w:val="clear" w:color="auto" w:fill="auto"/>
            <w:vAlign w:val="center"/>
            <w:hideMark/>
          </w:tcPr>
          <w:p w14:paraId="6D8CE2A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50DF382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339" w:type="pct"/>
            <w:shd w:val="clear" w:color="auto" w:fill="auto"/>
            <w:vAlign w:val="center"/>
            <w:hideMark/>
          </w:tcPr>
          <w:p w14:paraId="1E79AE7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3D261E6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328" w:type="pct"/>
            <w:shd w:val="clear" w:color="auto" w:fill="auto"/>
            <w:vAlign w:val="center"/>
            <w:hideMark/>
          </w:tcPr>
          <w:p w14:paraId="7A6A6C0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5AA70B63" w14:textId="77777777" w:rsidTr="00E736F2">
        <w:trPr>
          <w:trHeight w:val="315"/>
          <w:jc w:val="center"/>
        </w:trPr>
        <w:tc>
          <w:tcPr>
            <w:tcW w:w="749" w:type="pct"/>
            <w:gridSpan w:val="2"/>
            <w:shd w:val="clear" w:color="auto" w:fill="auto"/>
            <w:vAlign w:val="center"/>
            <w:hideMark/>
          </w:tcPr>
          <w:p w14:paraId="69793B9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用途</w:t>
            </w:r>
          </w:p>
        </w:tc>
        <w:tc>
          <w:tcPr>
            <w:tcW w:w="858" w:type="pct"/>
            <w:shd w:val="clear" w:color="auto" w:fill="auto"/>
            <w:vAlign w:val="center"/>
            <w:hideMark/>
          </w:tcPr>
          <w:p w14:paraId="6AEF10E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251" w:type="pct"/>
            <w:shd w:val="clear" w:color="auto" w:fill="auto"/>
            <w:vAlign w:val="center"/>
            <w:hideMark/>
          </w:tcPr>
          <w:p w14:paraId="7069397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0FCECE0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314" w:type="pct"/>
            <w:shd w:val="clear" w:color="auto" w:fill="auto"/>
            <w:vAlign w:val="center"/>
            <w:hideMark/>
          </w:tcPr>
          <w:p w14:paraId="0BC2616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3B202A4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339" w:type="pct"/>
            <w:shd w:val="clear" w:color="auto" w:fill="auto"/>
            <w:vAlign w:val="center"/>
            <w:hideMark/>
          </w:tcPr>
          <w:p w14:paraId="5C02A88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6D09235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328" w:type="pct"/>
            <w:shd w:val="clear" w:color="auto" w:fill="auto"/>
            <w:vAlign w:val="center"/>
            <w:hideMark/>
          </w:tcPr>
          <w:p w14:paraId="129E36B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5027AE" w:rsidRPr="00F631FB" w14:paraId="7D5D33A2" w14:textId="77777777" w:rsidTr="00E736F2">
        <w:trPr>
          <w:trHeight w:val="315"/>
          <w:jc w:val="center"/>
        </w:trPr>
        <w:tc>
          <w:tcPr>
            <w:tcW w:w="749" w:type="pct"/>
            <w:gridSpan w:val="2"/>
            <w:shd w:val="clear" w:color="auto" w:fill="auto"/>
            <w:vAlign w:val="center"/>
          </w:tcPr>
          <w:p w14:paraId="556CB22D" w14:textId="77777777"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858" w:type="pct"/>
            <w:shd w:val="clear" w:color="auto" w:fill="auto"/>
            <w:vAlign w:val="center"/>
          </w:tcPr>
          <w:p w14:paraId="45FC40B0" w14:textId="63474F1C"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w:t>
            </w:r>
            <w:r>
              <w:rPr>
                <w:rFonts w:ascii="Arial" w:eastAsia="仿宋_GB2312" w:hAnsi="Arial" w:cs="Arial" w:hint="eastAsia"/>
                <w:sz w:val="18"/>
                <w:szCs w:val="18"/>
              </w:rPr>
              <w:t>年</w:t>
            </w:r>
          </w:p>
        </w:tc>
        <w:tc>
          <w:tcPr>
            <w:tcW w:w="251" w:type="pct"/>
            <w:shd w:val="clear" w:color="auto" w:fill="auto"/>
            <w:vAlign w:val="center"/>
          </w:tcPr>
          <w:p w14:paraId="794A7FB1" w14:textId="77777777"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66" w:type="pct"/>
            <w:shd w:val="clear" w:color="auto" w:fill="auto"/>
            <w:vAlign w:val="center"/>
          </w:tcPr>
          <w:p w14:paraId="3A11AEC0" w14:textId="00EBB97F"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w:t>
            </w:r>
            <w:r w:rsidRPr="00F631FB">
              <w:rPr>
                <w:rFonts w:ascii="Arial" w:eastAsia="仿宋_GB2312" w:hAnsi="Arial" w:cs="Arial" w:hint="eastAsia"/>
                <w:sz w:val="18"/>
                <w:szCs w:val="18"/>
              </w:rPr>
              <w:t>0-</w:t>
            </w:r>
            <w:r>
              <w:rPr>
                <w:rFonts w:ascii="Arial" w:eastAsia="仿宋_GB2312" w:hAnsi="Arial" w:cs="Arial"/>
                <w:sz w:val="18"/>
                <w:szCs w:val="18"/>
              </w:rPr>
              <w:t>4</w:t>
            </w:r>
            <w:r w:rsidRPr="00F631FB">
              <w:rPr>
                <w:rFonts w:ascii="Arial" w:eastAsia="仿宋_GB2312" w:hAnsi="Arial" w:cs="Arial" w:hint="eastAsia"/>
                <w:sz w:val="18"/>
                <w:szCs w:val="18"/>
              </w:rPr>
              <w:t>0</w:t>
            </w:r>
            <w:r w:rsidRPr="00F631FB">
              <w:rPr>
                <w:rFonts w:ascii="Arial" w:eastAsia="仿宋_GB2312" w:hAnsi="Arial" w:cs="Arial" w:hint="eastAsia"/>
                <w:sz w:val="18"/>
                <w:szCs w:val="18"/>
              </w:rPr>
              <w:t>（含）</w:t>
            </w:r>
          </w:p>
        </w:tc>
        <w:tc>
          <w:tcPr>
            <w:tcW w:w="314" w:type="pct"/>
            <w:shd w:val="clear" w:color="auto" w:fill="auto"/>
            <w:vAlign w:val="center"/>
          </w:tcPr>
          <w:p w14:paraId="5369C28E" w14:textId="1659A27E"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Pr>
                <w:rFonts w:ascii="Arial" w:eastAsia="仿宋_GB2312" w:hAnsi="Arial" w:cs="Arial"/>
                <w:sz w:val="18"/>
                <w:szCs w:val="18"/>
              </w:rPr>
              <w:t>8</w:t>
            </w:r>
          </w:p>
        </w:tc>
        <w:tc>
          <w:tcPr>
            <w:tcW w:w="646" w:type="pct"/>
            <w:shd w:val="clear" w:color="auto" w:fill="auto"/>
            <w:vAlign w:val="center"/>
          </w:tcPr>
          <w:p w14:paraId="1B59B461" w14:textId="7A588A45"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w:t>
            </w:r>
            <w:r w:rsidRPr="00F631FB">
              <w:rPr>
                <w:rFonts w:ascii="Arial" w:eastAsia="仿宋_GB2312" w:hAnsi="Arial" w:cs="Arial" w:hint="eastAsia"/>
                <w:sz w:val="18"/>
                <w:szCs w:val="18"/>
              </w:rPr>
              <w:t>0-</w:t>
            </w:r>
            <w:r>
              <w:rPr>
                <w:rFonts w:ascii="Arial" w:eastAsia="仿宋_GB2312" w:hAnsi="Arial" w:cs="Arial"/>
                <w:sz w:val="18"/>
                <w:szCs w:val="18"/>
              </w:rPr>
              <w:t>4</w:t>
            </w:r>
            <w:r w:rsidRPr="00F631FB">
              <w:rPr>
                <w:rFonts w:ascii="Arial" w:eastAsia="仿宋_GB2312" w:hAnsi="Arial" w:cs="Arial" w:hint="eastAsia"/>
                <w:sz w:val="18"/>
                <w:szCs w:val="18"/>
              </w:rPr>
              <w:t>0</w:t>
            </w:r>
            <w:r w:rsidRPr="00F631FB">
              <w:rPr>
                <w:rFonts w:ascii="Arial" w:eastAsia="仿宋_GB2312" w:hAnsi="Arial" w:cs="Arial" w:hint="eastAsia"/>
                <w:sz w:val="18"/>
                <w:szCs w:val="18"/>
              </w:rPr>
              <w:t>（含）</w:t>
            </w:r>
          </w:p>
        </w:tc>
        <w:tc>
          <w:tcPr>
            <w:tcW w:w="339" w:type="pct"/>
            <w:shd w:val="clear" w:color="auto" w:fill="auto"/>
            <w:vAlign w:val="center"/>
          </w:tcPr>
          <w:p w14:paraId="5B69AB34" w14:textId="49A922DB"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Pr>
                <w:rFonts w:ascii="Arial" w:eastAsia="仿宋_GB2312" w:hAnsi="Arial" w:cs="Arial"/>
                <w:sz w:val="18"/>
                <w:szCs w:val="18"/>
              </w:rPr>
              <w:t>8</w:t>
            </w:r>
          </w:p>
        </w:tc>
        <w:tc>
          <w:tcPr>
            <w:tcW w:w="749" w:type="pct"/>
            <w:shd w:val="clear" w:color="auto" w:fill="auto"/>
            <w:vAlign w:val="center"/>
          </w:tcPr>
          <w:p w14:paraId="7FD9CC0B" w14:textId="52EF97C1"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w:t>
            </w:r>
            <w:r w:rsidRPr="00F631FB">
              <w:rPr>
                <w:rFonts w:ascii="Arial" w:eastAsia="仿宋_GB2312" w:hAnsi="Arial" w:cs="Arial" w:hint="eastAsia"/>
                <w:sz w:val="18"/>
                <w:szCs w:val="18"/>
              </w:rPr>
              <w:t>0-</w:t>
            </w:r>
            <w:r>
              <w:rPr>
                <w:rFonts w:ascii="Arial" w:eastAsia="仿宋_GB2312" w:hAnsi="Arial" w:cs="Arial"/>
                <w:sz w:val="18"/>
                <w:szCs w:val="18"/>
              </w:rPr>
              <w:t>4</w:t>
            </w:r>
            <w:r w:rsidRPr="00F631FB">
              <w:rPr>
                <w:rFonts w:ascii="Arial" w:eastAsia="仿宋_GB2312" w:hAnsi="Arial" w:cs="Arial" w:hint="eastAsia"/>
                <w:sz w:val="18"/>
                <w:szCs w:val="18"/>
              </w:rPr>
              <w:t>0</w:t>
            </w:r>
            <w:r w:rsidRPr="00F631FB">
              <w:rPr>
                <w:rFonts w:ascii="Arial" w:eastAsia="仿宋_GB2312" w:hAnsi="Arial" w:cs="Arial" w:hint="eastAsia"/>
                <w:sz w:val="18"/>
                <w:szCs w:val="18"/>
              </w:rPr>
              <w:t>（含）</w:t>
            </w:r>
          </w:p>
        </w:tc>
        <w:tc>
          <w:tcPr>
            <w:tcW w:w="328" w:type="pct"/>
            <w:shd w:val="clear" w:color="auto" w:fill="auto"/>
            <w:vAlign w:val="center"/>
          </w:tcPr>
          <w:p w14:paraId="6175C040" w14:textId="5617C39B"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Pr>
                <w:rFonts w:ascii="Arial" w:eastAsia="仿宋_GB2312" w:hAnsi="Arial" w:cs="Arial"/>
                <w:sz w:val="18"/>
                <w:szCs w:val="18"/>
              </w:rPr>
              <w:t>8</w:t>
            </w:r>
          </w:p>
        </w:tc>
      </w:tr>
      <w:tr w:rsidR="002C3ABF" w:rsidRPr="00F631FB" w14:paraId="6F4E6342" w14:textId="77777777" w:rsidTr="00E736F2">
        <w:trPr>
          <w:trHeight w:val="2466"/>
          <w:jc w:val="center"/>
        </w:trPr>
        <w:tc>
          <w:tcPr>
            <w:tcW w:w="159" w:type="pct"/>
            <w:vMerge w:val="restart"/>
            <w:shd w:val="clear" w:color="auto" w:fill="auto"/>
            <w:vAlign w:val="center"/>
            <w:hideMark/>
          </w:tcPr>
          <w:p w14:paraId="7B92CCA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590" w:type="pct"/>
            <w:shd w:val="clear" w:color="auto" w:fill="auto"/>
            <w:vAlign w:val="center"/>
            <w:hideMark/>
          </w:tcPr>
          <w:p w14:paraId="49C1233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办公集聚程度</w:t>
            </w:r>
          </w:p>
        </w:tc>
        <w:tc>
          <w:tcPr>
            <w:tcW w:w="858" w:type="pct"/>
            <w:shd w:val="clear" w:color="auto" w:fill="auto"/>
            <w:vAlign w:val="center"/>
            <w:hideMark/>
          </w:tcPr>
          <w:p w14:paraId="1170D006" w14:textId="4EFE7836" w:rsidR="002C3ABF" w:rsidRPr="00F631FB" w:rsidRDefault="005027AE" w:rsidP="009E410B">
            <w:pPr>
              <w:widowControl/>
              <w:adjustRightInd/>
              <w:spacing w:line="240" w:lineRule="auto"/>
              <w:jc w:val="center"/>
              <w:textAlignment w:val="auto"/>
              <w:rPr>
                <w:rFonts w:ascii="Arial" w:eastAsia="仿宋_GB2312" w:hAnsi="Arial" w:cs="Arial"/>
                <w:sz w:val="18"/>
                <w:szCs w:val="18"/>
              </w:rPr>
            </w:pPr>
            <w:r w:rsidRPr="005027AE">
              <w:rPr>
                <w:rFonts w:ascii="Arial" w:eastAsia="仿宋_GB2312" w:hAnsi="Arial" w:cs="Arial" w:hint="eastAsia"/>
                <w:sz w:val="18"/>
                <w:szCs w:val="18"/>
              </w:rPr>
              <w:t>估价对象位于海淀区苏州街，估价对象周边有亿方大厦、</w:t>
            </w:r>
            <w:proofErr w:type="gramStart"/>
            <w:r w:rsidRPr="005027AE">
              <w:rPr>
                <w:rFonts w:ascii="Arial" w:eastAsia="仿宋_GB2312" w:hAnsi="Arial" w:cs="Arial" w:hint="eastAsia"/>
                <w:sz w:val="18"/>
                <w:szCs w:val="18"/>
              </w:rPr>
              <w:t>中电投大厦</w:t>
            </w:r>
            <w:proofErr w:type="gramEnd"/>
            <w:r w:rsidRPr="005027AE">
              <w:rPr>
                <w:rFonts w:ascii="Arial" w:eastAsia="仿宋_GB2312" w:hAnsi="Arial" w:cs="Arial" w:hint="eastAsia"/>
                <w:sz w:val="18"/>
                <w:szCs w:val="18"/>
              </w:rPr>
              <w:t>、国家电投大厦、</w:t>
            </w:r>
            <w:proofErr w:type="gramStart"/>
            <w:r w:rsidRPr="005027AE">
              <w:rPr>
                <w:rFonts w:ascii="Arial" w:eastAsia="仿宋_GB2312" w:hAnsi="Arial" w:cs="Arial" w:hint="eastAsia"/>
                <w:sz w:val="18"/>
                <w:szCs w:val="18"/>
              </w:rPr>
              <w:t>鼎钧大厦</w:t>
            </w:r>
            <w:proofErr w:type="gramEnd"/>
            <w:r w:rsidRPr="005027AE">
              <w:rPr>
                <w:rFonts w:ascii="Arial" w:eastAsia="仿宋_GB2312" w:hAnsi="Arial" w:cs="Arial" w:hint="eastAsia"/>
                <w:sz w:val="18"/>
                <w:szCs w:val="18"/>
              </w:rPr>
              <w:t>、</w:t>
            </w:r>
            <w:proofErr w:type="gramStart"/>
            <w:r w:rsidRPr="005027AE">
              <w:rPr>
                <w:rFonts w:ascii="Arial" w:eastAsia="仿宋_GB2312" w:hAnsi="Arial" w:cs="Arial" w:hint="eastAsia"/>
                <w:sz w:val="18"/>
                <w:szCs w:val="18"/>
              </w:rPr>
              <w:t>盈智大厦</w:t>
            </w:r>
            <w:proofErr w:type="gramEnd"/>
            <w:r w:rsidRPr="005027AE">
              <w:rPr>
                <w:rFonts w:ascii="Arial" w:eastAsia="仿宋_GB2312" w:hAnsi="Arial" w:cs="Arial" w:hint="eastAsia"/>
                <w:sz w:val="18"/>
                <w:szCs w:val="18"/>
              </w:rPr>
              <w:t>等写字楼项目，办公集聚程度较好。</w:t>
            </w:r>
          </w:p>
        </w:tc>
        <w:tc>
          <w:tcPr>
            <w:tcW w:w="251" w:type="pct"/>
            <w:shd w:val="clear" w:color="auto" w:fill="auto"/>
            <w:vAlign w:val="center"/>
            <w:hideMark/>
          </w:tcPr>
          <w:p w14:paraId="2FE91DE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1D2C9802" w14:textId="360B47EE"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周边有用</w:t>
            </w:r>
            <w:r w:rsidR="005027AE">
              <w:rPr>
                <w:rFonts w:ascii="Arial" w:eastAsia="仿宋_GB2312" w:hAnsi="Arial" w:cs="Arial" w:hint="eastAsia"/>
                <w:sz w:val="18"/>
                <w:szCs w:val="18"/>
              </w:rPr>
              <w:t>金洲大厦、</w:t>
            </w:r>
            <w:proofErr w:type="gramStart"/>
            <w:r w:rsidR="005027AE">
              <w:rPr>
                <w:rFonts w:ascii="Arial" w:eastAsia="仿宋_GB2312" w:hAnsi="Arial" w:cs="Arial" w:hint="eastAsia"/>
                <w:sz w:val="18"/>
                <w:szCs w:val="18"/>
              </w:rPr>
              <w:t>亿德大厦</w:t>
            </w:r>
            <w:proofErr w:type="gramEnd"/>
            <w:r w:rsidR="005027AE">
              <w:rPr>
                <w:rFonts w:ascii="Arial" w:eastAsia="仿宋_GB2312" w:hAnsi="Arial" w:cs="Arial" w:hint="eastAsia"/>
                <w:sz w:val="18"/>
                <w:szCs w:val="18"/>
              </w:rPr>
              <w:t>、紫金大厦、理工国际教育交流大厦、金鹰写字楼、</w:t>
            </w:r>
            <w:r w:rsidR="005027AE">
              <w:rPr>
                <w:rFonts w:ascii="Arial" w:eastAsia="仿宋_GB2312" w:hAnsi="Arial" w:cs="Arial" w:hint="eastAsia"/>
                <w:sz w:val="18"/>
                <w:szCs w:val="18"/>
              </w:rPr>
              <w:t>TCL</w:t>
            </w:r>
            <w:r w:rsidR="005027AE">
              <w:rPr>
                <w:rFonts w:ascii="Arial" w:eastAsia="仿宋_GB2312" w:hAnsi="Arial" w:cs="Arial" w:hint="eastAsia"/>
                <w:sz w:val="18"/>
                <w:szCs w:val="18"/>
              </w:rPr>
              <w:t>北京总部大厦</w:t>
            </w:r>
            <w:r w:rsidRPr="00F631FB">
              <w:rPr>
                <w:rFonts w:ascii="Arial" w:eastAsia="仿宋_GB2312" w:hAnsi="Arial" w:cs="Arial" w:hint="eastAsia"/>
                <w:sz w:val="18"/>
                <w:szCs w:val="18"/>
              </w:rPr>
              <w:t>等，办公集聚程度较好</w:t>
            </w:r>
            <w:r w:rsidR="005027AE">
              <w:rPr>
                <w:rFonts w:ascii="Arial" w:eastAsia="仿宋_GB2312" w:hAnsi="Arial" w:cs="Arial" w:hint="eastAsia"/>
                <w:sz w:val="18"/>
                <w:szCs w:val="18"/>
              </w:rPr>
              <w:t>。</w:t>
            </w:r>
          </w:p>
        </w:tc>
        <w:tc>
          <w:tcPr>
            <w:tcW w:w="314" w:type="pct"/>
            <w:shd w:val="clear" w:color="auto" w:fill="auto"/>
            <w:vAlign w:val="center"/>
            <w:hideMark/>
          </w:tcPr>
          <w:p w14:paraId="52D058F2" w14:textId="391A4BDF" w:rsidR="002C3ABF" w:rsidRPr="00F631FB" w:rsidRDefault="005027AE" w:rsidP="002C380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46" w:type="pct"/>
            <w:shd w:val="clear" w:color="auto" w:fill="auto"/>
            <w:vAlign w:val="center"/>
            <w:hideMark/>
          </w:tcPr>
          <w:p w14:paraId="1DF11C0D" w14:textId="69D34089" w:rsidR="002C3ABF" w:rsidRPr="00F631FB" w:rsidRDefault="005027AE"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周边有用</w:t>
            </w:r>
            <w:r>
              <w:rPr>
                <w:rFonts w:ascii="Arial" w:eastAsia="仿宋_GB2312" w:hAnsi="Arial" w:cs="Arial" w:hint="eastAsia"/>
                <w:sz w:val="18"/>
                <w:szCs w:val="18"/>
              </w:rPr>
              <w:t>金洲大厦、</w:t>
            </w:r>
            <w:proofErr w:type="gramStart"/>
            <w:r>
              <w:rPr>
                <w:rFonts w:ascii="Arial" w:eastAsia="仿宋_GB2312" w:hAnsi="Arial" w:cs="Arial" w:hint="eastAsia"/>
                <w:sz w:val="18"/>
                <w:szCs w:val="18"/>
              </w:rPr>
              <w:t>亿德大厦</w:t>
            </w:r>
            <w:proofErr w:type="gramEnd"/>
            <w:r>
              <w:rPr>
                <w:rFonts w:ascii="Arial" w:eastAsia="仿宋_GB2312" w:hAnsi="Arial" w:cs="Arial" w:hint="eastAsia"/>
                <w:sz w:val="18"/>
                <w:szCs w:val="18"/>
              </w:rPr>
              <w:t>、紫金大厦、理工国际教育交流大厦、金鹰写字楼、</w:t>
            </w:r>
            <w:r>
              <w:rPr>
                <w:rFonts w:ascii="Arial" w:eastAsia="仿宋_GB2312" w:hAnsi="Arial" w:cs="Arial" w:hint="eastAsia"/>
                <w:sz w:val="18"/>
                <w:szCs w:val="18"/>
              </w:rPr>
              <w:t>TCL</w:t>
            </w:r>
            <w:r>
              <w:rPr>
                <w:rFonts w:ascii="Arial" w:eastAsia="仿宋_GB2312" w:hAnsi="Arial" w:cs="Arial" w:hint="eastAsia"/>
                <w:sz w:val="18"/>
                <w:szCs w:val="18"/>
              </w:rPr>
              <w:t>北京总部大厦</w:t>
            </w:r>
            <w:r w:rsidRPr="00F631FB">
              <w:rPr>
                <w:rFonts w:ascii="Arial" w:eastAsia="仿宋_GB2312" w:hAnsi="Arial" w:cs="Arial" w:hint="eastAsia"/>
                <w:sz w:val="18"/>
                <w:szCs w:val="18"/>
              </w:rPr>
              <w:t>等，办公集聚程度较好</w:t>
            </w:r>
            <w:r>
              <w:rPr>
                <w:rFonts w:ascii="Arial" w:eastAsia="仿宋_GB2312" w:hAnsi="Arial" w:cs="Arial" w:hint="eastAsia"/>
                <w:sz w:val="18"/>
                <w:szCs w:val="18"/>
              </w:rPr>
              <w:t>。</w:t>
            </w:r>
          </w:p>
        </w:tc>
        <w:tc>
          <w:tcPr>
            <w:tcW w:w="339" w:type="pct"/>
            <w:shd w:val="clear" w:color="auto" w:fill="auto"/>
            <w:vAlign w:val="center"/>
            <w:hideMark/>
          </w:tcPr>
          <w:p w14:paraId="45CDD3EC" w14:textId="72B96615" w:rsidR="002C3ABF" w:rsidRPr="00F631FB" w:rsidRDefault="005027AE"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49" w:type="pct"/>
            <w:shd w:val="clear" w:color="auto" w:fill="auto"/>
            <w:vAlign w:val="center"/>
            <w:hideMark/>
          </w:tcPr>
          <w:p w14:paraId="0447DD3B" w14:textId="3B159956" w:rsidR="002C3ABF" w:rsidRPr="00F631FB" w:rsidRDefault="005027AE"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周边有用</w:t>
            </w:r>
            <w:r>
              <w:rPr>
                <w:rFonts w:ascii="Arial" w:eastAsia="仿宋_GB2312" w:hAnsi="Arial" w:cs="Arial" w:hint="eastAsia"/>
                <w:sz w:val="18"/>
                <w:szCs w:val="18"/>
              </w:rPr>
              <w:t>金洲大厦、</w:t>
            </w:r>
            <w:proofErr w:type="gramStart"/>
            <w:r>
              <w:rPr>
                <w:rFonts w:ascii="Arial" w:eastAsia="仿宋_GB2312" w:hAnsi="Arial" w:cs="Arial" w:hint="eastAsia"/>
                <w:sz w:val="18"/>
                <w:szCs w:val="18"/>
              </w:rPr>
              <w:t>亿德大厦</w:t>
            </w:r>
            <w:proofErr w:type="gramEnd"/>
            <w:r>
              <w:rPr>
                <w:rFonts w:ascii="Arial" w:eastAsia="仿宋_GB2312" w:hAnsi="Arial" w:cs="Arial" w:hint="eastAsia"/>
                <w:sz w:val="18"/>
                <w:szCs w:val="18"/>
              </w:rPr>
              <w:t>、紫金大厦、理工国际教育交流大厦、金鹰写字楼、</w:t>
            </w:r>
            <w:r>
              <w:rPr>
                <w:rFonts w:ascii="Arial" w:eastAsia="仿宋_GB2312" w:hAnsi="Arial" w:cs="Arial" w:hint="eastAsia"/>
                <w:sz w:val="18"/>
                <w:szCs w:val="18"/>
              </w:rPr>
              <w:t>TCL</w:t>
            </w:r>
            <w:r>
              <w:rPr>
                <w:rFonts w:ascii="Arial" w:eastAsia="仿宋_GB2312" w:hAnsi="Arial" w:cs="Arial" w:hint="eastAsia"/>
                <w:sz w:val="18"/>
                <w:szCs w:val="18"/>
              </w:rPr>
              <w:t>北京总部大厦</w:t>
            </w:r>
            <w:r w:rsidRPr="00F631FB">
              <w:rPr>
                <w:rFonts w:ascii="Arial" w:eastAsia="仿宋_GB2312" w:hAnsi="Arial" w:cs="Arial" w:hint="eastAsia"/>
                <w:sz w:val="18"/>
                <w:szCs w:val="18"/>
              </w:rPr>
              <w:t>等，办公集聚程度较好</w:t>
            </w:r>
            <w:r>
              <w:rPr>
                <w:rFonts w:ascii="Arial" w:eastAsia="仿宋_GB2312" w:hAnsi="Arial" w:cs="Arial" w:hint="eastAsia"/>
                <w:sz w:val="18"/>
                <w:szCs w:val="18"/>
              </w:rPr>
              <w:t>。</w:t>
            </w:r>
          </w:p>
        </w:tc>
        <w:tc>
          <w:tcPr>
            <w:tcW w:w="328" w:type="pct"/>
            <w:shd w:val="clear" w:color="auto" w:fill="auto"/>
            <w:vAlign w:val="center"/>
            <w:hideMark/>
          </w:tcPr>
          <w:p w14:paraId="53FEC167" w14:textId="6FF08F0A" w:rsidR="002C3ABF" w:rsidRPr="00F631FB" w:rsidRDefault="005027AE"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1160B" w:rsidRPr="00F631FB" w14:paraId="598BFC2D" w14:textId="77777777" w:rsidTr="00E736F2">
        <w:trPr>
          <w:trHeight w:val="2813"/>
          <w:jc w:val="center"/>
        </w:trPr>
        <w:tc>
          <w:tcPr>
            <w:tcW w:w="159" w:type="pct"/>
            <w:vMerge/>
            <w:vAlign w:val="center"/>
            <w:hideMark/>
          </w:tcPr>
          <w:p w14:paraId="2D42C8D3"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761F0537"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858" w:type="pct"/>
            <w:shd w:val="clear" w:color="auto" w:fill="auto"/>
            <w:vAlign w:val="center"/>
            <w:hideMark/>
          </w:tcPr>
          <w:p w14:paraId="23A250A4" w14:textId="77777777" w:rsidR="0081160B" w:rsidRPr="00F631FB" w:rsidRDefault="0081160B" w:rsidP="0081160B">
            <w:pPr>
              <w:widowControl/>
              <w:adjustRightInd/>
              <w:spacing w:line="240" w:lineRule="auto"/>
              <w:jc w:val="center"/>
              <w:rPr>
                <w:rFonts w:ascii="Arial" w:eastAsia="仿宋_GB2312" w:hAnsi="Arial" w:cs="Arial"/>
                <w:kern w:val="2"/>
                <w:sz w:val="18"/>
                <w:szCs w:val="18"/>
              </w:rPr>
            </w:pPr>
            <w:r w:rsidRPr="00F21B5D">
              <w:rPr>
                <w:rFonts w:ascii="Arial" w:eastAsia="仿宋_GB2312" w:hAnsi="Arial" w:cs="Arial" w:hint="eastAsia"/>
                <w:sz w:val="18"/>
                <w:szCs w:val="18"/>
              </w:rPr>
              <w:t>估价对象紧邻城市主干道—海淀南路、苏州街，南距北三环西路约</w:t>
            </w:r>
            <w:r w:rsidRPr="00F21B5D">
              <w:rPr>
                <w:rFonts w:ascii="Arial" w:eastAsia="仿宋_GB2312" w:hAnsi="Arial" w:cs="Arial" w:hint="eastAsia"/>
                <w:sz w:val="18"/>
                <w:szCs w:val="18"/>
              </w:rPr>
              <w:t>1500</w:t>
            </w:r>
            <w:r w:rsidRPr="00F21B5D">
              <w:rPr>
                <w:rFonts w:ascii="Arial" w:eastAsia="仿宋_GB2312" w:hAnsi="Arial" w:cs="Arial" w:hint="eastAsia"/>
                <w:sz w:val="18"/>
                <w:szCs w:val="18"/>
              </w:rPr>
              <w:t>米，距北京首都国际机场约</w:t>
            </w:r>
            <w:r w:rsidRPr="00F21B5D">
              <w:rPr>
                <w:rFonts w:ascii="Arial" w:eastAsia="仿宋_GB2312" w:hAnsi="Arial" w:cs="Arial" w:hint="eastAsia"/>
                <w:sz w:val="18"/>
                <w:szCs w:val="18"/>
              </w:rPr>
              <w:t>29</w:t>
            </w:r>
            <w:r w:rsidRPr="00F21B5D">
              <w:rPr>
                <w:rFonts w:ascii="Arial" w:eastAsia="仿宋_GB2312" w:hAnsi="Arial" w:cs="Arial" w:hint="eastAsia"/>
                <w:sz w:val="18"/>
                <w:szCs w:val="18"/>
              </w:rPr>
              <w:t>公里，距北京站约</w:t>
            </w:r>
            <w:r w:rsidRPr="00F21B5D">
              <w:rPr>
                <w:rFonts w:ascii="Arial" w:eastAsia="仿宋_GB2312" w:hAnsi="Arial" w:cs="Arial" w:hint="eastAsia"/>
                <w:sz w:val="18"/>
                <w:szCs w:val="18"/>
              </w:rPr>
              <w:t>13</w:t>
            </w:r>
            <w:r w:rsidRPr="00F21B5D">
              <w:rPr>
                <w:rFonts w:ascii="Arial" w:eastAsia="仿宋_GB2312" w:hAnsi="Arial" w:cs="Arial" w:hint="eastAsia"/>
                <w:sz w:val="18"/>
                <w:szCs w:val="18"/>
              </w:rPr>
              <w:t>公里，紧邻地铁</w:t>
            </w:r>
            <w:r w:rsidRPr="00F21B5D">
              <w:rPr>
                <w:rFonts w:ascii="Arial" w:eastAsia="仿宋_GB2312" w:hAnsi="Arial" w:cs="Arial" w:hint="eastAsia"/>
                <w:sz w:val="18"/>
                <w:szCs w:val="18"/>
              </w:rPr>
              <w:t>10</w:t>
            </w:r>
            <w:r w:rsidRPr="00F21B5D">
              <w:rPr>
                <w:rFonts w:ascii="Arial" w:eastAsia="仿宋_GB2312" w:hAnsi="Arial" w:cs="Arial" w:hint="eastAsia"/>
                <w:sz w:val="18"/>
                <w:szCs w:val="18"/>
              </w:rPr>
              <w:t>、</w:t>
            </w:r>
            <w:r w:rsidRPr="00F21B5D">
              <w:rPr>
                <w:rFonts w:ascii="Arial" w:eastAsia="仿宋_GB2312" w:hAnsi="Arial" w:cs="Arial" w:hint="eastAsia"/>
                <w:sz w:val="18"/>
                <w:szCs w:val="18"/>
              </w:rPr>
              <w:t>16</w:t>
            </w:r>
            <w:r w:rsidRPr="00F21B5D">
              <w:rPr>
                <w:rFonts w:ascii="Arial" w:eastAsia="仿宋_GB2312" w:hAnsi="Arial" w:cs="Arial" w:hint="eastAsia"/>
                <w:sz w:val="18"/>
                <w:szCs w:val="18"/>
              </w:rPr>
              <w:t>号线（苏州街站），周边有</w:t>
            </w:r>
            <w:r w:rsidRPr="00F21B5D">
              <w:rPr>
                <w:rFonts w:ascii="Arial" w:eastAsia="仿宋_GB2312" w:hAnsi="Arial" w:cs="Arial" w:hint="eastAsia"/>
                <w:sz w:val="18"/>
                <w:szCs w:val="18"/>
              </w:rPr>
              <w:t>304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307</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386</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630</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671</w:t>
            </w:r>
            <w:r w:rsidRPr="00F21B5D">
              <w:rPr>
                <w:rFonts w:ascii="Arial" w:eastAsia="仿宋_GB2312" w:hAnsi="Arial" w:cs="Arial" w:hint="eastAsia"/>
                <w:sz w:val="18"/>
                <w:szCs w:val="18"/>
              </w:rPr>
              <w:t>路等多条公交线路通过，综合评价交通便捷度较好。</w:t>
            </w:r>
          </w:p>
          <w:p w14:paraId="1F180286" w14:textId="774816DF"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p>
        </w:tc>
        <w:tc>
          <w:tcPr>
            <w:tcW w:w="251" w:type="pct"/>
            <w:shd w:val="clear" w:color="auto" w:fill="auto"/>
            <w:vAlign w:val="center"/>
            <w:hideMark/>
          </w:tcPr>
          <w:p w14:paraId="772585C0"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758903FE" w14:textId="0F042644"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紧邻</w:t>
            </w: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万泉河路，临近北三环西路，</w:t>
            </w:r>
            <w:r w:rsidRPr="00F631FB">
              <w:rPr>
                <w:rFonts w:ascii="Arial" w:eastAsia="仿宋_GB2312" w:hAnsi="Arial" w:cs="Arial" w:hint="eastAsia"/>
                <w:sz w:val="18"/>
                <w:szCs w:val="18"/>
              </w:rPr>
              <w:t>距地铁</w:t>
            </w:r>
            <w:r w:rsidRPr="00F631FB">
              <w:rPr>
                <w:rFonts w:ascii="Arial" w:eastAsia="仿宋_GB2312" w:hAnsi="Arial" w:cs="Arial" w:hint="eastAsia"/>
                <w:sz w:val="18"/>
                <w:szCs w:val="18"/>
              </w:rPr>
              <w:t>16</w:t>
            </w:r>
            <w:r w:rsidRPr="00F631FB">
              <w:rPr>
                <w:rFonts w:ascii="Arial" w:eastAsia="仿宋_GB2312" w:hAnsi="Arial" w:cs="Arial" w:hint="eastAsia"/>
                <w:sz w:val="18"/>
                <w:szCs w:val="18"/>
              </w:rPr>
              <w:t>号线</w:t>
            </w:r>
            <w:r>
              <w:rPr>
                <w:rFonts w:ascii="Arial" w:eastAsia="仿宋_GB2312" w:hAnsi="Arial" w:cs="Arial" w:hint="eastAsia"/>
                <w:sz w:val="18"/>
                <w:szCs w:val="18"/>
              </w:rPr>
              <w:t>苏州桥</w:t>
            </w:r>
            <w:r w:rsidRPr="00F631FB">
              <w:rPr>
                <w:rFonts w:ascii="Arial" w:eastAsia="仿宋_GB2312" w:hAnsi="Arial" w:cs="Arial" w:hint="eastAsia"/>
                <w:sz w:val="18"/>
                <w:szCs w:val="18"/>
              </w:rPr>
              <w:t>约</w:t>
            </w:r>
            <w:r>
              <w:rPr>
                <w:rFonts w:ascii="Arial" w:eastAsia="仿宋_GB2312" w:hAnsi="Arial" w:cs="Arial" w:hint="eastAsia"/>
                <w:sz w:val="18"/>
                <w:szCs w:val="18"/>
              </w:rPr>
              <w:t>1</w:t>
            </w:r>
            <w:r>
              <w:rPr>
                <w:rFonts w:ascii="Arial" w:eastAsia="仿宋_GB2312" w:hAnsi="Arial" w:cs="Arial"/>
                <w:sz w:val="18"/>
                <w:szCs w:val="18"/>
              </w:rPr>
              <w:t>50</w:t>
            </w:r>
            <w:r w:rsidRPr="00F631FB">
              <w:rPr>
                <w:rFonts w:ascii="Arial" w:eastAsia="仿宋_GB2312" w:hAnsi="Arial" w:cs="Arial" w:hint="eastAsia"/>
                <w:sz w:val="18"/>
                <w:szCs w:val="18"/>
              </w:rPr>
              <w:t>米，距北京首都国际机场约</w:t>
            </w:r>
            <w:r>
              <w:rPr>
                <w:rFonts w:ascii="Arial" w:eastAsia="仿宋_GB2312" w:hAnsi="Arial" w:cs="Arial"/>
                <w:sz w:val="18"/>
                <w:szCs w:val="18"/>
              </w:rPr>
              <w:t>28</w:t>
            </w:r>
            <w:r w:rsidRPr="00F631FB">
              <w:rPr>
                <w:rFonts w:ascii="Arial" w:eastAsia="仿宋_GB2312" w:hAnsi="Arial" w:cs="Arial" w:hint="eastAsia"/>
                <w:sz w:val="18"/>
                <w:szCs w:val="18"/>
              </w:rPr>
              <w:t>公里，距北京北站约</w:t>
            </w:r>
            <w:r>
              <w:rPr>
                <w:rFonts w:ascii="Arial" w:eastAsia="仿宋_GB2312" w:hAnsi="Arial" w:cs="Arial"/>
                <w:sz w:val="18"/>
                <w:szCs w:val="18"/>
              </w:rPr>
              <w:t>12</w:t>
            </w:r>
            <w:r w:rsidRPr="00F631FB">
              <w:rPr>
                <w:rFonts w:ascii="Arial" w:eastAsia="仿宋_GB2312" w:hAnsi="Arial" w:cs="Arial" w:hint="eastAsia"/>
                <w:sz w:val="18"/>
                <w:szCs w:val="18"/>
              </w:rPr>
              <w:t>公里，</w:t>
            </w:r>
            <w:r w:rsidRPr="00F21B5D">
              <w:rPr>
                <w:rFonts w:ascii="Arial" w:eastAsia="仿宋_GB2312" w:hAnsi="Arial" w:cs="Arial" w:hint="eastAsia"/>
                <w:sz w:val="18"/>
                <w:szCs w:val="18"/>
              </w:rPr>
              <w:t>周边有</w:t>
            </w:r>
            <w:r>
              <w:rPr>
                <w:rFonts w:ascii="Arial" w:eastAsia="仿宋_GB2312" w:hAnsi="Arial" w:cs="Arial"/>
                <w:sz w:val="18"/>
                <w:szCs w:val="18"/>
              </w:rPr>
              <w:t>26</w:t>
            </w:r>
            <w:r w:rsidRPr="00F21B5D">
              <w:rPr>
                <w:rFonts w:ascii="Arial" w:eastAsia="仿宋_GB2312" w:hAnsi="Arial" w:cs="Arial" w:hint="eastAsia"/>
                <w:sz w:val="18"/>
                <w:szCs w:val="18"/>
              </w:rPr>
              <w:t>路、</w:t>
            </w:r>
            <w:r>
              <w:rPr>
                <w:rFonts w:ascii="Arial" w:eastAsia="仿宋_GB2312" w:hAnsi="Arial" w:cs="Arial"/>
                <w:sz w:val="18"/>
                <w:szCs w:val="18"/>
              </w:rPr>
              <w:t>74</w:t>
            </w:r>
            <w:r w:rsidRPr="00F21B5D">
              <w:rPr>
                <w:rFonts w:ascii="Arial" w:eastAsia="仿宋_GB2312" w:hAnsi="Arial" w:cs="Arial" w:hint="eastAsia"/>
                <w:sz w:val="18"/>
                <w:szCs w:val="18"/>
              </w:rPr>
              <w:t>路、</w:t>
            </w:r>
            <w:r>
              <w:rPr>
                <w:rFonts w:ascii="Arial" w:eastAsia="仿宋_GB2312" w:hAnsi="Arial" w:cs="Arial"/>
                <w:sz w:val="18"/>
                <w:szCs w:val="18"/>
              </w:rPr>
              <w:t>361</w:t>
            </w:r>
            <w:r w:rsidRPr="00F21B5D">
              <w:rPr>
                <w:rFonts w:ascii="Arial" w:eastAsia="仿宋_GB2312" w:hAnsi="Arial" w:cs="Arial" w:hint="eastAsia"/>
                <w:sz w:val="18"/>
                <w:szCs w:val="18"/>
              </w:rPr>
              <w:t>路、</w:t>
            </w:r>
            <w:r>
              <w:rPr>
                <w:rFonts w:ascii="Arial" w:eastAsia="仿宋_GB2312" w:hAnsi="Arial" w:cs="Arial"/>
                <w:sz w:val="18"/>
                <w:szCs w:val="18"/>
              </w:rPr>
              <w:t>374</w:t>
            </w:r>
            <w:r w:rsidRPr="00F21B5D">
              <w:rPr>
                <w:rFonts w:ascii="Arial" w:eastAsia="仿宋_GB2312" w:hAnsi="Arial" w:cs="Arial" w:hint="eastAsia"/>
                <w:sz w:val="18"/>
                <w:szCs w:val="18"/>
              </w:rPr>
              <w:t>路、</w:t>
            </w:r>
            <w:r>
              <w:rPr>
                <w:rFonts w:ascii="Arial" w:eastAsia="仿宋_GB2312" w:hAnsi="Arial" w:cs="Arial"/>
                <w:sz w:val="18"/>
                <w:szCs w:val="18"/>
              </w:rPr>
              <w:t>450</w:t>
            </w:r>
            <w:r w:rsidRPr="00F21B5D">
              <w:rPr>
                <w:rFonts w:ascii="Arial" w:eastAsia="仿宋_GB2312" w:hAnsi="Arial" w:cs="Arial" w:hint="eastAsia"/>
                <w:sz w:val="18"/>
                <w:szCs w:val="18"/>
              </w:rPr>
              <w:t>路、</w:t>
            </w:r>
            <w:r>
              <w:rPr>
                <w:rFonts w:ascii="Arial" w:eastAsia="仿宋_GB2312" w:hAnsi="Arial" w:cs="Arial"/>
                <w:sz w:val="18"/>
                <w:szCs w:val="18"/>
              </w:rPr>
              <w:t>563</w:t>
            </w:r>
            <w:r w:rsidRPr="00F21B5D">
              <w:rPr>
                <w:rFonts w:ascii="Arial" w:eastAsia="仿宋_GB2312" w:hAnsi="Arial" w:cs="Arial" w:hint="eastAsia"/>
                <w:sz w:val="18"/>
                <w:szCs w:val="18"/>
              </w:rPr>
              <w:t>路等多条公交线路通过，</w:t>
            </w:r>
            <w:r w:rsidRPr="00F631FB">
              <w:rPr>
                <w:rFonts w:ascii="Arial" w:eastAsia="仿宋_GB2312" w:hAnsi="Arial" w:cs="Arial" w:hint="eastAsia"/>
                <w:sz w:val="18"/>
                <w:szCs w:val="18"/>
              </w:rPr>
              <w:t>综合评价交通便捷度较好</w:t>
            </w:r>
            <w:r>
              <w:rPr>
                <w:rFonts w:ascii="Arial" w:eastAsia="仿宋_GB2312" w:hAnsi="Arial" w:cs="Arial" w:hint="eastAsia"/>
                <w:sz w:val="18"/>
                <w:szCs w:val="18"/>
              </w:rPr>
              <w:t>。</w:t>
            </w:r>
          </w:p>
        </w:tc>
        <w:tc>
          <w:tcPr>
            <w:tcW w:w="314" w:type="pct"/>
            <w:shd w:val="clear" w:color="auto" w:fill="auto"/>
            <w:vAlign w:val="center"/>
            <w:hideMark/>
          </w:tcPr>
          <w:p w14:paraId="246B212F"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646" w:type="pct"/>
            <w:shd w:val="clear" w:color="auto" w:fill="auto"/>
            <w:vAlign w:val="center"/>
            <w:hideMark/>
          </w:tcPr>
          <w:p w14:paraId="3CE4CFEE" w14:textId="602C31DA"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紧邻</w:t>
            </w: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万泉河路，临近北三环西路，</w:t>
            </w:r>
            <w:r w:rsidRPr="00F631FB">
              <w:rPr>
                <w:rFonts w:ascii="Arial" w:eastAsia="仿宋_GB2312" w:hAnsi="Arial" w:cs="Arial" w:hint="eastAsia"/>
                <w:sz w:val="18"/>
                <w:szCs w:val="18"/>
              </w:rPr>
              <w:t>距地铁</w:t>
            </w:r>
            <w:r w:rsidRPr="00F631FB">
              <w:rPr>
                <w:rFonts w:ascii="Arial" w:eastAsia="仿宋_GB2312" w:hAnsi="Arial" w:cs="Arial" w:hint="eastAsia"/>
                <w:sz w:val="18"/>
                <w:szCs w:val="18"/>
              </w:rPr>
              <w:t>16</w:t>
            </w:r>
            <w:r w:rsidRPr="00F631FB">
              <w:rPr>
                <w:rFonts w:ascii="Arial" w:eastAsia="仿宋_GB2312" w:hAnsi="Arial" w:cs="Arial" w:hint="eastAsia"/>
                <w:sz w:val="18"/>
                <w:szCs w:val="18"/>
              </w:rPr>
              <w:t>号线</w:t>
            </w:r>
            <w:r>
              <w:rPr>
                <w:rFonts w:ascii="Arial" w:eastAsia="仿宋_GB2312" w:hAnsi="Arial" w:cs="Arial" w:hint="eastAsia"/>
                <w:sz w:val="18"/>
                <w:szCs w:val="18"/>
              </w:rPr>
              <w:t>苏州桥</w:t>
            </w:r>
            <w:r w:rsidRPr="00F631FB">
              <w:rPr>
                <w:rFonts w:ascii="Arial" w:eastAsia="仿宋_GB2312" w:hAnsi="Arial" w:cs="Arial" w:hint="eastAsia"/>
                <w:sz w:val="18"/>
                <w:szCs w:val="18"/>
              </w:rPr>
              <w:t>约</w:t>
            </w:r>
            <w:r>
              <w:rPr>
                <w:rFonts w:ascii="Arial" w:eastAsia="仿宋_GB2312" w:hAnsi="Arial" w:cs="Arial" w:hint="eastAsia"/>
                <w:sz w:val="18"/>
                <w:szCs w:val="18"/>
              </w:rPr>
              <w:t>1</w:t>
            </w:r>
            <w:r>
              <w:rPr>
                <w:rFonts w:ascii="Arial" w:eastAsia="仿宋_GB2312" w:hAnsi="Arial" w:cs="Arial"/>
                <w:sz w:val="18"/>
                <w:szCs w:val="18"/>
              </w:rPr>
              <w:t>50</w:t>
            </w:r>
            <w:r w:rsidRPr="00F631FB">
              <w:rPr>
                <w:rFonts w:ascii="Arial" w:eastAsia="仿宋_GB2312" w:hAnsi="Arial" w:cs="Arial" w:hint="eastAsia"/>
                <w:sz w:val="18"/>
                <w:szCs w:val="18"/>
              </w:rPr>
              <w:t>米，距北京首都国际机场约</w:t>
            </w:r>
            <w:r>
              <w:rPr>
                <w:rFonts w:ascii="Arial" w:eastAsia="仿宋_GB2312" w:hAnsi="Arial" w:cs="Arial"/>
                <w:sz w:val="18"/>
                <w:szCs w:val="18"/>
              </w:rPr>
              <w:t>28</w:t>
            </w:r>
            <w:r w:rsidRPr="00F631FB">
              <w:rPr>
                <w:rFonts w:ascii="Arial" w:eastAsia="仿宋_GB2312" w:hAnsi="Arial" w:cs="Arial" w:hint="eastAsia"/>
                <w:sz w:val="18"/>
                <w:szCs w:val="18"/>
              </w:rPr>
              <w:t>公里，距北京北站约</w:t>
            </w:r>
            <w:r>
              <w:rPr>
                <w:rFonts w:ascii="Arial" w:eastAsia="仿宋_GB2312" w:hAnsi="Arial" w:cs="Arial"/>
                <w:sz w:val="18"/>
                <w:szCs w:val="18"/>
              </w:rPr>
              <w:t>12</w:t>
            </w:r>
            <w:r w:rsidRPr="00F631FB">
              <w:rPr>
                <w:rFonts w:ascii="Arial" w:eastAsia="仿宋_GB2312" w:hAnsi="Arial" w:cs="Arial" w:hint="eastAsia"/>
                <w:sz w:val="18"/>
                <w:szCs w:val="18"/>
              </w:rPr>
              <w:t>公里，</w:t>
            </w:r>
            <w:r w:rsidRPr="00F21B5D">
              <w:rPr>
                <w:rFonts w:ascii="Arial" w:eastAsia="仿宋_GB2312" w:hAnsi="Arial" w:cs="Arial" w:hint="eastAsia"/>
                <w:sz w:val="18"/>
                <w:szCs w:val="18"/>
              </w:rPr>
              <w:t>周边有</w:t>
            </w:r>
            <w:r>
              <w:rPr>
                <w:rFonts w:ascii="Arial" w:eastAsia="仿宋_GB2312" w:hAnsi="Arial" w:cs="Arial"/>
                <w:sz w:val="18"/>
                <w:szCs w:val="18"/>
              </w:rPr>
              <w:t>26</w:t>
            </w:r>
            <w:r w:rsidRPr="00F21B5D">
              <w:rPr>
                <w:rFonts w:ascii="Arial" w:eastAsia="仿宋_GB2312" w:hAnsi="Arial" w:cs="Arial" w:hint="eastAsia"/>
                <w:sz w:val="18"/>
                <w:szCs w:val="18"/>
              </w:rPr>
              <w:t>路、</w:t>
            </w:r>
            <w:r>
              <w:rPr>
                <w:rFonts w:ascii="Arial" w:eastAsia="仿宋_GB2312" w:hAnsi="Arial" w:cs="Arial"/>
                <w:sz w:val="18"/>
                <w:szCs w:val="18"/>
              </w:rPr>
              <w:t>74</w:t>
            </w:r>
            <w:r w:rsidRPr="00F21B5D">
              <w:rPr>
                <w:rFonts w:ascii="Arial" w:eastAsia="仿宋_GB2312" w:hAnsi="Arial" w:cs="Arial" w:hint="eastAsia"/>
                <w:sz w:val="18"/>
                <w:szCs w:val="18"/>
              </w:rPr>
              <w:t>路、</w:t>
            </w:r>
            <w:r>
              <w:rPr>
                <w:rFonts w:ascii="Arial" w:eastAsia="仿宋_GB2312" w:hAnsi="Arial" w:cs="Arial"/>
                <w:sz w:val="18"/>
                <w:szCs w:val="18"/>
              </w:rPr>
              <w:t>361</w:t>
            </w:r>
            <w:r w:rsidRPr="00F21B5D">
              <w:rPr>
                <w:rFonts w:ascii="Arial" w:eastAsia="仿宋_GB2312" w:hAnsi="Arial" w:cs="Arial" w:hint="eastAsia"/>
                <w:sz w:val="18"/>
                <w:szCs w:val="18"/>
              </w:rPr>
              <w:t>路、</w:t>
            </w:r>
            <w:r>
              <w:rPr>
                <w:rFonts w:ascii="Arial" w:eastAsia="仿宋_GB2312" w:hAnsi="Arial" w:cs="Arial"/>
                <w:sz w:val="18"/>
                <w:szCs w:val="18"/>
              </w:rPr>
              <w:t>374</w:t>
            </w:r>
            <w:r w:rsidRPr="00F21B5D">
              <w:rPr>
                <w:rFonts w:ascii="Arial" w:eastAsia="仿宋_GB2312" w:hAnsi="Arial" w:cs="Arial" w:hint="eastAsia"/>
                <w:sz w:val="18"/>
                <w:szCs w:val="18"/>
              </w:rPr>
              <w:t>路、</w:t>
            </w:r>
            <w:r>
              <w:rPr>
                <w:rFonts w:ascii="Arial" w:eastAsia="仿宋_GB2312" w:hAnsi="Arial" w:cs="Arial"/>
                <w:sz w:val="18"/>
                <w:szCs w:val="18"/>
              </w:rPr>
              <w:t>450</w:t>
            </w:r>
            <w:r w:rsidRPr="00F21B5D">
              <w:rPr>
                <w:rFonts w:ascii="Arial" w:eastAsia="仿宋_GB2312" w:hAnsi="Arial" w:cs="Arial" w:hint="eastAsia"/>
                <w:sz w:val="18"/>
                <w:szCs w:val="18"/>
              </w:rPr>
              <w:t>路、</w:t>
            </w:r>
            <w:r>
              <w:rPr>
                <w:rFonts w:ascii="Arial" w:eastAsia="仿宋_GB2312" w:hAnsi="Arial" w:cs="Arial"/>
                <w:sz w:val="18"/>
                <w:szCs w:val="18"/>
              </w:rPr>
              <w:t>563</w:t>
            </w:r>
            <w:r w:rsidRPr="00F21B5D">
              <w:rPr>
                <w:rFonts w:ascii="Arial" w:eastAsia="仿宋_GB2312" w:hAnsi="Arial" w:cs="Arial" w:hint="eastAsia"/>
                <w:sz w:val="18"/>
                <w:szCs w:val="18"/>
              </w:rPr>
              <w:t>路等多条公交线路通过，</w:t>
            </w:r>
            <w:r w:rsidRPr="00F631FB">
              <w:rPr>
                <w:rFonts w:ascii="Arial" w:eastAsia="仿宋_GB2312" w:hAnsi="Arial" w:cs="Arial" w:hint="eastAsia"/>
                <w:sz w:val="18"/>
                <w:szCs w:val="18"/>
              </w:rPr>
              <w:t>综合评价交通便捷度较好</w:t>
            </w:r>
            <w:r>
              <w:rPr>
                <w:rFonts w:ascii="Arial" w:eastAsia="仿宋_GB2312" w:hAnsi="Arial" w:cs="Arial" w:hint="eastAsia"/>
                <w:sz w:val="18"/>
                <w:szCs w:val="18"/>
              </w:rPr>
              <w:t>。</w:t>
            </w:r>
          </w:p>
        </w:tc>
        <w:tc>
          <w:tcPr>
            <w:tcW w:w="339" w:type="pct"/>
            <w:shd w:val="clear" w:color="auto" w:fill="auto"/>
            <w:vAlign w:val="center"/>
            <w:hideMark/>
          </w:tcPr>
          <w:p w14:paraId="3109BEB8"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49" w:type="pct"/>
            <w:shd w:val="clear" w:color="auto" w:fill="auto"/>
            <w:vAlign w:val="center"/>
            <w:hideMark/>
          </w:tcPr>
          <w:p w14:paraId="5DE669D7" w14:textId="2B54D0F3"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紧邻</w:t>
            </w: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长春桥路，临近北三环西，</w:t>
            </w:r>
            <w:r w:rsidRPr="00F631FB">
              <w:rPr>
                <w:rFonts w:ascii="Arial" w:eastAsia="仿宋_GB2312" w:hAnsi="Arial" w:cs="Arial" w:hint="eastAsia"/>
                <w:sz w:val="18"/>
                <w:szCs w:val="18"/>
              </w:rPr>
              <w:t>距地铁</w:t>
            </w:r>
            <w:r w:rsidRPr="00F631FB">
              <w:rPr>
                <w:rFonts w:ascii="Arial" w:eastAsia="仿宋_GB2312" w:hAnsi="Arial" w:cs="Arial" w:hint="eastAsia"/>
                <w:sz w:val="18"/>
                <w:szCs w:val="18"/>
              </w:rPr>
              <w:t>16</w:t>
            </w:r>
            <w:r w:rsidRPr="00F631FB">
              <w:rPr>
                <w:rFonts w:ascii="Arial" w:eastAsia="仿宋_GB2312" w:hAnsi="Arial" w:cs="Arial" w:hint="eastAsia"/>
                <w:sz w:val="18"/>
                <w:szCs w:val="18"/>
              </w:rPr>
              <w:t>号线</w:t>
            </w:r>
            <w:r>
              <w:rPr>
                <w:rFonts w:ascii="Arial" w:eastAsia="仿宋_GB2312" w:hAnsi="Arial" w:cs="Arial" w:hint="eastAsia"/>
                <w:sz w:val="18"/>
                <w:szCs w:val="18"/>
              </w:rPr>
              <w:t>苏州桥</w:t>
            </w:r>
            <w:r w:rsidRPr="00F631FB">
              <w:rPr>
                <w:rFonts w:ascii="Arial" w:eastAsia="仿宋_GB2312" w:hAnsi="Arial" w:cs="Arial" w:hint="eastAsia"/>
                <w:sz w:val="18"/>
                <w:szCs w:val="18"/>
              </w:rPr>
              <w:t>约</w:t>
            </w:r>
            <w:r>
              <w:rPr>
                <w:rFonts w:ascii="Arial" w:eastAsia="仿宋_GB2312" w:hAnsi="Arial" w:cs="Arial"/>
                <w:sz w:val="18"/>
                <w:szCs w:val="18"/>
              </w:rPr>
              <w:t>650</w:t>
            </w:r>
            <w:r w:rsidRPr="00F631FB">
              <w:rPr>
                <w:rFonts w:ascii="Arial" w:eastAsia="仿宋_GB2312" w:hAnsi="Arial" w:cs="Arial" w:hint="eastAsia"/>
                <w:sz w:val="18"/>
                <w:szCs w:val="18"/>
              </w:rPr>
              <w:t>米，距北京首都国际机场约</w:t>
            </w:r>
            <w:r>
              <w:rPr>
                <w:rFonts w:ascii="Arial" w:eastAsia="仿宋_GB2312" w:hAnsi="Arial" w:cs="Arial"/>
                <w:sz w:val="18"/>
                <w:szCs w:val="18"/>
              </w:rPr>
              <w:t>29</w:t>
            </w:r>
            <w:r w:rsidRPr="00F631FB">
              <w:rPr>
                <w:rFonts w:ascii="Arial" w:eastAsia="仿宋_GB2312" w:hAnsi="Arial" w:cs="Arial" w:hint="eastAsia"/>
                <w:sz w:val="18"/>
                <w:szCs w:val="18"/>
              </w:rPr>
              <w:t>公里，距北京北站约</w:t>
            </w:r>
            <w:r>
              <w:rPr>
                <w:rFonts w:ascii="Arial" w:eastAsia="仿宋_GB2312" w:hAnsi="Arial" w:cs="Arial"/>
                <w:sz w:val="18"/>
                <w:szCs w:val="18"/>
              </w:rPr>
              <w:t>13</w:t>
            </w:r>
            <w:r w:rsidRPr="00F631FB">
              <w:rPr>
                <w:rFonts w:ascii="Arial" w:eastAsia="仿宋_GB2312" w:hAnsi="Arial" w:cs="Arial" w:hint="eastAsia"/>
                <w:sz w:val="18"/>
                <w:szCs w:val="18"/>
              </w:rPr>
              <w:t>公里，</w:t>
            </w:r>
            <w:r w:rsidRPr="00F21B5D">
              <w:rPr>
                <w:rFonts w:ascii="Arial" w:eastAsia="仿宋_GB2312" w:hAnsi="Arial" w:cs="Arial" w:hint="eastAsia"/>
                <w:sz w:val="18"/>
                <w:szCs w:val="18"/>
              </w:rPr>
              <w:t>周边有</w:t>
            </w:r>
            <w:r>
              <w:rPr>
                <w:rFonts w:ascii="Arial" w:eastAsia="仿宋_GB2312" w:hAnsi="Arial" w:cs="Arial"/>
                <w:sz w:val="18"/>
                <w:szCs w:val="18"/>
              </w:rPr>
              <w:t>26</w:t>
            </w:r>
            <w:r w:rsidRPr="00F21B5D">
              <w:rPr>
                <w:rFonts w:ascii="Arial" w:eastAsia="仿宋_GB2312" w:hAnsi="Arial" w:cs="Arial" w:hint="eastAsia"/>
                <w:sz w:val="18"/>
                <w:szCs w:val="18"/>
              </w:rPr>
              <w:t>路、</w:t>
            </w:r>
            <w:r>
              <w:rPr>
                <w:rFonts w:ascii="Arial" w:eastAsia="仿宋_GB2312" w:hAnsi="Arial" w:cs="Arial"/>
                <w:sz w:val="18"/>
                <w:szCs w:val="18"/>
              </w:rPr>
              <w:t>74</w:t>
            </w:r>
            <w:r w:rsidRPr="00F21B5D">
              <w:rPr>
                <w:rFonts w:ascii="Arial" w:eastAsia="仿宋_GB2312" w:hAnsi="Arial" w:cs="Arial" w:hint="eastAsia"/>
                <w:sz w:val="18"/>
                <w:szCs w:val="18"/>
              </w:rPr>
              <w:t>路、</w:t>
            </w:r>
            <w:r>
              <w:rPr>
                <w:rFonts w:ascii="Arial" w:eastAsia="仿宋_GB2312" w:hAnsi="Arial" w:cs="Arial"/>
                <w:sz w:val="18"/>
                <w:szCs w:val="18"/>
              </w:rPr>
              <w:t>361</w:t>
            </w:r>
            <w:r w:rsidRPr="00F21B5D">
              <w:rPr>
                <w:rFonts w:ascii="Arial" w:eastAsia="仿宋_GB2312" w:hAnsi="Arial" w:cs="Arial" w:hint="eastAsia"/>
                <w:sz w:val="18"/>
                <w:szCs w:val="18"/>
              </w:rPr>
              <w:t>路、</w:t>
            </w:r>
            <w:r>
              <w:rPr>
                <w:rFonts w:ascii="Arial" w:eastAsia="仿宋_GB2312" w:hAnsi="Arial" w:cs="Arial"/>
                <w:sz w:val="18"/>
                <w:szCs w:val="18"/>
              </w:rPr>
              <w:t>374</w:t>
            </w:r>
            <w:r w:rsidRPr="00F21B5D">
              <w:rPr>
                <w:rFonts w:ascii="Arial" w:eastAsia="仿宋_GB2312" w:hAnsi="Arial" w:cs="Arial" w:hint="eastAsia"/>
                <w:sz w:val="18"/>
                <w:szCs w:val="18"/>
              </w:rPr>
              <w:t>路、</w:t>
            </w:r>
            <w:r>
              <w:rPr>
                <w:rFonts w:ascii="Arial" w:eastAsia="仿宋_GB2312" w:hAnsi="Arial" w:cs="Arial"/>
                <w:sz w:val="18"/>
                <w:szCs w:val="18"/>
              </w:rPr>
              <w:t>450</w:t>
            </w:r>
            <w:r w:rsidRPr="00F21B5D">
              <w:rPr>
                <w:rFonts w:ascii="Arial" w:eastAsia="仿宋_GB2312" w:hAnsi="Arial" w:cs="Arial" w:hint="eastAsia"/>
                <w:sz w:val="18"/>
                <w:szCs w:val="18"/>
              </w:rPr>
              <w:t>路、</w:t>
            </w:r>
            <w:r>
              <w:rPr>
                <w:rFonts w:ascii="Arial" w:eastAsia="仿宋_GB2312" w:hAnsi="Arial" w:cs="Arial"/>
                <w:sz w:val="18"/>
                <w:szCs w:val="18"/>
              </w:rPr>
              <w:t>563</w:t>
            </w:r>
            <w:r w:rsidRPr="00F21B5D">
              <w:rPr>
                <w:rFonts w:ascii="Arial" w:eastAsia="仿宋_GB2312" w:hAnsi="Arial" w:cs="Arial" w:hint="eastAsia"/>
                <w:sz w:val="18"/>
                <w:szCs w:val="18"/>
              </w:rPr>
              <w:t>路等多条公交线路通过，</w:t>
            </w:r>
            <w:r w:rsidRPr="00F631FB">
              <w:rPr>
                <w:rFonts w:ascii="Arial" w:eastAsia="仿宋_GB2312" w:hAnsi="Arial" w:cs="Arial" w:hint="eastAsia"/>
                <w:sz w:val="18"/>
                <w:szCs w:val="18"/>
              </w:rPr>
              <w:t>综合评价交通便捷度较好</w:t>
            </w:r>
            <w:r>
              <w:rPr>
                <w:rFonts w:ascii="Arial" w:eastAsia="仿宋_GB2312" w:hAnsi="Arial" w:cs="Arial" w:hint="eastAsia"/>
                <w:sz w:val="18"/>
                <w:szCs w:val="18"/>
              </w:rPr>
              <w:t>。</w:t>
            </w:r>
          </w:p>
        </w:tc>
        <w:tc>
          <w:tcPr>
            <w:tcW w:w="328" w:type="pct"/>
            <w:shd w:val="clear" w:color="auto" w:fill="auto"/>
            <w:vAlign w:val="center"/>
            <w:hideMark/>
          </w:tcPr>
          <w:p w14:paraId="6B774481"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81160B" w:rsidRPr="00F631FB" w14:paraId="4CDE14F0" w14:textId="77777777" w:rsidTr="00E736F2">
        <w:trPr>
          <w:trHeight w:val="5649"/>
          <w:jc w:val="center"/>
        </w:trPr>
        <w:tc>
          <w:tcPr>
            <w:tcW w:w="159" w:type="pct"/>
            <w:vMerge/>
            <w:vAlign w:val="center"/>
            <w:hideMark/>
          </w:tcPr>
          <w:p w14:paraId="6A56392A"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08DBF2E7"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858" w:type="pct"/>
            <w:shd w:val="clear" w:color="auto" w:fill="auto"/>
            <w:vAlign w:val="center"/>
            <w:hideMark/>
          </w:tcPr>
          <w:p w14:paraId="6529294F" w14:textId="0D874985" w:rsidR="0081160B" w:rsidRPr="00F631FB" w:rsidRDefault="0081160B" w:rsidP="0081160B">
            <w:pPr>
              <w:jc w:val="center"/>
              <w:rPr>
                <w:rFonts w:ascii="Arial" w:eastAsia="仿宋_GB2312" w:hAnsi="Arial" w:cs="Arial"/>
                <w:sz w:val="18"/>
                <w:szCs w:val="18"/>
              </w:rPr>
            </w:pPr>
            <w:r>
              <w:rPr>
                <w:rFonts w:ascii="Arial" w:eastAsia="仿宋_GB2312" w:hAnsi="Arial" w:cs="Arial" w:hint="eastAsia"/>
                <w:kern w:val="2"/>
                <w:sz w:val="18"/>
                <w:szCs w:val="18"/>
              </w:rPr>
              <w:t>估价对象周边</w:t>
            </w:r>
            <w:r>
              <w:rPr>
                <w:rFonts w:ascii="Arial" w:eastAsia="仿宋_GB2312" w:hAnsi="Arial" w:cs="Arial" w:hint="eastAsia"/>
                <w:kern w:val="2"/>
                <w:sz w:val="18"/>
                <w:szCs w:val="18"/>
              </w:rPr>
              <w:t>2</w:t>
            </w:r>
            <w:r>
              <w:rPr>
                <w:rFonts w:ascii="Arial" w:eastAsia="仿宋_GB2312" w:hAnsi="Arial" w:cs="Arial" w:hint="eastAsia"/>
                <w:kern w:val="2"/>
                <w:sz w:val="18"/>
                <w:szCs w:val="18"/>
              </w:rPr>
              <w:t>公里范围内有</w:t>
            </w:r>
            <w:r w:rsidRPr="00C61BB4">
              <w:rPr>
                <w:rFonts w:ascii="Arial" w:eastAsia="仿宋_GB2312" w:hAnsi="Arial" w:cs="Arial" w:hint="eastAsia"/>
                <w:kern w:val="2"/>
                <w:sz w:val="18"/>
                <w:szCs w:val="18"/>
              </w:rPr>
              <w:t>购物场所（新中关购物中心、</w:t>
            </w:r>
            <w:proofErr w:type="gramStart"/>
            <w:r w:rsidRPr="00C61BB4">
              <w:rPr>
                <w:rFonts w:ascii="Arial" w:eastAsia="仿宋_GB2312" w:hAnsi="Arial" w:cs="Arial" w:hint="eastAsia"/>
                <w:kern w:val="2"/>
                <w:sz w:val="18"/>
                <w:szCs w:val="18"/>
              </w:rPr>
              <w:t>领展购物</w:t>
            </w:r>
            <w:proofErr w:type="gramEnd"/>
            <w:r w:rsidRPr="00C61BB4">
              <w:rPr>
                <w:rFonts w:ascii="Arial" w:eastAsia="仿宋_GB2312" w:hAnsi="Arial" w:cs="Arial" w:hint="eastAsia"/>
                <w:kern w:val="2"/>
                <w:sz w:val="18"/>
                <w:szCs w:val="18"/>
              </w:rPr>
              <w:t>广场（中关村店）、</w:t>
            </w:r>
            <w:r w:rsidRPr="00C61BB4">
              <w:rPr>
                <w:rFonts w:ascii="Arial" w:eastAsia="仿宋_GB2312" w:hAnsi="Arial" w:cs="Arial" w:hint="eastAsia"/>
                <w:kern w:val="2"/>
                <w:sz w:val="18"/>
                <w:szCs w:val="18"/>
              </w:rPr>
              <w:t>BHG MALL</w:t>
            </w:r>
            <w:r w:rsidRPr="00C61BB4">
              <w:rPr>
                <w:rFonts w:ascii="Arial" w:eastAsia="仿宋_GB2312" w:hAnsi="Arial" w:cs="Arial" w:hint="eastAsia"/>
                <w:kern w:val="2"/>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251" w:type="pct"/>
            <w:shd w:val="clear" w:color="auto" w:fill="auto"/>
            <w:vAlign w:val="center"/>
            <w:hideMark/>
          </w:tcPr>
          <w:p w14:paraId="7722B933"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hideMark/>
          </w:tcPr>
          <w:p w14:paraId="0A27E340" w14:textId="00FC8D3B"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A21148">
              <w:rPr>
                <w:rFonts w:ascii="Arial" w:eastAsia="仿宋_GB2312" w:hAnsi="Arial" w:cs="Arial" w:hint="eastAsia"/>
                <w:kern w:val="2"/>
                <w:sz w:val="18"/>
                <w:szCs w:val="18"/>
              </w:rPr>
              <w:t>周边</w:t>
            </w:r>
            <w:r w:rsidRPr="00A21148">
              <w:rPr>
                <w:rFonts w:ascii="Arial" w:eastAsia="仿宋_GB2312" w:hAnsi="Arial" w:cs="Arial" w:hint="eastAsia"/>
                <w:kern w:val="2"/>
                <w:sz w:val="18"/>
                <w:szCs w:val="18"/>
              </w:rPr>
              <w:t>2</w:t>
            </w:r>
            <w:r w:rsidRPr="00A21148">
              <w:rPr>
                <w:rFonts w:ascii="Arial" w:eastAsia="仿宋_GB2312" w:hAnsi="Arial" w:cs="Arial" w:hint="eastAsia"/>
                <w:kern w:val="2"/>
                <w:sz w:val="18"/>
                <w:szCs w:val="18"/>
              </w:rPr>
              <w:t>公里范围内有购物场所（新中关购物中心、</w:t>
            </w:r>
            <w:proofErr w:type="gramStart"/>
            <w:r w:rsidRPr="00A21148">
              <w:rPr>
                <w:rFonts w:ascii="Arial" w:eastAsia="仿宋_GB2312" w:hAnsi="Arial" w:cs="Arial" w:hint="eastAsia"/>
                <w:kern w:val="2"/>
                <w:sz w:val="18"/>
                <w:szCs w:val="18"/>
              </w:rPr>
              <w:t>领展购物</w:t>
            </w:r>
            <w:proofErr w:type="gramEnd"/>
            <w:r w:rsidRPr="00A21148">
              <w:rPr>
                <w:rFonts w:ascii="Arial" w:eastAsia="仿宋_GB2312" w:hAnsi="Arial" w:cs="Arial" w:hint="eastAsia"/>
                <w:kern w:val="2"/>
                <w:sz w:val="18"/>
                <w:szCs w:val="18"/>
              </w:rPr>
              <w:t>广场（中关村店）、</w:t>
            </w:r>
            <w:r w:rsidRPr="00A21148">
              <w:rPr>
                <w:rFonts w:ascii="Arial" w:eastAsia="仿宋_GB2312" w:hAnsi="Arial" w:cs="Arial" w:hint="eastAsia"/>
                <w:kern w:val="2"/>
                <w:sz w:val="18"/>
                <w:szCs w:val="18"/>
              </w:rPr>
              <w:t>BHG MALL</w:t>
            </w:r>
            <w:r w:rsidRPr="00A21148">
              <w:rPr>
                <w:rFonts w:ascii="Arial" w:eastAsia="仿宋_GB2312" w:hAnsi="Arial" w:cs="Arial" w:hint="eastAsia"/>
                <w:kern w:val="2"/>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314" w:type="pct"/>
            <w:shd w:val="clear" w:color="auto" w:fill="auto"/>
            <w:vAlign w:val="center"/>
            <w:hideMark/>
          </w:tcPr>
          <w:p w14:paraId="3745BC55"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0956D78F" w14:textId="202D2251"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kern w:val="2"/>
                <w:sz w:val="18"/>
                <w:szCs w:val="18"/>
              </w:rPr>
              <w:t>周边</w:t>
            </w:r>
            <w:r>
              <w:rPr>
                <w:rFonts w:ascii="Arial" w:eastAsia="仿宋_GB2312" w:hAnsi="Arial" w:cs="Arial" w:hint="eastAsia"/>
                <w:kern w:val="2"/>
                <w:sz w:val="18"/>
                <w:szCs w:val="18"/>
              </w:rPr>
              <w:t>2</w:t>
            </w:r>
            <w:r>
              <w:rPr>
                <w:rFonts w:ascii="Arial" w:eastAsia="仿宋_GB2312" w:hAnsi="Arial" w:cs="Arial" w:hint="eastAsia"/>
                <w:kern w:val="2"/>
                <w:sz w:val="18"/>
                <w:szCs w:val="18"/>
              </w:rPr>
              <w:t>公里范围内有</w:t>
            </w:r>
            <w:r w:rsidRPr="00C61BB4">
              <w:rPr>
                <w:rFonts w:ascii="Arial" w:eastAsia="仿宋_GB2312" w:hAnsi="Arial" w:cs="Arial" w:hint="eastAsia"/>
                <w:kern w:val="2"/>
                <w:sz w:val="18"/>
                <w:szCs w:val="18"/>
              </w:rPr>
              <w:t>购物场所（新中关购物中心、</w:t>
            </w:r>
            <w:proofErr w:type="gramStart"/>
            <w:r w:rsidRPr="00C61BB4">
              <w:rPr>
                <w:rFonts w:ascii="Arial" w:eastAsia="仿宋_GB2312" w:hAnsi="Arial" w:cs="Arial" w:hint="eastAsia"/>
                <w:kern w:val="2"/>
                <w:sz w:val="18"/>
                <w:szCs w:val="18"/>
              </w:rPr>
              <w:t>领展购物</w:t>
            </w:r>
            <w:proofErr w:type="gramEnd"/>
            <w:r w:rsidRPr="00C61BB4">
              <w:rPr>
                <w:rFonts w:ascii="Arial" w:eastAsia="仿宋_GB2312" w:hAnsi="Arial" w:cs="Arial" w:hint="eastAsia"/>
                <w:kern w:val="2"/>
                <w:sz w:val="18"/>
                <w:szCs w:val="18"/>
              </w:rPr>
              <w:t>广场（中关村店）、</w:t>
            </w:r>
            <w:r w:rsidRPr="00C61BB4">
              <w:rPr>
                <w:rFonts w:ascii="Arial" w:eastAsia="仿宋_GB2312" w:hAnsi="Arial" w:cs="Arial" w:hint="eastAsia"/>
                <w:kern w:val="2"/>
                <w:sz w:val="18"/>
                <w:szCs w:val="18"/>
              </w:rPr>
              <w:t>BHG MALL</w:t>
            </w:r>
            <w:r w:rsidRPr="00C61BB4">
              <w:rPr>
                <w:rFonts w:ascii="Arial" w:eastAsia="仿宋_GB2312" w:hAnsi="Arial" w:cs="Arial" w:hint="eastAsia"/>
                <w:kern w:val="2"/>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339" w:type="pct"/>
            <w:shd w:val="clear" w:color="auto" w:fill="auto"/>
            <w:vAlign w:val="center"/>
            <w:hideMark/>
          </w:tcPr>
          <w:p w14:paraId="639831C9"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60BAC5A2" w14:textId="17129920"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kern w:val="2"/>
                <w:sz w:val="18"/>
                <w:szCs w:val="18"/>
              </w:rPr>
              <w:t>周边</w:t>
            </w:r>
            <w:r>
              <w:rPr>
                <w:rFonts w:ascii="Arial" w:eastAsia="仿宋_GB2312" w:hAnsi="Arial" w:cs="Arial" w:hint="eastAsia"/>
                <w:kern w:val="2"/>
                <w:sz w:val="18"/>
                <w:szCs w:val="18"/>
              </w:rPr>
              <w:t>2</w:t>
            </w:r>
            <w:r>
              <w:rPr>
                <w:rFonts w:ascii="Arial" w:eastAsia="仿宋_GB2312" w:hAnsi="Arial" w:cs="Arial" w:hint="eastAsia"/>
                <w:kern w:val="2"/>
                <w:sz w:val="18"/>
                <w:szCs w:val="18"/>
              </w:rPr>
              <w:t>公里范围内有</w:t>
            </w:r>
            <w:r w:rsidRPr="00C61BB4">
              <w:rPr>
                <w:rFonts w:ascii="Arial" w:eastAsia="仿宋_GB2312" w:hAnsi="Arial" w:cs="Arial" w:hint="eastAsia"/>
                <w:kern w:val="2"/>
                <w:sz w:val="18"/>
                <w:szCs w:val="18"/>
              </w:rPr>
              <w:t>购物场所（新中关购物中心、</w:t>
            </w:r>
            <w:proofErr w:type="gramStart"/>
            <w:r w:rsidRPr="00C61BB4">
              <w:rPr>
                <w:rFonts w:ascii="Arial" w:eastAsia="仿宋_GB2312" w:hAnsi="Arial" w:cs="Arial" w:hint="eastAsia"/>
                <w:kern w:val="2"/>
                <w:sz w:val="18"/>
                <w:szCs w:val="18"/>
              </w:rPr>
              <w:t>领展购物</w:t>
            </w:r>
            <w:proofErr w:type="gramEnd"/>
            <w:r w:rsidRPr="00C61BB4">
              <w:rPr>
                <w:rFonts w:ascii="Arial" w:eastAsia="仿宋_GB2312" w:hAnsi="Arial" w:cs="Arial" w:hint="eastAsia"/>
                <w:kern w:val="2"/>
                <w:sz w:val="18"/>
                <w:szCs w:val="18"/>
              </w:rPr>
              <w:t>广场（中关村店）、</w:t>
            </w:r>
            <w:r w:rsidRPr="00C61BB4">
              <w:rPr>
                <w:rFonts w:ascii="Arial" w:eastAsia="仿宋_GB2312" w:hAnsi="Arial" w:cs="Arial" w:hint="eastAsia"/>
                <w:kern w:val="2"/>
                <w:sz w:val="18"/>
                <w:szCs w:val="18"/>
              </w:rPr>
              <w:t>BHG MALL</w:t>
            </w:r>
            <w:r w:rsidRPr="00C61BB4">
              <w:rPr>
                <w:rFonts w:ascii="Arial" w:eastAsia="仿宋_GB2312" w:hAnsi="Arial" w:cs="Arial" w:hint="eastAsia"/>
                <w:kern w:val="2"/>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328" w:type="pct"/>
            <w:shd w:val="clear" w:color="auto" w:fill="auto"/>
            <w:vAlign w:val="center"/>
            <w:hideMark/>
          </w:tcPr>
          <w:p w14:paraId="783CBAFB"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160B" w:rsidRPr="00F631FB" w14:paraId="52BB5F59" w14:textId="77777777" w:rsidTr="00E736F2">
        <w:trPr>
          <w:trHeight w:val="450"/>
          <w:jc w:val="center"/>
        </w:trPr>
        <w:tc>
          <w:tcPr>
            <w:tcW w:w="159" w:type="pct"/>
            <w:vMerge/>
            <w:vAlign w:val="center"/>
            <w:hideMark/>
          </w:tcPr>
          <w:p w14:paraId="7ED6086F"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740E94F0"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858" w:type="pct"/>
            <w:shd w:val="clear" w:color="auto" w:fill="auto"/>
            <w:vAlign w:val="center"/>
            <w:hideMark/>
          </w:tcPr>
          <w:p w14:paraId="6E74BCE3"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51" w:type="pct"/>
            <w:shd w:val="clear" w:color="auto" w:fill="auto"/>
            <w:vAlign w:val="center"/>
            <w:hideMark/>
          </w:tcPr>
          <w:p w14:paraId="0F7F3A7E"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1EF3A827" w14:textId="41EEE0C3"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314" w:type="pct"/>
            <w:shd w:val="clear" w:color="auto" w:fill="auto"/>
            <w:vAlign w:val="center"/>
            <w:hideMark/>
          </w:tcPr>
          <w:p w14:paraId="04869260"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39AA14D0"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339" w:type="pct"/>
            <w:shd w:val="clear" w:color="auto" w:fill="auto"/>
            <w:vAlign w:val="center"/>
            <w:hideMark/>
          </w:tcPr>
          <w:p w14:paraId="4CED4248"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4514B260"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328" w:type="pct"/>
            <w:shd w:val="clear" w:color="auto" w:fill="auto"/>
            <w:vAlign w:val="center"/>
            <w:hideMark/>
          </w:tcPr>
          <w:p w14:paraId="460BEE22"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160B" w:rsidRPr="00F631FB" w14:paraId="6C63AFFE" w14:textId="77777777" w:rsidTr="00E736F2">
        <w:trPr>
          <w:trHeight w:val="300"/>
          <w:jc w:val="center"/>
        </w:trPr>
        <w:tc>
          <w:tcPr>
            <w:tcW w:w="159" w:type="pct"/>
            <w:vMerge/>
            <w:vAlign w:val="center"/>
            <w:hideMark/>
          </w:tcPr>
          <w:p w14:paraId="7945C0BB"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03FFB941"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环境质量</w:t>
            </w:r>
          </w:p>
        </w:tc>
        <w:tc>
          <w:tcPr>
            <w:tcW w:w="858" w:type="pct"/>
            <w:shd w:val="clear" w:color="auto" w:fill="auto"/>
            <w:vAlign w:val="center"/>
            <w:hideMark/>
          </w:tcPr>
          <w:p w14:paraId="047294B6" w14:textId="09BB4748"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C61BB4">
              <w:rPr>
                <w:rFonts w:ascii="Arial" w:eastAsia="仿宋_GB2312" w:hAnsi="Arial" w:cs="Arial" w:hint="eastAsia"/>
                <w:kern w:val="2"/>
                <w:sz w:val="18"/>
                <w:szCs w:val="18"/>
              </w:rPr>
              <w:t>周边</w:t>
            </w:r>
            <w:r w:rsidRPr="00C61BB4">
              <w:rPr>
                <w:rFonts w:ascii="Arial" w:eastAsia="仿宋_GB2312" w:hAnsi="Arial" w:cs="Arial" w:hint="eastAsia"/>
                <w:kern w:val="2"/>
                <w:sz w:val="18"/>
                <w:szCs w:val="18"/>
              </w:rPr>
              <w:t>2</w:t>
            </w:r>
            <w:r w:rsidRPr="00C61BB4">
              <w:rPr>
                <w:rFonts w:ascii="Arial" w:eastAsia="仿宋_GB2312" w:hAnsi="Arial" w:cs="Arial" w:hint="eastAsia"/>
                <w:kern w:val="2"/>
                <w:sz w:val="18"/>
                <w:szCs w:val="18"/>
              </w:rPr>
              <w:t>公里内有海淀公园、知春公园、</w:t>
            </w:r>
            <w:proofErr w:type="gramStart"/>
            <w:r w:rsidRPr="00C61BB4">
              <w:rPr>
                <w:rFonts w:ascii="Arial" w:eastAsia="仿宋_GB2312" w:hAnsi="Arial" w:cs="Arial" w:hint="eastAsia"/>
                <w:kern w:val="2"/>
                <w:sz w:val="18"/>
                <w:szCs w:val="18"/>
              </w:rPr>
              <w:t>巴沟山水园</w:t>
            </w:r>
            <w:proofErr w:type="gramEnd"/>
            <w:r w:rsidRPr="00C61BB4">
              <w:rPr>
                <w:rFonts w:ascii="Arial" w:eastAsia="仿宋_GB2312" w:hAnsi="Arial" w:cs="Arial" w:hint="eastAsia"/>
                <w:kern w:val="2"/>
                <w:sz w:val="18"/>
                <w:szCs w:val="18"/>
              </w:rPr>
              <w:t>等；中国人民大学、北京大学等人文设施，综合考虑自然环境与人文环境较好。</w:t>
            </w:r>
          </w:p>
        </w:tc>
        <w:tc>
          <w:tcPr>
            <w:tcW w:w="251" w:type="pct"/>
            <w:shd w:val="clear" w:color="auto" w:fill="auto"/>
            <w:vAlign w:val="center"/>
            <w:hideMark/>
          </w:tcPr>
          <w:p w14:paraId="3ABFB008"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66D0F94C" w14:textId="4D3214ED"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C61BB4">
              <w:rPr>
                <w:rFonts w:ascii="Arial" w:eastAsia="仿宋_GB2312" w:hAnsi="Arial" w:cs="Arial" w:hint="eastAsia"/>
                <w:kern w:val="2"/>
                <w:sz w:val="18"/>
                <w:szCs w:val="18"/>
              </w:rPr>
              <w:t>周边</w:t>
            </w:r>
            <w:r w:rsidRPr="00C61BB4">
              <w:rPr>
                <w:rFonts w:ascii="Arial" w:eastAsia="仿宋_GB2312" w:hAnsi="Arial" w:cs="Arial" w:hint="eastAsia"/>
                <w:kern w:val="2"/>
                <w:sz w:val="18"/>
                <w:szCs w:val="18"/>
              </w:rPr>
              <w:t>2</w:t>
            </w:r>
            <w:r w:rsidRPr="00C61BB4">
              <w:rPr>
                <w:rFonts w:ascii="Arial" w:eastAsia="仿宋_GB2312" w:hAnsi="Arial" w:cs="Arial" w:hint="eastAsia"/>
                <w:kern w:val="2"/>
                <w:sz w:val="18"/>
                <w:szCs w:val="18"/>
              </w:rPr>
              <w:t>公里内有海淀公园、知春公园、</w:t>
            </w:r>
            <w:proofErr w:type="gramStart"/>
            <w:r w:rsidRPr="00C61BB4">
              <w:rPr>
                <w:rFonts w:ascii="Arial" w:eastAsia="仿宋_GB2312" w:hAnsi="Arial" w:cs="Arial" w:hint="eastAsia"/>
                <w:kern w:val="2"/>
                <w:sz w:val="18"/>
                <w:szCs w:val="18"/>
              </w:rPr>
              <w:t>巴沟山水园</w:t>
            </w:r>
            <w:proofErr w:type="gramEnd"/>
            <w:r w:rsidRPr="00C61BB4">
              <w:rPr>
                <w:rFonts w:ascii="Arial" w:eastAsia="仿宋_GB2312" w:hAnsi="Arial" w:cs="Arial" w:hint="eastAsia"/>
                <w:kern w:val="2"/>
                <w:sz w:val="18"/>
                <w:szCs w:val="18"/>
              </w:rPr>
              <w:t>等；中国人民大学、北京大学等人文设施，综合考虑自然环境与人文环境较好。</w:t>
            </w:r>
          </w:p>
        </w:tc>
        <w:tc>
          <w:tcPr>
            <w:tcW w:w="314" w:type="pct"/>
            <w:shd w:val="clear" w:color="auto" w:fill="auto"/>
            <w:vAlign w:val="center"/>
            <w:hideMark/>
          </w:tcPr>
          <w:p w14:paraId="79F8C301"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646" w:type="pct"/>
            <w:shd w:val="clear" w:color="auto" w:fill="auto"/>
            <w:vAlign w:val="center"/>
            <w:hideMark/>
          </w:tcPr>
          <w:p w14:paraId="575DFADE" w14:textId="4F0A092C"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C61BB4">
              <w:rPr>
                <w:rFonts w:ascii="Arial" w:eastAsia="仿宋_GB2312" w:hAnsi="Arial" w:cs="Arial" w:hint="eastAsia"/>
                <w:kern w:val="2"/>
                <w:sz w:val="18"/>
                <w:szCs w:val="18"/>
              </w:rPr>
              <w:t>周边</w:t>
            </w:r>
            <w:r w:rsidRPr="00C61BB4">
              <w:rPr>
                <w:rFonts w:ascii="Arial" w:eastAsia="仿宋_GB2312" w:hAnsi="Arial" w:cs="Arial" w:hint="eastAsia"/>
                <w:kern w:val="2"/>
                <w:sz w:val="18"/>
                <w:szCs w:val="18"/>
              </w:rPr>
              <w:t>2</w:t>
            </w:r>
            <w:r w:rsidRPr="00C61BB4">
              <w:rPr>
                <w:rFonts w:ascii="Arial" w:eastAsia="仿宋_GB2312" w:hAnsi="Arial" w:cs="Arial" w:hint="eastAsia"/>
                <w:kern w:val="2"/>
                <w:sz w:val="18"/>
                <w:szCs w:val="18"/>
              </w:rPr>
              <w:t>公里内有海淀公园、知春公园、</w:t>
            </w:r>
            <w:proofErr w:type="gramStart"/>
            <w:r w:rsidRPr="00C61BB4">
              <w:rPr>
                <w:rFonts w:ascii="Arial" w:eastAsia="仿宋_GB2312" w:hAnsi="Arial" w:cs="Arial" w:hint="eastAsia"/>
                <w:kern w:val="2"/>
                <w:sz w:val="18"/>
                <w:szCs w:val="18"/>
              </w:rPr>
              <w:t>巴沟山水园</w:t>
            </w:r>
            <w:proofErr w:type="gramEnd"/>
            <w:r w:rsidRPr="00C61BB4">
              <w:rPr>
                <w:rFonts w:ascii="Arial" w:eastAsia="仿宋_GB2312" w:hAnsi="Arial" w:cs="Arial" w:hint="eastAsia"/>
                <w:kern w:val="2"/>
                <w:sz w:val="18"/>
                <w:szCs w:val="18"/>
              </w:rPr>
              <w:t>等；中国人民大学、北京大学等人文设施，综合考虑自然环境与人文环境较好。</w:t>
            </w:r>
          </w:p>
        </w:tc>
        <w:tc>
          <w:tcPr>
            <w:tcW w:w="339" w:type="pct"/>
            <w:shd w:val="clear" w:color="auto" w:fill="auto"/>
            <w:vAlign w:val="center"/>
            <w:hideMark/>
          </w:tcPr>
          <w:p w14:paraId="4B6DFA14"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49" w:type="pct"/>
            <w:shd w:val="clear" w:color="auto" w:fill="auto"/>
            <w:vAlign w:val="center"/>
            <w:hideMark/>
          </w:tcPr>
          <w:p w14:paraId="551FAC87" w14:textId="081E8C96"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C61BB4">
              <w:rPr>
                <w:rFonts w:ascii="Arial" w:eastAsia="仿宋_GB2312" w:hAnsi="Arial" w:cs="Arial" w:hint="eastAsia"/>
                <w:kern w:val="2"/>
                <w:sz w:val="18"/>
                <w:szCs w:val="18"/>
              </w:rPr>
              <w:t>周边</w:t>
            </w:r>
            <w:r w:rsidRPr="00C61BB4">
              <w:rPr>
                <w:rFonts w:ascii="Arial" w:eastAsia="仿宋_GB2312" w:hAnsi="Arial" w:cs="Arial" w:hint="eastAsia"/>
                <w:kern w:val="2"/>
                <w:sz w:val="18"/>
                <w:szCs w:val="18"/>
              </w:rPr>
              <w:t>2</w:t>
            </w:r>
            <w:r w:rsidRPr="00C61BB4">
              <w:rPr>
                <w:rFonts w:ascii="Arial" w:eastAsia="仿宋_GB2312" w:hAnsi="Arial" w:cs="Arial" w:hint="eastAsia"/>
                <w:kern w:val="2"/>
                <w:sz w:val="18"/>
                <w:szCs w:val="18"/>
              </w:rPr>
              <w:t>公里内有海淀公园、知春公园、</w:t>
            </w:r>
            <w:proofErr w:type="gramStart"/>
            <w:r w:rsidRPr="00C61BB4">
              <w:rPr>
                <w:rFonts w:ascii="Arial" w:eastAsia="仿宋_GB2312" w:hAnsi="Arial" w:cs="Arial" w:hint="eastAsia"/>
                <w:kern w:val="2"/>
                <w:sz w:val="18"/>
                <w:szCs w:val="18"/>
              </w:rPr>
              <w:t>巴沟山水园</w:t>
            </w:r>
            <w:proofErr w:type="gramEnd"/>
            <w:r w:rsidRPr="00C61BB4">
              <w:rPr>
                <w:rFonts w:ascii="Arial" w:eastAsia="仿宋_GB2312" w:hAnsi="Arial" w:cs="Arial" w:hint="eastAsia"/>
                <w:kern w:val="2"/>
                <w:sz w:val="18"/>
                <w:szCs w:val="18"/>
              </w:rPr>
              <w:t>等；中国人民大学、北京大学等人文设施，综合考虑自然环境与人文环境较好。</w:t>
            </w:r>
          </w:p>
        </w:tc>
        <w:tc>
          <w:tcPr>
            <w:tcW w:w="328" w:type="pct"/>
            <w:shd w:val="clear" w:color="auto" w:fill="auto"/>
            <w:vAlign w:val="center"/>
            <w:hideMark/>
          </w:tcPr>
          <w:p w14:paraId="3B2A9A06" w14:textId="075D5321"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r>
      <w:tr w:rsidR="0081160B" w:rsidRPr="00F631FB" w14:paraId="6E05D622" w14:textId="77777777" w:rsidTr="00E736F2">
        <w:trPr>
          <w:trHeight w:val="480"/>
          <w:jc w:val="center"/>
        </w:trPr>
        <w:tc>
          <w:tcPr>
            <w:tcW w:w="159" w:type="pct"/>
            <w:vMerge/>
            <w:vAlign w:val="center"/>
            <w:hideMark/>
          </w:tcPr>
          <w:p w14:paraId="47639EFB"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53D6D8D3"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858" w:type="pct"/>
            <w:shd w:val="clear" w:color="auto" w:fill="auto"/>
            <w:vAlign w:val="center"/>
            <w:hideMark/>
          </w:tcPr>
          <w:p w14:paraId="74490817" w14:textId="2F2BDCFA"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城市主干道</w:t>
            </w:r>
            <w:r w:rsidRPr="00476804">
              <w:rPr>
                <w:rFonts w:ascii="Arial" w:eastAsia="仿宋_GB2312" w:hAnsi="Arial" w:cs="Arial" w:hint="eastAsia"/>
                <w:sz w:val="18"/>
                <w:szCs w:val="18"/>
              </w:rPr>
              <w:t>-</w:t>
            </w:r>
            <w:r w:rsidRPr="00476804">
              <w:rPr>
                <w:rFonts w:ascii="Arial" w:eastAsia="仿宋_GB2312" w:hAnsi="Arial" w:cs="Arial" w:hint="eastAsia"/>
                <w:sz w:val="18"/>
                <w:szCs w:val="18"/>
              </w:rPr>
              <w:t>海淀南路</w:t>
            </w:r>
          </w:p>
        </w:tc>
        <w:tc>
          <w:tcPr>
            <w:tcW w:w="251" w:type="pct"/>
            <w:shd w:val="clear" w:color="auto" w:fill="auto"/>
            <w:vAlign w:val="center"/>
            <w:hideMark/>
          </w:tcPr>
          <w:p w14:paraId="30C85AB5" w14:textId="7F7FDB39"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114CB171" w14:textId="1D61C9A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Pr>
                <w:rFonts w:ascii="Arial" w:eastAsia="仿宋_GB2312" w:hAnsi="Arial" w:cs="Arial" w:hint="eastAsia"/>
                <w:sz w:val="18"/>
                <w:szCs w:val="18"/>
              </w:rPr>
              <w:t>万泉河路</w:t>
            </w:r>
          </w:p>
        </w:tc>
        <w:tc>
          <w:tcPr>
            <w:tcW w:w="314" w:type="pct"/>
            <w:shd w:val="clear" w:color="auto" w:fill="auto"/>
            <w:vAlign w:val="center"/>
            <w:hideMark/>
          </w:tcPr>
          <w:p w14:paraId="463FEDCE" w14:textId="40DA133B"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1D92C2B1" w14:textId="68C2B5D5"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Pr>
                <w:rFonts w:ascii="Arial" w:eastAsia="仿宋_GB2312" w:hAnsi="Arial" w:cs="Arial" w:hint="eastAsia"/>
                <w:sz w:val="18"/>
                <w:szCs w:val="18"/>
              </w:rPr>
              <w:t>万泉河路</w:t>
            </w:r>
          </w:p>
        </w:tc>
        <w:tc>
          <w:tcPr>
            <w:tcW w:w="339" w:type="pct"/>
            <w:shd w:val="clear" w:color="auto" w:fill="auto"/>
            <w:vAlign w:val="center"/>
            <w:hideMark/>
          </w:tcPr>
          <w:p w14:paraId="2243C563" w14:textId="309864A6"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1CF82C93" w14:textId="4860C91F"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Pr>
                <w:rFonts w:ascii="Arial" w:eastAsia="仿宋_GB2312" w:hAnsi="Arial" w:cs="Arial" w:hint="eastAsia"/>
                <w:sz w:val="18"/>
                <w:szCs w:val="18"/>
              </w:rPr>
              <w:t>长春桥路</w:t>
            </w:r>
          </w:p>
        </w:tc>
        <w:tc>
          <w:tcPr>
            <w:tcW w:w="328" w:type="pct"/>
            <w:shd w:val="clear" w:color="auto" w:fill="auto"/>
            <w:vAlign w:val="center"/>
            <w:hideMark/>
          </w:tcPr>
          <w:p w14:paraId="77D2D36C" w14:textId="47DC7EF8"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E736F2" w:rsidRPr="00F631FB" w14:paraId="796C4CC9" w14:textId="77777777" w:rsidTr="00E736F2">
        <w:trPr>
          <w:trHeight w:val="480"/>
          <w:jc w:val="center"/>
        </w:trPr>
        <w:tc>
          <w:tcPr>
            <w:tcW w:w="159" w:type="pct"/>
            <w:vAlign w:val="center"/>
          </w:tcPr>
          <w:p w14:paraId="1F35645E" w14:textId="77777777" w:rsidR="00E736F2" w:rsidRPr="00F631FB" w:rsidRDefault="00E736F2"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tcPr>
          <w:p w14:paraId="5E582FFB" w14:textId="4ACAB12E"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楼层</w:t>
            </w:r>
          </w:p>
        </w:tc>
        <w:tc>
          <w:tcPr>
            <w:tcW w:w="858" w:type="pct"/>
            <w:shd w:val="clear" w:color="auto" w:fill="auto"/>
            <w:vAlign w:val="center"/>
          </w:tcPr>
          <w:p w14:paraId="7835951C" w14:textId="4EE91426" w:rsidR="00E736F2" w:rsidRPr="00476804"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251" w:type="pct"/>
            <w:shd w:val="clear" w:color="auto" w:fill="auto"/>
            <w:vAlign w:val="center"/>
          </w:tcPr>
          <w:p w14:paraId="3AA646B6" w14:textId="5760F6AE"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766" w:type="pct"/>
            <w:shd w:val="clear" w:color="auto" w:fill="auto"/>
            <w:vAlign w:val="center"/>
          </w:tcPr>
          <w:p w14:paraId="17F3918E" w14:textId="3DE44F06"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中楼层</w:t>
            </w:r>
          </w:p>
        </w:tc>
        <w:tc>
          <w:tcPr>
            <w:tcW w:w="314" w:type="pct"/>
            <w:shd w:val="clear" w:color="auto" w:fill="auto"/>
            <w:vAlign w:val="center"/>
          </w:tcPr>
          <w:p w14:paraId="7623BB77" w14:textId="7A61A9DC"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00.5</w:t>
            </w:r>
          </w:p>
        </w:tc>
        <w:tc>
          <w:tcPr>
            <w:tcW w:w="646" w:type="pct"/>
            <w:shd w:val="clear" w:color="auto" w:fill="auto"/>
            <w:vAlign w:val="center"/>
          </w:tcPr>
          <w:p w14:paraId="53DBBDFD" w14:textId="0FBE551C"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高楼层</w:t>
            </w:r>
          </w:p>
        </w:tc>
        <w:tc>
          <w:tcPr>
            <w:tcW w:w="339" w:type="pct"/>
            <w:shd w:val="clear" w:color="auto" w:fill="auto"/>
            <w:vAlign w:val="center"/>
          </w:tcPr>
          <w:p w14:paraId="30147332" w14:textId="147C3AB2"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01</w:t>
            </w:r>
          </w:p>
        </w:tc>
        <w:tc>
          <w:tcPr>
            <w:tcW w:w="749" w:type="pct"/>
            <w:shd w:val="clear" w:color="auto" w:fill="auto"/>
            <w:vAlign w:val="center"/>
          </w:tcPr>
          <w:p w14:paraId="1B94084D" w14:textId="7CE47090"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低楼层</w:t>
            </w:r>
          </w:p>
        </w:tc>
        <w:tc>
          <w:tcPr>
            <w:tcW w:w="328" w:type="pct"/>
            <w:shd w:val="clear" w:color="auto" w:fill="auto"/>
            <w:vAlign w:val="center"/>
          </w:tcPr>
          <w:p w14:paraId="190F4239" w14:textId="3E3BE1EB"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r>
      <w:tr w:rsidR="0081160B" w:rsidRPr="00F631FB" w14:paraId="67D054C6" w14:textId="77777777" w:rsidTr="00E736F2">
        <w:trPr>
          <w:trHeight w:val="300"/>
          <w:jc w:val="center"/>
        </w:trPr>
        <w:tc>
          <w:tcPr>
            <w:tcW w:w="159" w:type="pct"/>
            <w:vMerge w:val="restart"/>
            <w:shd w:val="clear" w:color="auto" w:fill="auto"/>
            <w:vAlign w:val="center"/>
            <w:hideMark/>
          </w:tcPr>
          <w:p w14:paraId="70F4D8F3"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590" w:type="pct"/>
            <w:shd w:val="clear" w:color="auto" w:fill="auto"/>
            <w:vAlign w:val="center"/>
            <w:hideMark/>
          </w:tcPr>
          <w:p w14:paraId="7C33D331"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建筑类型</w:t>
            </w:r>
          </w:p>
        </w:tc>
        <w:tc>
          <w:tcPr>
            <w:tcW w:w="858" w:type="pct"/>
            <w:shd w:val="clear" w:color="auto" w:fill="auto"/>
            <w:vAlign w:val="center"/>
            <w:hideMark/>
          </w:tcPr>
          <w:p w14:paraId="6B39F4CF"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住宅配套</w:t>
            </w:r>
          </w:p>
        </w:tc>
        <w:tc>
          <w:tcPr>
            <w:tcW w:w="251" w:type="pct"/>
            <w:shd w:val="clear" w:color="auto" w:fill="auto"/>
            <w:vAlign w:val="center"/>
            <w:hideMark/>
          </w:tcPr>
          <w:p w14:paraId="2971ACB3"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08FB207A"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写字楼</w:t>
            </w:r>
          </w:p>
        </w:tc>
        <w:tc>
          <w:tcPr>
            <w:tcW w:w="314" w:type="pct"/>
            <w:shd w:val="clear" w:color="auto" w:fill="auto"/>
            <w:vAlign w:val="center"/>
            <w:hideMark/>
          </w:tcPr>
          <w:p w14:paraId="2519ACCF" w14:textId="748C9F5D"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sidR="00E736F2">
              <w:rPr>
                <w:rFonts w:ascii="Arial" w:eastAsia="仿宋_GB2312" w:hAnsi="Arial" w:cs="Arial"/>
                <w:sz w:val="18"/>
                <w:szCs w:val="18"/>
              </w:rPr>
              <w:t>0.5</w:t>
            </w:r>
          </w:p>
        </w:tc>
        <w:tc>
          <w:tcPr>
            <w:tcW w:w="646" w:type="pct"/>
            <w:shd w:val="clear" w:color="auto" w:fill="auto"/>
            <w:vAlign w:val="center"/>
            <w:hideMark/>
          </w:tcPr>
          <w:p w14:paraId="6507356C"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写字楼</w:t>
            </w:r>
          </w:p>
        </w:tc>
        <w:tc>
          <w:tcPr>
            <w:tcW w:w="339" w:type="pct"/>
            <w:shd w:val="clear" w:color="auto" w:fill="auto"/>
            <w:vAlign w:val="center"/>
            <w:hideMark/>
          </w:tcPr>
          <w:p w14:paraId="60996139" w14:textId="13ECBC3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sidR="00E736F2">
              <w:rPr>
                <w:rFonts w:ascii="Arial" w:eastAsia="仿宋_GB2312" w:hAnsi="Arial" w:cs="Arial"/>
                <w:sz w:val="18"/>
                <w:szCs w:val="18"/>
              </w:rPr>
              <w:t>0.5</w:t>
            </w:r>
          </w:p>
        </w:tc>
        <w:tc>
          <w:tcPr>
            <w:tcW w:w="749" w:type="pct"/>
            <w:shd w:val="clear" w:color="auto" w:fill="auto"/>
            <w:vAlign w:val="center"/>
            <w:hideMark/>
          </w:tcPr>
          <w:p w14:paraId="7733C49C"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写字楼</w:t>
            </w:r>
          </w:p>
        </w:tc>
        <w:tc>
          <w:tcPr>
            <w:tcW w:w="328" w:type="pct"/>
            <w:shd w:val="clear" w:color="auto" w:fill="auto"/>
            <w:vAlign w:val="center"/>
            <w:hideMark/>
          </w:tcPr>
          <w:p w14:paraId="180A8D02" w14:textId="267E855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sidR="00E736F2">
              <w:rPr>
                <w:rFonts w:ascii="Arial" w:eastAsia="仿宋_GB2312" w:hAnsi="Arial" w:cs="Arial"/>
                <w:sz w:val="18"/>
                <w:szCs w:val="18"/>
              </w:rPr>
              <w:t>0.5</w:t>
            </w:r>
          </w:p>
        </w:tc>
      </w:tr>
      <w:tr w:rsidR="0081160B" w:rsidRPr="00F631FB" w14:paraId="5C2E02A9" w14:textId="77777777" w:rsidTr="00E736F2">
        <w:trPr>
          <w:trHeight w:val="300"/>
          <w:jc w:val="center"/>
        </w:trPr>
        <w:tc>
          <w:tcPr>
            <w:tcW w:w="159" w:type="pct"/>
            <w:vMerge/>
            <w:shd w:val="clear" w:color="auto" w:fill="auto"/>
            <w:vAlign w:val="center"/>
          </w:tcPr>
          <w:p w14:paraId="3E5121F9"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p>
        </w:tc>
        <w:tc>
          <w:tcPr>
            <w:tcW w:w="590" w:type="pct"/>
            <w:shd w:val="clear" w:color="auto" w:fill="auto"/>
            <w:vAlign w:val="center"/>
          </w:tcPr>
          <w:p w14:paraId="49911277"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建筑结构</w:t>
            </w:r>
          </w:p>
        </w:tc>
        <w:tc>
          <w:tcPr>
            <w:tcW w:w="858" w:type="pct"/>
            <w:shd w:val="clear" w:color="auto" w:fill="auto"/>
            <w:vAlign w:val="center"/>
          </w:tcPr>
          <w:p w14:paraId="5D7E443B"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51" w:type="pct"/>
            <w:shd w:val="clear" w:color="auto" w:fill="auto"/>
            <w:vAlign w:val="center"/>
          </w:tcPr>
          <w:p w14:paraId="500C85F1"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tcPr>
          <w:p w14:paraId="0B7B47B8"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314" w:type="pct"/>
            <w:shd w:val="clear" w:color="auto" w:fill="auto"/>
            <w:vAlign w:val="center"/>
          </w:tcPr>
          <w:p w14:paraId="137B172B"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tcPr>
          <w:p w14:paraId="74347E5F"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339" w:type="pct"/>
            <w:shd w:val="clear" w:color="auto" w:fill="auto"/>
            <w:vAlign w:val="center"/>
          </w:tcPr>
          <w:p w14:paraId="1CE0F3BB"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tcPr>
          <w:p w14:paraId="7CF31217"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328" w:type="pct"/>
            <w:shd w:val="clear" w:color="auto" w:fill="auto"/>
            <w:vAlign w:val="center"/>
          </w:tcPr>
          <w:p w14:paraId="1409EF4C"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160B" w:rsidRPr="00F631FB" w14:paraId="4276AD51" w14:textId="77777777" w:rsidTr="00E736F2">
        <w:trPr>
          <w:trHeight w:val="300"/>
          <w:jc w:val="center"/>
        </w:trPr>
        <w:tc>
          <w:tcPr>
            <w:tcW w:w="159" w:type="pct"/>
            <w:vMerge/>
            <w:shd w:val="clear" w:color="auto" w:fill="auto"/>
            <w:vAlign w:val="center"/>
          </w:tcPr>
          <w:p w14:paraId="6C28F53E"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p>
        </w:tc>
        <w:tc>
          <w:tcPr>
            <w:tcW w:w="590" w:type="pct"/>
            <w:shd w:val="clear" w:color="auto" w:fill="auto"/>
            <w:vAlign w:val="center"/>
          </w:tcPr>
          <w:p w14:paraId="7A554248"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建筑面积（平方米）</w:t>
            </w:r>
          </w:p>
        </w:tc>
        <w:tc>
          <w:tcPr>
            <w:tcW w:w="858" w:type="pct"/>
            <w:shd w:val="clear" w:color="auto" w:fill="auto"/>
            <w:vAlign w:val="center"/>
          </w:tcPr>
          <w:p w14:paraId="33DCC09D" w14:textId="1BB9C640"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118</w:t>
            </w:r>
          </w:p>
        </w:tc>
        <w:tc>
          <w:tcPr>
            <w:tcW w:w="251" w:type="pct"/>
            <w:shd w:val="clear" w:color="auto" w:fill="auto"/>
            <w:vAlign w:val="center"/>
          </w:tcPr>
          <w:p w14:paraId="36D615A3"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tcPr>
          <w:p w14:paraId="4E08D672" w14:textId="27D174DF"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1000</w:t>
            </w:r>
          </w:p>
        </w:tc>
        <w:tc>
          <w:tcPr>
            <w:tcW w:w="314" w:type="pct"/>
            <w:shd w:val="clear" w:color="auto" w:fill="auto"/>
            <w:vAlign w:val="center"/>
          </w:tcPr>
          <w:p w14:paraId="4417B126" w14:textId="4CF02B1A" w:rsidR="0081160B" w:rsidRPr="00F631FB" w:rsidRDefault="00ED30EA"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98</w:t>
            </w:r>
          </w:p>
        </w:tc>
        <w:tc>
          <w:tcPr>
            <w:tcW w:w="646" w:type="pct"/>
            <w:shd w:val="clear" w:color="auto" w:fill="auto"/>
            <w:vAlign w:val="center"/>
          </w:tcPr>
          <w:p w14:paraId="5BF3E18F" w14:textId="79EBBD34"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1010</w:t>
            </w:r>
          </w:p>
        </w:tc>
        <w:tc>
          <w:tcPr>
            <w:tcW w:w="339" w:type="pct"/>
            <w:shd w:val="clear" w:color="auto" w:fill="auto"/>
            <w:vAlign w:val="center"/>
          </w:tcPr>
          <w:p w14:paraId="36211439" w14:textId="0B2EF7FF" w:rsidR="0081160B" w:rsidRPr="00F631FB" w:rsidRDefault="00ED30EA"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98</w:t>
            </w:r>
          </w:p>
        </w:tc>
        <w:tc>
          <w:tcPr>
            <w:tcW w:w="749" w:type="pct"/>
            <w:shd w:val="clear" w:color="auto" w:fill="auto"/>
            <w:vAlign w:val="center"/>
          </w:tcPr>
          <w:p w14:paraId="2E11B06A" w14:textId="135DC4A6"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12</w:t>
            </w:r>
            <w:r>
              <w:rPr>
                <w:rFonts w:ascii="Arial" w:eastAsia="仿宋_GB2312" w:hAnsi="Arial" w:cs="Arial"/>
                <w:sz w:val="18"/>
                <w:szCs w:val="18"/>
              </w:rPr>
              <w:t>56</w:t>
            </w:r>
          </w:p>
        </w:tc>
        <w:tc>
          <w:tcPr>
            <w:tcW w:w="328" w:type="pct"/>
            <w:shd w:val="clear" w:color="auto" w:fill="auto"/>
            <w:vAlign w:val="center"/>
          </w:tcPr>
          <w:p w14:paraId="77A9A6F3" w14:textId="11DF2E96" w:rsidR="0081160B" w:rsidRPr="00F631FB" w:rsidRDefault="00ED30EA"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98</w:t>
            </w:r>
          </w:p>
        </w:tc>
      </w:tr>
      <w:tr w:rsidR="0081160B" w:rsidRPr="00F631FB" w14:paraId="07C40BDF" w14:textId="77777777" w:rsidTr="00E736F2">
        <w:trPr>
          <w:trHeight w:val="392"/>
          <w:jc w:val="center"/>
        </w:trPr>
        <w:tc>
          <w:tcPr>
            <w:tcW w:w="159" w:type="pct"/>
            <w:vMerge/>
            <w:vAlign w:val="center"/>
            <w:hideMark/>
          </w:tcPr>
          <w:p w14:paraId="5DE3CBC6"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070D527C"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公共部分装修</w:t>
            </w:r>
          </w:p>
        </w:tc>
        <w:tc>
          <w:tcPr>
            <w:tcW w:w="858" w:type="pct"/>
            <w:shd w:val="clear" w:color="auto" w:fill="auto"/>
            <w:vAlign w:val="center"/>
            <w:hideMark/>
          </w:tcPr>
          <w:p w14:paraId="25221393"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251" w:type="pct"/>
            <w:shd w:val="clear" w:color="auto" w:fill="auto"/>
            <w:vAlign w:val="center"/>
            <w:hideMark/>
          </w:tcPr>
          <w:p w14:paraId="2755AE8B"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1D15D08E"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314" w:type="pct"/>
            <w:shd w:val="clear" w:color="auto" w:fill="auto"/>
            <w:vAlign w:val="center"/>
            <w:hideMark/>
          </w:tcPr>
          <w:p w14:paraId="68EEAB0E"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27251F44"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339" w:type="pct"/>
            <w:shd w:val="clear" w:color="auto" w:fill="auto"/>
            <w:vAlign w:val="center"/>
            <w:hideMark/>
          </w:tcPr>
          <w:p w14:paraId="562D2BC0"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1DF4397F"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328" w:type="pct"/>
            <w:shd w:val="clear" w:color="auto" w:fill="auto"/>
            <w:vAlign w:val="center"/>
            <w:hideMark/>
          </w:tcPr>
          <w:p w14:paraId="3D4E8152"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160B" w:rsidRPr="00F631FB" w14:paraId="712E939D" w14:textId="77777777" w:rsidTr="00E736F2">
        <w:trPr>
          <w:trHeight w:val="300"/>
          <w:jc w:val="center"/>
        </w:trPr>
        <w:tc>
          <w:tcPr>
            <w:tcW w:w="159" w:type="pct"/>
            <w:vMerge/>
            <w:vAlign w:val="center"/>
            <w:hideMark/>
          </w:tcPr>
          <w:p w14:paraId="07081EC4"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5D90F3E2"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成新度</w:t>
            </w:r>
          </w:p>
        </w:tc>
        <w:tc>
          <w:tcPr>
            <w:tcW w:w="858" w:type="pct"/>
            <w:shd w:val="clear" w:color="auto" w:fill="auto"/>
            <w:vAlign w:val="center"/>
            <w:hideMark/>
          </w:tcPr>
          <w:p w14:paraId="1CE90529"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r w:rsidRPr="00F631FB">
              <w:rPr>
                <w:rFonts w:ascii="Arial" w:eastAsia="仿宋_GB2312" w:hAnsi="Arial" w:cs="Arial"/>
                <w:sz w:val="18"/>
                <w:szCs w:val="18"/>
              </w:rPr>
              <w:t>%</w:t>
            </w:r>
          </w:p>
        </w:tc>
        <w:tc>
          <w:tcPr>
            <w:tcW w:w="251" w:type="pct"/>
            <w:shd w:val="clear" w:color="auto" w:fill="auto"/>
            <w:vAlign w:val="center"/>
            <w:hideMark/>
          </w:tcPr>
          <w:p w14:paraId="3277CA7D"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389FFA06" w14:textId="3657D0EF"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8</w:t>
            </w:r>
            <w:r>
              <w:rPr>
                <w:rFonts w:ascii="Arial" w:eastAsia="仿宋_GB2312" w:hAnsi="Arial" w:cs="Arial"/>
                <w:sz w:val="18"/>
                <w:szCs w:val="18"/>
              </w:rPr>
              <w:t>0</w:t>
            </w:r>
            <w:r w:rsidRPr="00F631FB">
              <w:rPr>
                <w:rFonts w:ascii="Arial" w:eastAsia="仿宋_GB2312" w:hAnsi="Arial" w:cs="Arial"/>
                <w:sz w:val="18"/>
                <w:szCs w:val="18"/>
              </w:rPr>
              <w:t>%</w:t>
            </w:r>
          </w:p>
        </w:tc>
        <w:tc>
          <w:tcPr>
            <w:tcW w:w="314" w:type="pct"/>
            <w:shd w:val="clear" w:color="auto" w:fill="auto"/>
            <w:vAlign w:val="center"/>
            <w:hideMark/>
          </w:tcPr>
          <w:p w14:paraId="6C477F22" w14:textId="2E16E46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w:t>
            </w:r>
            <w:r w:rsidR="00E736F2">
              <w:rPr>
                <w:rFonts w:ascii="Arial" w:eastAsia="仿宋_GB2312" w:hAnsi="Arial" w:cs="Arial"/>
                <w:sz w:val="18"/>
                <w:szCs w:val="18"/>
              </w:rPr>
              <w:t>4</w:t>
            </w:r>
          </w:p>
        </w:tc>
        <w:tc>
          <w:tcPr>
            <w:tcW w:w="646" w:type="pct"/>
            <w:shd w:val="clear" w:color="auto" w:fill="auto"/>
            <w:vAlign w:val="center"/>
            <w:hideMark/>
          </w:tcPr>
          <w:p w14:paraId="0DE53C15" w14:textId="174316E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8</w:t>
            </w:r>
            <w:r>
              <w:rPr>
                <w:rFonts w:ascii="Arial" w:eastAsia="仿宋_GB2312" w:hAnsi="Arial" w:cs="Arial"/>
                <w:sz w:val="18"/>
                <w:szCs w:val="18"/>
              </w:rPr>
              <w:t>0</w:t>
            </w:r>
            <w:r w:rsidRPr="00F631FB">
              <w:rPr>
                <w:rFonts w:ascii="Arial" w:eastAsia="仿宋_GB2312" w:hAnsi="Arial" w:cs="Arial"/>
                <w:sz w:val="18"/>
                <w:szCs w:val="18"/>
              </w:rPr>
              <w:t>%</w:t>
            </w:r>
          </w:p>
        </w:tc>
        <w:tc>
          <w:tcPr>
            <w:tcW w:w="339" w:type="pct"/>
            <w:shd w:val="clear" w:color="auto" w:fill="auto"/>
            <w:vAlign w:val="center"/>
            <w:hideMark/>
          </w:tcPr>
          <w:p w14:paraId="2E3EA781" w14:textId="55F3E784"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w:t>
            </w:r>
            <w:r w:rsidR="00E736F2">
              <w:rPr>
                <w:rFonts w:ascii="Arial" w:eastAsia="仿宋_GB2312" w:hAnsi="Arial" w:cs="Arial"/>
                <w:sz w:val="18"/>
                <w:szCs w:val="18"/>
              </w:rPr>
              <w:t>4</w:t>
            </w:r>
          </w:p>
        </w:tc>
        <w:tc>
          <w:tcPr>
            <w:tcW w:w="749" w:type="pct"/>
            <w:shd w:val="clear" w:color="auto" w:fill="auto"/>
            <w:vAlign w:val="center"/>
            <w:hideMark/>
          </w:tcPr>
          <w:p w14:paraId="34ACCA58" w14:textId="03E99AB2"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8</w:t>
            </w:r>
            <w:r>
              <w:rPr>
                <w:rFonts w:ascii="Arial" w:eastAsia="仿宋_GB2312" w:hAnsi="Arial" w:cs="Arial"/>
                <w:sz w:val="18"/>
                <w:szCs w:val="18"/>
              </w:rPr>
              <w:t>0</w:t>
            </w:r>
            <w:r w:rsidRPr="00F631FB">
              <w:rPr>
                <w:rFonts w:ascii="Arial" w:eastAsia="仿宋_GB2312" w:hAnsi="Arial" w:cs="Arial"/>
                <w:sz w:val="18"/>
                <w:szCs w:val="18"/>
              </w:rPr>
              <w:t>%</w:t>
            </w:r>
          </w:p>
        </w:tc>
        <w:tc>
          <w:tcPr>
            <w:tcW w:w="328" w:type="pct"/>
            <w:shd w:val="clear" w:color="auto" w:fill="auto"/>
            <w:vAlign w:val="center"/>
            <w:hideMark/>
          </w:tcPr>
          <w:p w14:paraId="63DB5A93" w14:textId="34955DD1"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w:t>
            </w:r>
            <w:r w:rsidR="00E736F2">
              <w:rPr>
                <w:rFonts w:ascii="Arial" w:eastAsia="仿宋_GB2312" w:hAnsi="Arial" w:cs="Arial"/>
                <w:sz w:val="18"/>
                <w:szCs w:val="18"/>
              </w:rPr>
              <w:t>4</w:t>
            </w:r>
          </w:p>
        </w:tc>
      </w:tr>
      <w:tr w:rsidR="00E736F2" w:rsidRPr="00F631FB" w14:paraId="78B4661A" w14:textId="77777777" w:rsidTr="00E736F2">
        <w:trPr>
          <w:trHeight w:val="300"/>
          <w:jc w:val="center"/>
        </w:trPr>
        <w:tc>
          <w:tcPr>
            <w:tcW w:w="159" w:type="pct"/>
            <w:vMerge/>
            <w:vAlign w:val="center"/>
          </w:tcPr>
          <w:p w14:paraId="2258B95E" w14:textId="77777777" w:rsidR="00E736F2" w:rsidRPr="00F631FB" w:rsidRDefault="00E736F2" w:rsidP="00E736F2">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tcPr>
          <w:p w14:paraId="40CC22BD" w14:textId="34FDA391"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市政基础设施</w:t>
            </w:r>
          </w:p>
        </w:tc>
        <w:tc>
          <w:tcPr>
            <w:tcW w:w="858" w:type="pct"/>
            <w:shd w:val="clear" w:color="auto" w:fill="auto"/>
            <w:vAlign w:val="center"/>
          </w:tcPr>
          <w:p w14:paraId="725D9376" w14:textId="0178D376"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51" w:type="pct"/>
            <w:shd w:val="clear" w:color="auto" w:fill="auto"/>
            <w:vAlign w:val="center"/>
          </w:tcPr>
          <w:p w14:paraId="0AEEF7CD" w14:textId="07ED962D"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766" w:type="pct"/>
            <w:shd w:val="clear" w:color="auto" w:fill="auto"/>
            <w:vAlign w:val="center"/>
          </w:tcPr>
          <w:p w14:paraId="0CA53689" w14:textId="40A6FAB0"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六通</w:t>
            </w:r>
          </w:p>
        </w:tc>
        <w:tc>
          <w:tcPr>
            <w:tcW w:w="314" w:type="pct"/>
            <w:shd w:val="clear" w:color="auto" w:fill="auto"/>
            <w:vAlign w:val="center"/>
          </w:tcPr>
          <w:p w14:paraId="3929EF0D" w14:textId="6A497E31" w:rsidR="00E736F2"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Pr>
                <w:rFonts w:ascii="Arial" w:eastAsia="仿宋_GB2312" w:hAnsi="Arial" w:cs="Arial"/>
                <w:sz w:val="18"/>
                <w:szCs w:val="18"/>
              </w:rPr>
              <w:t>7.5</w:t>
            </w:r>
          </w:p>
        </w:tc>
        <w:tc>
          <w:tcPr>
            <w:tcW w:w="646" w:type="pct"/>
            <w:shd w:val="clear" w:color="auto" w:fill="auto"/>
            <w:vAlign w:val="center"/>
          </w:tcPr>
          <w:p w14:paraId="18C491ED" w14:textId="6EF96201"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六通</w:t>
            </w:r>
          </w:p>
        </w:tc>
        <w:tc>
          <w:tcPr>
            <w:tcW w:w="339" w:type="pct"/>
            <w:shd w:val="clear" w:color="auto" w:fill="auto"/>
            <w:vAlign w:val="center"/>
          </w:tcPr>
          <w:p w14:paraId="481F0085" w14:textId="0131F762" w:rsidR="00E736F2"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Pr>
                <w:rFonts w:ascii="Arial" w:eastAsia="仿宋_GB2312" w:hAnsi="Arial" w:cs="Arial"/>
                <w:sz w:val="18"/>
                <w:szCs w:val="18"/>
              </w:rPr>
              <w:t>7.5</w:t>
            </w:r>
          </w:p>
        </w:tc>
        <w:tc>
          <w:tcPr>
            <w:tcW w:w="749" w:type="pct"/>
            <w:shd w:val="clear" w:color="auto" w:fill="auto"/>
            <w:vAlign w:val="center"/>
          </w:tcPr>
          <w:p w14:paraId="6863DCD5" w14:textId="3FD4EB13"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六通</w:t>
            </w:r>
          </w:p>
        </w:tc>
        <w:tc>
          <w:tcPr>
            <w:tcW w:w="328" w:type="pct"/>
            <w:shd w:val="clear" w:color="auto" w:fill="auto"/>
            <w:vAlign w:val="center"/>
          </w:tcPr>
          <w:p w14:paraId="5A1BD482" w14:textId="45450ED4" w:rsidR="00E736F2"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Pr>
                <w:rFonts w:ascii="Arial" w:eastAsia="仿宋_GB2312" w:hAnsi="Arial" w:cs="Arial"/>
                <w:sz w:val="18"/>
                <w:szCs w:val="18"/>
              </w:rPr>
              <w:t>7.5</w:t>
            </w:r>
          </w:p>
        </w:tc>
      </w:tr>
      <w:tr w:rsidR="0081160B" w:rsidRPr="00F631FB" w14:paraId="703B785F" w14:textId="77777777" w:rsidTr="00E736F2">
        <w:trPr>
          <w:trHeight w:val="315"/>
          <w:jc w:val="center"/>
        </w:trPr>
        <w:tc>
          <w:tcPr>
            <w:tcW w:w="159" w:type="pct"/>
            <w:vMerge/>
            <w:vAlign w:val="center"/>
            <w:hideMark/>
          </w:tcPr>
          <w:p w14:paraId="22E1E28D"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4EBD0015"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w:t>
            </w:r>
          </w:p>
        </w:tc>
        <w:tc>
          <w:tcPr>
            <w:tcW w:w="858" w:type="pct"/>
            <w:shd w:val="clear" w:color="auto" w:fill="auto"/>
            <w:vAlign w:val="center"/>
            <w:hideMark/>
          </w:tcPr>
          <w:p w14:paraId="43B8FCB2"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251" w:type="pct"/>
            <w:shd w:val="clear" w:color="auto" w:fill="auto"/>
            <w:vAlign w:val="center"/>
            <w:hideMark/>
          </w:tcPr>
          <w:p w14:paraId="2AC3150D"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190B6C24" w14:textId="550BA5F9"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314" w:type="pct"/>
            <w:shd w:val="clear" w:color="auto" w:fill="auto"/>
            <w:vAlign w:val="center"/>
            <w:hideMark/>
          </w:tcPr>
          <w:p w14:paraId="66406171" w14:textId="69073E54"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4EE70703" w14:textId="51728D69"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339" w:type="pct"/>
            <w:shd w:val="clear" w:color="auto" w:fill="auto"/>
            <w:vAlign w:val="center"/>
            <w:hideMark/>
          </w:tcPr>
          <w:p w14:paraId="1004EB90" w14:textId="6D18100F"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27CDB540" w14:textId="0B76F12E"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328" w:type="pct"/>
            <w:shd w:val="clear" w:color="auto" w:fill="auto"/>
            <w:vAlign w:val="center"/>
            <w:hideMark/>
          </w:tcPr>
          <w:p w14:paraId="19AF2C19" w14:textId="7C28F08B"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160B" w:rsidRPr="00F631FB" w14:paraId="37247E7D" w14:textId="77777777" w:rsidTr="00E736F2">
        <w:trPr>
          <w:trHeight w:val="450"/>
          <w:jc w:val="center"/>
        </w:trPr>
        <w:tc>
          <w:tcPr>
            <w:tcW w:w="159" w:type="pct"/>
            <w:vMerge/>
            <w:vAlign w:val="center"/>
            <w:hideMark/>
          </w:tcPr>
          <w:p w14:paraId="3485C4AE"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0AD71DE8"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内部装修维护情况</w:t>
            </w:r>
          </w:p>
        </w:tc>
        <w:tc>
          <w:tcPr>
            <w:tcW w:w="858" w:type="pct"/>
            <w:shd w:val="clear" w:color="auto" w:fill="auto"/>
            <w:vAlign w:val="center"/>
            <w:hideMark/>
          </w:tcPr>
          <w:p w14:paraId="79A306D3"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251" w:type="pct"/>
            <w:shd w:val="clear" w:color="auto" w:fill="auto"/>
            <w:vAlign w:val="center"/>
            <w:hideMark/>
          </w:tcPr>
          <w:p w14:paraId="7E49B9AB"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6D64E069"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314" w:type="pct"/>
            <w:shd w:val="clear" w:color="auto" w:fill="auto"/>
            <w:vAlign w:val="center"/>
            <w:hideMark/>
          </w:tcPr>
          <w:p w14:paraId="52020FC2"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342369CE"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339" w:type="pct"/>
            <w:shd w:val="clear" w:color="auto" w:fill="auto"/>
            <w:vAlign w:val="center"/>
            <w:hideMark/>
          </w:tcPr>
          <w:p w14:paraId="4D9EE5FE"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63EA192A"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328" w:type="pct"/>
            <w:shd w:val="clear" w:color="auto" w:fill="auto"/>
            <w:vAlign w:val="center"/>
            <w:hideMark/>
          </w:tcPr>
          <w:p w14:paraId="26D43C92"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bl>
    <w:p w14:paraId="037F96E2" w14:textId="77777777" w:rsidR="00AF0914" w:rsidRDefault="00AF0914" w:rsidP="002C3ABF">
      <w:pPr>
        <w:spacing w:line="360" w:lineRule="auto"/>
        <w:ind w:firstLineChars="199" w:firstLine="479"/>
        <w:jc w:val="center"/>
        <w:rPr>
          <w:rFonts w:ascii="Arial" w:eastAsia="仿宋_GB2312" w:hAnsi="Arial" w:cs="Arial"/>
          <w:b/>
          <w:bCs/>
        </w:rPr>
      </w:pPr>
      <w:r>
        <w:rPr>
          <w:rFonts w:ascii="Arial" w:eastAsia="仿宋_GB2312" w:hAnsi="Arial" w:cs="Arial"/>
          <w:b/>
          <w:bCs/>
        </w:rPr>
        <w:br w:type="page"/>
      </w:r>
    </w:p>
    <w:p w14:paraId="0E1545E6" w14:textId="1684E631" w:rsidR="002C3ABF" w:rsidRPr="00F631FB" w:rsidRDefault="002C3ABF" w:rsidP="002C3ABF">
      <w:pPr>
        <w:spacing w:line="360" w:lineRule="auto"/>
        <w:ind w:firstLineChars="199" w:firstLine="479"/>
        <w:jc w:val="center"/>
        <w:rPr>
          <w:rFonts w:ascii="Arial" w:eastAsia="仿宋_GB2312" w:hAnsi="Arial" w:cs="Arial"/>
        </w:rPr>
      </w:pPr>
      <w:r w:rsidRPr="00F631FB">
        <w:rPr>
          <w:rFonts w:ascii="Arial" w:eastAsia="仿宋_GB2312" w:hAnsi="Arial" w:cs="Arial"/>
          <w:b/>
          <w:bCs/>
        </w:rPr>
        <w:lastRenderedPageBreak/>
        <w:t>表</w:t>
      </w:r>
      <w:r w:rsidR="001540AB" w:rsidRPr="00F631FB">
        <w:rPr>
          <w:rFonts w:ascii="Arial" w:eastAsia="仿宋_GB2312" w:hAnsi="Arial" w:cs="Arial"/>
          <w:b/>
          <w:bCs/>
        </w:rPr>
        <w:t>6</w:t>
      </w:r>
      <w:r w:rsidRPr="00F631FB">
        <w:rPr>
          <w:rFonts w:ascii="Arial" w:eastAsia="仿宋_GB2312" w:hAnsi="Arial" w:cs="Arial"/>
          <w:b/>
          <w:bCs/>
        </w:rPr>
        <w:t>：因素修正和调整系数表</w:t>
      </w:r>
    </w:p>
    <w:tbl>
      <w:tblPr>
        <w:tblW w:w="5000" w:type="pct"/>
        <w:tblLook w:val="04A0" w:firstRow="1" w:lastRow="0" w:firstColumn="1" w:lastColumn="0" w:noHBand="0" w:noVBand="1"/>
      </w:tblPr>
      <w:tblGrid>
        <w:gridCol w:w="1857"/>
        <w:gridCol w:w="2123"/>
        <w:gridCol w:w="1592"/>
        <w:gridCol w:w="1858"/>
        <w:gridCol w:w="1858"/>
      </w:tblGrid>
      <w:tr w:rsidR="002C3ABF" w:rsidRPr="00F631FB" w14:paraId="41CBF2EB" w14:textId="77777777" w:rsidTr="0081160B">
        <w:trPr>
          <w:trHeight w:val="300"/>
          <w:tblHeader/>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73CC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39538F49" w14:textId="77777777" w:rsidR="002C3ABF" w:rsidRPr="00F631FB" w:rsidRDefault="002C3ABF"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案例：</w:t>
            </w:r>
            <w:r w:rsidR="001540AB" w:rsidRPr="00F631FB">
              <w:rPr>
                <w:rFonts w:ascii="Arial" w:eastAsia="仿宋_GB2312" w:hAnsi="Arial" w:cs="Arial"/>
                <w:sz w:val="20"/>
              </w:rPr>
              <w:t>G</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5ACBA10" w14:textId="77777777" w:rsidR="002C3ABF" w:rsidRPr="00F631FB" w:rsidRDefault="002C3ABF"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案例：</w:t>
            </w:r>
            <w:r w:rsidR="001540AB" w:rsidRPr="00F631FB">
              <w:rPr>
                <w:rFonts w:ascii="Arial" w:eastAsia="仿宋_GB2312" w:hAnsi="Arial" w:cs="Arial"/>
                <w:sz w:val="20"/>
              </w:rPr>
              <w:t>H</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E6AC9C8" w14:textId="77777777" w:rsidR="002C3ABF" w:rsidRPr="00F631FB" w:rsidRDefault="002C3ABF"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案例：</w:t>
            </w:r>
            <w:r w:rsidR="001540AB" w:rsidRPr="00F631FB">
              <w:rPr>
                <w:rFonts w:ascii="Arial" w:eastAsia="仿宋_GB2312" w:hAnsi="Arial" w:cs="Arial"/>
                <w:sz w:val="20"/>
              </w:rPr>
              <w:t>I</w:t>
            </w:r>
          </w:p>
        </w:tc>
      </w:tr>
      <w:tr w:rsidR="0081160B" w:rsidRPr="00F631FB" w14:paraId="32D96156" w14:textId="77777777" w:rsidTr="0081160B">
        <w:trPr>
          <w:trHeight w:val="302"/>
          <w:tblHeader/>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4833057A"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6865E692" w14:textId="25569628"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西海国际中心</w:t>
            </w:r>
          </w:p>
        </w:tc>
        <w:tc>
          <w:tcPr>
            <w:tcW w:w="1000" w:type="pct"/>
            <w:tcBorders>
              <w:top w:val="nil"/>
              <w:left w:val="nil"/>
              <w:bottom w:val="single" w:sz="4" w:space="0" w:color="auto"/>
              <w:right w:val="single" w:sz="4" w:space="0" w:color="auto"/>
            </w:tcBorders>
            <w:shd w:val="clear" w:color="auto" w:fill="auto"/>
            <w:hideMark/>
          </w:tcPr>
          <w:p w14:paraId="284B534B" w14:textId="0F57DB4B" w:rsidR="0081160B" w:rsidRPr="00F631FB" w:rsidRDefault="0081160B" w:rsidP="0081160B">
            <w:pPr>
              <w:widowControl/>
              <w:adjustRightInd/>
              <w:spacing w:line="240" w:lineRule="auto"/>
              <w:jc w:val="center"/>
              <w:textAlignment w:val="auto"/>
              <w:rPr>
                <w:rFonts w:ascii="Arial" w:eastAsia="仿宋_GB2312" w:hAnsi="Arial" w:cs="Arial"/>
                <w:sz w:val="20"/>
              </w:rPr>
            </w:pPr>
            <w:r w:rsidRPr="006A02F5">
              <w:rPr>
                <w:rFonts w:ascii="Arial" w:eastAsia="仿宋_GB2312" w:hAnsi="Arial" w:cs="Arial" w:hint="eastAsia"/>
                <w:sz w:val="18"/>
                <w:szCs w:val="18"/>
              </w:rPr>
              <w:t>西海国际中心</w:t>
            </w:r>
          </w:p>
        </w:tc>
        <w:tc>
          <w:tcPr>
            <w:tcW w:w="1000" w:type="pct"/>
            <w:tcBorders>
              <w:top w:val="nil"/>
              <w:left w:val="nil"/>
              <w:bottom w:val="single" w:sz="4" w:space="0" w:color="auto"/>
              <w:right w:val="single" w:sz="4" w:space="0" w:color="auto"/>
            </w:tcBorders>
            <w:shd w:val="clear" w:color="auto" w:fill="auto"/>
            <w:hideMark/>
          </w:tcPr>
          <w:p w14:paraId="6CC73F6E" w14:textId="74359551" w:rsidR="0081160B" w:rsidRPr="00F631FB" w:rsidRDefault="0081160B" w:rsidP="0081160B">
            <w:pPr>
              <w:widowControl/>
              <w:adjustRightInd/>
              <w:spacing w:line="240" w:lineRule="auto"/>
              <w:jc w:val="center"/>
              <w:textAlignment w:val="auto"/>
              <w:rPr>
                <w:rFonts w:ascii="Arial" w:eastAsia="仿宋_GB2312" w:hAnsi="Arial" w:cs="Arial"/>
                <w:sz w:val="20"/>
              </w:rPr>
            </w:pPr>
            <w:proofErr w:type="gramStart"/>
            <w:r>
              <w:rPr>
                <w:rFonts w:ascii="Arial" w:eastAsia="仿宋_GB2312" w:hAnsi="Arial" w:cs="Arial" w:hint="eastAsia"/>
                <w:sz w:val="18"/>
                <w:szCs w:val="18"/>
              </w:rPr>
              <w:t>万柳亿城</w:t>
            </w:r>
            <w:proofErr w:type="gramEnd"/>
            <w:r>
              <w:rPr>
                <w:rFonts w:ascii="Arial" w:eastAsia="仿宋_GB2312" w:hAnsi="Arial" w:cs="Arial" w:hint="eastAsia"/>
                <w:sz w:val="18"/>
                <w:szCs w:val="18"/>
              </w:rPr>
              <w:t>中心</w:t>
            </w:r>
          </w:p>
        </w:tc>
      </w:tr>
      <w:tr w:rsidR="002C3ABF" w:rsidRPr="00F631FB" w14:paraId="1E9D7B2D"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77FC2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0E1245AF"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E07FD4C"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38D4BB0"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04E1463F"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8B37D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69E9889E"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F2B15FA"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F6E5F8"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4FB38864"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5088C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199BDC03"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B542EE4"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97A577"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81160B" w:rsidRPr="00F631FB" w14:paraId="1035C750"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844D14"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tcPr>
          <w:p w14:paraId="2F8DCF8F" w14:textId="217144BA" w:rsidR="0081160B" w:rsidRPr="00F631FB" w:rsidRDefault="0081160B"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98</w:t>
            </w:r>
          </w:p>
        </w:tc>
        <w:tc>
          <w:tcPr>
            <w:tcW w:w="1000" w:type="pct"/>
            <w:tcBorders>
              <w:top w:val="nil"/>
              <w:left w:val="nil"/>
              <w:bottom w:val="single" w:sz="4" w:space="0" w:color="auto"/>
              <w:right w:val="single" w:sz="4" w:space="0" w:color="auto"/>
            </w:tcBorders>
            <w:shd w:val="clear" w:color="auto" w:fill="auto"/>
            <w:noWrap/>
            <w:vAlign w:val="center"/>
          </w:tcPr>
          <w:p w14:paraId="6E606BE0" w14:textId="06BD5519" w:rsidR="0081160B" w:rsidRPr="00F631FB" w:rsidRDefault="0081160B"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98</w:t>
            </w:r>
          </w:p>
        </w:tc>
        <w:tc>
          <w:tcPr>
            <w:tcW w:w="1000" w:type="pct"/>
            <w:tcBorders>
              <w:top w:val="nil"/>
              <w:left w:val="nil"/>
              <w:bottom w:val="single" w:sz="4" w:space="0" w:color="auto"/>
              <w:right w:val="single" w:sz="4" w:space="0" w:color="auto"/>
            </w:tcBorders>
            <w:shd w:val="clear" w:color="auto" w:fill="auto"/>
            <w:noWrap/>
            <w:vAlign w:val="center"/>
          </w:tcPr>
          <w:p w14:paraId="041762CB" w14:textId="3844CDA5" w:rsidR="0081160B" w:rsidRPr="00F631FB" w:rsidRDefault="0081160B"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98</w:t>
            </w:r>
          </w:p>
        </w:tc>
      </w:tr>
      <w:tr w:rsidR="00E736F2" w:rsidRPr="00F631FB" w14:paraId="74B6DC20" w14:textId="77777777" w:rsidTr="000C70FF">
        <w:trPr>
          <w:trHeight w:val="313"/>
        </w:trPr>
        <w:tc>
          <w:tcPr>
            <w:tcW w:w="1000" w:type="pct"/>
            <w:vMerge w:val="restart"/>
            <w:tcBorders>
              <w:top w:val="nil"/>
              <w:left w:val="single" w:sz="4" w:space="0" w:color="auto"/>
              <w:right w:val="single" w:sz="4" w:space="0" w:color="auto"/>
            </w:tcBorders>
            <w:shd w:val="clear" w:color="auto" w:fill="auto"/>
            <w:vAlign w:val="center"/>
            <w:hideMark/>
          </w:tcPr>
          <w:p w14:paraId="7A2BF910" w14:textId="77777777"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03FED314" w14:textId="77777777"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61F447E8" w14:textId="6E496857"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3777E79" w14:textId="2DAA7A44"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A3BD713" w14:textId="16CEE160"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415F4C32" w14:textId="77777777" w:rsidTr="000C70FF">
        <w:trPr>
          <w:trHeight w:val="248"/>
        </w:trPr>
        <w:tc>
          <w:tcPr>
            <w:tcW w:w="1000" w:type="pct"/>
            <w:vMerge/>
            <w:tcBorders>
              <w:left w:val="single" w:sz="4" w:space="0" w:color="auto"/>
              <w:right w:val="single" w:sz="4" w:space="0" w:color="auto"/>
            </w:tcBorders>
            <w:vAlign w:val="center"/>
            <w:hideMark/>
          </w:tcPr>
          <w:p w14:paraId="2627AADE" w14:textId="77777777" w:rsidR="00E736F2" w:rsidRPr="00F631FB" w:rsidRDefault="00E736F2"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AD2C836" w14:textId="77777777" w:rsidR="00E736F2" w:rsidRPr="00F631FB" w:rsidRDefault="00E736F2"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635796FB"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2481372"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21EC459"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53BFAF51" w14:textId="77777777" w:rsidTr="000C70FF">
        <w:trPr>
          <w:trHeight w:val="337"/>
        </w:trPr>
        <w:tc>
          <w:tcPr>
            <w:tcW w:w="1000" w:type="pct"/>
            <w:vMerge/>
            <w:tcBorders>
              <w:left w:val="single" w:sz="4" w:space="0" w:color="auto"/>
              <w:right w:val="single" w:sz="4" w:space="0" w:color="auto"/>
            </w:tcBorders>
            <w:vAlign w:val="center"/>
            <w:hideMark/>
          </w:tcPr>
          <w:p w14:paraId="7FFAE709" w14:textId="77777777" w:rsidR="00E736F2" w:rsidRPr="00F631FB" w:rsidRDefault="00E736F2"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77E5268" w14:textId="77777777" w:rsidR="00E736F2" w:rsidRPr="00F631FB" w:rsidRDefault="00E736F2"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242C4FA7"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2F87469"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096C992"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63E12B61" w14:textId="77777777" w:rsidTr="000C70FF">
        <w:trPr>
          <w:trHeight w:val="286"/>
        </w:trPr>
        <w:tc>
          <w:tcPr>
            <w:tcW w:w="1000" w:type="pct"/>
            <w:vMerge/>
            <w:tcBorders>
              <w:left w:val="single" w:sz="4" w:space="0" w:color="auto"/>
              <w:right w:val="single" w:sz="4" w:space="0" w:color="auto"/>
            </w:tcBorders>
            <w:vAlign w:val="center"/>
            <w:hideMark/>
          </w:tcPr>
          <w:p w14:paraId="7BB5A8FD" w14:textId="77777777" w:rsidR="00E736F2" w:rsidRPr="00F631FB" w:rsidRDefault="00E736F2"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0320E7B4" w14:textId="77777777" w:rsidR="00E736F2" w:rsidRPr="00F631FB" w:rsidRDefault="00E736F2"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2065862F"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1D98FD7"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7028FC"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221B2B6C" w14:textId="77777777" w:rsidTr="000C70FF">
        <w:trPr>
          <w:trHeight w:val="233"/>
        </w:trPr>
        <w:tc>
          <w:tcPr>
            <w:tcW w:w="1000" w:type="pct"/>
            <w:vMerge/>
            <w:tcBorders>
              <w:left w:val="single" w:sz="4" w:space="0" w:color="auto"/>
              <w:right w:val="single" w:sz="4" w:space="0" w:color="auto"/>
            </w:tcBorders>
            <w:vAlign w:val="center"/>
            <w:hideMark/>
          </w:tcPr>
          <w:p w14:paraId="504A0E4A" w14:textId="77777777" w:rsidR="00E736F2" w:rsidRPr="00F631FB" w:rsidRDefault="00E736F2" w:rsidP="0081160B">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41315DC" w14:textId="77777777"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2B3A5EC2" w14:textId="7DED0859"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951F70A" w14:textId="34A7866E"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87F2E2C" w14:textId="4B0DAD81"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79586343" w14:textId="77777777" w:rsidTr="000C70FF">
        <w:trPr>
          <w:trHeight w:val="309"/>
        </w:trPr>
        <w:tc>
          <w:tcPr>
            <w:tcW w:w="1000" w:type="pct"/>
            <w:vMerge/>
            <w:tcBorders>
              <w:left w:val="single" w:sz="4" w:space="0" w:color="auto"/>
              <w:right w:val="single" w:sz="4" w:space="0" w:color="auto"/>
            </w:tcBorders>
            <w:vAlign w:val="center"/>
            <w:hideMark/>
          </w:tcPr>
          <w:p w14:paraId="075D951F" w14:textId="77777777" w:rsidR="00E736F2" w:rsidRPr="00F631FB" w:rsidRDefault="00E736F2" w:rsidP="0081160B">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C2E734C" w14:textId="77777777"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0D09E475" w14:textId="552E010E"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F8E18AC" w14:textId="3F1560E2"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95552DB" w14:textId="56BD0F99"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2B678C19" w14:textId="77777777" w:rsidTr="000C70FF">
        <w:trPr>
          <w:trHeight w:val="309"/>
        </w:trPr>
        <w:tc>
          <w:tcPr>
            <w:tcW w:w="1000" w:type="pct"/>
            <w:vMerge/>
            <w:tcBorders>
              <w:left w:val="single" w:sz="4" w:space="0" w:color="auto"/>
              <w:bottom w:val="single" w:sz="4" w:space="0" w:color="auto"/>
              <w:right w:val="single" w:sz="4" w:space="0" w:color="auto"/>
            </w:tcBorders>
            <w:vAlign w:val="center"/>
          </w:tcPr>
          <w:p w14:paraId="01D47295" w14:textId="77777777" w:rsidR="00E736F2" w:rsidRPr="00F631FB" w:rsidRDefault="00E736F2" w:rsidP="00E736F2">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4E3C7BF2" w14:textId="3F7DCBD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楼层</w:t>
            </w:r>
          </w:p>
        </w:tc>
        <w:tc>
          <w:tcPr>
            <w:tcW w:w="857" w:type="pct"/>
            <w:tcBorders>
              <w:top w:val="nil"/>
              <w:left w:val="nil"/>
              <w:bottom w:val="single" w:sz="4" w:space="0" w:color="auto"/>
              <w:right w:val="single" w:sz="4" w:space="0" w:color="auto"/>
            </w:tcBorders>
            <w:shd w:val="clear" w:color="auto" w:fill="auto"/>
            <w:noWrap/>
            <w:vAlign w:val="center"/>
          </w:tcPr>
          <w:p w14:paraId="016BC724" w14:textId="7F2C56B5"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r>
              <w:rPr>
                <w:rFonts w:ascii="Arial" w:eastAsia="仿宋_GB2312" w:hAnsi="Arial" w:cs="Arial"/>
                <w:sz w:val="22"/>
                <w:szCs w:val="22"/>
              </w:rPr>
              <w:t>.5</w:t>
            </w:r>
          </w:p>
        </w:tc>
        <w:tc>
          <w:tcPr>
            <w:tcW w:w="1000" w:type="pct"/>
            <w:tcBorders>
              <w:top w:val="nil"/>
              <w:left w:val="nil"/>
              <w:bottom w:val="single" w:sz="4" w:space="0" w:color="auto"/>
              <w:right w:val="single" w:sz="4" w:space="0" w:color="auto"/>
            </w:tcBorders>
            <w:shd w:val="clear" w:color="auto" w:fill="auto"/>
            <w:noWrap/>
            <w:vAlign w:val="center"/>
          </w:tcPr>
          <w:p w14:paraId="1EC35A7D" w14:textId="3838BC30"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w:t>
            </w:r>
            <w:r>
              <w:rPr>
                <w:rFonts w:ascii="Arial" w:eastAsia="仿宋_GB2312" w:hAnsi="Arial" w:cs="Arial"/>
                <w:sz w:val="22"/>
                <w:szCs w:val="22"/>
              </w:rPr>
              <w:t>1</w:t>
            </w:r>
          </w:p>
        </w:tc>
        <w:tc>
          <w:tcPr>
            <w:tcW w:w="1000" w:type="pct"/>
            <w:tcBorders>
              <w:top w:val="nil"/>
              <w:left w:val="nil"/>
              <w:bottom w:val="single" w:sz="4" w:space="0" w:color="auto"/>
              <w:right w:val="single" w:sz="4" w:space="0" w:color="auto"/>
            </w:tcBorders>
            <w:shd w:val="clear" w:color="auto" w:fill="auto"/>
            <w:noWrap/>
            <w:vAlign w:val="center"/>
          </w:tcPr>
          <w:p w14:paraId="47733FE8" w14:textId="37110830"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5139B9D4" w14:textId="77777777" w:rsidTr="000B5A76">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EE4FB06"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417EEE6B"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3D8D6586" w14:textId="642C86AF"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r>
              <w:rPr>
                <w:rFonts w:ascii="Arial" w:eastAsia="仿宋_GB2312" w:hAnsi="Arial" w:cs="Arial"/>
                <w:sz w:val="22"/>
                <w:szCs w:val="22"/>
              </w:rPr>
              <w:t>.5</w:t>
            </w:r>
          </w:p>
        </w:tc>
        <w:tc>
          <w:tcPr>
            <w:tcW w:w="1000" w:type="pct"/>
            <w:tcBorders>
              <w:top w:val="nil"/>
              <w:left w:val="nil"/>
              <w:bottom w:val="single" w:sz="4" w:space="0" w:color="auto"/>
              <w:right w:val="single" w:sz="4" w:space="0" w:color="auto"/>
            </w:tcBorders>
            <w:shd w:val="clear" w:color="auto" w:fill="auto"/>
            <w:noWrap/>
            <w:vAlign w:val="center"/>
            <w:hideMark/>
          </w:tcPr>
          <w:p w14:paraId="747C99AC" w14:textId="493CA08E"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r>
              <w:rPr>
                <w:rFonts w:ascii="Arial" w:eastAsia="仿宋_GB2312" w:hAnsi="Arial" w:cs="Arial"/>
                <w:sz w:val="22"/>
                <w:szCs w:val="22"/>
              </w:rPr>
              <w:t>.5</w:t>
            </w:r>
          </w:p>
        </w:tc>
        <w:tc>
          <w:tcPr>
            <w:tcW w:w="1000" w:type="pct"/>
            <w:tcBorders>
              <w:top w:val="nil"/>
              <w:left w:val="nil"/>
              <w:bottom w:val="single" w:sz="4" w:space="0" w:color="auto"/>
              <w:right w:val="single" w:sz="4" w:space="0" w:color="auto"/>
            </w:tcBorders>
            <w:shd w:val="clear" w:color="auto" w:fill="auto"/>
            <w:noWrap/>
            <w:vAlign w:val="center"/>
            <w:hideMark/>
          </w:tcPr>
          <w:p w14:paraId="6B204D13" w14:textId="27D29EEA"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r>
              <w:rPr>
                <w:rFonts w:ascii="Arial" w:eastAsia="仿宋_GB2312" w:hAnsi="Arial" w:cs="Arial"/>
                <w:sz w:val="22"/>
                <w:szCs w:val="22"/>
              </w:rPr>
              <w:t>.5</w:t>
            </w:r>
          </w:p>
        </w:tc>
      </w:tr>
      <w:tr w:rsidR="00E736F2" w:rsidRPr="00F631FB" w14:paraId="43588DBF" w14:textId="77777777" w:rsidTr="004A2C77">
        <w:trPr>
          <w:trHeight w:val="310"/>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2E9AD175"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04624E5F"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tcPr>
          <w:p w14:paraId="4A655652" w14:textId="1DBD2F5B"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2CAD7064" w14:textId="75B8BBA6"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14BD75B0" w14:textId="6CC679C3"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00EAE45B" w14:textId="77777777" w:rsidTr="004A2C77">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3742A3B1"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128E85D6"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00B10FA1" w14:textId="6A976E3B"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sidR="00ED30EA">
              <w:rPr>
                <w:rFonts w:ascii="Arial" w:eastAsia="仿宋_GB2312" w:hAnsi="Arial" w:cs="Arial"/>
                <w:sz w:val="22"/>
                <w:szCs w:val="22"/>
              </w:rPr>
              <w:t>98</w:t>
            </w:r>
          </w:p>
        </w:tc>
        <w:tc>
          <w:tcPr>
            <w:tcW w:w="1000" w:type="pct"/>
            <w:tcBorders>
              <w:top w:val="nil"/>
              <w:left w:val="nil"/>
              <w:bottom w:val="single" w:sz="4" w:space="0" w:color="auto"/>
              <w:right w:val="single" w:sz="4" w:space="0" w:color="auto"/>
            </w:tcBorders>
            <w:shd w:val="clear" w:color="auto" w:fill="auto"/>
            <w:noWrap/>
            <w:vAlign w:val="center"/>
          </w:tcPr>
          <w:p w14:paraId="23B13F66" w14:textId="474346E7"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sidR="00ED30EA">
              <w:rPr>
                <w:rFonts w:ascii="Arial" w:eastAsia="仿宋_GB2312" w:hAnsi="Arial" w:cs="Arial"/>
                <w:sz w:val="22"/>
                <w:szCs w:val="22"/>
              </w:rPr>
              <w:t>98</w:t>
            </w:r>
          </w:p>
        </w:tc>
        <w:tc>
          <w:tcPr>
            <w:tcW w:w="1000" w:type="pct"/>
            <w:tcBorders>
              <w:top w:val="nil"/>
              <w:left w:val="nil"/>
              <w:bottom w:val="single" w:sz="4" w:space="0" w:color="auto"/>
              <w:right w:val="single" w:sz="4" w:space="0" w:color="auto"/>
            </w:tcBorders>
            <w:shd w:val="clear" w:color="auto" w:fill="auto"/>
            <w:noWrap/>
            <w:vAlign w:val="center"/>
          </w:tcPr>
          <w:p w14:paraId="61D9F077" w14:textId="256539D0"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sidR="00ED30EA">
              <w:rPr>
                <w:rFonts w:ascii="Arial" w:eastAsia="仿宋_GB2312" w:hAnsi="Arial" w:cs="Arial"/>
                <w:sz w:val="22"/>
                <w:szCs w:val="22"/>
              </w:rPr>
              <w:t>98</w:t>
            </w:r>
          </w:p>
        </w:tc>
      </w:tr>
      <w:tr w:rsidR="00E736F2" w:rsidRPr="00F631FB" w14:paraId="0DFB2977" w14:textId="77777777" w:rsidTr="004A2C77">
        <w:trPr>
          <w:trHeight w:val="191"/>
        </w:trPr>
        <w:tc>
          <w:tcPr>
            <w:tcW w:w="1000" w:type="pct"/>
            <w:vMerge/>
            <w:tcBorders>
              <w:top w:val="nil"/>
              <w:left w:val="single" w:sz="4" w:space="0" w:color="auto"/>
              <w:bottom w:val="single" w:sz="4" w:space="0" w:color="auto"/>
              <w:right w:val="single" w:sz="4" w:space="0" w:color="auto"/>
            </w:tcBorders>
            <w:vAlign w:val="center"/>
            <w:hideMark/>
          </w:tcPr>
          <w:p w14:paraId="4E472E0E" w14:textId="77777777" w:rsidR="00E736F2" w:rsidRPr="00F631FB" w:rsidRDefault="00E736F2" w:rsidP="00E736F2">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1BBEB55E"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7E4093C3" w14:textId="654442D1"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E719E06" w14:textId="2E7C3B48"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C7FB29" w14:textId="2E4312C5"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37D6E0B1" w14:textId="77777777" w:rsidTr="004A2C77">
        <w:trPr>
          <w:trHeight w:val="295"/>
        </w:trPr>
        <w:tc>
          <w:tcPr>
            <w:tcW w:w="1000" w:type="pct"/>
            <w:vMerge/>
            <w:tcBorders>
              <w:top w:val="nil"/>
              <w:left w:val="single" w:sz="4" w:space="0" w:color="auto"/>
              <w:bottom w:val="single" w:sz="4" w:space="0" w:color="auto"/>
              <w:right w:val="single" w:sz="4" w:space="0" w:color="auto"/>
            </w:tcBorders>
            <w:vAlign w:val="center"/>
            <w:hideMark/>
          </w:tcPr>
          <w:p w14:paraId="77727E56" w14:textId="77777777" w:rsidR="00E736F2" w:rsidRPr="00F631FB" w:rsidRDefault="00E736F2" w:rsidP="00E736F2">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E65ADB6"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1DC624B7" w14:textId="32F534B5"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94</w:t>
            </w:r>
          </w:p>
        </w:tc>
        <w:tc>
          <w:tcPr>
            <w:tcW w:w="1000" w:type="pct"/>
            <w:tcBorders>
              <w:top w:val="nil"/>
              <w:left w:val="nil"/>
              <w:bottom w:val="single" w:sz="4" w:space="0" w:color="auto"/>
              <w:right w:val="single" w:sz="4" w:space="0" w:color="auto"/>
            </w:tcBorders>
            <w:shd w:val="clear" w:color="auto" w:fill="auto"/>
            <w:noWrap/>
            <w:vAlign w:val="center"/>
            <w:hideMark/>
          </w:tcPr>
          <w:p w14:paraId="557B5539" w14:textId="3AE84027"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94</w:t>
            </w:r>
          </w:p>
        </w:tc>
        <w:tc>
          <w:tcPr>
            <w:tcW w:w="1000" w:type="pct"/>
            <w:tcBorders>
              <w:top w:val="nil"/>
              <w:left w:val="nil"/>
              <w:bottom w:val="single" w:sz="4" w:space="0" w:color="auto"/>
              <w:right w:val="single" w:sz="4" w:space="0" w:color="auto"/>
            </w:tcBorders>
            <w:shd w:val="clear" w:color="auto" w:fill="auto"/>
            <w:noWrap/>
            <w:vAlign w:val="center"/>
            <w:hideMark/>
          </w:tcPr>
          <w:p w14:paraId="77815641" w14:textId="2F96001F"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94</w:t>
            </w:r>
          </w:p>
        </w:tc>
      </w:tr>
      <w:tr w:rsidR="00E736F2" w:rsidRPr="00F631FB" w14:paraId="2B9EBF84" w14:textId="77777777" w:rsidTr="004A2C77">
        <w:trPr>
          <w:trHeight w:val="295"/>
        </w:trPr>
        <w:tc>
          <w:tcPr>
            <w:tcW w:w="1000" w:type="pct"/>
            <w:vMerge/>
            <w:tcBorders>
              <w:top w:val="nil"/>
              <w:left w:val="single" w:sz="4" w:space="0" w:color="auto"/>
              <w:bottom w:val="single" w:sz="4" w:space="0" w:color="auto"/>
              <w:right w:val="single" w:sz="4" w:space="0" w:color="auto"/>
            </w:tcBorders>
            <w:vAlign w:val="center"/>
          </w:tcPr>
          <w:p w14:paraId="2BA70479" w14:textId="77777777" w:rsidR="00E736F2" w:rsidRPr="00F631FB" w:rsidRDefault="00E736F2" w:rsidP="00E736F2">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41635918" w14:textId="2762114D"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市政基础设施</w:t>
            </w:r>
          </w:p>
        </w:tc>
        <w:tc>
          <w:tcPr>
            <w:tcW w:w="857" w:type="pct"/>
            <w:tcBorders>
              <w:top w:val="nil"/>
              <w:left w:val="nil"/>
              <w:bottom w:val="single" w:sz="4" w:space="0" w:color="auto"/>
              <w:right w:val="single" w:sz="4" w:space="0" w:color="auto"/>
            </w:tcBorders>
            <w:shd w:val="clear" w:color="auto" w:fill="auto"/>
            <w:noWrap/>
            <w:vAlign w:val="center"/>
          </w:tcPr>
          <w:p w14:paraId="1B5DBDF8" w14:textId="63EA7897"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97.5</w:t>
            </w:r>
          </w:p>
        </w:tc>
        <w:tc>
          <w:tcPr>
            <w:tcW w:w="1000" w:type="pct"/>
            <w:tcBorders>
              <w:top w:val="nil"/>
              <w:left w:val="nil"/>
              <w:bottom w:val="single" w:sz="4" w:space="0" w:color="auto"/>
              <w:right w:val="single" w:sz="4" w:space="0" w:color="auto"/>
            </w:tcBorders>
            <w:shd w:val="clear" w:color="auto" w:fill="auto"/>
            <w:noWrap/>
            <w:vAlign w:val="center"/>
          </w:tcPr>
          <w:p w14:paraId="764D9B2C" w14:textId="31699844"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97.5</w:t>
            </w:r>
          </w:p>
        </w:tc>
        <w:tc>
          <w:tcPr>
            <w:tcW w:w="1000" w:type="pct"/>
            <w:tcBorders>
              <w:top w:val="nil"/>
              <w:left w:val="nil"/>
              <w:bottom w:val="single" w:sz="4" w:space="0" w:color="auto"/>
              <w:right w:val="single" w:sz="4" w:space="0" w:color="auto"/>
            </w:tcBorders>
            <w:shd w:val="clear" w:color="auto" w:fill="auto"/>
            <w:noWrap/>
            <w:vAlign w:val="center"/>
          </w:tcPr>
          <w:p w14:paraId="1A46DD26" w14:textId="7C97D345"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97.5</w:t>
            </w:r>
          </w:p>
        </w:tc>
      </w:tr>
      <w:tr w:rsidR="00E736F2" w:rsidRPr="00F631FB" w14:paraId="57584469" w14:textId="77777777" w:rsidTr="004A2C77">
        <w:trPr>
          <w:trHeight w:val="229"/>
        </w:trPr>
        <w:tc>
          <w:tcPr>
            <w:tcW w:w="1000" w:type="pct"/>
            <w:vMerge/>
            <w:tcBorders>
              <w:top w:val="nil"/>
              <w:left w:val="single" w:sz="4" w:space="0" w:color="auto"/>
              <w:bottom w:val="single" w:sz="4" w:space="0" w:color="auto"/>
              <w:right w:val="single" w:sz="4" w:space="0" w:color="auto"/>
            </w:tcBorders>
            <w:vAlign w:val="center"/>
            <w:hideMark/>
          </w:tcPr>
          <w:p w14:paraId="4976C17D" w14:textId="77777777" w:rsidR="00E736F2" w:rsidRPr="00F631FB" w:rsidRDefault="00E736F2" w:rsidP="00E736F2">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BE9B46B"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7FBB6F2B" w14:textId="323C58BB"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4A4C007" w14:textId="30C9F4DA"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F67ACAD" w14:textId="2F4F3859"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5DEDE5FD" w14:textId="77777777" w:rsidTr="004A2C77">
        <w:trPr>
          <w:trHeight w:val="178"/>
        </w:trPr>
        <w:tc>
          <w:tcPr>
            <w:tcW w:w="1000" w:type="pct"/>
            <w:vMerge/>
            <w:tcBorders>
              <w:top w:val="nil"/>
              <w:left w:val="single" w:sz="4" w:space="0" w:color="auto"/>
              <w:bottom w:val="single" w:sz="4" w:space="0" w:color="auto"/>
              <w:right w:val="single" w:sz="4" w:space="0" w:color="auto"/>
            </w:tcBorders>
            <w:vAlign w:val="center"/>
            <w:hideMark/>
          </w:tcPr>
          <w:p w14:paraId="704548A2" w14:textId="77777777" w:rsidR="00E736F2" w:rsidRPr="00F631FB" w:rsidRDefault="00E736F2" w:rsidP="00E736F2">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D005C8C"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01EB3DB5" w14:textId="4016B399"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8AAE9DF" w14:textId="6552916B"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FDAF4CC" w14:textId="70216A24"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50EED170" w14:textId="77777777" w:rsidTr="004A2C77">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9CF760" w14:textId="77777777" w:rsidR="00E736F2" w:rsidRPr="00F631FB" w:rsidRDefault="00E736F2" w:rsidP="00E736F2">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销售价格（元</w:t>
            </w:r>
            <w:r w:rsidRPr="00F631FB">
              <w:rPr>
                <w:rFonts w:ascii="Arial" w:eastAsia="仿宋_GB2312" w:hAnsi="Arial" w:cs="Arial"/>
                <w:sz w:val="20"/>
              </w:rPr>
              <w:t>/</w:t>
            </w:r>
            <w:r w:rsidRPr="00F631FB">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42CAD6E5" w14:textId="473F7DCD" w:rsidR="00E736F2" w:rsidRPr="00F631FB" w:rsidRDefault="00E736F2" w:rsidP="00E736F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45000</w:t>
            </w:r>
          </w:p>
        </w:tc>
        <w:tc>
          <w:tcPr>
            <w:tcW w:w="1000" w:type="pct"/>
            <w:tcBorders>
              <w:top w:val="nil"/>
              <w:left w:val="nil"/>
              <w:bottom w:val="single" w:sz="4" w:space="0" w:color="auto"/>
              <w:right w:val="single" w:sz="4" w:space="0" w:color="auto"/>
            </w:tcBorders>
            <w:shd w:val="clear" w:color="auto" w:fill="auto"/>
            <w:vAlign w:val="center"/>
            <w:hideMark/>
          </w:tcPr>
          <w:p w14:paraId="7AA2F1CB" w14:textId="62A0EB74" w:rsidR="00E736F2" w:rsidRPr="00F631FB" w:rsidRDefault="00E736F2" w:rsidP="00E736F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44554</w:t>
            </w:r>
          </w:p>
        </w:tc>
        <w:tc>
          <w:tcPr>
            <w:tcW w:w="1000" w:type="pct"/>
            <w:tcBorders>
              <w:top w:val="nil"/>
              <w:left w:val="nil"/>
              <w:bottom w:val="single" w:sz="4" w:space="0" w:color="auto"/>
              <w:right w:val="single" w:sz="4" w:space="0" w:color="auto"/>
            </w:tcBorders>
            <w:shd w:val="clear" w:color="auto" w:fill="auto"/>
            <w:noWrap/>
            <w:vAlign w:val="center"/>
            <w:hideMark/>
          </w:tcPr>
          <w:p w14:paraId="5822FA72" w14:textId="1FD5AFA2" w:rsidR="00E736F2" w:rsidRPr="00F631FB" w:rsidRDefault="00E736F2" w:rsidP="00E736F2">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43745</w:t>
            </w:r>
          </w:p>
        </w:tc>
      </w:tr>
      <w:tr w:rsidR="00E736F2" w:rsidRPr="00F631FB" w14:paraId="000D77DE" w14:textId="77777777" w:rsidTr="004A2C77">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E59059" w14:textId="77777777" w:rsidR="00E736F2" w:rsidRPr="00F631FB" w:rsidRDefault="00E736F2" w:rsidP="00E736F2">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比较价格（元</w:t>
            </w:r>
            <w:r w:rsidRPr="00F631FB">
              <w:rPr>
                <w:rFonts w:ascii="Arial" w:eastAsia="仿宋_GB2312" w:hAnsi="Arial" w:cs="Arial"/>
                <w:sz w:val="20"/>
              </w:rPr>
              <w:t>/</w:t>
            </w:r>
            <w:r w:rsidRPr="00F631FB">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25DF9E4B" w14:textId="73EE3421" w:rsidR="00E736F2" w:rsidRPr="00F631FB" w:rsidRDefault="00ED30EA" w:rsidP="00E736F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50617</w:t>
            </w:r>
          </w:p>
        </w:tc>
        <w:tc>
          <w:tcPr>
            <w:tcW w:w="1000" w:type="pct"/>
            <w:tcBorders>
              <w:top w:val="nil"/>
              <w:left w:val="nil"/>
              <w:bottom w:val="single" w:sz="4" w:space="0" w:color="auto"/>
              <w:right w:val="single" w:sz="4" w:space="0" w:color="auto"/>
            </w:tcBorders>
            <w:shd w:val="clear" w:color="auto" w:fill="auto"/>
            <w:vAlign w:val="center"/>
            <w:hideMark/>
          </w:tcPr>
          <w:p w14:paraId="0EC875BF" w14:textId="577D53F2" w:rsidR="00E736F2" w:rsidRPr="00F631FB" w:rsidRDefault="00ED30EA" w:rsidP="00E736F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49867</w:t>
            </w:r>
          </w:p>
        </w:tc>
        <w:tc>
          <w:tcPr>
            <w:tcW w:w="1000" w:type="pct"/>
            <w:tcBorders>
              <w:top w:val="nil"/>
              <w:left w:val="nil"/>
              <w:bottom w:val="single" w:sz="4" w:space="0" w:color="auto"/>
              <w:right w:val="single" w:sz="4" w:space="0" w:color="auto"/>
            </w:tcBorders>
            <w:shd w:val="clear" w:color="auto" w:fill="auto"/>
            <w:noWrap/>
            <w:vAlign w:val="center"/>
            <w:hideMark/>
          </w:tcPr>
          <w:p w14:paraId="3B59D357" w14:textId="54564883" w:rsidR="00E736F2" w:rsidRPr="00F631FB" w:rsidRDefault="00ED30EA" w:rsidP="00E736F2">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49451</w:t>
            </w:r>
          </w:p>
        </w:tc>
      </w:tr>
      <w:tr w:rsidR="00E736F2" w:rsidRPr="00F631FB" w14:paraId="2CA25B2E" w14:textId="77777777" w:rsidTr="004A2C77">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BC2929" w14:textId="77777777" w:rsidR="00E736F2" w:rsidRPr="00F631FB" w:rsidRDefault="00E736F2" w:rsidP="00E736F2">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hint="eastAsia"/>
                <w:sz w:val="20"/>
              </w:rPr>
              <w:t>比准价格</w:t>
            </w:r>
            <w:r w:rsidRPr="00F631FB">
              <w:rPr>
                <w:rFonts w:ascii="Arial" w:eastAsia="仿宋_GB2312" w:hAnsi="Arial" w:cs="Arial"/>
                <w:sz w:val="20"/>
              </w:rPr>
              <w:t>（元</w:t>
            </w:r>
            <w:r w:rsidRPr="00F631FB">
              <w:rPr>
                <w:rFonts w:ascii="Arial" w:eastAsia="仿宋_GB2312" w:hAnsi="Arial" w:cs="Arial"/>
                <w:sz w:val="20"/>
              </w:rPr>
              <w:t>/</w:t>
            </w:r>
            <w:r w:rsidRPr="00F631FB">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1083D580" w14:textId="1DB6D2DB" w:rsidR="00E736F2" w:rsidRPr="00F631FB" w:rsidRDefault="00ED30EA" w:rsidP="00E736F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49978</w:t>
            </w:r>
          </w:p>
        </w:tc>
      </w:tr>
    </w:tbl>
    <w:p w14:paraId="6B90B8B8" w14:textId="77777777" w:rsidR="002C3ABF" w:rsidRPr="00F631FB" w:rsidRDefault="002C3ABF" w:rsidP="00771E24">
      <w:pPr>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2A0B4FD9"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估价对象办公用房不动产</w:t>
      </w:r>
      <w:r w:rsidRPr="00F631FB">
        <w:rPr>
          <w:rFonts w:ascii="Arial" w:eastAsia="仿宋_GB2312" w:hAnsi="Arial" w:cs="Arial" w:hint="eastAsia"/>
          <w:sz w:val="28"/>
        </w:rPr>
        <w:t>比准价格</w:t>
      </w:r>
      <w:r w:rsidRPr="00F631FB">
        <w:rPr>
          <w:rFonts w:ascii="Arial" w:eastAsia="仿宋_GB2312" w:hAnsi="Arial" w:cs="Arial"/>
          <w:sz w:val="28"/>
        </w:rPr>
        <w:t xml:space="preserve"> </w:t>
      </w:r>
    </w:p>
    <w:p w14:paraId="02EF4EFD" w14:textId="078C5973" w:rsidR="002C3ABF" w:rsidRPr="00F631FB" w:rsidRDefault="002C3ABF" w:rsidP="00ED30EA">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sidR="00ED30EA">
        <w:rPr>
          <w:rFonts w:ascii="Arial" w:eastAsia="仿宋_GB2312" w:hAnsi="Arial" w:cs="Arial"/>
          <w:sz w:val="28"/>
        </w:rPr>
        <w:t>50617</w:t>
      </w:r>
      <w:r w:rsidR="00202E52">
        <w:rPr>
          <w:rFonts w:ascii="Arial" w:eastAsia="仿宋_GB2312" w:hAnsi="Arial" w:cs="Arial"/>
          <w:sz w:val="28"/>
        </w:rPr>
        <w:t>+</w:t>
      </w:r>
      <w:r w:rsidR="00ED30EA">
        <w:rPr>
          <w:rFonts w:ascii="Arial" w:eastAsia="仿宋_GB2312" w:hAnsi="Arial" w:cs="Arial"/>
          <w:sz w:val="28"/>
        </w:rPr>
        <w:t>49867</w:t>
      </w:r>
      <w:r w:rsidR="00202E52">
        <w:rPr>
          <w:rFonts w:ascii="Arial" w:eastAsia="仿宋_GB2312" w:hAnsi="Arial" w:cs="Arial"/>
          <w:sz w:val="28"/>
        </w:rPr>
        <w:t>+</w:t>
      </w:r>
      <w:r w:rsidR="00ED30EA">
        <w:rPr>
          <w:rFonts w:ascii="Arial" w:eastAsia="仿宋_GB2312" w:hAnsi="Arial" w:cs="Arial"/>
          <w:sz w:val="28"/>
        </w:rPr>
        <w:t>49451</w:t>
      </w: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w:t>
      </w:r>
      <w:r w:rsidR="00ED30EA">
        <w:rPr>
          <w:rFonts w:ascii="Arial" w:eastAsia="仿宋_GB2312" w:hAnsi="Arial" w:cs="Arial"/>
          <w:bCs/>
          <w:sz w:val="28"/>
        </w:rPr>
        <w:t>49978</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31B5F93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开发完成后不动产总价＝</w:t>
      </w:r>
      <w:r w:rsidRPr="00F631FB">
        <w:rPr>
          <w:rFonts w:ascii="Arial" w:eastAsia="仿宋_GB2312" w:hAnsi="Arial" w:cs="Arial" w:hint="eastAsia"/>
          <w:sz w:val="28"/>
        </w:rPr>
        <w:t>比准价格</w:t>
      </w:r>
      <w:r w:rsidRPr="00F631FB">
        <w:rPr>
          <w:rFonts w:ascii="Arial" w:eastAsia="仿宋_GB2312" w:hAnsi="Arial" w:cs="Arial"/>
          <w:sz w:val="28"/>
        </w:rPr>
        <w:t>×</w:t>
      </w:r>
      <w:r w:rsidRPr="00F631FB">
        <w:rPr>
          <w:rFonts w:ascii="Arial" w:eastAsia="仿宋_GB2312" w:hAnsi="Arial" w:cs="Arial"/>
          <w:sz w:val="28"/>
        </w:rPr>
        <w:t>建筑面积</w:t>
      </w:r>
    </w:p>
    <w:p w14:paraId="4558F1EC" w14:textId="77777777" w:rsidR="00ED30EA" w:rsidRDefault="002C3ABF" w:rsidP="002C3ABF">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rPr>
        <w:t xml:space="preserve"> </w:t>
      </w:r>
      <w:r w:rsidR="00ED30EA">
        <w:rPr>
          <w:rFonts w:ascii="Arial" w:eastAsia="仿宋_GB2312" w:hAnsi="Arial" w:cs="Arial"/>
          <w:bCs/>
          <w:sz w:val="28"/>
        </w:rPr>
        <w:t>49978</w:t>
      </w:r>
      <w:r w:rsidRPr="00F631FB">
        <w:rPr>
          <w:rFonts w:ascii="Arial" w:eastAsia="仿宋_GB2312" w:hAnsi="Arial" w:cs="Arial"/>
        </w:rPr>
        <w:t>×</w:t>
      </w:r>
      <w:r w:rsidR="007E1F92">
        <w:rPr>
          <w:rFonts w:ascii="Arial" w:eastAsia="仿宋_GB2312" w:hAnsi="Arial" w:cs="Arial"/>
          <w:sz w:val="28"/>
        </w:rPr>
        <w:t>118</w:t>
      </w:r>
      <w:r w:rsidRPr="00F631FB">
        <w:rPr>
          <w:rFonts w:ascii="Arial" w:eastAsia="仿宋_GB2312" w:hAnsi="Arial" w:cs="Arial"/>
          <w:sz w:val="28"/>
        </w:rPr>
        <w:t>÷10000</w:t>
      </w:r>
    </w:p>
    <w:p w14:paraId="2D27248E" w14:textId="3EC97CBF" w:rsidR="002C3ABF" w:rsidRPr="00F631FB" w:rsidRDefault="002C3ABF" w:rsidP="002C3ABF">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sidR="007E1F92">
        <w:rPr>
          <w:rFonts w:ascii="Arial" w:eastAsia="仿宋_GB2312" w:hAnsi="Arial" w:cs="Arial"/>
          <w:sz w:val="28"/>
        </w:rPr>
        <w:t>5</w:t>
      </w:r>
      <w:r w:rsidR="00ED30EA">
        <w:rPr>
          <w:rFonts w:ascii="Arial" w:eastAsia="仿宋_GB2312" w:hAnsi="Arial" w:cs="Arial"/>
          <w:sz w:val="28"/>
        </w:rPr>
        <w:t>90</w:t>
      </w:r>
      <w:r w:rsidRPr="00F631FB">
        <w:rPr>
          <w:rFonts w:ascii="Arial" w:eastAsia="仿宋_GB2312" w:hAnsi="Arial" w:cs="Arial"/>
          <w:sz w:val="28"/>
        </w:rPr>
        <w:t xml:space="preserve"> (</w:t>
      </w:r>
      <w:r w:rsidRPr="00F631FB">
        <w:rPr>
          <w:rFonts w:ascii="Arial" w:eastAsia="仿宋_GB2312" w:hAnsi="Arial" w:cs="Arial"/>
          <w:sz w:val="28"/>
        </w:rPr>
        <w:t>万元</w:t>
      </w:r>
      <w:r w:rsidRPr="00F631FB">
        <w:rPr>
          <w:rFonts w:ascii="Arial" w:eastAsia="仿宋_GB2312" w:hAnsi="Arial" w:cs="Arial"/>
          <w:sz w:val="28"/>
        </w:rPr>
        <w:t>)</w:t>
      </w:r>
    </w:p>
    <w:p w14:paraId="51B2171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2</w:t>
      </w:r>
      <w:r w:rsidRPr="00F631FB">
        <w:rPr>
          <w:rFonts w:ascii="Arial" w:eastAsia="仿宋_GB2312" w:hAnsi="Arial" w:cs="Arial"/>
          <w:sz w:val="28"/>
        </w:rPr>
        <w:t>）开发成本</w:t>
      </w:r>
    </w:p>
    <w:p w14:paraId="382C3CA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sz w:val="28"/>
        </w:rPr>
        <w:t>建造成本</w:t>
      </w:r>
    </w:p>
    <w:p w14:paraId="141F72BE" w14:textId="317AFE4D" w:rsidR="002C3ABF"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sz w:val="28"/>
        </w:rPr>
        <w:t>建安费用</w:t>
      </w:r>
    </w:p>
    <w:p w14:paraId="15818C9D" w14:textId="52C389DA"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本次评估参考现行北京市工程概预算定额以及同类建筑的建安水平，同时考虑估价对象建筑结构、设备与装修标准等，综合确定</w:t>
      </w:r>
      <w:r w:rsidR="00E736F2">
        <w:rPr>
          <w:rFonts w:ascii="Arial" w:eastAsia="仿宋_GB2312" w:hAnsi="Arial" w:cs="Arial" w:hint="eastAsia"/>
          <w:sz w:val="28"/>
        </w:rPr>
        <w:t>办公用房</w:t>
      </w:r>
      <w:r w:rsidRPr="00F631FB">
        <w:rPr>
          <w:rFonts w:ascii="Arial" w:eastAsia="仿宋_GB2312" w:hAnsi="Arial" w:cs="Arial"/>
          <w:sz w:val="28"/>
        </w:rPr>
        <w:t>建安费用为</w:t>
      </w:r>
      <w:r w:rsidR="00BE000D" w:rsidRPr="00F631FB">
        <w:rPr>
          <w:rFonts w:ascii="Arial" w:eastAsia="仿宋_GB2312" w:hAnsi="Arial" w:cs="Arial" w:hint="eastAsia"/>
          <w:sz w:val="28"/>
        </w:rPr>
        <w:t>4</w:t>
      </w:r>
      <w:r w:rsidR="007E1F92">
        <w:rPr>
          <w:rFonts w:ascii="Arial" w:eastAsia="仿宋_GB2312" w:hAnsi="Arial" w:cs="Arial"/>
          <w:sz w:val="28"/>
        </w:rPr>
        <w:t>5</w:t>
      </w:r>
      <w:r w:rsidRPr="00F631FB">
        <w:rPr>
          <w:rFonts w:ascii="Arial" w:eastAsia="仿宋_GB2312" w:hAnsi="Arial" w:cs="Arial"/>
          <w:sz w:val="28"/>
        </w:rPr>
        <w:t>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25FC0F3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w:t>
      </w:r>
      <w:r w:rsidRPr="00E736F2">
        <w:rPr>
          <w:rFonts w:ascii="Arial" w:eastAsia="仿宋_GB2312" w:hAnsi="Arial" w:cs="Arial"/>
          <w:sz w:val="28"/>
        </w:rPr>
        <w:t>安费用＝单</w:t>
      </w:r>
      <w:r w:rsidRPr="00F631FB">
        <w:rPr>
          <w:rFonts w:ascii="Arial" w:eastAsia="仿宋_GB2312" w:hAnsi="Arial" w:cs="Arial"/>
          <w:sz w:val="28"/>
        </w:rPr>
        <w:t>方造价</w:t>
      </w:r>
      <w:r w:rsidRPr="00F631FB">
        <w:rPr>
          <w:rFonts w:ascii="Arial" w:eastAsia="仿宋_GB2312" w:hAnsi="Arial" w:cs="Arial"/>
          <w:sz w:val="28"/>
        </w:rPr>
        <w:t>×</w:t>
      </w:r>
      <w:r w:rsidRPr="00F631FB">
        <w:rPr>
          <w:rFonts w:ascii="Arial" w:eastAsia="仿宋_GB2312" w:hAnsi="Arial" w:cs="Arial"/>
          <w:sz w:val="28"/>
        </w:rPr>
        <w:t>建筑面积</w:t>
      </w:r>
    </w:p>
    <w:p w14:paraId="51E19DCE" w14:textId="4C76BC21" w:rsidR="002C3ABF" w:rsidRPr="00F631FB" w:rsidRDefault="002C3ABF" w:rsidP="00E736F2">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E736F2">
        <w:rPr>
          <w:rFonts w:ascii="Arial" w:eastAsia="仿宋_GB2312" w:hAnsi="Arial" w:cs="Arial"/>
          <w:sz w:val="28"/>
        </w:rPr>
        <w:t>4500</w:t>
      </w:r>
      <w:r w:rsidR="00E736F2" w:rsidRPr="00F631FB">
        <w:rPr>
          <w:rFonts w:ascii="Arial" w:eastAsia="仿宋_GB2312" w:hAnsi="Arial" w:cs="Arial"/>
          <w:sz w:val="28"/>
        </w:rPr>
        <w:t>×</w:t>
      </w:r>
      <w:r w:rsidR="00E736F2">
        <w:rPr>
          <w:rFonts w:ascii="Arial" w:eastAsia="仿宋_GB2312" w:hAnsi="Arial" w:cs="Arial"/>
          <w:sz w:val="28"/>
        </w:rPr>
        <w:t>118</w:t>
      </w:r>
      <w:r w:rsidR="00E736F2" w:rsidRPr="00F631FB">
        <w:rPr>
          <w:rFonts w:ascii="Arial" w:eastAsia="仿宋_GB2312" w:hAnsi="Arial" w:cs="Arial"/>
          <w:sz w:val="28"/>
        </w:rPr>
        <w:t>÷10000</w:t>
      </w:r>
    </w:p>
    <w:p w14:paraId="576FD155" w14:textId="77789EFA"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413F5F">
        <w:rPr>
          <w:rFonts w:ascii="Arial" w:eastAsia="仿宋_GB2312" w:hAnsi="Arial" w:cs="Arial"/>
          <w:sz w:val="28"/>
        </w:rPr>
        <w:t>53</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77BEA07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sz w:val="28"/>
        </w:rPr>
        <w:t>勘查设计和前期工程费</w:t>
      </w:r>
    </w:p>
    <w:p w14:paraId="671FC9D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F631FB">
        <w:rPr>
          <w:rFonts w:ascii="Arial" w:eastAsia="仿宋_GB2312" w:hAnsi="Arial" w:cs="Arial"/>
          <w:sz w:val="28"/>
        </w:rPr>
        <w:t>3%</w:t>
      </w:r>
      <w:r w:rsidRPr="00F631FB">
        <w:rPr>
          <w:rFonts w:ascii="Arial" w:eastAsia="仿宋_GB2312" w:hAnsi="Arial" w:cs="Arial"/>
          <w:sz w:val="28"/>
        </w:rPr>
        <w:t>取费，则有：</w:t>
      </w:r>
    </w:p>
    <w:p w14:paraId="498FA68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w:t>
      </w:r>
    </w:p>
    <w:p w14:paraId="26F39BC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＝建安费用</w:t>
      </w:r>
      <w:r w:rsidRPr="00F631FB">
        <w:rPr>
          <w:rFonts w:ascii="Arial" w:eastAsia="仿宋_GB2312" w:hAnsi="Arial" w:cs="Arial"/>
          <w:sz w:val="28"/>
        </w:rPr>
        <w:t>×</w:t>
      </w:r>
      <w:r w:rsidRPr="00F631FB">
        <w:rPr>
          <w:rFonts w:ascii="Arial" w:eastAsia="仿宋_GB2312" w:hAnsi="Arial" w:cs="Arial"/>
          <w:sz w:val="28"/>
        </w:rPr>
        <w:t>取费标准</w:t>
      </w:r>
    </w:p>
    <w:p w14:paraId="6AACC164" w14:textId="6977D11B"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413F5F">
        <w:rPr>
          <w:rFonts w:ascii="Arial" w:eastAsia="仿宋_GB2312" w:hAnsi="Arial" w:cs="Arial"/>
          <w:sz w:val="28"/>
        </w:rPr>
        <w:t>53</w:t>
      </w:r>
      <w:r w:rsidRPr="00F631FB">
        <w:rPr>
          <w:rFonts w:ascii="Arial" w:eastAsia="仿宋_GB2312" w:hAnsi="Arial" w:cs="Arial"/>
          <w:sz w:val="28"/>
        </w:rPr>
        <w:t>×3%</w:t>
      </w:r>
    </w:p>
    <w:p w14:paraId="008402D5" w14:textId="67D09690"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7E1F92">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636D4F4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sz w:val="28"/>
        </w:rPr>
        <w:t>公共配套设施费用</w:t>
      </w:r>
    </w:p>
    <w:p w14:paraId="7386ABC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公共配套设施费用是指城市规划要求居住项目需配套建设的教育、医疗</w:t>
      </w:r>
      <w:r w:rsidRPr="00F631FB">
        <w:rPr>
          <w:rFonts w:ascii="Arial" w:eastAsia="仿宋_GB2312" w:hAnsi="Arial" w:cs="Arial"/>
          <w:sz w:val="28"/>
        </w:rPr>
        <w:lastRenderedPageBreak/>
        <w:t>卫生、文化体育、社区服务、市政公用等非营利性设施的建设费用，估价对象规划为非住宅用途，故本项费用不计取。</w:t>
      </w:r>
    </w:p>
    <w:p w14:paraId="1079194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sz w:val="28"/>
        </w:rPr>
        <w:t>红线内市政基础设施费</w:t>
      </w:r>
    </w:p>
    <w:p w14:paraId="10CBC24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（即通路、通电、通讯、通上水、通下水、通燃气、通热力），结合估价对象所在区域实际情况确定红线内市政基础设施费为</w:t>
      </w:r>
      <w:r w:rsidRPr="00F631FB">
        <w:rPr>
          <w:rFonts w:ascii="Arial" w:eastAsia="仿宋_GB2312" w:hAnsi="Arial" w:cs="Arial"/>
          <w:sz w:val="28"/>
        </w:rPr>
        <w:t>200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73E9504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w:t>
      </w:r>
    </w:p>
    <w:p w14:paraId="58B95A8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59D2E9CC" w14:textId="25463CF9"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7E1F92">
        <w:rPr>
          <w:rFonts w:ascii="Arial" w:eastAsia="仿宋_GB2312" w:hAnsi="Arial" w:cs="Arial"/>
          <w:sz w:val="28"/>
        </w:rPr>
        <w:t>118</w:t>
      </w:r>
      <w:r w:rsidRPr="00F631FB">
        <w:rPr>
          <w:rFonts w:ascii="Arial" w:eastAsia="仿宋_GB2312" w:hAnsi="Arial" w:cs="Arial"/>
          <w:sz w:val="28"/>
        </w:rPr>
        <w:t>×200÷10000</w:t>
      </w:r>
    </w:p>
    <w:p w14:paraId="0B602183" w14:textId="4F7A84BD"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7E1F92">
        <w:rPr>
          <w:rFonts w:ascii="Arial" w:eastAsia="仿宋_GB2312" w:hAnsi="Arial" w:cs="Arial"/>
          <w:sz w:val="28"/>
        </w:rPr>
        <w:t>2</w:t>
      </w:r>
      <w:r w:rsidRPr="00F631FB">
        <w:rPr>
          <w:rFonts w:ascii="Arial" w:eastAsia="仿宋_GB2312" w:hAnsi="Arial" w:cs="Arial"/>
          <w:sz w:val="28"/>
        </w:rPr>
        <w:t xml:space="preserve"> (</w:t>
      </w:r>
      <w:r w:rsidRPr="00F631FB">
        <w:rPr>
          <w:rFonts w:ascii="Arial" w:eastAsia="仿宋_GB2312" w:hAnsi="Arial" w:cs="Arial"/>
          <w:sz w:val="28"/>
        </w:rPr>
        <w:t>万元</w:t>
      </w:r>
      <w:r w:rsidRPr="00F631FB">
        <w:rPr>
          <w:rFonts w:ascii="Arial" w:eastAsia="仿宋_GB2312" w:hAnsi="Arial" w:cs="Arial"/>
          <w:sz w:val="28"/>
        </w:rPr>
        <w:t>)</w:t>
      </w:r>
    </w:p>
    <w:p w14:paraId="01F24F5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相关税费</w:t>
      </w:r>
    </w:p>
    <w:p w14:paraId="47DBAC8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F631FB">
        <w:rPr>
          <w:rFonts w:ascii="Arial" w:eastAsia="仿宋_GB2312" w:hAnsi="Arial" w:cs="Arial"/>
          <w:sz w:val="28"/>
        </w:rPr>
        <w:t>1.5%</w:t>
      </w:r>
      <w:r w:rsidRPr="00F631FB">
        <w:rPr>
          <w:rFonts w:ascii="Arial" w:eastAsia="仿宋_GB2312" w:hAnsi="Arial" w:cs="Arial"/>
          <w:sz w:val="28"/>
        </w:rPr>
        <w:t>取费，则有：</w:t>
      </w:r>
    </w:p>
    <w:p w14:paraId="5175A52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相关税费＝建安费用</w:t>
      </w:r>
      <w:r w:rsidRPr="00F631FB">
        <w:rPr>
          <w:rFonts w:ascii="Arial" w:eastAsia="仿宋_GB2312" w:hAnsi="Arial" w:cs="Arial"/>
          <w:sz w:val="28"/>
        </w:rPr>
        <w:t>×</w:t>
      </w:r>
      <w:r w:rsidRPr="00F631FB">
        <w:rPr>
          <w:rFonts w:ascii="Arial" w:eastAsia="仿宋_GB2312" w:hAnsi="Arial" w:cs="Arial"/>
          <w:sz w:val="28"/>
        </w:rPr>
        <w:t>取费标准</w:t>
      </w:r>
    </w:p>
    <w:p w14:paraId="294DEDA3" w14:textId="349DF56A"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413F5F">
        <w:rPr>
          <w:rFonts w:ascii="Arial" w:eastAsia="仿宋_GB2312" w:hAnsi="Arial" w:cs="Arial"/>
          <w:sz w:val="28"/>
        </w:rPr>
        <w:t>53</w:t>
      </w:r>
      <w:r w:rsidRPr="00F631FB">
        <w:rPr>
          <w:rFonts w:ascii="Arial" w:eastAsia="仿宋_GB2312" w:hAnsi="Arial" w:cs="Arial"/>
          <w:sz w:val="28"/>
        </w:rPr>
        <w:t>×1.5%</w:t>
      </w:r>
    </w:p>
    <w:p w14:paraId="2DA25497" w14:textId="66A9B338"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7E1F92">
        <w:rPr>
          <w:rFonts w:ascii="Arial" w:eastAsia="仿宋_GB2312" w:hAnsi="Arial" w:cs="Arial"/>
          <w:sz w:val="28"/>
        </w:rPr>
        <w:t>1</w:t>
      </w:r>
      <w:r w:rsidRPr="00F631FB">
        <w:rPr>
          <w:rFonts w:ascii="Arial" w:eastAsia="仿宋_GB2312" w:hAnsi="Arial" w:cs="Arial"/>
          <w:sz w:val="28"/>
        </w:rPr>
        <w:t>（万元）</w:t>
      </w:r>
    </w:p>
    <w:p w14:paraId="4793FE8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f.</w:t>
      </w:r>
      <w:r w:rsidRPr="00F631FB">
        <w:rPr>
          <w:rFonts w:ascii="Arial" w:eastAsia="仿宋_GB2312" w:hAnsi="Arial" w:cs="Arial"/>
          <w:sz w:val="28"/>
        </w:rPr>
        <w:t>建造成本</w:t>
      </w:r>
    </w:p>
    <w:p w14:paraId="1399049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建造成本为上述</w:t>
      </w:r>
      <w:r w:rsidRPr="00F631FB">
        <w:rPr>
          <w:rFonts w:ascii="Arial" w:eastAsia="仿宋_GB2312" w:hAnsi="Arial" w:cs="Arial"/>
          <w:sz w:val="28"/>
        </w:rPr>
        <w:t>5</w:t>
      </w:r>
      <w:r w:rsidRPr="00F631FB">
        <w:rPr>
          <w:rFonts w:ascii="Arial" w:eastAsia="仿宋_GB2312" w:hAnsi="Arial" w:cs="Arial"/>
          <w:sz w:val="28"/>
        </w:rPr>
        <w:t>项之和，则有：</w:t>
      </w:r>
    </w:p>
    <w:p w14:paraId="70521CD9" w14:textId="71BD6C7A" w:rsidR="002C3ABF" w:rsidRPr="00F631FB" w:rsidRDefault="002C3ABF" w:rsidP="002C3AB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lastRenderedPageBreak/>
        <w:t>建造成本</w:t>
      </w:r>
      <w:r w:rsidRPr="00F631FB">
        <w:rPr>
          <w:rFonts w:ascii="Arial" w:eastAsia="仿宋_GB2312" w:hAnsi="Arial" w:cs="Arial"/>
          <w:sz w:val="28"/>
        </w:rPr>
        <w:t>=</w:t>
      </w:r>
      <w:r w:rsidR="00413F5F">
        <w:rPr>
          <w:rFonts w:ascii="Arial" w:eastAsia="仿宋_GB2312" w:hAnsi="Arial" w:cs="Arial"/>
          <w:sz w:val="28"/>
        </w:rPr>
        <w:t>53</w:t>
      </w:r>
      <w:r w:rsidR="005062BF">
        <w:rPr>
          <w:rFonts w:ascii="Arial" w:eastAsia="仿宋_GB2312" w:hAnsi="Arial" w:cs="Arial" w:hint="eastAsia"/>
          <w:sz w:val="28"/>
        </w:rPr>
        <w:t>+</w:t>
      </w:r>
      <w:r w:rsidR="007E1F92">
        <w:rPr>
          <w:rFonts w:ascii="Arial" w:eastAsia="仿宋_GB2312" w:hAnsi="Arial" w:cs="Arial"/>
          <w:sz w:val="28"/>
        </w:rPr>
        <w:t>2</w:t>
      </w:r>
      <w:r w:rsidR="005062BF">
        <w:rPr>
          <w:rFonts w:ascii="Arial" w:eastAsia="仿宋_GB2312" w:hAnsi="Arial" w:cs="Arial" w:hint="eastAsia"/>
          <w:sz w:val="28"/>
        </w:rPr>
        <w:t>+0</w:t>
      </w:r>
      <w:r w:rsidR="002C3804" w:rsidRPr="00F631FB">
        <w:rPr>
          <w:rFonts w:ascii="Arial" w:eastAsia="仿宋_GB2312" w:hAnsi="Arial" w:cs="Arial" w:hint="eastAsia"/>
          <w:sz w:val="28"/>
        </w:rPr>
        <w:t>+</w:t>
      </w:r>
      <w:r w:rsidR="007E1F92">
        <w:rPr>
          <w:rFonts w:ascii="Arial" w:eastAsia="仿宋_GB2312" w:hAnsi="Arial" w:cs="Arial"/>
          <w:sz w:val="28"/>
        </w:rPr>
        <w:t>2</w:t>
      </w:r>
      <w:r w:rsidR="002C3804" w:rsidRPr="00F631FB">
        <w:rPr>
          <w:rFonts w:ascii="Arial" w:eastAsia="仿宋_GB2312" w:hAnsi="Arial" w:cs="Arial" w:hint="eastAsia"/>
          <w:sz w:val="28"/>
        </w:rPr>
        <w:t>+</w:t>
      </w:r>
      <w:r w:rsidR="007E1F92">
        <w:rPr>
          <w:rFonts w:ascii="Arial" w:eastAsia="仿宋_GB2312" w:hAnsi="Arial" w:cs="Arial"/>
          <w:sz w:val="28"/>
        </w:rPr>
        <w:t>1</w:t>
      </w:r>
      <w:r w:rsidRPr="00F631FB">
        <w:rPr>
          <w:rFonts w:ascii="Arial" w:eastAsia="仿宋_GB2312" w:hAnsi="Arial" w:cs="Arial"/>
          <w:sz w:val="28"/>
        </w:rPr>
        <w:t>=</w:t>
      </w:r>
      <w:r w:rsidR="00413F5F">
        <w:rPr>
          <w:rFonts w:ascii="Arial" w:eastAsia="仿宋_GB2312" w:hAnsi="Arial" w:cs="Arial"/>
          <w:sz w:val="28"/>
        </w:rPr>
        <w:t>58</w:t>
      </w:r>
      <w:r w:rsidRPr="00F631FB">
        <w:rPr>
          <w:rFonts w:ascii="Arial" w:eastAsia="仿宋_GB2312" w:hAnsi="Arial" w:cs="Arial"/>
          <w:sz w:val="28"/>
        </w:rPr>
        <w:t>（万元）</w:t>
      </w:r>
    </w:p>
    <w:p w14:paraId="1929A4A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sz w:val="28"/>
        </w:rPr>
        <w:t>城市基础设施建设费</w:t>
      </w:r>
    </w:p>
    <w:p w14:paraId="6D9F2D6D" w14:textId="20AC779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城市基础设施建设费是政府向建设单位收取、专项用于城市基础设施和城市共用设施建设，包括城市道路、桥梁、公共交通、供水、燃气、</w:t>
      </w:r>
      <w:hyperlink r:id="rId84" w:tgtFrame="_blank" w:history="1">
        <w:r w:rsidRPr="00F631FB">
          <w:rPr>
            <w:rFonts w:ascii="Arial" w:eastAsia="仿宋_GB2312" w:hAnsi="Arial" w:cs="Arial"/>
            <w:sz w:val="28"/>
          </w:rPr>
          <w:t>污水处理</w:t>
        </w:r>
      </w:hyperlink>
      <w:r w:rsidRPr="00F631FB">
        <w:rPr>
          <w:rFonts w:ascii="Arial" w:eastAsia="仿宋_GB2312" w:hAnsi="Arial" w:cs="Arial"/>
          <w:sz w:val="28"/>
        </w:rPr>
        <w:t>、集中供热、园林、绿化、路灯、环境卫生等设施的建设。估价对象位于</w:t>
      </w:r>
      <w:r w:rsidRPr="00F631FB">
        <w:rPr>
          <w:rFonts w:ascii="Arial" w:eastAsia="仿宋_GB2312" w:hAnsi="Arial" w:cs="Arial"/>
          <w:bCs/>
          <w:sz w:val="28"/>
        </w:rPr>
        <w:t>北京市海淀区，根</w:t>
      </w:r>
      <w:r w:rsidRPr="00F631FB">
        <w:rPr>
          <w:rFonts w:ascii="Arial" w:eastAsia="仿宋_GB2312" w:hAnsi="Arial" w:cs="Arial"/>
          <w:sz w:val="28"/>
        </w:rPr>
        <w:t>据《北京市征收城市基础设施建设费暂行办法》</w:t>
      </w:r>
      <w:r w:rsidRPr="00F631FB">
        <w:rPr>
          <w:rFonts w:ascii="Arial" w:eastAsia="仿宋_GB2312" w:hAnsi="Arial" w:cs="Arial"/>
          <w:sz w:val="28"/>
        </w:rPr>
        <w:t>[</w:t>
      </w:r>
      <w:proofErr w:type="gramStart"/>
      <w:r w:rsidRPr="00F631FB">
        <w:rPr>
          <w:rFonts w:ascii="Arial" w:eastAsia="仿宋_GB2312" w:hAnsi="Arial" w:cs="Arial"/>
          <w:sz w:val="28"/>
        </w:rPr>
        <w:t>京计投资字</w:t>
      </w:r>
      <w:proofErr w:type="gramEnd"/>
      <w:r w:rsidRPr="00F631FB">
        <w:rPr>
          <w:rFonts w:ascii="Arial" w:eastAsia="仿宋_GB2312" w:hAnsi="Arial" w:cs="Arial"/>
          <w:sz w:val="28"/>
        </w:rPr>
        <w:t>[2002]1792</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，估价对象属于北京市区，估价对象应缴的城市基础设施建设费标准为</w:t>
      </w:r>
      <w:r w:rsidR="00DF2CC0">
        <w:rPr>
          <w:rFonts w:ascii="Arial" w:eastAsia="仿宋_GB2312" w:hAnsi="Arial" w:cs="Arial" w:hint="eastAsia"/>
          <w:sz w:val="28"/>
        </w:rPr>
        <w:t>非住宅</w:t>
      </w:r>
      <w:r w:rsidRPr="00F631FB">
        <w:rPr>
          <w:rFonts w:ascii="Arial" w:eastAsia="仿宋_GB2312" w:hAnsi="Arial" w:cs="Arial"/>
          <w:sz w:val="28"/>
        </w:rPr>
        <w:t>：</w:t>
      </w:r>
      <w:r w:rsidRPr="00F631FB">
        <w:rPr>
          <w:rFonts w:ascii="Arial" w:eastAsia="仿宋_GB2312" w:hAnsi="Arial" w:cs="Arial"/>
          <w:sz w:val="28"/>
        </w:rPr>
        <w:t>200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0E9EB1B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w:t>
      </w:r>
    </w:p>
    <w:p w14:paraId="7914DB3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302C064F" w14:textId="66CE990D"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7E1F92">
        <w:rPr>
          <w:rFonts w:ascii="Arial" w:eastAsia="仿宋_GB2312" w:hAnsi="Arial" w:cs="Arial"/>
          <w:sz w:val="28"/>
        </w:rPr>
        <w:t>118</w:t>
      </w:r>
      <w:r w:rsidRPr="00F631FB">
        <w:rPr>
          <w:rFonts w:ascii="Arial" w:eastAsia="仿宋_GB2312" w:hAnsi="Arial" w:cs="Arial"/>
          <w:sz w:val="28"/>
        </w:rPr>
        <w:t>×200÷10000</w:t>
      </w:r>
      <w:r w:rsidRPr="00F631FB">
        <w:rPr>
          <w:rFonts w:ascii="Arial" w:eastAsia="仿宋_GB2312" w:hAnsi="Arial" w:cs="Arial"/>
          <w:sz w:val="28"/>
        </w:rPr>
        <w:t>＝</w:t>
      </w:r>
      <w:r w:rsidR="007E1F92">
        <w:rPr>
          <w:rFonts w:ascii="Arial" w:eastAsia="仿宋_GB2312" w:hAnsi="Arial" w:cs="Arial"/>
          <w:sz w:val="28"/>
        </w:rPr>
        <w:t>2</w:t>
      </w:r>
      <w:r w:rsidRPr="00F631FB">
        <w:rPr>
          <w:rFonts w:ascii="Arial" w:eastAsia="仿宋_GB2312" w:hAnsi="Arial" w:cs="Arial"/>
          <w:sz w:val="28"/>
        </w:rPr>
        <w:t>（万元）</w:t>
      </w:r>
    </w:p>
    <w:p w14:paraId="23FAD97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sz w:val="28"/>
        </w:rPr>
        <w:t>管理费用</w:t>
      </w:r>
    </w:p>
    <w:p w14:paraId="6974AE99" w14:textId="1F44DAC0"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F631FB">
        <w:rPr>
          <w:rFonts w:ascii="Arial" w:eastAsia="仿宋_GB2312" w:hAnsi="Arial" w:cs="Arial"/>
          <w:sz w:val="28"/>
        </w:rPr>
        <w:t>2</w:t>
      </w:r>
      <w:r w:rsidRPr="00F631FB">
        <w:rPr>
          <w:rFonts w:ascii="Arial" w:eastAsia="仿宋_GB2312" w:hAnsi="Arial" w:cs="Arial"/>
          <w:sz w:val="28"/>
        </w:rPr>
        <w:t>项的</w:t>
      </w:r>
      <w:r w:rsidR="007E1F92">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sz w:val="28"/>
        </w:rPr>
        <w:t>计算，则有：</w:t>
      </w:r>
    </w:p>
    <w:p w14:paraId="3C5B08A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管理费用</w:t>
      </w:r>
    </w:p>
    <w:p w14:paraId="0B68168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A+B</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取费标准</w:t>
      </w:r>
    </w:p>
    <w:p w14:paraId="33344E45" w14:textId="0AF766EE"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413F5F">
        <w:rPr>
          <w:rFonts w:ascii="Arial" w:eastAsia="仿宋_GB2312" w:hAnsi="Arial" w:cs="Arial"/>
          <w:sz w:val="28"/>
        </w:rPr>
        <w:t>58</w:t>
      </w:r>
      <w:r w:rsidR="002C3804" w:rsidRPr="00F631FB">
        <w:rPr>
          <w:rFonts w:ascii="Arial" w:eastAsia="仿宋_GB2312" w:hAnsi="Arial" w:cs="Arial" w:hint="eastAsia"/>
          <w:sz w:val="28"/>
        </w:rPr>
        <w:t>+2</w:t>
      </w:r>
      <w:r w:rsidRPr="00F631FB">
        <w:rPr>
          <w:rFonts w:ascii="Arial" w:eastAsia="仿宋_GB2312" w:hAnsi="Arial" w:cs="Arial"/>
          <w:sz w:val="28"/>
        </w:rPr>
        <w:t>）</w:t>
      </w:r>
      <w:r w:rsidRPr="00F631FB">
        <w:rPr>
          <w:rFonts w:ascii="Arial" w:eastAsia="仿宋_GB2312" w:hAnsi="Arial" w:cs="Arial"/>
          <w:sz w:val="28"/>
        </w:rPr>
        <w:t>×</w:t>
      </w:r>
      <w:r w:rsidR="007E1F92">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sz w:val="28"/>
        </w:rPr>
        <w:t>＝</w:t>
      </w:r>
      <w:r w:rsidR="007E1F92">
        <w:rPr>
          <w:rFonts w:ascii="Arial" w:eastAsia="仿宋_GB2312" w:hAnsi="Arial" w:cs="Arial"/>
          <w:sz w:val="28"/>
        </w:rPr>
        <w:t>1</w:t>
      </w:r>
      <w:r w:rsidRPr="00F631FB">
        <w:rPr>
          <w:rFonts w:ascii="Arial" w:eastAsia="仿宋_GB2312" w:hAnsi="Arial" w:cs="Arial"/>
          <w:sz w:val="28"/>
        </w:rPr>
        <w:t>（万元）</w:t>
      </w:r>
    </w:p>
    <w:p w14:paraId="78AB8D1F" w14:textId="77777777" w:rsidR="002C3ABF" w:rsidRPr="00F631FB" w:rsidRDefault="002C3ABF" w:rsidP="002C3AB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sz w:val="28"/>
        </w:rPr>
        <w:t>销售费用</w:t>
      </w:r>
    </w:p>
    <w:p w14:paraId="6851D938" w14:textId="4D0B2160" w:rsidR="002C3ABF" w:rsidRPr="00F631FB" w:rsidRDefault="002C3ABF" w:rsidP="002C3AB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销售费用指预售或销售开发完成后的房地产的必要支出，包括广告费、</w:t>
      </w:r>
      <w:r w:rsidRPr="00F631FB">
        <w:rPr>
          <w:rFonts w:ascii="Arial" w:eastAsia="仿宋_GB2312" w:hAnsi="Arial" w:cs="Arial"/>
          <w:sz w:val="28"/>
        </w:rPr>
        <w:lastRenderedPageBreak/>
        <w:t>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7E1F92">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sz w:val="28"/>
        </w:rPr>
        <w:t>计算。</w:t>
      </w:r>
    </w:p>
    <w:p w14:paraId="27071608" w14:textId="50346D6F" w:rsidR="002C3ABF" w:rsidRPr="00F631FB" w:rsidRDefault="002C3ABF" w:rsidP="002C3AB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销售费用＝</w:t>
      </w:r>
      <w:r w:rsidR="00413F5F">
        <w:rPr>
          <w:rFonts w:ascii="Arial" w:eastAsia="仿宋_GB2312" w:hAnsi="Arial" w:cs="Arial"/>
          <w:sz w:val="28"/>
        </w:rPr>
        <w:t>590</w:t>
      </w:r>
      <w:r w:rsidRPr="00F631FB">
        <w:rPr>
          <w:rFonts w:ascii="Arial" w:eastAsia="仿宋_GB2312" w:hAnsi="Arial" w:cs="Arial"/>
          <w:sz w:val="28"/>
        </w:rPr>
        <w:t>×</w:t>
      </w:r>
      <w:r w:rsidR="007E1F92">
        <w:rPr>
          <w:rFonts w:ascii="Arial" w:eastAsia="仿宋_GB2312" w:hAnsi="Arial" w:cs="Arial"/>
          <w:sz w:val="28"/>
        </w:rPr>
        <w:t>2</w:t>
      </w:r>
      <w:r w:rsidRPr="00F631FB">
        <w:rPr>
          <w:rFonts w:ascii="Arial" w:eastAsia="仿宋_GB2312" w:hAnsi="Arial" w:cs="Arial"/>
          <w:sz w:val="28"/>
        </w:rPr>
        <w:t>%=</w:t>
      </w:r>
      <w:r w:rsidR="007E1F92">
        <w:rPr>
          <w:rFonts w:ascii="Arial" w:eastAsia="仿宋_GB2312" w:hAnsi="Arial" w:cs="Arial"/>
          <w:sz w:val="28"/>
        </w:rPr>
        <w:t>1</w:t>
      </w:r>
      <w:r w:rsidR="00E736F2">
        <w:rPr>
          <w:rFonts w:ascii="Arial" w:eastAsia="仿宋_GB2312" w:hAnsi="Arial" w:cs="Arial"/>
          <w:sz w:val="28"/>
        </w:rPr>
        <w:t>2</w:t>
      </w:r>
      <w:r w:rsidRPr="00F631FB">
        <w:rPr>
          <w:rFonts w:ascii="Arial" w:eastAsia="仿宋_GB2312" w:hAnsi="Arial" w:cs="Arial"/>
          <w:sz w:val="28"/>
        </w:rPr>
        <w:t>（万元）</w:t>
      </w:r>
    </w:p>
    <w:p w14:paraId="55E4FED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购地税费</w:t>
      </w:r>
    </w:p>
    <w:p w14:paraId="4D11079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假设土地价格为</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，买方购买估价对象税费主要为契税及印花税，税率为</w:t>
      </w:r>
      <w:r w:rsidRPr="00F631FB">
        <w:rPr>
          <w:rFonts w:ascii="Arial" w:eastAsia="仿宋_GB2312" w:hAnsi="Arial" w:cs="Arial"/>
          <w:sz w:val="28"/>
        </w:rPr>
        <w:t>3.05%</w:t>
      </w:r>
      <w:r w:rsidRPr="00F631FB">
        <w:rPr>
          <w:rFonts w:ascii="Arial" w:eastAsia="仿宋_GB2312" w:hAnsi="Arial" w:cs="Arial"/>
          <w:sz w:val="28"/>
        </w:rPr>
        <w:t>，则有：</w:t>
      </w:r>
    </w:p>
    <w:p w14:paraId="7E7A4F6C" w14:textId="77777777" w:rsidR="00B1377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购地税费</w:t>
      </w:r>
    </w:p>
    <w:p w14:paraId="54FE5528" w14:textId="77777777" w:rsidR="00B1377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＝土地价格</w:t>
      </w:r>
      <w:r w:rsidRPr="00F631FB">
        <w:rPr>
          <w:rFonts w:ascii="Arial" w:eastAsia="仿宋_GB2312" w:hAnsi="Arial" w:cs="Arial"/>
          <w:sz w:val="28"/>
        </w:rPr>
        <w:t>×</w:t>
      </w:r>
      <w:r w:rsidRPr="00F631FB">
        <w:rPr>
          <w:rFonts w:ascii="Arial" w:eastAsia="仿宋_GB2312" w:hAnsi="Arial" w:cs="Arial"/>
          <w:sz w:val="28"/>
        </w:rPr>
        <w:t>税率</w:t>
      </w:r>
    </w:p>
    <w:p w14:paraId="215E3B3A" w14:textId="3545E210"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w:t>
      </w:r>
      <w:r w:rsidRPr="00F631FB">
        <w:rPr>
          <w:rFonts w:ascii="Arial" w:eastAsia="仿宋_GB2312" w:hAnsi="Arial" w:cs="Arial"/>
          <w:sz w:val="28"/>
        </w:rPr>
        <w:t>（万元）</w:t>
      </w:r>
    </w:p>
    <w:p w14:paraId="3712D917" w14:textId="77777777" w:rsidR="002C3ABF" w:rsidRPr="00F631FB" w:rsidRDefault="002C3ABF" w:rsidP="002C3ABF">
      <w:pPr>
        <w:pStyle w:val="11"/>
        <w:rPr>
          <w:rFonts w:ascii="Arial" w:hAnsi="Arial" w:cs="Arial"/>
        </w:rPr>
      </w:pPr>
      <w:r w:rsidRPr="00F631FB">
        <w:rPr>
          <w:rFonts w:ascii="Arial" w:hAnsi="Arial" w:cs="Arial"/>
        </w:rPr>
        <w:t>F.</w:t>
      </w:r>
      <w:r w:rsidRPr="00F631FB">
        <w:rPr>
          <w:rFonts w:ascii="Arial" w:hAnsi="Arial" w:cs="Arial"/>
        </w:rPr>
        <w:t>贷款利息</w:t>
      </w:r>
    </w:p>
    <w:p w14:paraId="691F29F5" w14:textId="26E52FD8"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估价对象建筑物建设期为</w:t>
      </w:r>
      <w:r w:rsidR="007E1F92">
        <w:rPr>
          <w:rFonts w:ascii="Arial" w:eastAsia="仿宋_GB2312" w:hAnsi="Arial" w:cs="Arial"/>
          <w:sz w:val="28"/>
        </w:rPr>
        <w:t>3</w:t>
      </w:r>
      <w:r w:rsidRPr="00F631FB">
        <w:rPr>
          <w:rFonts w:ascii="Arial" w:eastAsia="仿宋_GB2312" w:hAnsi="Arial" w:cs="Arial"/>
          <w:sz w:val="28"/>
        </w:rPr>
        <w:t>年。估价对象土地价格（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）及购地税费在估价期日一次性付清，建造成本、土地开发费、城市基础设施建设费、管理费用于建设期内均匀投入，取</w:t>
      </w:r>
      <w:r w:rsidRPr="00F631FB">
        <w:rPr>
          <w:rFonts w:ascii="Arial" w:eastAsia="仿宋_GB2312" w:hAnsi="Arial" w:cs="Arial"/>
          <w:sz w:val="28"/>
        </w:rPr>
        <w:t>1</w:t>
      </w: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年期固定资产贷款年利息率</w:t>
      </w:r>
      <w:r w:rsidRPr="00F631FB">
        <w:rPr>
          <w:rFonts w:ascii="Arial" w:eastAsia="仿宋_GB2312" w:hAnsi="Arial" w:cs="Arial"/>
          <w:sz w:val="28"/>
        </w:rPr>
        <w:t>4.75%</w:t>
      </w:r>
      <w:r w:rsidRPr="00F631FB">
        <w:rPr>
          <w:rFonts w:ascii="Arial" w:eastAsia="仿宋_GB2312" w:hAnsi="Arial" w:cs="Arial"/>
          <w:sz w:val="28"/>
        </w:rPr>
        <w:t>，以复利计息。则有：</w:t>
      </w:r>
    </w:p>
    <w:p w14:paraId="6B999DB4" w14:textId="0657254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贷款利息＝</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×0.0305)×[(1+ 4.75%)</w:t>
      </w:r>
      <w:r w:rsidR="007E1F92">
        <w:rPr>
          <w:rFonts w:ascii="Arial" w:eastAsia="仿宋_GB2312" w:hAnsi="Arial" w:cs="Arial"/>
          <w:sz w:val="28"/>
          <w:vertAlign w:val="superscript"/>
        </w:rPr>
        <w:t>3</w:t>
      </w:r>
      <w:r w:rsidRPr="00F631FB">
        <w:rPr>
          <w:rFonts w:ascii="Arial" w:eastAsia="仿宋_GB2312" w:hAnsi="Arial" w:cs="Arial"/>
          <w:sz w:val="28"/>
        </w:rPr>
        <w:t>-1]+</w:t>
      </w:r>
      <w:r w:rsidRPr="00F631FB">
        <w:rPr>
          <w:rFonts w:ascii="Arial" w:eastAsia="仿宋_GB2312" w:hAnsi="Arial" w:cs="Arial"/>
          <w:sz w:val="28"/>
        </w:rPr>
        <w:t>（</w:t>
      </w:r>
      <w:r w:rsidR="00413F5F">
        <w:rPr>
          <w:rFonts w:ascii="Arial" w:eastAsia="仿宋_GB2312" w:hAnsi="Arial" w:cs="Arial"/>
          <w:sz w:val="28"/>
        </w:rPr>
        <w:t>58</w:t>
      </w:r>
      <w:r w:rsidR="002C3804" w:rsidRPr="00F631FB">
        <w:rPr>
          <w:rFonts w:ascii="Arial" w:eastAsia="仿宋_GB2312" w:hAnsi="Arial" w:cs="Arial" w:hint="eastAsia"/>
          <w:sz w:val="28"/>
        </w:rPr>
        <w:t>+</w:t>
      </w:r>
      <w:r w:rsidR="007E1F92">
        <w:rPr>
          <w:rFonts w:ascii="Arial" w:eastAsia="仿宋_GB2312" w:hAnsi="Arial" w:cs="Arial"/>
          <w:sz w:val="28"/>
        </w:rPr>
        <w:t>2</w:t>
      </w:r>
      <w:r w:rsidR="002C3804" w:rsidRPr="00F631FB">
        <w:rPr>
          <w:rFonts w:ascii="Arial" w:eastAsia="仿宋_GB2312" w:hAnsi="Arial" w:cs="Arial" w:hint="eastAsia"/>
          <w:sz w:val="28"/>
        </w:rPr>
        <w:t>+</w:t>
      </w:r>
      <w:r w:rsidR="007E1F92">
        <w:rPr>
          <w:rFonts w:ascii="Arial" w:eastAsia="仿宋_GB2312" w:hAnsi="Arial" w:cs="Arial"/>
          <w:sz w:val="28"/>
        </w:rPr>
        <w:t>1</w:t>
      </w:r>
      <w:r w:rsidR="002C3804" w:rsidRPr="00F631FB">
        <w:rPr>
          <w:rFonts w:ascii="Arial" w:eastAsia="仿宋_GB2312" w:hAnsi="Arial" w:cs="Arial" w:hint="eastAsia"/>
          <w:sz w:val="28"/>
        </w:rPr>
        <w:t>+</w:t>
      </w:r>
      <w:r w:rsidR="007E1F92">
        <w:rPr>
          <w:rFonts w:ascii="Arial" w:eastAsia="仿宋_GB2312" w:hAnsi="Arial" w:cs="Arial"/>
          <w:sz w:val="28"/>
        </w:rPr>
        <w:t>1</w:t>
      </w:r>
      <w:r w:rsidR="00E736F2">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sz w:val="28"/>
        </w:rPr>
        <w:t>×[(1+ 4.75%)</w:t>
      </w:r>
      <w:r w:rsidR="007E1F92">
        <w:rPr>
          <w:rFonts w:ascii="Arial" w:eastAsia="仿宋_GB2312" w:hAnsi="Arial" w:cs="Arial"/>
          <w:sz w:val="28"/>
          <w:vertAlign w:val="superscript"/>
        </w:rPr>
        <w:t>3</w:t>
      </w:r>
      <w:r w:rsidRPr="00F631FB">
        <w:rPr>
          <w:rFonts w:ascii="Arial" w:eastAsia="仿宋_GB2312" w:hAnsi="Arial" w:cs="Arial"/>
          <w:sz w:val="28"/>
          <w:vertAlign w:val="superscript"/>
        </w:rPr>
        <w:t>÷2</w:t>
      </w:r>
      <w:r w:rsidRPr="00F631FB">
        <w:rPr>
          <w:rFonts w:ascii="Arial" w:eastAsia="仿宋_GB2312" w:hAnsi="Arial" w:cs="Arial"/>
          <w:sz w:val="28"/>
        </w:rPr>
        <w:t>-1]</w:t>
      </w:r>
    </w:p>
    <w:p w14:paraId="7F43EC56" w14:textId="1A19171B"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7E1F92">
        <w:rPr>
          <w:rFonts w:ascii="Arial" w:eastAsia="仿宋_GB2312" w:hAnsi="Arial" w:cs="Arial"/>
          <w:sz w:val="28"/>
        </w:rPr>
        <w:t>5</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×0.1</w:t>
      </w:r>
      <w:r w:rsidR="007E1F92">
        <w:rPr>
          <w:rFonts w:ascii="Arial" w:eastAsia="仿宋_GB2312" w:hAnsi="Arial" w:cs="Arial"/>
          <w:sz w:val="28"/>
        </w:rPr>
        <w:t>539</w:t>
      </w:r>
      <w:r w:rsidRPr="00F631FB">
        <w:rPr>
          <w:rFonts w:ascii="Arial" w:eastAsia="仿宋_GB2312" w:hAnsi="Arial" w:cs="Arial"/>
          <w:sz w:val="28"/>
        </w:rPr>
        <w:t xml:space="preserve"> (</w:t>
      </w:r>
      <w:r w:rsidRPr="00F631FB">
        <w:rPr>
          <w:rFonts w:ascii="Arial" w:eastAsia="仿宋_GB2312" w:hAnsi="Arial" w:cs="Arial"/>
          <w:sz w:val="28"/>
        </w:rPr>
        <w:t>万元</w:t>
      </w:r>
      <w:r w:rsidRPr="00F631FB">
        <w:rPr>
          <w:rFonts w:ascii="Arial" w:eastAsia="仿宋_GB2312" w:hAnsi="Arial" w:cs="Arial"/>
          <w:sz w:val="28"/>
        </w:rPr>
        <w:t>)</w:t>
      </w:r>
    </w:p>
    <w:p w14:paraId="6BCE9973" w14:textId="77777777" w:rsidR="002C3ABF" w:rsidRPr="00F631FB" w:rsidRDefault="002C3ABF" w:rsidP="002C3ABF">
      <w:pPr>
        <w:pStyle w:val="11"/>
        <w:rPr>
          <w:rFonts w:ascii="Arial" w:hAnsi="Arial" w:cs="Arial"/>
        </w:rPr>
      </w:pPr>
      <w:r w:rsidRPr="00F631FB">
        <w:rPr>
          <w:rFonts w:ascii="Arial" w:hAnsi="Arial" w:cs="Arial"/>
        </w:rPr>
        <w:t>G.</w:t>
      </w:r>
      <w:r w:rsidRPr="00F631FB">
        <w:rPr>
          <w:rFonts w:ascii="Arial" w:hAnsi="Arial" w:cs="Arial"/>
        </w:rPr>
        <w:t>销售税费</w:t>
      </w:r>
      <w:r w:rsidRPr="00F631FB">
        <w:rPr>
          <w:rFonts w:ascii="Arial" w:hAnsi="Arial" w:cs="Arial"/>
        </w:rPr>
        <w:tab/>
      </w:r>
    </w:p>
    <w:p w14:paraId="6FE1B48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本处所指销售税费是指国家规定的相关销售税费。国家规定的相关销售</w:t>
      </w:r>
      <w:r w:rsidRPr="00F631FB">
        <w:rPr>
          <w:rFonts w:ascii="Arial" w:eastAsia="仿宋_GB2312" w:hAnsi="Arial" w:cs="Arial"/>
          <w:sz w:val="28"/>
        </w:rPr>
        <w:lastRenderedPageBreak/>
        <w:t>税费包括增值税、城市维护建设税、教育费附加及地方教育附加。由于增值税的计税销售额为不含税销售额，故以估价对象开发完成后不动产总价扣除增值税税额为基数计缴，税率为</w:t>
      </w:r>
      <w:r w:rsidRPr="00F631FB">
        <w:rPr>
          <w:rFonts w:ascii="Arial" w:eastAsia="仿宋_GB2312" w:hAnsi="Arial" w:cs="Arial"/>
          <w:sz w:val="28"/>
        </w:rPr>
        <w:t>5.6%</w:t>
      </w:r>
      <w:r w:rsidRPr="00F631FB">
        <w:rPr>
          <w:rFonts w:ascii="Arial" w:eastAsia="仿宋_GB2312" w:hAnsi="Arial" w:cs="Arial"/>
          <w:sz w:val="28"/>
        </w:rPr>
        <w:t>（其中增值税征收率为</w:t>
      </w:r>
      <w:r w:rsidRPr="00F631FB">
        <w:rPr>
          <w:rFonts w:ascii="Arial" w:eastAsia="仿宋_GB2312" w:hAnsi="Arial" w:cs="Arial"/>
          <w:sz w:val="28"/>
        </w:rPr>
        <w:t>5%</w:t>
      </w:r>
      <w:r w:rsidRPr="00F631FB">
        <w:rPr>
          <w:rFonts w:ascii="Arial" w:eastAsia="仿宋_GB2312" w:hAnsi="Arial" w:cs="Arial"/>
          <w:sz w:val="28"/>
        </w:rPr>
        <w:t>，附加税费为</w:t>
      </w:r>
      <w:r w:rsidRPr="00F631FB">
        <w:rPr>
          <w:rFonts w:ascii="Arial" w:eastAsia="仿宋_GB2312" w:hAnsi="Arial" w:cs="Arial"/>
          <w:sz w:val="28"/>
        </w:rPr>
        <w:t>0.6%</w:t>
      </w:r>
      <w:r w:rsidRPr="00F631FB">
        <w:rPr>
          <w:rFonts w:ascii="Arial" w:eastAsia="仿宋_GB2312" w:hAnsi="Arial" w:cs="Arial"/>
          <w:sz w:val="28"/>
        </w:rPr>
        <w:t>）。则有：</w:t>
      </w:r>
    </w:p>
    <w:p w14:paraId="40D6B013" w14:textId="544D1B58"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销售税费＝</w:t>
      </w:r>
      <w:r w:rsidR="00413F5F">
        <w:rPr>
          <w:rFonts w:ascii="Arial" w:eastAsia="仿宋_GB2312" w:hAnsi="Arial" w:cs="Arial"/>
          <w:sz w:val="28"/>
        </w:rPr>
        <w:t>590</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1+5%</w:t>
      </w:r>
      <w:r w:rsidRPr="00F631FB">
        <w:rPr>
          <w:rFonts w:ascii="Arial" w:eastAsia="仿宋_GB2312" w:hAnsi="Arial" w:cs="Arial"/>
          <w:sz w:val="28"/>
        </w:rPr>
        <w:t>）</w:t>
      </w:r>
      <w:r w:rsidRPr="00F631FB">
        <w:rPr>
          <w:rFonts w:ascii="Arial" w:eastAsia="仿宋_GB2312" w:hAnsi="Arial" w:cs="Arial"/>
          <w:sz w:val="28"/>
        </w:rPr>
        <w:t>×5.6%</w:t>
      </w:r>
      <w:r w:rsidRPr="00F631FB">
        <w:rPr>
          <w:rFonts w:ascii="Arial" w:eastAsia="仿宋_GB2312" w:hAnsi="Arial" w:cs="Arial"/>
          <w:sz w:val="28"/>
        </w:rPr>
        <w:t>＝</w:t>
      </w:r>
      <w:r w:rsidR="007E1F92">
        <w:rPr>
          <w:rFonts w:ascii="Arial" w:eastAsia="仿宋_GB2312" w:hAnsi="Arial" w:cs="Arial"/>
          <w:sz w:val="28"/>
        </w:rPr>
        <w:t>3</w:t>
      </w:r>
      <w:r w:rsidR="00273CE2">
        <w:rPr>
          <w:rFonts w:ascii="Arial" w:eastAsia="仿宋_GB2312" w:hAnsi="Arial" w:cs="Arial"/>
          <w:sz w:val="28"/>
        </w:rPr>
        <w:t>1</w:t>
      </w:r>
      <w:r w:rsidRPr="00F631FB">
        <w:rPr>
          <w:rFonts w:ascii="Arial" w:eastAsia="仿宋_GB2312" w:hAnsi="Arial" w:cs="Arial"/>
          <w:sz w:val="28"/>
        </w:rPr>
        <w:t>（万元）</w:t>
      </w:r>
    </w:p>
    <w:p w14:paraId="072DA27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H.</w:t>
      </w:r>
      <w:r w:rsidRPr="00F631FB">
        <w:rPr>
          <w:rFonts w:ascii="Arial" w:eastAsia="仿宋_GB2312" w:hAnsi="Arial" w:cs="Arial"/>
          <w:sz w:val="28"/>
        </w:rPr>
        <w:t>开发成本</w:t>
      </w:r>
    </w:p>
    <w:p w14:paraId="7CBDA53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开发成本为上述</w:t>
      </w:r>
      <w:r w:rsidRPr="00F631FB">
        <w:rPr>
          <w:rFonts w:ascii="Arial" w:eastAsia="仿宋_GB2312" w:hAnsi="Arial" w:cs="Arial"/>
          <w:sz w:val="28"/>
        </w:rPr>
        <w:t>7</w:t>
      </w:r>
      <w:r w:rsidRPr="00F631FB">
        <w:rPr>
          <w:rFonts w:ascii="Arial" w:eastAsia="仿宋_GB2312" w:hAnsi="Arial" w:cs="Arial"/>
          <w:sz w:val="28"/>
        </w:rPr>
        <w:t>项合计，则有：</w:t>
      </w:r>
    </w:p>
    <w:p w14:paraId="1277F27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w:t>
      </w:r>
    </w:p>
    <w:p w14:paraId="1E9E9894" w14:textId="2D1ED104"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413F5F">
        <w:rPr>
          <w:rFonts w:ascii="Arial" w:eastAsia="仿宋_GB2312" w:hAnsi="Arial" w:cs="Arial"/>
          <w:sz w:val="28"/>
        </w:rPr>
        <w:t>58</w:t>
      </w:r>
      <w:r w:rsidR="002C3804" w:rsidRPr="00F631FB">
        <w:rPr>
          <w:rFonts w:ascii="Arial" w:eastAsia="仿宋_GB2312" w:hAnsi="Arial" w:cs="Arial" w:hint="eastAsia"/>
          <w:sz w:val="28"/>
        </w:rPr>
        <w:t>+</w:t>
      </w:r>
      <w:r w:rsidR="007E1F92">
        <w:rPr>
          <w:rFonts w:ascii="Arial" w:eastAsia="仿宋_GB2312" w:hAnsi="Arial" w:cs="Arial"/>
          <w:sz w:val="28"/>
        </w:rPr>
        <w:t>2</w:t>
      </w:r>
      <w:r w:rsidR="002C3804" w:rsidRPr="00F631FB">
        <w:rPr>
          <w:rFonts w:ascii="Arial" w:eastAsia="仿宋_GB2312" w:hAnsi="Arial" w:cs="Arial" w:hint="eastAsia"/>
          <w:sz w:val="28"/>
        </w:rPr>
        <w:t>+</w:t>
      </w:r>
      <w:r w:rsidR="007E1F92">
        <w:rPr>
          <w:rFonts w:ascii="Arial" w:eastAsia="仿宋_GB2312" w:hAnsi="Arial" w:cs="Arial"/>
          <w:sz w:val="28"/>
        </w:rPr>
        <w:t>1</w:t>
      </w:r>
      <w:r w:rsidR="002C3804" w:rsidRPr="00F631FB">
        <w:rPr>
          <w:rFonts w:ascii="Arial" w:eastAsia="仿宋_GB2312" w:hAnsi="Arial" w:cs="Arial" w:hint="eastAsia"/>
          <w:sz w:val="28"/>
        </w:rPr>
        <w:t>+</w:t>
      </w:r>
      <w:r w:rsidR="007E1F92">
        <w:rPr>
          <w:rFonts w:ascii="Arial" w:eastAsia="仿宋_GB2312" w:hAnsi="Arial" w:cs="Arial"/>
          <w:sz w:val="28"/>
        </w:rPr>
        <w:t>1</w:t>
      </w:r>
      <w:r w:rsidR="00273CE2">
        <w:rPr>
          <w:rFonts w:ascii="Arial" w:eastAsia="仿宋_GB2312" w:hAnsi="Arial" w:cs="Arial"/>
          <w:sz w:val="28"/>
        </w:rPr>
        <w:t>2</w:t>
      </w:r>
      <w:r w:rsidRPr="00F631FB">
        <w:rPr>
          <w:rFonts w:ascii="Arial" w:eastAsia="仿宋_GB2312" w:hAnsi="Arial" w:cs="Arial"/>
          <w:sz w:val="28"/>
        </w:rPr>
        <w:t xml:space="preserve"> + P</w:t>
      </w:r>
      <w:r w:rsidRPr="00F631FB">
        <w:rPr>
          <w:rFonts w:ascii="Arial" w:eastAsia="仿宋_GB2312" w:hAnsi="Arial" w:cs="Arial"/>
          <w:sz w:val="28"/>
          <w:vertAlign w:val="subscript"/>
        </w:rPr>
        <w:t>土</w:t>
      </w:r>
      <w:r w:rsidRPr="00F631FB">
        <w:rPr>
          <w:rFonts w:ascii="Arial" w:eastAsia="仿宋_GB2312" w:hAnsi="Arial" w:cs="Arial"/>
          <w:sz w:val="28"/>
        </w:rPr>
        <w:t xml:space="preserve">×0.0305+ </w:t>
      </w:r>
      <w:r w:rsidR="007E1F92">
        <w:rPr>
          <w:rFonts w:ascii="Arial" w:eastAsia="仿宋_GB2312" w:hAnsi="Arial" w:cs="Arial"/>
          <w:sz w:val="28"/>
        </w:rPr>
        <w:t>5</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×0.1</w:t>
      </w:r>
      <w:r w:rsidR="007E1F92">
        <w:rPr>
          <w:rFonts w:ascii="Arial" w:eastAsia="仿宋_GB2312" w:hAnsi="Arial" w:cs="Arial"/>
          <w:sz w:val="28"/>
        </w:rPr>
        <w:t>539</w:t>
      </w:r>
      <w:r w:rsidRPr="00F631FB">
        <w:rPr>
          <w:rFonts w:ascii="Arial" w:eastAsia="仿宋_GB2312" w:hAnsi="Arial" w:cs="Arial"/>
          <w:sz w:val="28"/>
        </w:rPr>
        <w:t>+</w:t>
      </w:r>
      <w:r w:rsidR="007E1F92">
        <w:rPr>
          <w:rFonts w:ascii="Arial" w:eastAsia="仿宋_GB2312" w:hAnsi="Arial" w:cs="Arial"/>
          <w:sz w:val="28"/>
        </w:rPr>
        <w:t>3</w:t>
      </w:r>
      <w:r w:rsidR="00273CE2">
        <w:rPr>
          <w:rFonts w:ascii="Arial" w:eastAsia="仿宋_GB2312" w:hAnsi="Arial" w:cs="Arial"/>
          <w:sz w:val="28"/>
        </w:rPr>
        <w:t>1</w:t>
      </w:r>
    </w:p>
    <w:p w14:paraId="45502036" w14:textId="09F395C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413F5F">
        <w:rPr>
          <w:rFonts w:ascii="Arial" w:eastAsia="仿宋_GB2312" w:hAnsi="Arial" w:cs="Arial"/>
          <w:sz w:val="28"/>
        </w:rPr>
        <w:t>109</w:t>
      </w:r>
      <w:r w:rsidRPr="00F631FB">
        <w:rPr>
          <w:rFonts w:ascii="Arial" w:eastAsia="仿宋_GB2312" w:hAnsi="Arial" w:cs="Arial"/>
          <w:sz w:val="28"/>
        </w:rPr>
        <w:t>+0.1</w:t>
      </w:r>
      <w:r w:rsidR="007E1F92">
        <w:rPr>
          <w:rFonts w:ascii="Arial" w:eastAsia="仿宋_GB2312" w:hAnsi="Arial" w:cs="Arial"/>
          <w:sz w:val="28"/>
        </w:rPr>
        <w:t>844</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2DF0852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）开发利润（投资利润）</w:t>
      </w:r>
    </w:p>
    <w:p w14:paraId="7F319C6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F631FB">
        <w:rPr>
          <w:rFonts w:ascii="Arial" w:eastAsia="仿宋_GB2312" w:hAnsi="Arial" w:cs="Arial"/>
          <w:sz w:val="28"/>
        </w:rPr>
        <w:t xml:space="preserve"> </w:t>
      </w:r>
    </w:p>
    <w:p w14:paraId="2D494CAB" w14:textId="2EE76BE3" w:rsidR="002C3ABF" w:rsidRPr="00F631FB" w:rsidRDefault="00596F26"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w:t>
      </w:r>
      <w:r w:rsidRPr="00F631FB">
        <w:rPr>
          <w:rFonts w:ascii="Arial" w:eastAsia="仿宋_GB2312" w:hAnsi="Arial" w:cs="Arial" w:hint="eastAsia"/>
          <w:sz w:val="28"/>
        </w:rPr>
        <w:t>《</w:t>
      </w:r>
      <w:r>
        <w:rPr>
          <w:rFonts w:ascii="Arial" w:eastAsia="仿宋_GB2312" w:hAnsi="Arial" w:cs="Arial" w:hint="eastAsia"/>
          <w:sz w:val="28"/>
        </w:rPr>
        <w:t>海淀区苏州街站一体化棚户区改造项目前期工作及拟改造土地使用权一次性招标方案</w:t>
      </w:r>
      <w:r w:rsidRPr="00F631FB">
        <w:rPr>
          <w:rFonts w:ascii="Arial" w:eastAsia="仿宋_GB2312" w:hAnsi="Arial" w:cs="Arial" w:hint="eastAsia"/>
          <w:sz w:val="28"/>
        </w:rPr>
        <w:t>》</w:t>
      </w:r>
      <w:r>
        <w:rPr>
          <w:rFonts w:ascii="Arial" w:eastAsia="仿宋_GB2312" w:hAnsi="Arial" w:cs="Arial" w:hint="eastAsia"/>
          <w:sz w:val="28"/>
        </w:rPr>
        <w:t>及其附件规定，本项目投资利润率不得超过</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；办公用途</w:t>
      </w:r>
      <w:r w:rsidRPr="00F631FB">
        <w:rPr>
          <w:rFonts w:ascii="Arial" w:eastAsia="仿宋_GB2312" w:hAnsi="Arial" w:cs="Arial"/>
          <w:sz w:val="28"/>
        </w:rPr>
        <w:t>利润率取</w:t>
      </w:r>
      <w:r>
        <w:rPr>
          <w:rFonts w:ascii="Arial" w:eastAsia="仿宋_GB2312" w:hAnsi="Arial" w:cs="Arial" w:hint="eastAsia"/>
          <w:sz w:val="28"/>
        </w:rPr>
        <w:t>1</w:t>
      </w:r>
      <w:r>
        <w:rPr>
          <w:rFonts w:ascii="Arial" w:eastAsia="仿宋_GB2312" w:hAnsi="Arial" w:cs="Arial"/>
          <w:sz w:val="28"/>
        </w:rPr>
        <w:t>5</w:t>
      </w:r>
      <w:r w:rsidRPr="00F631FB">
        <w:rPr>
          <w:rFonts w:ascii="Arial" w:eastAsia="仿宋_GB2312" w:hAnsi="Arial" w:cs="Arial" w:hint="eastAsia"/>
          <w:sz w:val="28"/>
        </w:rPr>
        <w:t>%</w:t>
      </w:r>
      <w:r w:rsidRPr="00F631FB">
        <w:rPr>
          <w:rFonts w:ascii="Arial" w:eastAsia="仿宋_GB2312" w:hAnsi="Arial" w:cs="Arial"/>
          <w:sz w:val="28"/>
        </w:rPr>
        <w:t xml:space="preserve"> </w:t>
      </w:r>
      <w:r w:rsidRPr="00F631FB">
        <w:rPr>
          <w:rFonts w:ascii="Arial" w:eastAsia="仿宋_GB2312" w:hAnsi="Arial" w:cs="Arial"/>
          <w:sz w:val="28"/>
        </w:rPr>
        <w:t>。则有：</w:t>
      </w:r>
    </w:p>
    <w:p w14:paraId="700F19B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开发利润</w:t>
      </w:r>
    </w:p>
    <w:p w14:paraId="0E5A0993" w14:textId="3CA223FD"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×0.0305)×</w:t>
      </w:r>
      <w:r w:rsidR="00596F26">
        <w:rPr>
          <w:rFonts w:ascii="Arial" w:eastAsia="仿宋_GB2312" w:hAnsi="Arial" w:cs="Arial"/>
          <w:sz w:val="28"/>
        </w:rPr>
        <w:t>15</w:t>
      </w:r>
      <w:r w:rsidRPr="00F631FB">
        <w:rPr>
          <w:rFonts w:ascii="Arial" w:eastAsia="仿宋_GB2312" w:hAnsi="Arial" w:cs="Arial"/>
          <w:sz w:val="28"/>
        </w:rPr>
        <w:t>%+</w:t>
      </w:r>
      <w:r w:rsidRPr="00F631FB">
        <w:rPr>
          <w:rFonts w:ascii="Arial" w:eastAsia="仿宋_GB2312" w:hAnsi="Arial" w:cs="Arial"/>
          <w:sz w:val="28"/>
        </w:rPr>
        <w:t>（</w:t>
      </w:r>
      <w:r w:rsidR="00413F5F">
        <w:rPr>
          <w:rFonts w:ascii="Arial" w:eastAsia="仿宋_GB2312" w:hAnsi="Arial" w:cs="Arial"/>
          <w:sz w:val="28"/>
        </w:rPr>
        <w:t>58</w:t>
      </w:r>
      <w:r w:rsidR="002C3804" w:rsidRPr="00F631FB">
        <w:rPr>
          <w:rFonts w:ascii="Arial" w:eastAsia="仿宋_GB2312" w:hAnsi="Arial" w:cs="Arial" w:hint="eastAsia"/>
          <w:sz w:val="28"/>
        </w:rPr>
        <w:t>+2+</w:t>
      </w:r>
      <w:r w:rsidR="007E1F92">
        <w:rPr>
          <w:rFonts w:ascii="Arial" w:eastAsia="仿宋_GB2312" w:hAnsi="Arial" w:cs="Arial"/>
          <w:sz w:val="28"/>
        </w:rPr>
        <w:t>1</w:t>
      </w:r>
      <w:r w:rsidR="002C3804" w:rsidRPr="00F631FB">
        <w:rPr>
          <w:rFonts w:ascii="Arial" w:eastAsia="仿宋_GB2312" w:hAnsi="Arial" w:cs="Arial" w:hint="eastAsia"/>
          <w:sz w:val="28"/>
        </w:rPr>
        <w:t>+</w:t>
      </w:r>
      <w:r w:rsidR="007E1F92">
        <w:rPr>
          <w:rFonts w:ascii="Arial" w:eastAsia="仿宋_GB2312" w:hAnsi="Arial" w:cs="Arial"/>
          <w:sz w:val="28"/>
        </w:rPr>
        <w:t>1</w:t>
      </w:r>
      <w:r w:rsidR="00273CE2">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sz w:val="28"/>
        </w:rPr>
        <w:t>×</w:t>
      </w:r>
      <w:r w:rsidR="00596F26">
        <w:rPr>
          <w:rFonts w:ascii="Arial" w:eastAsia="仿宋_GB2312" w:hAnsi="Arial" w:cs="Arial"/>
          <w:sz w:val="28"/>
        </w:rPr>
        <w:t>15</w:t>
      </w:r>
      <w:r w:rsidRPr="00F631FB">
        <w:rPr>
          <w:rFonts w:ascii="Arial" w:eastAsia="仿宋_GB2312" w:hAnsi="Arial" w:cs="Arial"/>
          <w:sz w:val="28"/>
        </w:rPr>
        <w:t>%</w:t>
      </w:r>
    </w:p>
    <w:p w14:paraId="2F2E178F" w14:textId="2E49C7BB"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w:t>
      </w:r>
      <w:r w:rsidR="00596F26">
        <w:rPr>
          <w:rFonts w:ascii="Arial" w:eastAsia="仿宋_GB2312" w:hAnsi="Arial" w:cs="Arial"/>
          <w:sz w:val="28"/>
        </w:rPr>
        <w:t>11</w:t>
      </w:r>
      <w:r w:rsidRPr="00F631FB">
        <w:rPr>
          <w:rFonts w:ascii="Arial" w:eastAsia="仿宋_GB2312" w:hAnsi="Arial" w:cs="Arial"/>
          <w:sz w:val="28"/>
        </w:rPr>
        <w:t>+ 0</w:t>
      </w:r>
      <w:r w:rsidR="00596F26">
        <w:rPr>
          <w:rFonts w:ascii="Arial" w:eastAsia="仿宋_GB2312" w:hAnsi="Arial" w:cs="Arial"/>
          <w:sz w:val="28"/>
        </w:rPr>
        <w:t>.1546</w:t>
      </w:r>
      <w:r w:rsidRPr="00F631FB">
        <w:rPr>
          <w:rFonts w:ascii="Arial" w:eastAsia="仿宋_GB2312" w:hAnsi="Arial" w:cs="Arial"/>
          <w:sz w:val="28"/>
        </w:rPr>
        <w:t xml:space="preserve"> ×P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164A838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）求取估价对象土地价格</w:t>
      </w:r>
    </w:p>
    <w:p w14:paraId="43A546FC" w14:textId="77777777" w:rsidR="002C3ABF" w:rsidRPr="00F631FB" w:rsidRDefault="002C3ABF" w:rsidP="002C3ABF">
      <w:pPr>
        <w:spacing w:line="360" w:lineRule="auto"/>
        <w:ind w:firstLineChars="200" w:firstLine="600"/>
        <w:jc w:val="both"/>
        <w:rPr>
          <w:rFonts w:ascii="Arial" w:eastAsia="仿宋_GB2312" w:hAnsi="Arial" w:cs="Arial"/>
          <w:spacing w:val="10"/>
          <w:sz w:val="28"/>
        </w:rPr>
      </w:pPr>
      <w:r w:rsidRPr="00F631FB">
        <w:rPr>
          <w:rFonts w:ascii="Arial" w:eastAsia="仿宋_GB2312" w:hAnsi="Arial" w:cs="Arial"/>
          <w:spacing w:val="10"/>
          <w:sz w:val="28"/>
        </w:rPr>
        <w:t>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pacing w:val="10"/>
          <w:sz w:val="28"/>
        </w:rPr>
        <w:t>）</w:t>
      </w:r>
    </w:p>
    <w:p w14:paraId="36A1031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＝开发完成后的不动产总价</w:t>
      </w:r>
      <w:r w:rsidRPr="00F631FB">
        <w:rPr>
          <w:rFonts w:ascii="Arial" w:eastAsia="仿宋_GB2312" w:hAnsi="Arial" w:cs="Arial"/>
          <w:sz w:val="28"/>
        </w:rPr>
        <w:t>-</w:t>
      </w:r>
      <w:r w:rsidRPr="00F631FB">
        <w:rPr>
          <w:rFonts w:ascii="Arial" w:eastAsia="仿宋_GB2312" w:hAnsi="Arial" w:cs="Arial"/>
          <w:sz w:val="28"/>
        </w:rPr>
        <w:t>开发成本</w:t>
      </w:r>
      <w:r w:rsidRPr="00F631FB">
        <w:rPr>
          <w:rFonts w:ascii="Arial" w:eastAsia="仿宋_GB2312" w:hAnsi="Arial" w:cs="Arial"/>
          <w:sz w:val="28"/>
        </w:rPr>
        <w:t>-</w:t>
      </w:r>
      <w:r w:rsidRPr="00F631FB">
        <w:rPr>
          <w:rFonts w:ascii="Arial" w:eastAsia="仿宋_GB2312" w:hAnsi="Arial" w:cs="Arial"/>
          <w:sz w:val="28"/>
        </w:rPr>
        <w:t>开发利润</w:t>
      </w:r>
    </w:p>
    <w:p w14:paraId="59FF94FE" w14:textId="37ADA845"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7E1F92">
        <w:rPr>
          <w:rFonts w:ascii="Arial" w:eastAsia="仿宋_GB2312" w:hAnsi="Arial" w:cs="Arial"/>
          <w:sz w:val="28"/>
        </w:rPr>
        <w:t>5</w:t>
      </w:r>
      <w:r w:rsidR="00ED30EA">
        <w:rPr>
          <w:rFonts w:ascii="Arial" w:eastAsia="仿宋_GB2312" w:hAnsi="Arial" w:cs="Arial"/>
          <w:sz w:val="28"/>
        </w:rPr>
        <w:t>90</w:t>
      </w:r>
      <w:r w:rsidRPr="00F631FB">
        <w:rPr>
          <w:rFonts w:ascii="Arial" w:eastAsia="仿宋_GB2312" w:hAnsi="Arial" w:cs="Arial"/>
          <w:sz w:val="28"/>
        </w:rPr>
        <w:t xml:space="preserve"> -</w:t>
      </w:r>
      <w:r w:rsidRPr="00F631FB">
        <w:rPr>
          <w:rFonts w:ascii="Arial" w:eastAsia="仿宋_GB2312" w:hAnsi="Arial" w:cs="Arial"/>
          <w:sz w:val="28"/>
        </w:rPr>
        <w:t>（</w:t>
      </w:r>
      <w:r w:rsidR="00413F5F">
        <w:rPr>
          <w:rFonts w:ascii="Arial" w:eastAsia="仿宋_GB2312" w:hAnsi="Arial" w:cs="Arial"/>
          <w:sz w:val="28"/>
        </w:rPr>
        <w:t>109</w:t>
      </w:r>
      <w:r w:rsidRPr="00F631FB">
        <w:rPr>
          <w:rFonts w:ascii="Arial" w:eastAsia="仿宋_GB2312" w:hAnsi="Arial" w:cs="Arial"/>
          <w:sz w:val="28"/>
        </w:rPr>
        <w:t>+0.1</w:t>
      </w:r>
      <w:r w:rsidR="007E1F92">
        <w:rPr>
          <w:rFonts w:ascii="Arial" w:eastAsia="仿宋_GB2312" w:hAnsi="Arial" w:cs="Arial"/>
          <w:sz w:val="28"/>
        </w:rPr>
        <w:t>844</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00596F26">
        <w:rPr>
          <w:rFonts w:ascii="Arial" w:eastAsia="仿宋_GB2312" w:hAnsi="Arial" w:cs="Arial"/>
          <w:sz w:val="28"/>
        </w:rPr>
        <w:t>11</w:t>
      </w:r>
      <w:r w:rsidR="00596F26" w:rsidRPr="00F631FB">
        <w:rPr>
          <w:rFonts w:ascii="Arial" w:eastAsia="仿宋_GB2312" w:hAnsi="Arial" w:cs="Arial"/>
          <w:sz w:val="28"/>
        </w:rPr>
        <w:t>+ 0</w:t>
      </w:r>
      <w:r w:rsidR="00596F26">
        <w:rPr>
          <w:rFonts w:ascii="Arial" w:eastAsia="仿宋_GB2312" w:hAnsi="Arial" w:cs="Arial"/>
          <w:sz w:val="28"/>
        </w:rPr>
        <w:t>.1546</w:t>
      </w:r>
      <w:r w:rsidR="00596F26" w:rsidRPr="00F631FB">
        <w:rPr>
          <w:rFonts w:ascii="Arial" w:eastAsia="仿宋_GB2312" w:hAnsi="Arial" w:cs="Arial"/>
          <w:sz w:val="28"/>
        </w:rPr>
        <w:t xml:space="preserve"> ×P</w:t>
      </w:r>
      <w:r w:rsidR="00596F26" w:rsidRPr="00F631FB">
        <w:rPr>
          <w:rFonts w:ascii="Arial" w:eastAsia="仿宋_GB2312" w:hAnsi="Arial" w:cs="Arial"/>
          <w:sz w:val="28"/>
          <w:vertAlign w:val="subscript"/>
        </w:rPr>
        <w:t>土</w:t>
      </w:r>
      <w:r w:rsidRPr="00F631FB">
        <w:rPr>
          <w:rFonts w:ascii="Arial" w:eastAsia="仿宋_GB2312" w:hAnsi="Arial" w:cs="Arial"/>
          <w:sz w:val="28"/>
        </w:rPr>
        <w:t>）</w:t>
      </w:r>
    </w:p>
    <w:p w14:paraId="3D03AABE" w14:textId="7C8BF068"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596F26">
        <w:rPr>
          <w:rFonts w:ascii="Arial" w:eastAsia="仿宋_GB2312" w:hAnsi="Arial" w:cs="Arial"/>
          <w:sz w:val="28"/>
        </w:rPr>
        <w:t>351</w:t>
      </w:r>
      <w:r w:rsidRPr="00F631FB">
        <w:rPr>
          <w:rFonts w:ascii="Arial" w:eastAsia="仿宋_GB2312" w:hAnsi="Arial" w:cs="Arial"/>
          <w:sz w:val="28"/>
        </w:rPr>
        <w:t>（万元）</w:t>
      </w:r>
    </w:p>
    <w:p w14:paraId="50BA060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地上办公</w:t>
      </w:r>
      <w:proofErr w:type="gramStart"/>
      <w:r w:rsidRPr="00F631FB">
        <w:rPr>
          <w:rFonts w:ascii="Arial" w:eastAsia="仿宋_GB2312" w:hAnsi="Arial" w:cs="Arial" w:hint="eastAsia"/>
          <w:sz w:val="28"/>
        </w:rPr>
        <w:t>用途</w:t>
      </w:r>
      <w:r w:rsidRPr="00F631FB">
        <w:rPr>
          <w:rFonts w:ascii="Arial" w:eastAsia="仿宋_GB2312" w:hAnsi="Arial" w:cs="Arial"/>
          <w:sz w:val="28"/>
        </w:rPr>
        <w:t>楼</w:t>
      </w:r>
      <w:proofErr w:type="gramEnd"/>
      <w:r w:rsidRPr="00F631FB">
        <w:rPr>
          <w:rFonts w:ascii="Arial" w:eastAsia="仿宋_GB2312" w:hAnsi="Arial" w:cs="Arial"/>
          <w:sz w:val="28"/>
        </w:rPr>
        <w:t>面</w:t>
      </w:r>
      <w:r w:rsidRPr="00F631FB">
        <w:rPr>
          <w:rFonts w:ascii="Arial" w:eastAsia="仿宋_GB2312" w:hAnsi="Arial" w:cs="Arial" w:hint="eastAsia"/>
          <w:sz w:val="28"/>
        </w:rPr>
        <w:t>熟地</w:t>
      </w:r>
      <w:r w:rsidRPr="00F631FB">
        <w:rPr>
          <w:rFonts w:ascii="Arial" w:eastAsia="仿宋_GB2312" w:hAnsi="Arial" w:cs="Arial"/>
          <w:sz w:val="28"/>
        </w:rPr>
        <w:t>价</w:t>
      </w:r>
    </w:p>
    <w:p w14:paraId="0B860D91" w14:textId="58FC0492"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413F5F">
        <w:rPr>
          <w:rFonts w:ascii="Arial" w:eastAsia="仿宋_GB2312" w:hAnsi="Arial" w:cs="Arial"/>
          <w:sz w:val="28"/>
        </w:rPr>
        <w:t>3</w:t>
      </w:r>
      <w:r w:rsidR="00596F26">
        <w:rPr>
          <w:rFonts w:ascii="Arial" w:eastAsia="仿宋_GB2312" w:hAnsi="Arial" w:cs="Arial"/>
          <w:sz w:val="28"/>
        </w:rPr>
        <w:t>51</w:t>
      </w:r>
      <w:r w:rsidRPr="00F631FB">
        <w:rPr>
          <w:rFonts w:ascii="Arial" w:eastAsia="仿宋_GB2312" w:hAnsi="Arial" w:cs="Arial"/>
          <w:sz w:val="28"/>
        </w:rPr>
        <w:t>÷</w:t>
      </w:r>
      <w:r w:rsidR="007E1F92">
        <w:rPr>
          <w:rFonts w:ascii="Arial" w:eastAsia="仿宋_GB2312" w:hAnsi="Arial" w:cs="Arial"/>
          <w:sz w:val="28"/>
        </w:rPr>
        <w:t>118</w:t>
      </w:r>
      <w:r w:rsidRPr="00F631FB">
        <w:rPr>
          <w:rFonts w:ascii="Arial" w:eastAsia="仿宋_GB2312" w:hAnsi="Arial" w:cs="Arial"/>
          <w:sz w:val="28"/>
        </w:rPr>
        <w:t>×10000</w:t>
      </w:r>
    </w:p>
    <w:p w14:paraId="30C3310B" w14:textId="02A51CA8"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596F26">
        <w:rPr>
          <w:rFonts w:ascii="Arial" w:eastAsia="仿宋_GB2312" w:hAnsi="Arial" w:cs="Arial"/>
          <w:sz w:val="28"/>
        </w:rPr>
        <w:t>29746</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4B3D43C5" w14:textId="4935D7E6"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地下办公依据地上主用途比准类别确定地下空间修正系数，地上主用途为办公用地，地处办公</w:t>
      </w:r>
      <w:r w:rsidR="007E1F92">
        <w:rPr>
          <w:rFonts w:ascii="Arial" w:eastAsia="仿宋_GB2312" w:hAnsi="Arial" w:cs="Arial" w:hint="eastAsia"/>
          <w:sz w:val="28"/>
        </w:rPr>
        <w:t>二</w:t>
      </w:r>
      <w:r w:rsidRPr="00F631FB">
        <w:rPr>
          <w:rFonts w:ascii="Arial" w:eastAsia="仿宋_GB2312" w:hAnsi="Arial" w:cs="Arial"/>
          <w:sz w:val="28"/>
        </w:rPr>
        <w:t>级地价区，需根据《北京市基准地价地下空间修正系数表》进行用途修正。地下空间修正系数表详见下表：</w:t>
      </w:r>
    </w:p>
    <w:p w14:paraId="085DAF11" w14:textId="77777777" w:rsidR="002C3ABF" w:rsidRPr="00F631FB" w:rsidRDefault="002C3ABF" w:rsidP="002C3ABF">
      <w:pPr>
        <w:spacing w:line="360" w:lineRule="auto"/>
        <w:jc w:val="center"/>
        <w:rPr>
          <w:rFonts w:ascii="Arial" w:eastAsia="仿宋_GB2312" w:hAnsi="Arial" w:cs="Arial"/>
          <w:sz w:val="28"/>
        </w:rPr>
      </w:pPr>
      <w:r w:rsidRPr="00F631FB">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C3ABF" w:rsidRPr="00F631FB" w14:paraId="19A25633" w14:textId="77777777" w:rsidTr="004A2C77">
        <w:trPr>
          <w:cantSplit/>
          <w:jc w:val="center"/>
        </w:trPr>
        <w:tc>
          <w:tcPr>
            <w:tcW w:w="1135" w:type="dxa"/>
            <w:vMerge w:val="restart"/>
            <w:shd w:val="clear" w:color="auto" w:fill="auto"/>
            <w:vAlign w:val="center"/>
            <w:hideMark/>
          </w:tcPr>
          <w:p w14:paraId="0D11D22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1843" w:type="dxa"/>
            <w:vMerge w:val="restart"/>
            <w:shd w:val="clear" w:color="auto" w:fill="auto"/>
            <w:vAlign w:val="center"/>
            <w:hideMark/>
          </w:tcPr>
          <w:p w14:paraId="7FB7033E"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6" w:type="dxa"/>
            <w:vMerge w:val="restart"/>
            <w:shd w:val="clear" w:color="auto" w:fill="auto"/>
            <w:vAlign w:val="center"/>
            <w:hideMark/>
          </w:tcPr>
          <w:p w14:paraId="2B0457C3"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4195" w:type="dxa"/>
            <w:gridSpan w:val="3"/>
            <w:shd w:val="clear" w:color="auto" w:fill="auto"/>
            <w:vAlign w:val="center"/>
            <w:hideMark/>
          </w:tcPr>
          <w:p w14:paraId="60A79F97"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2C3ABF" w:rsidRPr="00F631FB" w14:paraId="1DDBE0A5" w14:textId="77777777" w:rsidTr="004A2C77">
        <w:trPr>
          <w:cantSplit/>
          <w:jc w:val="center"/>
        </w:trPr>
        <w:tc>
          <w:tcPr>
            <w:tcW w:w="1135" w:type="dxa"/>
            <w:vMerge/>
            <w:vAlign w:val="center"/>
            <w:hideMark/>
          </w:tcPr>
          <w:p w14:paraId="03D19D0D"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1B82A9E2"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7EBBF26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0B4E64A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417" w:type="dxa"/>
            <w:shd w:val="clear" w:color="auto" w:fill="auto"/>
            <w:vAlign w:val="center"/>
            <w:hideMark/>
          </w:tcPr>
          <w:p w14:paraId="5979415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360" w:type="dxa"/>
            <w:shd w:val="clear" w:color="auto" w:fill="auto"/>
            <w:vAlign w:val="center"/>
            <w:hideMark/>
          </w:tcPr>
          <w:p w14:paraId="1BCCE0E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2C3ABF" w:rsidRPr="00F631FB" w14:paraId="6D49ADCB" w14:textId="77777777" w:rsidTr="004A2C77">
        <w:trPr>
          <w:cantSplit/>
          <w:jc w:val="center"/>
        </w:trPr>
        <w:tc>
          <w:tcPr>
            <w:tcW w:w="1135" w:type="dxa"/>
            <w:shd w:val="clear" w:color="auto" w:fill="auto"/>
            <w:vAlign w:val="center"/>
            <w:hideMark/>
          </w:tcPr>
          <w:p w14:paraId="1745E9AB"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地下办公</w:t>
            </w:r>
          </w:p>
        </w:tc>
        <w:tc>
          <w:tcPr>
            <w:tcW w:w="1843" w:type="dxa"/>
            <w:shd w:val="clear" w:color="auto" w:fill="auto"/>
            <w:vAlign w:val="center"/>
            <w:hideMark/>
          </w:tcPr>
          <w:p w14:paraId="702202C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办公用途比准类别</w:t>
            </w:r>
          </w:p>
        </w:tc>
        <w:tc>
          <w:tcPr>
            <w:tcW w:w="2126" w:type="dxa"/>
            <w:shd w:val="clear" w:color="auto" w:fill="auto"/>
            <w:vAlign w:val="center"/>
            <w:hideMark/>
          </w:tcPr>
          <w:p w14:paraId="63D1C5AA"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w:t>
            </w:r>
          </w:p>
        </w:tc>
        <w:tc>
          <w:tcPr>
            <w:tcW w:w="1418" w:type="dxa"/>
            <w:shd w:val="clear" w:color="auto" w:fill="auto"/>
            <w:vAlign w:val="center"/>
            <w:hideMark/>
          </w:tcPr>
          <w:p w14:paraId="0198F34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0.3</w:t>
            </w:r>
          </w:p>
        </w:tc>
        <w:tc>
          <w:tcPr>
            <w:tcW w:w="1417" w:type="dxa"/>
            <w:shd w:val="clear" w:color="auto" w:fill="auto"/>
            <w:vAlign w:val="center"/>
            <w:hideMark/>
          </w:tcPr>
          <w:p w14:paraId="63B9F9E7"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0.25</w:t>
            </w:r>
          </w:p>
        </w:tc>
        <w:tc>
          <w:tcPr>
            <w:tcW w:w="1360" w:type="dxa"/>
            <w:shd w:val="clear" w:color="auto" w:fill="auto"/>
            <w:vAlign w:val="center"/>
            <w:hideMark/>
          </w:tcPr>
          <w:p w14:paraId="70B51092"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w:t>
            </w:r>
          </w:p>
        </w:tc>
      </w:tr>
    </w:tbl>
    <w:p w14:paraId="3E9D2F38" w14:textId="34D631C0"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依据上表，估价对象</w:t>
      </w:r>
      <w:r w:rsidRPr="00F631FB">
        <w:rPr>
          <w:rFonts w:ascii="Arial" w:eastAsia="仿宋_GB2312" w:hAnsi="Arial" w:cs="Arial"/>
          <w:sz w:val="28"/>
          <w:szCs w:val="28"/>
        </w:rPr>
        <w:t>土地级别为办公</w:t>
      </w:r>
      <w:r w:rsidR="00A92F3E">
        <w:rPr>
          <w:rFonts w:ascii="Arial" w:eastAsia="仿宋_GB2312" w:hAnsi="Arial" w:cs="Arial" w:hint="eastAsia"/>
          <w:sz w:val="28"/>
          <w:szCs w:val="28"/>
        </w:rPr>
        <w:t>二</w:t>
      </w:r>
      <w:r w:rsidRPr="00F631FB">
        <w:rPr>
          <w:rFonts w:ascii="Arial" w:eastAsia="仿宋_GB2312" w:hAnsi="Arial" w:cs="Arial"/>
          <w:sz w:val="28"/>
          <w:szCs w:val="28"/>
        </w:rPr>
        <w:t>级，地下办公地下空间修正系数为</w:t>
      </w:r>
      <w:r w:rsidRPr="00F631FB">
        <w:rPr>
          <w:rFonts w:ascii="Arial" w:eastAsia="仿宋_GB2312" w:hAnsi="Arial" w:cs="Arial"/>
          <w:sz w:val="28"/>
          <w:szCs w:val="28"/>
        </w:rPr>
        <w:t>0.</w:t>
      </w:r>
      <w:r w:rsidR="007E1F92">
        <w:rPr>
          <w:rFonts w:ascii="Arial" w:eastAsia="仿宋_GB2312" w:hAnsi="Arial" w:cs="Arial"/>
          <w:sz w:val="28"/>
          <w:szCs w:val="28"/>
        </w:rPr>
        <w:t>3</w:t>
      </w:r>
      <w:r w:rsidRPr="00F631FB">
        <w:rPr>
          <w:rFonts w:ascii="Arial" w:eastAsia="仿宋_GB2312" w:hAnsi="Arial" w:cs="Arial"/>
          <w:sz w:val="28"/>
          <w:szCs w:val="28"/>
        </w:rPr>
        <w:t>。</w:t>
      </w:r>
    </w:p>
    <w:p w14:paraId="2F295588" w14:textId="77777777" w:rsidR="002C3ABF" w:rsidRPr="00F631FB" w:rsidRDefault="002C3ABF" w:rsidP="002C3ABF">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p>
    <w:p w14:paraId="5FC3023E" w14:textId="77777777" w:rsidR="002C3ABF" w:rsidRPr="00F631FB" w:rsidRDefault="002C3ABF" w:rsidP="002C3ABF">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napToGrid w:val="0"/>
          <w:sz w:val="28"/>
          <w:szCs w:val="28"/>
        </w:rPr>
        <w:t>相应用途地下空间修正系数</w:t>
      </w:r>
    </w:p>
    <w:p w14:paraId="5739FB6F" w14:textId="3A7B7598"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00596F26">
        <w:rPr>
          <w:rFonts w:ascii="Arial" w:eastAsia="仿宋_GB2312" w:hAnsi="Arial" w:cs="Arial"/>
          <w:sz w:val="28"/>
        </w:rPr>
        <w:t>29746</w:t>
      </w:r>
      <w:r w:rsidR="002C3804" w:rsidRPr="00F631FB">
        <w:rPr>
          <w:rFonts w:ascii="Arial" w:eastAsia="仿宋_GB2312" w:hAnsi="Arial" w:cs="Arial"/>
          <w:sz w:val="28"/>
          <w:szCs w:val="28"/>
        </w:rPr>
        <w:t>×0.</w:t>
      </w:r>
      <w:r w:rsidR="007E1F92">
        <w:rPr>
          <w:rFonts w:ascii="Arial" w:eastAsia="仿宋_GB2312" w:hAnsi="Arial" w:cs="Arial"/>
          <w:sz w:val="28"/>
          <w:szCs w:val="28"/>
        </w:rPr>
        <w:t>3</w:t>
      </w:r>
    </w:p>
    <w:p w14:paraId="666FB547" w14:textId="623A25B2"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w:t>
      </w:r>
      <w:r w:rsidR="00596F26">
        <w:rPr>
          <w:rFonts w:ascii="Arial" w:eastAsia="仿宋_GB2312" w:hAnsi="Arial" w:cs="Arial"/>
          <w:sz w:val="28"/>
          <w:szCs w:val="28"/>
        </w:rPr>
        <w:t>8924</w:t>
      </w:r>
      <w:r w:rsidRPr="00F631FB">
        <w:rPr>
          <w:rFonts w:ascii="Arial" w:eastAsia="仿宋_GB2312" w:hAnsi="Arial" w:cs="Arial"/>
          <w:sz w:val="28"/>
          <w:szCs w:val="28"/>
        </w:rPr>
        <w:t>（元</w:t>
      </w:r>
      <w:r w:rsidRPr="00F631FB">
        <w:rPr>
          <w:rFonts w:ascii="Arial" w:eastAsia="仿宋_GB2312" w:hAnsi="Arial" w:cs="Arial"/>
          <w:sz w:val="28"/>
          <w:szCs w:val="28"/>
        </w:rPr>
        <w:t>/</w:t>
      </w:r>
      <w:r w:rsidRPr="00F631FB">
        <w:rPr>
          <w:rFonts w:ascii="Arial" w:eastAsia="仿宋_GB2312" w:hAnsi="Arial" w:cs="Arial"/>
          <w:sz w:val="28"/>
          <w:szCs w:val="28"/>
        </w:rPr>
        <w:t>平方米）</w:t>
      </w:r>
    </w:p>
    <w:p w14:paraId="06E8F633" w14:textId="77777777" w:rsidR="007E1F92" w:rsidRDefault="007E1F92" w:rsidP="002C3ABF">
      <w:pPr>
        <w:spacing w:line="360" w:lineRule="auto"/>
        <w:ind w:left="420"/>
        <w:jc w:val="both"/>
        <w:rPr>
          <w:rFonts w:ascii="Arial" w:eastAsia="仿宋_GB2312" w:hAnsi="Arial" w:cs="Arial"/>
          <w:b/>
          <w:sz w:val="28"/>
          <w:szCs w:val="28"/>
        </w:rPr>
      </w:pPr>
      <w:r>
        <w:rPr>
          <w:rFonts w:ascii="Arial" w:eastAsia="仿宋_GB2312" w:hAnsi="Arial" w:cs="Arial"/>
          <w:b/>
          <w:sz w:val="28"/>
          <w:szCs w:val="28"/>
        </w:rPr>
        <w:br w:type="page"/>
      </w:r>
    </w:p>
    <w:p w14:paraId="62259431" w14:textId="38CE0365" w:rsidR="0087591C" w:rsidRPr="00F631FB" w:rsidRDefault="0087591C" w:rsidP="0087591C">
      <w:pPr>
        <w:spacing w:line="360" w:lineRule="auto"/>
        <w:ind w:firstLineChars="200" w:firstLine="562"/>
        <w:jc w:val="both"/>
        <w:rPr>
          <w:rFonts w:ascii="Arial" w:eastAsia="仿宋_GB2312" w:hAnsi="Arial" w:cs="Arial"/>
          <w:b/>
          <w:sz w:val="28"/>
        </w:rPr>
      </w:pPr>
      <w:r w:rsidRPr="00F631FB">
        <w:rPr>
          <w:rFonts w:ascii="Arial" w:eastAsia="仿宋_GB2312" w:hAnsi="Arial" w:cs="Arial" w:hint="eastAsia"/>
          <w:b/>
          <w:sz w:val="28"/>
        </w:rPr>
        <w:lastRenderedPageBreak/>
        <w:t>（</w:t>
      </w:r>
      <w:r>
        <w:rPr>
          <w:rFonts w:ascii="Arial" w:eastAsia="仿宋_GB2312" w:hAnsi="Arial" w:cs="Arial"/>
          <w:b/>
          <w:sz w:val="28"/>
        </w:rPr>
        <w:t>4</w:t>
      </w:r>
      <w:r w:rsidRPr="00F631FB">
        <w:rPr>
          <w:rFonts w:ascii="Arial" w:eastAsia="仿宋_GB2312" w:hAnsi="Arial" w:cs="Arial" w:hint="eastAsia"/>
          <w:b/>
          <w:sz w:val="28"/>
        </w:rPr>
        <w:t>）</w:t>
      </w:r>
      <w:r w:rsidRPr="00F631FB">
        <w:rPr>
          <w:rFonts w:ascii="Arial" w:eastAsia="仿宋_GB2312" w:hAnsi="Arial" w:cs="Arial"/>
          <w:b/>
          <w:sz w:val="28"/>
        </w:rPr>
        <w:t>求取估价对象</w:t>
      </w:r>
      <w:r w:rsidRPr="00F631FB">
        <w:rPr>
          <w:rFonts w:ascii="Arial" w:eastAsia="仿宋_GB2312" w:hAnsi="Arial" w:cs="Arial" w:hint="eastAsia"/>
          <w:b/>
          <w:sz w:val="28"/>
        </w:rPr>
        <w:t>地下</w:t>
      </w:r>
      <w:r>
        <w:rPr>
          <w:rFonts w:ascii="Arial" w:eastAsia="仿宋_GB2312" w:hAnsi="Arial" w:cs="Arial" w:hint="eastAsia"/>
          <w:b/>
          <w:sz w:val="28"/>
        </w:rPr>
        <w:t>车库</w:t>
      </w:r>
      <w:r w:rsidRPr="00F631FB">
        <w:rPr>
          <w:rFonts w:ascii="Arial" w:eastAsia="仿宋_GB2312" w:hAnsi="Arial" w:cs="Arial" w:hint="eastAsia"/>
          <w:b/>
          <w:sz w:val="28"/>
        </w:rPr>
        <w:t>用途</w:t>
      </w:r>
      <w:r w:rsidRPr="00F631FB">
        <w:rPr>
          <w:rFonts w:ascii="Arial" w:eastAsia="仿宋_GB2312" w:hAnsi="Arial" w:cs="Arial"/>
          <w:b/>
          <w:sz w:val="28"/>
        </w:rPr>
        <w:t>土地价格</w:t>
      </w:r>
      <w:r w:rsidRPr="00F631FB">
        <w:rPr>
          <w:rFonts w:ascii="Arial" w:eastAsia="仿宋_GB2312" w:hAnsi="Arial" w:cs="Arial" w:hint="eastAsia"/>
          <w:b/>
          <w:sz w:val="28"/>
        </w:rPr>
        <w:t>（土地剩余使用年限</w:t>
      </w:r>
      <w:r>
        <w:rPr>
          <w:rFonts w:ascii="Arial" w:eastAsia="仿宋_GB2312" w:hAnsi="Arial" w:cs="Arial"/>
          <w:b/>
          <w:sz w:val="28"/>
        </w:rPr>
        <w:t>50</w:t>
      </w:r>
      <w:r w:rsidRPr="00F631FB">
        <w:rPr>
          <w:rFonts w:ascii="Arial" w:eastAsia="仿宋_GB2312" w:hAnsi="Arial" w:cs="Arial" w:hint="eastAsia"/>
          <w:b/>
          <w:sz w:val="28"/>
        </w:rPr>
        <w:t>年）</w:t>
      </w:r>
    </w:p>
    <w:p w14:paraId="56B30C0B" w14:textId="77777777" w:rsidR="0087591C" w:rsidRPr="00F631FB" w:rsidRDefault="0087591C" w:rsidP="0087591C">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1</w:t>
      </w:r>
      <w:r w:rsidRPr="00F631FB">
        <w:rPr>
          <w:rFonts w:ascii="Arial" w:eastAsia="仿宋_GB2312" w:hAnsi="Arial" w:cs="Arial"/>
          <w:bCs/>
          <w:sz w:val="28"/>
        </w:rPr>
        <w:t>）开发完成后的不动产总价</w:t>
      </w:r>
    </w:p>
    <w:p w14:paraId="2DE1DF95" w14:textId="77777777" w:rsidR="0087591C" w:rsidRPr="00CF2491" w:rsidRDefault="0087591C" w:rsidP="0087591C">
      <w:pPr>
        <w:spacing w:line="360" w:lineRule="auto"/>
        <w:ind w:firstLineChars="200" w:firstLine="560"/>
        <w:jc w:val="both"/>
        <w:rPr>
          <w:rFonts w:ascii="Arial" w:eastAsia="仿宋_GB2312" w:hAnsi="Arial" w:cs="Arial"/>
          <w:bCs/>
          <w:sz w:val="28"/>
        </w:rPr>
      </w:pPr>
      <w:r w:rsidRPr="00AD6D80">
        <w:rPr>
          <w:rFonts w:ascii="Arial" w:eastAsia="仿宋_GB2312" w:hAnsi="Arial" w:cs="Arial" w:hint="eastAsia"/>
          <w:bCs/>
          <w:sz w:val="28"/>
        </w:rPr>
        <w:t>估价对象所属项目为居住项目</w:t>
      </w:r>
      <w:r>
        <w:rPr>
          <w:rFonts w:ascii="Arial" w:eastAsia="仿宋_GB2312" w:hAnsi="Arial" w:cs="Arial" w:hint="eastAsia"/>
          <w:bCs/>
          <w:sz w:val="28"/>
        </w:rPr>
        <w:t>，包含配套地下车库</w:t>
      </w:r>
      <w:r w:rsidRPr="00AD6D80">
        <w:rPr>
          <w:rFonts w:ascii="Arial" w:eastAsia="仿宋_GB2312" w:hAnsi="Arial" w:cs="Arial" w:hint="eastAsia"/>
          <w:bCs/>
          <w:sz w:val="28"/>
        </w:rPr>
        <w:t>。</w:t>
      </w:r>
      <w:r w:rsidRPr="00AD6D80">
        <w:rPr>
          <w:rFonts w:ascii="Arial" w:eastAsia="仿宋_GB2312" w:hAnsi="Arial" w:cs="Arial"/>
          <w:bCs/>
          <w:sz w:val="28"/>
        </w:rPr>
        <w:t>经过网上询价，采用房地产交易中的替代原则，选取与估价对象类似用途的案例，并分别进行交易情况、交易时间、用途、区域因素、个别因素的修正。</w:t>
      </w:r>
      <w:r>
        <w:rPr>
          <w:rFonts w:ascii="Arial" w:eastAsia="仿宋_GB2312" w:hAnsi="Arial" w:cs="Arial" w:hint="eastAsia"/>
          <w:bCs/>
          <w:sz w:val="28"/>
        </w:rPr>
        <w:t>地下车库</w:t>
      </w:r>
      <w:r w:rsidRPr="00AD6D80">
        <w:rPr>
          <w:rFonts w:ascii="Arial" w:eastAsia="仿宋_GB2312" w:hAnsi="Arial" w:cs="Arial"/>
          <w:bCs/>
          <w:sz w:val="28"/>
        </w:rPr>
        <w:t>用房开发完成后不动产总价</w:t>
      </w:r>
      <w:r w:rsidRPr="00AD6D80">
        <w:rPr>
          <w:rFonts w:ascii="Arial" w:eastAsia="仿宋_GB2312" w:hAnsi="Arial" w:cs="Arial" w:hint="eastAsia"/>
          <w:bCs/>
          <w:sz w:val="28"/>
        </w:rPr>
        <w:t>。</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87591C" w:rsidRPr="00F631FB" w14:paraId="57E1D46E" w14:textId="77777777" w:rsidTr="005D5BB3">
        <w:trPr>
          <w:cantSplit/>
          <w:jc w:val="center"/>
        </w:trPr>
        <w:tc>
          <w:tcPr>
            <w:tcW w:w="8897" w:type="dxa"/>
          </w:tcPr>
          <w:p w14:paraId="4D4B2BF2" w14:textId="77777777" w:rsidR="0087591C" w:rsidRPr="00F631FB" w:rsidRDefault="0087591C" w:rsidP="005D5BB3">
            <w:pPr>
              <w:jc w:val="center"/>
              <w:rPr>
                <w:rFonts w:ascii="Arial" w:eastAsia="仿宋_GB2312" w:hAnsi="Arial" w:cs="Arial"/>
                <w:sz w:val="22"/>
              </w:rPr>
            </w:pPr>
            <w:r w:rsidRPr="00F631FB">
              <w:rPr>
                <w:rFonts w:ascii="Arial" w:eastAsia="仿宋_GB2312" w:hAnsi="Arial" w:cs="Arial"/>
                <w:sz w:val="22"/>
              </w:rPr>
              <w:t>案例位置</w:t>
            </w:r>
          </w:p>
        </w:tc>
      </w:tr>
      <w:tr w:rsidR="0087591C" w:rsidRPr="00F631FB" w14:paraId="3655F2DC" w14:textId="77777777" w:rsidTr="005D5BB3">
        <w:trPr>
          <w:cantSplit/>
          <w:trHeight w:hRule="exact" w:val="5761"/>
          <w:jc w:val="center"/>
        </w:trPr>
        <w:tc>
          <w:tcPr>
            <w:tcW w:w="8897" w:type="dxa"/>
          </w:tcPr>
          <w:p w14:paraId="0D9F60EC" w14:textId="77777777" w:rsidR="0087591C" w:rsidRPr="00F631FB" w:rsidRDefault="0087591C" w:rsidP="005D5BB3">
            <w:pPr>
              <w:jc w:val="center"/>
              <w:rPr>
                <w:rFonts w:ascii="Arial" w:eastAsia="仿宋_GB2312" w:hAnsi="Arial" w:cs="Arial"/>
                <w:sz w:val="22"/>
              </w:rPr>
            </w:pPr>
            <w:r w:rsidRPr="00F631FB">
              <w:rPr>
                <w:rFonts w:ascii="Arial" w:eastAsia="仿宋_GB2312" w:hAnsi="Arial" w:cs="Arial"/>
                <w:noProof/>
                <w:sz w:val="22"/>
              </w:rPr>
              <w:drawing>
                <wp:anchor distT="0" distB="0" distL="114300" distR="114300" simplePos="0" relativeHeight="251670528" behindDoc="0" locked="0" layoutInCell="1" allowOverlap="1" wp14:anchorId="0649C76F" wp14:editId="5774B2EE">
                  <wp:simplePos x="0" y="0"/>
                  <wp:positionH relativeFrom="column">
                    <wp:posOffset>2757672</wp:posOffset>
                  </wp:positionH>
                  <wp:positionV relativeFrom="paragraph">
                    <wp:posOffset>1395538</wp:posOffset>
                  </wp:positionV>
                  <wp:extent cx="1010285" cy="564515"/>
                  <wp:effectExtent l="0" t="0" r="0" b="6985"/>
                  <wp:wrapNone/>
                  <wp:docPr id="3" name="图片 3"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Pr>
                <w:noProof/>
              </w:rPr>
              <w:drawing>
                <wp:inline distT="0" distB="0" distL="0" distR="0" wp14:anchorId="33014AD9" wp14:editId="53A1405F">
                  <wp:extent cx="5512435" cy="3455581"/>
                  <wp:effectExtent l="0" t="0" r="0" b="0"/>
                  <wp:docPr id="14" name="图片 13">
                    <a:extLst xmlns:a="http://schemas.openxmlformats.org/drawingml/2006/main">
                      <a:ext uri="{FF2B5EF4-FFF2-40B4-BE49-F238E27FC236}">
                        <a16:creationId xmlns:a16="http://schemas.microsoft.com/office/drawing/2014/main" id="{F35BD253-EEF5-434D-A07C-8A25E3F6F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F35BD253-EEF5-434D-A07C-8A25E3F6FEB5}"/>
                              </a:ext>
                            </a:extLst>
                          </pic:cNvPr>
                          <pic:cNvPicPr>
                            <a:picLocks noChangeAspect="1"/>
                          </pic:cNvPicPr>
                        </pic:nvPicPr>
                        <pic:blipFill>
                          <a:blip r:embed="rId85"/>
                          <a:stretch>
                            <a:fillRect/>
                          </a:stretch>
                        </pic:blipFill>
                        <pic:spPr>
                          <a:xfrm>
                            <a:off x="0" y="0"/>
                            <a:ext cx="5514651" cy="3456970"/>
                          </a:xfrm>
                          <a:prstGeom prst="rect">
                            <a:avLst/>
                          </a:prstGeom>
                        </pic:spPr>
                      </pic:pic>
                    </a:graphicData>
                  </a:graphic>
                </wp:inline>
              </w:drawing>
            </w:r>
          </w:p>
        </w:tc>
      </w:tr>
    </w:tbl>
    <w:p w14:paraId="1A52B372" w14:textId="77777777" w:rsidR="0087591C" w:rsidRPr="00F631FB" w:rsidRDefault="0087591C" w:rsidP="0087591C">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71BAE7DD" w14:textId="69197DA9" w:rsidR="0087591C" w:rsidRPr="00F631FB" w:rsidRDefault="0087591C" w:rsidP="0087591C">
      <w:pPr>
        <w:spacing w:line="360" w:lineRule="auto"/>
        <w:ind w:firstLineChars="200" w:firstLine="482"/>
        <w:jc w:val="center"/>
        <w:rPr>
          <w:rFonts w:ascii="Arial" w:eastAsia="仿宋_GB2312" w:hAnsi="Arial" w:cs="Arial"/>
          <w:sz w:val="28"/>
        </w:rPr>
      </w:pPr>
      <w:r w:rsidRPr="00F631FB">
        <w:rPr>
          <w:rFonts w:ascii="Arial" w:eastAsia="仿宋_GB2312" w:hAnsi="Arial" w:cs="Arial"/>
          <w:b/>
          <w:bCs/>
        </w:rPr>
        <w:lastRenderedPageBreak/>
        <w:t>表</w:t>
      </w:r>
      <w:r>
        <w:rPr>
          <w:rFonts w:ascii="Arial" w:eastAsia="仿宋_GB2312" w:hAnsi="Arial" w:cs="Arial"/>
          <w:b/>
          <w:bCs/>
        </w:rPr>
        <w:t>7</w:t>
      </w:r>
      <w:r w:rsidRPr="00F631FB">
        <w:rPr>
          <w:rFonts w:ascii="Arial" w:eastAsia="仿宋_GB2312" w:hAnsi="Arial" w:cs="Arial"/>
          <w:b/>
          <w:bCs/>
        </w:rPr>
        <w:t>：比较因素条件说明及指数表</w:t>
      </w:r>
    </w:p>
    <w:tbl>
      <w:tblPr>
        <w:tblW w:w="5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1028"/>
        <w:gridCol w:w="1846"/>
        <w:gridCol w:w="566"/>
        <w:gridCol w:w="1700"/>
        <w:gridCol w:w="709"/>
        <w:gridCol w:w="1700"/>
        <w:gridCol w:w="709"/>
        <w:gridCol w:w="1702"/>
        <w:gridCol w:w="707"/>
      </w:tblGrid>
      <w:tr w:rsidR="0087591C" w:rsidRPr="00F631FB" w14:paraId="052D4976" w14:textId="77777777" w:rsidTr="005D5BB3">
        <w:trPr>
          <w:trHeight w:val="300"/>
          <w:tblHeader/>
          <w:jc w:val="center"/>
        </w:trPr>
        <w:tc>
          <w:tcPr>
            <w:tcW w:w="639" w:type="pct"/>
            <w:gridSpan w:val="2"/>
            <w:vMerge w:val="restart"/>
            <w:shd w:val="clear" w:color="auto" w:fill="auto"/>
            <w:noWrap/>
            <w:vAlign w:val="center"/>
            <w:hideMark/>
          </w:tcPr>
          <w:p w14:paraId="2A5E061E"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91" w:type="pct"/>
            <w:gridSpan w:val="2"/>
            <w:shd w:val="clear" w:color="auto" w:fill="auto"/>
            <w:vAlign w:val="center"/>
            <w:hideMark/>
          </w:tcPr>
          <w:p w14:paraId="741D780C"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1090" w:type="pct"/>
            <w:gridSpan w:val="2"/>
            <w:shd w:val="clear" w:color="auto" w:fill="auto"/>
            <w:vAlign w:val="center"/>
            <w:hideMark/>
          </w:tcPr>
          <w:p w14:paraId="29936BAE" w14:textId="6D773F56"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Pr>
                <w:rFonts w:ascii="Arial" w:eastAsia="仿宋_GB2312" w:hAnsi="Arial" w:cs="Arial" w:hint="eastAsia"/>
                <w:sz w:val="18"/>
                <w:szCs w:val="18"/>
              </w:rPr>
              <w:t>J</w:t>
            </w:r>
          </w:p>
        </w:tc>
        <w:tc>
          <w:tcPr>
            <w:tcW w:w="1090" w:type="pct"/>
            <w:gridSpan w:val="2"/>
            <w:shd w:val="clear" w:color="auto" w:fill="auto"/>
            <w:vAlign w:val="center"/>
            <w:hideMark/>
          </w:tcPr>
          <w:p w14:paraId="1796CDDA" w14:textId="43B4CAB4"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Pr>
                <w:rFonts w:ascii="Arial" w:eastAsia="仿宋_GB2312" w:hAnsi="Arial" w:cs="Arial" w:hint="eastAsia"/>
                <w:sz w:val="18"/>
                <w:szCs w:val="18"/>
              </w:rPr>
              <w:t>K</w:t>
            </w:r>
          </w:p>
        </w:tc>
        <w:tc>
          <w:tcPr>
            <w:tcW w:w="1090" w:type="pct"/>
            <w:gridSpan w:val="2"/>
            <w:shd w:val="clear" w:color="auto" w:fill="auto"/>
            <w:vAlign w:val="center"/>
            <w:hideMark/>
          </w:tcPr>
          <w:p w14:paraId="0F63DD4B" w14:textId="37E5E1C6"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Pr>
                <w:rFonts w:ascii="Arial" w:eastAsia="仿宋_GB2312" w:hAnsi="Arial" w:cs="Arial" w:hint="eastAsia"/>
                <w:sz w:val="18"/>
                <w:szCs w:val="18"/>
              </w:rPr>
              <w:t>L</w:t>
            </w:r>
          </w:p>
        </w:tc>
      </w:tr>
      <w:tr w:rsidR="0087591C" w:rsidRPr="00F631FB" w14:paraId="10676685" w14:textId="77777777" w:rsidTr="005D5BB3">
        <w:trPr>
          <w:trHeight w:val="450"/>
          <w:tblHeader/>
          <w:jc w:val="center"/>
        </w:trPr>
        <w:tc>
          <w:tcPr>
            <w:tcW w:w="639" w:type="pct"/>
            <w:gridSpan w:val="2"/>
            <w:vMerge/>
            <w:vAlign w:val="center"/>
            <w:hideMark/>
          </w:tcPr>
          <w:p w14:paraId="3567E4B9" w14:textId="77777777" w:rsidR="0087591C" w:rsidRPr="00F631FB" w:rsidRDefault="0087591C" w:rsidP="005D5BB3">
            <w:pPr>
              <w:widowControl/>
              <w:adjustRightInd/>
              <w:spacing w:line="240" w:lineRule="auto"/>
              <w:textAlignment w:val="auto"/>
              <w:rPr>
                <w:rFonts w:ascii="Arial" w:eastAsia="仿宋_GB2312" w:hAnsi="Arial" w:cs="Arial"/>
                <w:sz w:val="18"/>
                <w:szCs w:val="18"/>
              </w:rPr>
            </w:pPr>
          </w:p>
        </w:tc>
        <w:tc>
          <w:tcPr>
            <w:tcW w:w="835" w:type="pct"/>
            <w:shd w:val="clear" w:color="auto" w:fill="auto"/>
            <w:vAlign w:val="center"/>
            <w:hideMark/>
          </w:tcPr>
          <w:p w14:paraId="6DBE512A"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苏州街棚改项目配套地下车库</w:t>
            </w:r>
          </w:p>
        </w:tc>
        <w:tc>
          <w:tcPr>
            <w:tcW w:w="256" w:type="pct"/>
            <w:shd w:val="clear" w:color="auto" w:fill="auto"/>
            <w:vAlign w:val="center"/>
            <w:hideMark/>
          </w:tcPr>
          <w:p w14:paraId="393CAECC"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769" w:type="pct"/>
            <w:shd w:val="clear" w:color="auto" w:fill="auto"/>
            <w:vAlign w:val="center"/>
            <w:hideMark/>
          </w:tcPr>
          <w:p w14:paraId="680A895F"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0347D">
              <w:rPr>
                <w:rFonts w:ascii="Arial" w:eastAsia="仿宋_GB2312" w:hAnsi="Arial" w:cs="Arial" w:hint="eastAsia"/>
                <w:sz w:val="18"/>
                <w:szCs w:val="18"/>
              </w:rPr>
              <w:t>玉海园小区</w:t>
            </w:r>
            <w:r>
              <w:rPr>
                <w:rFonts w:ascii="Arial" w:eastAsia="仿宋_GB2312" w:hAnsi="Arial" w:cs="Arial" w:hint="eastAsia"/>
                <w:sz w:val="18"/>
                <w:szCs w:val="18"/>
              </w:rPr>
              <w:t>配套地下车库</w:t>
            </w:r>
          </w:p>
        </w:tc>
        <w:tc>
          <w:tcPr>
            <w:tcW w:w="321" w:type="pct"/>
            <w:shd w:val="clear" w:color="auto" w:fill="auto"/>
            <w:vAlign w:val="center"/>
            <w:hideMark/>
          </w:tcPr>
          <w:p w14:paraId="7744E35D"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769" w:type="pct"/>
            <w:shd w:val="clear" w:color="auto" w:fill="auto"/>
            <w:vAlign w:val="center"/>
            <w:hideMark/>
          </w:tcPr>
          <w:p w14:paraId="28D36F88"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0347D">
              <w:rPr>
                <w:rFonts w:ascii="Arial" w:eastAsia="仿宋_GB2312" w:hAnsi="Arial" w:cs="Arial" w:hint="eastAsia"/>
                <w:sz w:val="18"/>
                <w:szCs w:val="18"/>
              </w:rPr>
              <w:t>上林溪南区</w:t>
            </w:r>
            <w:r>
              <w:rPr>
                <w:rFonts w:ascii="Arial" w:eastAsia="仿宋_GB2312" w:hAnsi="Arial" w:cs="Arial" w:hint="eastAsia"/>
                <w:sz w:val="18"/>
                <w:szCs w:val="18"/>
              </w:rPr>
              <w:t>配套地下车库</w:t>
            </w:r>
          </w:p>
        </w:tc>
        <w:tc>
          <w:tcPr>
            <w:tcW w:w="321" w:type="pct"/>
            <w:shd w:val="clear" w:color="auto" w:fill="auto"/>
            <w:vAlign w:val="center"/>
            <w:hideMark/>
          </w:tcPr>
          <w:p w14:paraId="526A7AEA"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770" w:type="pct"/>
            <w:shd w:val="clear" w:color="auto" w:fill="auto"/>
            <w:vAlign w:val="center"/>
            <w:hideMark/>
          </w:tcPr>
          <w:p w14:paraId="59FA39EC"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proofErr w:type="gramStart"/>
            <w:r w:rsidRPr="00F0347D">
              <w:rPr>
                <w:rFonts w:ascii="Arial" w:eastAsia="仿宋_GB2312" w:hAnsi="Arial" w:cs="Arial" w:hint="eastAsia"/>
                <w:sz w:val="18"/>
                <w:szCs w:val="18"/>
              </w:rPr>
              <w:t>京投银泰琨御府</w:t>
            </w:r>
            <w:r>
              <w:rPr>
                <w:rFonts w:ascii="Arial" w:eastAsia="仿宋_GB2312" w:hAnsi="Arial" w:cs="Arial" w:hint="eastAsia"/>
                <w:sz w:val="18"/>
                <w:szCs w:val="18"/>
              </w:rPr>
              <w:t>配套</w:t>
            </w:r>
            <w:proofErr w:type="gramEnd"/>
            <w:r>
              <w:rPr>
                <w:rFonts w:ascii="Arial" w:eastAsia="仿宋_GB2312" w:hAnsi="Arial" w:cs="Arial" w:hint="eastAsia"/>
                <w:sz w:val="18"/>
                <w:szCs w:val="18"/>
              </w:rPr>
              <w:t>地下车库</w:t>
            </w:r>
          </w:p>
        </w:tc>
        <w:tc>
          <w:tcPr>
            <w:tcW w:w="320" w:type="pct"/>
            <w:shd w:val="clear" w:color="auto" w:fill="auto"/>
            <w:vAlign w:val="center"/>
            <w:hideMark/>
          </w:tcPr>
          <w:p w14:paraId="6F8D078C"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r>
      <w:tr w:rsidR="0087591C" w:rsidRPr="00F631FB" w14:paraId="23671AA8" w14:textId="77777777" w:rsidTr="005D5BB3">
        <w:trPr>
          <w:trHeight w:val="315"/>
          <w:jc w:val="center"/>
        </w:trPr>
        <w:tc>
          <w:tcPr>
            <w:tcW w:w="639" w:type="pct"/>
            <w:gridSpan w:val="2"/>
            <w:shd w:val="clear" w:color="auto" w:fill="auto"/>
            <w:noWrap/>
            <w:vAlign w:val="center"/>
            <w:hideMark/>
          </w:tcPr>
          <w:p w14:paraId="69D4BC14"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835" w:type="pct"/>
            <w:shd w:val="clear" w:color="auto" w:fill="auto"/>
            <w:vAlign w:val="center"/>
            <w:hideMark/>
          </w:tcPr>
          <w:p w14:paraId="21403B36"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2021-10-15</w:t>
            </w:r>
          </w:p>
        </w:tc>
        <w:tc>
          <w:tcPr>
            <w:tcW w:w="256" w:type="pct"/>
            <w:shd w:val="clear" w:color="auto" w:fill="auto"/>
            <w:vAlign w:val="center"/>
            <w:hideMark/>
          </w:tcPr>
          <w:p w14:paraId="382C4855"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15DFA3D2"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2021-10</w:t>
            </w:r>
          </w:p>
        </w:tc>
        <w:tc>
          <w:tcPr>
            <w:tcW w:w="321" w:type="pct"/>
            <w:shd w:val="clear" w:color="auto" w:fill="auto"/>
            <w:vAlign w:val="center"/>
            <w:hideMark/>
          </w:tcPr>
          <w:p w14:paraId="3F9C78F2"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69" w:type="pct"/>
            <w:shd w:val="clear" w:color="auto" w:fill="auto"/>
            <w:vAlign w:val="center"/>
            <w:hideMark/>
          </w:tcPr>
          <w:p w14:paraId="70D8A498"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2021-9</w:t>
            </w:r>
          </w:p>
        </w:tc>
        <w:tc>
          <w:tcPr>
            <w:tcW w:w="321" w:type="pct"/>
            <w:shd w:val="clear" w:color="auto" w:fill="auto"/>
            <w:vAlign w:val="center"/>
            <w:hideMark/>
          </w:tcPr>
          <w:p w14:paraId="422F3C67"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70" w:type="pct"/>
            <w:shd w:val="clear" w:color="auto" w:fill="auto"/>
            <w:vAlign w:val="center"/>
            <w:hideMark/>
          </w:tcPr>
          <w:p w14:paraId="292D0586"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2021-7</w:t>
            </w:r>
          </w:p>
        </w:tc>
        <w:tc>
          <w:tcPr>
            <w:tcW w:w="320" w:type="pct"/>
            <w:shd w:val="clear" w:color="auto" w:fill="auto"/>
            <w:vAlign w:val="center"/>
            <w:hideMark/>
          </w:tcPr>
          <w:p w14:paraId="3F39B1CF"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7591C" w:rsidRPr="00F631FB" w14:paraId="236ADE41" w14:textId="77777777" w:rsidTr="005D5BB3">
        <w:trPr>
          <w:trHeight w:val="288"/>
          <w:jc w:val="center"/>
        </w:trPr>
        <w:tc>
          <w:tcPr>
            <w:tcW w:w="639" w:type="pct"/>
            <w:gridSpan w:val="2"/>
            <w:shd w:val="clear" w:color="auto" w:fill="auto"/>
            <w:noWrap/>
            <w:vAlign w:val="center"/>
            <w:hideMark/>
          </w:tcPr>
          <w:p w14:paraId="45766B4F"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835" w:type="pct"/>
            <w:shd w:val="clear" w:color="auto" w:fill="auto"/>
            <w:vAlign w:val="center"/>
            <w:hideMark/>
          </w:tcPr>
          <w:p w14:paraId="6AFF8C17"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56" w:type="pct"/>
            <w:shd w:val="clear" w:color="auto" w:fill="auto"/>
            <w:vAlign w:val="center"/>
            <w:hideMark/>
          </w:tcPr>
          <w:p w14:paraId="68AE38C0"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7EC41B40"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321" w:type="pct"/>
            <w:shd w:val="clear" w:color="auto" w:fill="auto"/>
            <w:vAlign w:val="center"/>
            <w:hideMark/>
          </w:tcPr>
          <w:p w14:paraId="44566FF8"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4312518A"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321" w:type="pct"/>
            <w:shd w:val="clear" w:color="auto" w:fill="auto"/>
            <w:vAlign w:val="center"/>
            <w:hideMark/>
          </w:tcPr>
          <w:p w14:paraId="30CEE9CF"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0CEC7967"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320" w:type="pct"/>
            <w:shd w:val="clear" w:color="auto" w:fill="auto"/>
            <w:vAlign w:val="center"/>
            <w:hideMark/>
          </w:tcPr>
          <w:p w14:paraId="66FA17AB"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7591C" w:rsidRPr="00F631FB" w14:paraId="148C2272" w14:textId="77777777" w:rsidTr="005D5BB3">
        <w:trPr>
          <w:trHeight w:val="377"/>
          <w:jc w:val="center"/>
        </w:trPr>
        <w:tc>
          <w:tcPr>
            <w:tcW w:w="639" w:type="pct"/>
            <w:gridSpan w:val="2"/>
            <w:shd w:val="clear" w:color="auto" w:fill="auto"/>
            <w:vAlign w:val="center"/>
            <w:hideMark/>
          </w:tcPr>
          <w:p w14:paraId="55DD2300"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用途</w:t>
            </w:r>
          </w:p>
        </w:tc>
        <w:tc>
          <w:tcPr>
            <w:tcW w:w="835" w:type="pct"/>
            <w:shd w:val="clear" w:color="auto" w:fill="auto"/>
            <w:vAlign w:val="center"/>
            <w:hideMark/>
          </w:tcPr>
          <w:p w14:paraId="1F94AA78"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256" w:type="pct"/>
            <w:shd w:val="clear" w:color="auto" w:fill="auto"/>
            <w:vAlign w:val="center"/>
            <w:hideMark/>
          </w:tcPr>
          <w:p w14:paraId="255C6D8D"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65E3774A"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321" w:type="pct"/>
            <w:shd w:val="clear" w:color="auto" w:fill="auto"/>
            <w:vAlign w:val="center"/>
            <w:hideMark/>
          </w:tcPr>
          <w:p w14:paraId="62642D25"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3824C76C"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321" w:type="pct"/>
            <w:shd w:val="clear" w:color="auto" w:fill="auto"/>
            <w:vAlign w:val="center"/>
            <w:hideMark/>
          </w:tcPr>
          <w:p w14:paraId="7603520C"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786F9210"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320" w:type="pct"/>
            <w:shd w:val="clear" w:color="auto" w:fill="auto"/>
            <w:vAlign w:val="center"/>
            <w:hideMark/>
          </w:tcPr>
          <w:p w14:paraId="6B436BD1"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7591C" w:rsidRPr="00F631FB" w14:paraId="7C1FB724" w14:textId="77777777" w:rsidTr="005D5BB3">
        <w:trPr>
          <w:trHeight w:val="285"/>
          <w:jc w:val="center"/>
        </w:trPr>
        <w:tc>
          <w:tcPr>
            <w:tcW w:w="174" w:type="pct"/>
            <w:vMerge w:val="restart"/>
            <w:vAlign w:val="center"/>
            <w:hideMark/>
          </w:tcPr>
          <w:p w14:paraId="5F122A15" w14:textId="77777777" w:rsidR="0087591C" w:rsidRPr="00F631FB" w:rsidRDefault="0087591C" w:rsidP="005D5BB3">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区域因素</w:t>
            </w:r>
          </w:p>
        </w:tc>
        <w:tc>
          <w:tcPr>
            <w:tcW w:w="465" w:type="pct"/>
            <w:shd w:val="clear" w:color="auto" w:fill="auto"/>
            <w:noWrap/>
            <w:vAlign w:val="center"/>
            <w:hideMark/>
          </w:tcPr>
          <w:p w14:paraId="56E54A15"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835" w:type="pct"/>
            <w:shd w:val="clear" w:color="auto" w:fill="auto"/>
            <w:vAlign w:val="center"/>
            <w:hideMark/>
          </w:tcPr>
          <w:p w14:paraId="3557FB65"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估价对象紧邻城市主干道—海淀南路、苏州街，南距北三环西路约</w:t>
            </w:r>
            <w:r w:rsidRPr="00F21B5D">
              <w:rPr>
                <w:rFonts w:ascii="Arial" w:eastAsia="仿宋_GB2312" w:hAnsi="Arial" w:cs="Arial" w:hint="eastAsia"/>
                <w:sz w:val="18"/>
                <w:szCs w:val="18"/>
              </w:rPr>
              <w:t>1500</w:t>
            </w:r>
            <w:r w:rsidRPr="00F21B5D">
              <w:rPr>
                <w:rFonts w:ascii="Arial" w:eastAsia="仿宋_GB2312" w:hAnsi="Arial" w:cs="Arial" w:hint="eastAsia"/>
                <w:sz w:val="18"/>
                <w:szCs w:val="18"/>
              </w:rPr>
              <w:t>米，距北京首都国际机场约</w:t>
            </w:r>
            <w:r w:rsidRPr="00F21B5D">
              <w:rPr>
                <w:rFonts w:ascii="Arial" w:eastAsia="仿宋_GB2312" w:hAnsi="Arial" w:cs="Arial" w:hint="eastAsia"/>
                <w:sz w:val="18"/>
                <w:szCs w:val="18"/>
              </w:rPr>
              <w:t>29</w:t>
            </w:r>
            <w:r w:rsidRPr="00F21B5D">
              <w:rPr>
                <w:rFonts w:ascii="Arial" w:eastAsia="仿宋_GB2312" w:hAnsi="Arial" w:cs="Arial" w:hint="eastAsia"/>
                <w:sz w:val="18"/>
                <w:szCs w:val="18"/>
              </w:rPr>
              <w:t>公里，距北京站约</w:t>
            </w:r>
            <w:r w:rsidRPr="00F21B5D">
              <w:rPr>
                <w:rFonts w:ascii="Arial" w:eastAsia="仿宋_GB2312" w:hAnsi="Arial" w:cs="Arial" w:hint="eastAsia"/>
                <w:sz w:val="18"/>
                <w:szCs w:val="18"/>
              </w:rPr>
              <w:t>13</w:t>
            </w:r>
            <w:r w:rsidRPr="00F21B5D">
              <w:rPr>
                <w:rFonts w:ascii="Arial" w:eastAsia="仿宋_GB2312" w:hAnsi="Arial" w:cs="Arial" w:hint="eastAsia"/>
                <w:sz w:val="18"/>
                <w:szCs w:val="18"/>
              </w:rPr>
              <w:t>公里，紧邻地铁</w:t>
            </w:r>
            <w:r w:rsidRPr="00F21B5D">
              <w:rPr>
                <w:rFonts w:ascii="Arial" w:eastAsia="仿宋_GB2312" w:hAnsi="Arial" w:cs="Arial" w:hint="eastAsia"/>
                <w:sz w:val="18"/>
                <w:szCs w:val="18"/>
              </w:rPr>
              <w:t>10</w:t>
            </w:r>
            <w:r w:rsidRPr="00F21B5D">
              <w:rPr>
                <w:rFonts w:ascii="Arial" w:eastAsia="仿宋_GB2312" w:hAnsi="Arial" w:cs="Arial" w:hint="eastAsia"/>
                <w:sz w:val="18"/>
                <w:szCs w:val="18"/>
              </w:rPr>
              <w:t>、</w:t>
            </w:r>
            <w:r w:rsidRPr="00F21B5D">
              <w:rPr>
                <w:rFonts w:ascii="Arial" w:eastAsia="仿宋_GB2312" w:hAnsi="Arial" w:cs="Arial" w:hint="eastAsia"/>
                <w:sz w:val="18"/>
                <w:szCs w:val="18"/>
              </w:rPr>
              <w:t>16</w:t>
            </w:r>
            <w:r w:rsidRPr="00F21B5D">
              <w:rPr>
                <w:rFonts w:ascii="Arial" w:eastAsia="仿宋_GB2312" w:hAnsi="Arial" w:cs="Arial" w:hint="eastAsia"/>
                <w:sz w:val="18"/>
                <w:szCs w:val="18"/>
              </w:rPr>
              <w:t>号线（苏州街站），周边有</w:t>
            </w:r>
            <w:r w:rsidRPr="00F21B5D">
              <w:rPr>
                <w:rFonts w:ascii="Arial" w:eastAsia="仿宋_GB2312" w:hAnsi="Arial" w:cs="Arial" w:hint="eastAsia"/>
                <w:sz w:val="18"/>
                <w:szCs w:val="18"/>
              </w:rPr>
              <w:t>304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307</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386</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630</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671</w:t>
            </w:r>
            <w:r w:rsidRPr="00F21B5D">
              <w:rPr>
                <w:rFonts w:ascii="Arial" w:eastAsia="仿宋_GB2312" w:hAnsi="Arial" w:cs="Arial" w:hint="eastAsia"/>
                <w:sz w:val="18"/>
                <w:szCs w:val="18"/>
              </w:rPr>
              <w:t>路等多条公交线路通过，综合评价交通便捷度较好。</w:t>
            </w:r>
          </w:p>
        </w:tc>
        <w:tc>
          <w:tcPr>
            <w:tcW w:w="256" w:type="pct"/>
            <w:shd w:val="clear" w:color="auto" w:fill="auto"/>
            <w:vAlign w:val="center"/>
            <w:hideMark/>
          </w:tcPr>
          <w:p w14:paraId="0B541D86"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34FD4A43"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紧邻城市</w:t>
            </w:r>
            <w:r>
              <w:rPr>
                <w:rFonts w:ascii="Arial" w:eastAsia="仿宋_GB2312" w:hAnsi="Arial" w:cs="Arial" w:hint="eastAsia"/>
                <w:sz w:val="18"/>
                <w:szCs w:val="18"/>
              </w:rPr>
              <w:t>次</w:t>
            </w:r>
            <w:r w:rsidRPr="00F21B5D">
              <w:rPr>
                <w:rFonts w:ascii="Arial" w:eastAsia="仿宋_GB2312" w:hAnsi="Arial" w:cs="Arial" w:hint="eastAsia"/>
                <w:sz w:val="18"/>
                <w:szCs w:val="18"/>
              </w:rPr>
              <w:t>干道—</w:t>
            </w:r>
            <w:r>
              <w:rPr>
                <w:rFonts w:ascii="Arial" w:eastAsia="仿宋_GB2312" w:hAnsi="Arial" w:cs="Arial" w:hint="eastAsia"/>
                <w:sz w:val="18"/>
                <w:szCs w:val="18"/>
              </w:rPr>
              <w:t>采石北路</w:t>
            </w:r>
            <w:r w:rsidRPr="00F21B5D">
              <w:rPr>
                <w:rFonts w:ascii="Arial" w:eastAsia="仿宋_GB2312" w:hAnsi="Arial" w:cs="Arial" w:hint="eastAsia"/>
                <w:sz w:val="18"/>
                <w:szCs w:val="18"/>
              </w:rPr>
              <w:t>，</w:t>
            </w:r>
            <w:r>
              <w:rPr>
                <w:rFonts w:ascii="Arial" w:eastAsia="仿宋_GB2312" w:hAnsi="Arial" w:cs="Arial" w:hint="eastAsia"/>
                <w:sz w:val="18"/>
                <w:szCs w:val="18"/>
              </w:rPr>
              <w:t>临近</w:t>
            </w:r>
            <w:r w:rsidRPr="00F21B5D">
              <w:rPr>
                <w:rFonts w:ascii="Arial" w:eastAsia="仿宋_GB2312" w:hAnsi="Arial" w:cs="Arial" w:hint="eastAsia"/>
                <w:sz w:val="18"/>
                <w:szCs w:val="18"/>
              </w:rPr>
              <w:t>地铁</w:t>
            </w:r>
            <w:r>
              <w:rPr>
                <w:rFonts w:ascii="Arial" w:eastAsia="仿宋_GB2312" w:hAnsi="Arial" w:cs="Arial" w:hint="eastAsia"/>
                <w:sz w:val="18"/>
                <w:szCs w:val="18"/>
              </w:rPr>
              <w:t>6</w:t>
            </w:r>
            <w:r w:rsidRPr="00F21B5D">
              <w:rPr>
                <w:rFonts w:ascii="Arial" w:eastAsia="仿宋_GB2312" w:hAnsi="Arial" w:cs="Arial" w:hint="eastAsia"/>
                <w:sz w:val="18"/>
                <w:szCs w:val="18"/>
              </w:rPr>
              <w:t>号线（</w:t>
            </w:r>
            <w:r>
              <w:rPr>
                <w:rFonts w:ascii="Arial" w:eastAsia="仿宋_GB2312" w:hAnsi="Arial" w:cs="Arial" w:hint="eastAsia"/>
                <w:sz w:val="18"/>
                <w:szCs w:val="18"/>
              </w:rPr>
              <w:t>田村</w:t>
            </w:r>
            <w:r w:rsidRPr="00F21B5D">
              <w:rPr>
                <w:rFonts w:ascii="Arial" w:eastAsia="仿宋_GB2312" w:hAnsi="Arial" w:cs="Arial" w:hint="eastAsia"/>
                <w:sz w:val="18"/>
                <w:szCs w:val="18"/>
              </w:rPr>
              <w:t>站）</w:t>
            </w:r>
            <w:r>
              <w:rPr>
                <w:rFonts w:ascii="Arial" w:eastAsia="仿宋_GB2312" w:hAnsi="Arial" w:cs="Arial" w:hint="eastAsia"/>
                <w:sz w:val="18"/>
                <w:szCs w:val="18"/>
              </w:rPr>
              <w:t>、地铁</w:t>
            </w:r>
            <w:r>
              <w:rPr>
                <w:rFonts w:ascii="Arial" w:eastAsia="仿宋_GB2312" w:hAnsi="Arial" w:cs="Arial" w:hint="eastAsia"/>
                <w:sz w:val="18"/>
                <w:szCs w:val="18"/>
              </w:rPr>
              <w:t>1</w:t>
            </w:r>
            <w:r>
              <w:rPr>
                <w:rFonts w:ascii="Arial" w:eastAsia="仿宋_GB2312" w:hAnsi="Arial" w:cs="Arial" w:hint="eastAsia"/>
                <w:sz w:val="18"/>
                <w:szCs w:val="18"/>
              </w:rPr>
              <w:t>号线</w:t>
            </w:r>
            <w:r w:rsidRPr="00F21B5D">
              <w:rPr>
                <w:rFonts w:ascii="Arial" w:eastAsia="仿宋_GB2312" w:hAnsi="Arial" w:cs="Arial" w:hint="eastAsia"/>
                <w:sz w:val="18"/>
                <w:szCs w:val="18"/>
              </w:rPr>
              <w:t>（</w:t>
            </w:r>
            <w:r>
              <w:rPr>
                <w:rFonts w:ascii="Arial" w:eastAsia="仿宋_GB2312" w:hAnsi="Arial" w:cs="Arial" w:hint="eastAsia"/>
                <w:sz w:val="18"/>
                <w:szCs w:val="18"/>
              </w:rPr>
              <w:t>玉泉路</w:t>
            </w:r>
            <w:r w:rsidRPr="00F21B5D">
              <w:rPr>
                <w:rFonts w:ascii="Arial" w:eastAsia="仿宋_GB2312" w:hAnsi="Arial" w:cs="Arial" w:hint="eastAsia"/>
                <w:sz w:val="18"/>
                <w:szCs w:val="18"/>
              </w:rPr>
              <w:t>站），周边有</w:t>
            </w:r>
            <w:r>
              <w:rPr>
                <w:rFonts w:ascii="Arial" w:eastAsia="仿宋_GB2312" w:hAnsi="Arial" w:cs="Arial"/>
                <w:sz w:val="18"/>
                <w:szCs w:val="18"/>
              </w:rPr>
              <w:t>78</w:t>
            </w:r>
            <w:r w:rsidRPr="00F21B5D">
              <w:rPr>
                <w:rFonts w:ascii="Arial" w:eastAsia="仿宋_GB2312" w:hAnsi="Arial" w:cs="Arial" w:hint="eastAsia"/>
                <w:sz w:val="18"/>
                <w:szCs w:val="18"/>
              </w:rPr>
              <w:t>路、</w:t>
            </w:r>
            <w:r>
              <w:rPr>
                <w:rFonts w:ascii="Arial" w:eastAsia="仿宋_GB2312" w:hAnsi="Arial" w:cs="Arial" w:hint="eastAsia"/>
                <w:sz w:val="18"/>
                <w:szCs w:val="18"/>
              </w:rPr>
              <w:t>4</w:t>
            </w:r>
            <w:r>
              <w:rPr>
                <w:rFonts w:ascii="Arial" w:eastAsia="仿宋_GB2312" w:hAnsi="Arial" w:cs="Arial"/>
                <w:sz w:val="18"/>
                <w:szCs w:val="18"/>
              </w:rPr>
              <w:t>81</w:t>
            </w:r>
            <w:r w:rsidRPr="00F21B5D">
              <w:rPr>
                <w:rFonts w:ascii="Arial" w:eastAsia="仿宋_GB2312" w:hAnsi="Arial" w:cs="Arial" w:hint="eastAsia"/>
                <w:sz w:val="18"/>
                <w:szCs w:val="18"/>
              </w:rPr>
              <w:t>路、</w:t>
            </w:r>
            <w:r>
              <w:rPr>
                <w:rFonts w:ascii="Arial" w:eastAsia="仿宋_GB2312" w:hAnsi="Arial" w:cs="Arial" w:hint="eastAsia"/>
                <w:sz w:val="18"/>
                <w:szCs w:val="18"/>
              </w:rPr>
              <w:t>5</w:t>
            </w:r>
            <w:r>
              <w:rPr>
                <w:rFonts w:ascii="Arial" w:eastAsia="仿宋_GB2312" w:hAnsi="Arial" w:cs="Arial"/>
                <w:sz w:val="18"/>
                <w:szCs w:val="18"/>
              </w:rPr>
              <w:t>07</w:t>
            </w:r>
            <w:r w:rsidRPr="00F21B5D">
              <w:rPr>
                <w:rFonts w:ascii="Arial" w:eastAsia="仿宋_GB2312" w:hAnsi="Arial" w:cs="Arial" w:hint="eastAsia"/>
                <w:sz w:val="18"/>
                <w:szCs w:val="18"/>
              </w:rPr>
              <w:t>路、</w:t>
            </w:r>
            <w:r>
              <w:rPr>
                <w:rFonts w:ascii="Arial" w:eastAsia="仿宋_GB2312" w:hAnsi="Arial" w:cs="Arial"/>
                <w:sz w:val="18"/>
                <w:szCs w:val="18"/>
              </w:rPr>
              <w:t>568</w:t>
            </w:r>
            <w:r w:rsidRPr="00F21B5D">
              <w:rPr>
                <w:rFonts w:ascii="Arial" w:eastAsia="仿宋_GB2312" w:hAnsi="Arial" w:cs="Arial" w:hint="eastAsia"/>
                <w:sz w:val="18"/>
                <w:szCs w:val="18"/>
              </w:rPr>
              <w:t>路、</w:t>
            </w:r>
            <w:r>
              <w:rPr>
                <w:rFonts w:ascii="Arial" w:eastAsia="仿宋_GB2312" w:hAnsi="Arial" w:cs="Arial"/>
                <w:sz w:val="18"/>
                <w:szCs w:val="18"/>
              </w:rPr>
              <w:t>612</w:t>
            </w:r>
            <w:r w:rsidRPr="00F21B5D">
              <w:rPr>
                <w:rFonts w:ascii="Arial" w:eastAsia="仿宋_GB2312" w:hAnsi="Arial" w:cs="Arial" w:hint="eastAsia"/>
                <w:sz w:val="18"/>
                <w:szCs w:val="18"/>
              </w:rPr>
              <w:t>路、</w:t>
            </w:r>
            <w:r>
              <w:rPr>
                <w:rFonts w:ascii="Arial" w:eastAsia="仿宋_GB2312" w:hAnsi="Arial" w:cs="Arial"/>
                <w:sz w:val="18"/>
                <w:szCs w:val="18"/>
              </w:rPr>
              <w:t>644</w:t>
            </w:r>
            <w:r w:rsidRPr="00F21B5D">
              <w:rPr>
                <w:rFonts w:ascii="Arial" w:eastAsia="仿宋_GB2312" w:hAnsi="Arial" w:cs="Arial" w:hint="eastAsia"/>
                <w:sz w:val="18"/>
                <w:szCs w:val="18"/>
              </w:rPr>
              <w:t>路等多条公交线路通过，综合评价交通便捷度较好。</w:t>
            </w:r>
          </w:p>
        </w:tc>
        <w:tc>
          <w:tcPr>
            <w:tcW w:w="321" w:type="pct"/>
            <w:shd w:val="clear" w:color="auto" w:fill="auto"/>
            <w:vAlign w:val="center"/>
            <w:hideMark/>
          </w:tcPr>
          <w:p w14:paraId="7416C919"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69" w:type="pct"/>
            <w:shd w:val="clear" w:color="auto" w:fill="auto"/>
            <w:vAlign w:val="center"/>
            <w:hideMark/>
          </w:tcPr>
          <w:p w14:paraId="292DBF57"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临近</w:t>
            </w:r>
            <w:r w:rsidRPr="00F21B5D">
              <w:rPr>
                <w:rFonts w:ascii="Arial" w:eastAsia="仿宋_GB2312" w:hAnsi="Arial" w:cs="Arial" w:hint="eastAsia"/>
                <w:sz w:val="18"/>
                <w:szCs w:val="18"/>
              </w:rPr>
              <w:t>城市</w:t>
            </w:r>
            <w:r>
              <w:rPr>
                <w:rFonts w:ascii="Arial" w:eastAsia="仿宋_GB2312" w:hAnsi="Arial" w:cs="Arial" w:hint="eastAsia"/>
                <w:sz w:val="18"/>
                <w:szCs w:val="18"/>
              </w:rPr>
              <w:t>次</w:t>
            </w:r>
            <w:r w:rsidRPr="00F21B5D">
              <w:rPr>
                <w:rFonts w:ascii="Arial" w:eastAsia="仿宋_GB2312" w:hAnsi="Arial" w:cs="Arial" w:hint="eastAsia"/>
                <w:sz w:val="18"/>
                <w:szCs w:val="18"/>
              </w:rPr>
              <w:t>干道—</w:t>
            </w:r>
            <w:r>
              <w:rPr>
                <w:rFonts w:ascii="Arial" w:eastAsia="仿宋_GB2312" w:hAnsi="Arial" w:cs="Arial" w:hint="eastAsia"/>
                <w:sz w:val="18"/>
                <w:szCs w:val="18"/>
              </w:rPr>
              <w:t>安宁庄东路</w:t>
            </w:r>
            <w:r w:rsidRPr="00F21B5D">
              <w:rPr>
                <w:rFonts w:ascii="Arial" w:eastAsia="仿宋_GB2312" w:hAnsi="Arial" w:cs="Arial" w:hint="eastAsia"/>
                <w:sz w:val="18"/>
                <w:szCs w:val="18"/>
              </w:rPr>
              <w:t>，</w:t>
            </w:r>
            <w:r>
              <w:rPr>
                <w:rFonts w:ascii="Arial" w:eastAsia="仿宋_GB2312" w:hAnsi="Arial" w:cs="Arial" w:hint="eastAsia"/>
                <w:sz w:val="18"/>
                <w:szCs w:val="18"/>
              </w:rPr>
              <w:t>2</w:t>
            </w:r>
            <w:r>
              <w:rPr>
                <w:rFonts w:ascii="Arial" w:eastAsia="仿宋_GB2312" w:hAnsi="Arial" w:cs="Arial" w:hint="eastAsia"/>
                <w:sz w:val="18"/>
                <w:szCs w:val="18"/>
              </w:rPr>
              <w:t>公里范围内无轨道交通</w:t>
            </w:r>
            <w:r w:rsidRPr="00F21B5D">
              <w:rPr>
                <w:rFonts w:ascii="Arial" w:eastAsia="仿宋_GB2312" w:hAnsi="Arial" w:cs="Arial" w:hint="eastAsia"/>
                <w:sz w:val="18"/>
                <w:szCs w:val="18"/>
              </w:rPr>
              <w:t>，周边有</w:t>
            </w:r>
            <w:r>
              <w:rPr>
                <w:rFonts w:ascii="Arial" w:eastAsia="仿宋_GB2312" w:hAnsi="Arial" w:cs="Arial"/>
                <w:sz w:val="18"/>
                <w:szCs w:val="18"/>
              </w:rPr>
              <w:t>333</w:t>
            </w:r>
            <w:r w:rsidRPr="00F21B5D">
              <w:rPr>
                <w:rFonts w:ascii="Arial" w:eastAsia="仿宋_GB2312" w:hAnsi="Arial" w:cs="Arial" w:hint="eastAsia"/>
                <w:sz w:val="18"/>
                <w:szCs w:val="18"/>
              </w:rPr>
              <w:t>路、</w:t>
            </w:r>
            <w:r>
              <w:rPr>
                <w:rFonts w:ascii="Arial" w:eastAsia="仿宋_GB2312" w:hAnsi="Arial" w:cs="Arial"/>
                <w:sz w:val="18"/>
                <w:szCs w:val="18"/>
              </w:rPr>
              <w:t>392</w:t>
            </w:r>
            <w:r w:rsidRPr="00F21B5D">
              <w:rPr>
                <w:rFonts w:ascii="Arial" w:eastAsia="仿宋_GB2312" w:hAnsi="Arial" w:cs="Arial" w:hint="eastAsia"/>
                <w:sz w:val="18"/>
                <w:szCs w:val="18"/>
              </w:rPr>
              <w:t>路、</w:t>
            </w:r>
            <w:r>
              <w:rPr>
                <w:rFonts w:ascii="Arial" w:eastAsia="仿宋_GB2312" w:hAnsi="Arial" w:cs="Arial" w:hint="eastAsia"/>
                <w:sz w:val="18"/>
                <w:szCs w:val="18"/>
              </w:rPr>
              <w:t>4</w:t>
            </w:r>
            <w:r>
              <w:rPr>
                <w:rFonts w:ascii="Arial" w:eastAsia="仿宋_GB2312" w:hAnsi="Arial" w:cs="Arial"/>
                <w:sz w:val="18"/>
                <w:szCs w:val="18"/>
              </w:rPr>
              <w:t>32</w:t>
            </w:r>
            <w:r w:rsidRPr="00F21B5D">
              <w:rPr>
                <w:rFonts w:ascii="Arial" w:eastAsia="仿宋_GB2312" w:hAnsi="Arial" w:cs="Arial" w:hint="eastAsia"/>
                <w:sz w:val="18"/>
                <w:szCs w:val="18"/>
              </w:rPr>
              <w:t>路、</w:t>
            </w:r>
            <w:r>
              <w:rPr>
                <w:rFonts w:ascii="Arial" w:eastAsia="仿宋_GB2312" w:hAnsi="Arial" w:cs="Arial"/>
                <w:sz w:val="18"/>
                <w:szCs w:val="18"/>
              </w:rPr>
              <w:t>618</w:t>
            </w:r>
            <w:r w:rsidRPr="00F21B5D">
              <w:rPr>
                <w:rFonts w:ascii="Arial" w:eastAsia="仿宋_GB2312" w:hAnsi="Arial" w:cs="Arial" w:hint="eastAsia"/>
                <w:sz w:val="18"/>
                <w:szCs w:val="18"/>
              </w:rPr>
              <w:t>路、</w:t>
            </w:r>
            <w:r>
              <w:rPr>
                <w:rFonts w:ascii="Arial" w:eastAsia="仿宋_GB2312" w:hAnsi="Arial" w:cs="Arial"/>
                <w:sz w:val="18"/>
                <w:szCs w:val="18"/>
              </w:rPr>
              <w:t>681</w:t>
            </w:r>
            <w:r w:rsidRPr="00F21B5D">
              <w:rPr>
                <w:rFonts w:ascii="Arial" w:eastAsia="仿宋_GB2312" w:hAnsi="Arial" w:cs="Arial" w:hint="eastAsia"/>
                <w:sz w:val="18"/>
                <w:szCs w:val="18"/>
              </w:rPr>
              <w:t>路等多条公交线路通过，综合评价交通便捷度</w:t>
            </w:r>
            <w:r>
              <w:rPr>
                <w:rFonts w:ascii="Arial" w:eastAsia="仿宋_GB2312" w:hAnsi="Arial" w:cs="Arial" w:hint="eastAsia"/>
                <w:sz w:val="18"/>
                <w:szCs w:val="18"/>
              </w:rPr>
              <w:t>一般</w:t>
            </w:r>
            <w:r w:rsidRPr="00F21B5D">
              <w:rPr>
                <w:rFonts w:ascii="Arial" w:eastAsia="仿宋_GB2312" w:hAnsi="Arial" w:cs="Arial" w:hint="eastAsia"/>
                <w:sz w:val="18"/>
                <w:szCs w:val="18"/>
              </w:rPr>
              <w:t>。</w:t>
            </w:r>
          </w:p>
        </w:tc>
        <w:tc>
          <w:tcPr>
            <w:tcW w:w="321" w:type="pct"/>
            <w:shd w:val="clear" w:color="auto" w:fill="auto"/>
            <w:vAlign w:val="center"/>
            <w:hideMark/>
          </w:tcPr>
          <w:p w14:paraId="5B123ECD"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99.5</w:t>
            </w:r>
          </w:p>
        </w:tc>
        <w:tc>
          <w:tcPr>
            <w:tcW w:w="770" w:type="pct"/>
            <w:shd w:val="clear" w:color="auto" w:fill="auto"/>
            <w:vAlign w:val="center"/>
            <w:hideMark/>
          </w:tcPr>
          <w:p w14:paraId="66002246"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紧邻城市主干道—</w:t>
            </w:r>
            <w:r>
              <w:rPr>
                <w:rFonts w:ascii="Arial" w:eastAsia="仿宋_GB2312" w:hAnsi="Arial" w:cs="Arial" w:hint="eastAsia"/>
                <w:sz w:val="18"/>
                <w:szCs w:val="18"/>
              </w:rPr>
              <w:t>玲珑路</w:t>
            </w:r>
            <w:r w:rsidRPr="00F21B5D">
              <w:rPr>
                <w:rFonts w:ascii="Arial" w:eastAsia="仿宋_GB2312" w:hAnsi="Arial" w:cs="Arial" w:hint="eastAsia"/>
                <w:sz w:val="18"/>
                <w:szCs w:val="18"/>
              </w:rPr>
              <w:t>，</w:t>
            </w:r>
            <w:r>
              <w:rPr>
                <w:rFonts w:ascii="Arial" w:eastAsia="仿宋_GB2312" w:hAnsi="Arial" w:cs="Arial" w:hint="eastAsia"/>
                <w:sz w:val="18"/>
                <w:szCs w:val="18"/>
              </w:rPr>
              <w:t>紧邻</w:t>
            </w:r>
            <w:r w:rsidRPr="00F21B5D">
              <w:rPr>
                <w:rFonts w:ascii="Arial" w:eastAsia="仿宋_GB2312" w:hAnsi="Arial" w:cs="Arial" w:hint="eastAsia"/>
                <w:sz w:val="18"/>
                <w:szCs w:val="18"/>
              </w:rPr>
              <w:t>地铁</w:t>
            </w:r>
            <w:r w:rsidRPr="00F21B5D">
              <w:rPr>
                <w:rFonts w:ascii="Arial" w:eastAsia="仿宋_GB2312" w:hAnsi="Arial" w:cs="Arial" w:hint="eastAsia"/>
                <w:sz w:val="18"/>
                <w:szCs w:val="18"/>
              </w:rPr>
              <w:t>6</w:t>
            </w:r>
            <w:r w:rsidRPr="00F21B5D">
              <w:rPr>
                <w:rFonts w:ascii="Arial" w:eastAsia="仿宋_GB2312" w:hAnsi="Arial" w:cs="Arial" w:hint="eastAsia"/>
                <w:sz w:val="18"/>
                <w:szCs w:val="18"/>
              </w:rPr>
              <w:t>号线（</w:t>
            </w:r>
            <w:r>
              <w:rPr>
                <w:rFonts w:ascii="Arial" w:eastAsia="仿宋_GB2312" w:hAnsi="Arial" w:cs="Arial" w:hint="eastAsia"/>
                <w:sz w:val="18"/>
                <w:szCs w:val="18"/>
              </w:rPr>
              <w:t>慈寿寺</w:t>
            </w:r>
            <w:r w:rsidRPr="00F21B5D">
              <w:rPr>
                <w:rFonts w:ascii="Arial" w:eastAsia="仿宋_GB2312" w:hAnsi="Arial" w:cs="Arial" w:hint="eastAsia"/>
                <w:sz w:val="18"/>
                <w:szCs w:val="18"/>
              </w:rPr>
              <w:t>站），周边有</w:t>
            </w:r>
            <w:r>
              <w:rPr>
                <w:rFonts w:ascii="Arial" w:eastAsia="仿宋_GB2312" w:hAnsi="Arial" w:cs="Arial"/>
                <w:sz w:val="18"/>
                <w:szCs w:val="18"/>
              </w:rPr>
              <w:t>33</w:t>
            </w:r>
            <w:r w:rsidRPr="00F21B5D">
              <w:rPr>
                <w:rFonts w:ascii="Arial" w:eastAsia="仿宋_GB2312" w:hAnsi="Arial" w:cs="Arial" w:hint="eastAsia"/>
                <w:sz w:val="18"/>
                <w:szCs w:val="18"/>
              </w:rPr>
              <w:t>路、</w:t>
            </w:r>
            <w:r>
              <w:rPr>
                <w:rFonts w:ascii="Arial" w:eastAsia="仿宋_GB2312" w:hAnsi="Arial" w:cs="Arial"/>
                <w:sz w:val="18"/>
                <w:szCs w:val="18"/>
              </w:rPr>
              <w:t>40</w:t>
            </w:r>
            <w:r w:rsidRPr="00F21B5D">
              <w:rPr>
                <w:rFonts w:ascii="Arial" w:eastAsia="仿宋_GB2312" w:hAnsi="Arial" w:cs="Arial" w:hint="eastAsia"/>
                <w:sz w:val="18"/>
                <w:szCs w:val="18"/>
              </w:rPr>
              <w:t>路、</w:t>
            </w:r>
            <w:r>
              <w:rPr>
                <w:rFonts w:ascii="Arial" w:eastAsia="仿宋_GB2312" w:hAnsi="Arial" w:cs="Arial"/>
                <w:sz w:val="18"/>
                <w:szCs w:val="18"/>
              </w:rPr>
              <w:t>61</w:t>
            </w:r>
            <w:r w:rsidRPr="00F21B5D">
              <w:rPr>
                <w:rFonts w:ascii="Arial" w:eastAsia="仿宋_GB2312" w:hAnsi="Arial" w:cs="Arial" w:hint="eastAsia"/>
                <w:sz w:val="18"/>
                <w:szCs w:val="18"/>
              </w:rPr>
              <w:t>路、</w:t>
            </w:r>
            <w:r>
              <w:rPr>
                <w:rFonts w:ascii="Arial" w:eastAsia="仿宋_GB2312" w:hAnsi="Arial" w:cs="Arial"/>
                <w:sz w:val="18"/>
                <w:szCs w:val="18"/>
              </w:rPr>
              <w:t>73</w:t>
            </w:r>
            <w:r w:rsidRPr="00F21B5D">
              <w:rPr>
                <w:rFonts w:ascii="Arial" w:eastAsia="仿宋_GB2312" w:hAnsi="Arial" w:cs="Arial" w:hint="eastAsia"/>
                <w:sz w:val="18"/>
                <w:szCs w:val="18"/>
              </w:rPr>
              <w:t>路、</w:t>
            </w:r>
            <w:r>
              <w:rPr>
                <w:rFonts w:ascii="Arial" w:eastAsia="仿宋_GB2312" w:hAnsi="Arial" w:cs="Arial"/>
                <w:sz w:val="18"/>
                <w:szCs w:val="18"/>
              </w:rPr>
              <w:t>85</w:t>
            </w:r>
            <w:r w:rsidRPr="00F21B5D">
              <w:rPr>
                <w:rFonts w:ascii="Arial" w:eastAsia="仿宋_GB2312" w:hAnsi="Arial" w:cs="Arial" w:hint="eastAsia"/>
                <w:sz w:val="18"/>
                <w:szCs w:val="18"/>
              </w:rPr>
              <w:t>路、</w:t>
            </w:r>
            <w:r>
              <w:rPr>
                <w:rFonts w:ascii="Arial" w:eastAsia="仿宋_GB2312" w:hAnsi="Arial" w:cs="Arial" w:hint="eastAsia"/>
                <w:sz w:val="18"/>
                <w:szCs w:val="18"/>
              </w:rPr>
              <w:t>4</w:t>
            </w:r>
            <w:r>
              <w:rPr>
                <w:rFonts w:ascii="Arial" w:eastAsia="仿宋_GB2312" w:hAnsi="Arial" w:cs="Arial"/>
                <w:sz w:val="18"/>
                <w:szCs w:val="18"/>
              </w:rPr>
              <w:t>81</w:t>
            </w:r>
            <w:r w:rsidRPr="00F21B5D">
              <w:rPr>
                <w:rFonts w:ascii="Arial" w:eastAsia="仿宋_GB2312" w:hAnsi="Arial" w:cs="Arial" w:hint="eastAsia"/>
                <w:sz w:val="18"/>
                <w:szCs w:val="18"/>
              </w:rPr>
              <w:t>路等多条公交线路通过，综合评价交通便捷度较好。</w:t>
            </w:r>
          </w:p>
        </w:tc>
        <w:tc>
          <w:tcPr>
            <w:tcW w:w="320" w:type="pct"/>
            <w:shd w:val="clear" w:color="auto" w:fill="auto"/>
            <w:vAlign w:val="center"/>
            <w:hideMark/>
          </w:tcPr>
          <w:p w14:paraId="2E2FD589"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87591C" w:rsidRPr="00F631FB" w14:paraId="02A6E10E" w14:textId="77777777" w:rsidTr="005D5BB3">
        <w:trPr>
          <w:trHeight w:val="2956"/>
          <w:jc w:val="center"/>
        </w:trPr>
        <w:tc>
          <w:tcPr>
            <w:tcW w:w="174" w:type="pct"/>
            <w:vMerge/>
            <w:vAlign w:val="center"/>
            <w:hideMark/>
          </w:tcPr>
          <w:p w14:paraId="67C1E021" w14:textId="77777777" w:rsidR="0087591C" w:rsidRPr="00F631FB" w:rsidRDefault="0087591C" w:rsidP="005D5BB3">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13C03C2A"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835" w:type="pct"/>
            <w:shd w:val="clear" w:color="auto" w:fill="auto"/>
            <w:vAlign w:val="center"/>
            <w:hideMark/>
          </w:tcPr>
          <w:p w14:paraId="50D0D97E" w14:textId="77777777" w:rsidR="0087591C" w:rsidRPr="00F631FB" w:rsidRDefault="0087591C" w:rsidP="005D5BB3">
            <w:pPr>
              <w:jc w:val="center"/>
              <w:rPr>
                <w:rFonts w:ascii="Arial" w:eastAsia="仿宋_GB2312" w:hAnsi="Arial" w:cs="Arial"/>
                <w:sz w:val="18"/>
                <w:szCs w:val="18"/>
              </w:rPr>
            </w:pPr>
            <w:r w:rsidRPr="00F21B5D">
              <w:rPr>
                <w:rFonts w:ascii="Arial" w:eastAsia="仿宋_GB2312" w:hAnsi="Arial" w:cs="Arial" w:hint="eastAsia"/>
                <w:sz w:val="18"/>
                <w:szCs w:val="18"/>
              </w:rPr>
              <w:t>购物场所（新中关购物中心、</w:t>
            </w:r>
            <w:proofErr w:type="gramStart"/>
            <w:r w:rsidRPr="00F21B5D">
              <w:rPr>
                <w:rFonts w:ascii="Arial" w:eastAsia="仿宋_GB2312" w:hAnsi="Arial" w:cs="Arial" w:hint="eastAsia"/>
                <w:sz w:val="18"/>
                <w:szCs w:val="18"/>
              </w:rPr>
              <w:t>领展购物</w:t>
            </w:r>
            <w:proofErr w:type="gramEnd"/>
            <w:r w:rsidRPr="00F21B5D">
              <w:rPr>
                <w:rFonts w:ascii="Arial" w:eastAsia="仿宋_GB2312" w:hAnsi="Arial" w:cs="Arial" w:hint="eastAsia"/>
                <w:sz w:val="18"/>
                <w:szCs w:val="18"/>
              </w:rPr>
              <w:t>广场（中关村店）、</w:t>
            </w:r>
            <w:r w:rsidRPr="00F21B5D">
              <w:rPr>
                <w:rFonts w:ascii="Arial" w:eastAsia="仿宋_GB2312" w:hAnsi="Arial" w:cs="Arial" w:hint="eastAsia"/>
                <w:sz w:val="18"/>
                <w:szCs w:val="18"/>
              </w:rPr>
              <w:t>BHG MALL</w:t>
            </w:r>
            <w:r w:rsidRPr="00F21B5D">
              <w:rPr>
                <w:rFonts w:ascii="Arial" w:eastAsia="仿宋_GB2312" w:hAnsi="Arial" w:cs="Arial" w:hint="eastAsia"/>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w:t>
            </w:r>
            <w:r w:rsidRPr="00F21B5D">
              <w:rPr>
                <w:rFonts w:ascii="Arial" w:eastAsia="仿宋_GB2312" w:hAnsi="Arial" w:cs="Arial" w:hint="eastAsia"/>
                <w:sz w:val="18"/>
                <w:szCs w:val="18"/>
              </w:rPr>
              <w:lastRenderedPageBreak/>
              <w:t>行）、兴业银行（海淀支行）、中国民生银行（北京苏州街支行）、中国农业银行（海淀大街支行）等），综合分析，公共配套设施齐备程度较好。</w:t>
            </w:r>
          </w:p>
        </w:tc>
        <w:tc>
          <w:tcPr>
            <w:tcW w:w="256" w:type="pct"/>
            <w:shd w:val="clear" w:color="auto" w:fill="auto"/>
            <w:vAlign w:val="center"/>
            <w:hideMark/>
          </w:tcPr>
          <w:p w14:paraId="7734A67D"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lastRenderedPageBreak/>
              <w:t>100</w:t>
            </w:r>
          </w:p>
        </w:tc>
        <w:tc>
          <w:tcPr>
            <w:tcW w:w="769" w:type="pct"/>
            <w:shd w:val="clear" w:color="auto" w:fill="auto"/>
            <w:vAlign w:val="center"/>
            <w:hideMark/>
          </w:tcPr>
          <w:p w14:paraId="39E402F2"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购物场所（</w:t>
            </w:r>
            <w:r>
              <w:rPr>
                <w:rFonts w:ascii="Arial" w:eastAsia="仿宋_GB2312" w:hAnsi="Arial" w:cs="Arial" w:hint="eastAsia"/>
                <w:sz w:val="18"/>
                <w:szCs w:val="18"/>
              </w:rPr>
              <w:t>金泰商厦、</w:t>
            </w:r>
            <w:proofErr w:type="gramStart"/>
            <w:r>
              <w:rPr>
                <w:rFonts w:ascii="Arial" w:eastAsia="仿宋_GB2312" w:hAnsi="Arial" w:cs="Arial" w:hint="eastAsia"/>
                <w:sz w:val="18"/>
                <w:szCs w:val="18"/>
              </w:rPr>
              <w:t>京粮广场</w:t>
            </w:r>
            <w:proofErr w:type="gramEnd"/>
            <w:r>
              <w:rPr>
                <w:rFonts w:ascii="Arial" w:eastAsia="仿宋_GB2312" w:hAnsi="Arial" w:cs="Arial" w:hint="eastAsia"/>
                <w:sz w:val="18"/>
                <w:szCs w:val="18"/>
              </w:rPr>
              <w:t>、西点茂购物中心</w:t>
            </w:r>
            <w:r w:rsidRPr="00F21B5D">
              <w:rPr>
                <w:rFonts w:ascii="Arial" w:eastAsia="仿宋_GB2312" w:hAnsi="Arial" w:cs="Arial" w:hint="eastAsia"/>
                <w:sz w:val="18"/>
                <w:szCs w:val="18"/>
              </w:rPr>
              <w:t>等）；学校（</w:t>
            </w:r>
            <w:r>
              <w:rPr>
                <w:rFonts w:ascii="Arial" w:eastAsia="仿宋_GB2312" w:hAnsi="Arial" w:cs="Arial" w:hint="eastAsia"/>
                <w:sz w:val="18"/>
                <w:szCs w:val="18"/>
              </w:rPr>
              <w:t>北京市十一学校、首都师范大学附属中学（第一分校）、北京教育学院附属海淀实验小学、中国科学院附属玉泉小学</w:t>
            </w:r>
            <w:r w:rsidRPr="00F21B5D">
              <w:rPr>
                <w:rFonts w:ascii="Arial" w:eastAsia="仿宋_GB2312" w:hAnsi="Arial" w:cs="Arial" w:hint="eastAsia"/>
                <w:sz w:val="18"/>
                <w:szCs w:val="18"/>
              </w:rPr>
              <w:t>等）；医院（</w:t>
            </w:r>
            <w:r>
              <w:rPr>
                <w:rFonts w:ascii="Arial" w:eastAsia="仿宋_GB2312" w:hAnsi="Arial" w:cs="Arial" w:hint="eastAsia"/>
                <w:sz w:val="18"/>
                <w:szCs w:val="18"/>
              </w:rPr>
              <w:t>航天中心医院、解放军总医院第三医学中心、清华大学玉泉医院、北京裕和中西医结合康复医院</w:t>
            </w:r>
            <w:r w:rsidRPr="00F21B5D">
              <w:rPr>
                <w:rFonts w:ascii="Arial" w:eastAsia="仿宋_GB2312" w:hAnsi="Arial" w:cs="Arial" w:hint="eastAsia"/>
                <w:sz w:val="18"/>
                <w:szCs w:val="18"/>
              </w:rPr>
              <w:t>等）；银行（</w:t>
            </w:r>
            <w:r>
              <w:rPr>
                <w:rFonts w:ascii="Arial" w:eastAsia="仿宋_GB2312" w:hAnsi="Arial" w:cs="Arial" w:hint="eastAsia"/>
                <w:sz w:val="18"/>
                <w:szCs w:val="18"/>
              </w:rPr>
              <w:t>北京市农村商业银行（</w:t>
            </w:r>
            <w:proofErr w:type="gramStart"/>
            <w:r>
              <w:rPr>
                <w:rFonts w:ascii="Arial" w:eastAsia="仿宋_GB2312" w:hAnsi="Arial" w:cs="Arial" w:hint="eastAsia"/>
                <w:sz w:val="18"/>
                <w:szCs w:val="18"/>
              </w:rPr>
              <w:t>铁家坟分理</w:t>
            </w:r>
            <w:r>
              <w:rPr>
                <w:rFonts w:ascii="Arial" w:eastAsia="仿宋_GB2312" w:hAnsi="Arial" w:cs="Arial" w:hint="eastAsia"/>
                <w:sz w:val="18"/>
                <w:szCs w:val="18"/>
              </w:rPr>
              <w:lastRenderedPageBreak/>
              <w:t>处</w:t>
            </w:r>
            <w:proofErr w:type="gramEnd"/>
            <w:r>
              <w:rPr>
                <w:rFonts w:ascii="Arial" w:eastAsia="仿宋_GB2312" w:hAnsi="Arial" w:cs="Arial" w:hint="eastAsia"/>
                <w:sz w:val="18"/>
                <w:szCs w:val="18"/>
              </w:rPr>
              <w:t>）、中国邮政储蓄银行（</w:t>
            </w:r>
            <w:proofErr w:type="gramStart"/>
            <w:r>
              <w:rPr>
                <w:rFonts w:ascii="Arial" w:eastAsia="仿宋_GB2312" w:hAnsi="Arial" w:cs="Arial" w:hint="eastAsia"/>
                <w:sz w:val="18"/>
                <w:szCs w:val="18"/>
              </w:rPr>
              <w:t>铁家坟营业所</w:t>
            </w:r>
            <w:proofErr w:type="gramEnd"/>
            <w:r>
              <w:rPr>
                <w:rFonts w:ascii="Arial" w:eastAsia="仿宋_GB2312" w:hAnsi="Arial" w:cs="Arial" w:hint="eastAsia"/>
                <w:sz w:val="18"/>
                <w:szCs w:val="18"/>
              </w:rPr>
              <w:t>）、中国工商银行（北京玉海园支行）</w:t>
            </w:r>
            <w:r w:rsidRPr="00F21B5D">
              <w:rPr>
                <w:rFonts w:ascii="Arial" w:eastAsia="仿宋_GB2312" w:hAnsi="Arial" w:cs="Arial" w:hint="eastAsia"/>
                <w:sz w:val="18"/>
                <w:szCs w:val="18"/>
              </w:rPr>
              <w:t>等），综合分析，公共配套设施齐备程度较好。</w:t>
            </w:r>
          </w:p>
        </w:tc>
        <w:tc>
          <w:tcPr>
            <w:tcW w:w="321" w:type="pct"/>
            <w:shd w:val="clear" w:color="auto" w:fill="auto"/>
            <w:vAlign w:val="center"/>
            <w:hideMark/>
          </w:tcPr>
          <w:p w14:paraId="7B51C95D"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lastRenderedPageBreak/>
              <w:t>100</w:t>
            </w:r>
          </w:p>
        </w:tc>
        <w:tc>
          <w:tcPr>
            <w:tcW w:w="769" w:type="pct"/>
            <w:shd w:val="clear" w:color="auto" w:fill="auto"/>
            <w:vAlign w:val="center"/>
            <w:hideMark/>
          </w:tcPr>
          <w:p w14:paraId="0BA6F19F" w14:textId="77777777" w:rsidR="0087591C" w:rsidRPr="00F631FB" w:rsidRDefault="0087591C" w:rsidP="005D5BB3">
            <w:pPr>
              <w:jc w:val="center"/>
              <w:rPr>
                <w:rFonts w:ascii="Arial" w:eastAsia="仿宋_GB2312" w:hAnsi="Arial" w:cs="Arial"/>
                <w:sz w:val="18"/>
                <w:szCs w:val="18"/>
              </w:rPr>
            </w:pPr>
            <w:r w:rsidRPr="00F21B5D">
              <w:rPr>
                <w:rFonts w:ascii="Arial" w:eastAsia="仿宋_GB2312" w:hAnsi="Arial" w:cs="Arial" w:hint="eastAsia"/>
                <w:sz w:val="18"/>
                <w:szCs w:val="18"/>
              </w:rPr>
              <w:t>购物场所（</w:t>
            </w:r>
            <w:r>
              <w:rPr>
                <w:rFonts w:ascii="Arial" w:eastAsia="仿宋_GB2312" w:hAnsi="Arial" w:cs="Arial" w:hint="eastAsia"/>
                <w:sz w:val="18"/>
                <w:szCs w:val="18"/>
              </w:rPr>
              <w:t>清河商业城、清河万象汇、北京华联上地购物中心、西</w:t>
            </w:r>
            <w:proofErr w:type="gramStart"/>
            <w:r>
              <w:rPr>
                <w:rFonts w:ascii="Arial" w:eastAsia="仿宋_GB2312" w:hAnsi="Arial" w:cs="Arial" w:hint="eastAsia"/>
                <w:sz w:val="18"/>
                <w:szCs w:val="18"/>
              </w:rPr>
              <w:t>二旗益民</w:t>
            </w:r>
            <w:proofErr w:type="gramEnd"/>
            <w:r>
              <w:rPr>
                <w:rFonts w:ascii="Arial" w:eastAsia="仿宋_GB2312" w:hAnsi="Arial" w:cs="Arial" w:hint="eastAsia"/>
                <w:sz w:val="18"/>
                <w:szCs w:val="18"/>
              </w:rPr>
              <w:t>商城</w:t>
            </w:r>
            <w:r w:rsidRPr="00F21B5D">
              <w:rPr>
                <w:rFonts w:ascii="Arial" w:eastAsia="仿宋_GB2312" w:hAnsi="Arial" w:cs="Arial" w:hint="eastAsia"/>
                <w:sz w:val="18"/>
                <w:szCs w:val="18"/>
              </w:rPr>
              <w:t>等）；学校（</w:t>
            </w:r>
            <w:r>
              <w:rPr>
                <w:rFonts w:ascii="Arial" w:eastAsia="仿宋_GB2312" w:hAnsi="Arial" w:cs="Arial" w:hint="eastAsia"/>
                <w:sz w:val="18"/>
                <w:szCs w:val="18"/>
              </w:rPr>
              <w:t>北京市二十中学、海淀区第二实验小学（清宁校区）、北京市上地实验学校</w:t>
            </w:r>
            <w:r w:rsidRPr="00F21B5D">
              <w:rPr>
                <w:rFonts w:ascii="Arial" w:eastAsia="仿宋_GB2312" w:hAnsi="Arial" w:cs="Arial" w:hint="eastAsia"/>
                <w:sz w:val="18"/>
                <w:szCs w:val="18"/>
              </w:rPr>
              <w:t>等）；医院（</w:t>
            </w:r>
            <w:r>
              <w:rPr>
                <w:rFonts w:ascii="Arial" w:eastAsia="仿宋_GB2312" w:hAnsi="Arial" w:cs="Arial" w:hint="eastAsia"/>
                <w:sz w:val="18"/>
                <w:szCs w:val="18"/>
              </w:rPr>
              <w:t>清河医院、北京城北龙城医院、北京回龙观医院、北京市海淀区清河社区卫生服务中心</w:t>
            </w:r>
            <w:r w:rsidRPr="00F21B5D">
              <w:rPr>
                <w:rFonts w:ascii="Arial" w:eastAsia="仿宋_GB2312" w:hAnsi="Arial" w:cs="Arial" w:hint="eastAsia"/>
                <w:sz w:val="18"/>
                <w:szCs w:val="18"/>
              </w:rPr>
              <w:t>等）；银行（</w:t>
            </w:r>
            <w:r>
              <w:rPr>
                <w:rFonts w:ascii="Arial" w:eastAsia="仿宋_GB2312" w:hAnsi="Arial" w:cs="Arial" w:hint="eastAsia"/>
                <w:sz w:val="18"/>
                <w:szCs w:val="18"/>
              </w:rPr>
              <w:t>北京农商银行、招商银</w:t>
            </w:r>
            <w:r>
              <w:rPr>
                <w:rFonts w:ascii="Arial" w:eastAsia="仿宋_GB2312" w:hAnsi="Arial" w:cs="Arial" w:hint="eastAsia"/>
                <w:sz w:val="18"/>
                <w:szCs w:val="18"/>
              </w:rPr>
              <w:lastRenderedPageBreak/>
              <w:t>行</w:t>
            </w:r>
            <w:r w:rsidRPr="00F21B5D">
              <w:rPr>
                <w:rFonts w:ascii="Arial" w:eastAsia="仿宋_GB2312" w:hAnsi="Arial" w:cs="Arial" w:hint="eastAsia"/>
                <w:sz w:val="18"/>
                <w:szCs w:val="18"/>
              </w:rPr>
              <w:t>等），综合分析，公共配套设施齐备程度</w:t>
            </w:r>
            <w:r>
              <w:rPr>
                <w:rFonts w:ascii="Arial" w:eastAsia="仿宋_GB2312" w:hAnsi="Arial" w:cs="Arial" w:hint="eastAsia"/>
                <w:sz w:val="18"/>
                <w:szCs w:val="18"/>
              </w:rPr>
              <w:t>一般</w:t>
            </w:r>
            <w:r w:rsidRPr="00F21B5D">
              <w:rPr>
                <w:rFonts w:ascii="Arial" w:eastAsia="仿宋_GB2312" w:hAnsi="Arial" w:cs="Arial" w:hint="eastAsia"/>
                <w:sz w:val="18"/>
                <w:szCs w:val="18"/>
              </w:rPr>
              <w:t>。</w:t>
            </w:r>
          </w:p>
        </w:tc>
        <w:tc>
          <w:tcPr>
            <w:tcW w:w="321" w:type="pct"/>
            <w:shd w:val="clear" w:color="auto" w:fill="auto"/>
            <w:vAlign w:val="center"/>
            <w:hideMark/>
          </w:tcPr>
          <w:p w14:paraId="1E90058E"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lastRenderedPageBreak/>
              <w:t>98</w:t>
            </w:r>
          </w:p>
        </w:tc>
        <w:tc>
          <w:tcPr>
            <w:tcW w:w="770" w:type="pct"/>
            <w:shd w:val="clear" w:color="auto" w:fill="auto"/>
            <w:vAlign w:val="center"/>
            <w:hideMark/>
          </w:tcPr>
          <w:p w14:paraId="1631D32F"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购物场所（</w:t>
            </w:r>
            <w:r>
              <w:rPr>
                <w:rFonts w:ascii="Arial" w:eastAsia="仿宋_GB2312" w:hAnsi="Arial" w:cs="Arial" w:hint="eastAsia"/>
                <w:sz w:val="18"/>
                <w:szCs w:val="18"/>
              </w:rPr>
              <w:t>印象城（翠微店）、世纪金源购物中心</w:t>
            </w:r>
            <w:r w:rsidRPr="00F21B5D">
              <w:rPr>
                <w:rFonts w:ascii="Arial" w:eastAsia="仿宋_GB2312" w:hAnsi="Arial" w:cs="Arial" w:hint="eastAsia"/>
                <w:sz w:val="18"/>
                <w:szCs w:val="18"/>
              </w:rPr>
              <w:t>等）；学校（</w:t>
            </w:r>
            <w:r>
              <w:rPr>
                <w:rFonts w:ascii="Arial" w:eastAsia="仿宋_GB2312" w:hAnsi="Arial" w:cs="Arial" w:hint="eastAsia"/>
                <w:sz w:val="18"/>
                <w:szCs w:val="18"/>
              </w:rPr>
              <w:t>首都师范大学附属中学、北京市二十一世纪国际学校、六一小学</w:t>
            </w:r>
            <w:r w:rsidRPr="00F21B5D">
              <w:rPr>
                <w:rFonts w:ascii="Arial" w:eastAsia="仿宋_GB2312" w:hAnsi="Arial" w:cs="Arial" w:hint="eastAsia"/>
                <w:sz w:val="18"/>
                <w:szCs w:val="18"/>
              </w:rPr>
              <w:t>等）；医院（</w:t>
            </w:r>
            <w:proofErr w:type="gramStart"/>
            <w:r>
              <w:rPr>
                <w:rFonts w:ascii="Arial" w:eastAsia="仿宋_GB2312" w:hAnsi="Arial" w:cs="Arial" w:hint="eastAsia"/>
                <w:sz w:val="18"/>
                <w:szCs w:val="18"/>
              </w:rPr>
              <w:t>黄尧洲</w:t>
            </w:r>
            <w:proofErr w:type="gramEnd"/>
            <w:r>
              <w:rPr>
                <w:rFonts w:ascii="Arial" w:eastAsia="仿宋_GB2312" w:hAnsi="Arial" w:cs="Arial" w:hint="eastAsia"/>
                <w:sz w:val="18"/>
                <w:szCs w:val="18"/>
              </w:rPr>
              <w:t>中医医院、北京市海淀区玉渊潭社区卫生服务中心、中国人民解放军空军航空医学研究所附属医院</w:t>
            </w:r>
            <w:r w:rsidRPr="00F21B5D">
              <w:rPr>
                <w:rFonts w:ascii="Arial" w:eastAsia="仿宋_GB2312" w:hAnsi="Arial" w:cs="Arial" w:hint="eastAsia"/>
                <w:sz w:val="18"/>
                <w:szCs w:val="18"/>
              </w:rPr>
              <w:t>等）；银行（</w:t>
            </w:r>
            <w:r>
              <w:rPr>
                <w:rFonts w:ascii="Arial" w:eastAsia="仿宋_GB2312" w:hAnsi="Arial" w:cs="Arial" w:hint="eastAsia"/>
                <w:sz w:val="18"/>
                <w:szCs w:val="18"/>
              </w:rPr>
              <w:t>中弄过银行（北京慈寿寺支行）、兴业银行（北京玲珑路支行）、中国建设银</w:t>
            </w:r>
            <w:r>
              <w:rPr>
                <w:rFonts w:ascii="Arial" w:eastAsia="仿宋_GB2312" w:hAnsi="Arial" w:cs="Arial" w:hint="eastAsia"/>
                <w:sz w:val="18"/>
                <w:szCs w:val="18"/>
              </w:rPr>
              <w:lastRenderedPageBreak/>
              <w:t>行（北京城远支行）</w:t>
            </w:r>
            <w:r w:rsidRPr="00F21B5D">
              <w:rPr>
                <w:rFonts w:ascii="Arial" w:eastAsia="仿宋_GB2312" w:hAnsi="Arial" w:cs="Arial" w:hint="eastAsia"/>
                <w:sz w:val="18"/>
                <w:szCs w:val="18"/>
              </w:rPr>
              <w:t>等），综合分析，公共配套设施齐备程度较好。</w:t>
            </w:r>
          </w:p>
        </w:tc>
        <w:tc>
          <w:tcPr>
            <w:tcW w:w="320" w:type="pct"/>
            <w:shd w:val="clear" w:color="auto" w:fill="auto"/>
            <w:vAlign w:val="center"/>
            <w:hideMark/>
          </w:tcPr>
          <w:p w14:paraId="107F6734"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lastRenderedPageBreak/>
              <w:t>100</w:t>
            </w:r>
          </w:p>
        </w:tc>
      </w:tr>
      <w:tr w:rsidR="0087591C" w:rsidRPr="00F631FB" w14:paraId="010839A8" w14:textId="77777777" w:rsidTr="005D5BB3">
        <w:trPr>
          <w:trHeight w:val="151"/>
          <w:jc w:val="center"/>
        </w:trPr>
        <w:tc>
          <w:tcPr>
            <w:tcW w:w="174" w:type="pct"/>
            <w:vMerge/>
            <w:vAlign w:val="center"/>
            <w:hideMark/>
          </w:tcPr>
          <w:p w14:paraId="57147B2D" w14:textId="77777777" w:rsidR="0087591C" w:rsidRPr="00F631FB" w:rsidRDefault="0087591C" w:rsidP="005D5BB3">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47C643D1"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w:t>
            </w:r>
          </w:p>
        </w:tc>
        <w:tc>
          <w:tcPr>
            <w:tcW w:w="835" w:type="pct"/>
            <w:shd w:val="clear" w:color="auto" w:fill="auto"/>
            <w:vAlign w:val="center"/>
            <w:hideMark/>
          </w:tcPr>
          <w:p w14:paraId="1C248AEF"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周边</w:t>
            </w:r>
            <w:r w:rsidRPr="00476804">
              <w:rPr>
                <w:rFonts w:ascii="Arial" w:eastAsia="仿宋_GB2312" w:hAnsi="Arial" w:cs="Arial" w:hint="eastAsia"/>
                <w:sz w:val="18"/>
                <w:szCs w:val="18"/>
              </w:rPr>
              <w:t>2</w:t>
            </w:r>
            <w:r w:rsidRPr="00476804">
              <w:rPr>
                <w:rFonts w:ascii="Arial" w:eastAsia="仿宋_GB2312" w:hAnsi="Arial" w:cs="Arial" w:hint="eastAsia"/>
                <w:sz w:val="18"/>
                <w:szCs w:val="18"/>
              </w:rPr>
              <w:t>公里内有海淀公园、知春公园、</w:t>
            </w:r>
            <w:proofErr w:type="gramStart"/>
            <w:r w:rsidRPr="00476804">
              <w:rPr>
                <w:rFonts w:ascii="Arial" w:eastAsia="仿宋_GB2312" w:hAnsi="Arial" w:cs="Arial" w:hint="eastAsia"/>
                <w:sz w:val="18"/>
                <w:szCs w:val="18"/>
              </w:rPr>
              <w:t>巴沟山水园</w:t>
            </w:r>
            <w:proofErr w:type="gramEnd"/>
            <w:r w:rsidRPr="00476804">
              <w:rPr>
                <w:rFonts w:ascii="Arial" w:eastAsia="仿宋_GB2312" w:hAnsi="Arial" w:cs="Arial" w:hint="eastAsia"/>
                <w:sz w:val="18"/>
                <w:szCs w:val="18"/>
              </w:rPr>
              <w:t>等；中国人民大学、北京大学等人文设施，综合考虑自然环境与人文环境较好。</w:t>
            </w:r>
          </w:p>
        </w:tc>
        <w:tc>
          <w:tcPr>
            <w:tcW w:w="256" w:type="pct"/>
            <w:shd w:val="clear" w:color="auto" w:fill="auto"/>
            <w:vAlign w:val="center"/>
            <w:hideMark/>
          </w:tcPr>
          <w:p w14:paraId="40F2BCC7"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3B4102D9"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周边</w:t>
            </w:r>
            <w:r w:rsidRPr="00476804">
              <w:rPr>
                <w:rFonts w:ascii="Arial" w:eastAsia="仿宋_GB2312" w:hAnsi="Arial" w:cs="Arial" w:hint="eastAsia"/>
                <w:sz w:val="18"/>
                <w:szCs w:val="18"/>
              </w:rPr>
              <w:t>2</w:t>
            </w:r>
            <w:r w:rsidRPr="00476804">
              <w:rPr>
                <w:rFonts w:ascii="Arial" w:eastAsia="仿宋_GB2312" w:hAnsi="Arial" w:cs="Arial" w:hint="eastAsia"/>
                <w:sz w:val="18"/>
                <w:szCs w:val="18"/>
              </w:rPr>
              <w:t>公里内有</w:t>
            </w:r>
            <w:r>
              <w:rPr>
                <w:rFonts w:ascii="Arial" w:eastAsia="仿宋_GB2312" w:hAnsi="Arial" w:cs="Arial" w:hint="eastAsia"/>
                <w:sz w:val="18"/>
                <w:szCs w:val="18"/>
              </w:rPr>
              <w:t>阳光星期八公园、永建公园、五棵松公园</w:t>
            </w:r>
            <w:r w:rsidRPr="00476804">
              <w:rPr>
                <w:rFonts w:ascii="Arial" w:eastAsia="仿宋_GB2312" w:hAnsi="Arial" w:cs="Arial" w:hint="eastAsia"/>
                <w:sz w:val="18"/>
                <w:szCs w:val="18"/>
              </w:rPr>
              <w:t>等；</w:t>
            </w:r>
            <w:r>
              <w:rPr>
                <w:rFonts w:ascii="Arial" w:eastAsia="仿宋_GB2312" w:hAnsi="Arial" w:cs="Arial" w:hint="eastAsia"/>
                <w:sz w:val="18"/>
                <w:szCs w:val="18"/>
              </w:rPr>
              <w:t>中国科学院大学、国家开放大学</w:t>
            </w:r>
            <w:r w:rsidRPr="00476804">
              <w:rPr>
                <w:rFonts w:ascii="Arial" w:eastAsia="仿宋_GB2312" w:hAnsi="Arial" w:cs="Arial" w:hint="eastAsia"/>
                <w:sz w:val="18"/>
                <w:szCs w:val="18"/>
              </w:rPr>
              <w:t>等人文设施，综合考虑自然环境与人文环境较好。</w:t>
            </w:r>
          </w:p>
        </w:tc>
        <w:tc>
          <w:tcPr>
            <w:tcW w:w="321" w:type="pct"/>
            <w:shd w:val="clear" w:color="auto" w:fill="auto"/>
            <w:vAlign w:val="center"/>
            <w:hideMark/>
          </w:tcPr>
          <w:p w14:paraId="48170F88"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37BB9FEF"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周边</w:t>
            </w:r>
            <w:r w:rsidRPr="00476804">
              <w:rPr>
                <w:rFonts w:ascii="Arial" w:eastAsia="仿宋_GB2312" w:hAnsi="Arial" w:cs="Arial" w:hint="eastAsia"/>
                <w:sz w:val="18"/>
                <w:szCs w:val="18"/>
              </w:rPr>
              <w:t>2</w:t>
            </w:r>
            <w:r w:rsidRPr="00476804">
              <w:rPr>
                <w:rFonts w:ascii="Arial" w:eastAsia="仿宋_GB2312" w:hAnsi="Arial" w:cs="Arial" w:hint="eastAsia"/>
                <w:sz w:val="18"/>
                <w:szCs w:val="18"/>
              </w:rPr>
              <w:t>公里内有</w:t>
            </w:r>
            <w:r>
              <w:rPr>
                <w:rFonts w:ascii="Arial" w:eastAsia="仿宋_GB2312" w:hAnsi="Arial" w:cs="Arial" w:hint="eastAsia"/>
                <w:sz w:val="18"/>
                <w:szCs w:val="18"/>
              </w:rPr>
              <w:t>上地公园、碧水风荷公园、西小口公园</w:t>
            </w:r>
            <w:r w:rsidRPr="00476804">
              <w:rPr>
                <w:rFonts w:ascii="Arial" w:eastAsia="仿宋_GB2312" w:hAnsi="Arial" w:cs="Arial" w:hint="eastAsia"/>
                <w:sz w:val="18"/>
                <w:szCs w:val="18"/>
              </w:rPr>
              <w:t>等；</w:t>
            </w:r>
            <w:r>
              <w:rPr>
                <w:rFonts w:ascii="Arial" w:eastAsia="仿宋_GB2312" w:hAnsi="Arial" w:cs="Arial" w:hint="eastAsia"/>
                <w:sz w:val="18"/>
                <w:szCs w:val="18"/>
              </w:rPr>
              <w:t>中央财经大学（清河校区）、北京明园大学</w:t>
            </w:r>
            <w:r w:rsidRPr="00476804">
              <w:rPr>
                <w:rFonts w:ascii="Arial" w:eastAsia="仿宋_GB2312" w:hAnsi="Arial" w:cs="Arial" w:hint="eastAsia"/>
                <w:sz w:val="18"/>
                <w:szCs w:val="18"/>
              </w:rPr>
              <w:t>等人文设施，综合考虑自然环境与人文环境较好。</w:t>
            </w:r>
          </w:p>
        </w:tc>
        <w:tc>
          <w:tcPr>
            <w:tcW w:w="321" w:type="pct"/>
            <w:shd w:val="clear" w:color="auto" w:fill="auto"/>
            <w:vAlign w:val="center"/>
            <w:hideMark/>
          </w:tcPr>
          <w:p w14:paraId="33F37143"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1D4CDE39"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周边</w:t>
            </w:r>
            <w:r w:rsidRPr="00476804">
              <w:rPr>
                <w:rFonts w:ascii="Arial" w:eastAsia="仿宋_GB2312" w:hAnsi="Arial" w:cs="Arial" w:hint="eastAsia"/>
                <w:sz w:val="18"/>
                <w:szCs w:val="18"/>
              </w:rPr>
              <w:t>2</w:t>
            </w:r>
            <w:r w:rsidRPr="00476804">
              <w:rPr>
                <w:rFonts w:ascii="Arial" w:eastAsia="仿宋_GB2312" w:hAnsi="Arial" w:cs="Arial" w:hint="eastAsia"/>
                <w:sz w:val="18"/>
                <w:szCs w:val="18"/>
              </w:rPr>
              <w:t>公里内有</w:t>
            </w:r>
            <w:r>
              <w:rPr>
                <w:rFonts w:ascii="Arial" w:eastAsia="仿宋_GB2312" w:hAnsi="Arial" w:cs="Arial" w:hint="eastAsia"/>
                <w:sz w:val="18"/>
                <w:szCs w:val="18"/>
              </w:rPr>
              <w:t>玲珑公园、五路居京门铁路主体公园、定慧公园、</w:t>
            </w:r>
            <w:proofErr w:type="gramStart"/>
            <w:r>
              <w:rPr>
                <w:rFonts w:ascii="Arial" w:eastAsia="仿宋_GB2312" w:hAnsi="Arial" w:cs="Arial" w:hint="eastAsia"/>
                <w:sz w:val="18"/>
                <w:szCs w:val="18"/>
              </w:rPr>
              <w:t>西木休闲</w:t>
            </w:r>
            <w:proofErr w:type="gramEnd"/>
            <w:r>
              <w:rPr>
                <w:rFonts w:ascii="Arial" w:eastAsia="仿宋_GB2312" w:hAnsi="Arial" w:cs="Arial" w:hint="eastAsia"/>
                <w:sz w:val="18"/>
                <w:szCs w:val="18"/>
              </w:rPr>
              <w:t>公园</w:t>
            </w:r>
            <w:r w:rsidRPr="00476804">
              <w:rPr>
                <w:rFonts w:ascii="Arial" w:eastAsia="仿宋_GB2312" w:hAnsi="Arial" w:cs="Arial" w:hint="eastAsia"/>
                <w:sz w:val="18"/>
                <w:szCs w:val="18"/>
              </w:rPr>
              <w:t>等；</w:t>
            </w:r>
            <w:r>
              <w:rPr>
                <w:rFonts w:ascii="Arial" w:eastAsia="仿宋_GB2312" w:hAnsi="Arial" w:cs="Arial" w:hint="eastAsia"/>
                <w:sz w:val="18"/>
                <w:szCs w:val="18"/>
              </w:rPr>
              <w:t>首都师范大学</w:t>
            </w:r>
            <w:r w:rsidRPr="00476804">
              <w:rPr>
                <w:rFonts w:ascii="Arial" w:eastAsia="仿宋_GB2312" w:hAnsi="Arial" w:cs="Arial" w:hint="eastAsia"/>
                <w:sz w:val="18"/>
                <w:szCs w:val="18"/>
              </w:rPr>
              <w:t>等人文设施，综合考虑自然环境与人文环境较好。</w:t>
            </w:r>
          </w:p>
        </w:tc>
        <w:tc>
          <w:tcPr>
            <w:tcW w:w="320" w:type="pct"/>
            <w:shd w:val="clear" w:color="auto" w:fill="auto"/>
            <w:vAlign w:val="center"/>
            <w:hideMark/>
          </w:tcPr>
          <w:p w14:paraId="28F6041B"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7591C" w:rsidRPr="00F631FB" w14:paraId="3B3C598C" w14:textId="77777777" w:rsidTr="005D5BB3">
        <w:trPr>
          <w:trHeight w:val="540"/>
          <w:jc w:val="center"/>
        </w:trPr>
        <w:tc>
          <w:tcPr>
            <w:tcW w:w="174" w:type="pct"/>
            <w:vMerge w:val="restart"/>
            <w:shd w:val="clear" w:color="auto" w:fill="auto"/>
            <w:vAlign w:val="center"/>
            <w:hideMark/>
          </w:tcPr>
          <w:p w14:paraId="33989E33"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465" w:type="pct"/>
            <w:shd w:val="clear" w:color="auto" w:fill="auto"/>
            <w:noWrap/>
            <w:vAlign w:val="center"/>
            <w:hideMark/>
          </w:tcPr>
          <w:p w14:paraId="00F9DEE7"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配套类型</w:t>
            </w:r>
          </w:p>
        </w:tc>
        <w:tc>
          <w:tcPr>
            <w:tcW w:w="835" w:type="pct"/>
            <w:shd w:val="clear" w:color="auto" w:fill="auto"/>
            <w:vAlign w:val="center"/>
            <w:hideMark/>
          </w:tcPr>
          <w:p w14:paraId="0CE8F0C4"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地下车库</w:t>
            </w:r>
          </w:p>
        </w:tc>
        <w:tc>
          <w:tcPr>
            <w:tcW w:w="256" w:type="pct"/>
            <w:shd w:val="clear" w:color="auto" w:fill="auto"/>
            <w:vAlign w:val="center"/>
            <w:hideMark/>
          </w:tcPr>
          <w:p w14:paraId="5F694ACF"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6567CC5A"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地下车库</w:t>
            </w:r>
          </w:p>
        </w:tc>
        <w:tc>
          <w:tcPr>
            <w:tcW w:w="321" w:type="pct"/>
            <w:shd w:val="clear" w:color="auto" w:fill="auto"/>
            <w:vAlign w:val="center"/>
            <w:hideMark/>
          </w:tcPr>
          <w:p w14:paraId="5A177AC6"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51CDF537"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地下车库</w:t>
            </w:r>
          </w:p>
        </w:tc>
        <w:tc>
          <w:tcPr>
            <w:tcW w:w="321" w:type="pct"/>
            <w:shd w:val="clear" w:color="auto" w:fill="auto"/>
            <w:vAlign w:val="center"/>
            <w:hideMark/>
          </w:tcPr>
          <w:p w14:paraId="65451F69"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27D2F695"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地下车库</w:t>
            </w:r>
          </w:p>
        </w:tc>
        <w:tc>
          <w:tcPr>
            <w:tcW w:w="320" w:type="pct"/>
            <w:shd w:val="clear" w:color="auto" w:fill="auto"/>
            <w:vAlign w:val="center"/>
            <w:hideMark/>
          </w:tcPr>
          <w:p w14:paraId="634A7A22"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7591C" w:rsidRPr="00F631FB" w14:paraId="61C9B5C7" w14:textId="77777777" w:rsidTr="005D5BB3">
        <w:trPr>
          <w:trHeight w:val="540"/>
          <w:jc w:val="center"/>
        </w:trPr>
        <w:tc>
          <w:tcPr>
            <w:tcW w:w="174" w:type="pct"/>
            <w:vMerge/>
            <w:shd w:val="clear" w:color="auto" w:fill="auto"/>
            <w:vAlign w:val="center"/>
          </w:tcPr>
          <w:p w14:paraId="1544189E"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p>
        </w:tc>
        <w:tc>
          <w:tcPr>
            <w:tcW w:w="465" w:type="pct"/>
            <w:shd w:val="clear" w:color="auto" w:fill="auto"/>
            <w:noWrap/>
            <w:vAlign w:val="center"/>
          </w:tcPr>
          <w:p w14:paraId="7071272F"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项目停车位配比</w:t>
            </w:r>
          </w:p>
        </w:tc>
        <w:tc>
          <w:tcPr>
            <w:tcW w:w="835" w:type="pct"/>
            <w:shd w:val="clear" w:color="auto" w:fill="auto"/>
            <w:vAlign w:val="center"/>
          </w:tcPr>
          <w:p w14:paraId="3FF92259" w14:textId="77777777" w:rsidR="0087591C"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w:t>
            </w:r>
            <w:r>
              <w:rPr>
                <w:rFonts w:ascii="Arial" w:eastAsia="仿宋_GB2312" w:hAnsi="Arial" w:cs="Arial" w:hint="eastAsia"/>
                <w:sz w:val="18"/>
                <w:szCs w:val="18"/>
              </w:rPr>
              <w:t>:</w:t>
            </w:r>
            <w:r>
              <w:rPr>
                <w:rFonts w:ascii="Arial" w:eastAsia="仿宋_GB2312" w:hAnsi="Arial" w:cs="Arial"/>
                <w:sz w:val="18"/>
                <w:szCs w:val="18"/>
              </w:rPr>
              <w:t>0.4</w:t>
            </w:r>
          </w:p>
        </w:tc>
        <w:tc>
          <w:tcPr>
            <w:tcW w:w="256" w:type="pct"/>
            <w:shd w:val="clear" w:color="auto" w:fill="auto"/>
            <w:vAlign w:val="center"/>
          </w:tcPr>
          <w:p w14:paraId="53A775F1"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769" w:type="pct"/>
            <w:shd w:val="clear" w:color="auto" w:fill="auto"/>
            <w:vAlign w:val="center"/>
          </w:tcPr>
          <w:p w14:paraId="5A646E93"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w:t>
            </w:r>
            <w:r>
              <w:rPr>
                <w:rFonts w:ascii="Arial" w:eastAsia="仿宋_GB2312" w:hAnsi="Arial" w:cs="Arial" w:hint="eastAsia"/>
                <w:sz w:val="18"/>
                <w:szCs w:val="18"/>
              </w:rPr>
              <w:t>:</w:t>
            </w:r>
            <w:r>
              <w:rPr>
                <w:rFonts w:ascii="Arial" w:eastAsia="仿宋_GB2312" w:hAnsi="Arial" w:cs="Arial"/>
                <w:sz w:val="18"/>
                <w:szCs w:val="18"/>
              </w:rPr>
              <w:t>1</w:t>
            </w:r>
          </w:p>
        </w:tc>
        <w:tc>
          <w:tcPr>
            <w:tcW w:w="321" w:type="pct"/>
            <w:shd w:val="clear" w:color="auto" w:fill="auto"/>
            <w:vAlign w:val="center"/>
          </w:tcPr>
          <w:p w14:paraId="59F2D6F1" w14:textId="77777777" w:rsidR="0087591C"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769" w:type="pct"/>
            <w:shd w:val="clear" w:color="auto" w:fill="auto"/>
            <w:vAlign w:val="center"/>
          </w:tcPr>
          <w:p w14:paraId="542CB7B6"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w:t>
            </w:r>
            <w:r>
              <w:rPr>
                <w:rFonts w:ascii="Arial" w:eastAsia="仿宋_GB2312" w:hAnsi="Arial" w:cs="Arial" w:hint="eastAsia"/>
                <w:sz w:val="18"/>
                <w:szCs w:val="18"/>
              </w:rPr>
              <w:t>:</w:t>
            </w:r>
            <w:r>
              <w:rPr>
                <w:rFonts w:ascii="Arial" w:eastAsia="仿宋_GB2312" w:hAnsi="Arial" w:cs="Arial"/>
                <w:sz w:val="18"/>
                <w:szCs w:val="18"/>
              </w:rPr>
              <w:t>0.7</w:t>
            </w:r>
          </w:p>
        </w:tc>
        <w:tc>
          <w:tcPr>
            <w:tcW w:w="321" w:type="pct"/>
            <w:shd w:val="clear" w:color="auto" w:fill="auto"/>
            <w:vAlign w:val="center"/>
          </w:tcPr>
          <w:p w14:paraId="5290AAFD" w14:textId="77777777" w:rsidR="0087591C"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770" w:type="pct"/>
            <w:shd w:val="clear" w:color="auto" w:fill="auto"/>
            <w:vAlign w:val="center"/>
          </w:tcPr>
          <w:p w14:paraId="12FC9F01"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w:t>
            </w:r>
            <w:r>
              <w:rPr>
                <w:rFonts w:ascii="Arial" w:eastAsia="仿宋_GB2312" w:hAnsi="Arial" w:cs="Arial" w:hint="eastAsia"/>
                <w:sz w:val="18"/>
                <w:szCs w:val="18"/>
              </w:rPr>
              <w:t>:</w:t>
            </w:r>
            <w:r>
              <w:rPr>
                <w:rFonts w:ascii="Arial" w:eastAsia="仿宋_GB2312" w:hAnsi="Arial" w:cs="Arial"/>
                <w:sz w:val="18"/>
                <w:szCs w:val="18"/>
              </w:rPr>
              <w:t>2</w:t>
            </w:r>
          </w:p>
        </w:tc>
        <w:tc>
          <w:tcPr>
            <w:tcW w:w="320" w:type="pct"/>
            <w:shd w:val="clear" w:color="auto" w:fill="auto"/>
            <w:vAlign w:val="center"/>
          </w:tcPr>
          <w:p w14:paraId="006C9CD8" w14:textId="77777777" w:rsidR="0087591C"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102</w:t>
            </w:r>
          </w:p>
        </w:tc>
      </w:tr>
      <w:tr w:rsidR="0087591C" w:rsidRPr="00F631FB" w14:paraId="6127727B" w14:textId="77777777" w:rsidTr="005D5BB3">
        <w:trPr>
          <w:trHeight w:val="285"/>
          <w:jc w:val="center"/>
        </w:trPr>
        <w:tc>
          <w:tcPr>
            <w:tcW w:w="174" w:type="pct"/>
            <w:vMerge/>
            <w:vAlign w:val="center"/>
            <w:hideMark/>
          </w:tcPr>
          <w:p w14:paraId="124F6CB0" w14:textId="77777777" w:rsidR="0087591C" w:rsidRPr="00F631FB" w:rsidRDefault="0087591C" w:rsidP="005D5BB3">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0C094F44"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成新率</w:t>
            </w:r>
          </w:p>
        </w:tc>
        <w:tc>
          <w:tcPr>
            <w:tcW w:w="835" w:type="pct"/>
            <w:shd w:val="clear" w:color="auto" w:fill="auto"/>
            <w:vAlign w:val="center"/>
            <w:hideMark/>
          </w:tcPr>
          <w:p w14:paraId="5C32A770"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256" w:type="pct"/>
            <w:shd w:val="clear" w:color="auto" w:fill="auto"/>
            <w:vAlign w:val="center"/>
            <w:hideMark/>
          </w:tcPr>
          <w:p w14:paraId="1E4E5552"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3E2BF844"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21" w:type="pct"/>
            <w:shd w:val="clear" w:color="auto" w:fill="auto"/>
            <w:vAlign w:val="center"/>
            <w:hideMark/>
          </w:tcPr>
          <w:p w14:paraId="37E01B80"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2B8BCC53"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21" w:type="pct"/>
            <w:shd w:val="clear" w:color="auto" w:fill="auto"/>
            <w:vAlign w:val="center"/>
            <w:hideMark/>
          </w:tcPr>
          <w:p w14:paraId="2D2A694A"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4F160D41"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20" w:type="pct"/>
            <w:shd w:val="clear" w:color="auto" w:fill="auto"/>
            <w:vAlign w:val="center"/>
            <w:hideMark/>
          </w:tcPr>
          <w:p w14:paraId="1C075A7F"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7591C" w:rsidRPr="00F631FB" w14:paraId="696F53C6" w14:textId="77777777" w:rsidTr="005D5BB3">
        <w:trPr>
          <w:trHeight w:val="555"/>
          <w:jc w:val="center"/>
        </w:trPr>
        <w:tc>
          <w:tcPr>
            <w:tcW w:w="174" w:type="pct"/>
            <w:vMerge/>
            <w:vAlign w:val="center"/>
            <w:hideMark/>
          </w:tcPr>
          <w:p w14:paraId="415FC94D" w14:textId="77777777" w:rsidR="0087591C" w:rsidRPr="00F631FB" w:rsidRDefault="0087591C" w:rsidP="005D5BB3">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12BA690A"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建筑面积（平方米）</w:t>
            </w:r>
          </w:p>
        </w:tc>
        <w:tc>
          <w:tcPr>
            <w:tcW w:w="835" w:type="pct"/>
            <w:shd w:val="clear" w:color="auto" w:fill="auto"/>
            <w:vAlign w:val="center"/>
            <w:hideMark/>
          </w:tcPr>
          <w:p w14:paraId="145C64D9"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0345.02</w:t>
            </w:r>
          </w:p>
        </w:tc>
        <w:tc>
          <w:tcPr>
            <w:tcW w:w="256" w:type="pct"/>
            <w:shd w:val="clear" w:color="auto" w:fill="auto"/>
            <w:vAlign w:val="center"/>
            <w:hideMark/>
          </w:tcPr>
          <w:p w14:paraId="3795A5DC"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0308B846"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w:t>
            </w:r>
            <w:r>
              <w:rPr>
                <w:rFonts w:ascii="Arial" w:eastAsia="仿宋_GB2312" w:hAnsi="Arial" w:cs="Arial"/>
                <w:sz w:val="18"/>
                <w:szCs w:val="18"/>
              </w:rPr>
              <w:t>6200</w:t>
            </w:r>
          </w:p>
        </w:tc>
        <w:tc>
          <w:tcPr>
            <w:tcW w:w="321" w:type="pct"/>
            <w:shd w:val="clear" w:color="auto" w:fill="auto"/>
            <w:vAlign w:val="center"/>
            <w:hideMark/>
          </w:tcPr>
          <w:p w14:paraId="0092169F"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94</w:t>
            </w:r>
          </w:p>
        </w:tc>
        <w:tc>
          <w:tcPr>
            <w:tcW w:w="769" w:type="pct"/>
            <w:shd w:val="clear" w:color="auto" w:fill="auto"/>
            <w:vAlign w:val="center"/>
            <w:hideMark/>
          </w:tcPr>
          <w:p w14:paraId="7F7A8649"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w:t>
            </w:r>
            <w:r>
              <w:rPr>
                <w:rFonts w:ascii="Arial" w:eastAsia="仿宋_GB2312" w:hAnsi="Arial" w:cs="Arial"/>
                <w:sz w:val="18"/>
                <w:szCs w:val="18"/>
              </w:rPr>
              <w:t>1580</w:t>
            </w:r>
          </w:p>
        </w:tc>
        <w:tc>
          <w:tcPr>
            <w:tcW w:w="321" w:type="pct"/>
            <w:shd w:val="clear" w:color="auto" w:fill="auto"/>
            <w:vAlign w:val="center"/>
            <w:hideMark/>
          </w:tcPr>
          <w:p w14:paraId="1A7E9C05"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94</w:t>
            </w:r>
          </w:p>
        </w:tc>
        <w:tc>
          <w:tcPr>
            <w:tcW w:w="770" w:type="pct"/>
            <w:shd w:val="clear" w:color="auto" w:fill="auto"/>
            <w:vAlign w:val="center"/>
            <w:hideMark/>
          </w:tcPr>
          <w:p w14:paraId="06343C12"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24172</w:t>
            </w:r>
          </w:p>
        </w:tc>
        <w:tc>
          <w:tcPr>
            <w:tcW w:w="320" w:type="pct"/>
            <w:shd w:val="clear" w:color="auto" w:fill="auto"/>
            <w:vAlign w:val="center"/>
            <w:hideMark/>
          </w:tcPr>
          <w:p w14:paraId="1CF12042"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82</w:t>
            </w:r>
          </w:p>
        </w:tc>
      </w:tr>
      <w:tr w:rsidR="0087591C" w:rsidRPr="00F631FB" w14:paraId="64EE7EC5" w14:textId="77777777" w:rsidTr="005D5BB3">
        <w:trPr>
          <w:trHeight w:val="540"/>
          <w:jc w:val="center"/>
        </w:trPr>
        <w:tc>
          <w:tcPr>
            <w:tcW w:w="174" w:type="pct"/>
            <w:vMerge/>
            <w:vAlign w:val="center"/>
            <w:hideMark/>
          </w:tcPr>
          <w:p w14:paraId="6EEDBDED" w14:textId="77777777" w:rsidR="0087591C" w:rsidRPr="00F631FB" w:rsidRDefault="0087591C" w:rsidP="005D5BB3">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319C15A0"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物业管理</w:t>
            </w:r>
          </w:p>
        </w:tc>
        <w:tc>
          <w:tcPr>
            <w:tcW w:w="835" w:type="pct"/>
            <w:shd w:val="clear" w:color="auto" w:fill="auto"/>
            <w:vAlign w:val="center"/>
            <w:hideMark/>
          </w:tcPr>
          <w:p w14:paraId="4BF65D96"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256" w:type="pct"/>
            <w:shd w:val="clear" w:color="auto" w:fill="auto"/>
            <w:vAlign w:val="center"/>
            <w:hideMark/>
          </w:tcPr>
          <w:p w14:paraId="457121C1"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2028AFEC"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321" w:type="pct"/>
            <w:shd w:val="clear" w:color="auto" w:fill="auto"/>
            <w:vAlign w:val="center"/>
            <w:hideMark/>
          </w:tcPr>
          <w:p w14:paraId="53F1BD29"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7BF2B238"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321" w:type="pct"/>
            <w:shd w:val="clear" w:color="auto" w:fill="auto"/>
            <w:vAlign w:val="center"/>
            <w:hideMark/>
          </w:tcPr>
          <w:p w14:paraId="28AC16DD"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6CF5F453"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320" w:type="pct"/>
            <w:shd w:val="clear" w:color="auto" w:fill="auto"/>
            <w:vAlign w:val="center"/>
            <w:hideMark/>
          </w:tcPr>
          <w:p w14:paraId="32AAFE67" w14:textId="77777777" w:rsidR="0087591C" w:rsidRPr="00F631FB" w:rsidRDefault="0087591C" w:rsidP="005D5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bl>
    <w:p w14:paraId="2C82451A" w14:textId="77777777" w:rsidR="0087591C" w:rsidRPr="00F631FB" w:rsidRDefault="0087591C" w:rsidP="0087591C">
      <w:pPr>
        <w:spacing w:line="360" w:lineRule="auto"/>
        <w:jc w:val="both"/>
        <w:rPr>
          <w:rFonts w:ascii="Arial" w:eastAsia="仿宋_GB2312" w:hAnsi="Arial" w:cs="Arial"/>
          <w:sz w:val="28"/>
        </w:rPr>
      </w:pPr>
    </w:p>
    <w:p w14:paraId="1CA1C1C0" w14:textId="77777777" w:rsidR="0087591C" w:rsidRDefault="0087591C" w:rsidP="0087591C">
      <w:pPr>
        <w:spacing w:line="360" w:lineRule="auto"/>
        <w:ind w:firstLineChars="200" w:firstLine="480"/>
        <w:jc w:val="both"/>
        <w:rPr>
          <w:rFonts w:ascii="Arial" w:eastAsia="仿宋_GB2312" w:hAnsi="Arial" w:cs="Arial"/>
          <w:bCs/>
        </w:rPr>
      </w:pPr>
      <w:r w:rsidRPr="00F631FB">
        <w:rPr>
          <w:rFonts w:ascii="Arial" w:eastAsia="仿宋_GB2312" w:hAnsi="Arial" w:cs="Arial" w:hint="eastAsia"/>
          <w:bCs/>
        </w:rPr>
        <w:t>（转下页）</w:t>
      </w:r>
    </w:p>
    <w:p w14:paraId="0492AB49" w14:textId="77777777" w:rsidR="0087591C" w:rsidRDefault="0087591C" w:rsidP="0087591C">
      <w:pPr>
        <w:spacing w:line="360" w:lineRule="auto"/>
        <w:ind w:firstLineChars="200" w:firstLine="480"/>
        <w:jc w:val="both"/>
        <w:rPr>
          <w:rFonts w:ascii="Arial" w:eastAsia="仿宋_GB2312" w:hAnsi="Arial" w:cs="Arial"/>
          <w:bCs/>
        </w:rPr>
      </w:pPr>
    </w:p>
    <w:p w14:paraId="09C1BC68" w14:textId="77777777" w:rsidR="0087591C" w:rsidRDefault="0087591C" w:rsidP="0087591C">
      <w:pPr>
        <w:spacing w:line="360" w:lineRule="auto"/>
        <w:ind w:firstLineChars="200" w:firstLine="480"/>
        <w:jc w:val="both"/>
        <w:rPr>
          <w:rFonts w:ascii="Arial" w:eastAsia="仿宋_GB2312" w:hAnsi="Arial" w:cs="Arial"/>
          <w:bCs/>
        </w:rPr>
      </w:pPr>
    </w:p>
    <w:p w14:paraId="68658DB0" w14:textId="77777777" w:rsidR="0087591C" w:rsidRDefault="0087591C" w:rsidP="0087591C">
      <w:pPr>
        <w:spacing w:line="360" w:lineRule="auto"/>
        <w:ind w:firstLineChars="200" w:firstLine="480"/>
        <w:jc w:val="both"/>
        <w:rPr>
          <w:rFonts w:ascii="Arial" w:eastAsia="仿宋_GB2312" w:hAnsi="Arial" w:cs="Arial"/>
          <w:bCs/>
        </w:rPr>
      </w:pPr>
    </w:p>
    <w:p w14:paraId="1AF983B7" w14:textId="77777777" w:rsidR="0087591C" w:rsidRDefault="0087591C" w:rsidP="0087591C">
      <w:pPr>
        <w:spacing w:line="360" w:lineRule="auto"/>
        <w:ind w:firstLineChars="200" w:firstLine="480"/>
        <w:jc w:val="both"/>
        <w:rPr>
          <w:rFonts w:ascii="Arial" w:eastAsia="仿宋_GB2312" w:hAnsi="Arial" w:cs="Arial"/>
          <w:bCs/>
        </w:rPr>
      </w:pPr>
    </w:p>
    <w:p w14:paraId="713EB0BC" w14:textId="77777777" w:rsidR="0087591C" w:rsidRPr="00F631FB" w:rsidRDefault="0087591C" w:rsidP="0087591C">
      <w:pPr>
        <w:widowControl/>
        <w:adjustRightInd/>
        <w:spacing w:line="240" w:lineRule="auto"/>
        <w:textAlignment w:val="auto"/>
        <w:rPr>
          <w:rFonts w:ascii="Arial" w:eastAsia="仿宋_GB2312" w:hAnsi="Arial" w:cs="Arial"/>
          <w:b/>
          <w:bCs/>
        </w:rPr>
      </w:pPr>
    </w:p>
    <w:p w14:paraId="0D0F116A" w14:textId="77777777" w:rsidR="0087591C" w:rsidRDefault="0087591C" w:rsidP="0087591C">
      <w:pPr>
        <w:spacing w:line="360" w:lineRule="auto"/>
        <w:ind w:firstLineChars="200" w:firstLine="482"/>
        <w:jc w:val="center"/>
        <w:rPr>
          <w:rFonts w:ascii="Arial" w:eastAsia="仿宋_GB2312" w:hAnsi="Arial" w:cs="Arial"/>
          <w:b/>
          <w:bCs/>
        </w:rPr>
      </w:pPr>
      <w:r>
        <w:rPr>
          <w:rFonts w:ascii="Arial" w:eastAsia="仿宋_GB2312" w:hAnsi="Arial" w:cs="Arial"/>
          <w:b/>
          <w:bCs/>
        </w:rPr>
        <w:br w:type="page"/>
      </w:r>
    </w:p>
    <w:p w14:paraId="161BBF64" w14:textId="0AB0D9D3" w:rsidR="0087591C" w:rsidRPr="00F631FB" w:rsidRDefault="0087591C" w:rsidP="0087591C">
      <w:pPr>
        <w:spacing w:line="360" w:lineRule="auto"/>
        <w:ind w:firstLineChars="200" w:firstLine="482"/>
        <w:jc w:val="center"/>
        <w:rPr>
          <w:rFonts w:ascii="Arial" w:eastAsia="仿宋_GB2312" w:hAnsi="Arial" w:cs="Arial"/>
          <w:sz w:val="28"/>
        </w:rPr>
      </w:pPr>
      <w:r w:rsidRPr="00F631FB">
        <w:rPr>
          <w:rFonts w:ascii="Arial" w:eastAsia="仿宋_GB2312" w:hAnsi="Arial" w:cs="Arial"/>
          <w:b/>
          <w:bCs/>
        </w:rPr>
        <w:lastRenderedPageBreak/>
        <w:t>表</w:t>
      </w:r>
      <w:r>
        <w:rPr>
          <w:rFonts w:ascii="Arial" w:eastAsia="仿宋_GB2312" w:hAnsi="Arial" w:cs="Arial"/>
          <w:b/>
          <w:bCs/>
        </w:rPr>
        <w:t>8</w:t>
      </w:r>
      <w:r w:rsidRPr="00F631FB">
        <w:rPr>
          <w:rFonts w:ascii="Arial" w:eastAsia="仿宋_GB2312" w:hAnsi="Arial" w:cs="Arial"/>
          <w:b/>
          <w:bCs/>
        </w:rPr>
        <w:t>：因素修正和调整系数表</w:t>
      </w:r>
    </w:p>
    <w:tbl>
      <w:tblPr>
        <w:tblW w:w="5000" w:type="pct"/>
        <w:tblLook w:val="04A0" w:firstRow="1" w:lastRow="0" w:firstColumn="1" w:lastColumn="0" w:noHBand="0" w:noVBand="1"/>
      </w:tblPr>
      <w:tblGrid>
        <w:gridCol w:w="1092"/>
        <w:gridCol w:w="2060"/>
        <w:gridCol w:w="1908"/>
        <w:gridCol w:w="2136"/>
        <w:gridCol w:w="2092"/>
      </w:tblGrid>
      <w:tr w:rsidR="0087591C" w:rsidRPr="001106FA" w14:paraId="285BFCCB" w14:textId="77777777" w:rsidTr="005D5BB3">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8A156D"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4D5FB" w14:textId="40ED08A6" w:rsidR="0087591C" w:rsidRPr="00DF2CC0" w:rsidRDefault="0087591C" w:rsidP="005D5BB3">
            <w:pPr>
              <w:widowControl/>
              <w:adjustRightInd/>
              <w:spacing w:line="240" w:lineRule="auto"/>
              <w:jc w:val="center"/>
              <w:textAlignment w:val="auto"/>
              <w:rPr>
                <w:rFonts w:ascii="Arial" w:eastAsia="仿宋_GB2312" w:hAnsi="Arial" w:cs="Arial"/>
                <w:sz w:val="18"/>
                <w:szCs w:val="18"/>
                <w:highlight w:val="yellow"/>
              </w:rPr>
            </w:pPr>
            <w:r w:rsidRPr="00F631FB">
              <w:rPr>
                <w:rFonts w:ascii="Arial" w:eastAsia="仿宋_GB2312" w:hAnsi="Arial" w:cs="Arial"/>
                <w:sz w:val="18"/>
                <w:szCs w:val="18"/>
              </w:rPr>
              <w:t>案例</w:t>
            </w:r>
            <w:r>
              <w:rPr>
                <w:rFonts w:ascii="Arial" w:eastAsia="仿宋_GB2312" w:hAnsi="Arial" w:cs="Arial" w:hint="eastAsia"/>
                <w:sz w:val="18"/>
                <w:szCs w:val="18"/>
              </w:rPr>
              <w:t>J</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1E0CA" w14:textId="44170344" w:rsidR="0087591C" w:rsidRPr="00DF2CC0" w:rsidRDefault="0087591C" w:rsidP="005D5BB3">
            <w:pPr>
              <w:widowControl/>
              <w:adjustRightInd/>
              <w:spacing w:line="240" w:lineRule="auto"/>
              <w:jc w:val="center"/>
              <w:textAlignment w:val="auto"/>
              <w:rPr>
                <w:rFonts w:ascii="Arial" w:eastAsia="仿宋_GB2312" w:hAnsi="Arial" w:cs="Arial"/>
                <w:sz w:val="18"/>
                <w:szCs w:val="18"/>
                <w:highlight w:val="yellow"/>
              </w:rPr>
            </w:pPr>
            <w:r w:rsidRPr="00F631FB">
              <w:rPr>
                <w:rFonts w:ascii="Arial" w:eastAsia="仿宋_GB2312" w:hAnsi="Arial" w:cs="Arial"/>
                <w:sz w:val="18"/>
                <w:szCs w:val="18"/>
              </w:rPr>
              <w:t>案例</w:t>
            </w:r>
            <w:r>
              <w:rPr>
                <w:rFonts w:ascii="Arial" w:eastAsia="仿宋_GB2312" w:hAnsi="Arial" w:cs="Arial" w:hint="eastAsia"/>
                <w:sz w:val="18"/>
                <w:szCs w:val="18"/>
              </w:rPr>
              <w:t>K</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980B9" w14:textId="0E3C038F" w:rsidR="0087591C" w:rsidRPr="00DF2CC0" w:rsidRDefault="0087591C" w:rsidP="005D5BB3">
            <w:pPr>
              <w:widowControl/>
              <w:adjustRightInd/>
              <w:spacing w:line="240" w:lineRule="auto"/>
              <w:jc w:val="center"/>
              <w:textAlignment w:val="auto"/>
              <w:rPr>
                <w:rFonts w:ascii="Arial" w:eastAsia="仿宋_GB2312" w:hAnsi="Arial" w:cs="Arial"/>
                <w:sz w:val="18"/>
                <w:szCs w:val="18"/>
                <w:highlight w:val="yellow"/>
              </w:rPr>
            </w:pPr>
            <w:r w:rsidRPr="00F631FB">
              <w:rPr>
                <w:rFonts w:ascii="Arial" w:eastAsia="仿宋_GB2312" w:hAnsi="Arial" w:cs="Arial"/>
                <w:sz w:val="18"/>
                <w:szCs w:val="18"/>
              </w:rPr>
              <w:t>案例</w:t>
            </w:r>
            <w:r>
              <w:rPr>
                <w:rFonts w:ascii="Arial" w:eastAsia="仿宋_GB2312" w:hAnsi="Arial" w:cs="Arial" w:hint="eastAsia"/>
                <w:sz w:val="18"/>
                <w:szCs w:val="18"/>
              </w:rPr>
              <w:t>L</w:t>
            </w:r>
          </w:p>
        </w:tc>
      </w:tr>
      <w:tr w:rsidR="0087591C" w:rsidRPr="001106FA" w14:paraId="581ADEFA" w14:textId="77777777" w:rsidTr="005D5BB3">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6BFDCB70"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027283C6"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7E35EE9C"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760FD2E7"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p>
        </w:tc>
      </w:tr>
      <w:tr w:rsidR="0087591C" w:rsidRPr="001106FA" w14:paraId="5AB2927C" w14:textId="77777777" w:rsidTr="005D5BB3">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19E90ECA"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1CE9196D"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35812D5C"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37B5F631"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p>
        </w:tc>
      </w:tr>
      <w:tr w:rsidR="0087591C" w:rsidRPr="001106FA" w14:paraId="7ACD4E46" w14:textId="77777777" w:rsidTr="005D5BB3">
        <w:trPr>
          <w:trHeight w:val="314"/>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A9357"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DE3207D"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D621183"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2646879D"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87591C" w:rsidRPr="001106FA" w14:paraId="68846789" w14:textId="77777777" w:rsidTr="005D5BB3">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0D522"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F3D3D04"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B5A76C2"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288A9BB6"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87591C" w:rsidRPr="001106FA" w14:paraId="016CBA17" w14:textId="77777777" w:rsidTr="005D5BB3">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84EB7B"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84A9910"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0DECA51"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E042E2F"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87591C" w:rsidRPr="001106FA" w14:paraId="511FDABE" w14:textId="77777777" w:rsidTr="005D5BB3">
        <w:trPr>
          <w:trHeight w:val="285"/>
        </w:trPr>
        <w:tc>
          <w:tcPr>
            <w:tcW w:w="588" w:type="pct"/>
            <w:vMerge w:val="restart"/>
            <w:tcBorders>
              <w:left w:val="single" w:sz="4" w:space="0" w:color="auto"/>
              <w:right w:val="single" w:sz="4" w:space="0" w:color="auto"/>
            </w:tcBorders>
            <w:vAlign w:val="center"/>
            <w:hideMark/>
          </w:tcPr>
          <w:p w14:paraId="432BAA7E"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7D388F12"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DD58F09"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4DD42E3"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w:t>
            </w:r>
            <w:r>
              <w:rPr>
                <w:rFonts w:ascii="Arial" w:eastAsia="仿宋_GB2312" w:hAnsi="Arial" w:cs="Arial"/>
                <w:sz w:val="18"/>
                <w:szCs w:val="18"/>
              </w:rPr>
              <w:t>99.5</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75BA042"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87591C" w:rsidRPr="001106FA" w14:paraId="7DB22536" w14:textId="77777777" w:rsidTr="005D5BB3">
        <w:trPr>
          <w:trHeight w:val="285"/>
        </w:trPr>
        <w:tc>
          <w:tcPr>
            <w:tcW w:w="588" w:type="pct"/>
            <w:vMerge/>
            <w:tcBorders>
              <w:left w:val="single" w:sz="4" w:space="0" w:color="auto"/>
              <w:right w:val="single" w:sz="4" w:space="0" w:color="auto"/>
            </w:tcBorders>
            <w:vAlign w:val="center"/>
            <w:hideMark/>
          </w:tcPr>
          <w:p w14:paraId="4E1791E6"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79450D73"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922005E"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874FF46"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w:t>
            </w:r>
            <w:r>
              <w:rPr>
                <w:rFonts w:ascii="Arial" w:eastAsia="仿宋_GB2312" w:hAnsi="Arial" w:cs="Arial"/>
                <w:sz w:val="18"/>
                <w:szCs w:val="18"/>
              </w:rPr>
              <w:t>98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B71F434"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87591C" w:rsidRPr="001106FA" w14:paraId="360F494C" w14:textId="77777777" w:rsidTr="005D5BB3">
        <w:trPr>
          <w:trHeight w:val="285"/>
        </w:trPr>
        <w:tc>
          <w:tcPr>
            <w:tcW w:w="588" w:type="pct"/>
            <w:vMerge/>
            <w:tcBorders>
              <w:left w:val="single" w:sz="4" w:space="0" w:color="auto"/>
              <w:bottom w:val="single" w:sz="4" w:space="0" w:color="auto"/>
              <w:right w:val="single" w:sz="4" w:space="0" w:color="auto"/>
            </w:tcBorders>
            <w:vAlign w:val="center"/>
          </w:tcPr>
          <w:p w14:paraId="364A7CE8"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tcPr>
          <w:p w14:paraId="62A6A686"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2E4F3F25"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31362777"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0594BC7A"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87591C" w:rsidRPr="001106FA" w14:paraId="5841CE68" w14:textId="77777777" w:rsidTr="005D5BB3">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037BAC33"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3A89CDDC"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配套类型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3AB46A4"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CC1D39F"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2E076FE"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87591C" w:rsidRPr="001106FA" w14:paraId="36038041" w14:textId="77777777" w:rsidTr="005D5BB3">
        <w:trPr>
          <w:trHeight w:val="285"/>
        </w:trPr>
        <w:tc>
          <w:tcPr>
            <w:tcW w:w="588" w:type="pct"/>
            <w:vMerge/>
            <w:tcBorders>
              <w:top w:val="nil"/>
              <w:left w:val="single" w:sz="4" w:space="0" w:color="auto"/>
              <w:bottom w:val="single" w:sz="4" w:space="0" w:color="auto"/>
              <w:right w:val="single" w:sz="4" w:space="0" w:color="auto"/>
            </w:tcBorders>
            <w:vAlign w:val="center"/>
            <w:hideMark/>
          </w:tcPr>
          <w:p w14:paraId="6F984757"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3FF5D376"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项目停车位配比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4BE1D46"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w:t>
            </w:r>
            <w:r>
              <w:rPr>
                <w:rFonts w:ascii="Arial" w:eastAsia="仿宋_GB2312" w:hAnsi="Arial" w:cs="Arial"/>
                <w:sz w:val="18"/>
                <w:szCs w:val="18"/>
              </w:rPr>
              <w:t>101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C75E43E"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1C1E1E2"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w:t>
            </w:r>
            <w:r>
              <w:rPr>
                <w:rFonts w:ascii="Arial" w:eastAsia="仿宋_GB2312" w:hAnsi="Arial" w:cs="Arial"/>
                <w:sz w:val="18"/>
                <w:szCs w:val="18"/>
              </w:rPr>
              <w:t>102</w:t>
            </w:r>
          </w:p>
        </w:tc>
      </w:tr>
      <w:tr w:rsidR="0087591C" w:rsidRPr="001106FA" w14:paraId="386C20EB" w14:textId="77777777" w:rsidTr="005D5BB3">
        <w:trPr>
          <w:trHeight w:val="285"/>
        </w:trPr>
        <w:tc>
          <w:tcPr>
            <w:tcW w:w="588" w:type="pct"/>
            <w:vMerge/>
            <w:tcBorders>
              <w:top w:val="nil"/>
              <w:left w:val="single" w:sz="4" w:space="0" w:color="auto"/>
              <w:bottom w:val="single" w:sz="4" w:space="0" w:color="auto"/>
              <w:right w:val="single" w:sz="4" w:space="0" w:color="auto"/>
            </w:tcBorders>
            <w:vAlign w:val="center"/>
            <w:hideMark/>
          </w:tcPr>
          <w:p w14:paraId="3F5C1FD8"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4C3E8054"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成新率</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4CDEEB6"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B4B6794"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6D159BA"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87591C" w:rsidRPr="001106FA" w14:paraId="63A826A6" w14:textId="77777777" w:rsidTr="005D5BB3">
        <w:trPr>
          <w:trHeight w:val="285"/>
        </w:trPr>
        <w:tc>
          <w:tcPr>
            <w:tcW w:w="588" w:type="pct"/>
            <w:vMerge/>
            <w:tcBorders>
              <w:top w:val="nil"/>
              <w:left w:val="single" w:sz="4" w:space="0" w:color="auto"/>
              <w:bottom w:val="single" w:sz="4" w:space="0" w:color="auto"/>
              <w:right w:val="single" w:sz="4" w:space="0" w:color="auto"/>
            </w:tcBorders>
            <w:vAlign w:val="center"/>
            <w:hideMark/>
          </w:tcPr>
          <w:p w14:paraId="2737A3E0"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hideMark/>
          </w:tcPr>
          <w:p w14:paraId="1C968D50"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D22946">
              <w:rPr>
                <w:rFonts w:ascii="Arial" w:eastAsia="仿宋_GB2312" w:hAnsi="Arial" w:cs="Arial" w:hint="eastAsia"/>
                <w:sz w:val="18"/>
                <w:szCs w:val="18"/>
              </w:rPr>
              <w:t>停车位面积</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6B7EDBC"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w:t>
            </w:r>
            <w:r>
              <w:rPr>
                <w:rFonts w:ascii="Arial" w:eastAsia="仿宋_GB2312" w:hAnsi="Arial" w:cs="Arial"/>
                <w:sz w:val="18"/>
                <w:szCs w:val="18"/>
              </w:rPr>
              <w:t>94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9281D8F"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w:t>
            </w:r>
            <w:r>
              <w:rPr>
                <w:rFonts w:ascii="Arial" w:eastAsia="仿宋_GB2312" w:hAnsi="Arial" w:cs="Arial"/>
                <w:sz w:val="18"/>
                <w:szCs w:val="18"/>
              </w:rPr>
              <w:t>94</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4302F61A"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w:t>
            </w:r>
            <w:r>
              <w:rPr>
                <w:rFonts w:ascii="Arial" w:eastAsia="仿宋_GB2312" w:hAnsi="Arial" w:cs="Arial"/>
                <w:sz w:val="18"/>
                <w:szCs w:val="18"/>
              </w:rPr>
              <w:t>82</w:t>
            </w:r>
          </w:p>
        </w:tc>
      </w:tr>
      <w:tr w:rsidR="0087591C" w:rsidRPr="001106FA" w14:paraId="7B1807AE" w14:textId="77777777" w:rsidTr="005D5BB3">
        <w:trPr>
          <w:trHeight w:val="285"/>
        </w:trPr>
        <w:tc>
          <w:tcPr>
            <w:tcW w:w="588" w:type="pct"/>
            <w:vMerge/>
            <w:tcBorders>
              <w:top w:val="nil"/>
              <w:left w:val="single" w:sz="4" w:space="0" w:color="auto"/>
              <w:bottom w:val="single" w:sz="4" w:space="0" w:color="auto"/>
              <w:right w:val="single" w:sz="4" w:space="0" w:color="auto"/>
            </w:tcBorders>
            <w:vAlign w:val="center"/>
            <w:hideMark/>
          </w:tcPr>
          <w:p w14:paraId="44DF9B07"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514B2486"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物业管理</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AC4FF5F"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285BF6D"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00D58E4"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87591C" w:rsidRPr="001106FA" w14:paraId="1CF324D8" w14:textId="77777777" w:rsidTr="005D5BB3">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EBA1C8"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销售价格（元</w:t>
            </w:r>
            <w:r w:rsidRPr="00AF0914">
              <w:rPr>
                <w:rFonts w:ascii="Arial" w:eastAsia="仿宋_GB2312" w:hAnsi="Arial" w:cs="Arial"/>
                <w:sz w:val="18"/>
                <w:szCs w:val="18"/>
              </w:rPr>
              <w:t>/</w:t>
            </w:r>
            <w:r w:rsidRPr="00AF0914">
              <w:rPr>
                <w:rFonts w:ascii="Arial" w:eastAsia="仿宋_GB2312" w:hAnsi="Arial" w:cs="Arial"/>
                <w:sz w:val="18"/>
                <w:szCs w:val="18"/>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1AA745C"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14558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33ECD2E"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14018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B523CCB"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12264</w:t>
            </w:r>
          </w:p>
        </w:tc>
      </w:tr>
      <w:tr w:rsidR="0087591C" w:rsidRPr="001106FA" w14:paraId="63EA8FD3" w14:textId="77777777" w:rsidTr="005D5BB3">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D937EE"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比较价格（元</w:t>
            </w:r>
            <w:r w:rsidRPr="00AF0914">
              <w:rPr>
                <w:rFonts w:ascii="Arial" w:eastAsia="仿宋_GB2312" w:hAnsi="Arial" w:cs="Arial"/>
                <w:sz w:val="18"/>
                <w:szCs w:val="18"/>
              </w:rPr>
              <w:t>/</w:t>
            </w:r>
            <w:r w:rsidRPr="00AF0914">
              <w:rPr>
                <w:rFonts w:ascii="Arial" w:eastAsia="仿宋_GB2312" w:hAnsi="Arial" w:cs="Arial"/>
                <w:sz w:val="18"/>
                <w:szCs w:val="18"/>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643678C"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15334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2E847A5"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15294</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441139FE"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14663</w:t>
            </w:r>
          </w:p>
        </w:tc>
      </w:tr>
      <w:tr w:rsidR="0087591C" w:rsidRPr="001106FA" w14:paraId="762815CD" w14:textId="77777777" w:rsidTr="005D5BB3">
        <w:trPr>
          <w:trHeight w:val="300"/>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9C8797"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比准价格</w:t>
            </w:r>
            <w:r w:rsidRPr="00AF0914">
              <w:rPr>
                <w:rFonts w:ascii="Arial" w:eastAsia="仿宋_GB2312" w:hAnsi="Arial" w:cs="Arial"/>
                <w:sz w:val="18"/>
                <w:szCs w:val="18"/>
              </w:rPr>
              <w:t>（元</w:t>
            </w:r>
            <w:r w:rsidRPr="00AF0914">
              <w:rPr>
                <w:rFonts w:ascii="Arial" w:eastAsia="仿宋_GB2312" w:hAnsi="Arial" w:cs="Arial"/>
                <w:sz w:val="18"/>
                <w:szCs w:val="18"/>
              </w:rPr>
              <w:t>/</w:t>
            </w:r>
            <w:r w:rsidRPr="00AF0914">
              <w:rPr>
                <w:rFonts w:ascii="Arial" w:eastAsia="仿宋_GB2312" w:hAnsi="Arial" w:cs="Arial"/>
                <w:sz w:val="18"/>
                <w:szCs w:val="18"/>
              </w:rPr>
              <w:t>平方米）</w:t>
            </w:r>
          </w:p>
        </w:tc>
        <w:tc>
          <w:tcPr>
            <w:tcW w:w="3303" w:type="pct"/>
            <w:gridSpan w:val="3"/>
            <w:tcBorders>
              <w:top w:val="single" w:sz="4" w:space="0" w:color="auto"/>
              <w:left w:val="nil"/>
              <w:bottom w:val="single" w:sz="4" w:space="0" w:color="auto"/>
              <w:right w:val="single" w:sz="4" w:space="0" w:color="auto"/>
            </w:tcBorders>
            <w:shd w:val="clear" w:color="auto" w:fill="auto"/>
            <w:noWrap/>
            <w:vAlign w:val="center"/>
            <w:hideMark/>
          </w:tcPr>
          <w:p w14:paraId="680A81F2" w14:textId="77777777" w:rsidR="0087591C" w:rsidRPr="00AF0914" w:rsidRDefault="0087591C" w:rsidP="005D5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15097</w:t>
            </w:r>
          </w:p>
        </w:tc>
      </w:tr>
    </w:tbl>
    <w:p w14:paraId="7AD94118" w14:textId="77777777" w:rsidR="0087591C" w:rsidRPr="00F631FB" w:rsidRDefault="0087591C" w:rsidP="0087591C">
      <w:pPr>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7BA33E03" w14:textId="77777777" w:rsidR="0087591C" w:rsidRPr="00F631FB" w:rsidRDefault="0087591C" w:rsidP="0087591C">
      <w:pPr>
        <w:spacing w:line="360" w:lineRule="auto"/>
        <w:ind w:firstLineChars="200" w:firstLine="560"/>
        <w:rPr>
          <w:rFonts w:ascii="Arial" w:eastAsia="仿宋_GB2312" w:hAnsi="Arial" w:cs="Arial"/>
          <w:sz w:val="28"/>
        </w:rPr>
      </w:pPr>
      <w:r w:rsidRPr="00F631FB">
        <w:rPr>
          <w:rFonts w:ascii="Arial" w:eastAsia="仿宋_GB2312" w:hAnsi="Arial" w:cs="Arial"/>
          <w:sz w:val="28"/>
        </w:rPr>
        <w:t>估价对象</w:t>
      </w:r>
      <w:r>
        <w:rPr>
          <w:rFonts w:ascii="Arial" w:eastAsia="仿宋_GB2312" w:hAnsi="Arial" w:cs="Arial" w:hint="eastAsia"/>
          <w:sz w:val="28"/>
        </w:rPr>
        <w:t>地下车库</w:t>
      </w:r>
      <w:r w:rsidRPr="00F631FB">
        <w:rPr>
          <w:rFonts w:ascii="Arial" w:eastAsia="仿宋_GB2312" w:hAnsi="Arial" w:cs="Arial"/>
          <w:sz w:val="28"/>
        </w:rPr>
        <w:t>用房不动产</w:t>
      </w:r>
      <w:r w:rsidRPr="00F631FB">
        <w:rPr>
          <w:rFonts w:ascii="Arial" w:eastAsia="仿宋_GB2312" w:hAnsi="Arial" w:cs="Arial" w:hint="eastAsia"/>
          <w:sz w:val="28"/>
        </w:rPr>
        <w:t>比准价格</w:t>
      </w:r>
      <w:r w:rsidRPr="00F631FB">
        <w:rPr>
          <w:rFonts w:ascii="Arial" w:eastAsia="仿宋_GB2312" w:hAnsi="Arial" w:cs="Arial"/>
          <w:sz w:val="28"/>
        </w:rPr>
        <w:t xml:space="preserve"> </w:t>
      </w:r>
    </w:p>
    <w:p w14:paraId="408EE284" w14:textId="77777777" w:rsidR="0087591C" w:rsidRPr="00F631FB" w:rsidRDefault="0087591C" w:rsidP="0087591C">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sidRPr="00DF2CC0">
        <w:rPr>
          <w:rFonts w:ascii="Arial" w:eastAsia="仿宋_GB2312" w:hAnsi="Arial" w:cs="Arial"/>
          <w:sz w:val="28"/>
        </w:rPr>
        <w:t>15334</w:t>
      </w:r>
      <w:r>
        <w:rPr>
          <w:rFonts w:ascii="Arial" w:eastAsia="仿宋_GB2312" w:hAnsi="Arial" w:cs="Arial"/>
          <w:sz w:val="28"/>
        </w:rPr>
        <w:t>+</w:t>
      </w:r>
      <w:r w:rsidRPr="00DF2CC0">
        <w:rPr>
          <w:rFonts w:ascii="Arial" w:eastAsia="仿宋_GB2312" w:hAnsi="Arial" w:cs="Arial"/>
          <w:sz w:val="28"/>
        </w:rPr>
        <w:t>15</w:t>
      </w:r>
      <w:r>
        <w:rPr>
          <w:rFonts w:ascii="Arial" w:eastAsia="仿宋_GB2312" w:hAnsi="Arial" w:cs="Arial"/>
          <w:sz w:val="28"/>
        </w:rPr>
        <w:t>294+</w:t>
      </w:r>
      <w:r w:rsidRPr="00DF2CC0">
        <w:rPr>
          <w:rFonts w:ascii="Arial" w:eastAsia="仿宋_GB2312" w:hAnsi="Arial" w:cs="Arial"/>
          <w:sz w:val="28"/>
        </w:rPr>
        <w:t>14663</w:t>
      </w:r>
      <w:r w:rsidRPr="00F631FB">
        <w:rPr>
          <w:rFonts w:ascii="Arial" w:eastAsia="仿宋_GB2312" w:hAnsi="Arial" w:cs="Arial"/>
          <w:sz w:val="28"/>
        </w:rPr>
        <w:t>）</w:t>
      </w:r>
      <w:r w:rsidRPr="00F631FB">
        <w:rPr>
          <w:rFonts w:ascii="Arial" w:eastAsia="仿宋_GB2312" w:hAnsi="Arial" w:cs="Arial"/>
          <w:sz w:val="28"/>
        </w:rPr>
        <w:t>÷3</w:t>
      </w:r>
    </w:p>
    <w:p w14:paraId="4494AB4F" w14:textId="77777777" w:rsidR="0087591C"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bCs/>
          <w:sz w:val="28"/>
        </w:rPr>
        <w:t>15097</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167CC8DF"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开发完成后不动产总价＝</w:t>
      </w:r>
      <w:r w:rsidRPr="00F631FB">
        <w:rPr>
          <w:rFonts w:ascii="Arial" w:eastAsia="仿宋_GB2312" w:hAnsi="Arial" w:cs="Arial" w:hint="eastAsia"/>
          <w:sz w:val="28"/>
        </w:rPr>
        <w:t>比准价格</w:t>
      </w:r>
      <w:r w:rsidRPr="00F631FB">
        <w:rPr>
          <w:rFonts w:ascii="Arial" w:eastAsia="仿宋_GB2312" w:hAnsi="Arial" w:cs="Arial"/>
          <w:sz w:val="28"/>
        </w:rPr>
        <w:t>×</w:t>
      </w:r>
      <w:r w:rsidRPr="00F631FB">
        <w:rPr>
          <w:rFonts w:ascii="Arial" w:eastAsia="仿宋_GB2312" w:hAnsi="Arial" w:cs="Arial"/>
          <w:sz w:val="28"/>
        </w:rPr>
        <w:t>建筑面积</w:t>
      </w:r>
    </w:p>
    <w:p w14:paraId="4C32DE50" w14:textId="77777777" w:rsidR="0087591C" w:rsidRPr="00F631FB" w:rsidRDefault="0087591C" w:rsidP="0087591C">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15097</w:t>
      </w:r>
      <w:r w:rsidRPr="00F631FB">
        <w:rPr>
          <w:rFonts w:ascii="Arial" w:eastAsia="仿宋_GB2312" w:hAnsi="Arial" w:cs="Arial" w:hint="eastAsia"/>
          <w:sz w:val="28"/>
        </w:rPr>
        <w:t>×</w:t>
      </w:r>
      <w:r>
        <w:rPr>
          <w:rFonts w:ascii="Arial" w:eastAsia="仿宋_GB2312" w:hAnsi="Arial" w:cs="Arial"/>
          <w:sz w:val="28"/>
        </w:rPr>
        <w:t>10345.02</w:t>
      </w:r>
      <w:r w:rsidRPr="00F631FB">
        <w:rPr>
          <w:rFonts w:ascii="Arial" w:eastAsia="仿宋_GB2312" w:hAnsi="Arial" w:cs="Arial"/>
          <w:sz w:val="28"/>
        </w:rPr>
        <w:t>÷10000</w:t>
      </w:r>
    </w:p>
    <w:p w14:paraId="568791F5" w14:textId="77777777" w:rsidR="0087591C" w:rsidRPr="00F631FB" w:rsidRDefault="0087591C" w:rsidP="0087591C">
      <w:pPr>
        <w:spacing w:line="360" w:lineRule="auto"/>
        <w:ind w:firstLineChars="1250" w:firstLine="3500"/>
        <w:jc w:val="both"/>
        <w:rPr>
          <w:rFonts w:ascii="Arial" w:eastAsia="仿宋_GB2312" w:hAnsi="Arial" w:cs="Arial"/>
          <w:sz w:val="28"/>
        </w:rPr>
      </w:pPr>
      <w:r>
        <w:rPr>
          <w:rFonts w:ascii="Arial" w:eastAsia="仿宋_GB2312" w:hAnsi="Arial" w:cs="Arial"/>
          <w:sz w:val="28"/>
        </w:rPr>
        <w:t>=15618</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29F73740"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）开发成本</w:t>
      </w:r>
    </w:p>
    <w:p w14:paraId="0C0F6486"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sz w:val="28"/>
        </w:rPr>
        <w:t>建造成本</w:t>
      </w:r>
    </w:p>
    <w:p w14:paraId="45902D17" w14:textId="77777777" w:rsidR="0087591C"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a.</w:t>
      </w:r>
      <w:r w:rsidRPr="00F631FB">
        <w:rPr>
          <w:rFonts w:ascii="Arial" w:eastAsia="仿宋_GB2312" w:hAnsi="Arial" w:cs="Arial"/>
          <w:sz w:val="28"/>
        </w:rPr>
        <w:t>建安费用</w:t>
      </w:r>
    </w:p>
    <w:p w14:paraId="471E9EFA"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本次评估参考现行北京市工程概预算定额以及同类建筑的建安水平，同时考虑估价对象建筑结构、设备与装修标准等，综合确定</w:t>
      </w:r>
      <w:r>
        <w:rPr>
          <w:rFonts w:ascii="Arial" w:eastAsia="仿宋_GB2312" w:hAnsi="Arial" w:cs="Arial" w:hint="eastAsia"/>
          <w:sz w:val="28"/>
        </w:rPr>
        <w:t>地下车库用房</w:t>
      </w:r>
      <w:r w:rsidRPr="00F631FB">
        <w:rPr>
          <w:rFonts w:ascii="Arial" w:eastAsia="仿宋_GB2312" w:hAnsi="Arial" w:cs="Arial"/>
          <w:sz w:val="28"/>
        </w:rPr>
        <w:t>建安费用为</w:t>
      </w:r>
      <w:r>
        <w:rPr>
          <w:rFonts w:ascii="Arial" w:eastAsia="仿宋_GB2312" w:hAnsi="Arial" w:cs="Arial" w:hint="eastAsia"/>
          <w:sz w:val="28"/>
        </w:rPr>
        <w:t>3</w:t>
      </w:r>
      <w:r>
        <w:rPr>
          <w:rFonts w:ascii="Arial" w:eastAsia="仿宋_GB2312" w:hAnsi="Arial" w:cs="Arial"/>
          <w:sz w:val="28"/>
        </w:rPr>
        <w:t>000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7CC5AB91"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建安费用＝单方造价</w:t>
      </w:r>
      <w:r w:rsidRPr="00F631FB">
        <w:rPr>
          <w:rFonts w:ascii="Arial" w:eastAsia="仿宋_GB2312" w:hAnsi="Arial" w:cs="Arial"/>
          <w:sz w:val="28"/>
        </w:rPr>
        <w:t>×</w:t>
      </w:r>
      <w:r w:rsidRPr="00F631FB">
        <w:rPr>
          <w:rFonts w:ascii="Arial" w:eastAsia="仿宋_GB2312" w:hAnsi="Arial" w:cs="Arial"/>
          <w:sz w:val="28"/>
        </w:rPr>
        <w:t>建筑面积</w:t>
      </w:r>
    </w:p>
    <w:p w14:paraId="4653D635" w14:textId="77777777" w:rsidR="0087591C" w:rsidRPr="00F631FB" w:rsidRDefault="0087591C" w:rsidP="0087591C">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3000</w:t>
      </w:r>
      <w:r w:rsidRPr="00F631FB">
        <w:rPr>
          <w:rFonts w:ascii="Arial" w:eastAsia="仿宋_GB2312" w:hAnsi="Arial" w:cs="Arial"/>
          <w:sz w:val="28"/>
        </w:rPr>
        <w:t>×</w:t>
      </w:r>
      <w:r>
        <w:rPr>
          <w:rFonts w:ascii="Arial" w:eastAsia="仿宋_GB2312" w:hAnsi="Arial" w:cs="Arial"/>
          <w:sz w:val="28"/>
        </w:rPr>
        <w:t>10345.02</w:t>
      </w:r>
      <w:r w:rsidRPr="00F631FB">
        <w:rPr>
          <w:rFonts w:ascii="Arial" w:eastAsia="仿宋_GB2312" w:hAnsi="Arial" w:cs="Arial"/>
          <w:sz w:val="28"/>
        </w:rPr>
        <w:t>÷10000</w:t>
      </w:r>
    </w:p>
    <w:p w14:paraId="194D84E6" w14:textId="77777777" w:rsidR="0087591C" w:rsidRPr="00F631FB" w:rsidRDefault="0087591C" w:rsidP="0087591C">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3104</w:t>
      </w:r>
      <w:r>
        <w:rPr>
          <w:rFonts w:ascii="Arial" w:eastAsia="仿宋_GB2312" w:hAnsi="Arial" w:cs="Arial" w:hint="eastAsia"/>
          <w:sz w:val="28"/>
        </w:rPr>
        <w:t>（万元）</w:t>
      </w:r>
    </w:p>
    <w:p w14:paraId="4DF036A2"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sz w:val="28"/>
        </w:rPr>
        <w:t>勘查设计和前期工程费</w:t>
      </w:r>
    </w:p>
    <w:p w14:paraId="136CBED8"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F631FB">
        <w:rPr>
          <w:rFonts w:ascii="Arial" w:eastAsia="仿宋_GB2312" w:hAnsi="Arial" w:cs="Arial"/>
          <w:sz w:val="28"/>
        </w:rPr>
        <w:t>3%</w:t>
      </w:r>
      <w:r w:rsidRPr="00F631FB">
        <w:rPr>
          <w:rFonts w:ascii="Arial" w:eastAsia="仿宋_GB2312" w:hAnsi="Arial" w:cs="Arial"/>
          <w:sz w:val="28"/>
        </w:rPr>
        <w:t>取费，则有：</w:t>
      </w:r>
    </w:p>
    <w:p w14:paraId="4DE21DB7"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w:t>
      </w:r>
    </w:p>
    <w:p w14:paraId="769AC6A0"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＝建安费用</w:t>
      </w:r>
      <w:r w:rsidRPr="00F631FB">
        <w:rPr>
          <w:rFonts w:ascii="Arial" w:eastAsia="仿宋_GB2312" w:hAnsi="Arial" w:cs="Arial"/>
          <w:sz w:val="28"/>
        </w:rPr>
        <w:t>×</w:t>
      </w:r>
      <w:r w:rsidRPr="00F631FB">
        <w:rPr>
          <w:rFonts w:ascii="Arial" w:eastAsia="仿宋_GB2312" w:hAnsi="Arial" w:cs="Arial"/>
          <w:sz w:val="28"/>
        </w:rPr>
        <w:t>取费标准</w:t>
      </w:r>
    </w:p>
    <w:p w14:paraId="2AC2DD77" w14:textId="77777777" w:rsidR="0087591C"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3104</w:t>
      </w:r>
      <w:r w:rsidRPr="00F631FB">
        <w:rPr>
          <w:rFonts w:ascii="Arial" w:eastAsia="仿宋_GB2312" w:hAnsi="Arial" w:cs="Arial"/>
          <w:sz w:val="28"/>
        </w:rPr>
        <w:t>×3%</w:t>
      </w:r>
    </w:p>
    <w:p w14:paraId="10B6E318"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93</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5332C06C"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sz w:val="28"/>
        </w:rPr>
        <w:t>公共配套设施费用</w:t>
      </w:r>
    </w:p>
    <w:p w14:paraId="5D0CCB9F" w14:textId="77777777" w:rsidR="0087591C"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4EEC6B2D"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d.</w:t>
      </w:r>
      <w:r w:rsidRPr="00F631FB">
        <w:rPr>
          <w:rFonts w:ascii="Arial" w:eastAsia="仿宋_GB2312" w:hAnsi="Arial" w:cs="Arial"/>
          <w:sz w:val="28"/>
        </w:rPr>
        <w:t>红线内市政基础设施费</w:t>
      </w:r>
    </w:p>
    <w:p w14:paraId="5ED88413"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（即通路、通电、通讯、通上水、通下水、通燃气、通热力），结合估价对象所在区域实际情况确定红线内市政基础设施费为</w:t>
      </w:r>
      <w:r w:rsidRPr="00F631FB">
        <w:rPr>
          <w:rFonts w:ascii="Arial" w:eastAsia="仿宋_GB2312" w:hAnsi="Arial" w:cs="Arial"/>
          <w:sz w:val="28"/>
        </w:rPr>
        <w:t>200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334FA7DE"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w:t>
      </w:r>
    </w:p>
    <w:p w14:paraId="11E7B6C2"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015AF26B"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10345.02</w:t>
      </w:r>
      <w:r w:rsidRPr="00F631FB">
        <w:rPr>
          <w:rFonts w:ascii="Arial" w:eastAsia="仿宋_GB2312" w:hAnsi="Arial" w:cs="Arial"/>
          <w:sz w:val="28"/>
        </w:rPr>
        <w:t>×200÷10000</w:t>
      </w:r>
    </w:p>
    <w:p w14:paraId="1912A05B"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207</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7A9E8059"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相关税费</w:t>
      </w:r>
    </w:p>
    <w:p w14:paraId="2DAED201"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F631FB">
        <w:rPr>
          <w:rFonts w:ascii="Arial" w:eastAsia="仿宋_GB2312" w:hAnsi="Arial" w:cs="Arial"/>
          <w:sz w:val="28"/>
        </w:rPr>
        <w:t>1.5%</w:t>
      </w:r>
      <w:r w:rsidRPr="00F631FB">
        <w:rPr>
          <w:rFonts w:ascii="Arial" w:eastAsia="仿宋_GB2312" w:hAnsi="Arial" w:cs="Arial"/>
          <w:sz w:val="28"/>
        </w:rPr>
        <w:t>取费，则有：</w:t>
      </w:r>
    </w:p>
    <w:p w14:paraId="26BB2F61"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相关税费＝建安费用</w:t>
      </w:r>
      <w:r w:rsidRPr="00F631FB">
        <w:rPr>
          <w:rFonts w:ascii="Arial" w:eastAsia="仿宋_GB2312" w:hAnsi="Arial" w:cs="Arial"/>
          <w:sz w:val="28"/>
        </w:rPr>
        <w:t>×</w:t>
      </w:r>
      <w:r w:rsidRPr="00F631FB">
        <w:rPr>
          <w:rFonts w:ascii="Arial" w:eastAsia="仿宋_GB2312" w:hAnsi="Arial" w:cs="Arial"/>
          <w:sz w:val="28"/>
        </w:rPr>
        <w:t>取费标准</w:t>
      </w:r>
    </w:p>
    <w:p w14:paraId="76156CDC" w14:textId="77777777" w:rsidR="0087591C" w:rsidRPr="00F631FB" w:rsidRDefault="0087591C" w:rsidP="0087591C">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3104</w:t>
      </w:r>
      <w:r w:rsidRPr="00F631FB">
        <w:rPr>
          <w:rFonts w:ascii="Arial" w:eastAsia="仿宋_GB2312" w:hAnsi="Arial" w:cs="Arial"/>
          <w:sz w:val="28"/>
        </w:rPr>
        <w:t>×1.5%</w:t>
      </w:r>
    </w:p>
    <w:p w14:paraId="2EFE1ED9" w14:textId="77777777" w:rsidR="0087591C" w:rsidRPr="00F631FB" w:rsidRDefault="0087591C" w:rsidP="0087591C">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47</w:t>
      </w:r>
      <w:r w:rsidRPr="00F631FB">
        <w:rPr>
          <w:rFonts w:ascii="Arial" w:eastAsia="仿宋_GB2312" w:hAnsi="Arial" w:cs="Arial"/>
          <w:sz w:val="28"/>
        </w:rPr>
        <w:t>（万元）</w:t>
      </w:r>
    </w:p>
    <w:p w14:paraId="65F22619"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f.</w:t>
      </w:r>
      <w:r w:rsidRPr="00F631FB">
        <w:rPr>
          <w:rFonts w:ascii="Arial" w:eastAsia="仿宋_GB2312" w:hAnsi="Arial" w:cs="Arial"/>
          <w:sz w:val="28"/>
        </w:rPr>
        <w:t>建造成本</w:t>
      </w:r>
    </w:p>
    <w:p w14:paraId="15AC80ED"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建造成本为上述</w:t>
      </w:r>
      <w:r w:rsidRPr="00F631FB">
        <w:rPr>
          <w:rFonts w:ascii="Arial" w:eastAsia="仿宋_GB2312" w:hAnsi="Arial" w:cs="Arial"/>
          <w:sz w:val="28"/>
        </w:rPr>
        <w:t>5</w:t>
      </w:r>
      <w:r w:rsidRPr="00F631FB">
        <w:rPr>
          <w:rFonts w:ascii="Arial" w:eastAsia="仿宋_GB2312" w:hAnsi="Arial" w:cs="Arial"/>
          <w:sz w:val="28"/>
        </w:rPr>
        <w:t>项之和，则有：</w:t>
      </w:r>
    </w:p>
    <w:p w14:paraId="15DAB088" w14:textId="77777777" w:rsidR="0087591C" w:rsidRPr="00F631FB" w:rsidRDefault="0087591C" w:rsidP="0087591C">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建造成本</w:t>
      </w:r>
      <w:r w:rsidRPr="00F631FB">
        <w:rPr>
          <w:rFonts w:ascii="Arial" w:eastAsia="仿宋_GB2312" w:hAnsi="Arial" w:cs="Arial"/>
          <w:sz w:val="28"/>
        </w:rPr>
        <w:t>=</w:t>
      </w:r>
      <w:r>
        <w:rPr>
          <w:rFonts w:ascii="Arial" w:eastAsia="仿宋_GB2312" w:hAnsi="Arial" w:cs="Arial"/>
          <w:sz w:val="28"/>
        </w:rPr>
        <w:t>3104</w:t>
      </w:r>
      <w:r w:rsidRPr="00F631FB">
        <w:rPr>
          <w:rFonts w:ascii="Arial" w:eastAsia="仿宋_GB2312" w:hAnsi="Arial" w:cs="Arial"/>
          <w:sz w:val="28"/>
        </w:rPr>
        <w:t>+</w:t>
      </w:r>
      <w:r>
        <w:rPr>
          <w:rFonts w:ascii="Arial" w:eastAsia="仿宋_GB2312" w:hAnsi="Arial" w:cs="Arial"/>
          <w:sz w:val="28"/>
        </w:rPr>
        <w:t>93</w:t>
      </w:r>
      <w:r w:rsidRPr="00F631FB">
        <w:rPr>
          <w:rFonts w:ascii="Arial" w:eastAsia="仿宋_GB2312" w:hAnsi="Arial" w:cs="Arial"/>
          <w:sz w:val="28"/>
        </w:rPr>
        <w:t>+</w:t>
      </w:r>
      <w:r>
        <w:rPr>
          <w:rFonts w:ascii="Arial" w:eastAsia="仿宋_GB2312" w:hAnsi="Arial" w:cs="Arial"/>
          <w:sz w:val="28"/>
        </w:rPr>
        <w:t>0+207+47</w:t>
      </w:r>
    </w:p>
    <w:p w14:paraId="01B3203C" w14:textId="77777777" w:rsidR="0087591C" w:rsidRPr="00F631FB" w:rsidRDefault="0087591C" w:rsidP="0087591C">
      <w:pPr>
        <w:spacing w:line="360" w:lineRule="auto"/>
        <w:ind w:firstLineChars="601" w:firstLine="1683"/>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3451</w:t>
      </w:r>
      <w:r w:rsidRPr="00F631FB">
        <w:rPr>
          <w:rFonts w:ascii="Arial" w:eastAsia="仿宋_GB2312" w:hAnsi="Arial" w:cs="Arial"/>
          <w:sz w:val="28"/>
        </w:rPr>
        <w:t>（万元）</w:t>
      </w:r>
    </w:p>
    <w:p w14:paraId="4FE85492"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B.</w:t>
      </w:r>
      <w:r w:rsidRPr="00F631FB">
        <w:rPr>
          <w:rFonts w:ascii="Arial" w:eastAsia="仿宋_GB2312" w:hAnsi="Arial" w:cs="Arial"/>
          <w:sz w:val="28"/>
        </w:rPr>
        <w:t>城市基础设施建设费</w:t>
      </w:r>
    </w:p>
    <w:p w14:paraId="1F01366A"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城市基础设施建设费是政府向建设单位收取、专项用于城市基础设施和城市共用设施建设，包括城市道路、桥梁、公共交通、供水、燃气、</w:t>
      </w:r>
      <w:hyperlink r:id="rId86" w:tgtFrame="_blank" w:history="1">
        <w:r w:rsidRPr="00F631FB">
          <w:rPr>
            <w:rFonts w:ascii="Arial" w:eastAsia="仿宋_GB2312" w:hAnsi="Arial" w:cs="Arial"/>
            <w:sz w:val="28"/>
          </w:rPr>
          <w:t>污水处理</w:t>
        </w:r>
      </w:hyperlink>
      <w:r w:rsidRPr="00F631FB">
        <w:rPr>
          <w:rFonts w:ascii="Arial" w:eastAsia="仿宋_GB2312" w:hAnsi="Arial" w:cs="Arial"/>
          <w:sz w:val="28"/>
        </w:rPr>
        <w:t>、集中供热、园林、绿化、路灯、环境卫生等设施的建设。估价对象位于</w:t>
      </w:r>
      <w:r w:rsidRPr="00F631FB">
        <w:rPr>
          <w:rFonts w:ascii="Arial" w:eastAsia="仿宋_GB2312" w:hAnsi="Arial" w:cs="Arial"/>
          <w:bCs/>
          <w:sz w:val="28"/>
        </w:rPr>
        <w:t>北京市海淀区，根</w:t>
      </w:r>
      <w:r w:rsidRPr="00F631FB">
        <w:rPr>
          <w:rFonts w:ascii="Arial" w:eastAsia="仿宋_GB2312" w:hAnsi="Arial" w:cs="Arial"/>
          <w:sz w:val="28"/>
        </w:rPr>
        <w:t>据《北京市征收城市基础设施建设费暂行办法》</w:t>
      </w:r>
      <w:r w:rsidRPr="00F631FB">
        <w:rPr>
          <w:rFonts w:ascii="Arial" w:eastAsia="仿宋_GB2312" w:hAnsi="Arial" w:cs="Arial"/>
          <w:sz w:val="28"/>
        </w:rPr>
        <w:t>[</w:t>
      </w:r>
      <w:proofErr w:type="gramStart"/>
      <w:r w:rsidRPr="00F631FB">
        <w:rPr>
          <w:rFonts w:ascii="Arial" w:eastAsia="仿宋_GB2312" w:hAnsi="Arial" w:cs="Arial"/>
          <w:sz w:val="28"/>
        </w:rPr>
        <w:t>京计投资字</w:t>
      </w:r>
      <w:proofErr w:type="gramEnd"/>
      <w:r w:rsidRPr="00F631FB">
        <w:rPr>
          <w:rFonts w:ascii="Arial" w:eastAsia="仿宋_GB2312" w:hAnsi="Arial" w:cs="Arial"/>
          <w:sz w:val="28"/>
        </w:rPr>
        <w:t>[2002]1792</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，估价对象属于北京市区，估价对象应缴的城市基础设施建设费标准为</w:t>
      </w:r>
      <w:r>
        <w:rPr>
          <w:rFonts w:ascii="Arial" w:eastAsia="仿宋_GB2312" w:hAnsi="Arial" w:cs="Arial" w:hint="eastAsia"/>
          <w:sz w:val="28"/>
        </w:rPr>
        <w:t>非住宅</w:t>
      </w:r>
      <w:r w:rsidRPr="00F631FB">
        <w:rPr>
          <w:rFonts w:ascii="Arial" w:eastAsia="仿宋_GB2312" w:hAnsi="Arial" w:cs="Arial"/>
          <w:sz w:val="28"/>
        </w:rPr>
        <w:t>：</w:t>
      </w:r>
      <w:r>
        <w:rPr>
          <w:rFonts w:ascii="Arial" w:eastAsia="仿宋_GB2312" w:hAnsi="Arial" w:cs="Arial"/>
          <w:sz w:val="28"/>
        </w:rPr>
        <w:t>200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0C915508"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w:t>
      </w:r>
    </w:p>
    <w:p w14:paraId="3E77C330"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1387D385"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10345.02</w:t>
      </w:r>
      <w:r w:rsidRPr="00F631FB">
        <w:rPr>
          <w:rFonts w:ascii="Arial" w:eastAsia="仿宋_GB2312" w:hAnsi="Arial" w:cs="Arial"/>
          <w:sz w:val="28"/>
        </w:rPr>
        <w:t>×</w:t>
      </w:r>
      <w:r>
        <w:rPr>
          <w:rFonts w:ascii="Arial" w:eastAsia="仿宋_GB2312" w:hAnsi="Arial" w:cs="Arial"/>
          <w:sz w:val="28"/>
        </w:rPr>
        <w:t>20</w:t>
      </w:r>
      <w:r w:rsidRPr="00F631FB">
        <w:rPr>
          <w:rFonts w:ascii="Arial" w:eastAsia="仿宋_GB2312" w:hAnsi="Arial" w:cs="Arial"/>
          <w:sz w:val="28"/>
        </w:rPr>
        <w:t>0÷10000</w:t>
      </w:r>
    </w:p>
    <w:p w14:paraId="5CCA48F1"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207</w:t>
      </w:r>
      <w:r w:rsidRPr="00F631FB">
        <w:rPr>
          <w:rFonts w:ascii="Arial" w:eastAsia="仿宋_GB2312" w:hAnsi="Arial" w:cs="Arial"/>
          <w:sz w:val="28"/>
        </w:rPr>
        <w:t>（万元）</w:t>
      </w:r>
    </w:p>
    <w:p w14:paraId="575D2528"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sz w:val="28"/>
        </w:rPr>
        <w:t>管理费用</w:t>
      </w:r>
    </w:p>
    <w:p w14:paraId="2B67670B"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F631FB">
        <w:rPr>
          <w:rFonts w:ascii="Arial" w:eastAsia="仿宋_GB2312" w:hAnsi="Arial" w:cs="Arial"/>
          <w:sz w:val="28"/>
        </w:rPr>
        <w:t>2</w:t>
      </w:r>
      <w:r w:rsidRPr="00F631FB">
        <w:rPr>
          <w:rFonts w:ascii="Arial" w:eastAsia="仿宋_GB2312" w:hAnsi="Arial" w:cs="Arial"/>
          <w:sz w:val="28"/>
        </w:rPr>
        <w:t>项的</w:t>
      </w:r>
      <w:r>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sz w:val="28"/>
        </w:rPr>
        <w:t>计算，则有：</w:t>
      </w:r>
    </w:p>
    <w:p w14:paraId="38E8DFF9"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管理费用</w:t>
      </w:r>
    </w:p>
    <w:p w14:paraId="58E5182A"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A+B</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取费标准</w:t>
      </w:r>
    </w:p>
    <w:p w14:paraId="67DCF2C0"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3451+207</w:t>
      </w:r>
      <w:r w:rsidRPr="00F631FB">
        <w:rPr>
          <w:rFonts w:ascii="Arial" w:eastAsia="仿宋_GB2312" w:hAnsi="Arial" w:cs="Arial"/>
          <w:sz w:val="28"/>
        </w:rPr>
        <w:t>）</w:t>
      </w:r>
      <w:r w:rsidRPr="00F631FB">
        <w:rPr>
          <w:rFonts w:ascii="Arial" w:eastAsia="仿宋_GB2312" w:hAnsi="Arial" w:cs="Arial"/>
          <w:sz w:val="28"/>
        </w:rPr>
        <w:t>×</w:t>
      </w:r>
      <w:r>
        <w:rPr>
          <w:rFonts w:ascii="Arial" w:eastAsia="仿宋_GB2312" w:hAnsi="Arial" w:cs="Arial"/>
          <w:sz w:val="28"/>
        </w:rPr>
        <w:t>2</w:t>
      </w:r>
      <w:r w:rsidRPr="00F631FB">
        <w:rPr>
          <w:rFonts w:ascii="Arial" w:eastAsia="仿宋_GB2312" w:hAnsi="Arial" w:cs="Arial"/>
          <w:sz w:val="28"/>
        </w:rPr>
        <w:t>%</w:t>
      </w:r>
    </w:p>
    <w:p w14:paraId="22599461"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73</w:t>
      </w:r>
      <w:r w:rsidRPr="00F631FB">
        <w:rPr>
          <w:rFonts w:ascii="Arial" w:eastAsia="仿宋_GB2312" w:hAnsi="Arial" w:cs="Arial"/>
          <w:sz w:val="28"/>
        </w:rPr>
        <w:t>（万元）</w:t>
      </w:r>
    </w:p>
    <w:p w14:paraId="619E24E7" w14:textId="77777777" w:rsidR="0087591C" w:rsidRPr="00F631FB" w:rsidRDefault="0087591C" w:rsidP="0087591C">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sz w:val="28"/>
        </w:rPr>
        <w:t>销售费用</w:t>
      </w:r>
    </w:p>
    <w:p w14:paraId="0AFA9FB1" w14:textId="77777777" w:rsidR="0087591C" w:rsidRPr="00F631FB" w:rsidRDefault="0087591C" w:rsidP="0087591C">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lastRenderedPageBreak/>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hint="eastAsia"/>
          <w:sz w:val="28"/>
        </w:rPr>
        <w:t>2</w:t>
      </w:r>
      <w:r w:rsidRPr="00F631FB">
        <w:rPr>
          <w:rFonts w:ascii="Arial" w:eastAsia="仿宋_GB2312" w:hAnsi="Arial" w:cs="Arial"/>
          <w:sz w:val="28"/>
        </w:rPr>
        <w:t>%</w:t>
      </w:r>
      <w:r w:rsidRPr="00F631FB">
        <w:rPr>
          <w:rFonts w:ascii="Arial" w:eastAsia="仿宋_GB2312" w:hAnsi="Arial" w:cs="Arial"/>
          <w:sz w:val="28"/>
        </w:rPr>
        <w:t>计算。</w:t>
      </w:r>
    </w:p>
    <w:p w14:paraId="4BCD00BF" w14:textId="77777777" w:rsidR="0087591C" w:rsidRPr="00F631FB" w:rsidRDefault="0087591C" w:rsidP="0087591C">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销售费用＝</w:t>
      </w:r>
      <w:r>
        <w:rPr>
          <w:rFonts w:ascii="Arial" w:eastAsia="仿宋_GB2312" w:hAnsi="Arial" w:cs="Arial"/>
          <w:sz w:val="28"/>
        </w:rPr>
        <w:t>15618</w:t>
      </w:r>
      <w:r w:rsidRPr="00F631FB">
        <w:rPr>
          <w:rFonts w:ascii="Arial" w:eastAsia="仿宋_GB2312" w:hAnsi="Arial" w:cs="Arial"/>
          <w:sz w:val="28"/>
        </w:rPr>
        <w:t>×</w:t>
      </w:r>
      <w:r>
        <w:rPr>
          <w:rFonts w:ascii="Arial" w:eastAsia="仿宋_GB2312" w:hAnsi="Arial" w:cs="Arial"/>
          <w:sz w:val="28"/>
        </w:rPr>
        <w:t>2</w:t>
      </w:r>
      <w:r w:rsidRPr="00F631FB">
        <w:rPr>
          <w:rFonts w:ascii="Arial" w:eastAsia="仿宋_GB2312" w:hAnsi="Arial" w:cs="Arial"/>
          <w:sz w:val="28"/>
        </w:rPr>
        <w:t>%=</w:t>
      </w:r>
      <w:r>
        <w:rPr>
          <w:rFonts w:ascii="Arial" w:eastAsia="仿宋_GB2312" w:hAnsi="Arial" w:cs="Arial"/>
          <w:sz w:val="28"/>
        </w:rPr>
        <w:t>312</w:t>
      </w:r>
      <w:r w:rsidRPr="00F631FB">
        <w:rPr>
          <w:rFonts w:ascii="Arial" w:eastAsia="仿宋_GB2312" w:hAnsi="Arial" w:cs="Arial"/>
          <w:sz w:val="28"/>
        </w:rPr>
        <w:t>（万元）</w:t>
      </w:r>
    </w:p>
    <w:p w14:paraId="12A2891D"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购地税费</w:t>
      </w:r>
    </w:p>
    <w:p w14:paraId="0072DC54"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假设土地价格为</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，买方购买估价对象税费主要为契税及印花税，税率为</w:t>
      </w:r>
      <w:r w:rsidRPr="00F631FB">
        <w:rPr>
          <w:rFonts w:ascii="Arial" w:eastAsia="仿宋_GB2312" w:hAnsi="Arial" w:cs="Arial"/>
          <w:sz w:val="28"/>
        </w:rPr>
        <w:t>3.05%</w:t>
      </w:r>
      <w:r w:rsidRPr="00F631FB">
        <w:rPr>
          <w:rFonts w:ascii="Arial" w:eastAsia="仿宋_GB2312" w:hAnsi="Arial" w:cs="Arial"/>
          <w:sz w:val="28"/>
        </w:rPr>
        <w:t>，则有：</w:t>
      </w:r>
    </w:p>
    <w:p w14:paraId="517B3E3C"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购地税费＝土地价格</w:t>
      </w:r>
      <w:r w:rsidRPr="00F631FB">
        <w:rPr>
          <w:rFonts w:ascii="Arial" w:eastAsia="仿宋_GB2312" w:hAnsi="Arial" w:cs="Arial"/>
          <w:sz w:val="28"/>
        </w:rPr>
        <w:t>×</w:t>
      </w:r>
      <w:r w:rsidRPr="00F631FB">
        <w:rPr>
          <w:rFonts w:ascii="Arial" w:eastAsia="仿宋_GB2312" w:hAnsi="Arial" w:cs="Arial"/>
          <w:sz w:val="28"/>
        </w:rPr>
        <w:t>税率</w:t>
      </w:r>
    </w:p>
    <w:p w14:paraId="000F54BA" w14:textId="77777777" w:rsidR="0087591C" w:rsidRPr="00F631FB" w:rsidRDefault="0087591C" w:rsidP="0087591C">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w:t>
      </w:r>
      <w:r w:rsidRPr="00F631FB">
        <w:rPr>
          <w:rFonts w:ascii="Arial" w:eastAsia="仿宋_GB2312" w:hAnsi="Arial" w:cs="Arial"/>
          <w:sz w:val="28"/>
        </w:rPr>
        <w:t>（万元）</w:t>
      </w:r>
    </w:p>
    <w:p w14:paraId="673202BD" w14:textId="77777777" w:rsidR="0087591C" w:rsidRPr="00F631FB" w:rsidRDefault="0087591C" w:rsidP="0087591C">
      <w:pPr>
        <w:pStyle w:val="11"/>
        <w:rPr>
          <w:rFonts w:ascii="Arial" w:hAnsi="Arial" w:cs="Arial"/>
        </w:rPr>
      </w:pPr>
      <w:r w:rsidRPr="00F631FB">
        <w:rPr>
          <w:rFonts w:ascii="Arial" w:hAnsi="Arial" w:cs="Arial"/>
        </w:rPr>
        <w:t>F.</w:t>
      </w:r>
      <w:r w:rsidRPr="00F631FB">
        <w:rPr>
          <w:rFonts w:ascii="Arial" w:hAnsi="Arial" w:cs="Arial"/>
        </w:rPr>
        <w:t>贷款利息</w:t>
      </w:r>
    </w:p>
    <w:p w14:paraId="049FFC15"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估价对象建筑物建设期为</w:t>
      </w:r>
      <w:r>
        <w:rPr>
          <w:rFonts w:ascii="Arial" w:eastAsia="仿宋_GB2312" w:hAnsi="Arial" w:cs="Arial"/>
          <w:sz w:val="28"/>
        </w:rPr>
        <w:t>3</w:t>
      </w:r>
      <w:r w:rsidRPr="00F631FB">
        <w:rPr>
          <w:rFonts w:ascii="Arial" w:eastAsia="仿宋_GB2312" w:hAnsi="Arial" w:cs="Arial"/>
          <w:sz w:val="28"/>
        </w:rPr>
        <w:t>年。估价对象土地价格（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）及购地税费在估价期日一次性付清，建造成本、土地开发费、城市基础设施建设费、管理费用于建设期内均匀投入，取</w:t>
      </w:r>
      <w:r w:rsidRPr="00F631FB">
        <w:rPr>
          <w:rFonts w:ascii="Arial" w:eastAsia="仿宋_GB2312" w:hAnsi="Arial" w:cs="Arial"/>
          <w:sz w:val="28"/>
        </w:rPr>
        <w:t>1</w:t>
      </w: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年期固定资产贷款年利息率</w:t>
      </w:r>
      <w:r w:rsidRPr="00F631FB">
        <w:rPr>
          <w:rFonts w:ascii="Arial" w:eastAsia="仿宋_GB2312" w:hAnsi="Arial" w:cs="Arial"/>
          <w:sz w:val="28"/>
        </w:rPr>
        <w:t>4.75%</w:t>
      </w:r>
      <w:r w:rsidRPr="00F631FB">
        <w:rPr>
          <w:rFonts w:ascii="Arial" w:eastAsia="仿宋_GB2312" w:hAnsi="Arial" w:cs="Arial"/>
          <w:sz w:val="28"/>
        </w:rPr>
        <w:t>，以复利计息。则有：</w:t>
      </w:r>
    </w:p>
    <w:p w14:paraId="08967691"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贷款利息</w:t>
      </w:r>
    </w:p>
    <w:p w14:paraId="0F4F505A" w14:textId="77777777" w:rsidR="0087591C" w:rsidRPr="00F631FB" w:rsidRDefault="0087591C" w:rsidP="0087591C">
      <w:pPr>
        <w:spacing w:before="50" w:after="50" w:line="360" w:lineRule="auto"/>
        <w:ind w:firstLineChars="200" w:firstLine="560"/>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×0.0305)×[(1+ 4.75%)</w:t>
      </w:r>
      <w:r>
        <w:rPr>
          <w:rFonts w:ascii="Arial" w:eastAsia="仿宋_GB2312" w:hAnsi="Arial" w:cs="Arial"/>
          <w:sz w:val="28"/>
          <w:vertAlign w:val="superscript"/>
        </w:rPr>
        <w:t>3</w:t>
      </w:r>
      <w:r w:rsidRPr="00F631FB">
        <w:rPr>
          <w:rFonts w:ascii="Arial" w:eastAsia="仿宋_GB2312" w:hAnsi="Arial" w:cs="Arial"/>
          <w:sz w:val="28"/>
        </w:rPr>
        <w:t>-1]+</w:t>
      </w:r>
      <w:r w:rsidRPr="00F631FB">
        <w:rPr>
          <w:rFonts w:ascii="Arial" w:eastAsia="仿宋_GB2312" w:hAnsi="Arial" w:cs="Arial"/>
          <w:sz w:val="28"/>
        </w:rPr>
        <w:t>（</w:t>
      </w:r>
      <w:r>
        <w:rPr>
          <w:rFonts w:ascii="Arial" w:eastAsia="仿宋_GB2312" w:hAnsi="Arial" w:cs="Arial"/>
          <w:sz w:val="28"/>
        </w:rPr>
        <w:t>3451+207+73</w:t>
      </w:r>
      <w:r w:rsidRPr="00F631FB">
        <w:rPr>
          <w:rFonts w:ascii="Arial" w:eastAsia="仿宋_GB2312" w:hAnsi="Arial" w:cs="Arial"/>
          <w:sz w:val="28"/>
        </w:rPr>
        <w:t>+</w:t>
      </w:r>
      <w:r>
        <w:rPr>
          <w:rFonts w:ascii="Arial" w:eastAsia="仿宋_GB2312" w:hAnsi="Arial" w:cs="Arial"/>
          <w:sz w:val="28"/>
        </w:rPr>
        <w:t>312</w:t>
      </w:r>
      <w:r w:rsidRPr="00F631FB">
        <w:rPr>
          <w:rFonts w:ascii="Arial" w:eastAsia="仿宋_GB2312" w:hAnsi="Arial" w:cs="Arial"/>
          <w:sz w:val="28"/>
        </w:rPr>
        <w:t>）</w:t>
      </w:r>
      <w:r w:rsidRPr="00F631FB">
        <w:rPr>
          <w:rFonts w:ascii="Arial" w:eastAsia="仿宋_GB2312" w:hAnsi="Arial" w:cs="Arial"/>
          <w:sz w:val="28"/>
        </w:rPr>
        <w:t>×[(1+ 4.75%)</w:t>
      </w:r>
      <w:r>
        <w:rPr>
          <w:rFonts w:ascii="Arial" w:eastAsia="仿宋_GB2312" w:hAnsi="Arial" w:cs="Arial"/>
          <w:sz w:val="28"/>
          <w:vertAlign w:val="superscript"/>
        </w:rPr>
        <w:t>3</w:t>
      </w:r>
      <w:r w:rsidRPr="00F631FB">
        <w:rPr>
          <w:rFonts w:ascii="Arial" w:eastAsia="仿宋_GB2312" w:hAnsi="Arial" w:cs="Arial"/>
          <w:sz w:val="28"/>
          <w:vertAlign w:val="superscript"/>
        </w:rPr>
        <w:t>÷2</w:t>
      </w:r>
      <w:r w:rsidRPr="00F631FB">
        <w:rPr>
          <w:rFonts w:ascii="Arial" w:eastAsia="仿宋_GB2312" w:hAnsi="Arial" w:cs="Arial"/>
          <w:sz w:val="28"/>
        </w:rPr>
        <w:t>-1]</w:t>
      </w:r>
      <w:r w:rsidRPr="00F631FB">
        <w:rPr>
          <w:rFonts w:ascii="Arial" w:eastAsia="仿宋_GB2312" w:hAnsi="Arial" w:cs="Arial"/>
          <w:sz w:val="28"/>
        </w:rPr>
        <w:t>＝</w:t>
      </w:r>
      <w:r>
        <w:rPr>
          <w:rFonts w:ascii="Arial" w:eastAsia="仿宋_GB2312" w:hAnsi="Arial" w:cs="Arial"/>
          <w:sz w:val="28"/>
        </w:rPr>
        <w:t>291</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w:t>
      </w:r>
      <w:r>
        <w:rPr>
          <w:rFonts w:ascii="Arial" w:eastAsia="仿宋_GB2312" w:hAnsi="Arial" w:cs="Arial"/>
          <w:sz w:val="28"/>
        </w:rPr>
        <w:t>1539</w:t>
      </w:r>
      <w:r w:rsidRPr="00F631FB">
        <w:rPr>
          <w:rFonts w:ascii="Arial" w:eastAsia="仿宋_GB2312" w:hAnsi="Arial" w:cs="Arial"/>
          <w:sz w:val="28"/>
        </w:rPr>
        <w:t xml:space="preserve"> (</w:t>
      </w:r>
      <w:r w:rsidRPr="00F631FB">
        <w:rPr>
          <w:rFonts w:ascii="Arial" w:eastAsia="仿宋_GB2312" w:hAnsi="Arial" w:cs="Arial"/>
          <w:sz w:val="28"/>
        </w:rPr>
        <w:t>万元</w:t>
      </w:r>
      <w:r w:rsidRPr="00F631FB">
        <w:rPr>
          <w:rFonts w:ascii="Arial" w:eastAsia="仿宋_GB2312" w:hAnsi="Arial" w:cs="Arial"/>
          <w:sz w:val="28"/>
        </w:rPr>
        <w:t>)</w:t>
      </w:r>
    </w:p>
    <w:p w14:paraId="70CA3E98" w14:textId="77777777" w:rsidR="0087591C" w:rsidRPr="00F631FB" w:rsidRDefault="0087591C" w:rsidP="0087591C">
      <w:pPr>
        <w:pStyle w:val="11"/>
        <w:rPr>
          <w:rFonts w:ascii="Arial" w:hAnsi="Arial" w:cs="Arial"/>
        </w:rPr>
      </w:pPr>
      <w:r w:rsidRPr="00F631FB">
        <w:rPr>
          <w:rFonts w:ascii="Arial" w:hAnsi="Arial" w:cs="Arial"/>
        </w:rPr>
        <w:t>G.</w:t>
      </w:r>
      <w:r w:rsidRPr="00F631FB">
        <w:rPr>
          <w:rFonts w:ascii="Arial" w:hAnsi="Arial" w:cs="Arial"/>
        </w:rPr>
        <w:t>销售税费</w:t>
      </w:r>
      <w:r w:rsidRPr="00F631FB">
        <w:rPr>
          <w:rFonts w:ascii="Arial" w:hAnsi="Arial" w:cs="Arial"/>
        </w:rPr>
        <w:tab/>
      </w:r>
    </w:p>
    <w:p w14:paraId="19D04C60"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本处所指销售税费是指国家规定的相关销售税费。国家规定的相关销售</w:t>
      </w:r>
      <w:r w:rsidRPr="00F631FB">
        <w:rPr>
          <w:rFonts w:ascii="Arial" w:eastAsia="仿宋_GB2312" w:hAnsi="Arial" w:cs="Arial"/>
          <w:sz w:val="28"/>
        </w:rPr>
        <w:lastRenderedPageBreak/>
        <w:t>税费包括增值税、城市维护建设税、教育费附加及地方教育附加。由于增值税的计税销售额为不含税销售额，故以估价对象开发完成后不动产总价扣除增值税税额为基数计缴，税率为</w:t>
      </w:r>
      <w:r w:rsidRPr="00F631FB">
        <w:rPr>
          <w:rFonts w:ascii="Arial" w:eastAsia="仿宋_GB2312" w:hAnsi="Arial" w:cs="Arial"/>
          <w:sz w:val="28"/>
        </w:rPr>
        <w:t>5.6%</w:t>
      </w:r>
      <w:r w:rsidRPr="00F631FB">
        <w:rPr>
          <w:rFonts w:ascii="Arial" w:eastAsia="仿宋_GB2312" w:hAnsi="Arial" w:cs="Arial"/>
          <w:sz w:val="28"/>
        </w:rPr>
        <w:t>（其中增值税征收率为</w:t>
      </w:r>
      <w:r w:rsidRPr="00F631FB">
        <w:rPr>
          <w:rFonts w:ascii="Arial" w:eastAsia="仿宋_GB2312" w:hAnsi="Arial" w:cs="Arial"/>
          <w:sz w:val="28"/>
        </w:rPr>
        <w:t>5%</w:t>
      </w:r>
      <w:r w:rsidRPr="00F631FB">
        <w:rPr>
          <w:rFonts w:ascii="Arial" w:eastAsia="仿宋_GB2312" w:hAnsi="Arial" w:cs="Arial"/>
          <w:sz w:val="28"/>
        </w:rPr>
        <w:t>，附加税费为</w:t>
      </w:r>
      <w:r w:rsidRPr="00F631FB">
        <w:rPr>
          <w:rFonts w:ascii="Arial" w:eastAsia="仿宋_GB2312" w:hAnsi="Arial" w:cs="Arial"/>
          <w:sz w:val="28"/>
        </w:rPr>
        <w:t>0.6%</w:t>
      </w:r>
      <w:r w:rsidRPr="00F631FB">
        <w:rPr>
          <w:rFonts w:ascii="Arial" w:eastAsia="仿宋_GB2312" w:hAnsi="Arial" w:cs="Arial"/>
          <w:sz w:val="28"/>
        </w:rPr>
        <w:t>）。则有：</w:t>
      </w:r>
    </w:p>
    <w:p w14:paraId="670EBBCA"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销售税费＝</w:t>
      </w:r>
      <w:r>
        <w:rPr>
          <w:rFonts w:ascii="Arial" w:eastAsia="仿宋_GB2312" w:hAnsi="Arial" w:cs="Arial"/>
          <w:sz w:val="28"/>
        </w:rPr>
        <w:t>15618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1+5%</w:t>
      </w:r>
      <w:r w:rsidRPr="00F631FB">
        <w:rPr>
          <w:rFonts w:ascii="Arial" w:eastAsia="仿宋_GB2312" w:hAnsi="Arial" w:cs="Arial"/>
          <w:sz w:val="28"/>
        </w:rPr>
        <w:t>）</w:t>
      </w:r>
      <w:r w:rsidRPr="00F631FB">
        <w:rPr>
          <w:rFonts w:ascii="Arial" w:eastAsia="仿宋_GB2312" w:hAnsi="Arial" w:cs="Arial"/>
          <w:sz w:val="28"/>
        </w:rPr>
        <w:t>×5.6%</w:t>
      </w:r>
      <w:r w:rsidRPr="00F631FB">
        <w:rPr>
          <w:rFonts w:ascii="Arial" w:eastAsia="仿宋_GB2312" w:hAnsi="Arial" w:cs="Arial"/>
          <w:sz w:val="28"/>
        </w:rPr>
        <w:t>＝</w:t>
      </w:r>
      <w:r>
        <w:rPr>
          <w:rFonts w:ascii="Arial" w:eastAsia="仿宋_GB2312" w:hAnsi="Arial" w:cs="Arial"/>
          <w:sz w:val="28"/>
        </w:rPr>
        <w:t>833</w:t>
      </w:r>
      <w:r w:rsidRPr="00F631FB">
        <w:rPr>
          <w:rFonts w:ascii="Arial" w:eastAsia="仿宋_GB2312" w:hAnsi="Arial" w:cs="Arial"/>
          <w:sz w:val="28"/>
        </w:rPr>
        <w:t>（万元）</w:t>
      </w:r>
    </w:p>
    <w:p w14:paraId="3B472813"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H.</w:t>
      </w:r>
      <w:r w:rsidRPr="00F631FB">
        <w:rPr>
          <w:rFonts w:ascii="Arial" w:eastAsia="仿宋_GB2312" w:hAnsi="Arial" w:cs="Arial"/>
          <w:sz w:val="28"/>
        </w:rPr>
        <w:t>开发成本</w:t>
      </w:r>
    </w:p>
    <w:p w14:paraId="33D925C3"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开发成本为上述</w:t>
      </w:r>
      <w:r w:rsidRPr="00F631FB">
        <w:rPr>
          <w:rFonts w:ascii="Arial" w:eastAsia="仿宋_GB2312" w:hAnsi="Arial" w:cs="Arial"/>
          <w:sz w:val="28"/>
        </w:rPr>
        <w:t>7</w:t>
      </w:r>
      <w:r w:rsidRPr="00F631FB">
        <w:rPr>
          <w:rFonts w:ascii="Arial" w:eastAsia="仿宋_GB2312" w:hAnsi="Arial" w:cs="Arial"/>
          <w:sz w:val="28"/>
        </w:rPr>
        <w:t>项合计，则有：</w:t>
      </w:r>
    </w:p>
    <w:p w14:paraId="2C8A80E8"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w:t>
      </w:r>
    </w:p>
    <w:p w14:paraId="588020AB"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3451</w:t>
      </w:r>
      <w:r w:rsidRPr="00F631FB">
        <w:rPr>
          <w:rFonts w:ascii="Arial" w:eastAsia="仿宋_GB2312" w:hAnsi="Arial" w:cs="Arial"/>
          <w:sz w:val="28"/>
        </w:rPr>
        <w:t>+</w:t>
      </w:r>
      <w:r>
        <w:rPr>
          <w:rFonts w:ascii="Arial" w:eastAsia="仿宋_GB2312" w:hAnsi="Arial" w:cs="Arial"/>
          <w:sz w:val="28"/>
        </w:rPr>
        <w:t>207+73</w:t>
      </w:r>
      <w:r w:rsidRPr="00F631FB">
        <w:rPr>
          <w:rFonts w:ascii="Arial" w:eastAsia="仿宋_GB2312" w:hAnsi="Arial" w:cs="Arial"/>
          <w:sz w:val="28"/>
        </w:rPr>
        <w:t>+</w:t>
      </w:r>
      <w:r>
        <w:rPr>
          <w:rFonts w:ascii="Arial" w:eastAsia="仿宋_GB2312" w:hAnsi="Arial" w:cs="Arial"/>
          <w:sz w:val="28"/>
        </w:rPr>
        <w:t>312</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×0.0305+</w:t>
      </w:r>
      <w:r>
        <w:rPr>
          <w:rFonts w:ascii="Arial" w:eastAsia="仿宋_GB2312" w:hAnsi="Arial" w:cs="Arial"/>
          <w:sz w:val="28"/>
        </w:rPr>
        <w:t>291</w:t>
      </w:r>
      <w:r w:rsidRPr="00F631FB">
        <w:rPr>
          <w:rFonts w:ascii="Arial" w:eastAsia="仿宋_GB2312" w:hAnsi="Arial" w:cs="Arial"/>
          <w:sz w:val="28"/>
        </w:rPr>
        <w:t xml:space="preserve">+ </w:t>
      </w:r>
    </w:p>
    <w:p w14:paraId="46721889" w14:textId="77777777" w:rsidR="0087591C" w:rsidRPr="00F631FB" w:rsidRDefault="0087591C" w:rsidP="0087591C">
      <w:pPr>
        <w:spacing w:line="360" w:lineRule="auto"/>
        <w:ind w:firstLineChars="350" w:firstLine="980"/>
        <w:jc w:val="both"/>
        <w:rPr>
          <w:rFonts w:ascii="Arial" w:eastAsia="仿宋_GB2312" w:hAnsi="Arial" w:cs="Arial"/>
          <w:sz w:val="28"/>
        </w:rPr>
      </w:pP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w:t>
      </w:r>
      <w:r>
        <w:rPr>
          <w:rFonts w:ascii="Arial" w:eastAsia="仿宋_GB2312" w:hAnsi="Arial" w:cs="Arial"/>
          <w:sz w:val="28"/>
        </w:rPr>
        <w:t>1539</w:t>
      </w:r>
      <w:r w:rsidRPr="00F631FB">
        <w:rPr>
          <w:rFonts w:ascii="Arial" w:eastAsia="仿宋_GB2312" w:hAnsi="Arial" w:cs="Arial"/>
          <w:sz w:val="28"/>
        </w:rPr>
        <w:t>+</w:t>
      </w:r>
      <w:r>
        <w:rPr>
          <w:rFonts w:ascii="Arial" w:eastAsia="仿宋_GB2312" w:hAnsi="Arial" w:cs="Arial"/>
          <w:sz w:val="28"/>
        </w:rPr>
        <w:t>833</w:t>
      </w:r>
    </w:p>
    <w:p w14:paraId="22242680"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5167</w:t>
      </w:r>
      <w:r w:rsidRPr="00F631FB">
        <w:rPr>
          <w:rFonts w:ascii="Arial" w:eastAsia="仿宋_GB2312" w:hAnsi="Arial" w:cs="Arial"/>
          <w:sz w:val="28"/>
        </w:rPr>
        <w:t>+0.</w:t>
      </w:r>
      <w:r>
        <w:rPr>
          <w:rFonts w:ascii="Arial" w:eastAsia="仿宋_GB2312" w:hAnsi="Arial" w:cs="Arial"/>
          <w:sz w:val="28"/>
        </w:rPr>
        <w:t>1844</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5FE5B119"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）开发利润（投资利润）</w:t>
      </w:r>
    </w:p>
    <w:p w14:paraId="09C7F98E"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F631FB">
        <w:rPr>
          <w:rFonts w:ascii="Arial" w:eastAsia="仿宋_GB2312" w:hAnsi="Arial" w:cs="Arial"/>
          <w:sz w:val="28"/>
        </w:rPr>
        <w:t xml:space="preserve"> </w:t>
      </w:r>
    </w:p>
    <w:p w14:paraId="57BD7E86" w14:textId="77777777" w:rsidR="0087591C" w:rsidRPr="00F631FB" w:rsidRDefault="0087591C" w:rsidP="0087591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w:t>
      </w:r>
      <w:r w:rsidRPr="00F631FB">
        <w:rPr>
          <w:rFonts w:ascii="Arial" w:eastAsia="仿宋_GB2312" w:hAnsi="Arial" w:cs="Arial" w:hint="eastAsia"/>
          <w:sz w:val="28"/>
        </w:rPr>
        <w:t>《</w:t>
      </w:r>
      <w:r>
        <w:rPr>
          <w:rFonts w:ascii="Arial" w:eastAsia="仿宋_GB2312" w:hAnsi="Arial" w:cs="Arial" w:hint="eastAsia"/>
          <w:sz w:val="28"/>
        </w:rPr>
        <w:t>海淀区苏州街站一体化棚户区改造项目前期工作及拟改造土地使用权一次性招标方案</w:t>
      </w:r>
      <w:r w:rsidRPr="00F631FB">
        <w:rPr>
          <w:rFonts w:ascii="Arial" w:eastAsia="仿宋_GB2312" w:hAnsi="Arial" w:cs="Arial" w:hint="eastAsia"/>
          <w:sz w:val="28"/>
        </w:rPr>
        <w:t>》</w:t>
      </w:r>
      <w:r>
        <w:rPr>
          <w:rFonts w:ascii="Arial" w:eastAsia="仿宋_GB2312" w:hAnsi="Arial" w:cs="Arial" w:hint="eastAsia"/>
          <w:sz w:val="28"/>
        </w:rPr>
        <w:t>及其附件规定，本项目投资利润率不得超过</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；地下车库</w:t>
      </w:r>
      <w:r w:rsidRPr="00F631FB">
        <w:rPr>
          <w:rFonts w:ascii="Arial" w:eastAsia="仿宋_GB2312" w:hAnsi="Arial" w:cs="Arial"/>
          <w:sz w:val="28"/>
        </w:rPr>
        <w:t>利润率取</w:t>
      </w:r>
      <w:r>
        <w:rPr>
          <w:rFonts w:ascii="Arial" w:eastAsia="仿宋_GB2312" w:hAnsi="Arial" w:cs="Arial"/>
          <w:sz w:val="28"/>
        </w:rPr>
        <w:t>5</w:t>
      </w:r>
      <w:r w:rsidRPr="00F631FB">
        <w:rPr>
          <w:rFonts w:ascii="Arial" w:eastAsia="仿宋_GB2312" w:hAnsi="Arial" w:cs="Arial" w:hint="eastAsia"/>
          <w:sz w:val="28"/>
        </w:rPr>
        <w:t>%</w:t>
      </w:r>
      <w:r w:rsidRPr="00F631FB">
        <w:rPr>
          <w:rFonts w:ascii="Arial" w:eastAsia="仿宋_GB2312" w:hAnsi="Arial" w:cs="Arial"/>
          <w:sz w:val="28"/>
        </w:rPr>
        <w:t xml:space="preserve"> </w:t>
      </w:r>
      <w:r w:rsidRPr="00F631FB">
        <w:rPr>
          <w:rFonts w:ascii="Arial" w:eastAsia="仿宋_GB2312" w:hAnsi="Arial" w:cs="Arial"/>
          <w:sz w:val="28"/>
        </w:rPr>
        <w:t>。则有：</w:t>
      </w:r>
    </w:p>
    <w:p w14:paraId="1BABAE87"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开发利润</w:t>
      </w:r>
    </w:p>
    <w:p w14:paraId="24532E56"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×0.0305)×</w:t>
      </w:r>
      <w:r>
        <w:rPr>
          <w:rFonts w:ascii="Arial" w:eastAsia="仿宋_GB2312" w:hAnsi="Arial" w:cs="Arial"/>
          <w:sz w:val="28"/>
        </w:rPr>
        <w:t>5</w:t>
      </w:r>
      <w:r w:rsidRPr="00F631FB">
        <w:rPr>
          <w:rFonts w:ascii="Arial" w:eastAsia="仿宋_GB2312" w:hAnsi="Arial" w:cs="Arial"/>
          <w:sz w:val="28"/>
        </w:rPr>
        <w:t>%+</w:t>
      </w:r>
      <w:r w:rsidRPr="00F631FB">
        <w:rPr>
          <w:rFonts w:ascii="Arial" w:eastAsia="仿宋_GB2312" w:hAnsi="Arial" w:cs="Arial"/>
          <w:sz w:val="28"/>
        </w:rPr>
        <w:t>（</w:t>
      </w:r>
      <w:r>
        <w:rPr>
          <w:rFonts w:ascii="Arial" w:eastAsia="仿宋_GB2312" w:hAnsi="Arial" w:cs="Arial"/>
          <w:sz w:val="28"/>
        </w:rPr>
        <w:t>3451</w:t>
      </w:r>
      <w:r w:rsidRPr="00F631FB">
        <w:rPr>
          <w:rFonts w:ascii="Arial" w:eastAsia="仿宋_GB2312" w:hAnsi="Arial" w:cs="Arial"/>
          <w:sz w:val="28"/>
        </w:rPr>
        <w:t>+</w:t>
      </w:r>
      <w:r>
        <w:rPr>
          <w:rFonts w:ascii="Arial" w:eastAsia="仿宋_GB2312" w:hAnsi="Arial" w:cs="Arial"/>
          <w:sz w:val="28"/>
        </w:rPr>
        <w:t>207+73</w:t>
      </w:r>
      <w:r w:rsidRPr="00F631FB">
        <w:rPr>
          <w:rFonts w:ascii="Arial" w:eastAsia="仿宋_GB2312" w:hAnsi="Arial" w:cs="Arial"/>
          <w:sz w:val="28"/>
        </w:rPr>
        <w:t>+</w:t>
      </w:r>
      <w:r>
        <w:rPr>
          <w:rFonts w:ascii="Arial" w:eastAsia="仿宋_GB2312" w:hAnsi="Arial" w:cs="Arial"/>
          <w:sz w:val="28"/>
        </w:rPr>
        <w:t>312</w:t>
      </w:r>
      <w:r w:rsidRPr="00F631FB">
        <w:rPr>
          <w:rFonts w:ascii="Arial" w:eastAsia="仿宋_GB2312" w:hAnsi="Arial" w:cs="Arial"/>
          <w:sz w:val="28"/>
        </w:rPr>
        <w:t>）</w:t>
      </w:r>
      <w:r w:rsidRPr="00F631FB">
        <w:rPr>
          <w:rFonts w:ascii="Arial" w:eastAsia="仿宋_GB2312" w:hAnsi="Arial" w:cs="Arial"/>
          <w:sz w:val="28"/>
        </w:rPr>
        <w:t>×</w:t>
      </w:r>
      <w:r>
        <w:rPr>
          <w:rFonts w:ascii="Arial" w:eastAsia="仿宋_GB2312" w:hAnsi="Arial" w:cs="Arial"/>
          <w:sz w:val="28"/>
        </w:rPr>
        <w:t>5</w:t>
      </w:r>
      <w:r w:rsidRPr="00F631FB">
        <w:rPr>
          <w:rFonts w:ascii="Arial" w:eastAsia="仿宋_GB2312" w:hAnsi="Arial" w:cs="Arial"/>
          <w:sz w:val="28"/>
        </w:rPr>
        <w:t>%</w:t>
      </w:r>
    </w:p>
    <w:p w14:paraId="2625630C"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202+</w:t>
      </w:r>
      <w:r w:rsidRPr="00F631FB">
        <w:rPr>
          <w:rFonts w:ascii="Arial" w:eastAsia="仿宋_GB2312" w:hAnsi="Arial" w:cs="Arial"/>
          <w:sz w:val="28"/>
        </w:rPr>
        <w:t>0.</w:t>
      </w:r>
      <w:r>
        <w:rPr>
          <w:rFonts w:ascii="Arial" w:eastAsia="仿宋_GB2312" w:hAnsi="Arial" w:cs="Arial"/>
          <w:sz w:val="28"/>
        </w:rPr>
        <w:t>0515</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035599FB"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）求取估价对象</w:t>
      </w:r>
      <w:r>
        <w:rPr>
          <w:rFonts w:ascii="Arial" w:eastAsia="仿宋_GB2312" w:hAnsi="Arial" w:cs="Arial" w:hint="eastAsia"/>
          <w:sz w:val="28"/>
        </w:rPr>
        <w:t>地下车库</w:t>
      </w:r>
      <w:r w:rsidRPr="00F631FB">
        <w:rPr>
          <w:rFonts w:ascii="Arial" w:eastAsia="仿宋_GB2312" w:hAnsi="Arial" w:cs="Arial" w:hint="eastAsia"/>
          <w:sz w:val="28"/>
        </w:rPr>
        <w:t>用途</w:t>
      </w:r>
      <w:r w:rsidRPr="00F631FB">
        <w:rPr>
          <w:rFonts w:ascii="Arial" w:eastAsia="仿宋_GB2312" w:hAnsi="Arial" w:cs="Arial"/>
          <w:sz w:val="28"/>
        </w:rPr>
        <w:t>土地价格</w:t>
      </w:r>
    </w:p>
    <w:p w14:paraId="0600E4C4" w14:textId="77777777" w:rsidR="0087591C" w:rsidRPr="00F631FB" w:rsidRDefault="0087591C" w:rsidP="0087591C">
      <w:pPr>
        <w:spacing w:line="360" w:lineRule="auto"/>
        <w:ind w:firstLineChars="200" w:firstLine="600"/>
        <w:jc w:val="both"/>
        <w:rPr>
          <w:rFonts w:ascii="Arial" w:eastAsia="仿宋_GB2312" w:hAnsi="Arial" w:cs="Arial"/>
          <w:spacing w:val="10"/>
          <w:sz w:val="28"/>
        </w:rPr>
      </w:pPr>
      <w:r w:rsidRPr="00F631FB">
        <w:rPr>
          <w:rFonts w:ascii="Arial" w:eastAsia="仿宋_GB2312" w:hAnsi="Arial" w:cs="Arial"/>
          <w:spacing w:val="10"/>
          <w:sz w:val="28"/>
        </w:rPr>
        <w:t>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pacing w:val="10"/>
          <w:sz w:val="28"/>
        </w:rPr>
        <w:t>）</w:t>
      </w:r>
    </w:p>
    <w:p w14:paraId="6B54D79E"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＝开发完成后的不动产总价</w:t>
      </w:r>
      <w:r w:rsidRPr="00F631FB">
        <w:rPr>
          <w:rFonts w:ascii="Arial" w:eastAsia="仿宋_GB2312" w:hAnsi="Arial" w:cs="Arial"/>
          <w:sz w:val="28"/>
        </w:rPr>
        <w:t>-</w:t>
      </w:r>
      <w:r w:rsidRPr="00F631FB">
        <w:rPr>
          <w:rFonts w:ascii="Arial" w:eastAsia="仿宋_GB2312" w:hAnsi="Arial" w:cs="Arial"/>
          <w:sz w:val="28"/>
        </w:rPr>
        <w:t>开发成本</w:t>
      </w:r>
      <w:r w:rsidRPr="00F631FB">
        <w:rPr>
          <w:rFonts w:ascii="Arial" w:eastAsia="仿宋_GB2312" w:hAnsi="Arial" w:cs="Arial"/>
          <w:sz w:val="28"/>
        </w:rPr>
        <w:t>-</w:t>
      </w:r>
      <w:r w:rsidRPr="00F631FB">
        <w:rPr>
          <w:rFonts w:ascii="Arial" w:eastAsia="仿宋_GB2312" w:hAnsi="Arial" w:cs="Arial"/>
          <w:sz w:val="28"/>
        </w:rPr>
        <w:t>开发利润</w:t>
      </w:r>
    </w:p>
    <w:p w14:paraId="30E0ACE1"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15618</w:t>
      </w:r>
      <w:r w:rsidRPr="00F631FB">
        <w:rPr>
          <w:rFonts w:ascii="Arial" w:eastAsia="仿宋_GB2312" w:hAnsi="Arial" w:cs="Arial"/>
          <w:sz w:val="28"/>
        </w:rPr>
        <w:t>-</w:t>
      </w:r>
      <w:r w:rsidRPr="00F631FB">
        <w:rPr>
          <w:rFonts w:ascii="Arial" w:eastAsia="仿宋_GB2312" w:hAnsi="Arial" w:cs="Arial"/>
          <w:sz w:val="28"/>
        </w:rPr>
        <w:t>（</w:t>
      </w:r>
      <w:r>
        <w:rPr>
          <w:rFonts w:ascii="Arial" w:eastAsia="仿宋_GB2312" w:hAnsi="Arial" w:cs="Arial"/>
          <w:sz w:val="28"/>
        </w:rPr>
        <w:t>5167</w:t>
      </w:r>
      <w:r w:rsidRPr="00F631FB">
        <w:rPr>
          <w:rFonts w:ascii="Arial" w:eastAsia="仿宋_GB2312" w:hAnsi="Arial" w:cs="Arial"/>
          <w:sz w:val="28"/>
        </w:rPr>
        <w:t>+0.</w:t>
      </w:r>
      <w:r>
        <w:rPr>
          <w:rFonts w:ascii="Arial" w:eastAsia="仿宋_GB2312" w:hAnsi="Arial" w:cs="Arial"/>
          <w:sz w:val="28"/>
        </w:rPr>
        <w:t>1844</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Pr>
          <w:rFonts w:ascii="Arial" w:eastAsia="仿宋_GB2312" w:hAnsi="Arial" w:cs="Arial"/>
          <w:sz w:val="28"/>
        </w:rPr>
        <w:t>202+</w:t>
      </w:r>
      <w:r w:rsidRPr="00F631FB">
        <w:rPr>
          <w:rFonts w:ascii="Arial" w:eastAsia="仿宋_GB2312" w:hAnsi="Arial" w:cs="Arial"/>
          <w:sz w:val="28"/>
        </w:rPr>
        <w:t>0.</w:t>
      </w:r>
      <w:r>
        <w:rPr>
          <w:rFonts w:ascii="Arial" w:eastAsia="仿宋_GB2312" w:hAnsi="Arial" w:cs="Arial"/>
          <w:sz w:val="28"/>
        </w:rPr>
        <w:t>0515</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w:t>
      </w:r>
    </w:p>
    <w:p w14:paraId="3654FD8B" w14:textId="77777777" w:rsidR="0087591C" w:rsidRPr="00F631FB"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8293</w:t>
      </w:r>
      <w:r w:rsidRPr="00F631FB">
        <w:rPr>
          <w:rFonts w:ascii="Arial" w:eastAsia="仿宋_GB2312" w:hAnsi="Arial" w:cs="Arial"/>
          <w:sz w:val="28"/>
        </w:rPr>
        <w:t>（万元）</w:t>
      </w:r>
    </w:p>
    <w:p w14:paraId="758F941C" w14:textId="77777777" w:rsidR="0087591C" w:rsidRPr="00F631FB" w:rsidRDefault="0087591C" w:rsidP="0087591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地下车库</w:t>
      </w:r>
      <w:proofErr w:type="gramStart"/>
      <w:r w:rsidRPr="00F631FB">
        <w:rPr>
          <w:rFonts w:ascii="Arial" w:eastAsia="仿宋_GB2312" w:hAnsi="Arial" w:cs="Arial" w:hint="eastAsia"/>
          <w:sz w:val="28"/>
        </w:rPr>
        <w:t>用途</w:t>
      </w:r>
      <w:r w:rsidRPr="00F631FB">
        <w:rPr>
          <w:rFonts w:ascii="Arial" w:eastAsia="仿宋_GB2312" w:hAnsi="Arial" w:cs="Arial"/>
          <w:sz w:val="28"/>
        </w:rPr>
        <w:t>楼</w:t>
      </w:r>
      <w:proofErr w:type="gramEnd"/>
      <w:r w:rsidRPr="00F631FB">
        <w:rPr>
          <w:rFonts w:ascii="Arial" w:eastAsia="仿宋_GB2312" w:hAnsi="Arial" w:cs="Arial"/>
          <w:sz w:val="28"/>
        </w:rPr>
        <w:t>面</w:t>
      </w:r>
      <w:r w:rsidRPr="00F631FB">
        <w:rPr>
          <w:rFonts w:ascii="Arial" w:eastAsia="仿宋_GB2312" w:hAnsi="Arial" w:cs="Arial" w:hint="eastAsia"/>
          <w:sz w:val="28"/>
        </w:rPr>
        <w:t>熟地</w:t>
      </w:r>
      <w:r w:rsidRPr="00F631FB">
        <w:rPr>
          <w:rFonts w:ascii="Arial" w:eastAsia="仿宋_GB2312" w:hAnsi="Arial" w:cs="Arial"/>
          <w:sz w:val="28"/>
        </w:rPr>
        <w:t>价</w:t>
      </w:r>
    </w:p>
    <w:p w14:paraId="2031F57A" w14:textId="77777777" w:rsidR="0087591C" w:rsidRDefault="0087591C" w:rsidP="0087591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8293</w:t>
      </w:r>
      <w:r w:rsidRPr="00F631FB">
        <w:rPr>
          <w:rFonts w:ascii="Arial" w:eastAsia="仿宋_GB2312" w:hAnsi="Arial" w:cs="Arial"/>
          <w:sz w:val="28"/>
        </w:rPr>
        <w:t>÷</w:t>
      </w:r>
      <w:r>
        <w:rPr>
          <w:rFonts w:ascii="Arial" w:eastAsia="仿宋_GB2312" w:hAnsi="Arial" w:cs="Arial"/>
          <w:sz w:val="28"/>
        </w:rPr>
        <w:t>10345.02</w:t>
      </w:r>
      <w:r w:rsidRPr="00F631FB">
        <w:rPr>
          <w:rFonts w:ascii="Arial" w:eastAsia="仿宋_GB2312" w:hAnsi="Arial" w:cs="Arial"/>
          <w:sz w:val="28"/>
        </w:rPr>
        <w:t>×10000</w:t>
      </w:r>
    </w:p>
    <w:p w14:paraId="22BB6260" w14:textId="77777777" w:rsidR="0087591C" w:rsidRDefault="0087591C" w:rsidP="0087591C">
      <w:pPr>
        <w:spacing w:line="360" w:lineRule="auto"/>
        <w:ind w:left="42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8016</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r>
        <w:rPr>
          <w:rFonts w:ascii="Arial" w:eastAsia="仿宋_GB2312" w:hAnsi="Arial" w:cs="Arial"/>
          <w:sz w:val="28"/>
        </w:rPr>
        <w:br w:type="page"/>
      </w:r>
    </w:p>
    <w:p w14:paraId="44EED8A4" w14:textId="38FED197" w:rsidR="000E7771" w:rsidRPr="00F631FB" w:rsidRDefault="000E7771" w:rsidP="0087591C">
      <w:pPr>
        <w:spacing w:line="360" w:lineRule="auto"/>
        <w:ind w:left="420" w:firstLineChars="50" w:firstLine="141"/>
        <w:jc w:val="both"/>
        <w:rPr>
          <w:rFonts w:ascii="Arial" w:eastAsia="仿宋_GB2312" w:hAnsi="Arial" w:cs="Arial"/>
          <w:b/>
          <w:bCs/>
          <w:sz w:val="28"/>
        </w:rPr>
      </w:pPr>
      <w:r w:rsidRPr="00273CE2">
        <w:rPr>
          <w:rFonts w:ascii="Arial" w:eastAsia="仿宋_GB2312" w:hAnsi="Arial" w:cs="Arial"/>
          <w:b/>
          <w:sz w:val="28"/>
          <w:szCs w:val="28"/>
        </w:rPr>
        <w:lastRenderedPageBreak/>
        <w:t>方法三：市场比较法</w:t>
      </w:r>
    </w:p>
    <w:p w14:paraId="19F9DC6E"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根据替代原则，通过对北京市类似经过审定的协议出让的经营性建设用地的调查，</w:t>
      </w:r>
      <w:r w:rsidRPr="00F631FB">
        <w:rPr>
          <w:rFonts w:ascii="Arial" w:eastAsia="仿宋_GB2312" w:hAnsi="Arial" w:cs="Arial" w:hint="eastAsia"/>
          <w:sz w:val="28"/>
          <w:szCs w:val="28"/>
        </w:rPr>
        <w:t>未</w:t>
      </w:r>
      <w:r w:rsidRPr="00F631FB">
        <w:rPr>
          <w:rFonts w:ascii="Arial" w:eastAsia="仿宋_GB2312" w:hAnsi="Arial" w:cs="Arial"/>
          <w:sz w:val="28"/>
          <w:szCs w:val="28"/>
        </w:rPr>
        <w:t>取得</w:t>
      </w:r>
      <w:r w:rsidRPr="00F631FB">
        <w:rPr>
          <w:rFonts w:ascii="Arial" w:eastAsia="仿宋_GB2312" w:hAnsi="Arial" w:cs="Arial" w:hint="eastAsia"/>
          <w:sz w:val="28"/>
          <w:szCs w:val="28"/>
        </w:rPr>
        <w:t>居住用途</w:t>
      </w:r>
      <w:r w:rsidRPr="00F631FB">
        <w:rPr>
          <w:rFonts w:ascii="Arial" w:eastAsia="仿宋_GB2312" w:hAnsi="Arial" w:cs="Arial"/>
          <w:sz w:val="28"/>
          <w:szCs w:val="28"/>
        </w:rPr>
        <w:t>案例</w:t>
      </w:r>
      <w:r w:rsidRPr="00F631FB">
        <w:rPr>
          <w:rFonts w:ascii="Arial" w:eastAsia="仿宋_GB2312" w:hAnsi="Arial" w:cs="Arial" w:hint="eastAsia"/>
          <w:sz w:val="28"/>
          <w:szCs w:val="28"/>
        </w:rPr>
        <w:t>，</w:t>
      </w:r>
      <w:r w:rsidRPr="00F631FB">
        <w:rPr>
          <w:rFonts w:ascii="Arial" w:eastAsia="仿宋_GB2312" w:hAnsi="Arial" w:cs="Arial"/>
          <w:sz w:val="28"/>
          <w:szCs w:val="28"/>
        </w:rPr>
        <w:t>取得下列</w:t>
      </w:r>
      <w:r>
        <w:rPr>
          <w:rFonts w:ascii="Arial" w:eastAsia="仿宋_GB2312" w:hAnsi="Arial" w:cs="Arial" w:hint="eastAsia"/>
          <w:sz w:val="28"/>
          <w:szCs w:val="28"/>
        </w:rPr>
        <w:t>三</w:t>
      </w:r>
      <w:r w:rsidRPr="00F631FB">
        <w:rPr>
          <w:rFonts w:ascii="Arial" w:eastAsia="仿宋_GB2312" w:hAnsi="Arial" w:cs="Arial"/>
          <w:sz w:val="28"/>
          <w:szCs w:val="28"/>
        </w:rPr>
        <w:t>个</w:t>
      </w:r>
      <w:r w:rsidRPr="00F631FB">
        <w:rPr>
          <w:rFonts w:ascii="Arial" w:eastAsia="仿宋_GB2312" w:hAnsi="Arial" w:cs="Arial" w:hint="eastAsia"/>
          <w:sz w:val="28"/>
          <w:szCs w:val="28"/>
        </w:rPr>
        <w:t>商业、办公用途</w:t>
      </w:r>
      <w:r w:rsidRPr="00F631FB">
        <w:rPr>
          <w:rFonts w:ascii="Arial" w:eastAsia="仿宋_GB2312" w:hAnsi="Arial" w:cs="Arial"/>
          <w:sz w:val="28"/>
          <w:szCs w:val="28"/>
        </w:rPr>
        <w:t>案例：</w:t>
      </w:r>
    </w:p>
    <w:p w14:paraId="218A1B10" w14:textId="41878AB5" w:rsidR="000E7771" w:rsidRPr="00F631FB" w:rsidRDefault="000E7771" w:rsidP="000E7771">
      <w:pPr>
        <w:spacing w:line="360" w:lineRule="auto"/>
        <w:ind w:firstLineChars="200" w:firstLine="562"/>
        <w:jc w:val="both"/>
        <w:textAlignment w:val="bottom"/>
        <w:rPr>
          <w:rFonts w:ascii="Arial" w:eastAsia="仿宋_GB2312" w:hAnsi="Arial" w:cs="Arial"/>
          <w:sz w:val="28"/>
        </w:rPr>
      </w:pPr>
      <w:r w:rsidRPr="00F631FB">
        <w:rPr>
          <w:rFonts w:ascii="Arial" w:eastAsia="仿宋_GB2312" w:hAnsi="Arial" w:cs="Arial"/>
          <w:b/>
          <w:sz w:val="28"/>
        </w:rPr>
        <w:t>案例</w:t>
      </w:r>
      <w:r w:rsidR="0087591C">
        <w:rPr>
          <w:rFonts w:ascii="Arial" w:eastAsia="仿宋_GB2312" w:hAnsi="Arial" w:cs="Arial"/>
          <w:b/>
          <w:sz w:val="28"/>
        </w:rPr>
        <w:t>M</w:t>
      </w:r>
      <w:r w:rsidRPr="00F631FB">
        <w:rPr>
          <w:rFonts w:ascii="Arial" w:eastAsia="仿宋_GB2312" w:hAnsi="Arial" w:cs="Arial"/>
          <w:b/>
          <w:sz w:val="28"/>
        </w:rPr>
        <w:t>：</w:t>
      </w:r>
      <w:r w:rsidRPr="00EF6FBB">
        <w:rPr>
          <w:rFonts w:ascii="Arial" w:eastAsia="仿宋_GB2312" w:hAnsi="Arial" w:cs="Arial" w:hint="eastAsia"/>
          <w:sz w:val="28"/>
        </w:rPr>
        <w:t>海淀区北三环中路</w:t>
      </w:r>
      <w:r w:rsidRPr="00EF6FBB">
        <w:rPr>
          <w:rFonts w:ascii="Arial" w:eastAsia="仿宋_GB2312" w:hAnsi="Arial" w:cs="Arial" w:hint="eastAsia"/>
          <w:sz w:val="28"/>
        </w:rPr>
        <w:t>43</w:t>
      </w:r>
      <w:r w:rsidRPr="00EF6FBB">
        <w:rPr>
          <w:rFonts w:ascii="Arial" w:eastAsia="仿宋_GB2312" w:hAnsi="Arial" w:cs="Arial" w:hint="eastAsia"/>
          <w:sz w:val="28"/>
        </w:rPr>
        <w:t>号经营性配套部分</w:t>
      </w:r>
    </w:p>
    <w:p w14:paraId="4A3D0A01"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土地用途为商业、办公，土地使用年限为商业</w:t>
      </w:r>
      <w:r w:rsidRPr="00F631FB">
        <w:rPr>
          <w:rFonts w:ascii="Arial" w:eastAsia="仿宋_GB2312" w:hAnsi="Arial" w:cs="Arial"/>
          <w:sz w:val="28"/>
        </w:rPr>
        <w:t>40</w:t>
      </w:r>
      <w:r w:rsidRPr="00F631FB">
        <w:rPr>
          <w:rFonts w:ascii="Arial" w:eastAsia="仿宋_GB2312" w:hAnsi="Arial" w:cs="Arial"/>
          <w:sz w:val="28"/>
        </w:rPr>
        <w:t>年、办公</w:t>
      </w:r>
      <w:r w:rsidRPr="00F631FB">
        <w:rPr>
          <w:rFonts w:ascii="Arial" w:eastAsia="仿宋_GB2312" w:hAnsi="Arial" w:cs="Arial"/>
          <w:sz w:val="28"/>
        </w:rPr>
        <w:t>50</w:t>
      </w:r>
      <w:r w:rsidRPr="00F631FB">
        <w:rPr>
          <w:rFonts w:ascii="Arial" w:eastAsia="仿宋_GB2312" w:hAnsi="Arial" w:cs="Arial"/>
          <w:sz w:val="28"/>
        </w:rPr>
        <w:t>年。所属项目</w:t>
      </w:r>
      <w:r w:rsidRPr="00F631FB">
        <w:rPr>
          <w:rFonts w:ascii="Arial" w:eastAsia="仿宋_GB2312" w:hAnsi="Arial" w:cs="Arial" w:hint="eastAsia"/>
          <w:sz w:val="28"/>
        </w:rPr>
        <w:t>分摊</w:t>
      </w:r>
      <w:r w:rsidRPr="00F631FB">
        <w:rPr>
          <w:rFonts w:ascii="Arial" w:eastAsia="仿宋_GB2312" w:hAnsi="Arial" w:cs="Arial"/>
          <w:sz w:val="28"/>
        </w:rPr>
        <w:t>土地面积</w:t>
      </w:r>
      <w:r>
        <w:rPr>
          <w:rFonts w:ascii="Arial" w:eastAsia="仿宋_GB2312" w:hAnsi="Arial" w:cs="Arial"/>
          <w:sz w:val="28"/>
        </w:rPr>
        <w:t>7723.55</w:t>
      </w:r>
      <w:r w:rsidRPr="00F631FB">
        <w:rPr>
          <w:rFonts w:ascii="Arial" w:eastAsia="仿宋_GB2312" w:hAnsi="Arial" w:cs="Arial"/>
          <w:sz w:val="28"/>
        </w:rPr>
        <w:t>平方米，</w:t>
      </w:r>
      <w:r>
        <w:rPr>
          <w:rFonts w:ascii="Arial" w:eastAsia="仿宋_GB2312" w:hAnsi="Arial" w:cs="Arial" w:hint="eastAsia"/>
          <w:sz w:val="28"/>
        </w:rPr>
        <w:t>总</w:t>
      </w:r>
      <w:r w:rsidRPr="00F631FB">
        <w:rPr>
          <w:rFonts w:ascii="Arial" w:eastAsia="仿宋_GB2312" w:hAnsi="Arial" w:cs="Arial"/>
          <w:sz w:val="28"/>
        </w:rPr>
        <w:t>容积率为</w:t>
      </w:r>
      <w:r>
        <w:rPr>
          <w:rFonts w:ascii="Arial" w:eastAsia="仿宋_GB2312" w:hAnsi="Arial" w:cs="Arial"/>
          <w:sz w:val="28"/>
        </w:rPr>
        <w:t>2.4</w:t>
      </w:r>
      <w:r w:rsidRPr="00F631FB">
        <w:rPr>
          <w:rFonts w:ascii="Arial" w:eastAsia="仿宋_GB2312" w:hAnsi="Arial" w:cs="Arial"/>
          <w:sz w:val="28"/>
        </w:rPr>
        <w:t>，规划建筑面积</w:t>
      </w:r>
      <w:r>
        <w:rPr>
          <w:rFonts w:ascii="Arial" w:eastAsia="仿宋_GB2312" w:hAnsi="Arial" w:cs="Arial"/>
          <w:sz w:val="28"/>
        </w:rPr>
        <w:t>36047.11</w:t>
      </w:r>
      <w:r w:rsidRPr="00F631FB">
        <w:rPr>
          <w:rFonts w:ascii="Arial" w:eastAsia="仿宋_GB2312" w:hAnsi="Arial" w:cs="Arial"/>
          <w:sz w:val="28"/>
        </w:rPr>
        <w:t>平方米。交易日期为</w:t>
      </w:r>
      <w:r>
        <w:rPr>
          <w:rFonts w:ascii="Arial" w:eastAsia="仿宋_GB2312" w:hAnsi="Arial" w:cs="Arial"/>
          <w:sz w:val="28"/>
        </w:rPr>
        <w:t>2019</w:t>
      </w:r>
      <w:r w:rsidRPr="00F631FB">
        <w:rPr>
          <w:rFonts w:ascii="Arial" w:eastAsia="仿宋_GB2312" w:hAnsi="Arial" w:cs="Arial"/>
          <w:sz w:val="28"/>
        </w:rPr>
        <w:t>年</w:t>
      </w:r>
      <w:r>
        <w:rPr>
          <w:rFonts w:ascii="Arial" w:eastAsia="仿宋_GB2312" w:hAnsi="Arial" w:cs="Arial" w:hint="eastAsia"/>
          <w:sz w:val="28"/>
        </w:rPr>
        <w:t>1</w:t>
      </w:r>
      <w:r w:rsidRPr="00F631FB">
        <w:rPr>
          <w:rFonts w:ascii="Arial" w:eastAsia="仿宋_GB2312" w:hAnsi="Arial" w:cs="Arial"/>
          <w:sz w:val="28"/>
        </w:rPr>
        <w:t>月，交易情况正常，办公成交价格为楼面地价为</w:t>
      </w:r>
      <w:r>
        <w:rPr>
          <w:rFonts w:ascii="Arial" w:eastAsia="仿宋_GB2312" w:hAnsi="Arial" w:cs="Arial"/>
          <w:sz w:val="28"/>
        </w:rPr>
        <w:t>26475</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Pr>
          <w:rFonts w:ascii="Arial" w:eastAsia="仿宋_GB2312" w:hAnsi="Arial" w:cs="Arial"/>
          <w:sz w:val="28"/>
        </w:rPr>
        <w:t>33464</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22B5B65C"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w:t>
      </w:r>
      <w:r>
        <w:rPr>
          <w:rFonts w:ascii="Arial" w:eastAsia="仿宋_GB2312" w:hAnsi="Arial" w:cs="Arial" w:hint="eastAsia"/>
          <w:sz w:val="28"/>
          <w:szCs w:val="28"/>
        </w:rPr>
        <w:t>城建大厦、冠海大厦、环星大厦、中城写字楼</w:t>
      </w:r>
      <w:r w:rsidRPr="00F631FB">
        <w:rPr>
          <w:rFonts w:ascii="Arial" w:eastAsia="仿宋_GB2312" w:hAnsi="Arial" w:cs="Arial"/>
          <w:sz w:val="28"/>
          <w:szCs w:val="28"/>
        </w:rPr>
        <w:t>等，办公集聚程度较好</w:t>
      </w:r>
      <w:r w:rsidRPr="00F631FB">
        <w:rPr>
          <w:rFonts w:ascii="Arial" w:eastAsia="仿宋_GB2312" w:hAnsi="Arial" w:cs="Arial"/>
          <w:sz w:val="28"/>
        </w:rPr>
        <w:t>；</w:t>
      </w:r>
    </w:p>
    <w:p w14:paraId="3021B3C6"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w:t>
      </w:r>
      <w:r w:rsidRPr="00F631FB">
        <w:rPr>
          <w:rFonts w:ascii="Arial" w:eastAsia="仿宋_GB2312" w:hAnsi="Arial" w:cs="Arial"/>
          <w:sz w:val="28"/>
          <w:szCs w:val="28"/>
        </w:rPr>
        <w:t>周边有</w:t>
      </w:r>
      <w:r>
        <w:rPr>
          <w:rFonts w:ascii="Arial" w:eastAsia="仿宋_GB2312" w:hAnsi="Arial" w:cs="Arial" w:hint="eastAsia"/>
          <w:bCs/>
          <w:sz w:val="28"/>
          <w:szCs w:val="28"/>
        </w:rPr>
        <w:t>翠微百货、沿街底商</w:t>
      </w:r>
      <w:r w:rsidRPr="00F631FB">
        <w:rPr>
          <w:rFonts w:ascii="Arial" w:eastAsia="仿宋_GB2312" w:hAnsi="Arial" w:cs="Arial" w:hint="eastAsia"/>
          <w:bCs/>
          <w:sz w:val="28"/>
          <w:szCs w:val="28"/>
        </w:rPr>
        <w:t>等</w:t>
      </w:r>
      <w:r w:rsidRPr="00F631FB">
        <w:rPr>
          <w:rFonts w:ascii="Arial" w:eastAsia="仿宋_GB2312" w:hAnsi="Arial" w:cs="Arial"/>
          <w:sz w:val="28"/>
          <w:szCs w:val="28"/>
        </w:rPr>
        <w:t>，</w:t>
      </w:r>
      <w:r w:rsidRPr="00F631FB">
        <w:rPr>
          <w:rFonts w:ascii="Arial" w:eastAsia="仿宋_GB2312" w:hAnsi="Arial" w:cs="Arial"/>
          <w:sz w:val="28"/>
        </w:rPr>
        <w:t>商业繁华度</w:t>
      </w:r>
      <w:r w:rsidRPr="00F631FB">
        <w:rPr>
          <w:rFonts w:ascii="Arial" w:eastAsia="仿宋_GB2312" w:hAnsi="Arial" w:cs="Arial" w:hint="eastAsia"/>
          <w:sz w:val="28"/>
          <w:szCs w:val="28"/>
        </w:rPr>
        <w:t>较好</w:t>
      </w:r>
      <w:r w:rsidRPr="00F631FB">
        <w:rPr>
          <w:rFonts w:ascii="Arial" w:eastAsia="仿宋_GB2312" w:hAnsi="Arial" w:cs="Arial"/>
          <w:sz w:val="28"/>
        </w:rPr>
        <w:t>；</w:t>
      </w:r>
    </w:p>
    <w:p w14:paraId="17FA904B"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Pr>
          <w:rFonts w:ascii="Arial" w:eastAsia="仿宋_GB2312" w:hAnsi="Arial" w:cs="Arial" w:hint="eastAsia"/>
          <w:sz w:val="28"/>
        </w:rPr>
        <w:t>距离地铁十号线牡丹园站约</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hint="eastAsia"/>
          <w:sz w:val="28"/>
        </w:rPr>
        <w:t>米</w:t>
      </w:r>
      <w:r w:rsidRPr="00F631FB">
        <w:rPr>
          <w:rFonts w:ascii="Arial" w:eastAsia="仿宋_GB2312" w:hAnsi="Arial" w:cs="Arial"/>
          <w:sz w:val="28"/>
        </w:rPr>
        <w:t>，区域道路较密集，</w:t>
      </w:r>
      <w:r>
        <w:rPr>
          <w:rFonts w:ascii="Arial" w:eastAsia="仿宋_GB2312" w:hAnsi="Arial" w:cs="Arial" w:hint="eastAsia"/>
          <w:sz w:val="28"/>
        </w:rPr>
        <w:t>距北三环约</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hint="eastAsia"/>
          <w:sz w:val="28"/>
        </w:rPr>
        <w:t>米，</w:t>
      </w:r>
      <w:r w:rsidRPr="00F631FB">
        <w:rPr>
          <w:rFonts w:ascii="Arial" w:eastAsia="仿宋_GB2312" w:hAnsi="Arial" w:cs="Arial"/>
          <w:sz w:val="28"/>
          <w:szCs w:val="28"/>
        </w:rPr>
        <w:t>距北京首都国际机场约</w:t>
      </w:r>
      <w:r>
        <w:rPr>
          <w:rFonts w:ascii="Arial" w:eastAsia="仿宋_GB2312" w:hAnsi="Arial" w:cs="Arial"/>
          <w:sz w:val="28"/>
          <w:szCs w:val="28"/>
        </w:rPr>
        <w:t>22.9</w:t>
      </w:r>
      <w:r w:rsidRPr="00F631FB">
        <w:rPr>
          <w:rFonts w:ascii="Arial" w:eastAsia="仿宋_GB2312" w:hAnsi="Arial" w:cs="Arial"/>
          <w:sz w:val="28"/>
          <w:szCs w:val="28"/>
        </w:rPr>
        <w:t>公里</w:t>
      </w:r>
      <w:r>
        <w:rPr>
          <w:rFonts w:ascii="Arial" w:eastAsia="仿宋_GB2312" w:hAnsi="Arial" w:cs="Arial" w:hint="eastAsia"/>
          <w:sz w:val="28"/>
          <w:szCs w:val="28"/>
        </w:rPr>
        <w:t>，</w:t>
      </w:r>
      <w:r w:rsidRPr="00F631FB">
        <w:rPr>
          <w:rFonts w:ascii="Arial" w:eastAsia="仿宋_GB2312" w:hAnsi="Arial" w:cs="Arial"/>
          <w:sz w:val="28"/>
          <w:szCs w:val="28"/>
        </w:rPr>
        <w:t>距</w:t>
      </w:r>
      <w:r>
        <w:rPr>
          <w:rFonts w:ascii="Arial" w:eastAsia="仿宋_GB2312" w:hAnsi="Arial" w:cs="Arial" w:hint="eastAsia"/>
          <w:sz w:val="28"/>
          <w:szCs w:val="28"/>
        </w:rPr>
        <w:t>北京站</w:t>
      </w:r>
      <w:r w:rsidRPr="00F631FB">
        <w:rPr>
          <w:rFonts w:ascii="Arial" w:eastAsia="仿宋_GB2312" w:hAnsi="Arial" w:cs="Arial"/>
          <w:sz w:val="28"/>
          <w:szCs w:val="28"/>
        </w:rPr>
        <w:t>约</w:t>
      </w:r>
      <w:r>
        <w:rPr>
          <w:rFonts w:ascii="Arial" w:eastAsia="仿宋_GB2312" w:hAnsi="Arial" w:cs="Arial"/>
          <w:sz w:val="28"/>
          <w:szCs w:val="28"/>
        </w:rPr>
        <w:t>9</w:t>
      </w:r>
      <w:r w:rsidRPr="00F631FB">
        <w:rPr>
          <w:rFonts w:ascii="Arial" w:eastAsia="仿宋_GB2312" w:hAnsi="Arial" w:cs="Arial"/>
          <w:sz w:val="28"/>
          <w:szCs w:val="28"/>
        </w:rPr>
        <w:t>公里</w:t>
      </w:r>
      <w:r w:rsidRPr="00F631FB">
        <w:rPr>
          <w:rFonts w:ascii="Arial" w:eastAsia="仿宋_GB2312" w:hAnsi="Arial" w:cs="Arial"/>
          <w:sz w:val="28"/>
        </w:rPr>
        <w:t>，综合评价交通便捷度</w:t>
      </w:r>
      <w:r w:rsidRPr="00F631FB">
        <w:rPr>
          <w:rFonts w:ascii="Arial" w:eastAsia="仿宋_GB2312" w:hAnsi="Arial" w:cs="Arial" w:hint="eastAsia"/>
          <w:sz w:val="28"/>
        </w:rPr>
        <w:t>较好</w:t>
      </w:r>
      <w:r w:rsidRPr="00F631FB">
        <w:rPr>
          <w:rFonts w:ascii="Arial" w:eastAsia="仿宋_GB2312" w:hAnsi="Arial" w:cs="Arial"/>
          <w:sz w:val="28"/>
        </w:rPr>
        <w:t>；</w:t>
      </w:r>
    </w:p>
    <w:p w14:paraId="027E4D2A"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4262F569"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，周边</w:t>
      </w:r>
      <w:r w:rsidRPr="00F631FB">
        <w:rPr>
          <w:rFonts w:ascii="Arial" w:eastAsia="仿宋_GB2312" w:hAnsi="Arial" w:cs="Arial"/>
          <w:sz w:val="28"/>
        </w:rPr>
        <w:t>2</w:t>
      </w:r>
      <w:r w:rsidRPr="00F631FB">
        <w:rPr>
          <w:rFonts w:ascii="Arial" w:eastAsia="仿宋_GB2312" w:hAnsi="Arial" w:cs="Arial"/>
          <w:sz w:val="28"/>
        </w:rPr>
        <w:t>公里范围内有购物场所（</w:t>
      </w:r>
      <w:r>
        <w:rPr>
          <w:rFonts w:ascii="Arial" w:eastAsia="仿宋_GB2312" w:hAnsi="Arial" w:cs="Arial" w:hint="eastAsia"/>
          <w:sz w:val="28"/>
        </w:rPr>
        <w:t>翠微百货、超市发</w:t>
      </w:r>
      <w:r w:rsidRPr="00F631FB">
        <w:rPr>
          <w:rFonts w:ascii="Arial" w:eastAsia="仿宋_GB2312" w:hAnsi="Arial" w:cs="Arial"/>
          <w:sz w:val="28"/>
        </w:rPr>
        <w:t>等），银行（</w:t>
      </w:r>
      <w:r>
        <w:rPr>
          <w:rFonts w:ascii="Arial" w:eastAsia="仿宋_GB2312" w:hAnsi="Arial" w:cs="Arial" w:hint="eastAsia"/>
          <w:sz w:val="28"/>
        </w:rPr>
        <w:t>中国建设银行、中国农业银行、中国建设银行</w:t>
      </w:r>
      <w:r w:rsidRPr="00F631FB">
        <w:rPr>
          <w:rFonts w:ascii="Arial" w:eastAsia="仿宋_GB2312" w:hAnsi="Arial" w:cs="Arial"/>
          <w:sz w:val="28"/>
        </w:rPr>
        <w:t>等），学校（</w:t>
      </w:r>
      <w:r>
        <w:rPr>
          <w:rFonts w:ascii="Arial" w:eastAsia="仿宋_GB2312" w:hAnsi="Arial" w:cs="Arial" w:hint="eastAsia"/>
          <w:sz w:val="28"/>
        </w:rPr>
        <w:t>北京交通大学附属中学、北师大第三附属中学、北京市海淀区民族小学</w:t>
      </w:r>
      <w:r w:rsidRPr="00F631FB">
        <w:rPr>
          <w:rFonts w:ascii="Arial" w:eastAsia="仿宋_GB2312" w:hAnsi="Arial" w:cs="Arial"/>
          <w:sz w:val="28"/>
        </w:rPr>
        <w:t>等），医院（</w:t>
      </w:r>
      <w:r>
        <w:rPr>
          <w:rFonts w:ascii="Arial" w:eastAsia="仿宋_GB2312" w:hAnsi="Arial" w:cs="Arial" w:hint="eastAsia"/>
          <w:sz w:val="28"/>
        </w:rPr>
        <w:t>北京大学第三医院、花园路社区卫生服务中心、北京国都医院</w:t>
      </w:r>
      <w:r w:rsidRPr="00F631FB">
        <w:rPr>
          <w:rFonts w:ascii="Arial" w:eastAsia="仿宋_GB2312" w:hAnsi="Arial" w:cs="Arial"/>
          <w:sz w:val="28"/>
        </w:rPr>
        <w:t>等），综合评价区域设施及基础设施水平较好；</w:t>
      </w:r>
    </w:p>
    <w:p w14:paraId="696D9CFA"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自然及人文环境：周边</w:t>
      </w:r>
      <w:r w:rsidRPr="00F631FB">
        <w:rPr>
          <w:rFonts w:ascii="Arial" w:eastAsia="仿宋_GB2312" w:hAnsi="Arial" w:cs="Arial"/>
          <w:sz w:val="28"/>
        </w:rPr>
        <w:t>2</w:t>
      </w:r>
      <w:r w:rsidRPr="00F631FB">
        <w:rPr>
          <w:rFonts w:ascii="Arial" w:eastAsia="仿宋_GB2312" w:hAnsi="Arial" w:cs="Arial"/>
          <w:sz w:val="28"/>
        </w:rPr>
        <w:t>公里内有</w:t>
      </w:r>
      <w:r>
        <w:rPr>
          <w:rFonts w:ascii="Arial" w:eastAsia="仿宋_GB2312" w:hAnsi="Arial" w:cs="Arial" w:hint="eastAsia"/>
          <w:sz w:val="28"/>
        </w:rPr>
        <w:t>元大都遗址公园、马甸公园、马甸清</w:t>
      </w:r>
      <w:r>
        <w:rPr>
          <w:rFonts w:ascii="Arial" w:eastAsia="仿宋_GB2312" w:hAnsi="Arial" w:cs="Arial" w:hint="eastAsia"/>
          <w:sz w:val="28"/>
        </w:rPr>
        <w:lastRenderedPageBreak/>
        <w:t>真寺</w:t>
      </w:r>
      <w:r w:rsidRPr="00F631FB">
        <w:rPr>
          <w:rFonts w:ascii="Arial" w:eastAsia="仿宋_GB2312" w:hAnsi="Arial" w:cs="Arial"/>
          <w:sz w:val="28"/>
        </w:rPr>
        <w:t>等；较少博物馆、美术馆、高等院校等人文设施，综合考虑自然环境与人文环境好；</w:t>
      </w:r>
    </w:p>
    <w:p w14:paraId="2D2C1FE1"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10CFB449"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毗邻道路的类型与等级：城市</w:t>
      </w:r>
      <w:r>
        <w:rPr>
          <w:rFonts w:ascii="Arial" w:eastAsia="仿宋_GB2312" w:hAnsi="Arial" w:cs="Arial" w:hint="eastAsia"/>
          <w:sz w:val="28"/>
        </w:rPr>
        <w:t>次</w:t>
      </w:r>
      <w:r w:rsidRPr="00F631FB">
        <w:rPr>
          <w:rFonts w:ascii="Arial" w:eastAsia="仿宋_GB2312" w:hAnsi="Arial" w:cs="Arial"/>
          <w:sz w:val="28"/>
        </w:rPr>
        <w:t>干道</w:t>
      </w:r>
      <w:r w:rsidRPr="00F631FB">
        <w:rPr>
          <w:rFonts w:ascii="Arial" w:eastAsia="仿宋_GB2312" w:hAnsi="Arial" w:cs="Arial"/>
          <w:sz w:val="28"/>
        </w:rPr>
        <w:t>-</w:t>
      </w:r>
      <w:r>
        <w:rPr>
          <w:rFonts w:ascii="Arial" w:eastAsia="仿宋_GB2312" w:hAnsi="Arial" w:cs="Arial" w:hint="eastAsia"/>
          <w:sz w:val="28"/>
        </w:rPr>
        <w:t>北太平庄路</w:t>
      </w:r>
      <w:r w:rsidRPr="00F631FB">
        <w:rPr>
          <w:rFonts w:ascii="Arial" w:eastAsia="仿宋_GB2312" w:hAnsi="Arial" w:cs="Arial"/>
          <w:sz w:val="28"/>
        </w:rPr>
        <w:t>；</w:t>
      </w:r>
    </w:p>
    <w:p w14:paraId="0B441B2E"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Pr>
          <w:rFonts w:ascii="Arial" w:eastAsia="仿宋_GB2312" w:hAnsi="Arial" w:cs="Arial" w:hint="eastAsia"/>
          <w:sz w:val="28"/>
        </w:rPr>
        <w:t>三</w:t>
      </w:r>
      <w:r w:rsidRPr="00F631FB">
        <w:rPr>
          <w:rFonts w:ascii="Arial" w:eastAsia="仿宋_GB2312" w:hAnsi="Arial" w:cs="Arial"/>
          <w:sz w:val="28"/>
        </w:rPr>
        <w:t>级；</w:t>
      </w:r>
    </w:p>
    <w:p w14:paraId="4ED37233"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20D0FB1A"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0C3DCF7E" w14:textId="61654DF8" w:rsidR="000E7771" w:rsidRPr="00F631FB" w:rsidRDefault="000E7771" w:rsidP="000E7771">
      <w:pPr>
        <w:spacing w:line="360" w:lineRule="auto"/>
        <w:ind w:firstLineChars="200" w:firstLine="562"/>
        <w:jc w:val="both"/>
        <w:textAlignment w:val="bottom"/>
        <w:rPr>
          <w:rFonts w:ascii="Arial" w:eastAsia="仿宋_GB2312" w:hAnsi="Arial" w:cs="Arial"/>
          <w:sz w:val="28"/>
        </w:rPr>
      </w:pPr>
      <w:r w:rsidRPr="00F631FB">
        <w:rPr>
          <w:rFonts w:ascii="Arial" w:eastAsia="仿宋_GB2312" w:hAnsi="Arial" w:cs="Arial"/>
          <w:b/>
          <w:sz w:val="28"/>
        </w:rPr>
        <w:t>案例</w:t>
      </w:r>
      <w:r w:rsidR="0087591C">
        <w:rPr>
          <w:rFonts w:ascii="Arial" w:eastAsia="仿宋_GB2312" w:hAnsi="Arial" w:cs="Arial"/>
          <w:b/>
          <w:sz w:val="28"/>
        </w:rPr>
        <w:t>N</w:t>
      </w:r>
      <w:r w:rsidRPr="00F631FB">
        <w:rPr>
          <w:rFonts w:ascii="Arial" w:eastAsia="仿宋_GB2312" w:hAnsi="Arial" w:cs="Arial"/>
          <w:b/>
          <w:sz w:val="28"/>
        </w:rPr>
        <w:t>：</w:t>
      </w:r>
      <w:r w:rsidRPr="00EF6FBB">
        <w:rPr>
          <w:rFonts w:ascii="Arial" w:eastAsia="仿宋_GB2312" w:hAnsi="Arial" w:cs="Arial" w:hint="eastAsia"/>
          <w:sz w:val="28"/>
        </w:rPr>
        <w:t>海淀区岭南路</w:t>
      </w:r>
      <w:r w:rsidRPr="00EF6FBB">
        <w:rPr>
          <w:rFonts w:ascii="Arial" w:eastAsia="仿宋_GB2312" w:hAnsi="Arial" w:cs="Arial" w:hint="eastAsia"/>
          <w:sz w:val="28"/>
        </w:rPr>
        <w:t>36</w:t>
      </w:r>
      <w:r w:rsidRPr="00EF6FBB">
        <w:rPr>
          <w:rFonts w:ascii="Arial" w:eastAsia="仿宋_GB2312" w:hAnsi="Arial" w:cs="Arial" w:hint="eastAsia"/>
          <w:sz w:val="28"/>
        </w:rPr>
        <w:t>号</w:t>
      </w:r>
      <w:r w:rsidRPr="00EF6FBB">
        <w:rPr>
          <w:rFonts w:ascii="Arial" w:eastAsia="仿宋_GB2312" w:hAnsi="Arial" w:cs="Arial" w:hint="eastAsia"/>
          <w:sz w:val="28"/>
        </w:rPr>
        <w:t>2</w:t>
      </w:r>
      <w:r w:rsidRPr="00EF6FBB">
        <w:rPr>
          <w:rFonts w:ascii="Arial" w:eastAsia="仿宋_GB2312" w:hAnsi="Arial" w:cs="Arial" w:hint="eastAsia"/>
          <w:sz w:val="28"/>
        </w:rPr>
        <w:t>幢、</w:t>
      </w:r>
      <w:r w:rsidRPr="00EF6FBB">
        <w:rPr>
          <w:rFonts w:ascii="Arial" w:eastAsia="仿宋_GB2312" w:hAnsi="Arial" w:cs="Arial" w:hint="eastAsia"/>
          <w:sz w:val="28"/>
        </w:rPr>
        <w:t>8</w:t>
      </w:r>
      <w:r w:rsidRPr="00EF6FBB">
        <w:rPr>
          <w:rFonts w:ascii="Arial" w:eastAsia="仿宋_GB2312" w:hAnsi="Arial" w:cs="Arial" w:hint="eastAsia"/>
          <w:sz w:val="28"/>
        </w:rPr>
        <w:t>幢项目现状机关团体、住宿餐饮项目</w:t>
      </w:r>
    </w:p>
    <w:p w14:paraId="3A4DCD58"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土地用途为</w:t>
      </w:r>
      <w:r>
        <w:rPr>
          <w:rFonts w:ascii="Arial" w:eastAsia="仿宋_GB2312" w:hAnsi="Arial" w:cs="Arial" w:hint="eastAsia"/>
          <w:sz w:val="28"/>
        </w:rPr>
        <w:t>商业、办公</w:t>
      </w:r>
      <w:r w:rsidRPr="00F631FB">
        <w:rPr>
          <w:rFonts w:ascii="Arial" w:eastAsia="仿宋_GB2312" w:hAnsi="Arial" w:cs="Arial"/>
          <w:sz w:val="28"/>
        </w:rPr>
        <w:t>，土地使用年限为商业</w:t>
      </w:r>
      <w:r w:rsidRPr="00F631FB">
        <w:rPr>
          <w:rFonts w:ascii="Arial" w:eastAsia="仿宋_GB2312" w:hAnsi="Arial" w:cs="Arial"/>
          <w:sz w:val="28"/>
        </w:rPr>
        <w:t>40</w:t>
      </w:r>
      <w:r w:rsidRPr="00F631FB">
        <w:rPr>
          <w:rFonts w:ascii="Arial" w:eastAsia="仿宋_GB2312" w:hAnsi="Arial" w:cs="Arial"/>
          <w:sz w:val="28"/>
        </w:rPr>
        <w:t>年、办公</w:t>
      </w:r>
      <w:r w:rsidRPr="00F631FB">
        <w:rPr>
          <w:rFonts w:ascii="Arial" w:eastAsia="仿宋_GB2312" w:hAnsi="Arial" w:cs="Arial"/>
          <w:sz w:val="28"/>
        </w:rPr>
        <w:t>50</w:t>
      </w:r>
      <w:r w:rsidRPr="00F631FB">
        <w:rPr>
          <w:rFonts w:ascii="Arial" w:eastAsia="仿宋_GB2312" w:hAnsi="Arial" w:cs="Arial"/>
          <w:sz w:val="28"/>
        </w:rPr>
        <w:t>年。所属项目</w:t>
      </w:r>
      <w:r w:rsidRPr="00F631FB">
        <w:rPr>
          <w:rFonts w:ascii="Arial" w:eastAsia="仿宋_GB2312" w:hAnsi="Arial" w:cs="Arial" w:hint="eastAsia"/>
          <w:sz w:val="28"/>
        </w:rPr>
        <w:t>分摊</w:t>
      </w:r>
      <w:r w:rsidRPr="00F631FB">
        <w:rPr>
          <w:rFonts w:ascii="Arial" w:eastAsia="仿宋_GB2312" w:hAnsi="Arial" w:cs="Arial"/>
          <w:sz w:val="28"/>
        </w:rPr>
        <w:t>土地面积</w:t>
      </w:r>
      <w:r>
        <w:rPr>
          <w:rFonts w:ascii="Arial" w:eastAsia="仿宋_GB2312" w:hAnsi="Arial" w:cs="Arial"/>
          <w:sz w:val="28"/>
        </w:rPr>
        <w:t>3051.19</w:t>
      </w:r>
      <w:r w:rsidRPr="00F631FB">
        <w:rPr>
          <w:rFonts w:ascii="Arial" w:eastAsia="仿宋_GB2312" w:hAnsi="Arial" w:cs="Arial"/>
          <w:sz w:val="28"/>
        </w:rPr>
        <w:t>平方米，地上容积率为</w:t>
      </w:r>
      <w:r>
        <w:rPr>
          <w:rFonts w:ascii="Arial" w:eastAsia="仿宋_GB2312" w:hAnsi="Arial" w:cs="Arial"/>
          <w:sz w:val="28"/>
        </w:rPr>
        <w:t>6.7</w:t>
      </w:r>
      <w:r w:rsidRPr="00F631FB">
        <w:rPr>
          <w:rFonts w:ascii="Arial" w:eastAsia="仿宋_GB2312" w:hAnsi="Arial" w:cs="Arial"/>
          <w:sz w:val="28"/>
        </w:rPr>
        <w:t>，规划建筑面积</w:t>
      </w:r>
      <w:r>
        <w:rPr>
          <w:rFonts w:ascii="Arial" w:eastAsia="仿宋_GB2312" w:hAnsi="Arial" w:cs="Arial"/>
          <w:sz w:val="28"/>
        </w:rPr>
        <w:t>20361.2</w:t>
      </w:r>
      <w:r w:rsidRPr="00F631FB">
        <w:rPr>
          <w:rFonts w:ascii="Arial" w:eastAsia="仿宋_GB2312" w:hAnsi="Arial" w:cs="Arial"/>
          <w:sz w:val="28"/>
        </w:rPr>
        <w:t>平方米。交易日期为</w:t>
      </w:r>
      <w:r>
        <w:rPr>
          <w:rFonts w:ascii="Arial" w:eastAsia="仿宋_GB2312" w:hAnsi="Arial" w:cs="Arial"/>
          <w:sz w:val="28"/>
        </w:rPr>
        <w:t>2019</w:t>
      </w:r>
      <w:r w:rsidRPr="00F631FB">
        <w:rPr>
          <w:rFonts w:ascii="Arial" w:eastAsia="仿宋_GB2312" w:hAnsi="Arial" w:cs="Arial"/>
          <w:sz w:val="28"/>
        </w:rPr>
        <w:t>年</w:t>
      </w:r>
      <w:r>
        <w:rPr>
          <w:rFonts w:ascii="Arial" w:eastAsia="仿宋_GB2312" w:hAnsi="Arial" w:cs="Arial"/>
          <w:sz w:val="28"/>
        </w:rPr>
        <w:t>2</w:t>
      </w:r>
      <w:r w:rsidRPr="00F631FB">
        <w:rPr>
          <w:rFonts w:ascii="Arial" w:eastAsia="仿宋_GB2312" w:hAnsi="Arial" w:cs="Arial"/>
          <w:sz w:val="28"/>
        </w:rPr>
        <w:t>月，交易情况正常，办公成交价格为楼面地价为</w:t>
      </w:r>
      <w:r>
        <w:rPr>
          <w:rFonts w:ascii="Arial" w:eastAsia="仿宋_GB2312" w:hAnsi="Arial" w:cs="Arial"/>
          <w:sz w:val="28"/>
        </w:rPr>
        <w:t>23783</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Pr>
          <w:rFonts w:ascii="Arial" w:eastAsia="仿宋_GB2312" w:hAnsi="Arial" w:cs="Arial"/>
          <w:sz w:val="28"/>
        </w:rPr>
        <w:t>27750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55CB8820" w14:textId="77777777" w:rsidR="000E7771"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w:t>
      </w:r>
      <w:r>
        <w:rPr>
          <w:rFonts w:ascii="Arial" w:eastAsia="仿宋_GB2312" w:hAnsi="Arial" w:cs="Arial" w:hint="eastAsia"/>
          <w:sz w:val="28"/>
          <w:szCs w:val="28"/>
        </w:rPr>
        <w:t>广东大厦、</w:t>
      </w:r>
      <w:proofErr w:type="gramStart"/>
      <w:r>
        <w:rPr>
          <w:rFonts w:ascii="Arial" w:eastAsia="仿宋_GB2312" w:hAnsi="Arial" w:cs="Arial" w:hint="eastAsia"/>
          <w:sz w:val="28"/>
          <w:szCs w:val="28"/>
        </w:rPr>
        <w:t>裕惠大厦</w:t>
      </w:r>
      <w:proofErr w:type="gramEnd"/>
      <w:r>
        <w:rPr>
          <w:rFonts w:ascii="Arial" w:eastAsia="仿宋_GB2312" w:hAnsi="Arial" w:cs="Arial" w:hint="eastAsia"/>
          <w:sz w:val="28"/>
          <w:szCs w:val="28"/>
        </w:rPr>
        <w:t>、银都大厦</w:t>
      </w:r>
      <w:r w:rsidRPr="00F631FB">
        <w:rPr>
          <w:rFonts w:ascii="Arial" w:eastAsia="仿宋_GB2312" w:hAnsi="Arial" w:cs="Arial"/>
          <w:sz w:val="28"/>
          <w:szCs w:val="28"/>
        </w:rPr>
        <w:t>等，办公集聚程度较好</w:t>
      </w:r>
      <w:r w:rsidRPr="00F631FB">
        <w:rPr>
          <w:rFonts w:ascii="Arial" w:eastAsia="仿宋_GB2312" w:hAnsi="Arial" w:cs="Arial"/>
          <w:sz w:val="28"/>
        </w:rPr>
        <w:t>；</w:t>
      </w:r>
    </w:p>
    <w:p w14:paraId="7C3227B0"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w:t>
      </w:r>
      <w:r w:rsidRPr="00F631FB">
        <w:rPr>
          <w:rFonts w:ascii="Arial" w:eastAsia="仿宋_GB2312" w:hAnsi="Arial" w:cs="Arial"/>
          <w:sz w:val="28"/>
          <w:szCs w:val="28"/>
        </w:rPr>
        <w:t>周边有</w:t>
      </w:r>
      <w:r>
        <w:rPr>
          <w:rFonts w:ascii="Arial" w:eastAsia="仿宋_GB2312" w:hAnsi="Arial" w:cs="Arial" w:hint="eastAsia"/>
          <w:bCs/>
          <w:sz w:val="28"/>
          <w:szCs w:val="28"/>
        </w:rPr>
        <w:t>华光商厦、沿街底商</w:t>
      </w:r>
      <w:r w:rsidRPr="00F631FB">
        <w:rPr>
          <w:rFonts w:ascii="Arial" w:eastAsia="仿宋_GB2312" w:hAnsi="Arial" w:cs="Arial" w:hint="eastAsia"/>
          <w:bCs/>
          <w:sz w:val="28"/>
          <w:szCs w:val="28"/>
        </w:rPr>
        <w:t>等</w:t>
      </w:r>
      <w:r w:rsidRPr="00F631FB">
        <w:rPr>
          <w:rFonts w:ascii="Arial" w:eastAsia="仿宋_GB2312" w:hAnsi="Arial" w:cs="Arial"/>
          <w:sz w:val="28"/>
          <w:szCs w:val="28"/>
        </w:rPr>
        <w:t>，</w:t>
      </w:r>
      <w:r w:rsidRPr="00F631FB">
        <w:rPr>
          <w:rFonts w:ascii="Arial" w:eastAsia="仿宋_GB2312" w:hAnsi="Arial" w:cs="Arial"/>
          <w:sz w:val="28"/>
        </w:rPr>
        <w:t>商业繁华度</w:t>
      </w:r>
      <w:r w:rsidRPr="00F631FB">
        <w:rPr>
          <w:rFonts w:ascii="Arial" w:eastAsia="仿宋_GB2312" w:hAnsi="Arial" w:cs="Arial" w:hint="eastAsia"/>
          <w:sz w:val="28"/>
          <w:szCs w:val="28"/>
        </w:rPr>
        <w:t>较好</w:t>
      </w:r>
      <w:r w:rsidRPr="00F631FB">
        <w:rPr>
          <w:rFonts w:ascii="Arial" w:eastAsia="仿宋_GB2312" w:hAnsi="Arial" w:cs="Arial"/>
          <w:sz w:val="28"/>
        </w:rPr>
        <w:t>；</w:t>
      </w:r>
    </w:p>
    <w:p w14:paraId="2B2972A4"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Pr>
          <w:rFonts w:ascii="Arial" w:eastAsia="仿宋_GB2312" w:hAnsi="Arial" w:cs="Arial" w:hint="eastAsia"/>
          <w:sz w:val="28"/>
        </w:rPr>
        <w:t>距离地铁十号线西钓鱼台站约</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hint="eastAsia"/>
          <w:sz w:val="28"/>
        </w:rPr>
        <w:t>米</w:t>
      </w:r>
      <w:r w:rsidRPr="00F631FB">
        <w:rPr>
          <w:rFonts w:ascii="Arial" w:eastAsia="仿宋_GB2312" w:hAnsi="Arial" w:cs="Arial"/>
          <w:sz w:val="28"/>
        </w:rPr>
        <w:t>，区域道路较密集，</w:t>
      </w:r>
      <w:r>
        <w:rPr>
          <w:rFonts w:ascii="Arial" w:eastAsia="仿宋_GB2312" w:hAnsi="Arial" w:cs="Arial" w:hint="eastAsia"/>
          <w:sz w:val="28"/>
        </w:rPr>
        <w:t>距西三环约</w:t>
      </w:r>
      <w:r>
        <w:rPr>
          <w:rFonts w:ascii="Arial" w:eastAsia="仿宋_GB2312" w:hAnsi="Arial" w:cs="Arial" w:hint="eastAsia"/>
          <w:sz w:val="28"/>
        </w:rPr>
        <w:t>7</w:t>
      </w:r>
      <w:r>
        <w:rPr>
          <w:rFonts w:ascii="Arial" w:eastAsia="仿宋_GB2312" w:hAnsi="Arial" w:cs="Arial"/>
          <w:sz w:val="28"/>
        </w:rPr>
        <w:t>00</w:t>
      </w:r>
      <w:r>
        <w:rPr>
          <w:rFonts w:ascii="Arial" w:eastAsia="仿宋_GB2312" w:hAnsi="Arial" w:cs="Arial" w:hint="eastAsia"/>
          <w:sz w:val="28"/>
        </w:rPr>
        <w:t>米，</w:t>
      </w:r>
      <w:r w:rsidRPr="00F631FB">
        <w:rPr>
          <w:rFonts w:ascii="Arial" w:eastAsia="仿宋_GB2312" w:hAnsi="Arial" w:cs="Arial"/>
          <w:sz w:val="28"/>
          <w:szCs w:val="28"/>
        </w:rPr>
        <w:t>距北京首都国际机场约</w:t>
      </w:r>
      <w:r>
        <w:rPr>
          <w:rFonts w:ascii="Arial" w:eastAsia="仿宋_GB2312" w:hAnsi="Arial" w:cs="Arial"/>
          <w:sz w:val="28"/>
          <w:szCs w:val="28"/>
        </w:rPr>
        <w:t>30.7</w:t>
      </w:r>
      <w:r w:rsidRPr="00F631FB">
        <w:rPr>
          <w:rFonts w:ascii="Arial" w:eastAsia="仿宋_GB2312" w:hAnsi="Arial" w:cs="Arial"/>
          <w:sz w:val="28"/>
          <w:szCs w:val="28"/>
        </w:rPr>
        <w:t>公里</w:t>
      </w:r>
      <w:r>
        <w:rPr>
          <w:rFonts w:ascii="Arial" w:eastAsia="仿宋_GB2312" w:hAnsi="Arial" w:cs="Arial" w:hint="eastAsia"/>
          <w:sz w:val="28"/>
          <w:szCs w:val="28"/>
        </w:rPr>
        <w:t>，</w:t>
      </w:r>
      <w:r w:rsidRPr="00F631FB">
        <w:rPr>
          <w:rFonts w:ascii="Arial" w:eastAsia="仿宋_GB2312" w:hAnsi="Arial" w:cs="Arial"/>
          <w:sz w:val="28"/>
          <w:szCs w:val="28"/>
        </w:rPr>
        <w:t>距</w:t>
      </w:r>
      <w:r>
        <w:rPr>
          <w:rFonts w:ascii="Arial" w:eastAsia="仿宋_GB2312" w:hAnsi="Arial" w:cs="Arial" w:hint="eastAsia"/>
          <w:sz w:val="28"/>
          <w:szCs w:val="28"/>
        </w:rPr>
        <w:t>北京站</w:t>
      </w:r>
      <w:r w:rsidRPr="00F631FB">
        <w:rPr>
          <w:rFonts w:ascii="Arial" w:eastAsia="仿宋_GB2312" w:hAnsi="Arial" w:cs="Arial"/>
          <w:sz w:val="28"/>
          <w:szCs w:val="28"/>
        </w:rPr>
        <w:t>约</w:t>
      </w:r>
      <w:r>
        <w:rPr>
          <w:rFonts w:ascii="Arial" w:eastAsia="仿宋_GB2312" w:hAnsi="Arial" w:cs="Arial" w:hint="eastAsia"/>
          <w:sz w:val="28"/>
          <w:szCs w:val="28"/>
        </w:rPr>
        <w:t>1</w:t>
      </w:r>
      <w:r>
        <w:rPr>
          <w:rFonts w:ascii="Arial" w:eastAsia="仿宋_GB2312" w:hAnsi="Arial" w:cs="Arial"/>
          <w:sz w:val="28"/>
          <w:szCs w:val="28"/>
        </w:rPr>
        <w:t>1</w:t>
      </w:r>
      <w:r w:rsidRPr="00F631FB">
        <w:rPr>
          <w:rFonts w:ascii="Arial" w:eastAsia="仿宋_GB2312" w:hAnsi="Arial" w:cs="Arial"/>
          <w:sz w:val="28"/>
          <w:szCs w:val="28"/>
        </w:rPr>
        <w:t>公里</w:t>
      </w:r>
      <w:r w:rsidRPr="00F631FB">
        <w:rPr>
          <w:rFonts w:ascii="Arial" w:eastAsia="仿宋_GB2312" w:hAnsi="Arial" w:cs="Arial"/>
          <w:sz w:val="28"/>
        </w:rPr>
        <w:t>，综合评价交通便捷度</w:t>
      </w:r>
      <w:r w:rsidRPr="00F631FB">
        <w:rPr>
          <w:rFonts w:ascii="Arial" w:eastAsia="仿宋_GB2312" w:hAnsi="Arial" w:cs="Arial" w:hint="eastAsia"/>
          <w:sz w:val="28"/>
        </w:rPr>
        <w:t>较好</w:t>
      </w:r>
      <w:r w:rsidRPr="00F631FB">
        <w:rPr>
          <w:rFonts w:ascii="Arial" w:eastAsia="仿宋_GB2312" w:hAnsi="Arial" w:cs="Arial"/>
          <w:sz w:val="28"/>
        </w:rPr>
        <w:t>；</w:t>
      </w:r>
    </w:p>
    <w:p w14:paraId="701FC009"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0D171DE5"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，周边</w:t>
      </w:r>
      <w:r w:rsidRPr="00F631FB">
        <w:rPr>
          <w:rFonts w:ascii="Arial" w:eastAsia="仿宋_GB2312" w:hAnsi="Arial" w:cs="Arial"/>
          <w:sz w:val="28"/>
        </w:rPr>
        <w:t>2</w:t>
      </w:r>
      <w:r w:rsidRPr="00F631FB">
        <w:rPr>
          <w:rFonts w:ascii="Arial" w:eastAsia="仿宋_GB2312" w:hAnsi="Arial" w:cs="Arial"/>
          <w:sz w:val="28"/>
        </w:rPr>
        <w:t>公</w:t>
      </w:r>
      <w:r w:rsidRPr="00F631FB">
        <w:rPr>
          <w:rFonts w:ascii="Arial" w:eastAsia="仿宋_GB2312" w:hAnsi="Arial" w:cs="Arial"/>
          <w:sz w:val="28"/>
        </w:rPr>
        <w:lastRenderedPageBreak/>
        <w:t>里范围内有购物场所（</w:t>
      </w:r>
      <w:r>
        <w:rPr>
          <w:rFonts w:ascii="Arial" w:eastAsia="仿宋_GB2312" w:hAnsi="Arial" w:cs="Arial" w:hint="eastAsia"/>
          <w:sz w:val="28"/>
        </w:rPr>
        <w:t>华光商厦、物美超市</w:t>
      </w:r>
      <w:r w:rsidRPr="00F631FB">
        <w:rPr>
          <w:rFonts w:ascii="Arial" w:eastAsia="仿宋_GB2312" w:hAnsi="Arial" w:cs="Arial"/>
          <w:sz w:val="28"/>
        </w:rPr>
        <w:t>等），银行（</w:t>
      </w:r>
      <w:r>
        <w:rPr>
          <w:rFonts w:ascii="Arial" w:eastAsia="仿宋_GB2312" w:hAnsi="Arial" w:cs="Arial" w:hint="eastAsia"/>
          <w:sz w:val="28"/>
        </w:rPr>
        <w:t>中国农业银行、北京农商银行、招商银行</w:t>
      </w:r>
      <w:r w:rsidRPr="00F631FB">
        <w:rPr>
          <w:rFonts w:ascii="Arial" w:eastAsia="仿宋_GB2312" w:hAnsi="Arial" w:cs="Arial"/>
          <w:sz w:val="28"/>
        </w:rPr>
        <w:t>等），学校（</w:t>
      </w:r>
      <w:r>
        <w:rPr>
          <w:rFonts w:ascii="Arial" w:eastAsia="仿宋_GB2312" w:hAnsi="Arial" w:cs="Arial" w:hint="eastAsia"/>
          <w:sz w:val="28"/>
        </w:rPr>
        <w:t>海淀区八里庄小学、首师大附属中学、首都师范大学</w:t>
      </w:r>
      <w:r w:rsidRPr="00F631FB">
        <w:rPr>
          <w:rFonts w:ascii="Arial" w:eastAsia="仿宋_GB2312" w:hAnsi="Arial" w:cs="Arial"/>
          <w:sz w:val="28"/>
        </w:rPr>
        <w:t>等），医院（</w:t>
      </w:r>
      <w:r>
        <w:rPr>
          <w:rFonts w:ascii="Arial" w:eastAsia="仿宋_GB2312" w:hAnsi="Arial" w:cs="Arial" w:hint="eastAsia"/>
          <w:sz w:val="28"/>
        </w:rPr>
        <w:t>中国人民解放军总医院第四医学中心、北京水利医院、空军特色医学中心</w:t>
      </w:r>
      <w:r w:rsidRPr="00F631FB">
        <w:rPr>
          <w:rFonts w:ascii="Arial" w:eastAsia="仿宋_GB2312" w:hAnsi="Arial" w:cs="Arial"/>
          <w:sz w:val="28"/>
        </w:rPr>
        <w:t>等），综合评价区域设施及基础设施水平较好；</w:t>
      </w:r>
    </w:p>
    <w:p w14:paraId="4AE2A126"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自然及人文环境：周边</w:t>
      </w:r>
      <w:r w:rsidRPr="00F631FB">
        <w:rPr>
          <w:rFonts w:ascii="Arial" w:eastAsia="仿宋_GB2312" w:hAnsi="Arial" w:cs="Arial"/>
          <w:sz w:val="28"/>
        </w:rPr>
        <w:t>2</w:t>
      </w:r>
      <w:r w:rsidRPr="00F631FB">
        <w:rPr>
          <w:rFonts w:ascii="Arial" w:eastAsia="仿宋_GB2312" w:hAnsi="Arial" w:cs="Arial"/>
          <w:sz w:val="28"/>
        </w:rPr>
        <w:t>公里内有</w:t>
      </w:r>
      <w:r>
        <w:rPr>
          <w:rFonts w:ascii="Arial" w:eastAsia="仿宋_GB2312" w:hAnsi="Arial" w:cs="Arial" w:hint="eastAsia"/>
          <w:sz w:val="28"/>
        </w:rPr>
        <w:t>玲珑公园、中央电视塔、首都师范大学</w:t>
      </w:r>
      <w:r w:rsidRPr="00F631FB">
        <w:rPr>
          <w:rFonts w:ascii="Arial" w:eastAsia="仿宋_GB2312" w:hAnsi="Arial" w:cs="Arial"/>
          <w:sz w:val="28"/>
        </w:rPr>
        <w:t>等；较少博物馆、美术馆、高等院校等人文设施，综合考虑自然环境与人文环境好；</w:t>
      </w:r>
    </w:p>
    <w:p w14:paraId="734D092A"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6D6592B5"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毗邻道路的类型与等级：城市</w:t>
      </w:r>
      <w:r>
        <w:rPr>
          <w:rFonts w:ascii="Arial" w:eastAsia="仿宋_GB2312" w:hAnsi="Arial" w:cs="Arial" w:hint="eastAsia"/>
          <w:sz w:val="28"/>
        </w:rPr>
        <w:t>次干道</w:t>
      </w:r>
      <w:r>
        <w:rPr>
          <w:rFonts w:ascii="Arial" w:eastAsia="仿宋_GB2312" w:hAnsi="Arial" w:cs="Arial" w:hint="eastAsia"/>
          <w:sz w:val="28"/>
        </w:rPr>
        <w:t>-</w:t>
      </w:r>
      <w:r>
        <w:rPr>
          <w:rFonts w:ascii="Arial" w:eastAsia="仿宋_GB2312" w:hAnsi="Arial" w:cs="Arial" w:hint="eastAsia"/>
          <w:sz w:val="28"/>
        </w:rPr>
        <w:t>北洼</w:t>
      </w:r>
      <w:r w:rsidRPr="00F631FB">
        <w:rPr>
          <w:rFonts w:ascii="Arial" w:eastAsia="仿宋_GB2312" w:hAnsi="Arial" w:cs="Arial"/>
          <w:sz w:val="28"/>
        </w:rPr>
        <w:t>路；</w:t>
      </w:r>
    </w:p>
    <w:p w14:paraId="6CBA0CBB"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Pr>
          <w:rFonts w:ascii="Arial" w:eastAsia="仿宋_GB2312" w:hAnsi="Arial" w:cs="Arial" w:hint="eastAsia"/>
          <w:sz w:val="28"/>
        </w:rPr>
        <w:t>三</w:t>
      </w:r>
      <w:r w:rsidRPr="00F631FB">
        <w:rPr>
          <w:rFonts w:ascii="Arial" w:eastAsia="仿宋_GB2312" w:hAnsi="Arial" w:cs="Arial"/>
          <w:sz w:val="28"/>
        </w:rPr>
        <w:t>级；</w:t>
      </w:r>
    </w:p>
    <w:p w14:paraId="38876030"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3C81EDD3"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5F8D9011" w14:textId="1E66CC0B" w:rsidR="000E7771" w:rsidRPr="00F631FB" w:rsidRDefault="000E7771" w:rsidP="000E7771">
      <w:pPr>
        <w:spacing w:line="360" w:lineRule="auto"/>
        <w:ind w:firstLineChars="200" w:firstLine="562"/>
        <w:jc w:val="both"/>
        <w:textAlignment w:val="bottom"/>
        <w:rPr>
          <w:rFonts w:ascii="Arial" w:eastAsia="仿宋_GB2312" w:hAnsi="Arial" w:cs="Arial"/>
          <w:sz w:val="28"/>
        </w:rPr>
      </w:pPr>
      <w:r w:rsidRPr="00F631FB">
        <w:rPr>
          <w:rFonts w:ascii="Arial" w:eastAsia="仿宋_GB2312" w:hAnsi="Arial" w:cs="Arial"/>
          <w:b/>
          <w:sz w:val="28"/>
        </w:rPr>
        <w:t>案例</w:t>
      </w:r>
      <w:r w:rsidR="0087591C">
        <w:rPr>
          <w:rFonts w:ascii="Arial" w:eastAsia="仿宋_GB2312" w:hAnsi="Arial" w:cs="Arial"/>
          <w:b/>
          <w:sz w:val="28"/>
        </w:rPr>
        <w:t>O</w:t>
      </w:r>
      <w:r w:rsidRPr="00F631FB">
        <w:rPr>
          <w:rFonts w:ascii="Arial" w:eastAsia="仿宋_GB2312" w:hAnsi="Arial" w:cs="Arial"/>
          <w:b/>
          <w:sz w:val="28"/>
        </w:rPr>
        <w:t>：</w:t>
      </w:r>
      <w:r w:rsidRPr="00EF6FBB">
        <w:rPr>
          <w:rFonts w:ascii="Arial" w:eastAsia="仿宋_GB2312" w:hAnsi="Arial" w:cs="Arial" w:hint="eastAsia"/>
          <w:bCs/>
          <w:sz w:val="28"/>
        </w:rPr>
        <w:t>朝阳区百子</w:t>
      </w:r>
      <w:proofErr w:type="gramStart"/>
      <w:r w:rsidRPr="00EF6FBB">
        <w:rPr>
          <w:rFonts w:ascii="Arial" w:eastAsia="仿宋_GB2312" w:hAnsi="Arial" w:cs="Arial" w:hint="eastAsia"/>
          <w:bCs/>
          <w:sz w:val="28"/>
        </w:rPr>
        <w:t>湾路</w:t>
      </w:r>
      <w:proofErr w:type="gramEnd"/>
      <w:r w:rsidRPr="00EF6FBB">
        <w:rPr>
          <w:rFonts w:ascii="Arial" w:eastAsia="仿宋_GB2312" w:hAnsi="Arial" w:cs="Arial" w:hint="eastAsia"/>
          <w:bCs/>
          <w:sz w:val="28"/>
        </w:rPr>
        <w:t>28</w:t>
      </w:r>
      <w:r w:rsidRPr="00EF6FBB">
        <w:rPr>
          <w:rFonts w:ascii="Arial" w:eastAsia="仿宋_GB2312" w:hAnsi="Arial" w:cs="Arial" w:hint="eastAsia"/>
          <w:bCs/>
          <w:sz w:val="28"/>
        </w:rPr>
        <w:t>号人民日报社百子</w:t>
      </w:r>
      <w:proofErr w:type="gramStart"/>
      <w:r w:rsidRPr="00EF6FBB">
        <w:rPr>
          <w:rFonts w:ascii="Arial" w:eastAsia="仿宋_GB2312" w:hAnsi="Arial" w:cs="Arial" w:hint="eastAsia"/>
          <w:bCs/>
          <w:sz w:val="28"/>
        </w:rPr>
        <w:t>湾职工</w:t>
      </w:r>
      <w:proofErr w:type="gramEnd"/>
      <w:r w:rsidRPr="00EF6FBB">
        <w:rPr>
          <w:rFonts w:ascii="Arial" w:eastAsia="仿宋_GB2312" w:hAnsi="Arial" w:cs="Arial" w:hint="eastAsia"/>
          <w:bCs/>
          <w:sz w:val="28"/>
        </w:rPr>
        <w:t>住宅项目</w:t>
      </w:r>
    </w:p>
    <w:p w14:paraId="54DCC2E7"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土地用途为商业、办公，土地使用年限为商业</w:t>
      </w:r>
      <w:r w:rsidRPr="00F631FB">
        <w:rPr>
          <w:rFonts w:ascii="Arial" w:eastAsia="仿宋_GB2312" w:hAnsi="Arial" w:cs="Arial"/>
          <w:sz w:val="28"/>
        </w:rPr>
        <w:t>40</w:t>
      </w:r>
      <w:r w:rsidRPr="00F631FB">
        <w:rPr>
          <w:rFonts w:ascii="Arial" w:eastAsia="仿宋_GB2312" w:hAnsi="Arial" w:cs="Arial"/>
          <w:sz w:val="28"/>
        </w:rPr>
        <w:t>年、办公</w:t>
      </w:r>
      <w:r w:rsidRPr="00F631FB">
        <w:rPr>
          <w:rFonts w:ascii="Arial" w:eastAsia="仿宋_GB2312" w:hAnsi="Arial" w:cs="Arial"/>
          <w:sz w:val="28"/>
        </w:rPr>
        <w:t>50</w:t>
      </w:r>
      <w:r w:rsidRPr="00F631FB">
        <w:rPr>
          <w:rFonts w:ascii="Arial" w:eastAsia="仿宋_GB2312" w:hAnsi="Arial" w:cs="Arial"/>
          <w:sz w:val="28"/>
        </w:rPr>
        <w:t>年。所属项目</w:t>
      </w:r>
      <w:r w:rsidRPr="00F631FB">
        <w:rPr>
          <w:rFonts w:ascii="Arial" w:eastAsia="仿宋_GB2312" w:hAnsi="Arial" w:cs="Arial" w:hint="eastAsia"/>
          <w:sz w:val="28"/>
        </w:rPr>
        <w:t>分摊</w:t>
      </w:r>
      <w:r w:rsidRPr="00F631FB">
        <w:rPr>
          <w:rFonts w:ascii="Arial" w:eastAsia="仿宋_GB2312" w:hAnsi="Arial" w:cs="Arial"/>
          <w:sz w:val="28"/>
        </w:rPr>
        <w:t>土地面积</w:t>
      </w:r>
      <w:r>
        <w:rPr>
          <w:rFonts w:ascii="Arial" w:eastAsia="仿宋_GB2312" w:hAnsi="Arial" w:cs="Arial"/>
          <w:sz w:val="28"/>
        </w:rPr>
        <w:t>791.429</w:t>
      </w:r>
      <w:r w:rsidRPr="00F631FB">
        <w:rPr>
          <w:rFonts w:ascii="Arial" w:eastAsia="仿宋_GB2312" w:hAnsi="Arial" w:cs="Arial"/>
          <w:sz w:val="28"/>
        </w:rPr>
        <w:t>平方米，地上容积率为</w:t>
      </w:r>
      <w:r>
        <w:rPr>
          <w:rFonts w:ascii="Arial" w:eastAsia="仿宋_GB2312" w:hAnsi="Arial" w:cs="Arial"/>
          <w:sz w:val="28"/>
        </w:rPr>
        <w:t>1</w:t>
      </w:r>
      <w:r>
        <w:rPr>
          <w:rFonts w:ascii="Arial" w:eastAsia="仿宋_GB2312" w:hAnsi="Arial" w:cs="Arial" w:hint="eastAsia"/>
          <w:sz w:val="28"/>
        </w:rPr>
        <w:t>（设定）</w:t>
      </w:r>
      <w:r w:rsidRPr="00F631FB">
        <w:rPr>
          <w:rFonts w:ascii="Arial" w:eastAsia="仿宋_GB2312" w:hAnsi="Arial" w:cs="Arial"/>
          <w:sz w:val="28"/>
        </w:rPr>
        <w:t>，规划建筑面积</w:t>
      </w:r>
      <w:r>
        <w:rPr>
          <w:rFonts w:ascii="Arial" w:eastAsia="仿宋_GB2312" w:hAnsi="Arial" w:cs="Arial"/>
          <w:sz w:val="28"/>
        </w:rPr>
        <w:t>5801.64</w:t>
      </w:r>
      <w:r w:rsidRPr="00F631FB">
        <w:rPr>
          <w:rFonts w:ascii="Arial" w:eastAsia="仿宋_GB2312" w:hAnsi="Arial" w:cs="Arial"/>
          <w:sz w:val="28"/>
        </w:rPr>
        <w:t>平方米。交易日期为</w:t>
      </w:r>
      <w:r w:rsidRPr="00F631FB">
        <w:rPr>
          <w:rFonts w:ascii="Arial" w:eastAsia="仿宋_GB2312" w:hAnsi="Arial" w:cs="Arial"/>
          <w:sz w:val="28"/>
        </w:rPr>
        <w:t>20</w:t>
      </w:r>
      <w:r w:rsidRPr="00F631FB">
        <w:rPr>
          <w:rFonts w:ascii="Arial" w:eastAsia="仿宋_GB2312" w:hAnsi="Arial" w:cs="Arial" w:hint="eastAsia"/>
          <w:sz w:val="28"/>
        </w:rPr>
        <w:t>21</w:t>
      </w:r>
      <w:r w:rsidRPr="00F631FB">
        <w:rPr>
          <w:rFonts w:ascii="Arial" w:eastAsia="仿宋_GB2312" w:hAnsi="Arial" w:cs="Arial"/>
          <w:sz w:val="28"/>
        </w:rPr>
        <w:t>年</w:t>
      </w:r>
      <w:r>
        <w:rPr>
          <w:rFonts w:ascii="Arial" w:eastAsia="仿宋_GB2312" w:hAnsi="Arial" w:cs="Arial" w:hint="eastAsia"/>
          <w:sz w:val="28"/>
        </w:rPr>
        <w:t>3</w:t>
      </w:r>
      <w:r w:rsidRPr="00F631FB">
        <w:rPr>
          <w:rFonts w:ascii="Arial" w:eastAsia="仿宋_GB2312" w:hAnsi="Arial" w:cs="Arial"/>
          <w:sz w:val="28"/>
        </w:rPr>
        <w:t>月，交易情况正常，办公成交价格为楼面地价为</w:t>
      </w:r>
      <w:r>
        <w:rPr>
          <w:rFonts w:ascii="Arial" w:eastAsia="仿宋_GB2312" w:hAnsi="Arial" w:cs="Arial"/>
          <w:sz w:val="28"/>
        </w:rPr>
        <w:t>27543</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Pr>
          <w:rFonts w:ascii="Arial" w:eastAsia="仿宋_GB2312" w:hAnsi="Arial" w:cs="Arial"/>
          <w:sz w:val="28"/>
        </w:rPr>
        <w:t>31410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342DF2E2"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w:t>
      </w:r>
      <w:r>
        <w:rPr>
          <w:rFonts w:ascii="Arial" w:eastAsia="仿宋_GB2312" w:hAnsi="Arial" w:cs="Arial" w:hint="eastAsia"/>
          <w:sz w:val="28"/>
          <w:szCs w:val="28"/>
        </w:rPr>
        <w:t>中</w:t>
      </w:r>
      <w:proofErr w:type="gramStart"/>
      <w:r>
        <w:rPr>
          <w:rFonts w:ascii="Arial" w:eastAsia="仿宋_GB2312" w:hAnsi="Arial" w:cs="Arial" w:hint="eastAsia"/>
          <w:sz w:val="28"/>
          <w:szCs w:val="28"/>
        </w:rPr>
        <w:t>核教育</w:t>
      </w:r>
      <w:proofErr w:type="gramEnd"/>
      <w:r>
        <w:rPr>
          <w:rFonts w:ascii="Arial" w:eastAsia="仿宋_GB2312" w:hAnsi="Arial" w:cs="Arial" w:hint="eastAsia"/>
          <w:sz w:val="28"/>
          <w:szCs w:val="28"/>
        </w:rPr>
        <w:t>大厦、北京二十二院街艺术区</w:t>
      </w:r>
      <w:r w:rsidRPr="00F631FB">
        <w:rPr>
          <w:rFonts w:ascii="Arial" w:eastAsia="仿宋_GB2312" w:hAnsi="Arial" w:cs="Arial"/>
          <w:sz w:val="28"/>
          <w:szCs w:val="28"/>
        </w:rPr>
        <w:t>等，办公集聚程度</w:t>
      </w:r>
      <w:r>
        <w:rPr>
          <w:rFonts w:ascii="Arial" w:eastAsia="仿宋_GB2312" w:hAnsi="Arial" w:cs="Arial" w:hint="eastAsia"/>
          <w:sz w:val="28"/>
          <w:szCs w:val="28"/>
        </w:rPr>
        <w:t>较好</w:t>
      </w:r>
      <w:r w:rsidRPr="00F631FB">
        <w:rPr>
          <w:rFonts w:ascii="Arial" w:eastAsia="仿宋_GB2312" w:hAnsi="Arial" w:cs="Arial"/>
          <w:sz w:val="28"/>
        </w:rPr>
        <w:t>；</w:t>
      </w:r>
    </w:p>
    <w:p w14:paraId="61CB8F35"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w:t>
      </w:r>
      <w:r>
        <w:rPr>
          <w:rFonts w:ascii="Arial" w:eastAsia="仿宋_GB2312" w:hAnsi="Arial" w:cs="Arial" w:hint="eastAsia"/>
          <w:sz w:val="28"/>
        </w:rPr>
        <w:t>周边有</w:t>
      </w:r>
      <w:r>
        <w:rPr>
          <w:rFonts w:ascii="Arial" w:eastAsia="仿宋_GB2312" w:hAnsi="Arial" w:cs="Arial" w:hint="eastAsia"/>
          <w:sz w:val="28"/>
        </w:rPr>
        <w:t>S</w:t>
      </w:r>
      <w:r>
        <w:rPr>
          <w:rFonts w:ascii="Arial" w:eastAsia="仿宋_GB2312" w:hAnsi="Arial" w:cs="Arial"/>
          <w:sz w:val="28"/>
        </w:rPr>
        <w:t>KP</w:t>
      </w:r>
      <w:r>
        <w:rPr>
          <w:rFonts w:ascii="Arial" w:eastAsia="仿宋_GB2312" w:hAnsi="Arial" w:cs="Arial" w:hint="eastAsia"/>
          <w:sz w:val="28"/>
        </w:rPr>
        <w:t>、合生汇、</w:t>
      </w:r>
      <w:r>
        <w:rPr>
          <w:rFonts w:ascii="Arial" w:eastAsia="仿宋_GB2312" w:hAnsi="Arial" w:cs="Arial" w:hint="eastAsia"/>
          <w:sz w:val="28"/>
          <w:szCs w:val="28"/>
        </w:rPr>
        <w:t>北京二十二院街艺术区、家乐福、</w:t>
      </w:r>
      <w:r>
        <w:rPr>
          <w:rFonts w:ascii="Arial" w:eastAsia="仿宋_GB2312" w:hAnsi="Arial" w:cs="Arial" w:hint="eastAsia"/>
          <w:sz w:val="28"/>
          <w:szCs w:val="28"/>
        </w:rPr>
        <w:lastRenderedPageBreak/>
        <w:t>沿街底商等</w:t>
      </w:r>
      <w:r w:rsidRPr="00F631FB">
        <w:rPr>
          <w:rFonts w:ascii="Arial" w:eastAsia="仿宋_GB2312" w:hAnsi="Arial" w:cs="Arial"/>
          <w:sz w:val="28"/>
        </w:rPr>
        <w:t>，商业繁华度</w:t>
      </w:r>
      <w:r>
        <w:rPr>
          <w:rFonts w:ascii="Arial" w:eastAsia="仿宋_GB2312" w:hAnsi="Arial" w:cs="Arial" w:hint="eastAsia"/>
          <w:sz w:val="28"/>
        </w:rPr>
        <w:t>较好</w:t>
      </w:r>
      <w:r w:rsidRPr="00F631FB">
        <w:rPr>
          <w:rFonts w:ascii="Arial" w:eastAsia="仿宋_GB2312" w:hAnsi="Arial" w:cs="Arial"/>
          <w:sz w:val="28"/>
        </w:rPr>
        <w:t>；</w:t>
      </w:r>
    </w:p>
    <w:p w14:paraId="5941CC8E"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Pr>
          <w:rFonts w:ascii="Arial" w:eastAsia="仿宋_GB2312" w:hAnsi="Arial" w:cs="Arial" w:hint="eastAsia"/>
          <w:sz w:val="28"/>
        </w:rPr>
        <w:t>距离地铁</w:t>
      </w: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号线九龙山站约</w:t>
      </w:r>
      <w:r>
        <w:rPr>
          <w:rFonts w:ascii="Arial" w:eastAsia="仿宋_GB2312" w:hAnsi="Arial" w:cs="Arial" w:hint="eastAsia"/>
          <w:sz w:val="28"/>
        </w:rPr>
        <w:t>8</w:t>
      </w:r>
      <w:r>
        <w:rPr>
          <w:rFonts w:ascii="Arial" w:eastAsia="仿宋_GB2312" w:hAnsi="Arial" w:cs="Arial"/>
          <w:sz w:val="28"/>
        </w:rPr>
        <w:t>00</w:t>
      </w:r>
      <w:r>
        <w:rPr>
          <w:rFonts w:ascii="Arial" w:eastAsia="仿宋_GB2312" w:hAnsi="Arial" w:cs="Arial" w:hint="eastAsia"/>
          <w:sz w:val="28"/>
        </w:rPr>
        <w:t>米、大望路站约</w:t>
      </w:r>
      <w:r>
        <w:rPr>
          <w:rFonts w:ascii="Arial" w:eastAsia="仿宋_GB2312" w:hAnsi="Arial" w:cs="Arial" w:hint="eastAsia"/>
          <w:sz w:val="28"/>
        </w:rPr>
        <w:t>1</w:t>
      </w:r>
      <w:r>
        <w:rPr>
          <w:rFonts w:ascii="Arial" w:eastAsia="仿宋_GB2312" w:hAnsi="Arial" w:cs="Arial" w:hint="eastAsia"/>
          <w:sz w:val="28"/>
        </w:rPr>
        <w:t>公里</w:t>
      </w:r>
      <w:r w:rsidRPr="00F631FB">
        <w:rPr>
          <w:rFonts w:ascii="Arial" w:eastAsia="仿宋_GB2312" w:hAnsi="Arial" w:cs="Arial"/>
          <w:sz w:val="28"/>
        </w:rPr>
        <w:t>，区域道路较密集，</w:t>
      </w:r>
      <w:r w:rsidRPr="00F631FB">
        <w:rPr>
          <w:rFonts w:ascii="Arial" w:eastAsia="仿宋_GB2312" w:hAnsi="Arial" w:cs="Arial"/>
          <w:sz w:val="28"/>
          <w:szCs w:val="28"/>
        </w:rPr>
        <w:t>距</w:t>
      </w:r>
      <w:r>
        <w:rPr>
          <w:rFonts w:ascii="Arial" w:eastAsia="仿宋_GB2312" w:hAnsi="Arial" w:cs="Arial" w:hint="eastAsia"/>
          <w:sz w:val="28"/>
          <w:szCs w:val="28"/>
        </w:rPr>
        <w:t>东三环约</w:t>
      </w:r>
      <w:r>
        <w:rPr>
          <w:rFonts w:ascii="Arial" w:eastAsia="仿宋_GB2312" w:hAnsi="Arial" w:cs="Arial" w:hint="eastAsia"/>
          <w:sz w:val="28"/>
          <w:szCs w:val="28"/>
        </w:rPr>
        <w:t>1</w:t>
      </w:r>
      <w:r>
        <w:rPr>
          <w:rFonts w:ascii="Arial" w:eastAsia="仿宋_GB2312" w:hAnsi="Arial" w:cs="Arial" w:hint="eastAsia"/>
          <w:sz w:val="28"/>
          <w:szCs w:val="28"/>
        </w:rPr>
        <w:t>公里，</w:t>
      </w:r>
      <w:r w:rsidRPr="00F631FB">
        <w:rPr>
          <w:rFonts w:ascii="Arial" w:eastAsia="仿宋_GB2312" w:hAnsi="Arial" w:cs="Arial"/>
          <w:sz w:val="28"/>
          <w:szCs w:val="28"/>
        </w:rPr>
        <w:t>距北京首都国际机场约</w:t>
      </w:r>
      <w:r>
        <w:rPr>
          <w:rFonts w:ascii="Arial" w:eastAsia="仿宋_GB2312" w:hAnsi="Arial" w:cs="Arial"/>
          <w:sz w:val="28"/>
          <w:szCs w:val="28"/>
        </w:rPr>
        <w:t>22.6</w:t>
      </w:r>
      <w:r w:rsidRPr="00F631FB">
        <w:rPr>
          <w:rFonts w:ascii="Arial" w:eastAsia="仿宋_GB2312" w:hAnsi="Arial" w:cs="Arial"/>
          <w:sz w:val="28"/>
          <w:szCs w:val="28"/>
        </w:rPr>
        <w:t>公里</w:t>
      </w:r>
      <w:r>
        <w:rPr>
          <w:rFonts w:ascii="Arial" w:eastAsia="仿宋_GB2312" w:hAnsi="Arial" w:cs="Arial" w:hint="eastAsia"/>
          <w:sz w:val="28"/>
          <w:szCs w:val="28"/>
        </w:rPr>
        <w:t>，</w:t>
      </w:r>
      <w:r w:rsidRPr="00F631FB">
        <w:rPr>
          <w:rFonts w:ascii="Arial" w:eastAsia="仿宋_GB2312" w:hAnsi="Arial" w:cs="Arial"/>
          <w:sz w:val="28"/>
          <w:szCs w:val="28"/>
        </w:rPr>
        <w:t>距</w:t>
      </w:r>
      <w:r>
        <w:rPr>
          <w:rFonts w:ascii="Arial" w:eastAsia="仿宋_GB2312" w:hAnsi="Arial" w:cs="Arial" w:hint="eastAsia"/>
          <w:sz w:val="28"/>
          <w:szCs w:val="28"/>
        </w:rPr>
        <w:t>北京站</w:t>
      </w:r>
      <w:r w:rsidRPr="00F631FB">
        <w:rPr>
          <w:rFonts w:ascii="Arial" w:eastAsia="仿宋_GB2312" w:hAnsi="Arial" w:cs="Arial"/>
          <w:sz w:val="28"/>
          <w:szCs w:val="28"/>
        </w:rPr>
        <w:t>约</w:t>
      </w:r>
      <w:r>
        <w:rPr>
          <w:rFonts w:ascii="Arial" w:eastAsia="仿宋_GB2312" w:hAnsi="Arial" w:cs="Arial"/>
          <w:sz w:val="28"/>
          <w:szCs w:val="28"/>
        </w:rPr>
        <w:t>4</w:t>
      </w:r>
      <w:r w:rsidRPr="00F631FB">
        <w:rPr>
          <w:rFonts w:ascii="Arial" w:eastAsia="仿宋_GB2312" w:hAnsi="Arial" w:cs="Arial"/>
          <w:sz w:val="28"/>
          <w:szCs w:val="28"/>
        </w:rPr>
        <w:t>公里</w:t>
      </w:r>
      <w:r w:rsidRPr="00F631FB">
        <w:rPr>
          <w:rFonts w:ascii="Arial" w:eastAsia="仿宋_GB2312" w:hAnsi="Arial" w:cs="Arial"/>
          <w:sz w:val="28"/>
        </w:rPr>
        <w:t>，综合评价交通便捷度</w:t>
      </w:r>
      <w:r w:rsidRPr="00F631FB">
        <w:rPr>
          <w:rFonts w:ascii="Arial" w:eastAsia="仿宋_GB2312" w:hAnsi="Arial" w:cs="Arial" w:hint="eastAsia"/>
          <w:sz w:val="28"/>
        </w:rPr>
        <w:t>较好</w:t>
      </w:r>
      <w:r w:rsidRPr="00F631FB">
        <w:rPr>
          <w:rFonts w:ascii="Arial" w:eastAsia="仿宋_GB2312" w:hAnsi="Arial" w:cs="Arial"/>
          <w:sz w:val="28"/>
        </w:rPr>
        <w:t>；</w:t>
      </w:r>
    </w:p>
    <w:p w14:paraId="4C51376E"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62C85A9D"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，周边</w:t>
      </w:r>
      <w:r w:rsidRPr="00F631FB">
        <w:rPr>
          <w:rFonts w:ascii="Arial" w:eastAsia="仿宋_GB2312" w:hAnsi="Arial" w:cs="Arial"/>
          <w:sz w:val="28"/>
        </w:rPr>
        <w:t>2</w:t>
      </w:r>
      <w:r w:rsidRPr="00F631FB">
        <w:rPr>
          <w:rFonts w:ascii="Arial" w:eastAsia="仿宋_GB2312" w:hAnsi="Arial" w:cs="Arial"/>
          <w:sz w:val="28"/>
        </w:rPr>
        <w:t>公里范围内有超市（</w:t>
      </w:r>
      <w:r>
        <w:rPr>
          <w:rFonts w:ascii="Arial" w:eastAsia="仿宋_GB2312" w:hAnsi="Arial" w:cs="Arial" w:hint="eastAsia"/>
          <w:sz w:val="28"/>
        </w:rPr>
        <w:t>合生汇、家乐福、华联超市</w:t>
      </w:r>
      <w:r w:rsidRPr="00F631FB">
        <w:rPr>
          <w:rFonts w:ascii="Arial" w:eastAsia="仿宋_GB2312" w:hAnsi="Arial" w:cs="Arial"/>
          <w:sz w:val="28"/>
        </w:rPr>
        <w:t>等）、银行（</w:t>
      </w:r>
      <w:r>
        <w:rPr>
          <w:rFonts w:ascii="Arial" w:eastAsia="仿宋_GB2312" w:hAnsi="Arial" w:cs="Arial" w:hint="eastAsia"/>
          <w:sz w:val="28"/>
        </w:rPr>
        <w:t>中国民生银行、中国建设银行、华夏银行</w:t>
      </w:r>
      <w:r w:rsidRPr="00F631FB">
        <w:rPr>
          <w:rFonts w:ascii="Arial" w:eastAsia="仿宋_GB2312" w:hAnsi="Arial" w:cs="Arial"/>
          <w:sz w:val="28"/>
        </w:rPr>
        <w:t>等）、学校（</w:t>
      </w:r>
      <w:r>
        <w:rPr>
          <w:rFonts w:ascii="Arial" w:eastAsia="仿宋_GB2312" w:hAnsi="Arial" w:cs="Arial" w:hint="eastAsia"/>
          <w:sz w:val="28"/>
        </w:rPr>
        <w:t>北京了城国际学校、中央山南港务区实验学校、大望路中学、北工大附属中学</w:t>
      </w:r>
      <w:r w:rsidRPr="00F631FB">
        <w:rPr>
          <w:rFonts w:ascii="Arial" w:eastAsia="仿宋_GB2312" w:hAnsi="Arial" w:cs="Arial"/>
          <w:sz w:val="28"/>
        </w:rPr>
        <w:t>等）、医院（</w:t>
      </w:r>
      <w:r>
        <w:rPr>
          <w:rFonts w:ascii="Arial" w:eastAsia="仿宋_GB2312" w:hAnsi="Arial" w:cs="Arial" w:hint="eastAsia"/>
          <w:sz w:val="28"/>
        </w:rPr>
        <w:t>北京垂杨柳医院、北京第一中西医结合医院、南郎家园社区服务中心</w:t>
      </w:r>
      <w:r w:rsidRPr="00F631FB">
        <w:rPr>
          <w:rFonts w:ascii="Arial" w:eastAsia="仿宋_GB2312" w:hAnsi="Arial" w:cs="Arial"/>
          <w:sz w:val="28"/>
        </w:rPr>
        <w:t>等），综合评价区域设施及基础设施水平较好；</w:t>
      </w:r>
    </w:p>
    <w:p w14:paraId="3B492934"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自然及人文环境：周边</w:t>
      </w:r>
      <w:r w:rsidRPr="00F631FB">
        <w:rPr>
          <w:rFonts w:ascii="Arial" w:eastAsia="仿宋_GB2312" w:hAnsi="Arial" w:cs="Arial"/>
          <w:sz w:val="28"/>
        </w:rPr>
        <w:t>2</w:t>
      </w:r>
      <w:r w:rsidRPr="00F631FB">
        <w:rPr>
          <w:rFonts w:ascii="Arial" w:eastAsia="仿宋_GB2312" w:hAnsi="Arial" w:cs="Arial"/>
          <w:sz w:val="28"/>
        </w:rPr>
        <w:t>公里范围内有</w:t>
      </w:r>
      <w:r>
        <w:rPr>
          <w:rFonts w:ascii="Arial" w:eastAsia="仿宋_GB2312" w:hAnsi="Arial" w:cs="Arial" w:hint="eastAsia"/>
          <w:sz w:val="28"/>
        </w:rPr>
        <w:t>庆丰公园、通惠河</w:t>
      </w:r>
      <w:r w:rsidRPr="00F631FB">
        <w:rPr>
          <w:rFonts w:ascii="Arial" w:eastAsia="仿宋_GB2312" w:hAnsi="Arial" w:cs="Arial"/>
          <w:sz w:val="28"/>
        </w:rPr>
        <w:t>等；较少博物馆、美术馆、高等院校等人文设施</w:t>
      </w:r>
      <w:r w:rsidRPr="00F631FB">
        <w:rPr>
          <w:rFonts w:ascii="Arial" w:eastAsia="仿宋_GB2312" w:hAnsi="Arial" w:cs="Arial"/>
          <w:sz w:val="28"/>
          <w:szCs w:val="28"/>
        </w:rPr>
        <w:t>，综合评价自然及人文环境较好</w:t>
      </w:r>
      <w:r w:rsidRPr="00F631FB">
        <w:rPr>
          <w:rFonts w:ascii="Arial" w:eastAsia="仿宋_GB2312" w:hAnsi="Arial" w:cs="Arial"/>
          <w:sz w:val="28"/>
        </w:rPr>
        <w:t>；</w:t>
      </w:r>
    </w:p>
    <w:p w14:paraId="00BE8683"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283B022B"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毗邻道路的类型与等级：城市</w:t>
      </w:r>
      <w:r>
        <w:rPr>
          <w:rFonts w:ascii="Arial" w:eastAsia="仿宋_GB2312" w:hAnsi="Arial" w:cs="Arial" w:hint="eastAsia"/>
          <w:sz w:val="28"/>
        </w:rPr>
        <w:t>次干道</w:t>
      </w:r>
      <w:r>
        <w:rPr>
          <w:rFonts w:ascii="Arial" w:eastAsia="仿宋_GB2312" w:hAnsi="Arial" w:cs="Arial" w:hint="eastAsia"/>
          <w:sz w:val="28"/>
        </w:rPr>
        <w:t>-</w:t>
      </w:r>
      <w:r>
        <w:rPr>
          <w:rFonts w:ascii="Arial" w:eastAsia="仿宋_GB2312" w:hAnsi="Arial" w:cs="Arial" w:hint="eastAsia"/>
          <w:sz w:val="28"/>
        </w:rPr>
        <w:t>百子</w:t>
      </w:r>
      <w:proofErr w:type="gramStart"/>
      <w:r>
        <w:rPr>
          <w:rFonts w:ascii="Arial" w:eastAsia="仿宋_GB2312" w:hAnsi="Arial" w:cs="Arial" w:hint="eastAsia"/>
          <w:sz w:val="28"/>
        </w:rPr>
        <w:t>湾</w:t>
      </w:r>
      <w:r w:rsidRPr="00F631FB">
        <w:rPr>
          <w:rFonts w:ascii="Arial" w:eastAsia="仿宋_GB2312" w:hAnsi="Arial" w:cs="Arial" w:hint="eastAsia"/>
          <w:sz w:val="28"/>
        </w:rPr>
        <w:t>路</w:t>
      </w:r>
      <w:proofErr w:type="gramEnd"/>
      <w:r w:rsidRPr="00F631FB">
        <w:rPr>
          <w:rFonts w:ascii="Arial" w:eastAsia="仿宋_GB2312" w:hAnsi="Arial" w:cs="Arial"/>
          <w:sz w:val="28"/>
        </w:rPr>
        <w:t>；</w:t>
      </w:r>
    </w:p>
    <w:p w14:paraId="7ACEF666"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Pr>
          <w:rFonts w:ascii="Arial" w:eastAsia="仿宋_GB2312" w:hAnsi="Arial" w:cs="Arial" w:hint="eastAsia"/>
          <w:sz w:val="28"/>
        </w:rPr>
        <w:t>三</w:t>
      </w:r>
      <w:r w:rsidRPr="00F631FB">
        <w:rPr>
          <w:rFonts w:ascii="Arial" w:eastAsia="仿宋_GB2312" w:hAnsi="Arial" w:cs="Arial"/>
          <w:sz w:val="28"/>
        </w:rPr>
        <w:t>级；</w:t>
      </w:r>
    </w:p>
    <w:p w14:paraId="70CF9708"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66E20CC2"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09105C40" w14:textId="23D14378" w:rsidR="000E7771" w:rsidRDefault="000E7771" w:rsidP="000E7771">
      <w:pPr>
        <w:spacing w:line="360" w:lineRule="auto"/>
        <w:ind w:firstLineChars="200" w:firstLine="562"/>
        <w:jc w:val="both"/>
        <w:rPr>
          <w:rFonts w:ascii="Arial" w:eastAsia="仿宋_GB2312" w:hAnsi="Arial" w:cs="Arial"/>
          <w:b/>
          <w:sz w:val="28"/>
        </w:rPr>
      </w:pPr>
    </w:p>
    <w:p w14:paraId="2E162B3C" w14:textId="23857211" w:rsidR="00273CE2" w:rsidRDefault="00273CE2" w:rsidP="000E7771">
      <w:pPr>
        <w:spacing w:line="360" w:lineRule="auto"/>
        <w:ind w:firstLineChars="200" w:firstLine="562"/>
        <w:jc w:val="both"/>
        <w:rPr>
          <w:rFonts w:ascii="Arial" w:eastAsia="仿宋_GB2312" w:hAnsi="Arial" w:cs="Arial"/>
          <w:b/>
          <w:sz w:val="28"/>
        </w:rPr>
      </w:pPr>
    </w:p>
    <w:p w14:paraId="5175C4C6" w14:textId="2E0ACE86" w:rsidR="00273CE2" w:rsidRDefault="00273CE2" w:rsidP="000E7771">
      <w:pPr>
        <w:spacing w:line="360" w:lineRule="auto"/>
        <w:ind w:firstLineChars="200" w:firstLine="562"/>
        <w:jc w:val="both"/>
        <w:rPr>
          <w:rFonts w:ascii="Arial" w:eastAsia="仿宋_GB2312" w:hAnsi="Arial" w:cs="Arial"/>
          <w:b/>
          <w:sz w:val="28"/>
        </w:rPr>
      </w:pPr>
    </w:p>
    <w:p w14:paraId="6FA1C86A" w14:textId="77777777" w:rsidR="00273CE2" w:rsidRDefault="00273CE2" w:rsidP="000E7771">
      <w:pPr>
        <w:spacing w:line="360" w:lineRule="auto"/>
        <w:ind w:firstLineChars="200" w:firstLine="562"/>
        <w:jc w:val="both"/>
        <w:rPr>
          <w:rFonts w:ascii="Arial" w:eastAsia="仿宋_GB2312" w:hAnsi="Arial" w:cs="Arial"/>
          <w:b/>
          <w:sz w:val="28"/>
        </w:rPr>
      </w:pPr>
    </w:p>
    <w:p w14:paraId="53AFBAB2"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lastRenderedPageBreak/>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0E7771" w:rsidRPr="00F631FB" w14:paraId="100C431F" w14:textId="77777777" w:rsidTr="004F0BE4">
        <w:trPr>
          <w:cantSplit/>
          <w:jc w:val="center"/>
        </w:trPr>
        <w:tc>
          <w:tcPr>
            <w:tcW w:w="8897" w:type="dxa"/>
          </w:tcPr>
          <w:p w14:paraId="179A2864" w14:textId="77777777" w:rsidR="000E7771" w:rsidRPr="00F631FB" w:rsidRDefault="000E7771" w:rsidP="004F0BE4">
            <w:pPr>
              <w:jc w:val="center"/>
              <w:rPr>
                <w:rFonts w:ascii="Arial" w:eastAsia="仿宋_GB2312" w:hAnsi="Arial" w:cs="Arial"/>
                <w:sz w:val="22"/>
              </w:rPr>
            </w:pPr>
            <w:r w:rsidRPr="00F631FB">
              <w:rPr>
                <w:rFonts w:ascii="Arial" w:eastAsia="仿宋_GB2312" w:hAnsi="Arial" w:cs="Arial"/>
                <w:sz w:val="22"/>
              </w:rPr>
              <w:t>案例位置</w:t>
            </w:r>
          </w:p>
        </w:tc>
      </w:tr>
      <w:tr w:rsidR="000E7771" w:rsidRPr="00F631FB" w14:paraId="28D9E91C" w14:textId="77777777" w:rsidTr="004F0BE4">
        <w:trPr>
          <w:cantSplit/>
          <w:trHeight w:hRule="exact" w:val="6243"/>
          <w:jc w:val="center"/>
        </w:trPr>
        <w:tc>
          <w:tcPr>
            <w:tcW w:w="8897" w:type="dxa"/>
          </w:tcPr>
          <w:p w14:paraId="4177B7FB" w14:textId="77777777" w:rsidR="000E7771" w:rsidRPr="00F631FB" w:rsidRDefault="000E7771" w:rsidP="004F0BE4">
            <w:pPr>
              <w:jc w:val="center"/>
              <w:rPr>
                <w:rFonts w:ascii="Arial" w:eastAsia="仿宋_GB2312" w:hAnsi="Arial" w:cs="Arial"/>
                <w:sz w:val="22"/>
              </w:rPr>
            </w:pPr>
            <w:r>
              <w:rPr>
                <w:noProof/>
              </w:rPr>
              <mc:AlternateContent>
                <mc:Choice Requires="wps">
                  <w:drawing>
                    <wp:anchor distT="0" distB="0" distL="114300" distR="114300" simplePos="0" relativeHeight="251668480" behindDoc="0" locked="0" layoutInCell="1" allowOverlap="1" wp14:anchorId="756727C7" wp14:editId="116E01EB">
                      <wp:simplePos x="0" y="0"/>
                      <wp:positionH relativeFrom="column">
                        <wp:posOffset>382270</wp:posOffset>
                      </wp:positionH>
                      <wp:positionV relativeFrom="paragraph">
                        <wp:posOffset>1071880</wp:posOffset>
                      </wp:positionV>
                      <wp:extent cx="1000125" cy="380365"/>
                      <wp:effectExtent l="0" t="323850" r="28575" b="1968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125" cy="380365"/>
                              </a:xfrm>
                              <a:prstGeom prst="wedgeRoundRectCallout">
                                <a:avLst>
                                  <a:gd name="adj1" fmla="val 39758"/>
                                  <a:gd name="adj2" fmla="val -126567"/>
                                  <a:gd name="adj3" fmla="val 16667"/>
                                </a:avLst>
                              </a:prstGeom>
                              <a:solidFill>
                                <a:srgbClr val="FF0000"/>
                              </a:solidFill>
                              <a:ln w="12700">
                                <a:solidFill>
                                  <a:srgbClr val="FF0000"/>
                                </a:solidFill>
                                <a:miter lim="800000"/>
                                <a:headEnd/>
                                <a:tailEnd/>
                              </a:ln>
                            </wps:spPr>
                            <wps:txbx>
                              <w:txbxContent>
                                <w:p w14:paraId="717587FD" w14:textId="77777777" w:rsidR="00790873" w:rsidRPr="001C048A" w:rsidRDefault="00790873" w:rsidP="000E7771">
                                  <w:pPr>
                                    <w:jc w:val="center"/>
                                    <w:rPr>
                                      <w:color w:val="FFFFFF" w:themeColor="background1"/>
                                    </w:rPr>
                                  </w:pPr>
                                  <w:r w:rsidRPr="001C048A">
                                    <w:rPr>
                                      <w:rFonts w:hint="eastAsia"/>
                                      <w:color w:val="FFFFFF" w:themeColor="background1"/>
                                    </w:rPr>
                                    <w:t>估价对象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56727C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26" type="#_x0000_t62" style="position:absolute;left:0;text-align:left;margin-left:30.1pt;margin-top:84.4pt;width:78.75pt;height:2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" adj="19388,-16538" fillcolor="red" strokecolor="red" strokeweight="1pt">
                      <v:path arrowok="t"/>
                      <v:textbox>
                        <w:txbxContent>
                          <w:p w14:paraId="717587FD" w14:textId="77777777" w:rsidR="00790873" w:rsidRPr="001C048A" w:rsidRDefault="00790873" w:rsidP="000E7771">
                            <w:pPr>
                              <w:jc w:val="center"/>
                              <w:rPr>
                                <w:color w:val="FFFFFF" w:themeColor="background1"/>
                              </w:rPr>
                            </w:pPr>
                            <w:r w:rsidRPr="001C048A">
                              <w:rPr>
                                <w:rFonts w:hint="eastAsia"/>
                                <w:color w:val="FFFFFF" w:themeColor="background1"/>
                              </w:rPr>
                              <w:t>估价对象</w:t>
                            </w:r>
                          </w:p>
                        </w:txbxContent>
                      </v:textbox>
                    </v:shape>
                  </w:pict>
                </mc:Fallback>
              </mc:AlternateContent>
            </w:r>
            <w:r>
              <w:rPr>
                <w:noProof/>
              </w:rPr>
              <w:t xml:space="preserve"> </w:t>
            </w:r>
            <w:r>
              <w:rPr>
                <w:noProof/>
              </w:rPr>
              <w:drawing>
                <wp:inline distT="0" distB="0" distL="0" distR="0" wp14:anchorId="444C5B54" wp14:editId="40587FE1">
                  <wp:extent cx="5512435" cy="3053080"/>
                  <wp:effectExtent l="0" t="0" r="0" b="0"/>
                  <wp:docPr id="6" name="图片 1">
                    <a:extLst xmlns:a="http://schemas.openxmlformats.org/drawingml/2006/main">
                      <a:ext uri="{FF2B5EF4-FFF2-40B4-BE49-F238E27FC236}">
                        <a16:creationId xmlns:a16="http://schemas.microsoft.com/office/drawing/2014/main" id="{7FC19D7C-1073-4DA8-9342-558FB502C0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7FC19D7C-1073-4DA8-9342-558FB502C0B6}"/>
                              </a:ext>
                            </a:extLst>
                          </pic:cNvPr>
                          <pic:cNvPicPr>
                            <a:picLocks noChangeAspect="1"/>
                          </pic:cNvPicPr>
                        </pic:nvPicPr>
                        <pic:blipFill>
                          <a:blip r:embed="rId87"/>
                          <a:stretch>
                            <a:fillRect/>
                          </a:stretch>
                        </pic:blipFill>
                        <pic:spPr>
                          <a:xfrm>
                            <a:off x="0" y="0"/>
                            <a:ext cx="5512435" cy="3053080"/>
                          </a:xfrm>
                          <a:prstGeom prst="rect">
                            <a:avLst/>
                          </a:prstGeom>
                        </pic:spPr>
                      </pic:pic>
                    </a:graphicData>
                  </a:graphic>
                </wp:inline>
              </w:drawing>
            </w:r>
            <w:r w:rsidRPr="00F631FB">
              <w:rPr>
                <w:noProof/>
              </w:rPr>
              <w:t xml:space="preserve">  </w:t>
            </w:r>
          </w:p>
        </w:tc>
      </w:tr>
    </w:tbl>
    <w:p w14:paraId="4AD0913E" w14:textId="77777777" w:rsidR="000E7771" w:rsidRPr="00F631FB" w:rsidRDefault="000E7771" w:rsidP="000E7771">
      <w:pPr>
        <w:spacing w:line="360" w:lineRule="auto"/>
        <w:ind w:firstLine="570"/>
        <w:jc w:val="both"/>
        <w:rPr>
          <w:rFonts w:ascii="Arial" w:eastAsia="仿宋_GB2312" w:hAnsi="Arial" w:cs="Arial"/>
          <w:bCs/>
          <w:sz w:val="28"/>
        </w:rPr>
        <w:sectPr w:rsidR="000E7771" w:rsidRPr="00F631FB" w:rsidSect="005E1306">
          <w:headerReference w:type="default" r:id="rId88"/>
          <w:footerReference w:type="default" r:id="rId89"/>
          <w:pgSz w:w="11906" w:h="16838"/>
          <w:pgMar w:top="1843" w:right="1134" w:bottom="1134" w:left="1134" w:header="1134" w:footer="907" w:gutter="340"/>
          <w:cols w:space="425"/>
          <w:docGrid w:type="lines" w:linePitch="326"/>
        </w:sectPr>
      </w:pPr>
      <w:r w:rsidRPr="00F631FB">
        <w:rPr>
          <w:rFonts w:ascii="Arial" w:eastAsia="仿宋_GB2312" w:hAnsi="Arial" w:cs="Arial"/>
          <w:bCs/>
          <w:sz w:val="28"/>
        </w:rPr>
        <w:t>（转下页）</w:t>
      </w:r>
    </w:p>
    <w:p w14:paraId="3E60C899" w14:textId="77777777" w:rsidR="000E7771" w:rsidRPr="00F631FB" w:rsidRDefault="000E7771" w:rsidP="000E7771">
      <w:pPr>
        <w:spacing w:line="360" w:lineRule="auto"/>
        <w:jc w:val="both"/>
        <w:rPr>
          <w:rFonts w:ascii="Arial" w:eastAsia="仿宋_GB2312" w:hAnsi="Arial" w:cs="Arial"/>
          <w:b/>
          <w:sz w:val="28"/>
        </w:rPr>
      </w:pPr>
      <w:r w:rsidRPr="00F631FB">
        <w:rPr>
          <w:rFonts w:ascii="Arial" w:eastAsia="仿宋_GB2312" w:hAnsi="Arial" w:cs="Arial"/>
          <w:b/>
          <w:sz w:val="28"/>
        </w:rPr>
        <w:lastRenderedPageBreak/>
        <w:t>（</w:t>
      </w:r>
      <w:r w:rsidRPr="00F631FB">
        <w:rPr>
          <w:rFonts w:ascii="Arial" w:eastAsia="仿宋_GB2312" w:hAnsi="Arial" w:cs="Arial"/>
          <w:b/>
          <w:sz w:val="28"/>
        </w:rPr>
        <w:t>1</w:t>
      </w:r>
      <w:r w:rsidRPr="00F631FB">
        <w:rPr>
          <w:rFonts w:ascii="Arial" w:eastAsia="仿宋_GB2312" w:hAnsi="Arial" w:cs="Arial"/>
          <w:b/>
          <w:sz w:val="28"/>
        </w:rPr>
        <w:t>）求取估价对象</w:t>
      </w:r>
      <w:r>
        <w:rPr>
          <w:rFonts w:ascii="Arial" w:eastAsia="仿宋_GB2312" w:hAnsi="Arial" w:cs="Arial" w:hint="eastAsia"/>
          <w:b/>
          <w:sz w:val="28"/>
        </w:rPr>
        <w:t>地上商业</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Pr>
          <w:rFonts w:ascii="Arial" w:eastAsia="仿宋_GB2312" w:hAnsi="Arial" w:cs="Arial"/>
          <w:b/>
          <w:sz w:val="28"/>
        </w:rPr>
        <w:t>40</w:t>
      </w:r>
      <w:r w:rsidRPr="00F631FB">
        <w:rPr>
          <w:rFonts w:ascii="Arial" w:eastAsia="仿宋_GB2312" w:hAnsi="Arial" w:cs="Arial" w:hint="eastAsia"/>
          <w:b/>
          <w:sz w:val="28"/>
        </w:rPr>
        <w:t>年）</w:t>
      </w:r>
    </w:p>
    <w:p w14:paraId="21FC5D97" w14:textId="77777777" w:rsidR="000E7771" w:rsidRPr="00F631FB" w:rsidRDefault="000E7771" w:rsidP="000E7771">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计算过程如下：</w:t>
      </w:r>
    </w:p>
    <w:p w14:paraId="699F32AF" w14:textId="77777777" w:rsidR="000E7771" w:rsidRPr="00F631FB" w:rsidRDefault="000E7771" w:rsidP="000E7771">
      <w:pPr>
        <w:spacing w:line="360" w:lineRule="auto"/>
        <w:ind w:firstLineChars="200" w:firstLine="560"/>
        <w:jc w:val="both"/>
        <w:rPr>
          <w:rFonts w:ascii="Arial" w:eastAsia="仿宋_GB2312" w:hAnsi="Arial" w:cs="Arial"/>
          <w:bCs/>
          <w:sz w:val="28"/>
        </w:rPr>
      </w:pPr>
      <w:r w:rsidRPr="00F631FB">
        <w:rPr>
          <w:rFonts w:ascii="Arial" w:eastAsia="仿宋_GB2312" w:hAnsi="Arial" w:cs="Arial" w:hint="eastAsia"/>
          <w:bCs/>
          <w:sz w:val="28"/>
        </w:rPr>
        <w:t>1</w:t>
      </w:r>
      <w:r w:rsidRPr="00F631FB">
        <w:rPr>
          <w:rFonts w:ascii="Arial" w:eastAsia="仿宋_GB2312" w:hAnsi="Arial" w:cs="Arial" w:hint="eastAsia"/>
          <w:bCs/>
          <w:sz w:val="28"/>
        </w:rPr>
        <w:t>）</w:t>
      </w:r>
      <w:r w:rsidRPr="00F631FB">
        <w:rPr>
          <w:rFonts w:ascii="Arial" w:eastAsia="仿宋_GB2312" w:hAnsi="Arial" w:cs="Arial"/>
          <w:bCs/>
          <w:sz w:val="28"/>
        </w:rPr>
        <w:t>市场比较法中估价对象及三个</w:t>
      </w:r>
      <w:r>
        <w:rPr>
          <w:rFonts w:ascii="Arial" w:eastAsia="仿宋_GB2312" w:hAnsi="Arial" w:cs="Arial" w:hint="eastAsia"/>
          <w:bCs/>
          <w:sz w:val="28"/>
        </w:rPr>
        <w:t>商业</w:t>
      </w:r>
      <w:r w:rsidRPr="00F631FB">
        <w:rPr>
          <w:rFonts w:ascii="Arial" w:eastAsia="仿宋_GB2312" w:hAnsi="Arial" w:cs="Arial" w:hint="eastAsia"/>
          <w:bCs/>
          <w:sz w:val="28"/>
        </w:rPr>
        <w:t>用途</w:t>
      </w:r>
      <w:r w:rsidRPr="00F631FB">
        <w:rPr>
          <w:rFonts w:ascii="Arial" w:eastAsia="仿宋_GB2312" w:hAnsi="Arial" w:cs="Arial"/>
          <w:bCs/>
          <w:sz w:val="28"/>
        </w:rPr>
        <w:t>成交实例比较因素条件说明表如下：</w:t>
      </w:r>
    </w:p>
    <w:p w14:paraId="1B6852B2" w14:textId="1CC9EFA0" w:rsidR="000E7771" w:rsidRPr="00F631FB" w:rsidRDefault="000E7771" w:rsidP="000E7771">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0087591C">
        <w:rPr>
          <w:rFonts w:ascii="Arial" w:eastAsia="仿宋_GB2312" w:hAnsi="Arial" w:cs="Arial"/>
          <w:b/>
          <w:bCs/>
          <w:szCs w:val="24"/>
        </w:rPr>
        <w:t>9</w:t>
      </w:r>
      <w:r w:rsidRPr="00F631FB">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6"/>
        <w:gridCol w:w="1871"/>
        <w:gridCol w:w="1701"/>
        <w:gridCol w:w="1759"/>
        <w:gridCol w:w="1912"/>
      </w:tblGrid>
      <w:tr w:rsidR="000E7771" w:rsidRPr="00F631FB" w14:paraId="75FE5376" w14:textId="77777777" w:rsidTr="0077205E">
        <w:trPr>
          <w:trHeight w:val="270"/>
          <w:tblHeader/>
        </w:trPr>
        <w:tc>
          <w:tcPr>
            <w:tcW w:w="124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39387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969"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A37800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0E383842" w14:textId="1C06AB09" w:rsidR="000E7771" w:rsidRPr="00F631FB" w:rsidRDefault="0087591C"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000E7771" w:rsidRPr="00F631FB">
              <w:rPr>
                <w:rFonts w:ascii="Arial" w:eastAsia="仿宋_GB2312" w:hAnsi="Arial" w:cs="Arial"/>
                <w:sz w:val="18"/>
                <w:szCs w:val="18"/>
              </w:rPr>
              <w:t>例</w:t>
            </w:r>
            <w:r>
              <w:rPr>
                <w:rFonts w:ascii="Arial" w:eastAsia="仿宋_GB2312" w:hAnsi="Arial" w:cs="Arial" w:hint="eastAsia"/>
                <w:sz w:val="18"/>
                <w:szCs w:val="18"/>
              </w:rPr>
              <w:t>M</w:t>
            </w:r>
          </w:p>
        </w:tc>
        <w:tc>
          <w:tcPr>
            <w:tcW w:w="911" w:type="pct"/>
            <w:tcBorders>
              <w:top w:val="single" w:sz="4" w:space="0" w:color="auto"/>
              <w:left w:val="nil"/>
              <w:bottom w:val="single" w:sz="4" w:space="0" w:color="auto"/>
              <w:right w:val="single" w:sz="4" w:space="0" w:color="auto"/>
            </w:tcBorders>
            <w:shd w:val="clear" w:color="auto" w:fill="auto"/>
            <w:vAlign w:val="center"/>
            <w:hideMark/>
          </w:tcPr>
          <w:p w14:paraId="1DD30509" w14:textId="074D92A6" w:rsidR="000E7771" w:rsidRPr="00F631FB" w:rsidRDefault="0087591C"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000E7771" w:rsidRPr="00F631FB">
              <w:rPr>
                <w:rFonts w:ascii="Arial" w:eastAsia="仿宋_GB2312" w:hAnsi="Arial" w:cs="Arial"/>
                <w:sz w:val="18"/>
                <w:szCs w:val="18"/>
              </w:rPr>
              <w:t>例</w:t>
            </w:r>
            <w:r>
              <w:rPr>
                <w:rFonts w:ascii="Arial" w:eastAsia="仿宋_GB2312" w:hAnsi="Arial" w:cs="Arial" w:hint="eastAsia"/>
                <w:sz w:val="18"/>
                <w:szCs w:val="18"/>
              </w:rPr>
              <w:t>N</w:t>
            </w:r>
          </w:p>
        </w:tc>
        <w:tc>
          <w:tcPr>
            <w:tcW w:w="990" w:type="pct"/>
            <w:tcBorders>
              <w:top w:val="single" w:sz="4" w:space="0" w:color="auto"/>
              <w:left w:val="nil"/>
              <w:bottom w:val="single" w:sz="4" w:space="0" w:color="auto"/>
              <w:right w:val="single" w:sz="4" w:space="0" w:color="auto"/>
            </w:tcBorders>
            <w:shd w:val="clear" w:color="auto" w:fill="auto"/>
            <w:vAlign w:val="center"/>
            <w:hideMark/>
          </w:tcPr>
          <w:p w14:paraId="4374E191" w14:textId="7B1E0A46" w:rsidR="000E7771" w:rsidRPr="00F631FB" w:rsidRDefault="0087591C"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000E7771" w:rsidRPr="00F631FB">
              <w:rPr>
                <w:rFonts w:ascii="Arial" w:eastAsia="仿宋_GB2312" w:hAnsi="Arial" w:cs="Arial"/>
                <w:sz w:val="18"/>
                <w:szCs w:val="18"/>
              </w:rPr>
              <w:t>例</w:t>
            </w:r>
            <w:r>
              <w:rPr>
                <w:rFonts w:ascii="Arial" w:eastAsia="仿宋_GB2312" w:hAnsi="Arial" w:cs="Arial" w:hint="eastAsia"/>
                <w:sz w:val="18"/>
                <w:szCs w:val="18"/>
              </w:rPr>
              <w:t>O</w:t>
            </w:r>
          </w:p>
        </w:tc>
      </w:tr>
      <w:tr w:rsidR="000E7771" w:rsidRPr="00F631FB" w14:paraId="0416BF30" w14:textId="77777777" w:rsidTr="0077205E">
        <w:trPr>
          <w:trHeight w:val="1575"/>
          <w:tblHeader/>
        </w:trPr>
        <w:tc>
          <w:tcPr>
            <w:tcW w:w="1249" w:type="pct"/>
            <w:gridSpan w:val="2"/>
            <w:vMerge/>
            <w:tcBorders>
              <w:top w:val="single" w:sz="4" w:space="0" w:color="auto"/>
              <w:left w:val="single" w:sz="4" w:space="0" w:color="auto"/>
              <w:bottom w:val="single" w:sz="4" w:space="0" w:color="auto"/>
              <w:right w:val="single" w:sz="4" w:space="0" w:color="auto"/>
            </w:tcBorders>
            <w:vAlign w:val="center"/>
            <w:hideMark/>
          </w:tcPr>
          <w:p w14:paraId="38D4C343"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969" w:type="pct"/>
            <w:vMerge/>
            <w:tcBorders>
              <w:top w:val="single" w:sz="4" w:space="0" w:color="auto"/>
              <w:left w:val="nil"/>
              <w:bottom w:val="single" w:sz="4" w:space="0" w:color="auto"/>
              <w:right w:val="single" w:sz="4" w:space="0" w:color="auto"/>
            </w:tcBorders>
            <w:vAlign w:val="center"/>
            <w:hideMark/>
          </w:tcPr>
          <w:p w14:paraId="5553C2A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881" w:type="pct"/>
            <w:tcBorders>
              <w:top w:val="nil"/>
              <w:left w:val="nil"/>
              <w:bottom w:val="single" w:sz="4" w:space="0" w:color="auto"/>
              <w:right w:val="single" w:sz="4" w:space="0" w:color="auto"/>
            </w:tcBorders>
            <w:shd w:val="clear" w:color="auto" w:fill="auto"/>
            <w:vAlign w:val="center"/>
            <w:hideMark/>
          </w:tcPr>
          <w:p w14:paraId="09601874"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sz w:val="18"/>
                <w:szCs w:val="18"/>
              </w:rPr>
              <w:t>海淀区北三环中路</w:t>
            </w:r>
            <w:r w:rsidRPr="00AF6157">
              <w:rPr>
                <w:rFonts w:ascii="Arial" w:eastAsia="仿宋_GB2312" w:hAnsi="Arial" w:cs="Arial"/>
                <w:sz w:val="18"/>
                <w:szCs w:val="18"/>
              </w:rPr>
              <w:t>43</w:t>
            </w:r>
            <w:r w:rsidRPr="00AF6157">
              <w:rPr>
                <w:rFonts w:ascii="Arial" w:eastAsia="仿宋_GB2312" w:hAnsi="Arial" w:cs="Arial"/>
                <w:sz w:val="18"/>
                <w:szCs w:val="18"/>
              </w:rPr>
              <w:t>号经营性配套部分</w:t>
            </w:r>
          </w:p>
          <w:p w14:paraId="4696D70F"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p>
        </w:tc>
        <w:tc>
          <w:tcPr>
            <w:tcW w:w="911" w:type="pct"/>
            <w:tcBorders>
              <w:top w:val="nil"/>
              <w:left w:val="nil"/>
              <w:bottom w:val="single" w:sz="4" w:space="0" w:color="auto"/>
              <w:right w:val="single" w:sz="4" w:space="0" w:color="auto"/>
            </w:tcBorders>
            <w:shd w:val="clear" w:color="auto" w:fill="auto"/>
            <w:vAlign w:val="center"/>
            <w:hideMark/>
          </w:tcPr>
          <w:p w14:paraId="23C527C7"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sz w:val="18"/>
                <w:szCs w:val="18"/>
              </w:rPr>
              <w:t>海淀区岭南路</w:t>
            </w:r>
            <w:r w:rsidRPr="00AF6157">
              <w:rPr>
                <w:rFonts w:ascii="Arial" w:eastAsia="仿宋_GB2312" w:hAnsi="Arial" w:cs="Arial"/>
                <w:sz w:val="18"/>
                <w:szCs w:val="18"/>
              </w:rPr>
              <w:t>36</w:t>
            </w:r>
            <w:r w:rsidRPr="00AF6157">
              <w:rPr>
                <w:rFonts w:ascii="Arial" w:eastAsia="仿宋_GB2312" w:hAnsi="Arial" w:cs="Arial"/>
                <w:sz w:val="18"/>
                <w:szCs w:val="18"/>
              </w:rPr>
              <w:t>号</w:t>
            </w:r>
            <w:r w:rsidRPr="00AF6157">
              <w:rPr>
                <w:rFonts w:ascii="Arial" w:eastAsia="仿宋_GB2312" w:hAnsi="Arial" w:cs="Arial"/>
                <w:sz w:val="18"/>
                <w:szCs w:val="18"/>
              </w:rPr>
              <w:t>2</w:t>
            </w:r>
            <w:r w:rsidRPr="00AF6157">
              <w:rPr>
                <w:rFonts w:ascii="Arial" w:eastAsia="仿宋_GB2312" w:hAnsi="Arial" w:cs="Arial"/>
                <w:sz w:val="18"/>
                <w:szCs w:val="18"/>
              </w:rPr>
              <w:t>幢、</w:t>
            </w:r>
            <w:r w:rsidRPr="00AF6157">
              <w:rPr>
                <w:rFonts w:ascii="Arial" w:eastAsia="仿宋_GB2312" w:hAnsi="Arial" w:cs="Arial"/>
                <w:sz w:val="18"/>
                <w:szCs w:val="18"/>
              </w:rPr>
              <w:t>8</w:t>
            </w:r>
            <w:r w:rsidRPr="00AF6157">
              <w:rPr>
                <w:rFonts w:ascii="Arial" w:eastAsia="仿宋_GB2312" w:hAnsi="Arial" w:cs="Arial"/>
                <w:sz w:val="18"/>
                <w:szCs w:val="18"/>
              </w:rPr>
              <w:t>幢项目现状机关团体、住宿餐饮项目</w:t>
            </w:r>
          </w:p>
          <w:p w14:paraId="5D93C227"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p>
        </w:tc>
        <w:tc>
          <w:tcPr>
            <w:tcW w:w="990" w:type="pct"/>
            <w:tcBorders>
              <w:top w:val="nil"/>
              <w:left w:val="nil"/>
              <w:bottom w:val="single" w:sz="4" w:space="0" w:color="auto"/>
              <w:right w:val="single" w:sz="4" w:space="0" w:color="auto"/>
            </w:tcBorders>
            <w:shd w:val="clear" w:color="auto" w:fill="auto"/>
            <w:vAlign w:val="center"/>
            <w:hideMark/>
          </w:tcPr>
          <w:p w14:paraId="088C293D"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sz w:val="18"/>
                <w:szCs w:val="18"/>
              </w:rPr>
              <w:t>朝阳区百子</w:t>
            </w:r>
            <w:proofErr w:type="gramStart"/>
            <w:r w:rsidRPr="00AF6157">
              <w:rPr>
                <w:rFonts w:ascii="Arial" w:eastAsia="仿宋_GB2312" w:hAnsi="Arial" w:cs="Arial"/>
                <w:sz w:val="18"/>
                <w:szCs w:val="18"/>
              </w:rPr>
              <w:t>湾路</w:t>
            </w:r>
            <w:proofErr w:type="gramEnd"/>
            <w:r w:rsidRPr="00AF6157">
              <w:rPr>
                <w:rFonts w:ascii="Arial" w:eastAsia="仿宋_GB2312" w:hAnsi="Arial" w:cs="Arial"/>
                <w:sz w:val="18"/>
                <w:szCs w:val="18"/>
              </w:rPr>
              <w:t>28</w:t>
            </w:r>
            <w:r w:rsidRPr="00AF6157">
              <w:rPr>
                <w:rFonts w:ascii="Arial" w:eastAsia="仿宋_GB2312" w:hAnsi="Arial" w:cs="Arial"/>
                <w:sz w:val="18"/>
                <w:szCs w:val="18"/>
              </w:rPr>
              <w:t>号人民日报社百子</w:t>
            </w:r>
            <w:proofErr w:type="gramStart"/>
            <w:r w:rsidRPr="00AF6157">
              <w:rPr>
                <w:rFonts w:ascii="Arial" w:eastAsia="仿宋_GB2312" w:hAnsi="Arial" w:cs="Arial"/>
                <w:sz w:val="18"/>
                <w:szCs w:val="18"/>
              </w:rPr>
              <w:t>湾职工</w:t>
            </w:r>
            <w:proofErr w:type="gramEnd"/>
            <w:r w:rsidRPr="00AF6157">
              <w:rPr>
                <w:rFonts w:ascii="Arial" w:eastAsia="仿宋_GB2312" w:hAnsi="Arial" w:cs="Arial"/>
                <w:sz w:val="18"/>
                <w:szCs w:val="18"/>
              </w:rPr>
              <w:t>住宅项目</w:t>
            </w:r>
          </w:p>
        </w:tc>
      </w:tr>
      <w:tr w:rsidR="000E7771" w:rsidRPr="00F631FB" w14:paraId="4C0CB99E" w14:textId="77777777" w:rsidTr="0077205E">
        <w:trPr>
          <w:trHeight w:val="270"/>
        </w:trPr>
        <w:tc>
          <w:tcPr>
            <w:tcW w:w="1249" w:type="pct"/>
            <w:gridSpan w:val="2"/>
            <w:tcBorders>
              <w:top w:val="nil"/>
              <w:left w:val="single" w:sz="4" w:space="0" w:color="auto"/>
              <w:bottom w:val="single" w:sz="4" w:space="0" w:color="auto"/>
              <w:right w:val="single" w:sz="4" w:space="0" w:color="auto"/>
            </w:tcBorders>
            <w:shd w:val="clear" w:color="auto" w:fill="auto"/>
            <w:noWrap/>
            <w:vAlign w:val="center"/>
            <w:hideMark/>
          </w:tcPr>
          <w:p w14:paraId="77B1467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969" w:type="pct"/>
            <w:tcBorders>
              <w:top w:val="nil"/>
              <w:left w:val="nil"/>
              <w:bottom w:val="single" w:sz="4" w:space="0" w:color="auto"/>
              <w:right w:val="single" w:sz="4" w:space="0" w:color="auto"/>
            </w:tcBorders>
            <w:shd w:val="clear" w:color="auto" w:fill="auto"/>
            <w:vAlign w:val="center"/>
            <w:hideMark/>
          </w:tcPr>
          <w:p w14:paraId="66EA102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10</w:t>
            </w:r>
            <w:r>
              <w:rPr>
                <w:rFonts w:ascii="Arial" w:eastAsia="仿宋_GB2312" w:hAnsi="Arial" w:cs="Arial"/>
                <w:sz w:val="18"/>
                <w:szCs w:val="18"/>
              </w:rPr>
              <w:t>月</w:t>
            </w:r>
            <w:r>
              <w:rPr>
                <w:rFonts w:ascii="Arial" w:eastAsia="仿宋_GB2312" w:hAnsi="Arial" w:cs="Arial"/>
                <w:sz w:val="18"/>
                <w:szCs w:val="18"/>
              </w:rPr>
              <w:t>15</w:t>
            </w:r>
            <w:r>
              <w:rPr>
                <w:rFonts w:ascii="Arial" w:eastAsia="仿宋_GB2312" w:hAnsi="Arial" w:cs="Arial"/>
                <w:sz w:val="18"/>
                <w:szCs w:val="18"/>
              </w:rPr>
              <w:t>日</w:t>
            </w:r>
          </w:p>
        </w:tc>
        <w:tc>
          <w:tcPr>
            <w:tcW w:w="881" w:type="pct"/>
            <w:tcBorders>
              <w:top w:val="nil"/>
              <w:left w:val="nil"/>
              <w:bottom w:val="single" w:sz="4" w:space="0" w:color="auto"/>
              <w:right w:val="single" w:sz="4" w:space="0" w:color="auto"/>
            </w:tcBorders>
            <w:shd w:val="clear" w:color="auto" w:fill="auto"/>
            <w:vAlign w:val="center"/>
            <w:hideMark/>
          </w:tcPr>
          <w:p w14:paraId="3C79E9C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2019</w:t>
            </w:r>
            <w:r w:rsidRPr="00F631FB">
              <w:rPr>
                <w:rFonts w:ascii="Arial" w:eastAsia="仿宋_GB2312" w:hAnsi="Arial" w:cs="Arial"/>
                <w:sz w:val="18"/>
                <w:szCs w:val="18"/>
              </w:rPr>
              <w:t>年</w:t>
            </w:r>
            <w:r>
              <w:rPr>
                <w:rFonts w:ascii="Arial" w:eastAsia="仿宋_GB2312" w:hAnsi="Arial" w:cs="Arial" w:hint="eastAsia"/>
                <w:sz w:val="18"/>
                <w:szCs w:val="18"/>
              </w:rPr>
              <w:t>1</w:t>
            </w:r>
            <w:r w:rsidRPr="00F631FB">
              <w:rPr>
                <w:rFonts w:ascii="Arial" w:eastAsia="仿宋_GB2312" w:hAnsi="Arial" w:cs="Arial"/>
                <w:sz w:val="18"/>
                <w:szCs w:val="18"/>
              </w:rPr>
              <w:t>月</w:t>
            </w:r>
          </w:p>
        </w:tc>
        <w:tc>
          <w:tcPr>
            <w:tcW w:w="911" w:type="pct"/>
            <w:tcBorders>
              <w:top w:val="nil"/>
              <w:left w:val="nil"/>
              <w:bottom w:val="single" w:sz="4" w:space="0" w:color="auto"/>
              <w:right w:val="single" w:sz="4" w:space="0" w:color="auto"/>
            </w:tcBorders>
            <w:shd w:val="clear" w:color="auto" w:fill="auto"/>
            <w:vAlign w:val="center"/>
            <w:hideMark/>
          </w:tcPr>
          <w:p w14:paraId="2C095F3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w:t>
            </w:r>
            <w:r>
              <w:rPr>
                <w:rFonts w:ascii="Arial" w:eastAsia="仿宋_GB2312" w:hAnsi="Arial" w:cs="Arial"/>
                <w:sz w:val="18"/>
                <w:szCs w:val="18"/>
              </w:rPr>
              <w:t>19</w:t>
            </w:r>
            <w:r w:rsidRPr="00F631FB">
              <w:rPr>
                <w:rFonts w:ascii="Arial" w:eastAsia="仿宋_GB2312" w:hAnsi="Arial" w:cs="Arial"/>
                <w:sz w:val="18"/>
                <w:szCs w:val="18"/>
              </w:rPr>
              <w:t>年</w:t>
            </w:r>
            <w:r>
              <w:rPr>
                <w:rFonts w:ascii="Arial" w:eastAsia="仿宋_GB2312" w:hAnsi="Arial" w:cs="Arial" w:hint="eastAsia"/>
                <w:sz w:val="18"/>
                <w:szCs w:val="18"/>
              </w:rPr>
              <w:t>2</w:t>
            </w:r>
            <w:r w:rsidRPr="00F631FB">
              <w:rPr>
                <w:rFonts w:ascii="Arial" w:eastAsia="仿宋_GB2312" w:hAnsi="Arial" w:cs="Arial"/>
                <w:sz w:val="18"/>
                <w:szCs w:val="18"/>
              </w:rPr>
              <w:t>月</w:t>
            </w:r>
          </w:p>
        </w:tc>
        <w:tc>
          <w:tcPr>
            <w:tcW w:w="990" w:type="pct"/>
            <w:tcBorders>
              <w:top w:val="nil"/>
              <w:left w:val="nil"/>
              <w:bottom w:val="single" w:sz="4" w:space="0" w:color="auto"/>
              <w:right w:val="single" w:sz="4" w:space="0" w:color="auto"/>
            </w:tcBorders>
            <w:shd w:val="clear" w:color="auto" w:fill="auto"/>
            <w:vAlign w:val="center"/>
            <w:hideMark/>
          </w:tcPr>
          <w:p w14:paraId="7E95989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w:t>
            </w:r>
            <w:r w:rsidRPr="00F631FB">
              <w:rPr>
                <w:rFonts w:ascii="Arial" w:eastAsia="仿宋_GB2312" w:hAnsi="Arial" w:cs="Arial" w:hint="eastAsia"/>
                <w:sz w:val="18"/>
                <w:szCs w:val="18"/>
              </w:rPr>
              <w:t>1</w:t>
            </w:r>
            <w:r w:rsidRPr="00F631FB">
              <w:rPr>
                <w:rFonts w:ascii="Arial" w:eastAsia="仿宋_GB2312" w:hAnsi="Arial" w:cs="Arial"/>
                <w:sz w:val="18"/>
                <w:szCs w:val="18"/>
              </w:rPr>
              <w:t>年</w:t>
            </w:r>
            <w:r>
              <w:rPr>
                <w:rFonts w:ascii="Arial" w:eastAsia="仿宋_GB2312" w:hAnsi="Arial" w:cs="Arial" w:hint="eastAsia"/>
                <w:sz w:val="18"/>
                <w:szCs w:val="18"/>
              </w:rPr>
              <w:t>3</w:t>
            </w:r>
            <w:r w:rsidRPr="00F631FB">
              <w:rPr>
                <w:rFonts w:ascii="Arial" w:eastAsia="仿宋_GB2312" w:hAnsi="Arial" w:cs="Arial"/>
                <w:sz w:val="18"/>
                <w:szCs w:val="18"/>
              </w:rPr>
              <w:t>月</w:t>
            </w:r>
          </w:p>
        </w:tc>
      </w:tr>
      <w:tr w:rsidR="000E7771" w:rsidRPr="00F631FB" w14:paraId="5C0FF99E" w14:textId="77777777" w:rsidTr="0077205E">
        <w:trPr>
          <w:trHeight w:val="270"/>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9C28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969" w:type="pct"/>
            <w:tcBorders>
              <w:top w:val="nil"/>
              <w:left w:val="nil"/>
              <w:bottom w:val="single" w:sz="4" w:space="0" w:color="auto"/>
              <w:right w:val="single" w:sz="4" w:space="0" w:color="auto"/>
            </w:tcBorders>
            <w:shd w:val="clear" w:color="auto" w:fill="auto"/>
            <w:vAlign w:val="center"/>
            <w:hideMark/>
          </w:tcPr>
          <w:p w14:paraId="05E8B6F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881" w:type="pct"/>
            <w:tcBorders>
              <w:top w:val="nil"/>
              <w:left w:val="nil"/>
              <w:bottom w:val="single" w:sz="4" w:space="0" w:color="auto"/>
              <w:right w:val="single" w:sz="4" w:space="0" w:color="auto"/>
            </w:tcBorders>
            <w:shd w:val="clear" w:color="auto" w:fill="auto"/>
            <w:vAlign w:val="center"/>
            <w:hideMark/>
          </w:tcPr>
          <w:p w14:paraId="4BC0209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11" w:type="pct"/>
            <w:tcBorders>
              <w:top w:val="nil"/>
              <w:left w:val="nil"/>
              <w:bottom w:val="single" w:sz="4" w:space="0" w:color="auto"/>
              <w:right w:val="single" w:sz="4" w:space="0" w:color="auto"/>
            </w:tcBorders>
            <w:shd w:val="clear" w:color="auto" w:fill="auto"/>
            <w:vAlign w:val="center"/>
            <w:hideMark/>
          </w:tcPr>
          <w:p w14:paraId="24AEE1D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90" w:type="pct"/>
            <w:tcBorders>
              <w:top w:val="nil"/>
              <w:left w:val="nil"/>
              <w:bottom w:val="single" w:sz="4" w:space="0" w:color="auto"/>
              <w:right w:val="single" w:sz="4" w:space="0" w:color="auto"/>
            </w:tcBorders>
            <w:shd w:val="clear" w:color="auto" w:fill="auto"/>
            <w:vAlign w:val="center"/>
            <w:hideMark/>
          </w:tcPr>
          <w:p w14:paraId="641A327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r>
      <w:tr w:rsidR="000E7771" w:rsidRPr="00F631FB" w14:paraId="59256DD1" w14:textId="77777777" w:rsidTr="0077205E">
        <w:trPr>
          <w:trHeight w:val="270"/>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8072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969" w:type="pct"/>
            <w:tcBorders>
              <w:top w:val="nil"/>
              <w:left w:val="nil"/>
              <w:bottom w:val="single" w:sz="4" w:space="0" w:color="auto"/>
              <w:right w:val="single" w:sz="4" w:space="0" w:color="auto"/>
            </w:tcBorders>
            <w:shd w:val="clear" w:color="auto" w:fill="auto"/>
            <w:vAlign w:val="center"/>
            <w:hideMark/>
          </w:tcPr>
          <w:p w14:paraId="3F682EF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881" w:type="pct"/>
            <w:tcBorders>
              <w:top w:val="nil"/>
              <w:left w:val="nil"/>
              <w:bottom w:val="single" w:sz="4" w:space="0" w:color="auto"/>
              <w:right w:val="single" w:sz="4" w:space="0" w:color="auto"/>
            </w:tcBorders>
            <w:shd w:val="clear" w:color="auto" w:fill="auto"/>
            <w:hideMark/>
          </w:tcPr>
          <w:p w14:paraId="1ADE05C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1F1FCD">
              <w:rPr>
                <w:rFonts w:ascii="Arial" w:eastAsia="仿宋_GB2312" w:hAnsi="Arial" w:cs="Arial" w:hint="eastAsia"/>
                <w:sz w:val="18"/>
                <w:szCs w:val="18"/>
              </w:rPr>
              <w:t>商业</w:t>
            </w:r>
          </w:p>
        </w:tc>
        <w:tc>
          <w:tcPr>
            <w:tcW w:w="911" w:type="pct"/>
            <w:tcBorders>
              <w:top w:val="nil"/>
              <w:left w:val="nil"/>
              <w:bottom w:val="single" w:sz="4" w:space="0" w:color="auto"/>
              <w:right w:val="single" w:sz="4" w:space="0" w:color="auto"/>
            </w:tcBorders>
            <w:shd w:val="clear" w:color="auto" w:fill="auto"/>
            <w:hideMark/>
          </w:tcPr>
          <w:p w14:paraId="52918E6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1F1FCD">
              <w:rPr>
                <w:rFonts w:ascii="Arial" w:eastAsia="仿宋_GB2312" w:hAnsi="Arial" w:cs="Arial" w:hint="eastAsia"/>
                <w:sz w:val="18"/>
                <w:szCs w:val="18"/>
              </w:rPr>
              <w:t>商业</w:t>
            </w:r>
          </w:p>
        </w:tc>
        <w:tc>
          <w:tcPr>
            <w:tcW w:w="990" w:type="pct"/>
            <w:tcBorders>
              <w:top w:val="nil"/>
              <w:left w:val="nil"/>
              <w:bottom w:val="single" w:sz="4" w:space="0" w:color="auto"/>
              <w:right w:val="single" w:sz="4" w:space="0" w:color="auto"/>
            </w:tcBorders>
            <w:shd w:val="clear" w:color="auto" w:fill="auto"/>
            <w:hideMark/>
          </w:tcPr>
          <w:p w14:paraId="35109B5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1F1FCD">
              <w:rPr>
                <w:rFonts w:ascii="Arial" w:eastAsia="仿宋_GB2312" w:hAnsi="Arial" w:cs="Arial" w:hint="eastAsia"/>
                <w:sz w:val="18"/>
                <w:szCs w:val="18"/>
              </w:rPr>
              <w:t>商业</w:t>
            </w:r>
          </w:p>
        </w:tc>
      </w:tr>
      <w:tr w:rsidR="000E7771" w:rsidRPr="00F631FB" w14:paraId="650454E1" w14:textId="77777777" w:rsidTr="0077205E">
        <w:trPr>
          <w:trHeight w:val="270"/>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F2D0C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969" w:type="pct"/>
            <w:tcBorders>
              <w:top w:val="nil"/>
              <w:left w:val="nil"/>
              <w:bottom w:val="single" w:sz="4" w:space="0" w:color="auto"/>
              <w:right w:val="single" w:sz="4" w:space="0" w:color="auto"/>
            </w:tcBorders>
            <w:shd w:val="clear" w:color="auto" w:fill="auto"/>
            <w:vAlign w:val="center"/>
          </w:tcPr>
          <w:p w14:paraId="7D3F502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40</w:t>
            </w:r>
          </w:p>
        </w:tc>
        <w:tc>
          <w:tcPr>
            <w:tcW w:w="881" w:type="pct"/>
            <w:tcBorders>
              <w:top w:val="nil"/>
              <w:left w:val="nil"/>
              <w:bottom w:val="single" w:sz="4" w:space="0" w:color="auto"/>
              <w:right w:val="single" w:sz="4" w:space="0" w:color="auto"/>
            </w:tcBorders>
            <w:shd w:val="clear" w:color="auto" w:fill="auto"/>
            <w:vAlign w:val="center"/>
          </w:tcPr>
          <w:p w14:paraId="00F3ED4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40</w:t>
            </w:r>
          </w:p>
        </w:tc>
        <w:tc>
          <w:tcPr>
            <w:tcW w:w="911" w:type="pct"/>
            <w:tcBorders>
              <w:top w:val="nil"/>
              <w:left w:val="nil"/>
              <w:bottom w:val="single" w:sz="4" w:space="0" w:color="auto"/>
              <w:right w:val="single" w:sz="4" w:space="0" w:color="auto"/>
            </w:tcBorders>
            <w:shd w:val="clear" w:color="auto" w:fill="auto"/>
            <w:vAlign w:val="center"/>
          </w:tcPr>
          <w:p w14:paraId="28E253F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40</w:t>
            </w:r>
          </w:p>
        </w:tc>
        <w:tc>
          <w:tcPr>
            <w:tcW w:w="990" w:type="pct"/>
            <w:tcBorders>
              <w:top w:val="nil"/>
              <w:left w:val="nil"/>
              <w:bottom w:val="single" w:sz="4" w:space="0" w:color="auto"/>
              <w:right w:val="single" w:sz="4" w:space="0" w:color="auto"/>
            </w:tcBorders>
            <w:shd w:val="clear" w:color="auto" w:fill="auto"/>
            <w:vAlign w:val="center"/>
          </w:tcPr>
          <w:p w14:paraId="0DBB49A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40</w:t>
            </w:r>
          </w:p>
        </w:tc>
      </w:tr>
      <w:tr w:rsidR="000E7771" w:rsidRPr="00F631FB" w14:paraId="337ACF97" w14:textId="77777777" w:rsidTr="0077205E">
        <w:trPr>
          <w:trHeight w:val="675"/>
        </w:trPr>
        <w:tc>
          <w:tcPr>
            <w:tcW w:w="205" w:type="pct"/>
            <w:vMerge w:val="restart"/>
            <w:tcBorders>
              <w:top w:val="nil"/>
              <w:left w:val="single" w:sz="4" w:space="0" w:color="auto"/>
              <w:bottom w:val="single" w:sz="4" w:space="0" w:color="auto"/>
              <w:right w:val="single" w:sz="4" w:space="0" w:color="auto"/>
            </w:tcBorders>
            <w:shd w:val="clear" w:color="auto" w:fill="auto"/>
            <w:vAlign w:val="center"/>
            <w:hideMark/>
          </w:tcPr>
          <w:p w14:paraId="7239247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044" w:type="pct"/>
            <w:tcBorders>
              <w:top w:val="nil"/>
              <w:left w:val="nil"/>
              <w:bottom w:val="single" w:sz="4" w:space="0" w:color="auto"/>
              <w:right w:val="single" w:sz="4" w:space="0" w:color="auto"/>
            </w:tcBorders>
            <w:shd w:val="clear" w:color="auto" w:fill="auto"/>
            <w:noWrap/>
            <w:vAlign w:val="center"/>
            <w:hideMark/>
          </w:tcPr>
          <w:p w14:paraId="153836B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商业繁华度</w:t>
            </w:r>
          </w:p>
        </w:tc>
        <w:tc>
          <w:tcPr>
            <w:tcW w:w="969" w:type="pct"/>
            <w:tcBorders>
              <w:top w:val="nil"/>
              <w:left w:val="nil"/>
              <w:bottom w:val="single" w:sz="4" w:space="0" w:color="auto"/>
              <w:right w:val="single" w:sz="4" w:space="0" w:color="auto"/>
            </w:tcBorders>
            <w:shd w:val="clear" w:color="auto" w:fill="auto"/>
            <w:vAlign w:val="center"/>
            <w:hideMark/>
          </w:tcPr>
          <w:p w14:paraId="28986D9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hint="eastAsia"/>
                <w:sz w:val="18"/>
                <w:szCs w:val="18"/>
              </w:rPr>
              <w:t>估价对象位于海淀区苏州街，周边有新中关购物中心、</w:t>
            </w:r>
            <w:proofErr w:type="gramStart"/>
            <w:r w:rsidRPr="00AF6157">
              <w:rPr>
                <w:rFonts w:ascii="Arial" w:eastAsia="仿宋_GB2312" w:hAnsi="Arial" w:cs="Arial" w:hint="eastAsia"/>
                <w:sz w:val="18"/>
                <w:szCs w:val="18"/>
              </w:rPr>
              <w:t>领展购物</w:t>
            </w:r>
            <w:proofErr w:type="gramEnd"/>
            <w:r w:rsidRPr="00AF6157">
              <w:rPr>
                <w:rFonts w:ascii="Arial" w:eastAsia="仿宋_GB2312" w:hAnsi="Arial" w:cs="Arial" w:hint="eastAsia"/>
                <w:sz w:val="18"/>
                <w:szCs w:val="18"/>
              </w:rPr>
              <w:t>广场（中关村店）、</w:t>
            </w:r>
            <w:r w:rsidRPr="00AF6157">
              <w:rPr>
                <w:rFonts w:ascii="Arial" w:eastAsia="仿宋_GB2312" w:hAnsi="Arial" w:cs="Arial" w:hint="eastAsia"/>
                <w:sz w:val="18"/>
                <w:szCs w:val="18"/>
              </w:rPr>
              <w:t>BHG MALL</w:t>
            </w:r>
            <w:r w:rsidRPr="00AF6157">
              <w:rPr>
                <w:rFonts w:ascii="Arial" w:eastAsia="仿宋_GB2312" w:hAnsi="Arial" w:cs="Arial" w:hint="eastAsia"/>
                <w:sz w:val="18"/>
                <w:szCs w:val="18"/>
              </w:rPr>
              <w:t>北京华联万柳购物中心等商业机构，在建的商业项目较少，商业繁华度较好。</w:t>
            </w:r>
          </w:p>
        </w:tc>
        <w:tc>
          <w:tcPr>
            <w:tcW w:w="881" w:type="pct"/>
            <w:tcBorders>
              <w:top w:val="nil"/>
              <w:left w:val="nil"/>
              <w:bottom w:val="single" w:sz="4" w:space="0" w:color="auto"/>
              <w:right w:val="single" w:sz="4" w:space="0" w:color="auto"/>
            </w:tcBorders>
            <w:shd w:val="clear" w:color="auto" w:fill="auto"/>
            <w:vAlign w:val="center"/>
            <w:hideMark/>
          </w:tcPr>
          <w:p w14:paraId="7AB1028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hint="eastAsia"/>
                <w:sz w:val="18"/>
                <w:szCs w:val="18"/>
              </w:rPr>
              <w:t>周边有翠微百货、沿街底商等，商业繁华度较好</w:t>
            </w:r>
          </w:p>
        </w:tc>
        <w:tc>
          <w:tcPr>
            <w:tcW w:w="911" w:type="pct"/>
            <w:tcBorders>
              <w:top w:val="nil"/>
              <w:left w:val="nil"/>
              <w:bottom w:val="single" w:sz="4" w:space="0" w:color="auto"/>
              <w:right w:val="single" w:sz="4" w:space="0" w:color="auto"/>
            </w:tcBorders>
            <w:shd w:val="clear" w:color="auto" w:fill="auto"/>
            <w:vAlign w:val="center"/>
            <w:hideMark/>
          </w:tcPr>
          <w:p w14:paraId="73BB22F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hint="eastAsia"/>
                <w:sz w:val="18"/>
                <w:szCs w:val="18"/>
              </w:rPr>
              <w:t>周边有华光商厦、沿街底商等，商业繁华度较好</w:t>
            </w:r>
          </w:p>
        </w:tc>
        <w:tc>
          <w:tcPr>
            <w:tcW w:w="990" w:type="pct"/>
            <w:tcBorders>
              <w:top w:val="nil"/>
              <w:left w:val="nil"/>
              <w:bottom w:val="single" w:sz="4" w:space="0" w:color="auto"/>
              <w:right w:val="single" w:sz="4" w:space="0" w:color="auto"/>
            </w:tcBorders>
            <w:shd w:val="clear" w:color="auto" w:fill="auto"/>
            <w:vAlign w:val="center"/>
            <w:hideMark/>
          </w:tcPr>
          <w:p w14:paraId="6D38B4B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hint="eastAsia"/>
                <w:sz w:val="18"/>
                <w:szCs w:val="18"/>
              </w:rPr>
              <w:t>周边有</w:t>
            </w:r>
            <w:r w:rsidRPr="00AF6157">
              <w:rPr>
                <w:rFonts w:ascii="Arial" w:eastAsia="仿宋_GB2312" w:hAnsi="Arial" w:cs="Arial" w:hint="eastAsia"/>
                <w:sz w:val="18"/>
                <w:szCs w:val="18"/>
              </w:rPr>
              <w:t>SKP</w:t>
            </w:r>
            <w:r w:rsidRPr="00AF6157">
              <w:rPr>
                <w:rFonts w:ascii="Arial" w:eastAsia="仿宋_GB2312" w:hAnsi="Arial" w:cs="Arial" w:hint="eastAsia"/>
                <w:sz w:val="18"/>
                <w:szCs w:val="18"/>
              </w:rPr>
              <w:t>、合生汇、北京二十二院街艺术区、家乐福、沿街底商等，商业繁华度较好</w:t>
            </w:r>
          </w:p>
        </w:tc>
      </w:tr>
      <w:tr w:rsidR="000E7771" w:rsidRPr="00F631FB" w14:paraId="5EC5DD18" w14:textId="77777777" w:rsidTr="0077205E">
        <w:trPr>
          <w:trHeight w:val="2550"/>
        </w:trPr>
        <w:tc>
          <w:tcPr>
            <w:tcW w:w="205" w:type="pct"/>
            <w:vMerge/>
            <w:tcBorders>
              <w:top w:val="nil"/>
              <w:left w:val="single" w:sz="4" w:space="0" w:color="auto"/>
              <w:bottom w:val="single" w:sz="4" w:space="0" w:color="auto"/>
              <w:right w:val="single" w:sz="4" w:space="0" w:color="auto"/>
            </w:tcBorders>
            <w:vAlign w:val="center"/>
            <w:hideMark/>
          </w:tcPr>
          <w:p w14:paraId="097AA35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40D9A92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969" w:type="pct"/>
            <w:tcBorders>
              <w:top w:val="nil"/>
              <w:left w:val="nil"/>
              <w:bottom w:val="single" w:sz="4" w:space="0" w:color="auto"/>
              <w:right w:val="single" w:sz="4" w:space="0" w:color="auto"/>
            </w:tcBorders>
            <w:shd w:val="clear" w:color="auto" w:fill="auto"/>
            <w:vAlign w:val="center"/>
            <w:hideMark/>
          </w:tcPr>
          <w:p w14:paraId="793C42B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hint="eastAsia"/>
                <w:sz w:val="18"/>
                <w:szCs w:val="18"/>
              </w:rPr>
              <w:t>估价对象紧邻城市主干道—海淀南路、苏州街，南距北三环西路约</w:t>
            </w:r>
            <w:r w:rsidRPr="00AF6157">
              <w:rPr>
                <w:rFonts w:ascii="Arial" w:eastAsia="仿宋_GB2312" w:hAnsi="Arial" w:cs="Arial" w:hint="eastAsia"/>
                <w:sz w:val="18"/>
                <w:szCs w:val="18"/>
              </w:rPr>
              <w:t>1500</w:t>
            </w:r>
            <w:r w:rsidRPr="00AF6157">
              <w:rPr>
                <w:rFonts w:ascii="Arial" w:eastAsia="仿宋_GB2312" w:hAnsi="Arial" w:cs="Arial" w:hint="eastAsia"/>
                <w:sz w:val="18"/>
                <w:szCs w:val="18"/>
              </w:rPr>
              <w:t>米，距北京首都国际机场约</w:t>
            </w:r>
            <w:r w:rsidRPr="00AF6157">
              <w:rPr>
                <w:rFonts w:ascii="Arial" w:eastAsia="仿宋_GB2312" w:hAnsi="Arial" w:cs="Arial" w:hint="eastAsia"/>
                <w:sz w:val="18"/>
                <w:szCs w:val="18"/>
              </w:rPr>
              <w:t>29</w:t>
            </w:r>
            <w:r w:rsidRPr="00AF6157">
              <w:rPr>
                <w:rFonts w:ascii="Arial" w:eastAsia="仿宋_GB2312" w:hAnsi="Arial" w:cs="Arial" w:hint="eastAsia"/>
                <w:sz w:val="18"/>
                <w:szCs w:val="18"/>
              </w:rPr>
              <w:t>公里，距北京站约</w:t>
            </w:r>
            <w:r w:rsidRPr="00AF6157">
              <w:rPr>
                <w:rFonts w:ascii="Arial" w:eastAsia="仿宋_GB2312" w:hAnsi="Arial" w:cs="Arial" w:hint="eastAsia"/>
                <w:sz w:val="18"/>
                <w:szCs w:val="18"/>
              </w:rPr>
              <w:t>13</w:t>
            </w:r>
            <w:r w:rsidRPr="00AF6157">
              <w:rPr>
                <w:rFonts w:ascii="Arial" w:eastAsia="仿宋_GB2312" w:hAnsi="Arial" w:cs="Arial" w:hint="eastAsia"/>
                <w:sz w:val="18"/>
                <w:szCs w:val="18"/>
              </w:rPr>
              <w:t>公里，紧邻地铁</w:t>
            </w:r>
            <w:r w:rsidRPr="00AF6157">
              <w:rPr>
                <w:rFonts w:ascii="Arial" w:eastAsia="仿宋_GB2312" w:hAnsi="Arial" w:cs="Arial" w:hint="eastAsia"/>
                <w:sz w:val="18"/>
                <w:szCs w:val="18"/>
              </w:rPr>
              <w:t>10</w:t>
            </w:r>
            <w:r w:rsidRPr="00AF6157">
              <w:rPr>
                <w:rFonts w:ascii="Arial" w:eastAsia="仿宋_GB2312" w:hAnsi="Arial" w:cs="Arial" w:hint="eastAsia"/>
                <w:sz w:val="18"/>
                <w:szCs w:val="18"/>
              </w:rPr>
              <w:t>、</w:t>
            </w:r>
            <w:r w:rsidRPr="00AF6157">
              <w:rPr>
                <w:rFonts w:ascii="Arial" w:eastAsia="仿宋_GB2312" w:hAnsi="Arial" w:cs="Arial" w:hint="eastAsia"/>
                <w:sz w:val="18"/>
                <w:szCs w:val="18"/>
              </w:rPr>
              <w:t>16</w:t>
            </w:r>
            <w:r w:rsidRPr="00AF6157">
              <w:rPr>
                <w:rFonts w:ascii="Arial" w:eastAsia="仿宋_GB2312" w:hAnsi="Arial" w:cs="Arial" w:hint="eastAsia"/>
                <w:sz w:val="18"/>
                <w:szCs w:val="18"/>
              </w:rPr>
              <w:t>号线（苏州街站），周边有</w:t>
            </w:r>
            <w:r w:rsidRPr="00AF6157">
              <w:rPr>
                <w:rFonts w:ascii="Arial" w:eastAsia="仿宋_GB2312" w:hAnsi="Arial" w:cs="Arial" w:hint="eastAsia"/>
                <w:sz w:val="18"/>
                <w:szCs w:val="18"/>
              </w:rPr>
              <w:t>304</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307</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386</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630</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634</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671</w:t>
            </w:r>
            <w:r w:rsidRPr="00AF6157">
              <w:rPr>
                <w:rFonts w:ascii="Arial" w:eastAsia="仿宋_GB2312" w:hAnsi="Arial" w:cs="Arial" w:hint="eastAsia"/>
                <w:sz w:val="18"/>
                <w:szCs w:val="18"/>
              </w:rPr>
              <w:t>路等多条公交线路通过，综合评价交通便捷度较好。</w:t>
            </w:r>
          </w:p>
        </w:tc>
        <w:tc>
          <w:tcPr>
            <w:tcW w:w="881" w:type="pct"/>
            <w:tcBorders>
              <w:top w:val="nil"/>
              <w:left w:val="nil"/>
              <w:bottom w:val="single" w:sz="4" w:space="0" w:color="auto"/>
              <w:right w:val="single" w:sz="4" w:space="0" w:color="auto"/>
            </w:tcBorders>
            <w:shd w:val="clear" w:color="auto" w:fill="auto"/>
            <w:vAlign w:val="center"/>
            <w:hideMark/>
          </w:tcPr>
          <w:p w14:paraId="17D8741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AF6157">
              <w:rPr>
                <w:rFonts w:ascii="Arial" w:eastAsia="仿宋_GB2312" w:hAnsi="Arial" w:cs="Arial" w:hint="eastAsia"/>
                <w:sz w:val="18"/>
                <w:szCs w:val="18"/>
              </w:rPr>
              <w:t>距离地铁十号线牡丹园站约</w:t>
            </w:r>
            <w:r w:rsidRPr="00AF6157">
              <w:rPr>
                <w:rFonts w:ascii="Arial" w:eastAsia="仿宋_GB2312" w:hAnsi="Arial" w:cs="Arial" w:hint="eastAsia"/>
                <w:sz w:val="18"/>
                <w:szCs w:val="18"/>
              </w:rPr>
              <w:t>500</w:t>
            </w:r>
            <w:r w:rsidRPr="00AF6157">
              <w:rPr>
                <w:rFonts w:ascii="Arial" w:eastAsia="仿宋_GB2312" w:hAnsi="Arial" w:cs="Arial" w:hint="eastAsia"/>
                <w:sz w:val="18"/>
                <w:szCs w:val="18"/>
              </w:rPr>
              <w:t>米，区域道路较密集，距北三环约</w:t>
            </w:r>
            <w:r w:rsidRPr="00AF6157">
              <w:rPr>
                <w:rFonts w:ascii="Arial" w:eastAsia="仿宋_GB2312" w:hAnsi="Arial" w:cs="Arial" w:hint="eastAsia"/>
                <w:sz w:val="18"/>
                <w:szCs w:val="18"/>
              </w:rPr>
              <w:t>500</w:t>
            </w:r>
            <w:r w:rsidRPr="00AF6157">
              <w:rPr>
                <w:rFonts w:ascii="Arial" w:eastAsia="仿宋_GB2312" w:hAnsi="Arial" w:cs="Arial" w:hint="eastAsia"/>
                <w:sz w:val="18"/>
                <w:szCs w:val="18"/>
              </w:rPr>
              <w:t>米，距北京首都国际机场约</w:t>
            </w:r>
            <w:r w:rsidRPr="00AF6157">
              <w:rPr>
                <w:rFonts w:ascii="Arial" w:eastAsia="仿宋_GB2312" w:hAnsi="Arial" w:cs="Arial" w:hint="eastAsia"/>
                <w:sz w:val="18"/>
                <w:szCs w:val="18"/>
              </w:rPr>
              <w:t>22.9</w:t>
            </w:r>
            <w:r w:rsidRPr="00AF6157">
              <w:rPr>
                <w:rFonts w:ascii="Arial" w:eastAsia="仿宋_GB2312" w:hAnsi="Arial" w:cs="Arial" w:hint="eastAsia"/>
                <w:sz w:val="18"/>
                <w:szCs w:val="18"/>
              </w:rPr>
              <w:t>公里，距北京站约</w:t>
            </w:r>
            <w:r w:rsidRPr="00AF6157">
              <w:rPr>
                <w:rFonts w:ascii="Arial" w:eastAsia="仿宋_GB2312" w:hAnsi="Arial" w:cs="Arial" w:hint="eastAsia"/>
                <w:sz w:val="18"/>
                <w:szCs w:val="18"/>
              </w:rPr>
              <w:t>9</w:t>
            </w:r>
            <w:r w:rsidRPr="00AF6157">
              <w:rPr>
                <w:rFonts w:ascii="Arial" w:eastAsia="仿宋_GB2312" w:hAnsi="Arial" w:cs="Arial" w:hint="eastAsia"/>
                <w:sz w:val="18"/>
                <w:szCs w:val="18"/>
              </w:rPr>
              <w:t>公里，综合评价交通便捷度较好</w:t>
            </w:r>
          </w:p>
        </w:tc>
        <w:tc>
          <w:tcPr>
            <w:tcW w:w="911" w:type="pct"/>
            <w:tcBorders>
              <w:top w:val="nil"/>
              <w:left w:val="nil"/>
              <w:bottom w:val="single" w:sz="4" w:space="0" w:color="auto"/>
              <w:right w:val="single" w:sz="4" w:space="0" w:color="auto"/>
            </w:tcBorders>
            <w:shd w:val="clear" w:color="auto" w:fill="auto"/>
            <w:vAlign w:val="center"/>
            <w:hideMark/>
          </w:tcPr>
          <w:p w14:paraId="65EAA23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AF6157">
              <w:rPr>
                <w:rFonts w:ascii="Arial" w:eastAsia="仿宋_GB2312" w:hAnsi="Arial" w:cs="Arial" w:hint="eastAsia"/>
                <w:sz w:val="18"/>
                <w:szCs w:val="18"/>
              </w:rPr>
              <w:t>距离地铁十号线西钓鱼台站约</w:t>
            </w:r>
            <w:r w:rsidRPr="00AF6157">
              <w:rPr>
                <w:rFonts w:ascii="Arial" w:eastAsia="仿宋_GB2312" w:hAnsi="Arial" w:cs="Arial" w:hint="eastAsia"/>
                <w:sz w:val="18"/>
                <w:szCs w:val="18"/>
              </w:rPr>
              <w:t>500</w:t>
            </w:r>
            <w:r w:rsidRPr="00AF6157">
              <w:rPr>
                <w:rFonts w:ascii="Arial" w:eastAsia="仿宋_GB2312" w:hAnsi="Arial" w:cs="Arial" w:hint="eastAsia"/>
                <w:sz w:val="18"/>
                <w:szCs w:val="18"/>
              </w:rPr>
              <w:t>米，区域道路较密集，距西三环约</w:t>
            </w:r>
            <w:r w:rsidRPr="00AF6157">
              <w:rPr>
                <w:rFonts w:ascii="Arial" w:eastAsia="仿宋_GB2312" w:hAnsi="Arial" w:cs="Arial" w:hint="eastAsia"/>
                <w:sz w:val="18"/>
                <w:szCs w:val="18"/>
              </w:rPr>
              <w:t>700</w:t>
            </w:r>
            <w:r w:rsidRPr="00AF6157">
              <w:rPr>
                <w:rFonts w:ascii="Arial" w:eastAsia="仿宋_GB2312" w:hAnsi="Arial" w:cs="Arial" w:hint="eastAsia"/>
                <w:sz w:val="18"/>
                <w:szCs w:val="18"/>
              </w:rPr>
              <w:t>米，距北京首都国际机场约</w:t>
            </w:r>
            <w:r w:rsidRPr="00AF6157">
              <w:rPr>
                <w:rFonts w:ascii="Arial" w:eastAsia="仿宋_GB2312" w:hAnsi="Arial" w:cs="Arial" w:hint="eastAsia"/>
                <w:sz w:val="18"/>
                <w:szCs w:val="18"/>
              </w:rPr>
              <w:t>30.7</w:t>
            </w:r>
            <w:r w:rsidRPr="00AF6157">
              <w:rPr>
                <w:rFonts w:ascii="Arial" w:eastAsia="仿宋_GB2312" w:hAnsi="Arial" w:cs="Arial" w:hint="eastAsia"/>
                <w:sz w:val="18"/>
                <w:szCs w:val="18"/>
              </w:rPr>
              <w:t>公里，距北京站约</w:t>
            </w:r>
            <w:r w:rsidRPr="00AF6157">
              <w:rPr>
                <w:rFonts w:ascii="Arial" w:eastAsia="仿宋_GB2312" w:hAnsi="Arial" w:cs="Arial" w:hint="eastAsia"/>
                <w:sz w:val="18"/>
                <w:szCs w:val="18"/>
              </w:rPr>
              <w:t>11</w:t>
            </w:r>
            <w:r w:rsidRPr="00AF6157">
              <w:rPr>
                <w:rFonts w:ascii="Arial" w:eastAsia="仿宋_GB2312" w:hAnsi="Arial" w:cs="Arial" w:hint="eastAsia"/>
                <w:sz w:val="18"/>
                <w:szCs w:val="18"/>
              </w:rPr>
              <w:t>公里，综合评价交通便捷度较好</w:t>
            </w:r>
          </w:p>
        </w:tc>
        <w:tc>
          <w:tcPr>
            <w:tcW w:w="990" w:type="pct"/>
            <w:tcBorders>
              <w:top w:val="nil"/>
              <w:left w:val="nil"/>
              <w:bottom w:val="single" w:sz="4" w:space="0" w:color="auto"/>
              <w:right w:val="single" w:sz="4" w:space="0" w:color="auto"/>
            </w:tcBorders>
            <w:shd w:val="clear" w:color="auto" w:fill="auto"/>
            <w:vAlign w:val="center"/>
            <w:hideMark/>
          </w:tcPr>
          <w:p w14:paraId="755F2971"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AF6157">
              <w:rPr>
                <w:rFonts w:ascii="Arial" w:eastAsia="仿宋_GB2312" w:hAnsi="Arial" w:cs="Arial" w:hint="eastAsia"/>
                <w:sz w:val="18"/>
                <w:szCs w:val="18"/>
              </w:rPr>
              <w:t>距离地铁</w:t>
            </w:r>
            <w:r w:rsidRPr="00AF6157">
              <w:rPr>
                <w:rFonts w:ascii="Arial" w:eastAsia="仿宋_GB2312" w:hAnsi="Arial" w:cs="Arial" w:hint="eastAsia"/>
                <w:sz w:val="18"/>
                <w:szCs w:val="18"/>
              </w:rPr>
              <w:t>14</w:t>
            </w:r>
            <w:r w:rsidRPr="00AF6157">
              <w:rPr>
                <w:rFonts w:ascii="Arial" w:eastAsia="仿宋_GB2312" w:hAnsi="Arial" w:cs="Arial" w:hint="eastAsia"/>
                <w:sz w:val="18"/>
                <w:szCs w:val="18"/>
              </w:rPr>
              <w:t>号线九龙山站约</w:t>
            </w:r>
            <w:r w:rsidRPr="00AF6157">
              <w:rPr>
                <w:rFonts w:ascii="Arial" w:eastAsia="仿宋_GB2312" w:hAnsi="Arial" w:cs="Arial" w:hint="eastAsia"/>
                <w:sz w:val="18"/>
                <w:szCs w:val="18"/>
              </w:rPr>
              <w:t>800</w:t>
            </w:r>
            <w:r w:rsidRPr="00AF6157">
              <w:rPr>
                <w:rFonts w:ascii="Arial" w:eastAsia="仿宋_GB2312" w:hAnsi="Arial" w:cs="Arial" w:hint="eastAsia"/>
                <w:sz w:val="18"/>
                <w:szCs w:val="18"/>
              </w:rPr>
              <w:t>米、大望路站约</w:t>
            </w:r>
            <w:r w:rsidRPr="00AF6157">
              <w:rPr>
                <w:rFonts w:ascii="Arial" w:eastAsia="仿宋_GB2312" w:hAnsi="Arial" w:cs="Arial" w:hint="eastAsia"/>
                <w:sz w:val="18"/>
                <w:szCs w:val="18"/>
              </w:rPr>
              <w:t>1</w:t>
            </w:r>
            <w:r w:rsidRPr="00AF6157">
              <w:rPr>
                <w:rFonts w:ascii="Arial" w:eastAsia="仿宋_GB2312" w:hAnsi="Arial" w:cs="Arial" w:hint="eastAsia"/>
                <w:sz w:val="18"/>
                <w:szCs w:val="18"/>
              </w:rPr>
              <w:t>公里，区域道路较密集，距东三环约</w:t>
            </w:r>
            <w:r w:rsidRPr="00AF6157">
              <w:rPr>
                <w:rFonts w:ascii="Arial" w:eastAsia="仿宋_GB2312" w:hAnsi="Arial" w:cs="Arial" w:hint="eastAsia"/>
                <w:sz w:val="18"/>
                <w:szCs w:val="18"/>
              </w:rPr>
              <w:t>1</w:t>
            </w:r>
            <w:r w:rsidRPr="00AF6157">
              <w:rPr>
                <w:rFonts w:ascii="Arial" w:eastAsia="仿宋_GB2312" w:hAnsi="Arial" w:cs="Arial" w:hint="eastAsia"/>
                <w:sz w:val="18"/>
                <w:szCs w:val="18"/>
              </w:rPr>
              <w:t>公里，距北京首都国际机场约</w:t>
            </w:r>
            <w:r w:rsidRPr="00AF6157">
              <w:rPr>
                <w:rFonts w:ascii="Arial" w:eastAsia="仿宋_GB2312" w:hAnsi="Arial" w:cs="Arial" w:hint="eastAsia"/>
                <w:sz w:val="18"/>
                <w:szCs w:val="18"/>
              </w:rPr>
              <w:t>22.6</w:t>
            </w:r>
            <w:r w:rsidRPr="00AF6157">
              <w:rPr>
                <w:rFonts w:ascii="Arial" w:eastAsia="仿宋_GB2312" w:hAnsi="Arial" w:cs="Arial" w:hint="eastAsia"/>
                <w:sz w:val="18"/>
                <w:szCs w:val="18"/>
              </w:rPr>
              <w:t>公里，距北京站约</w:t>
            </w:r>
            <w:r w:rsidRPr="00AF6157">
              <w:rPr>
                <w:rFonts w:ascii="Arial" w:eastAsia="仿宋_GB2312" w:hAnsi="Arial" w:cs="Arial" w:hint="eastAsia"/>
                <w:sz w:val="18"/>
                <w:szCs w:val="18"/>
              </w:rPr>
              <w:t>4</w:t>
            </w:r>
            <w:r w:rsidRPr="00AF6157">
              <w:rPr>
                <w:rFonts w:ascii="Arial" w:eastAsia="仿宋_GB2312" w:hAnsi="Arial" w:cs="Arial" w:hint="eastAsia"/>
                <w:sz w:val="18"/>
                <w:szCs w:val="18"/>
              </w:rPr>
              <w:t>公里，综合评价交通便捷度较好</w:t>
            </w:r>
          </w:p>
        </w:tc>
      </w:tr>
      <w:tr w:rsidR="000E7771" w:rsidRPr="00F631FB" w14:paraId="4A791AD1" w14:textId="77777777" w:rsidTr="0077205E">
        <w:trPr>
          <w:trHeight w:val="450"/>
        </w:trPr>
        <w:tc>
          <w:tcPr>
            <w:tcW w:w="205" w:type="pct"/>
            <w:vMerge/>
            <w:tcBorders>
              <w:top w:val="nil"/>
              <w:left w:val="single" w:sz="4" w:space="0" w:color="auto"/>
              <w:bottom w:val="single" w:sz="4" w:space="0" w:color="auto"/>
              <w:right w:val="single" w:sz="4" w:space="0" w:color="auto"/>
            </w:tcBorders>
            <w:vAlign w:val="center"/>
            <w:hideMark/>
          </w:tcPr>
          <w:p w14:paraId="67BFC41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42D2DFE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969" w:type="pct"/>
            <w:tcBorders>
              <w:top w:val="nil"/>
              <w:left w:val="nil"/>
              <w:bottom w:val="single" w:sz="4" w:space="0" w:color="auto"/>
              <w:right w:val="single" w:sz="4" w:space="0" w:color="auto"/>
            </w:tcBorders>
            <w:shd w:val="clear" w:color="auto" w:fill="auto"/>
            <w:vAlign w:val="center"/>
            <w:hideMark/>
          </w:tcPr>
          <w:p w14:paraId="2EE38AB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881" w:type="pct"/>
            <w:tcBorders>
              <w:top w:val="nil"/>
              <w:left w:val="nil"/>
              <w:bottom w:val="single" w:sz="4" w:space="0" w:color="auto"/>
              <w:right w:val="single" w:sz="4" w:space="0" w:color="auto"/>
            </w:tcBorders>
            <w:shd w:val="clear" w:color="auto" w:fill="auto"/>
            <w:vAlign w:val="center"/>
            <w:hideMark/>
          </w:tcPr>
          <w:p w14:paraId="6A4C548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11" w:type="pct"/>
            <w:tcBorders>
              <w:top w:val="nil"/>
              <w:left w:val="nil"/>
              <w:bottom w:val="single" w:sz="4" w:space="0" w:color="auto"/>
              <w:right w:val="single" w:sz="4" w:space="0" w:color="auto"/>
            </w:tcBorders>
            <w:shd w:val="clear" w:color="auto" w:fill="auto"/>
            <w:vAlign w:val="center"/>
            <w:hideMark/>
          </w:tcPr>
          <w:p w14:paraId="0D52DF8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90" w:type="pct"/>
            <w:tcBorders>
              <w:top w:val="nil"/>
              <w:left w:val="nil"/>
              <w:bottom w:val="single" w:sz="4" w:space="0" w:color="auto"/>
              <w:right w:val="single" w:sz="4" w:space="0" w:color="auto"/>
            </w:tcBorders>
            <w:shd w:val="clear" w:color="auto" w:fill="auto"/>
            <w:vAlign w:val="center"/>
            <w:hideMark/>
          </w:tcPr>
          <w:p w14:paraId="3F5567B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r>
      <w:tr w:rsidR="000E7771" w:rsidRPr="00F631FB" w14:paraId="55CBDAAD" w14:textId="77777777" w:rsidTr="0077205E">
        <w:trPr>
          <w:trHeight w:val="247"/>
        </w:trPr>
        <w:tc>
          <w:tcPr>
            <w:tcW w:w="205" w:type="pct"/>
            <w:vMerge/>
            <w:tcBorders>
              <w:top w:val="nil"/>
              <w:left w:val="single" w:sz="4" w:space="0" w:color="auto"/>
              <w:bottom w:val="single" w:sz="4" w:space="0" w:color="auto"/>
              <w:right w:val="single" w:sz="4" w:space="0" w:color="auto"/>
            </w:tcBorders>
            <w:vAlign w:val="center"/>
            <w:hideMark/>
          </w:tcPr>
          <w:p w14:paraId="2306B25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52F5B64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969" w:type="pct"/>
            <w:tcBorders>
              <w:top w:val="nil"/>
              <w:left w:val="nil"/>
              <w:bottom w:val="single" w:sz="4" w:space="0" w:color="auto"/>
              <w:right w:val="single" w:sz="4" w:space="0" w:color="auto"/>
            </w:tcBorders>
            <w:shd w:val="clear" w:color="auto" w:fill="auto"/>
            <w:vAlign w:val="center"/>
            <w:hideMark/>
          </w:tcPr>
          <w:p w14:paraId="375FDFB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hint="eastAsia"/>
                <w:sz w:val="18"/>
                <w:szCs w:val="18"/>
              </w:rPr>
              <w:t>周边</w:t>
            </w:r>
            <w:r w:rsidRPr="00AF6157">
              <w:rPr>
                <w:rFonts w:ascii="Arial" w:eastAsia="仿宋_GB2312" w:hAnsi="Arial" w:cs="Arial" w:hint="eastAsia"/>
                <w:sz w:val="18"/>
                <w:szCs w:val="18"/>
              </w:rPr>
              <w:t>2</w:t>
            </w:r>
            <w:r w:rsidRPr="00AF6157">
              <w:rPr>
                <w:rFonts w:ascii="Arial" w:eastAsia="仿宋_GB2312" w:hAnsi="Arial" w:cs="Arial" w:hint="eastAsia"/>
                <w:sz w:val="18"/>
                <w:szCs w:val="18"/>
              </w:rPr>
              <w:t>公里内有海淀公园、知春公园、</w:t>
            </w:r>
            <w:proofErr w:type="gramStart"/>
            <w:r w:rsidRPr="00AF6157">
              <w:rPr>
                <w:rFonts w:ascii="Arial" w:eastAsia="仿宋_GB2312" w:hAnsi="Arial" w:cs="Arial" w:hint="eastAsia"/>
                <w:sz w:val="18"/>
                <w:szCs w:val="18"/>
              </w:rPr>
              <w:t>巴沟山水园</w:t>
            </w:r>
            <w:proofErr w:type="gramEnd"/>
            <w:r w:rsidRPr="00AF6157">
              <w:rPr>
                <w:rFonts w:ascii="Arial" w:eastAsia="仿宋_GB2312" w:hAnsi="Arial" w:cs="Arial" w:hint="eastAsia"/>
                <w:sz w:val="18"/>
                <w:szCs w:val="18"/>
              </w:rPr>
              <w:t>等；中国人民大学、北京大学等人文设施，综合考虑</w:t>
            </w:r>
            <w:r w:rsidRPr="00AF6157">
              <w:rPr>
                <w:rFonts w:ascii="Arial" w:eastAsia="仿宋_GB2312" w:hAnsi="Arial" w:cs="Arial" w:hint="eastAsia"/>
                <w:sz w:val="18"/>
                <w:szCs w:val="18"/>
              </w:rPr>
              <w:lastRenderedPageBreak/>
              <w:t>自然环境与人文环境较好。</w:t>
            </w:r>
          </w:p>
        </w:tc>
        <w:tc>
          <w:tcPr>
            <w:tcW w:w="881" w:type="pct"/>
            <w:tcBorders>
              <w:top w:val="nil"/>
              <w:left w:val="nil"/>
              <w:bottom w:val="single" w:sz="4" w:space="0" w:color="auto"/>
              <w:right w:val="single" w:sz="4" w:space="0" w:color="auto"/>
            </w:tcBorders>
            <w:shd w:val="clear" w:color="auto" w:fill="auto"/>
            <w:vAlign w:val="center"/>
            <w:hideMark/>
          </w:tcPr>
          <w:p w14:paraId="74159830" w14:textId="3535EA3A" w:rsidR="000E7771" w:rsidRPr="00F631FB" w:rsidRDefault="000E7771" w:rsidP="004F0BE4">
            <w:pPr>
              <w:widowControl/>
              <w:adjustRightInd/>
              <w:spacing w:line="240" w:lineRule="auto"/>
              <w:textAlignment w:val="auto"/>
              <w:rPr>
                <w:rFonts w:ascii="Arial" w:eastAsia="仿宋_GB2312" w:hAnsi="Arial" w:cs="Arial"/>
                <w:sz w:val="18"/>
                <w:szCs w:val="18"/>
              </w:rPr>
            </w:pPr>
            <w:r w:rsidRPr="00943337">
              <w:rPr>
                <w:rFonts w:ascii="Arial" w:eastAsia="仿宋_GB2312" w:hAnsi="Arial" w:cs="Arial" w:hint="eastAsia"/>
                <w:sz w:val="18"/>
                <w:szCs w:val="18"/>
              </w:rPr>
              <w:lastRenderedPageBreak/>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公里内有元大都遗址公园、马甸公园、马甸清真寺等；较少博物馆、美术馆、高等院校等人文设施，</w:t>
            </w:r>
            <w:r w:rsidRPr="00943337">
              <w:rPr>
                <w:rFonts w:ascii="Arial" w:eastAsia="仿宋_GB2312" w:hAnsi="Arial" w:cs="Arial" w:hint="eastAsia"/>
                <w:sz w:val="18"/>
                <w:szCs w:val="18"/>
              </w:rPr>
              <w:lastRenderedPageBreak/>
              <w:t>综合考虑自然环境与人文环境好</w:t>
            </w:r>
            <w:r w:rsidR="00B1377B">
              <w:rPr>
                <w:rFonts w:ascii="Arial" w:eastAsia="仿宋_GB2312" w:hAnsi="Arial" w:cs="Arial" w:hint="eastAsia"/>
                <w:sz w:val="18"/>
                <w:szCs w:val="18"/>
              </w:rPr>
              <w:t>。</w:t>
            </w:r>
          </w:p>
        </w:tc>
        <w:tc>
          <w:tcPr>
            <w:tcW w:w="911" w:type="pct"/>
            <w:tcBorders>
              <w:top w:val="nil"/>
              <w:left w:val="nil"/>
              <w:bottom w:val="single" w:sz="4" w:space="0" w:color="auto"/>
              <w:right w:val="single" w:sz="4" w:space="0" w:color="auto"/>
            </w:tcBorders>
            <w:shd w:val="clear" w:color="auto" w:fill="auto"/>
            <w:vAlign w:val="center"/>
            <w:hideMark/>
          </w:tcPr>
          <w:p w14:paraId="7B7C522F" w14:textId="7067706F" w:rsidR="000E7771" w:rsidRPr="00F631FB" w:rsidRDefault="000E7771" w:rsidP="004F0BE4">
            <w:pPr>
              <w:widowControl/>
              <w:adjustRightInd/>
              <w:spacing w:line="240" w:lineRule="auto"/>
              <w:textAlignment w:val="auto"/>
              <w:rPr>
                <w:rFonts w:ascii="Arial" w:eastAsia="仿宋_GB2312" w:hAnsi="Arial" w:cs="Arial"/>
                <w:sz w:val="18"/>
                <w:szCs w:val="18"/>
              </w:rPr>
            </w:pPr>
            <w:r w:rsidRPr="00943337">
              <w:rPr>
                <w:rFonts w:ascii="Arial" w:eastAsia="仿宋_GB2312" w:hAnsi="Arial" w:cs="Arial" w:hint="eastAsia"/>
                <w:sz w:val="18"/>
                <w:szCs w:val="18"/>
              </w:rPr>
              <w:lastRenderedPageBreak/>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公里内有玲珑公园、中央电视塔、首都师范大学等；较少博物馆、美术馆、高等院校等人文设施，综合</w:t>
            </w:r>
            <w:r w:rsidRPr="00943337">
              <w:rPr>
                <w:rFonts w:ascii="Arial" w:eastAsia="仿宋_GB2312" w:hAnsi="Arial" w:cs="Arial" w:hint="eastAsia"/>
                <w:sz w:val="18"/>
                <w:szCs w:val="18"/>
              </w:rPr>
              <w:lastRenderedPageBreak/>
              <w:t>考虑自然环境与人文环境好</w:t>
            </w:r>
            <w:r w:rsidR="00B1377B">
              <w:rPr>
                <w:rFonts w:ascii="Arial" w:eastAsia="仿宋_GB2312" w:hAnsi="Arial" w:cs="Arial" w:hint="eastAsia"/>
                <w:sz w:val="18"/>
                <w:szCs w:val="18"/>
              </w:rPr>
              <w:t>。</w:t>
            </w:r>
          </w:p>
        </w:tc>
        <w:tc>
          <w:tcPr>
            <w:tcW w:w="990" w:type="pct"/>
            <w:tcBorders>
              <w:top w:val="nil"/>
              <w:left w:val="nil"/>
              <w:bottom w:val="single" w:sz="4" w:space="0" w:color="auto"/>
              <w:right w:val="single" w:sz="4" w:space="0" w:color="auto"/>
            </w:tcBorders>
            <w:shd w:val="clear" w:color="auto" w:fill="auto"/>
            <w:vAlign w:val="center"/>
            <w:hideMark/>
          </w:tcPr>
          <w:p w14:paraId="6B69D2E0" w14:textId="4B514976" w:rsidR="000E7771" w:rsidRPr="00F631FB" w:rsidRDefault="000E7771" w:rsidP="004F0BE4">
            <w:pPr>
              <w:widowControl/>
              <w:adjustRightInd/>
              <w:spacing w:line="240" w:lineRule="auto"/>
              <w:textAlignment w:val="auto"/>
              <w:rPr>
                <w:rFonts w:ascii="Arial" w:eastAsia="仿宋_GB2312" w:hAnsi="Arial" w:cs="Arial"/>
                <w:sz w:val="18"/>
                <w:szCs w:val="18"/>
              </w:rPr>
            </w:pPr>
            <w:r w:rsidRPr="00943337">
              <w:rPr>
                <w:rFonts w:ascii="Arial" w:eastAsia="仿宋_GB2312" w:hAnsi="Arial" w:cs="Arial" w:hint="eastAsia"/>
                <w:sz w:val="18"/>
                <w:szCs w:val="18"/>
              </w:rPr>
              <w:lastRenderedPageBreak/>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公里范围内有庆丰公园、通惠河等；较少博物馆、美术馆、高等院校等人文设施，综合评价自然及人文环境较好</w:t>
            </w:r>
            <w:r w:rsidR="00B1377B">
              <w:rPr>
                <w:rFonts w:ascii="Arial" w:eastAsia="仿宋_GB2312" w:hAnsi="Arial" w:cs="Arial" w:hint="eastAsia"/>
                <w:sz w:val="18"/>
                <w:szCs w:val="18"/>
              </w:rPr>
              <w:t>。</w:t>
            </w:r>
          </w:p>
        </w:tc>
      </w:tr>
      <w:tr w:rsidR="000E7771" w:rsidRPr="00F631FB" w14:paraId="40C48D2A" w14:textId="77777777" w:rsidTr="0077205E">
        <w:trPr>
          <w:trHeight w:val="4950"/>
        </w:trPr>
        <w:tc>
          <w:tcPr>
            <w:tcW w:w="205" w:type="pct"/>
            <w:vMerge/>
            <w:tcBorders>
              <w:top w:val="nil"/>
              <w:left w:val="single" w:sz="4" w:space="0" w:color="auto"/>
              <w:bottom w:val="single" w:sz="4" w:space="0" w:color="auto"/>
              <w:right w:val="single" w:sz="4" w:space="0" w:color="auto"/>
            </w:tcBorders>
            <w:vAlign w:val="center"/>
            <w:hideMark/>
          </w:tcPr>
          <w:p w14:paraId="08911011"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4022214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969" w:type="pct"/>
            <w:tcBorders>
              <w:top w:val="nil"/>
              <w:left w:val="nil"/>
              <w:bottom w:val="single" w:sz="4" w:space="0" w:color="auto"/>
              <w:right w:val="single" w:sz="4" w:space="0" w:color="auto"/>
            </w:tcBorders>
            <w:shd w:val="clear" w:color="auto" w:fill="auto"/>
            <w:vAlign w:val="center"/>
            <w:hideMark/>
          </w:tcPr>
          <w:p w14:paraId="7862CCF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购物场所（新中关购物中心、</w:t>
            </w:r>
            <w:proofErr w:type="gramStart"/>
            <w:r w:rsidRPr="00943337">
              <w:rPr>
                <w:rFonts w:ascii="Arial" w:eastAsia="仿宋_GB2312" w:hAnsi="Arial" w:cs="Arial" w:hint="eastAsia"/>
                <w:sz w:val="18"/>
                <w:szCs w:val="18"/>
              </w:rPr>
              <w:t>领展购物</w:t>
            </w:r>
            <w:proofErr w:type="gramEnd"/>
            <w:r w:rsidRPr="00943337">
              <w:rPr>
                <w:rFonts w:ascii="Arial" w:eastAsia="仿宋_GB2312" w:hAnsi="Arial" w:cs="Arial" w:hint="eastAsia"/>
                <w:sz w:val="18"/>
                <w:szCs w:val="18"/>
              </w:rPr>
              <w:t>广场（中关村店）、</w:t>
            </w:r>
            <w:r w:rsidRPr="00943337">
              <w:rPr>
                <w:rFonts w:ascii="Arial" w:eastAsia="仿宋_GB2312" w:hAnsi="Arial" w:cs="Arial" w:hint="eastAsia"/>
                <w:sz w:val="18"/>
                <w:szCs w:val="18"/>
              </w:rPr>
              <w:t>BHG MALL</w:t>
            </w:r>
            <w:r w:rsidRPr="00943337">
              <w:rPr>
                <w:rFonts w:ascii="Arial" w:eastAsia="仿宋_GB2312" w:hAnsi="Arial" w:cs="Arial" w:hint="eastAsia"/>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881" w:type="pct"/>
            <w:tcBorders>
              <w:top w:val="nil"/>
              <w:left w:val="nil"/>
              <w:bottom w:val="single" w:sz="4" w:space="0" w:color="auto"/>
              <w:right w:val="single" w:sz="4" w:space="0" w:color="auto"/>
            </w:tcBorders>
            <w:shd w:val="clear" w:color="auto" w:fill="auto"/>
            <w:vAlign w:val="center"/>
            <w:hideMark/>
          </w:tcPr>
          <w:p w14:paraId="015D564E" w14:textId="087C0684"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范围内有购物场所（翠微百货、超市发等），银行（中国建设银行、中国农业银行、中国建设银行等），学校（北京交通大学附属中学、北师大第三附属中学、北京市海淀区民族小学等），医院（北京大学第三医院、花园路社区卫生服务中心、北京国都医院等），综合评价区域设施及基础设施水平较好</w:t>
            </w:r>
            <w:r w:rsidR="00B1377B">
              <w:rPr>
                <w:rFonts w:ascii="Arial" w:eastAsia="仿宋_GB2312" w:hAnsi="Arial" w:cs="Arial" w:hint="eastAsia"/>
                <w:sz w:val="18"/>
                <w:szCs w:val="18"/>
              </w:rPr>
              <w:t>。</w:t>
            </w:r>
          </w:p>
        </w:tc>
        <w:tc>
          <w:tcPr>
            <w:tcW w:w="911" w:type="pct"/>
            <w:tcBorders>
              <w:top w:val="nil"/>
              <w:left w:val="nil"/>
              <w:bottom w:val="single" w:sz="4" w:space="0" w:color="auto"/>
              <w:right w:val="single" w:sz="4" w:space="0" w:color="auto"/>
            </w:tcBorders>
            <w:shd w:val="clear" w:color="auto" w:fill="auto"/>
            <w:vAlign w:val="center"/>
            <w:hideMark/>
          </w:tcPr>
          <w:p w14:paraId="74C4A182" w14:textId="1912B6D8"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范围内有购物场所（华光商厦、物美超市等），银行（中国农业银行、北京农商银行、招商银行等），学校（海淀区八里庄小学、首师大附属中学、首都师范大学等），医院（中国人民解放军总医院第四医学中心、北京水利医院、空军特色医学中心等），综合评价区域设施及基础设施水平较好</w:t>
            </w:r>
            <w:r w:rsidR="00B1377B">
              <w:rPr>
                <w:rFonts w:ascii="Arial" w:eastAsia="仿宋_GB2312" w:hAnsi="Arial" w:cs="Arial" w:hint="eastAsia"/>
                <w:sz w:val="18"/>
                <w:szCs w:val="18"/>
              </w:rPr>
              <w:t>。</w:t>
            </w:r>
          </w:p>
        </w:tc>
        <w:tc>
          <w:tcPr>
            <w:tcW w:w="990" w:type="pct"/>
            <w:tcBorders>
              <w:top w:val="nil"/>
              <w:left w:val="nil"/>
              <w:bottom w:val="single" w:sz="4" w:space="0" w:color="auto"/>
              <w:right w:val="single" w:sz="4" w:space="0" w:color="auto"/>
            </w:tcBorders>
            <w:shd w:val="clear" w:color="auto" w:fill="auto"/>
            <w:vAlign w:val="center"/>
            <w:hideMark/>
          </w:tcPr>
          <w:p w14:paraId="3674FAC1" w14:textId="7DFD3B7B"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范围内有超市（合生汇、家乐福、华联超市等）、银行（中国民生银行、中国建设银行、华夏银行等）、学校（北京了城国际学校、中央山南港务区实验学校、大望路中学、北工大附属中学等）、医院（北京垂杨柳医院、北京第一中西医结合医院、南郎家园社区服务中心等），综合评价区域设施及基础设施水平较好</w:t>
            </w:r>
            <w:r w:rsidR="00B1377B">
              <w:rPr>
                <w:rFonts w:ascii="Arial" w:eastAsia="仿宋_GB2312" w:hAnsi="Arial" w:cs="Arial" w:hint="eastAsia"/>
                <w:sz w:val="18"/>
                <w:szCs w:val="18"/>
              </w:rPr>
              <w:t>。</w:t>
            </w:r>
          </w:p>
        </w:tc>
      </w:tr>
      <w:tr w:rsidR="000E7771" w:rsidRPr="00F631FB" w14:paraId="2A23AB7F" w14:textId="77777777" w:rsidTr="0077205E">
        <w:trPr>
          <w:trHeight w:val="270"/>
        </w:trPr>
        <w:tc>
          <w:tcPr>
            <w:tcW w:w="205" w:type="pct"/>
            <w:vMerge/>
            <w:tcBorders>
              <w:top w:val="nil"/>
              <w:left w:val="single" w:sz="4" w:space="0" w:color="auto"/>
              <w:bottom w:val="single" w:sz="4" w:space="0" w:color="auto"/>
              <w:right w:val="single" w:sz="4" w:space="0" w:color="auto"/>
            </w:tcBorders>
            <w:vAlign w:val="center"/>
            <w:hideMark/>
          </w:tcPr>
          <w:p w14:paraId="4F684FE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6FCF6F3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969" w:type="pct"/>
            <w:tcBorders>
              <w:top w:val="nil"/>
              <w:left w:val="nil"/>
              <w:bottom w:val="single" w:sz="4" w:space="0" w:color="auto"/>
              <w:right w:val="single" w:sz="4" w:space="0" w:color="auto"/>
            </w:tcBorders>
            <w:shd w:val="clear" w:color="auto" w:fill="auto"/>
            <w:vAlign w:val="center"/>
            <w:hideMark/>
          </w:tcPr>
          <w:p w14:paraId="03E9B62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1" w:type="pct"/>
            <w:tcBorders>
              <w:top w:val="nil"/>
              <w:left w:val="nil"/>
              <w:bottom w:val="single" w:sz="4" w:space="0" w:color="auto"/>
              <w:right w:val="single" w:sz="4" w:space="0" w:color="auto"/>
            </w:tcBorders>
            <w:shd w:val="clear" w:color="auto" w:fill="auto"/>
            <w:vAlign w:val="center"/>
            <w:hideMark/>
          </w:tcPr>
          <w:p w14:paraId="37FE63C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1" w:type="pct"/>
            <w:tcBorders>
              <w:top w:val="nil"/>
              <w:left w:val="nil"/>
              <w:bottom w:val="single" w:sz="4" w:space="0" w:color="auto"/>
              <w:right w:val="single" w:sz="4" w:space="0" w:color="auto"/>
            </w:tcBorders>
            <w:shd w:val="clear" w:color="auto" w:fill="auto"/>
            <w:vAlign w:val="center"/>
            <w:hideMark/>
          </w:tcPr>
          <w:p w14:paraId="35462F5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0" w:type="pct"/>
            <w:tcBorders>
              <w:top w:val="nil"/>
              <w:left w:val="nil"/>
              <w:bottom w:val="single" w:sz="4" w:space="0" w:color="auto"/>
              <w:right w:val="single" w:sz="4" w:space="0" w:color="auto"/>
            </w:tcBorders>
            <w:shd w:val="clear" w:color="auto" w:fill="auto"/>
            <w:vAlign w:val="center"/>
            <w:hideMark/>
          </w:tcPr>
          <w:p w14:paraId="609408D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0E7771" w:rsidRPr="00F631FB" w14:paraId="5E547FAA" w14:textId="77777777" w:rsidTr="0077205E">
        <w:trPr>
          <w:trHeight w:val="675"/>
        </w:trPr>
        <w:tc>
          <w:tcPr>
            <w:tcW w:w="205" w:type="pct"/>
            <w:vMerge/>
            <w:tcBorders>
              <w:top w:val="nil"/>
              <w:left w:val="single" w:sz="4" w:space="0" w:color="auto"/>
              <w:bottom w:val="single" w:sz="4" w:space="0" w:color="auto"/>
              <w:right w:val="single" w:sz="4" w:space="0" w:color="auto"/>
            </w:tcBorders>
            <w:vAlign w:val="center"/>
            <w:hideMark/>
          </w:tcPr>
          <w:p w14:paraId="3576F1FE"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2F2E625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969" w:type="pct"/>
            <w:tcBorders>
              <w:top w:val="nil"/>
              <w:left w:val="nil"/>
              <w:bottom w:val="single" w:sz="4" w:space="0" w:color="auto"/>
              <w:right w:val="single" w:sz="4" w:space="0" w:color="auto"/>
            </w:tcBorders>
            <w:shd w:val="clear" w:color="auto" w:fill="auto"/>
            <w:vAlign w:val="center"/>
            <w:hideMark/>
          </w:tcPr>
          <w:p w14:paraId="2180290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海淀南路</w:t>
            </w:r>
          </w:p>
        </w:tc>
        <w:tc>
          <w:tcPr>
            <w:tcW w:w="881" w:type="pct"/>
            <w:tcBorders>
              <w:top w:val="nil"/>
              <w:left w:val="nil"/>
              <w:bottom w:val="single" w:sz="4" w:space="0" w:color="auto"/>
              <w:right w:val="single" w:sz="4" w:space="0" w:color="auto"/>
            </w:tcBorders>
            <w:shd w:val="clear" w:color="auto" w:fill="auto"/>
            <w:vAlign w:val="center"/>
            <w:hideMark/>
          </w:tcPr>
          <w:p w14:paraId="4CB2E7EE" w14:textId="77777777" w:rsidR="000E7771" w:rsidRPr="00943337"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城市次干道</w:t>
            </w:r>
            <w:r w:rsidRPr="00943337">
              <w:rPr>
                <w:rFonts w:ascii="Arial" w:eastAsia="仿宋_GB2312" w:hAnsi="Arial" w:cs="Arial"/>
                <w:sz w:val="18"/>
                <w:szCs w:val="18"/>
              </w:rPr>
              <w:t>-</w:t>
            </w:r>
            <w:r w:rsidRPr="00943337">
              <w:rPr>
                <w:rFonts w:ascii="Arial" w:eastAsia="仿宋_GB2312" w:hAnsi="Arial" w:cs="Arial" w:hint="eastAsia"/>
                <w:sz w:val="18"/>
                <w:szCs w:val="18"/>
              </w:rPr>
              <w:t>北太平庄路</w:t>
            </w:r>
          </w:p>
          <w:p w14:paraId="06786F0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c>
          <w:tcPr>
            <w:tcW w:w="911" w:type="pct"/>
            <w:tcBorders>
              <w:top w:val="nil"/>
              <w:left w:val="nil"/>
              <w:bottom w:val="single" w:sz="4" w:space="0" w:color="auto"/>
              <w:right w:val="single" w:sz="4" w:space="0" w:color="auto"/>
            </w:tcBorders>
            <w:shd w:val="clear" w:color="auto" w:fill="auto"/>
            <w:vAlign w:val="center"/>
            <w:hideMark/>
          </w:tcPr>
          <w:p w14:paraId="55472F29" w14:textId="77777777" w:rsidR="000E7771" w:rsidRPr="00943337"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城市次干道</w:t>
            </w:r>
            <w:r w:rsidRPr="00943337">
              <w:rPr>
                <w:rFonts w:ascii="Arial" w:eastAsia="仿宋_GB2312" w:hAnsi="Arial" w:cs="Arial"/>
                <w:sz w:val="18"/>
                <w:szCs w:val="18"/>
              </w:rPr>
              <w:t>-</w:t>
            </w:r>
            <w:r w:rsidRPr="00943337">
              <w:rPr>
                <w:rFonts w:ascii="Arial" w:eastAsia="仿宋_GB2312" w:hAnsi="Arial" w:cs="Arial" w:hint="eastAsia"/>
                <w:sz w:val="18"/>
                <w:szCs w:val="18"/>
              </w:rPr>
              <w:t>北洼路</w:t>
            </w:r>
          </w:p>
          <w:p w14:paraId="26E921C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c>
          <w:tcPr>
            <w:tcW w:w="990" w:type="pct"/>
            <w:tcBorders>
              <w:top w:val="nil"/>
              <w:left w:val="nil"/>
              <w:bottom w:val="single" w:sz="4" w:space="0" w:color="auto"/>
              <w:right w:val="single" w:sz="4" w:space="0" w:color="auto"/>
            </w:tcBorders>
            <w:shd w:val="clear" w:color="auto" w:fill="auto"/>
            <w:vAlign w:val="center"/>
            <w:hideMark/>
          </w:tcPr>
          <w:p w14:paraId="58C14F4B" w14:textId="77777777" w:rsidR="000E7771" w:rsidRPr="00943337"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城市次干道</w:t>
            </w:r>
            <w:r w:rsidRPr="00943337">
              <w:rPr>
                <w:rFonts w:ascii="Arial" w:eastAsia="仿宋_GB2312" w:hAnsi="Arial" w:cs="Arial" w:hint="eastAsia"/>
                <w:sz w:val="18"/>
                <w:szCs w:val="18"/>
              </w:rPr>
              <w:t>-</w:t>
            </w:r>
            <w:r w:rsidRPr="00943337">
              <w:rPr>
                <w:rFonts w:ascii="Arial" w:eastAsia="仿宋_GB2312" w:hAnsi="Arial" w:cs="Arial" w:hint="eastAsia"/>
                <w:sz w:val="18"/>
                <w:szCs w:val="18"/>
              </w:rPr>
              <w:t>百子</w:t>
            </w:r>
            <w:proofErr w:type="gramStart"/>
            <w:r w:rsidRPr="00943337">
              <w:rPr>
                <w:rFonts w:ascii="Arial" w:eastAsia="仿宋_GB2312" w:hAnsi="Arial" w:cs="Arial" w:hint="eastAsia"/>
                <w:sz w:val="18"/>
                <w:szCs w:val="18"/>
              </w:rPr>
              <w:t>湾路</w:t>
            </w:r>
            <w:proofErr w:type="gramEnd"/>
          </w:p>
          <w:p w14:paraId="0B0BCA1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r>
      <w:tr w:rsidR="000E7771" w:rsidRPr="00F631FB" w14:paraId="3E9D6C43" w14:textId="77777777" w:rsidTr="00B1377B">
        <w:trPr>
          <w:trHeight w:val="450"/>
        </w:trPr>
        <w:tc>
          <w:tcPr>
            <w:tcW w:w="205" w:type="pct"/>
            <w:vMerge/>
            <w:tcBorders>
              <w:top w:val="nil"/>
              <w:left w:val="single" w:sz="4" w:space="0" w:color="auto"/>
              <w:bottom w:val="single" w:sz="4" w:space="0" w:color="auto"/>
              <w:right w:val="single" w:sz="4" w:space="0" w:color="auto"/>
            </w:tcBorders>
            <w:vAlign w:val="center"/>
            <w:hideMark/>
          </w:tcPr>
          <w:p w14:paraId="6AB27625"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5B6B5E0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969" w:type="pct"/>
            <w:tcBorders>
              <w:top w:val="nil"/>
              <w:left w:val="nil"/>
              <w:bottom w:val="single" w:sz="4" w:space="0" w:color="auto"/>
              <w:right w:val="single" w:sz="4" w:space="0" w:color="auto"/>
            </w:tcBorders>
            <w:shd w:val="clear" w:color="auto" w:fill="auto"/>
            <w:vAlign w:val="center"/>
            <w:hideMark/>
          </w:tcPr>
          <w:p w14:paraId="410324A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商业类三级</w:t>
            </w:r>
          </w:p>
        </w:tc>
        <w:tc>
          <w:tcPr>
            <w:tcW w:w="881" w:type="pct"/>
            <w:tcBorders>
              <w:top w:val="nil"/>
              <w:left w:val="nil"/>
              <w:bottom w:val="single" w:sz="4" w:space="0" w:color="auto"/>
              <w:right w:val="single" w:sz="4" w:space="0" w:color="auto"/>
            </w:tcBorders>
            <w:shd w:val="clear" w:color="auto" w:fill="auto"/>
            <w:vAlign w:val="center"/>
            <w:hideMark/>
          </w:tcPr>
          <w:p w14:paraId="30A23360" w14:textId="77777777" w:rsidR="000E7771" w:rsidRPr="00F631FB" w:rsidRDefault="000E7771" w:rsidP="00B1377B">
            <w:pPr>
              <w:widowControl/>
              <w:adjustRightInd/>
              <w:spacing w:line="240" w:lineRule="auto"/>
              <w:jc w:val="center"/>
              <w:textAlignment w:val="auto"/>
              <w:rPr>
                <w:rFonts w:ascii="Arial" w:eastAsia="仿宋_GB2312" w:hAnsi="Arial" w:cs="Arial"/>
                <w:sz w:val="18"/>
                <w:szCs w:val="18"/>
              </w:rPr>
            </w:pPr>
            <w:r w:rsidRPr="003C6E65">
              <w:rPr>
                <w:rFonts w:ascii="Arial" w:eastAsia="仿宋_GB2312" w:hAnsi="Arial" w:cs="Arial" w:hint="eastAsia"/>
                <w:sz w:val="18"/>
                <w:szCs w:val="18"/>
              </w:rPr>
              <w:t>商业类三级</w:t>
            </w:r>
          </w:p>
        </w:tc>
        <w:tc>
          <w:tcPr>
            <w:tcW w:w="911" w:type="pct"/>
            <w:tcBorders>
              <w:top w:val="nil"/>
              <w:left w:val="nil"/>
              <w:bottom w:val="single" w:sz="4" w:space="0" w:color="auto"/>
              <w:right w:val="single" w:sz="4" w:space="0" w:color="auto"/>
            </w:tcBorders>
            <w:shd w:val="clear" w:color="auto" w:fill="auto"/>
            <w:vAlign w:val="center"/>
            <w:hideMark/>
          </w:tcPr>
          <w:p w14:paraId="5999A465" w14:textId="77777777" w:rsidR="000E7771" w:rsidRPr="00F631FB" w:rsidRDefault="000E7771" w:rsidP="00B1377B">
            <w:pPr>
              <w:widowControl/>
              <w:adjustRightInd/>
              <w:spacing w:line="240" w:lineRule="auto"/>
              <w:jc w:val="center"/>
              <w:textAlignment w:val="auto"/>
              <w:rPr>
                <w:rFonts w:ascii="Arial" w:eastAsia="仿宋_GB2312" w:hAnsi="Arial" w:cs="Arial"/>
                <w:sz w:val="18"/>
                <w:szCs w:val="18"/>
              </w:rPr>
            </w:pPr>
            <w:r w:rsidRPr="003C6E65">
              <w:rPr>
                <w:rFonts w:ascii="Arial" w:eastAsia="仿宋_GB2312" w:hAnsi="Arial" w:cs="Arial" w:hint="eastAsia"/>
                <w:sz w:val="18"/>
                <w:szCs w:val="18"/>
              </w:rPr>
              <w:t>商业类三级</w:t>
            </w:r>
          </w:p>
        </w:tc>
        <w:tc>
          <w:tcPr>
            <w:tcW w:w="990" w:type="pct"/>
            <w:tcBorders>
              <w:top w:val="nil"/>
              <w:left w:val="nil"/>
              <w:bottom w:val="single" w:sz="4" w:space="0" w:color="auto"/>
              <w:right w:val="single" w:sz="4" w:space="0" w:color="auto"/>
            </w:tcBorders>
            <w:shd w:val="clear" w:color="auto" w:fill="auto"/>
            <w:vAlign w:val="center"/>
            <w:hideMark/>
          </w:tcPr>
          <w:p w14:paraId="76448B35" w14:textId="77777777" w:rsidR="000E7771" w:rsidRPr="00F631FB" w:rsidRDefault="000E7771" w:rsidP="00B1377B">
            <w:pPr>
              <w:widowControl/>
              <w:adjustRightInd/>
              <w:spacing w:line="240" w:lineRule="auto"/>
              <w:jc w:val="center"/>
              <w:textAlignment w:val="auto"/>
              <w:rPr>
                <w:rFonts w:ascii="Arial" w:eastAsia="仿宋_GB2312" w:hAnsi="Arial" w:cs="Arial"/>
                <w:sz w:val="18"/>
                <w:szCs w:val="18"/>
              </w:rPr>
            </w:pPr>
            <w:r w:rsidRPr="003C6E65">
              <w:rPr>
                <w:rFonts w:ascii="Arial" w:eastAsia="仿宋_GB2312" w:hAnsi="Arial" w:cs="Arial" w:hint="eastAsia"/>
                <w:sz w:val="18"/>
                <w:szCs w:val="18"/>
              </w:rPr>
              <w:t>商业类三级</w:t>
            </w:r>
          </w:p>
        </w:tc>
      </w:tr>
      <w:tr w:rsidR="000E7771" w:rsidRPr="00F631FB" w14:paraId="605B9E40" w14:textId="77777777" w:rsidTr="0077205E">
        <w:trPr>
          <w:trHeight w:val="270"/>
        </w:trPr>
        <w:tc>
          <w:tcPr>
            <w:tcW w:w="205" w:type="pct"/>
            <w:vMerge w:val="restart"/>
            <w:tcBorders>
              <w:top w:val="nil"/>
              <w:left w:val="single" w:sz="4" w:space="0" w:color="auto"/>
              <w:bottom w:val="single" w:sz="4" w:space="0" w:color="auto"/>
              <w:right w:val="single" w:sz="4" w:space="0" w:color="auto"/>
            </w:tcBorders>
            <w:shd w:val="clear" w:color="auto" w:fill="auto"/>
            <w:vAlign w:val="center"/>
            <w:hideMark/>
          </w:tcPr>
          <w:p w14:paraId="384F117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044" w:type="pct"/>
            <w:tcBorders>
              <w:top w:val="nil"/>
              <w:left w:val="nil"/>
              <w:bottom w:val="single" w:sz="4" w:space="0" w:color="auto"/>
              <w:right w:val="single" w:sz="4" w:space="0" w:color="auto"/>
            </w:tcBorders>
            <w:shd w:val="clear" w:color="auto" w:fill="auto"/>
            <w:noWrap/>
            <w:vAlign w:val="center"/>
            <w:hideMark/>
          </w:tcPr>
          <w:p w14:paraId="4C5EEFB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p w14:paraId="711FB46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（平方米）</w:t>
            </w:r>
          </w:p>
        </w:tc>
        <w:tc>
          <w:tcPr>
            <w:tcW w:w="969" w:type="pct"/>
            <w:tcBorders>
              <w:top w:val="nil"/>
              <w:left w:val="nil"/>
              <w:bottom w:val="single" w:sz="4" w:space="0" w:color="auto"/>
              <w:right w:val="single" w:sz="4" w:space="0" w:color="auto"/>
            </w:tcBorders>
            <w:shd w:val="clear" w:color="auto" w:fill="auto"/>
            <w:vAlign w:val="center"/>
            <w:hideMark/>
          </w:tcPr>
          <w:p w14:paraId="685964C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6180.978</w:t>
            </w:r>
          </w:p>
        </w:tc>
        <w:tc>
          <w:tcPr>
            <w:tcW w:w="881" w:type="pct"/>
            <w:tcBorders>
              <w:top w:val="nil"/>
              <w:left w:val="nil"/>
              <w:bottom w:val="single" w:sz="4" w:space="0" w:color="auto"/>
              <w:right w:val="single" w:sz="4" w:space="0" w:color="auto"/>
            </w:tcBorders>
            <w:shd w:val="clear" w:color="auto" w:fill="auto"/>
            <w:vAlign w:val="center"/>
            <w:hideMark/>
          </w:tcPr>
          <w:p w14:paraId="487B31E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7723.55</w:t>
            </w:r>
          </w:p>
        </w:tc>
        <w:tc>
          <w:tcPr>
            <w:tcW w:w="911" w:type="pct"/>
            <w:tcBorders>
              <w:top w:val="nil"/>
              <w:left w:val="nil"/>
              <w:bottom w:val="single" w:sz="4" w:space="0" w:color="auto"/>
              <w:right w:val="single" w:sz="4" w:space="0" w:color="auto"/>
            </w:tcBorders>
            <w:shd w:val="clear" w:color="auto" w:fill="auto"/>
            <w:vAlign w:val="center"/>
            <w:hideMark/>
          </w:tcPr>
          <w:p w14:paraId="39374DE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3051.19</w:t>
            </w:r>
          </w:p>
        </w:tc>
        <w:tc>
          <w:tcPr>
            <w:tcW w:w="990" w:type="pct"/>
            <w:tcBorders>
              <w:top w:val="nil"/>
              <w:left w:val="nil"/>
              <w:bottom w:val="single" w:sz="4" w:space="0" w:color="auto"/>
              <w:right w:val="single" w:sz="4" w:space="0" w:color="auto"/>
            </w:tcBorders>
            <w:shd w:val="clear" w:color="auto" w:fill="auto"/>
            <w:vAlign w:val="center"/>
            <w:hideMark/>
          </w:tcPr>
          <w:p w14:paraId="19B56E7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791.429</w:t>
            </w:r>
          </w:p>
        </w:tc>
      </w:tr>
      <w:tr w:rsidR="000E7771" w:rsidRPr="00F631FB" w14:paraId="491F1E15" w14:textId="77777777" w:rsidTr="0077205E">
        <w:trPr>
          <w:trHeight w:val="270"/>
        </w:trPr>
        <w:tc>
          <w:tcPr>
            <w:tcW w:w="205" w:type="pct"/>
            <w:vMerge/>
            <w:tcBorders>
              <w:top w:val="nil"/>
              <w:left w:val="single" w:sz="4" w:space="0" w:color="auto"/>
              <w:bottom w:val="single" w:sz="4" w:space="0" w:color="auto"/>
              <w:right w:val="single" w:sz="4" w:space="0" w:color="auto"/>
            </w:tcBorders>
            <w:shd w:val="clear" w:color="auto" w:fill="auto"/>
            <w:vAlign w:val="center"/>
          </w:tcPr>
          <w:p w14:paraId="35D2E0F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760DCDF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969" w:type="pct"/>
            <w:tcBorders>
              <w:top w:val="nil"/>
              <w:left w:val="nil"/>
              <w:bottom w:val="single" w:sz="4" w:space="0" w:color="auto"/>
              <w:right w:val="single" w:sz="4" w:space="0" w:color="auto"/>
            </w:tcBorders>
            <w:shd w:val="clear" w:color="auto" w:fill="auto"/>
            <w:vAlign w:val="center"/>
          </w:tcPr>
          <w:p w14:paraId="0AA30281" w14:textId="069194D4"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5.1</w:t>
            </w:r>
            <w:r w:rsidR="0042308B">
              <w:rPr>
                <w:rFonts w:ascii="Arial" w:eastAsia="仿宋_GB2312" w:hAnsi="Arial" w:cs="Arial"/>
                <w:sz w:val="18"/>
                <w:szCs w:val="18"/>
              </w:rPr>
              <w:t>0</w:t>
            </w:r>
          </w:p>
        </w:tc>
        <w:tc>
          <w:tcPr>
            <w:tcW w:w="881" w:type="pct"/>
            <w:tcBorders>
              <w:top w:val="nil"/>
              <w:left w:val="nil"/>
              <w:bottom w:val="single" w:sz="4" w:space="0" w:color="auto"/>
              <w:right w:val="single" w:sz="4" w:space="0" w:color="auto"/>
            </w:tcBorders>
            <w:shd w:val="clear" w:color="auto" w:fill="auto"/>
            <w:vAlign w:val="center"/>
          </w:tcPr>
          <w:p w14:paraId="2AA3C1E4" w14:textId="1A07500D"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2.4</w:t>
            </w:r>
            <w:r w:rsidR="0042308B">
              <w:rPr>
                <w:rFonts w:ascii="Arial" w:eastAsia="仿宋_GB2312" w:hAnsi="Arial" w:cs="Arial"/>
                <w:sz w:val="18"/>
                <w:szCs w:val="18"/>
              </w:rPr>
              <w:t>0</w:t>
            </w:r>
          </w:p>
        </w:tc>
        <w:tc>
          <w:tcPr>
            <w:tcW w:w="911" w:type="pct"/>
            <w:tcBorders>
              <w:top w:val="nil"/>
              <w:left w:val="nil"/>
              <w:bottom w:val="single" w:sz="4" w:space="0" w:color="auto"/>
              <w:right w:val="single" w:sz="4" w:space="0" w:color="auto"/>
            </w:tcBorders>
            <w:shd w:val="clear" w:color="auto" w:fill="auto"/>
            <w:vAlign w:val="center"/>
          </w:tcPr>
          <w:p w14:paraId="6752160D" w14:textId="2596BDB1"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6.7</w:t>
            </w:r>
            <w:r w:rsidR="0042308B">
              <w:rPr>
                <w:rFonts w:ascii="Arial" w:eastAsia="仿宋_GB2312" w:hAnsi="Arial" w:cs="Arial"/>
                <w:sz w:val="18"/>
                <w:szCs w:val="18"/>
              </w:rPr>
              <w:t>0</w:t>
            </w:r>
          </w:p>
        </w:tc>
        <w:tc>
          <w:tcPr>
            <w:tcW w:w="990" w:type="pct"/>
            <w:tcBorders>
              <w:top w:val="nil"/>
              <w:left w:val="nil"/>
              <w:bottom w:val="single" w:sz="4" w:space="0" w:color="auto"/>
              <w:right w:val="single" w:sz="4" w:space="0" w:color="auto"/>
            </w:tcBorders>
            <w:shd w:val="clear" w:color="auto" w:fill="auto"/>
            <w:vAlign w:val="center"/>
          </w:tcPr>
          <w:p w14:paraId="5324E2D6" w14:textId="2A4EF6E0"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w:t>
            </w:r>
            <w:r w:rsidR="0042308B">
              <w:rPr>
                <w:rFonts w:ascii="Arial" w:eastAsia="仿宋_GB2312" w:hAnsi="Arial" w:cs="Arial"/>
                <w:sz w:val="18"/>
                <w:szCs w:val="18"/>
              </w:rPr>
              <w:t>.00</w:t>
            </w:r>
          </w:p>
        </w:tc>
      </w:tr>
      <w:tr w:rsidR="000E7771" w:rsidRPr="00F631FB" w14:paraId="74BA7F7B" w14:textId="77777777" w:rsidTr="0077205E">
        <w:trPr>
          <w:trHeight w:val="450"/>
        </w:trPr>
        <w:tc>
          <w:tcPr>
            <w:tcW w:w="205" w:type="pct"/>
            <w:vMerge/>
            <w:tcBorders>
              <w:top w:val="nil"/>
              <w:left w:val="single" w:sz="4" w:space="0" w:color="auto"/>
              <w:bottom w:val="single" w:sz="4" w:space="0" w:color="auto"/>
              <w:right w:val="single" w:sz="4" w:space="0" w:color="auto"/>
            </w:tcBorders>
            <w:vAlign w:val="center"/>
            <w:hideMark/>
          </w:tcPr>
          <w:p w14:paraId="49D1EC83"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156B321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969" w:type="pct"/>
            <w:tcBorders>
              <w:top w:val="nil"/>
              <w:left w:val="nil"/>
              <w:bottom w:val="single" w:sz="4" w:space="0" w:color="auto"/>
              <w:right w:val="single" w:sz="4" w:space="0" w:color="auto"/>
            </w:tcBorders>
            <w:shd w:val="clear" w:color="auto" w:fill="auto"/>
            <w:vAlign w:val="center"/>
            <w:hideMark/>
          </w:tcPr>
          <w:p w14:paraId="4C6E31D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881" w:type="pct"/>
            <w:tcBorders>
              <w:top w:val="nil"/>
              <w:left w:val="nil"/>
              <w:bottom w:val="single" w:sz="4" w:space="0" w:color="auto"/>
              <w:right w:val="single" w:sz="4" w:space="0" w:color="auto"/>
            </w:tcBorders>
            <w:shd w:val="clear" w:color="auto" w:fill="auto"/>
            <w:vAlign w:val="center"/>
            <w:hideMark/>
          </w:tcPr>
          <w:p w14:paraId="3A79EA0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11" w:type="pct"/>
            <w:tcBorders>
              <w:top w:val="nil"/>
              <w:left w:val="nil"/>
              <w:bottom w:val="single" w:sz="4" w:space="0" w:color="auto"/>
              <w:right w:val="single" w:sz="4" w:space="0" w:color="auto"/>
            </w:tcBorders>
            <w:shd w:val="clear" w:color="auto" w:fill="auto"/>
            <w:vAlign w:val="center"/>
            <w:hideMark/>
          </w:tcPr>
          <w:p w14:paraId="7213025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90" w:type="pct"/>
            <w:tcBorders>
              <w:top w:val="nil"/>
              <w:left w:val="nil"/>
              <w:bottom w:val="single" w:sz="4" w:space="0" w:color="auto"/>
              <w:right w:val="single" w:sz="4" w:space="0" w:color="auto"/>
            </w:tcBorders>
            <w:shd w:val="clear" w:color="auto" w:fill="auto"/>
            <w:vAlign w:val="center"/>
            <w:hideMark/>
          </w:tcPr>
          <w:p w14:paraId="5E4E164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r>
      <w:tr w:rsidR="000E7771" w:rsidRPr="00F631FB" w14:paraId="567566D4" w14:textId="77777777" w:rsidTr="0077205E">
        <w:trPr>
          <w:trHeight w:val="675"/>
        </w:trPr>
        <w:tc>
          <w:tcPr>
            <w:tcW w:w="205" w:type="pct"/>
            <w:vMerge/>
            <w:tcBorders>
              <w:top w:val="nil"/>
              <w:left w:val="single" w:sz="4" w:space="0" w:color="auto"/>
              <w:bottom w:val="single" w:sz="4" w:space="0" w:color="auto"/>
              <w:right w:val="single" w:sz="4" w:space="0" w:color="auto"/>
            </w:tcBorders>
            <w:vAlign w:val="center"/>
            <w:hideMark/>
          </w:tcPr>
          <w:p w14:paraId="31B98706"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357DB60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969" w:type="pct"/>
            <w:tcBorders>
              <w:top w:val="nil"/>
              <w:left w:val="nil"/>
              <w:bottom w:val="single" w:sz="4" w:space="0" w:color="auto"/>
              <w:right w:val="single" w:sz="4" w:space="0" w:color="auto"/>
            </w:tcBorders>
            <w:shd w:val="clear" w:color="auto" w:fill="auto"/>
            <w:vAlign w:val="center"/>
            <w:hideMark/>
          </w:tcPr>
          <w:p w14:paraId="32BD74B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1" w:type="pct"/>
            <w:tcBorders>
              <w:top w:val="nil"/>
              <w:left w:val="nil"/>
              <w:bottom w:val="single" w:sz="4" w:space="0" w:color="auto"/>
              <w:right w:val="single" w:sz="4" w:space="0" w:color="auto"/>
            </w:tcBorders>
            <w:shd w:val="clear" w:color="auto" w:fill="auto"/>
            <w:vAlign w:val="center"/>
            <w:hideMark/>
          </w:tcPr>
          <w:p w14:paraId="2932D36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1" w:type="pct"/>
            <w:tcBorders>
              <w:top w:val="nil"/>
              <w:left w:val="nil"/>
              <w:bottom w:val="single" w:sz="4" w:space="0" w:color="auto"/>
              <w:right w:val="single" w:sz="4" w:space="0" w:color="auto"/>
            </w:tcBorders>
            <w:shd w:val="clear" w:color="auto" w:fill="auto"/>
            <w:vAlign w:val="center"/>
            <w:hideMark/>
          </w:tcPr>
          <w:p w14:paraId="1DE561E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0" w:type="pct"/>
            <w:tcBorders>
              <w:top w:val="nil"/>
              <w:left w:val="nil"/>
              <w:bottom w:val="single" w:sz="4" w:space="0" w:color="auto"/>
              <w:right w:val="single" w:sz="4" w:space="0" w:color="auto"/>
            </w:tcBorders>
            <w:shd w:val="clear" w:color="auto" w:fill="auto"/>
            <w:vAlign w:val="center"/>
            <w:hideMark/>
          </w:tcPr>
          <w:p w14:paraId="03EA817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0E7771" w:rsidRPr="00F631FB" w14:paraId="695F8219" w14:textId="77777777" w:rsidTr="0077205E">
        <w:trPr>
          <w:trHeight w:val="270"/>
        </w:trPr>
        <w:tc>
          <w:tcPr>
            <w:tcW w:w="205" w:type="pct"/>
            <w:vMerge/>
            <w:tcBorders>
              <w:top w:val="nil"/>
              <w:left w:val="single" w:sz="4" w:space="0" w:color="auto"/>
              <w:bottom w:val="single" w:sz="4" w:space="0" w:color="auto"/>
              <w:right w:val="single" w:sz="4" w:space="0" w:color="auto"/>
            </w:tcBorders>
            <w:vAlign w:val="center"/>
            <w:hideMark/>
          </w:tcPr>
          <w:p w14:paraId="70F6C07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45433D5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工程地质条件</w:t>
            </w:r>
          </w:p>
        </w:tc>
        <w:tc>
          <w:tcPr>
            <w:tcW w:w="969" w:type="pct"/>
            <w:tcBorders>
              <w:top w:val="nil"/>
              <w:left w:val="nil"/>
              <w:bottom w:val="single" w:sz="4" w:space="0" w:color="auto"/>
              <w:right w:val="single" w:sz="4" w:space="0" w:color="auto"/>
            </w:tcBorders>
            <w:shd w:val="clear" w:color="auto" w:fill="auto"/>
            <w:vAlign w:val="center"/>
            <w:hideMark/>
          </w:tcPr>
          <w:p w14:paraId="3F95532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较好</w:t>
            </w:r>
          </w:p>
        </w:tc>
        <w:tc>
          <w:tcPr>
            <w:tcW w:w="881" w:type="pct"/>
            <w:tcBorders>
              <w:top w:val="nil"/>
              <w:left w:val="nil"/>
              <w:bottom w:val="single" w:sz="4" w:space="0" w:color="auto"/>
              <w:right w:val="single" w:sz="4" w:space="0" w:color="auto"/>
            </w:tcBorders>
            <w:shd w:val="clear" w:color="auto" w:fill="auto"/>
            <w:hideMark/>
          </w:tcPr>
          <w:p w14:paraId="5EA4C90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757767">
              <w:rPr>
                <w:rFonts w:ascii="Arial" w:eastAsia="仿宋_GB2312" w:hAnsi="Arial" w:cs="Arial" w:hint="eastAsia"/>
                <w:sz w:val="18"/>
                <w:szCs w:val="18"/>
              </w:rPr>
              <w:t>较好</w:t>
            </w:r>
          </w:p>
        </w:tc>
        <w:tc>
          <w:tcPr>
            <w:tcW w:w="911" w:type="pct"/>
            <w:tcBorders>
              <w:top w:val="nil"/>
              <w:left w:val="nil"/>
              <w:bottom w:val="single" w:sz="4" w:space="0" w:color="auto"/>
              <w:right w:val="single" w:sz="4" w:space="0" w:color="auto"/>
            </w:tcBorders>
            <w:shd w:val="clear" w:color="auto" w:fill="auto"/>
            <w:hideMark/>
          </w:tcPr>
          <w:p w14:paraId="72BFF52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757767">
              <w:rPr>
                <w:rFonts w:ascii="Arial" w:eastAsia="仿宋_GB2312" w:hAnsi="Arial" w:cs="Arial" w:hint="eastAsia"/>
                <w:sz w:val="18"/>
                <w:szCs w:val="18"/>
              </w:rPr>
              <w:t>较好</w:t>
            </w:r>
          </w:p>
        </w:tc>
        <w:tc>
          <w:tcPr>
            <w:tcW w:w="990" w:type="pct"/>
            <w:tcBorders>
              <w:top w:val="nil"/>
              <w:left w:val="nil"/>
              <w:bottom w:val="single" w:sz="4" w:space="0" w:color="auto"/>
              <w:right w:val="single" w:sz="4" w:space="0" w:color="auto"/>
            </w:tcBorders>
            <w:shd w:val="clear" w:color="auto" w:fill="auto"/>
            <w:hideMark/>
          </w:tcPr>
          <w:p w14:paraId="492D493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757767">
              <w:rPr>
                <w:rFonts w:ascii="Arial" w:eastAsia="仿宋_GB2312" w:hAnsi="Arial" w:cs="Arial" w:hint="eastAsia"/>
                <w:sz w:val="18"/>
                <w:szCs w:val="18"/>
              </w:rPr>
              <w:t>较好</w:t>
            </w:r>
          </w:p>
        </w:tc>
      </w:tr>
    </w:tbl>
    <w:p w14:paraId="100EEA3A"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w:t>
      </w:r>
      <w:r w:rsidRPr="00F631FB">
        <w:rPr>
          <w:rFonts w:ascii="Arial" w:eastAsia="仿宋_GB2312" w:hAnsi="Arial" w:cs="Arial"/>
          <w:sz w:val="28"/>
          <w:szCs w:val="28"/>
        </w:rPr>
        <w:t>）比较因素选择</w:t>
      </w:r>
    </w:p>
    <w:p w14:paraId="273C7130"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依据估价对象的区域条件及个别条件</w:t>
      </w:r>
      <w:r w:rsidRPr="00F631FB">
        <w:rPr>
          <w:rFonts w:ascii="Arial" w:eastAsia="仿宋_GB2312" w:hAnsi="Arial" w:cs="Arial"/>
          <w:sz w:val="28"/>
          <w:szCs w:val="28"/>
        </w:rPr>
        <w:t>,</w:t>
      </w:r>
      <w:r w:rsidRPr="00F631FB">
        <w:rPr>
          <w:rFonts w:ascii="Arial" w:eastAsia="仿宋_GB2312" w:hAnsi="Arial" w:cs="Arial"/>
          <w:sz w:val="28"/>
          <w:szCs w:val="28"/>
        </w:rPr>
        <w:t>采用市场比较法时选择的比较因素主要有</w:t>
      </w:r>
      <w:r w:rsidRPr="00F631FB">
        <w:rPr>
          <w:rFonts w:ascii="Arial" w:eastAsia="仿宋_GB2312" w:hAnsi="Arial" w:cs="Arial"/>
          <w:sz w:val="28"/>
          <w:szCs w:val="28"/>
        </w:rPr>
        <w:t>:</w:t>
      </w:r>
      <w:r w:rsidRPr="00F631FB">
        <w:rPr>
          <w:rFonts w:ascii="Arial" w:eastAsia="仿宋_GB2312" w:hAnsi="Arial" w:cs="Arial"/>
          <w:sz w:val="28"/>
          <w:szCs w:val="28"/>
        </w:rPr>
        <w:t>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w:t>
      </w:r>
      <w:r w:rsidRPr="00F631FB">
        <w:rPr>
          <w:rFonts w:ascii="Arial" w:eastAsia="仿宋_GB2312" w:hAnsi="Arial" w:cs="Arial"/>
          <w:sz w:val="28"/>
          <w:szCs w:val="28"/>
        </w:rPr>
        <w:lastRenderedPageBreak/>
        <w:t>因素。</w:t>
      </w:r>
    </w:p>
    <w:p w14:paraId="54CF082A" w14:textId="77777777"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A.</w:t>
      </w:r>
      <w:r w:rsidRPr="00F631FB">
        <w:rPr>
          <w:rFonts w:ascii="Arial" w:eastAsia="仿宋_GB2312" w:hAnsi="Arial" w:cs="Arial"/>
          <w:sz w:val="28"/>
          <w:szCs w:val="28"/>
        </w:rPr>
        <w:t>交易时间因素：指由于时间的因素房地产交易价格会不同；</w:t>
      </w:r>
      <w:r w:rsidRPr="00F631FB">
        <w:rPr>
          <w:rFonts w:ascii="Arial" w:eastAsia="仿宋_GB2312" w:hAnsi="Arial" w:cs="Arial"/>
          <w:sz w:val="28"/>
          <w:szCs w:val="28"/>
        </w:rPr>
        <w:t xml:space="preserve"> </w:t>
      </w:r>
    </w:p>
    <w:p w14:paraId="25792946" w14:textId="77777777"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B.</w:t>
      </w:r>
      <w:r w:rsidRPr="00F631FB">
        <w:rPr>
          <w:rFonts w:ascii="Arial" w:eastAsia="仿宋_GB2312" w:hAnsi="Arial" w:cs="Arial"/>
          <w:sz w:val="28"/>
          <w:szCs w:val="28"/>
        </w:rPr>
        <w:t>交易情况因素：指房地产交易中交易双方的公开、公平及客观程度等；</w:t>
      </w:r>
      <w:r w:rsidRPr="00F631FB">
        <w:rPr>
          <w:rFonts w:ascii="Arial" w:eastAsia="仿宋_GB2312" w:hAnsi="Arial" w:cs="Arial"/>
          <w:sz w:val="28"/>
          <w:szCs w:val="28"/>
        </w:rPr>
        <w:t xml:space="preserve"> </w:t>
      </w:r>
    </w:p>
    <w:p w14:paraId="34311921" w14:textId="77777777"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C.</w:t>
      </w:r>
      <w:r w:rsidRPr="00F631FB">
        <w:rPr>
          <w:rFonts w:ascii="Arial" w:eastAsia="仿宋_GB2312" w:hAnsi="Arial" w:cs="Arial"/>
          <w:sz w:val="28"/>
          <w:szCs w:val="28"/>
        </w:rPr>
        <w:t>土地用途：指土地的合法规划用途；</w:t>
      </w:r>
    </w:p>
    <w:p w14:paraId="5A9DD164" w14:textId="77777777"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D.</w:t>
      </w:r>
      <w:r w:rsidRPr="00F631FB">
        <w:rPr>
          <w:rFonts w:ascii="Arial" w:eastAsia="仿宋_GB2312" w:hAnsi="Arial" w:cs="Arial" w:hint="eastAsia"/>
          <w:sz w:val="28"/>
          <w:szCs w:val="28"/>
        </w:rPr>
        <w:t>土地使用年限：指土地的合法</w:t>
      </w:r>
      <w:proofErr w:type="gramStart"/>
      <w:r w:rsidRPr="00F631FB">
        <w:rPr>
          <w:rFonts w:ascii="Arial" w:eastAsia="仿宋_GB2312" w:hAnsi="Arial" w:cs="Arial" w:hint="eastAsia"/>
          <w:sz w:val="28"/>
          <w:szCs w:val="28"/>
        </w:rPr>
        <w:t>有效可</w:t>
      </w:r>
      <w:proofErr w:type="gramEnd"/>
      <w:r w:rsidRPr="00F631FB">
        <w:rPr>
          <w:rFonts w:ascii="Arial" w:eastAsia="仿宋_GB2312" w:hAnsi="Arial" w:cs="Arial" w:hint="eastAsia"/>
          <w:sz w:val="28"/>
          <w:szCs w:val="28"/>
        </w:rPr>
        <w:t>使用年限；</w:t>
      </w:r>
    </w:p>
    <w:p w14:paraId="7376D153" w14:textId="71F27AA0"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E.</w:t>
      </w:r>
      <w:r w:rsidRPr="00F631FB">
        <w:rPr>
          <w:rFonts w:ascii="Arial" w:eastAsia="仿宋_GB2312" w:hAnsi="Arial" w:cs="Arial"/>
          <w:sz w:val="28"/>
          <w:szCs w:val="28"/>
        </w:rPr>
        <w:t>区域因素：</w:t>
      </w:r>
      <w:r w:rsidR="00B1377B">
        <w:rPr>
          <w:rFonts w:ascii="Arial" w:eastAsia="仿宋_GB2312" w:hAnsi="Arial" w:cs="Arial" w:hint="eastAsia"/>
          <w:sz w:val="28"/>
          <w:szCs w:val="28"/>
        </w:rPr>
        <w:t>商业繁华</w:t>
      </w:r>
      <w:r w:rsidRPr="00F631FB">
        <w:rPr>
          <w:rFonts w:ascii="Arial" w:eastAsia="仿宋_GB2312" w:hAnsi="Arial" w:cs="Arial"/>
          <w:sz w:val="28"/>
          <w:szCs w:val="28"/>
        </w:rPr>
        <w:t>度、交通便捷度、区域土地利用方向、自然及人文环境、公共配套设施、基础设施水平、毗邻道路的类型与等级、土地级别；</w:t>
      </w:r>
    </w:p>
    <w:p w14:paraId="304961DA" w14:textId="7F08FEAE"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F.</w:t>
      </w:r>
      <w:r w:rsidRPr="00F631FB">
        <w:rPr>
          <w:rFonts w:ascii="Arial" w:eastAsia="仿宋_GB2312" w:hAnsi="Arial" w:cs="Arial"/>
          <w:sz w:val="28"/>
          <w:szCs w:val="28"/>
        </w:rPr>
        <w:t>个别因素：宗地面积、</w:t>
      </w:r>
      <w:r w:rsidRPr="00F631FB">
        <w:rPr>
          <w:rFonts w:ascii="Arial" w:eastAsia="仿宋_GB2312" w:hAnsi="Arial" w:cs="Arial" w:hint="eastAsia"/>
          <w:sz w:val="28"/>
          <w:szCs w:val="28"/>
        </w:rPr>
        <w:t>容积率、</w:t>
      </w:r>
      <w:r w:rsidRPr="00F631FB">
        <w:rPr>
          <w:rFonts w:ascii="Arial" w:eastAsia="仿宋_GB2312" w:hAnsi="Arial" w:cs="Arial"/>
          <w:sz w:val="28"/>
          <w:szCs w:val="28"/>
        </w:rPr>
        <w:t>宗地形状、</w:t>
      </w:r>
      <w:r w:rsidR="00B1377B">
        <w:rPr>
          <w:rFonts w:ascii="Arial" w:eastAsia="仿宋_GB2312" w:hAnsi="Arial" w:cs="Arial" w:hint="eastAsia"/>
          <w:sz w:val="28"/>
          <w:szCs w:val="28"/>
        </w:rPr>
        <w:t>工程地质条件</w:t>
      </w:r>
      <w:r w:rsidRPr="00F631FB">
        <w:rPr>
          <w:rFonts w:ascii="Arial" w:eastAsia="仿宋_GB2312" w:hAnsi="Arial" w:cs="Arial"/>
          <w:sz w:val="28"/>
          <w:szCs w:val="28"/>
        </w:rPr>
        <w:t>、宗地开发程度。</w:t>
      </w:r>
    </w:p>
    <w:p w14:paraId="0A3BB60D"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3</w:t>
      </w:r>
      <w:r w:rsidRPr="00F631FB">
        <w:rPr>
          <w:rFonts w:ascii="Arial" w:eastAsia="仿宋_GB2312" w:hAnsi="Arial" w:cs="Arial"/>
          <w:sz w:val="28"/>
          <w:szCs w:val="28"/>
        </w:rPr>
        <w:t>）编制比较因素条件指数表</w:t>
      </w:r>
      <w:r w:rsidRPr="00F631FB">
        <w:rPr>
          <w:rFonts w:ascii="Arial" w:eastAsia="仿宋_GB2312" w:hAnsi="Arial" w:cs="Arial"/>
          <w:sz w:val="28"/>
          <w:szCs w:val="28"/>
        </w:rPr>
        <w:t>(</w:t>
      </w:r>
      <w:r w:rsidRPr="00F631FB">
        <w:rPr>
          <w:rFonts w:ascii="Arial" w:eastAsia="仿宋_GB2312" w:hAnsi="Arial" w:cs="Arial"/>
          <w:sz w:val="28"/>
          <w:szCs w:val="28"/>
        </w:rPr>
        <w:t>见表</w:t>
      </w:r>
      <w:r w:rsidRPr="00F631FB">
        <w:rPr>
          <w:rFonts w:ascii="Arial" w:eastAsia="仿宋_GB2312" w:hAnsi="Arial" w:cs="Arial" w:hint="eastAsia"/>
          <w:sz w:val="28"/>
          <w:szCs w:val="28"/>
        </w:rPr>
        <w:t>8</w:t>
      </w:r>
      <w:r w:rsidRPr="00F631FB">
        <w:rPr>
          <w:rFonts w:ascii="Arial" w:eastAsia="仿宋_GB2312" w:hAnsi="Arial" w:cs="Arial"/>
          <w:sz w:val="28"/>
          <w:szCs w:val="28"/>
        </w:rPr>
        <w:t>)</w:t>
      </w:r>
      <w:r w:rsidRPr="00F631FB">
        <w:rPr>
          <w:rFonts w:ascii="Arial" w:eastAsia="仿宋_GB2312" w:hAnsi="Arial" w:cs="Arial"/>
          <w:sz w:val="28"/>
          <w:szCs w:val="28"/>
        </w:rPr>
        <w:t>。</w:t>
      </w:r>
    </w:p>
    <w:p w14:paraId="2FC3B9A3" w14:textId="632580FB" w:rsidR="000E7771" w:rsidRPr="00F631FB" w:rsidRDefault="000E7771" w:rsidP="000E7771">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0087591C">
        <w:rPr>
          <w:rFonts w:ascii="Arial" w:eastAsia="仿宋_GB2312" w:hAnsi="Arial" w:cs="Arial"/>
          <w:b/>
          <w:bCs/>
          <w:szCs w:val="24"/>
        </w:rPr>
        <w:t>10</w:t>
      </w:r>
      <w:r w:rsidRPr="00F631FB">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87591C" w:rsidRPr="00F631FB" w14:paraId="64FAB728" w14:textId="77777777" w:rsidTr="004F0BE4">
        <w:trPr>
          <w:trHeight w:val="285"/>
        </w:trPr>
        <w:tc>
          <w:tcPr>
            <w:tcW w:w="4300" w:type="dxa"/>
            <w:gridSpan w:val="2"/>
            <w:shd w:val="clear" w:color="auto" w:fill="auto"/>
            <w:vAlign w:val="center"/>
            <w:hideMark/>
          </w:tcPr>
          <w:p w14:paraId="02B55C70" w14:textId="77777777"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60" w:type="dxa"/>
            <w:shd w:val="clear" w:color="auto" w:fill="auto"/>
            <w:vAlign w:val="center"/>
            <w:hideMark/>
          </w:tcPr>
          <w:p w14:paraId="02A7ED56" w14:textId="77777777"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待估宗地</w:t>
            </w:r>
            <w:proofErr w:type="gramEnd"/>
          </w:p>
        </w:tc>
        <w:tc>
          <w:tcPr>
            <w:tcW w:w="1180" w:type="dxa"/>
            <w:shd w:val="clear" w:color="auto" w:fill="auto"/>
            <w:vAlign w:val="center"/>
            <w:hideMark/>
          </w:tcPr>
          <w:p w14:paraId="7F48BC01" w14:textId="289C60D4"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Pr="00F631FB">
              <w:rPr>
                <w:rFonts w:ascii="Arial" w:eastAsia="仿宋_GB2312" w:hAnsi="Arial" w:cs="Arial"/>
                <w:sz w:val="18"/>
                <w:szCs w:val="18"/>
              </w:rPr>
              <w:t>例</w:t>
            </w:r>
            <w:r>
              <w:rPr>
                <w:rFonts w:ascii="Arial" w:eastAsia="仿宋_GB2312" w:hAnsi="Arial" w:cs="Arial" w:hint="eastAsia"/>
                <w:sz w:val="18"/>
                <w:szCs w:val="18"/>
              </w:rPr>
              <w:t>M</w:t>
            </w:r>
          </w:p>
        </w:tc>
        <w:tc>
          <w:tcPr>
            <w:tcW w:w="1260" w:type="dxa"/>
            <w:shd w:val="clear" w:color="auto" w:fill="auto"/>
            <w:vAlign w:val="center"/>
            <w:hideMark/>
          </w:tcPr>
          <w:p w14:paraId="2461794E" w14:textId="0BB5B4D1"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Pr="00F631FB">
              <w:rPr>
                <w:rFonts w:ascii="Arial" w:eastAsia="仿宋_GB2312" w:hAnsi="Arial" w:cs="Arial"/>
                <w:sz w:val="18"/>
                <w:szCs w:val="18"/>
              </w:rPr>
              <w:t>例</w:t>
            </w:r>
            <w:r>
              <w:rPr>
                <w:rFonts w:ascii="Arial" w:eastAsia="仿宋_GB2312" w:hAnsi="Arial" w:cs="Arial" w:hint="eastAsia"/>
                <w:sz w:val="18"/>
                <w:szCs w:val="18"/>
              </w:rPr>
              <w:t>N</w:t>
            </w:r>
          </w:p>
        </w:tc>
        <w:tc>
          <w:tcPr>
            <w:tcW w:w="1240" w:type="dxa"/>
            <w:shd w:val="clear" w:color="auto" w:fill="auto"/>
            <w:vAlign w:val="center"/>
            <w:hideMark/>
          </w:tcPr>
          <w:p w14:paraId="4A777CC7" w14:textId="277D398C"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Pr="00F631FB">
              <w:rPr>
                <w:rFonts w:ascii="Arial" w:eastAsia="仿宋_GB2312" w:hAnsi="Arial" w:cs="Arial"/>
                <w:sz w:val="18"/>
                <w:szCs w:val="18"/>
              </w:rPr>
              <w:t>例</w:t>
            </w:r>
            <w:r>
              <w:rPr>
                <w:rFonts w:ascii="Arial" w:eastAsia="仿宋_GB2312" w:hAnsi="Arial" w:cs="Arial" w:hint="eastAsia"/>
                <w:sz w:val="18"/>
                <w:szCs w:val="18"/>
              </w:rPr>
              <w:t>O</w:t>
            </w:r>
          </w:p>
        </w:tc>
      </w:tr>
      <w:tr w:rsidR="000E7771" w:rsidRPr="00F631FB" w14:paraId="5EBDEFD6" w14:textId="77777777" w:rsidTr="004F0BE4">
        <w:trPr>
          <w:trHeight w:val="285"/>
        </w:trPr>
        <w:tc>
          <w:tcPr>
            <w:tcW w:w="4300" w:type="dxa"/>
            <w:gridSpan w:val="2"/>
            <w:shd w:val="clear" w:color="auto" w:fill="auto"/>
            <w:vAlign w:val="center"/>
            <w:hideMark/>
          </w:tcPr>
          <w:p w14:paraId="015163B5"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60" w:type="dxa"/>
            <w:shd w:val="clear" w:color="auto" w:fill="auto"/>
            <w:vAlign w:val="center"/>
            <w:hideMark/>
          </w:tcPr>
          <w:p w14:paraId="2A6AD8FE"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01351A1"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88.47</w:t>
            </w:r>
          </w:p>
        </w:tc>
        <w:tc>
          <w:tcPr>
            <w:tcW w:w="1260" w:type="dxa"/>
            <w:shd w:val="clear" w:color="auto" w:fill="auto"/>
            <w:vAlign w:val="center"/>
            <w:hideMark/>
          </w:tcPr>
          <w:p w14:paraId="602F6C29"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88.47</w:t>
            </w:r>
          </w:p>
        </w:tc>
        <w:tc>
          <w:tcPr>
            <w:tcW w:w="1240" w:type="dxa"/>
            <w:shd w:val="clear" w:color="auto" w:fill="auto"/>
            <w:vAlign w:val="center"/>
            <w:hideMark/>
          </w:tcPr>
          <w:p w14:paraId="16553AD0"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96.71</w:t>
            </w:r>
          </w:p>
        </w:tc>
      </w:tr>
      <w:tr w:rsidR="000E7771" w:rsidRPr="00F631FB" w14:paraId="411DC6C1" w14:textId="77777777" w:rsidTr="004F0BE4">
        <w:trPr>
          <w:trHeight w:val="285"/>
        </w:trPr>
        <w:tc>
          <w:tcPr>
            <w:tcW w:w="4300" w:type="dxa"/>
            <w:gridSpan w:val="2"/>
            <w:shd w:val="clear" w:color="auto" w:fill="auto"/>
            <w:vAlign w:val="center"/>
            <w:hideMark/>
          </w:tcPr>
          <w:p w14:paraId="37A6E060"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1060" w:type="dxa"/>
            <w:shd w:val="clear" w:color="auto" w:fill="auto"/>
            <w:vAlign w:val="center"/>
            <w:hideMark/>
          </w:tcPr>
          <w:p w14:paraId="17FA917A"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2ABBD8E"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193A7F6"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689F44C2"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0E7771" w:rsidRPr="00F631FB" w14:paraId="181607B1" w14:textId="77777777" w:rsidTr="004F0BE4">
        <w:trPr>
          <w:trHeight w:val="300"/>
        </w:trPr>
        <w:tc>
          <w:tcPr>
            <w:tcW w:w="4300" w:type="dxa"/>
            <w:gridSpan w:val="2"/>
            <w:shd w:val="clear" w:color="auto" w:fill="auto"/>
            <w:vAlign w:val="center"/>
            <w:hideMark/>
          </w:tcPr>
          <w:p w14:paraId="2E5EB2C1"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60" w:type="dxa"/>
            <w:shd w:val="clear" w:color="auto" w:fill="auto"/>
            <w:vAlign w:val="center"/>
            <w:hideMark/>
          </w:tcPr>
          <w:p w14:paraId="01FC6B63"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BB05D33"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47F45C20"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047F0601"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0E7771" w:rsidRPr="00F631FB" w14:paraId="5CE1FBEE" w14:textId="77777777" w:rsidTr="004F0BE4">
        <w:trPr>
          <w:trHeight w:val="300"/>
        </w:trPr>
        <w:tc>
          <w:tcPr>
            <w:tcW w:w="4300" w:type="dxa"/>
            <w:gridSpan w:val="2"/>
            <w:shd w:val="clear" w:color="auto" w:fill="auto"/>
            <w:vAlign w:val="center"/>
          </w:tcPr>
          <w:p w14:paraId="2031D50A"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60" w:type="dxa"/>
            <w:shd w:val="clear" w:color="auto" w:fill="auto"/>
            <w:vAlign w:val="center"/>
          </w:tcPr>
          <w:p w14:paraId="32C69BE7"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0857BA66"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tcPr>
          <w:p w14:paraId="2896877D"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tcPr>
          <w:p w14:paraId="31D8953C"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r>
      <w:tr w:rsidR="000E7771" w:rsidRPr="00F631FB" w14:paraId="07659866" w14:textId="77777777" w:rsidTr="004F0BE4">
        <w:trPr>
          <w:trHeight w:val="300"/>
        </w:trPr>
        <w:tc>
          <w:tcPr>
            <w:tcW w:w="1940" w:type="dxa"/>
            <w:vMerge w:val="restart"/>
            <w:shd w:val="clear" w:color="auto" w:fill="auto"/>
            <w:vAlign w:val="center"/>
            <w:hideMark/>
          </w:tcPr>
          <w:p w14:paraId="648AD132"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2360" w:type="dxa"/>
            <w:shd w:val="clear" w:color="auto" w:fill="auto"/>
            <w:vAlign w:val="center"/>
            <w:hideMark/>
          </w:tcPr>
          <w:p w14:paraId="3C884F0B"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商业繁华度</w:t>
            </w:r>
          </w:p>
        </w:tc>
        <w:tc>
          <w:tcPr>
            <w:tcW w:w="1060" w:type="dxa"/>
            <w:shd w:val="clear" w:color="auto" w:fill="auto"/>
            <w:vAlign w:val="center"/>
            <w:hideMark/>
          </w:tcPr>
          <w:p w14:paraId="544D37B4"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15EE502"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hideMark/>
          </w:tcPr>
          <w:p w14:paraId="208457CB"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hideMark/>
          </w:tcPr>
          <w:p w14:paraId="1028C6F6"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0E7771" w:rsidRPr="00F631FB" w14:paraId="474993E7" w14:textId="77777777" w:rsidTr="004F0BE4">
        <w:trPr>
          <w:trHeight w:val="279"/>
        </w:trPr>
        <w:tc>
          <w:tcPr>
            <w:tcW w:w="1940" w:type="dxa"/>
            <w:vMerge/>
            <w:vAlign w:val="center"/>
            <w:hideMark/>
          </w:tcPr>
          <w:p w14:paraId="5F942A0A"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521DA92F"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60" w:type="dxa"/>
            <w:shd w:val="clear" w:color="auto" w:fill="auto"/>
            <w:vAlign w:val="center"/>
            <w:hideMark/>
          </w:tcPr>
          <w:p w14:paraId="56F04AF6"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B78A5DE"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60" w:type="dxa"/>
            <w:shd w:val="clear" w:color="auto" w:fill="auto"/>
            <w:vAlign w:val="center"/>
            <w:hideMark/>
          </w:tcPr>
          <w:p w14:paraId="3E802212"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hideMark/>
          </w:tcPr>
          <w:p w14:paraId="54A7E002"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0E7771" w:rsidRPr="00F631FB" w14:paraId="1FD25A30" w14:textId="77777777" w:rsidTr="004F0BE4">
        <w:trPr>
          <w:trHeight w:val="300"/>
        </w:trPr>
        <w:tc>
          <w:tcPr>
            <w:tcW w:w="1940" w:type="dxa"/>
            <w:vMerge/>
            <w:vAlign w:val="center"/>
            <w:hideMark/>
          </w:tcPr>
          <w:p w14:paraId="6CBBE353"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7F0CE242"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60" w:type="dxa"/>
            <w:shd w:val="clear" w:color="auto" w:fill="auto"/>
            <w:vAlign w:val="center"/>
            <w:hideMark/>
          </w:tcPr>
          <w:p w14:paraId="2C50E89A"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6F821B4"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6831D459"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AAC51FE"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0E7771" w:rsidRPr="00F631FB" w14:paraId="1818D795" w14:textId="77777777" w:rsidTr="004F0BE4">
        <w:trPr>
          <w:trHeight w:val="300"/>
        </w:trPr>
        <w:tc>
          <w:tcPr>
            <w:tcW w:w="1940" w:type="dxa"/>
            <w:vMerge/>
            <w:vAlign w:val="center"/>
            <w:hideMark/>
          </w:tcPr>
          <w:p w14:paraId="63DA9FE7"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55355129"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60" w:type="dxa"/>
            <w:shd w:val="clear" w:color="auto" w:fill="auto"/>
            <w:vAlign w:val="center"/>
            <w:hideMark/>
          </w:tcPr>
          <w:p w14:paraId="79776F7A"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5FC9680" w14:textId="290685A3"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sidR="00B1377B">
              <w:rPr>
                <w:rFonts w:ascii="Arial" w:eastAsia="仿宋_GB2312" w:hAnsi="Arial" w:cs="Arial"/>
                <w:sz w:val="18"/>
                <w:szCs w:val="18"/>
              </w:rPr>
              <w:t>1</w:t>
            </w:r>
          </w:p>
        </w:tc>
        <w:tc>
          <w:tcPr>
            <w:tcW w:w="1260" w:type="dxa"/>
            <w:shd w:val="clear" w:color="auto" w:fill="auto"/>
            <w:vAlign w:val="center"/>
            <w:hideMark/>
          </w:tcPr>
          <w:p w14:paraId="76269E03" w14:textId="3CA1FA3D"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sidR="00B1377B">
              <w:rPr>
                <w:rFonts w:ascii="Arial" w:eastAsia="仿宋_GB2312" w:hAnsi="Arial" w:cs="Arial"/>
                <w:sz w:val="18"/>
                <w:szCs w:val="18"/>
              </w:rPr>
              <w:t>1</w:t>
            </w:r>
          </w:p>
        </w:tc>
        <w:tc>
          <w:tcPr>
            <w:tcW w:w="1240" w:type="dxa"/>
            <w:shd w:val="clear" w:color="auto" w:fill="auto"/>
            <w:vAlign w:val="center"/>
            <w:hideMark/>
          </w:tcPr>
          <w:p w14:paraId="4288E07C"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0E7771" w:rsidRPr="00F631FB" w14:paraId="4B6B8E2E" w14:textId="77777777" w:rsidTr="004F0BE4">
        <w:trPr>
          <w:trHeight w:val="300"/>
        </w:trPr>
        <w:tc>
          <w:tcPr>
            <w:tcW w:w="1940" w:type="dxa"/>
            <w:vMerge/>
            <w:vAlign w:val="center"/>
            <w:hideMark/>
          </w:tcPr>
          <w:p w14:paraId="0C131D23"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54518F6C"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60" w:type="dxa"/>
            <w:shd w:val="clear" w:color="auto" w:fill="auto"/>
            <w:vAlign w:val="center"/>
            <w:hideMark/>
          </w:tcPr>
          <w:p w14:paraId="57F7F58E"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E9421D3"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73E2824D"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3ADBE54"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0E7771" w:rsidRPr="00F631FB" w14:paraId="3B2CECFD" w14:textId="77777777" w:rsidTr="004F0BE4">
        <w:trPr>
          <w:trHeight w:val="300"/>
        </w:trPr>
        <w:tc>
          <w:tcPr>
            <w:tcW w:w="1940" w:type="dxa"/>
            <w:vMerge/>
            <w:vAlign w:val="center"/>
            <w:hideMark/>
          </w:tcPr>
          <w:p w14:paraId="783A699A"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73F2328D"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60" w:type="dxa"/>
            <w:shd w:val="clear" w:color="auto" w:fill="auto"/>
            <w:vAlign w:val="center"/>
            <w:hideMark/>
          </w:tcPr>
          <w:p w14:paraId="2D8A43EF"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C5CF347"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4EDC144"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01BF258"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0E7771" w:rsidRPr="00F631FB" w14:paraId="73CD7640" w14:textId="77777777" w:rsidTr="004F0BE4">
        <w:trPr>
          <w:trHeight w:val="303"/>
        </w:trPr>
        <w:tc>
          <w:tcPr>
            <w:tcW w:w="1940" w:type="dxa"/>
            <w:vMerge/>
            <w:vAlign w:val="center"/>
            <w:hideMark/>
          </w:tcPr>
          <w:p w14:paraId="458C89A4"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3B89295A"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60" w:type="dxa"/>
            <w:shd w:val="clear" w:color="auto" w:fill="auto"/>
            <w:vAlign w:val="center"/>
            <w:hideMark/>
          </w:tcPr>
          <w:p w14:paraId="18043432"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453151D"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w:t>
            </w:r>
          </w:p>
        </w:tc>
        <w:tc>
          <w:tcPr>
            <w:tcW w:w="1260" w:type="dxa"/>
            <w:shd w:val="clear" w:color="auto" w:fill="auto"/>
            <w:vAlign w:val="center"/>
            <w:hideMark/>
          </w:tcPr>
          <w:p w14:paraId="325DE728"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w:t>
            </w:r>
          </w:p>
        </w:tc>
        <w:tc>
          <w:tcPr>
            <w:tcW w:w="1240" w:type="dxa"/>
            <w:shd w:val="clear" w:color="auto" w:fill="auto"/>
            <w:vAlign w:val="center"/>
            <w:hideMark/>
          </w:tcPr>
          <w:p w14:paraId="5779B97B"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w:t>
            </w:r>
          </w:p>
        </w:tc>
      </w:tr>
      <w:tr w:rsidR="000E7771" w:rsidRPr="00F631FB" w14:paraId="53FD90C3" w14:textId="77777777" w:rsidTr="004F0BE4">
        <w:trPr>
          <w:trHeight w:val="300"/>
        </w:trPr>
        <w:tc>
          <w:tcPr>
            <w:tcW w:w="1940" w:type="dxa"/>
            <w:vMerge/>
            <w:vAlign w:val="center"/>
            <w:hideMark/>
          </w:tcPr>
          <w:p w14:paraId="2C3E7BE6"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7423E9C3"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60" w:type="dxa"/>
            <w:shd w:val="clear" w:color="auto" w:fill="auto"/>
            <w:vAlign w:val="center"/>
            <w:hideMark/>
          </w:tcPr>
          <w:p w14:paraId="20CBDB6C"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7AD8232"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60" w:type="dxa"/>
            <w:shd w:val="clear" w:color="auto" w:fill="auto"/>
            <w:vAlign w:val="center"/>
            <w:hideMark/>
          </w:tcPr>
          <w:p w14:paraId="66688856"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hideMark/>
          </w:tcPr>
          <w:p w14:paraId="534332B8"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0E7771" w:rsidRPr="00F631FB" w14:paraId="33E72DD6" w14:textId="77777777" w:rsidTr="004F0BE4">
        <w:trPr>
          <w:trHeight w:val="341"/>
        </w:trPr>
        <w:tc>
          <w:tcPr>
            <w:tcW w:w="1940" w:type="dxa"/>
            <w:vMerge w:val="restart"/>
            <w:shd w:val="clear" w:color="auto" w:fill="auto"/>
            <w:vAlign w:val="center"/>
            <w:hideMark/>
          </w:tcPr>
          <w:p w14:paraId="41A77377"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2360" w:type="dxa"/>
            <w:shd w:val="clear" w:color="auto" w:fill="auto"/>
            <w:vAlign w:val="center"/>
            <w:hideMark/>
          </w:tcPr>
          <w:p w14:paraId="500561EA"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60" w:type="dxa"/>
            <w:shd w:val="clear" w:color="auto" w:fill="auto"/>
            <w:vAlign w:val="center"/>
            <w:hideMark/>
          </w:tcPr>
          <w:p w14:paraId="798A24FF"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3BA466B"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hideMark/>
          </w:tcPr>
          <w:p w14:paraId="5C2C5368"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96</w:t>
            </w:r>
          </w:p>
        </w:tc>
        <w:tc>
          <w:tcPr>
            <w:tcW w:w="1240" w:type="dxa"/>
            <w:shd w:val="clear" w:color="auto" w:fill="auto"/>
            <w:vAlign w:val="center"/>
            <w:hideMark/>
          </w:tcPr>
          <w:p w14:paraId="2B88A323"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94</w:t>
            </w:r>
          </w:p>
        </w:tc>
      </w:tr>
      <w:tr w:rsidR="000E7771" w:rsidRPr="00F631FB" w14:paraId="7F31D86A" w14:textId="77777777" w:rsidTr="004F0BE4">
        <w:trPr>
          <w:trHeight w:val="341"/>
        </w:trPr>
        <w:tc>
          <w:tcPr>
            <w:tcW w:w="1940" w:type="dxa"/>
            <w:vMerge/>
            <w:shd w:val="clear" w:color="auto" w:fill="auto"/>
            <w:vAlign w:val="center"/>
          </w:tcPr>
          <w:p w14:paraId="46D64674"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2559B692"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60" w:type="dxa"/>
            <w:shd w:val="clear" w:color="auto" w:fill="auto"/>
            <w:vAlign w:val="center"/>
          </w:tcPr>
          <w:p w14:paraId="7DBDBE20"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7333CF94" w14:textId="0FEC6953" w:rsidR="000E7771" w:rsidRPr="00F631FB" w:rsidRDefault="004A1EDE"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103</w:t>
            </w:r>
          </w:p>
        </w:tc>
        <w:tc>
          <w:tcPr>
            <w:tcW w:w="1260" w:type="dxa"/>
            <w:shd w:val="clear" w:color="auto" w:fill="auto"/>
            <w:vAlign w:val="center"/>
          </w:tcPr>
          <w:p w14:paraId="25AF47A5" w14:textId="7B914E65" w:rsidR="000E7771" w:rsidRPr="00F631FB" w:rsidRDefault="004A1EDE"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w:t>
            </w:r>
          </w:p>
        </w:tc>
        <w:tc>
          <w:tcPr>
            <w:tcW w:w="1240" w:type="dxa"/>
            <w:shd w:val="clear" w:color="auto" w:fill="auto"/>
            <w:vAlign w:val="center"/>
          </w:tcPr>
          <w:p w14:paraId="505C478D" w14:textId="1DD249F1" w:rsidR="000E7771" w:rsidRPr="00F631FB" w:rsidRDefault="004A1EDE"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104</w:t>
            </w:r>
          </w:p>
        </w:tc>
      </w:tr>
      <w:tr w:rsidR="000E7771" w:rsidRPr="00F631FB" w14:paraId="5B8B1DC9" w14:textId="77777777" w:rsidTr="004F0BE4">
        <w:trPr>
          <w:trHeight w:val="275"/>
        </w:trPr>
        <w:tc>
          <w:tcPr>
            <w:tcW w:w="1940" w:type="dxa"/>
            <w:vMerge/>
            <w:vAlign w:val="center"/>
            <w:hideMark/>
          </w:tcPr>
          <w:p w14:paraId="364865CD"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127636BA"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60" w:type="dxa"/>
            <w:shd w:val="clear" w:color="auto" w:fill="auto"/>
            <w:vAlign w:val="center"/>
            <w:hideMark/>
          </w:tcPr>
          <w:p w14:paraId="5C1E3B76"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EDBF90F"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27EE6A1A"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00691D06"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0E7771" w:rsidRPr="00F631FB" w14:paraId="288DBB5D" w14:textId="77777777" w:rsidTr="004F0BE4">
        <w:trPr>
          <w:trHeight w:val="365"/>
        </w:trPr>
        <w:tc>
          <w:tcPr>
            <w:tcW w:w="1940" w:type="dxa"/>
            <w:vMerge/>
            <w:vAlign w:val="center"/>
            <w:hideMark/>
          </w:tcPr>
          <w:p w14:paraId="0302811D"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121FF647"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60" w:type="dxa"/>
            <w:shd w:val="clear" w:color="auto" w:fill="auto"/>
            <w:vAlign w:val="center"/>
            <w:hideMark/>
          </w:tcPr>
          <w:p w14:paraId="6F37B2DF"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6D604E1"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B860CEC"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00AA83C5"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0E7771" w:rsidRPr="00F631FB" w14:paraId="3900BE5B" w14:textId="77777777" w:rsidTr="004F0BE4">
        <w:trPr>
          <w:trHeight w:val="272"/>
        </w:trPr>
        <w:tc>
          <w:tcPr>
            <w:tcW w:w="1940" w:type="dxa"/>
            <w:vMerge/>
            <w:vAlign w:val="center"/>
            <w:hideMark/>
          </w:tcPr>
          <w:p w14:paraId="6059AB5D"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6B0FE630"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工程地质条件</w:t>
            </w:r>
          </w:p>
        </w:tc>
        <w:tc>
          <w:tcPr>
            <w:tcW w:w="1060" w:type="dxa"/>
            <w:shd w:val="clear" w:color="auto" w:fill="auto"/>
            <w:vAlign w:val="center"/>
            <w:hideMark/>
          </w:tcPr>
          <w:p w14:paraId="5BFEA809"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38150FD"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230CCD15"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D2469EF" w14:textId="77777777" w:rsidR="000E7771" w:rsidRPr="00F631FB" w:rsidRDefault="000E7771"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bl>
    <w:p w14:paraId="1511FBCA" w14:textId="77777777" w:rsidR="00B1377B" w:rsidRDefault="00B1377B" w:rsidP="0087591C">
      <w:pPr>
        <w:spacing w:line="360" w:lineRule="auto"/>
        <w:ind w:firstLineChars="200" w:firstLine="560"/>
        <w:jc w:val="center"/>
        <w:rPr>
          <w:rFonts w:ascii="Arial" w:eastAsia="仿宋_GB2312" w:hAnsi="Arial" w:cs="Arial"/>
          <w:sz w:val="28"/>
          <w:szCs w:val="28"/>
        </w:rPr>
      </w:pPr>
    </w:p>
    <w:p w14:paraId="6C937C4D" w14:textId="783B46A4"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）因素修正</w:t>
      </w:r>
    </w:p>
    <w:p w14:paraId="3CAFBB3B" w14:textId="4703047C" w:rsidR="000E7771" w:rsidRPr="00F631FB" w:rsidRDefault="000E7771" w:rsidP="00273CE2">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在各因素条件指数表的基础上，进行比较实例交易时间、交易情况、土地用途、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区域因素、个别因素修正，即估价对象的因素条件指</w:t>
      </w:r>
      <w:r w:rsidRPr="00F631FB">
        <w:rPr>
          <w:rFonts w:ascii="Arial" w:eastAsia="仿宋_GB2312" w:hAnsi="Arial" w:cs="Arial"/>
          <w:sz w:val="28"/>
          <w:szCs w:val="28"/>
        </w:rPr>
        <w:lastRenderedPageBreak/>
        <w:t>数与比较实例的因素条件进行比较，得到各因素修正系数，计算得出估价对象</w:t>
      </w:r>
      <w:r w:rsidRPr="00F631FB">
        <w:rPr>
          <w:rFonts w:ascii="Arial" w:eastAsia="仿宋_GB2312" w:hAnsi="Arial" w:cs="Arial"/>
          <w:sz w:val="28"/>
        </w:rPr>
        <w:t>楼面地价</w:t>
      </w:r>
      <w:r w:rsidRPr="00F631FB">
        <w:rPr>
          <w:rFonts w:ascii="Arial" w:eastAsia="仿宋_GB2312" w:hAnsi="Arial" w:cs="Arial"/>
          <w:sz w:val="28"/>
          <w:szCs w:val="28"/>
        </w:rPr>
        <w:t>(</w:t>
      </w:r>
      <w:r w:rsidRPr="00F631FB">
        <w:rPr>
          <w:rFonts w:ascii="Arial" w:eastAsia="仿宋_GB2312" w:hAnsi="Arial" w:cs="Arial"/>
          <w:sz w:val="28"/>
          <w:szCs w:val="28"/>
        </w:rPr>
        <w:t>见表</w:t>
      </w:r>
      <w:r w:rsidRPr="00F631FB">
        <w:rPr>
          <w:rFonts w:ascii="Arial" w:eastAsia="仿宋_GB2312" w:hAnsi="Arial" w:cs="Arial" w:hint="eastAsia"/>
          <w:sz w:val="28"/>
          <w:szCs w:val="28"/>
        </w:rPr>
        <w:t>9</w:t>
      </w:r>
      <w:r w:rsidRPr="00F631FB">
        <w:rPr>
          <w:rFonts w:ascii="Arial" w:eastAsia="仿宋_GB2312" w:hAnsi="Arial" w:cs="Arial"/>
          <w:sz w:val="28"/>
          <w:szCs w:val="28"/>
        </w:rPr>
        <w:t>)</w:t>
      </w:r>
      <w:r w:rsidRPr="00F631FB">
        <w:rPr>
          <w:rFonts w:ascii="Arial" w:eastAsia="仿宋_GB2312" w:hAnsi="Arial" w:cs="Arial"/>
          <w:sz w:val="28"/>
          <w:szCs w:val="28"/>
        </w:rPr>
        <w:t>：</w:t>
      </w:r>
    </w:p>
    <w:p w14:paraId="3CAEA811" w14:textId="7CD73B0D" w:rsidR="000E7771" w:rsidRPr="00F631FB" w:rsidRDefault="000E7771" w:rsidP="000E7771">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0087591C">
        <w:rPr>
          <w:rFonts w:ascii="Arial" w:eastAsia="仿宋_GB2312" w:hAnsi="Arial" w:cs="Arial"/>
          <w:b/>
          <w:bCs/>
          <w:szCs w:val="24"/>
        </w:rPr>
        <w:t>11</w:t>
      </w:r>
      <w:r w:rsidRPr="00F631FB">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46"/>
        <w:gridCol w:w="2679"/>
        <w:gridCol w:w="1889"/>
        <w:gridCol w:w="1889"/>
        <w:gridCol w:w="1886"/>
      </w:tblGrid>
      <w:tr w:rsidR="0087591C" w:rsidRPr="00F631FB" w14:paraId="67D8EC14"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261A8" w14:textId="77777777"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6191677" w14:textId="0ECE2166"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Pr="00F631FB">
              <w:rPr>
                <w:rFonts w:ascii="Arial" w:eastAsia="仿宋_GB2312" w:hAnsi="Arial" w:cs="Arial"/>
                <w:sz w:val="18"/>
                <w:szCs w:val="18"/>
              </w:rPr>
              <w:t>例</w:t>
            </w:r>
            <w:r>
              <w:rPr>
                <w:rFonts w:ascii="Arial" w:eastAsia="仿宋_GB2312" w:hAnsi="Arial" w:cs="Arial" w:hint="eastAsia"/>
                <w:sz w:val="18"/>
                <w:szCs w:val="18"/>
              </w:rPr>
              <w:t>M</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B7FA20E" w14:textId="0B2A6E16"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Pr="00F631FB">
              <w:rPr>
                <w:rFonts w:ascii="Arial" w:eastAsia="仿宋_GB2312" w:hAnsi="Arial" w:cs="Arial"/>
                <w:sz w:val="18"/>
                <w:szCs w:val="18"/>
              </w:rPr>
              <w:t>例</w:t>
            </w:r>
            <w:r>
              <w:rPr>
                <w:rFonts w:ascii="Arial" w:eastAsia="仿宋_GB2312" w:hAnsi="Arial" w:cs="Arial" w:hint="eastAsia"/>
                <w:sz w:val="18"/>
                <w:szCs w:val="18"/>
              </w:rPr>
              <w:t>N</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A78D038" w14:textId="7B965402"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Pr="00F631FB">
              <w:rPr>
                <w:rFonts w:ascii="Arial" w:eastAsia="仿宋_GB2312" w:hAnsi="Arial" w:cs="Arial"/>
                <w:sz w:val="18"/>
                <w:szCs w:val="18"/>
              </w:rPr>
              <w:t>例</w:t>
            </w:r>
            <w:r>
              <w:rPr>
                <w:rFonts w:ascii="Arial" w:eastAsia="仿宋_GB2312" w:hAnsi="Arial" w:cs="Arial" w:hint="eastAsia"/>
                <w:sz w:val="18"/>
                <w:szCs w:val="18"/>
              </w:rPr>
              <w:t>O</w:t>
            </w:r>
          </w:p>
        </w:tc>
      </w:tr>
      <w:tr w:rsidR="000E7771" w:rsidRPr="00F631FB" w14:paraId="22D1A230"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59F2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F172D27"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100/88.47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72BFB6D"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100/88.47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D59384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100/96.71</w:t>
            </w:r>
          </w:p>
        </w:tc>
      </w:tr>
      <w:tr w:rsidR="000E7771" w:rsidRPr="00F631FB" w14:paraId="5E363290"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47D87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2481C94"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37D4152"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773F9B50"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0ED6DB0D"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EAAB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28C1C4"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99E636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C575EA7"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69E0DD9E"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9E45E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9ECBA5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9B6368A"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7E56FACF"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1BB49E63" w14:textId="77777777" w:rsidTr="004F0BE4">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72A2F18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7017CC6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09BD5F"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CB2CEA2"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2AE16FB"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47628E67" w14:textId="77777777" w:rsidTr="004F0BE4">
        <w:trPr>
          <w:trHeight w:val="285"/>
        </w:trPr>
        <w:tc>
          <w:tcPr>
            <w:tcW w:w="509" w:type="pct"/>
            <w:vMerge/>
            <w:tcBorders>
              <w:top w:val="nil"/>
              <w:left w:val="single" w:sz="4" w:space="0" w:color="auto"/>
              <w:bottom w:val="single" w:sz="4" w:space="0" w:color="auto"/>
              <w:right w:val="single" w:sz="4" w:space="0" w:color="auto"/>
            </w:tcBorders>
            <w:vAlign w:val="center"/>
            <w:hideMark/>
          </w:tcPr>
          <w:p w14:paraId="7B2CF18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63B101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2E58EB0"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B9FB63A"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91EA31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464D3F84" w14:textId="77777777" w:rsidTr="004F0BE4">
        <w:trPr>
          <w:trHeight w:val="285"/>
        </w:trPr>
        <w:tc>
          <w:tcPr>
            <w:tcW w:w="509" w:type="pct"/>
            <w:vMerge/>
            <w:tcBorders>
              <w:top w:val="nil"/>
              <w:left w:val="single" w:sz="4" w:space="0" w:color="auto"/>
              <w:bottom w:val="single" w:sz="4" w:space="0" w:color="auto"/>
              <w:right w:val="single" w:sz="4" w:space="0" w:color="auto"/>
            </w:tcBorders>
            <w:vAlign w:val="center"/>
            <w:hideMark/>
          </w:tcPr>
          <w:p w14:paraId="2AFDED58"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A87205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F05523"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AFF0E03"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5C94AF3"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7B311B6C" w14:textId="77777777" w:rsidTr="004F0BE4">
        <w:trPr>
          <w:trHeight w:val="300"/>
        </w:trPr>
        <w:tc>
          <w:tcPr>
            <w:tcW w:w="509" w:type="pct"/>
            <w:vMerge/>
            <w:tcBorders>
              <w:top w:val="nil"/>
              <w:left w:val="single" w:sz="4" w:space="0" w:color="auto"/>
              <w:bottom w:val="single" w:sz="4" w:space="0" w:color="auto"/>
              <w:right w:val="single" w:sz="4" w:space="0" w:color="auto"/>
            </w:tcBorders>
            <w:vAlign w:val="center"/>
            <w:hideMark/>
          </w:tcPr>
          <w:p w14:paraId="1C8A92E2"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B31991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8CB72B5" w14:textId="72826385"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sidR="00B1377B">
              <w:rPr>
                <w:rFonts w:ascii="Arial" w:eastAsia="仿宋_GB2312" w:hAnsi="Arial" w:cs="Arial"/>
                <w:sz w:val="22"/>
                <w:szCs w:val="22"/>
              </w:rPr>
              <w:t>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FFC51AE" w14:textId="60CDFD7A"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sidR="00B1377B">
              <w:rPr>
                <w:rFonts w:ascii="Arial" w:eastAsia="仿宋_GB2312" w:hAnsi="Arial" w:cs="Arial"/>
                <w:sz w:val="22"/>
                <w:szCs w:val="22"/>
              </w:rPr>
              <w:t>1</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DD68ECE"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31418C3B"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25F5ECFB"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6911EA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516207"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52A8854"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BBCB39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30A158A1"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3AAD8302"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D87B9D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AF07BD0"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6CAC23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B888D4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6F514C00"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38D1DEE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661D3A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202B325"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9</w:t>
            </w:r>
            <w:r>
              <w:rPr>
                <w:rFonts w:ascii="Arial" w:eastAsia="仿宋_GB2312" w:hAnsi="Arial" w:cs="Arial"/>
                <w:sz w:val="22"/>
                <w:szCs w:val="22"/>
              </w:rPr>
              <w:t>9</w:t>
            </w:r>
          </w:p>
        </w:tc>
        <w:tc>
          <w:tcPr>
            <w:tcW w:w="1017" w:type="pct"/>
            <w:tcBorders>
              <w:top w:val="single" w:sz="4" w:space="0" w:color="auto"/>
              <w:left w:val="nil"/>
              <w:bottom w:val="single" w:sz="4" w:space="0" w:color="auto"/>
              <w:right w:val="single" w:sz="4" w:space="0" w:color="000000"/>
            </w:tcBorders>
            <w:shd w:val="clear" w:color="auto" w:fill="auto"/>
            <w:noWrap/>
            <w:hideMark/>
          </w:tcPr>
          <w:p w14:paraId="4C9F72B9"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560875">
              <w:rPr>
                <w:rFonts w:ascii="Arial" w:eastAsia="仿宋_GB2312" w:hAnsi="Arial" w:cs="Arial"/>
                <w:sz w:val="22"/>
                <w:szCs w:val="22"/>
              </w:rPr>
              <w:t>100/</w:t>
            </w:r>
            <w:r w:rsidRPr="00560875">
              <w:rPr>
                <w:rFonts w:ascii="Arial" w:eastAsia="仿宋_GB2312" w:hAnsi="Arial" w:cs="Arial" w:hint="eastAsia"/>
                <w:sz w:val="22"/>
                <w:szCs w:val="22"/>
              </w:rPr>
              <w:t>9</w:t>
            </w:r>
            <w:r w:rsidRPr="00560875">
              <w:rPr>
                <w:rFonts w:ascii="Arial" w:eastAsia="仿宋_GB2312" w:hAnsi="Arial" w:cs="Arial"/>
                <w:sz w:val="22"/>
                <w:szCs w:val="22"/>
              </w:rPr>
              <w:t>9</w:t>
            </w:r>
          </w:p>
        </w:tc>
        <w:tc>
          <w:tcPr>
            <w:tcW w:w="1015" w:type="pct"/>
            <w:tcBorders>
              <w:top w:val="single" w:sz="4" w:space="0" w:color="auto"/>
              <w:left w:val="nil"/>
              <w:bottom w:val="single" w:sz="4" w:space="0" w:color="auto"/>
              <w:right w:val="single" w:sz="4" w:space="0" w:color="000000"/>
            </w:tcBorders>
            <w:shd w:val="clear" w:color="auto" w:fill="auto"/>
            <w:noWrap/>
            <w:hideMark/>
          </w:tcPr>
          <w:p w14:paraId="1C010CB5"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560875">
              <w:rPr>
                <w:rFonts w:ascii="Arial" w:eastAsia="仿宋_GB2312" w:hAnsi="Arial" w:cs="Arial"/>
                <w:sz w:val="22"/>
                <w:szCs w:val="22"/>
              </w:rPr>
              <w:t>100/</w:t>
            </w:r>
            <w:r w:rsidRPr="00560875">
              <w:rPr>
                <w:rFonts w:ascii="Arial" w:eastAsia="仿宋_GB2312" w:hAnsi="Arial" w:cs="Arial" w:hint="eastAsia"/>
                <w:sz w:val="22"/>
                <w:szCs w:val="22"/>
              </w:rPr>
              <w:t>9</w:t>
            </w:r>
            <w:r w:rsidRPr="00560875">
              <w:rPr>
                <w:rFonts w:ascii="Arial" w:eastAsia="仿宋_GB2312" w:hAnsi="Arial" w:cs="Arial"/>
                <w:sz w:val="22"/>
                <w:szCs w:val="22"/>
              </w:rPr>
              <w:t>9</w:t>
            </w:r>
          </w:p>
        </w:tc>
      </w:tr>
      <w:tr w:rsidR="000E7771" w:rsidRPr="00F631FB" w14:paraId="17B652D7"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1CDD8A72"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A15075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3C84D5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64C7C7F"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F50BED9"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1E7FF849" w14:textId="77777777" w:rsidTr="004F0BE4">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4894CAF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0F3A21F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43502B4"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w:t>
            </w:r>
            <w:r>
              <w:rPr>
                <w:rFonts w:ascii="Arial" w:eastAsia="仿宋_GB2312" w:hAnsi="Arial" w:cs="Arial"/>
                <w:sz w:val="22"/>
                <w:szCs w:val="22"/>
              </w:rPr>
              <w:t>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0B5794D"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100/96</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CFB4482"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100/94</w:t>
            </w:r>
          </w:p>
        </w:tc>
      </w:tr>
      <w:tr w:rsidR="000E7771" w:rsidRPr="00F631FB" w14:paraId="3D5E984F" w14:textId="77777777" w:rsidTr="004F0BE4">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2E64BFD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6A1F90B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7FF8383" w14:textId="276B6E3B" w:rsidR="000E7771" w:rsidRPr="00F631FB" w:rsidRDefault="000E777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Pr>
                <w:rFonts w:ascii="Arial" w:eastAsia="仿宋_GB2312" w:hAnsi="Arial" w:cs="Arial"/>
                <w:sz w:val="22"/>
                <w:szCs w:val="22"/>
              </w:rPr>
              <w:t>10</w:t>
            </w:r>
            <w:r w:rsidR="004A1EDE">
              <w:rPr>
                <w:rFonts w:ascii="Arial" w:eastAsia="仿宋_GB2312" w:hAnsi="Arial" w:cs="Arial"/>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06519ED" w14:textId="5F709271" w:rsidR="000E7771" w:rsidRPr="00F631FB" w:rsidRDefault="000E777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sidR="004A1EDE">
              <w:rPr>
                <w:rFonts w:ascii="Arial" w:eastAsia="仿宋_GB2312" w:hAnsi="Arial" w:cs="Arial"/>
                <w:sz w:val="22"/>
                <w:szCs w:val="22"/>
              </w:rPr>
              <w:t>9</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41A04AB3" w14:textId="7CAEDE0D" w:rsidR="000E7771" w:rsidRPr="00F631FB" w:rsidRDefault="000E777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sidR="004A1EDE">
              <w:rPr>
                <w:rFonts w:ascii="Arial" w:eastAsia="仿宋_GB2312" w:hAnsi="Arial" w:cs="Arial"/>
                <w:sz w:val="22"/>
                <w:szCs w:val="22"/>
              </w:rPr>
              <w:t>104</w:t>
            </w:r>
          </w:p>
        </w:tc>
      </w:tr>
      <w:tr w:rsidR="000E7771" w:rsidRPr="00F631FB" w14:paraId="03AE6DA1"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7105EA6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AFEA49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FC5A9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D2B4B3D"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0F21F7B"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36C87498"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55B078F4"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E1CFCB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917A450"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B0774F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81E2042"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0C3D7385"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432DC55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DF9219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工程地质条件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98B0036"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4940DB5"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EDE966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332BBF04" w14:textId="77777777" w:rsidTr="004F0BE4">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5775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楼面地价（元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73FAC55"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33464</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0C2F20E"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27750</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1CCA6E7"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31410</w:t>
            </w:r>
          </w:p>
        </w:tc>
      </w:tr>
      <w:tr w:rsidR="000E7771" w:rsidRPr="00F631FB" w14:paraId="1025B37C" w14:textId="77777777" w:rsidTr="004F0BE4">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BCC4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比准价格（元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6E79E3F" w14:textId="5B89933B" w:rsidR="000E7771" w:rsidRPr="00F631FB" w:rsidRDefault="004A1ED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36727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EAEBF69" w14:textId="47E217AC" w:rsidR="000E7771" w:rsidRPr="00F631FB" w:rsidRDefault="004A1ED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33007</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70F207E4" w14:textId="47B30823" w:rsidR="000E7771" w:rsidRPr="00F631FB" w:rsidRDefault="004A1EDE"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33558</w:t>
            </w:r>
          </w:p>
        </w:tc>
      </w:tr>
    </w:tbl>
    <w:p w14:paraId="1163670E" w14:textId="77777777" w:rsidR="000E7771" w:rsidRPr="00F631FB" w:rsidRDefault="000E7771" w:rsidP="000E7771">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5</w:t>
      </w:r>
      <w:r>
        <w:rPr>
          <w:rFonts w:ascii="Arial" w:eastAsia="仿宋_GB2312" w:hAnsi="Arial" w:cs="Arial" w:hint="eastAsia"/>
          <w:bCs/>
          <w:sz w:val="28"/>
        </w:rPr>
        <w:t>）</w:t>
      </w:r>
      <w:r w:rsidRPr="00F631FB">
        <w:rPr>
          <w:rFonts w:ascii="Arial" w:eastAsia="仿宋_GB2312" w:hAnsi="Arial" w:cs="Arial"/>
          <w:bCs/>
          <w:sz w:val="28"/>
        </w:rPr>
        <w:t>地上</w:t>
      </w:r>
      <w:r>
        <w:rPr>
          <w:rFonts w:ascii="Arial" w:eastAsia="仿宋_GB2312" w:hAnsi="Arial" w:cs="Arial" w:hint="eastAsia"/>
          <w:bCs/>
          <w:sz w:val="28"/>
        </w:rPr>
        <w:t>商业</w:t>
      </w:r>
      <w:r w:rsidRPr="00F631FB">
        <w:rPr>
          <w:rFonts w:ascii="Arial" w:eastAsia="仿宋_GB2312" w:hAnsi="Arial" w:cs="Arial" w:hint="eastAsia"/>
          <w:sz w:val="28"/>
        </w:rPr>
        <w:t>（土地剩余使用年限</w:t>
      </w:r>
      <w:r>
        <w:rPr>
          <w:rFonts w:ascii="Arial" w:eastAsia="仿宋_GB2312" w:hAnsi="Arial" w:cs="Arial"/>
          <w:sz w:val="28"/>
        </w:rPr>
        <w:t>40</w:t>
      </w:r>
      <w:r w:rsidRPr="00F631FB">
        <w:rPr>
          <w:rFonts w:ascii="Arial" w:eastAsia="仿宋_GB2312" w:hAnsi="Arial" w:cs="Arial" w:hint="eastAsia"/>
          <w:sz w:val="28"/>
        </w:rPr>
        <w:t>年）</w:t>
      </w:r>
      <w:r w:rsidRPr="00F631FB">
        <w:rPr>
          <w:rFonts w:ascii="Arial" w:eastAsia="仿宋_GB2312" w:hAnsi="Arial" w:cs="Arial"/>
          <w:bCs/>
          <w:sz w:val="28"/>
        </w:rPr>
        <w:t>楼面地价</w:t>
      </w:r>
    </w:p>
    <w:p w14:paraId="2D7530BF" w14:textId="77777777" w:rsidR="000E7771" w:rsidRPr="00F631FB" w:rsidRDefault="000E7771" w:rsidP="000E7771">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2D48D683" w14:textId="77777777" w:rsidR="00B1377B" w:rsidRDefault="000E7771" w:rsidP="00273CE2">
      <w:pPr>
        <w:spacing w:line="360" w:lineRule="auto"/>
        <w:ind w:firstLineChars="250" w:firstLine="700"/>
        <w:jc w:val="both"/>
        <w:rPr>
          <w:rFonts w:ascii="Arial" w:eastAsia="仿宋_GB2312" w:hAnsi="Arial" w:cs="Arial"/>
          <w:sz w:val="28"/>
        </w:rPr>
      </w:pPr>
      <w:r w:rsidRPr="00F631FB">
        <w:rPr>
          <w:rFonts w:ascii="Arial" w:eastAsia="仿宋_GB2312" w:hAnsi="Arial" w:cs="Arial"/>
          <w:sz w:val="28"/>
        </w:rPr>
        <w:t>楼面地价</w:t>
      </w:r>
    </w:p>
    <w:p w14:paraId="06F5EC22" w14:textId="75E1BE8E" w:rsidR="00B1377B" w:rsidRDefault="000E7771" w:rsidP="00273CE2">
      <w:pPr>
        <w:spacing w:line="360" w:lineRule="auto"/>
        <w:ind w:firstLineChars="250" w:firstLine="700"/>
        <w:jc w:val="both"/>
        <w:rPr>
          <w:rFonts w:ascii="Arial" w:eastAsia="仿宋_GB2312" w:hAnsi="Arial" w:cs="Arial"/>
          <w:bCs/>
          <w:sz w:val="28"/>
        </w:rPr>
      </w:pPr>
      <w:r w:rsidRPr="00F631FB">
        <w:rPr>
          <w:rFonts w:ascii="Arial" w:eastAsia="仿宋_GB2312" w:hAnsi="Arial" w:cs="Arial"/>
          <w:bCs/>
          <w:sz w:val="28"/>
        </w:rPr>
        <w:t>＝</w:t>
      </w:r>
      <w:r w:rsidRPr="00F631FB">
        <w:rPr>
          <w:rFonts w:ascii="Arial" w:eastAsia="仿宋_GB2312" w:hAnsi="Arial" w:cs="Arial"/>
          <w:bCs/>
          <w:sz w:val="28"/>
        </w:rPr>
        <w:t>(</w:t>
      </w:r>
      <w:r w:rsidR="004A1EDE">
        <w:rPr>
          <w:rFonts w:ascii="Arial" w:eastAsia="仿宋_GB2312" w:hAnsi="Arial" w:cs="Arial"/>
          <w:bCs/>
          <w:sz w:val="28"/>
        </w:rPr>
        <w:t>36727</w:t>
      </w:r>
      <w:r>
        <w:rPr>
          <w:rFonts w:ascii="Arial" w:eastAsia="仿宋_GB2312" w:hAnsi="Arial" w:cs="Arial"/>
          <w:bCs/>
          <w:sz w:val="28"/>
        </w:rPr>
        <w:t>+</w:t>
      </w:r>
      <w:r w:rsidR="00B1377B">
        <w:rPr>
          <w:rFonts w:ascii="Arial" w:eastAsia="仿宋_GB2312" w:hAnsi="Arial" w:cs="Arial"/>
          <w:bCs/>
          <w:sz w:val="28"/>
        </w:rPr>
        <w:t>33</w:t>
      </w:r>
      <w:r w:rsidR="004A1EDE">
        <w:rPr>
          <w:rFonts w:ascii="Arial" w:eastAsia="仿宋_GB2312" w:hAnsi="Arial" w:cs="Arial"/>
          <w:bCs/>
          <w:sz w:val="28"/>
        </w:rPr>
        <w:t>00</w:t>
      </w:r>
      <w:r w:rsidR="00B1377B">
        <w:rPr>
          <w:rFonts w:ascii="Arial" w:eastAsia="仿宋_GB2312" w:hAnsi="Arial" w:cs="Arial"/>
          <w:bCs/>
          <w:sz w:val="28"/>
        </w:rPr>
        <w:t>7</w:t>
      </w:r>
      <w:r>
        <w:rPr>
          <w:rFonts w:ascii="Arial" w:eastAsia="仿宋_GB2312" w:hAnsi="Arial" w:cs="Arial"/>
          <w:bCs/>
          <w:sz w:val="28"/>
        </w:rPr>
        <w:t>+3</w:t>
      </w:r>
      <w:r w:rsidR="004A1EDE">
        <w:rPr>
          <w:rFonts w:ascii="Arial" w:eastAsia="仿宋_GB2312" w:hAnsi="Arial" w:cs="Arial"/>
          <w:bCs/>
          <w:sz w:val="28"/>
        </w:rPr>
        <w:t>3</w:t>
      </w:r>
      <w:r>
        <w:rPr>
          <w:rFonts w:ascii="Arial" w:eastAsia="仿宋_GB2312" w:hAnsi="Arial" w:cs="Arial"/>
          <w:bCs/>
          <w:sz w:val="28"/>
        </w:rPr>
        <w:t>5</w:t>
      </w:r>
      <w:r w:rsidR="004A1EDE">
        <w:rPr>
          <w:rFonts w:ascii="Arial" w:eastAsia="仿宋_GB2312" w:hAnsi="Arial" w:cs="Arial"/>
          <w:bCs/>
          <w:sz w:val="28"/>
        </w:rPr>
        <w:t>58</w:t>
      </w:r>
      <w:r w:rsidRPr="00F631FB">
        <w:rPr>
          <w:rFonts w:ascii="Arial" w:eastAsia="仿宋_GB2312" w:hAnsi="Arial" w:cs="Arial"/>
          <w:bCs/>
          <w:sz w:val="28"/>
        </w:rPr>
        <w:t>)÷3</w:t>
      </w:r>
    </w:p>
    <w:p w14:paraId="224AD8E3" w14:textId="705845D8" w:rsidR="000E7771" w:rsidRPr="00F631FB" w:rsidRDefault="000E7771" w:rsidP="00273CE2">
      <w:pPr>
        <w:spacing w:line="360" w:lineRule="auto"/>
        <w:ind w:firstLineChars="250" w:firstLine="700"/>
        <w:jc w:val="both"/>
        <w:rPr>
          <w:rFonts w:ascii="Arial" w:eastAsia="仿宋_GB2312" w:hAnsi="Arial" w:cs="Arial"/>
          <w:bCs/>
          <w:sz w:val="28"/>
        </w:rPr>
      </w:pPr>
      <w:r w:rsidRPr="00F631FB">
        <w:rPr>
          <w:rFonts w:ascii="Arial" w:eastAsia="仿宋_GB2312" w:hAnsi="Arial" w:cs="Arial"/>
          <w:bCs/>
          <w:sz w:val="28"/>
        </w:rPr>
        <w:t>＝</w:t>
      </w:r>
      <w:r w:rsidR="004A1EDE">
        <w:rPr>
          <w:rFonts w:ascii="Arial" w:eastAsia="仿宋_GB2312" w:hAnsi="Arial" w:cs="Arial"/>
          <w:bCs/>
          <w:sz w:val="28"/>
        </w:rPr>
        <w:t>34431</w:t>
      </w:r>
      <w:r w:rsidRPr="00F631FB">
        <w:rPr>
          <w:rFonts w:ascii="Arial" w:eastAsia="仿宋_GB2312" w:hAnsi="Arial" w:cs="Arial"/>
          <w:bCs/>
          <w:sz w:val="28"/>
        </w:rPr>
        <w:t>(</w:t>
      </w:r>
      <w:r w:rsidRPr="00F631FB">
        <w:rPr>
          <w:rFonts w:ascii="Arial" w:eastAsia="仿宋_GB2312" w:hAnsi="Arial" w:cs="Arial"/>
          <w:bCs/>
          <w:sz w:val="28"/>
        </w:rPr>
        <w:t>元</w:t>
      </w:r>
      <w:r w:rsidRPr="00F631FB">
        <w:rPr>
          <w:rFonts w:ascii="Arial" w:eastAsia="仿宋_GB2312" w:hAnsi="Arial" w:cs="Arial"/>
          <w:bCs/>
          <w:sz w:val="28"/>
        </w:rPr>
        <w:t>/</w:t>
      </w:r>
      <w:r w:rsidRPr="00F631FB">
        <w:rPr>
          <w:rFonts w:ascii="Arial" w:eastAsia="仿宋_GB2312" w:hAnsi="Arial" w:cs="Arial"/>
          <w:bCs/>
          <w:sz w:val="28"/>
        </w:rPr>
        <w:t>平方米</w:t>
      </w:r>
      <w:r w:rsidRPr="00F631FB">
        <w:rPr>
          <w:rFonts w:ascii="Arial" w:eastAsia="仿宋_GB2312" w:hAnsi="Arial" w:cs="Arial"/>
          <w:bCs/>
          <w:sz w:val="28"/>
        </w:rPr>
        <w:t>)</w:t>
      </w:r>
    </w:p>
    <w:p w14:paraId="7E95AB85" w14:textId="77777777" w:rsidR="00B1377B" w:rsidRDefault="00B1377B" w:rsidP="000E7771">
      <w:pPr>
        <w:spacing w:line="360" w:lineRule="auto"/>
        <w:jc w:val="both"/>
        <w:rPr>
          <w:rFonts w:ascii="Arial" w:eastAsia="仿宋_GB2312" w:hAnsi="Arial" w:cs="Arial"/>
          <w:b/>
          <w:sz w:val="28"/>
        </w:rPr>
      </w:pPr>
    </w:p>
    <w:p w14:paraId="5CE41883" w14:textId="77777777" w:rsidR="00C06FE8" w:rsidRDefault="00C06FE8" w:rsidP="000E7771">
      <w:pPr>
        <w:spacing w:line="360" w:lineRule="auto"/>
        <w:jc w:val="both"/>
        <w:rPr>
          <w:rFonts w:ascii="Arial" w:eastAsia="仿宋_GB2312" w:hAnsi="Arial" w:cs="Arial"/>
          <w:b/>
          <w:sz w:val="28"/>
        </w:rPr>
      </w:pPr>
      <w:r>
        <w:rPr>
          <w:rFonts w:ascii="Arial" w:eastAsia="仿宋_GB2312" w:hAnsi="Arial" w:cs="Arial"/>
          <w:b/>
          <w:sz w:val="28"/>
        </w:rPr>
        <w:br w:type="page"/>
      </w:r>
    </w:p>
    <w:p w14:paraId="2C6F4EF6" w14:textId="194A9288" w:rsidR="000E7771" w:rsidRPr="00F631FB" w:rsidRDefault="000E7771" w:rsidP="000E7771">
      <w:pPr>
        <w:spacing w:line="360" w:lineRule="auto"/>
        <w:jc w:val="both"/>
        <w:rPr>
          <w:rFonts w:ascii="Arial" w:eastAsia="仿宋_GB2312" w:hAnsi="Arial" w:cs="Arial"/>
          <w:b/>
          <w:sz w:val="28"/>
        </w:rPr>
      </w:pPr>
      <w:r w:rsidRPr="00F631FB">
        <w:rPr>
          <w:rFonts w:ascii="Arial" w:eastAsia="仿宋_GB2312" w:hAnsi="Arial" w:cs="Arial"/>
          <w:b/>
          <w:sz w:val="28"/>
        </w:rPr>
        <w:lastRenderedPageBreak/>
        <w:t>（</w:t>
      </w:r>
      <w:r w:rsidRPr="00F631FB">
        <w:rPr>
          <w:rFonts w:ascii="Arial" w:eastAsia="仿宋_GB2312" w:hAnsi="Arial" w:cs="Arial" w:hint="eastAsia"/>
          <w:b/>
          <w:sz w:val="28"/>
        </w:rPr>
        <w:t>2</w:t>
      </w:r>
      <w:r w:rsidRPr="00F631FB">
        <w:rPr>
          <w:rFonts w:ascii="Arial" w:eastAsia="仿宋_GB2312" w:hAnsi="Arial" w:cs="Arial"/>
          <w:b/>
          <w:sz w:val="28"/>
        </w:rPr>
        <w:t>）求取估价对象</w:t>
      </w:r>
      <w:r>
        <w:rPr>
          <w:rFonts w:ascii="Arial" w:eastAsia="仿宋_GB2312" w:hAnsi="Arial" w:cs="Arial" w:hint="eastAsia"/>
          <w:b/>
          <w:sz w:val="28"/>
        </w:rPr>
        <w:t>地上办公</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Pr>
          <w:rFonts w:ascii="Arial" w:eastAsia="仿宋_GB2312" w:hAnsi="Arial" w:cs="Arial"/>
          <w:b/>
          <w:sz w:val="28"/>
        </w:rPr>
        <w:t>50</w:t>
      </w:r>
      <w:r w:rsidRPr="00F631FB">
        <w:rPr>
          <w:rFonts w:ascii="Arial" w:eastAsia="仿宋_GB2312" w:hAnsi="Arial" w:cs="Arial" w:hint="eastAsia"/>
          <w:b/>
          <w:sz w:val="28"/>
        </w:rPr>
        <w:t>年）</w:t>
      </w:r>
    </w:p>
    <w:p w14:paraId="45350CAF" w14:textId="77777777" w:rsidR="000E7771" w:rsidRPr="00F631FB" w:rsidRDefault="000E7771" w:rsidP="000E7771">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计算过程如下：</w:t>
      </w:r>
    </w:p>
    <w:p w14:paraId="1F345CD5" w14:textId="77777777" w:rsidR="000E7771" w:rsidRPr="00F631FB" w:rsidRDefault="000E7771" w:rsidP="000E7771">
      <w:pPr>
        <w:spacing w:line="360" w:lineRule="auto"/>
        <w:ind w:firstLineChars="200" w:firstLine="560"/>
        <w:jc w:val="both"/>
        <w:rPr>
          <w:rFonts w:ascii="Arial" w:eastAsia="仿宋_GB2312" w:hAnsi="Arial" w:cs="Arial"/>
          <w:bCs/>
          <w:sz w:val="28"/>
        </w:rPr>
      </w:pPr>
      <w:r w:rsidRPr="00F631FB">
        <w:rPr>
          <w:rFonts w:ascii="Arial" w:eastAsia="仿宋_GB2312" w:hAnsi="Arial" w:cs="Arial" w:hint="eastAsia"/>
          <w:bCs/>
          <w:sz w:val="28"/>
        </w:rPr>
        <w:t>1</w:t>
      </w:r>
      <w:r w:rsidRPr="00F631FB">
        <w:rPr>
          <w:rFonts w:ascii="Arial" w:eastAsia="仿宋_GB2312" w:hAnsi="Arial" w:cs="Arial" w:hint="eastAsia"/>
          <w:bCs/>
          <w:sz w:val="28"/>
        </w:rPr>
        <w:t>）</w:t>
      </w:r>
      <w:r w:rsidRPr="00F631FB">
        <w:rPr>
          <w:rFonts w:ascii="Arial" w:eastAsia="仿宋_GB2312" w:hAnsi="Arial" w:cs="Arial"/>
          <w:bCs/>
          <w:sz w:val="28"/>
        </w:rPr>
        <w:t>市场比较法中估价对象及三个成交实例比较因素条件说明表如下：</w:t>
      </w:r>
    </w:p>
    <w:p w14:paraId="43B42157" w14:textId="1A67400E" w:rsidR="000E7771" w:rsidRPr="00F631FB" w:rsidRDefault="000E7771" w:rsidP="000E7771">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Pr="00F631FB">
        <w:rPr>
          <w:rFonts w:ascii="Arial" w:eastAsia="仿宋_GB2312" w:hAnsi="Arial" w:cs="Arial" w:hint="eastAsia"/>
          <w:b/>
          <w:bCs/>
          <w:szCs w:val="24"/>
        </w:rPr>
        <w:t>1</w:t>
      </w:r>
      <w:r w:rsidR="0087591C">
        <w:rPr>
          <w:rFonts w:ascii="Arial" w:eastAsia="仿宋_GB2312" w:hAnsi="Arial" w:cs="Arial"/>
          <w:b/>
          <w:bCs/>
          <w:szCs w:val="24"/>
        </w:rPr>
        <w:t>2</w:t>
      </w:r>
      <w:r w:rsidRPr="00F631FB">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6"/>
        <w:gridCol w:w="1871"/>
        <w:gridCol w:w="1701"/>
        <w:gridCol w:w="1759"/>
        <w:gridCol w:w="1912"/>
      </w:tblGrid>
      <w:tr w:rsidR="0087591C" w:rsidRPr="00F631FB" w14:paraId="5C6C64FD" w14:textId="77777777" w:rsidTr="004F0BE4">
        <w:trPr>
          <w:trHeight w:val="270"/>
          <w:tblHeader/>
        </w:trPr>
        <w:tc>
          <w:tcPr>
            <w:tcW w:w="124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6FE34A" w14:textId="77777777"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969"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F6F822D" w14:textId="77777777"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43E1A83A" w14:textId="110601DC"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Pr="00F631FB">
              <w:rPr>
                <w:rFonts w:ascii="Arial" w:eastAsia="仿宋_GB2312" w:hAnsi="Arial" w:cs="Arial"/>
                <w:sz w:val="18"/>
                <w:szCs w:val="18"/>
              </w:rPr>
              <w:t>例</w:t>
            </w:r>
            <w:r>
              <w:rPr>
                <w:rFonts w:ascii="Arial" w:eastAsia="仿宋_GB2312" w:hAnsi="Arial" w:cs="Arial" w:hint="eastAsia"/>
                <w:sz w:val="18"/>
                <w:szCs w:val="18"/>
              </w:rPr>
              <w:t>M</w:t>
            </w:r>
          </w:p>
        </w:tc>
        <w:tc>
          <w:tcPr>
            <w:tcW w:w="911" w:type="pct"/>
            <w:tcBorders>
              <w:top w:val="single" w:sz="4" w:space="0" w:color="auto"/>
              <w:left w:val="nil"/>
              <w:bottom w:val="single" w:sz="4" w:space="0" w:color="auto"/>
              <w:right w:val="single" w:sz="4" w:space="0" w:color="auto"/>
            </w:tcBorders>
            <w:shd w:val="clear" w:color="auto" w:fill="auto"/>
            <w:vAlign w:val="center"/>
            <w:hideMark/>
          </w:tcPr>
          <w:p w14:paraId="42FF9588" w14:textId="4D7AA35F"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Pr="00F631FB">
              <w:rPr>
                <w:rFonts w:ascii="Arial" w:eastAsia="仿宋_GB2312" w:hAnsi="Arial" w:cs="Arial"/>
                <w:sz w:val="18"/>
                <w:szCs w:val="18"/>
              </w:rPr>
              <w:t>例</w:t>
            </w:r>
            <w:r>
              <w:rPr>
                <w:rFonts w:ascii="Arial" w:eastAsia="仿宋_GB2312" w:hAnsi="Arial" w:cs="Arial" w:hint="eastAsia"/>
                <w:sz w:val="18"/>
                <w:szCs w:val="18"/>
              </w:rPr>
              <w:t>N</w:t>
            </w:r>
          </w:p>
        </w:tc>
        <w:tc>
          <w:tcPr>
            <w:tcW w:w="990" w:type="pct"/>
            <w:tcBorders>
              <w:top w:val="single" w:sz="4" w:space="0" w:color="auto"/>
              <w:left w:val="nil"/>
              <w:bottom w:val="single" w:sz="4" w:space="0" w:color="auto"/>
              <w:right w:val="single" w:sz="4" w:space="0" w:color="auto"/>
            </w:tcBorders>
            <w:shd w:val="clear" w:color="auto" w:fill="auto"/>
            <w:vAlign w:val="center"/>
            <w:hideMark/>
          </w:tcPr>
          <w:p w14:paraId="621861CA" w14:textId="78DB8493"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Pr="00F631FB">
              <w:rPr>
                <w:rFonts w:ascii="Arial" w:eastAsia="仿宋_GB2312" w:hAnsi="Arial" w:cs="Arial"/>
                <w:sz w:val="18"/>
                <w:szCs w:val="18"/>
              </w:rPr>
              <w:t>例</w:t>
            </w:r>
            <w:r>
              <w:rPr>
                <w:rFonts w:ascii="Arial" w:eastAsia="仿宋_GB2312" w:hAnsi="Arial" w:cs="Arial" w:hint="eastAsia"/>
                <w:sz w:val="18"/>
                <w:szCs w:val="18"/>
              </w:rPr>
              <w:t>O</w:t>
            </w:r>
          </w:p>
        </w:tc>
      </w:tr>
      <w:tr w:rsidR="000E7771" w:rsidRPr="00F631FB" w14:paraId="1546E29F" w14:textId="77777777" w:rsidTr="004F0BE4">
        <w:trPr>
          <w:trHeight w:val="1575"/>
          <w:tblHeader/>
        </w:trPr>
        <w:tc>
          <w:tcPr>
            <w:tcW w:w="1249" w:type="pct"/>
            <w:gridSpan w:val="2"/>
            <w:vMerge/>
            <w:tcBorders>
              <w:top w:val="single" w:sz="4" w:space="0" w:color="auto"/>
              <w:left w:val="single" w:sz="4" w:space="0" w:color="auto"/>
              <w:bottom w:val="single" w:sz="4" w:space="0" w:color="auto"/>
              <w:right w:val="single" w:sz="4" w:space="0" w:color="auto"/>
            </w:tcBorders>
            <w:vAlign w:val="center"/>
            <w:hideMark/>
          </w:tcPr>
          <w:p w14:paraId="456B193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969" w:type="pct"/>
            <w:vMerge/>
            <w:tcBorders>
              <w:top w:val="single" w:sz="4" w:space="0" w:color="auto"/>
              <w:left w:val="nil"/>
              <w:bottom w:val="single" w:sz="4" w:space="0" w:color="auto"/>
              <w:right w:val="single" w:sz="4" w:space="0" w:color="auto"/>
            </w:tcBorders>
            <w:vAlign w:val="center"/>
            <w:hideMark/>
          </w:tcPr>
          <w:p w14:paraId="38B46FD6"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881" w:type="pct"/>
            <w:tcBorders>
              <w:top w:val="nil"/>
              <w:left w:val="nil"/>
              <w:bottom w:val="single" w:sz="4" w:space="0" w:color="auto"/>
              <w:right w:val="single" w:sz="4" w:space="0" w:color="auto"/>
            </w:tcBorders>
            <w:shd w:val="clear" w:color="auto" w:fill="auto"/>
            <w:vAlign w:val="center"/>
            <w:hideMark/>
          </w:tcPr>
          <w:p w14:paraId="7D33386F"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sz w:val="18"/>
                <w:szCs w:val="18"/>
              </w:rPr>
              <w:t>海淀区北三环中路</w:t>
            </w:r>
            <w:r w:rsidRPr="00AF6157">
              <w:rPr>
                <w:rFonts w:ascii="Arial" w:eastAsia="仿宋_GB2312" w:hAnsi="Arial" w:cs="Arial"/>
                <w:sz w:val="18"/>
                <w:szCs w:val="18"/>
              </w:rPr>
              <w:t>43</w:t>
            </w:r>
            <w:r w:rsidRPr="00AF6157">
              <w:rPr>
                <w:rFonts w:ascii="Arial" w:eastAsia="仿宋_GB2312" w:hAnsi="Arial" w:cs="Arial"/>
                <w:sz w:val="18"/>
                <w:szCs w:val="18"/>
              </w:rPr>
              <w:t>号经营性配套部分</w:t>
            </w:r>
          </w:p>
          <w:p w14:paraId="3108F668"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p>
        </w:tc>
        <w:tc>
          <w:tcPr>
            <w:tcW w:w="911" w:type="pct"/>
            <w:tcBorders>
              <w:top w:val="nil"/>
              <w:left w:val="nil"/>
              <w:bottom w:val="single" w:sz="4" w:space="0" w:color="auto"/>
              <w:right w:val="single" w:sz="4" w:space="0" w:color="auto"/>
            </w:tcBorders>
            <w:shd w:val="clear" w:color="auto" w:fill="auto"/>
            <w:vAlign w:val="center"/>
            <w:hideMark/>
          </w:tcPr>
          <w:p w14:paraId="3FE1C5D4"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sz w:val="18"/>
                <w:szCs w:val="18"/>
              </w:rPr>
              <w:t>海淀区岭南路</w:t>
            </w:r>
            <w:r w:rsidRPr="00AF6157">
              <w:rPr>
                <w:rFonts w:ascii="Arial" w:eastAsia="仿宋_GB2312" w:hAnsi="Arial" w:cs="Arial"/>
                <w:sz w:val="18"/>
                <w:szCs w:val="18"/>
              </w:rPr>
              <w:t>36</w:t>
            </w:r>
            <w:r w:rsidRPr="00AF6157">
              <w:rPr>
                <w:rFonts w:ascii="Arial" w:eastAsia="仿宋_GB2312" w:hAnsi="Arial" w:cs="Arial"/>
                <w:sz w:val="18"/>
                <w:szCs w:val="18"/>
              </w:rPr>
              <w:t>号</w:t>
            </w:r>
            <w:r w:rsidRPr="00AF6157">
              <w:rPr>
                <w:rFonts w:ascii="Arial" w:eastAsia="仿宋_GB2312" w:hAnsi="Arial" w:cs="Arial"/>
                <w:sz w:val="18"/>
                <w:szCs w:val="18"/>
              </w:rPr>
              <w:t>2</w:t>
            </w:r>
            <w:r w:rsidRPr="00AF6157">
              <w:rPr>
                <w:rFonts w:ascii="Arial" w:eastAsia="仿宋_GB2312" w:hAnsi="Arial" w:cs="Arial"/>
                <w:sz w:val="18"/>
                <w:szCs w:val="18"/>
              </w:rPr>
              <w:t>幢、</w:t>
            </w:r>
            <w:r w:rsidRPr="00AF6157">
              <w:rPr>
                <w:rFonts w:ascii="Arial" w:eastAsia="仿宋_GB2312" w:hAnsi="Arial" w:cs="Arial"/>
                <w:sz w:val="18"/>
                <w:szCs w:val="18"/>
              </w:rPr>
              <w:t>8</w:t>
            </w:r>
            <w:r w:rsidRPr="00AF6157">
              <w:rPr>
                <w:rFonts w:ascii="Arial" w:eastAsia="仿宋_GB2312" w:hAnsi="Arial" w:cs="Arial"/>
                <w:sz w:val="18"/>
                <w:szCs w:val="18"/>
              </w:rPr>
              <w:t>幢项目现状机关团体、住宿餐饮项目</w:t>
            </w:r>
          </w:p>
          <w:p w14:paraId="536F2BE2"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p>
        </w:tc>
        <w:tc>
          <w:tcPr>
            <w:tcW w:w="990" w:type="pct"/>
            <w:tcBorders>
              <w:top w:val="nil"/>
              <w:left w:val="nil"/>
              <w:bottom w:val="single" w:sz="4" w:space="0" w:color="auto"/>
              <w:right w:val="single" w:sz="4" w:space="0" w:color="auto"/>
            </w:tcBorders>
            <w:shd w:val="clear" w:color="auto" w:fill="auto"/>
            <w:vAlign w:val="center"/>
            <w:hideMark/>
          </w:tcPr>
          <w:p w14:paraId="6AF35D15"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sz w:val="18"/>
                <w:szCs w:val="18"/>
              </w:rPr>
              <w:t>朝阳区百子</w:t>
            </w:r>
            <w:proofErr w:type="gramStart"/>
            <w:r w:rsidRPr="00AF6157">
              <w:rPr>
                <w:rFonts w:ascii="Arial" w:eastAsia="仿宋_GB2312" w:hAnsi="Arial" w:cs="Arial"/>
                <w:sz w:val="18"/>
                <w:szCs w:val="18"/>
              </w:rPr>
              <w:t>湾路</w:t>
            </w:r>
            <w:proofErr w:type="gramEnd"/>
            <w:r w:rsidRPr="00AF6157">
              <w:rPr>
                <w:rFonts w:ascii="Arial" w:eastAsia="仿宋_GB2312" w:hAnsi="Arial" w:cs="Arial"/>
                <w:sz w:val="18"/>
                <w:szCs w:val="18"/>
              </w:rPr>
              <w:t>28</w:t>
            </w:r>
            <w:r w:rsidRPr="00AF6157">
              <w:rPr>
                <w:rFonts w:ascii="Arial" w:eastAsia="仿宋_GB2312" w:hAnsi="Arial" w:cs="Arial"/>
                <w:sz w:val="18"/>
                <w:szCs w:val="18"/>
              </w:rPr>
              <w:t>号人民日报社百子</w:t>
            </w:r>
            <w:proofErr w:type="gramStart"/>
            <w:r w:rsidRPr="00AF6157">
              <w:rPr>
                <w:rFonts w:ascii="Arial" w:eastAsia="仿宋_GB2312" w:hAnsi="Arial" w:cs="Arial"/>
                <w:sz w:val="18"/>
                <w:szCs w:val="18"/>
              </w:rPr>
              <w:t>湾职工</w:t>
            </w:r>
            <w:proofErr w:type="gramEnd"/>
            <w:r w:rsidRPr="00AF6157">
              <w:rPr>
                <w:rFonts w:ascii="Arial" w:eastAsia="仿宋_GB2312" w:hAnsi="Arial" w:cs="Arial"/>
                <w:sz w:val="18"/>
                <w:szCs w:val="18"/>
              </w:rPr>
              <w:t>住宅项目</w:t>
            </w:r>
          </w:p>
        </w:tc>
      </w:tr>
      <w:tr w:rsidR="000E7771" w:rsidRPr="00F631FB" w14:paraId="544011DE" w14:textId="77777777" w:rsidTr="004F0BE4">
        <w:trPr>
          <w:trHeight w:val="270"/>
        </w:trPr>
        <w:tc>
          <w:tcPr>
            <w:tcW w:w="1249" w:type="pct"/>
            <w:gridSpan w:val="2"/>
            <w:tcBorders>
              <w:top w:val="nil"/>
              <w:left w:val="single" w:sz="4" w:space="0" w:color="auto"/>
              <w:bottom w:val="single" w:sz="4" w:space="0" w:color="auto"/>
              <w:right w:val="single" w:sz="4" w:space="0" w:color="auto"/>
            </w:tcBorders>
            <w:shd w:val="clear" w:color="auto" w:fill="auto"/>
            <w:noWrap/>
            <w:vAlign w:val="center"/>
            <w:hideMark/>
          </w:tcPr>
          <w:p w14:paraId="5B70A82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969" w:type="pct"/>
            <w:tcBorders>
              <w:top w:val="nil"/>
              <w:left w:val="nil"/>
              <w:bottom w:val="single" w:sz="4" w:space="0" w:color="auto"/>
              <w:right w:val="single" w:sz="4" w:space="0" w:color="auto"/>
            </w:tcBorders>
            <w:shd w:val="clear" w:color="auto" w:fill="auto"/>
            <w:vAlign w:val="center"/>
            <w:hideMark/>
          </w:tcPr>
          <w:p w14:paraId="0BEEE6F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10</w:t>
            </w:r>
            <w:r>
              <w:rPr>
                <w:rFonts w:ascii="Arial" w:eastAsia="仿宋_GB2312" w:hAnsi="Arial" w:cs="Arial"/>
                <w:sz w:val="18"/>
                <w:szCs w:val="18"/>
              </w:rPr>
              <w:t>月</w:t>
            </w:r>
            <w:r>
              <w:rPr>
                <w:rFonts w:ascii="Arial" w:eastAsia="仿宋_GB2312" w:hAnsi="Arial" w:cs="Arial"/>
                <w:sz w:val="18"/>
                <w:szCs w:val="18"/>
              </w:rPr>
              <w:t>15</w:t>
            </w:r>
            <w:r>
              <w:rPr>
                <w:rFonts w:ascii="Arial" w:eastAsia="仿宋_GB2312" w:hAnsi="Arial" w:cs="Arial"/>
                <w:sz w:val="18"/>
                <w:szCs w:val="18"/>
              </w:rPr>
              <w:t>日</w:t>
            </w:r>
          </w:p>
        </w:tc>
        <w:tc>
          <w:tcPr>
            <w:tcW w:w="881" w:type="pct"/>
            <w:tcBorders>
              <w:top w:val="nil"/>
              <w:left w:val="nil"/>
              <w:bottom w:val="single" w:sz="4" w:space="0" w:color="auto"/>
              <w:right w:val="single" w:sz="4" w:space="0" w:color="auto"/>
            </w:tcBorders>
            <w:shd w:val="clear" w:color="auto" w:fill="auto"/>
            <w:vAlign w:val="center"/>
            <w:hideMark/>
          </w:tcPr>
          <w:p w14:paraId="671E3CB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2019</w:t>
            </w:r>
            <w:r w:rsidRPr="00F631FB">
              <w:rPr>
                <w:rFonts w:ascii="Arial" w:eastAsia="仿宋_GB2312" w:hAnsi="Arial" w:cs="Arial"/>
                <w:sz w:val="18"/>
                <w:szCs w:val="18"/>
              </w:rPr>
              <w:t>年</w:t>
            </w:r>
            <w:r>
              <w:rPr>
                <w:rFonts w:ascii="Arial" w:eastAsia="仿宋_GB2312" w:hAnsi="Arial" w:cs="Arial" w:hint="eastAsia"/>
                <w:sz w:val="18"/>
                <w:szCs w:val="18"/>
              </w:rPr>
              <w:t>1</w:t>
            </w:r>
            <w:r w:rsidRPr="00F631FB">
              <w:rPr>
                <w:rFonts w:ascii="Arial" w:eastAsia="仿宋_GB2312" w:hAnsi="Arial" w:cs="Arial"/>
                <w:sz w:val="18"/>
                <w:szCs w:val="18"/>
              </w:rPr>
              <w:t>月</w:t>
            </w:r>
          </w:p>
        </w:tc>
        <w:tc>
          <w:tcPr>
            <w:tcW w:w="911" w:type="pct"/>
            <w:tcBorders>
              <w:top w:val="nil"/>
              <w:left w:val="nil"/>
              <w:bottom w:val="single" w:sz="4" w:space="0" w:color="auto"/>
              <w:right w:val="single" w:sz="4" w:space="0" w:color="auto"/>
            </w:tcBorders>
            <w:shd w:val="clear" w:color="auto" w:fill="auto"/>
            <w:vAlign w:val="center"/>
            <w:hideMark/>
          </w:tcPr>
          <w:p w14:paraId="0E0BDC7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w:t>
            </w:r>
            <w:r>
              <w:rPr>
                <w:rFonts w:ascii="Arial" w:eastAsia="仿宋_GB2312" w:hAnsi="Arial" w:cs="Arial"/>
                <w:sz w:val="18"/>
                <w:szCs w:val="18"/>
              </w:rPr>
              <w:t>19</w:t>
            </w:r>
            <w:r w:rsidRPr="00F631FB">
              <w:rPr>
                <w:rFonts w:ascii="Arial" w:eastAsia="仿宋_GB2312" w:hAnsi="Arial" w:cs="Arial"/>
                <w:sz w:val="18"/>
                <w:szCs w:val="18"/>
              </w:rPr>
              <w:t>年</w:t>
            </w:r>
            <w:r>
              <w:rPr>
                <w:rFonts w:ascii="Arial" w:eastAsia="仿宋_GB2312" w:hAnsi="Arial" w:cs="Arial" w:hint="eastAsia"/>
                <w:sz w:val="18"/>
                <w:szCs w:val="18"/>
              </w:rPr>
              <w:t>2</w:t>
            </w:r>
            <w:r w:rsidRPr="00F631FB">
              <w:rPr>
                <w:rFonts w:ascii="Arial" w:eastAsia="仿宋_GB2312" w:hAnsi="Arial" w:cs="Arial"/>
                <w:sz w:val="18"/>
                <w:szCs w:val="18"/>
              </w:rPr>
              <w:t>月</w:t>
            </w:r>
          </w:p>
        </w:tc>
        <w:tc>
          <w:tcPr>
            <w:tcW w:w="990" w:type="pct"/>
            <w:tcBorders>
              <w:top w:val="nil"/>
              <w:left w:val="nil"/>
              <w:bottom w:val="single" w:sz="4" w:space="0" w:color="auto"/>
              <w:right w:val="single" w:sz="4" w:space="0" w:color="auto"/>
            </w:tcBorders>
            <w:shd w:val="clear" w:color="auto" w:fill="auto"/>
            <w:vAlign w:val="center"/>
            <w:hideMark/>
          </w:tcPr>
          <w:p w14:paraId="7814E27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w:t>
            </w:r>
            <w:r w:rsidRPr="00F631FB">
              <w:rPr>
                <w:rFonts w:ascii="Arial" w:eastAsia="仿宋_GB2312" w:hAnsi="Arial" w:cs="Arial" w:hint="eastAsia"/>
                <w:sz w:val="18"/>
                <w:szCs w:val="18"/>
              </w:rPr>
              <w:t>1</w:t>
            </w:r>
            <w:r w:rsidRPr="00F631FB">
              <w:rPr>
                <w:rFonts w:ascii="Arial" w:eastAsia="仿宋_GB2312" w:hAnsi="Arial" w:cs="Arial"/>
                <w:sz w:val="18"/>
                <w:szCs w:val="18"/>
              </w:rPr>
              <w:t>年</w:t>
            </w:r>
            <w:r>
              <w:rPr>
                <w:rFonts w:ascii="Arial" w:eastAsia="仿宋_GB2312" w:hAnsi="Arial" w:cs="Arial" w:hint="eastAsia"/>
                <w:sz w:val="18"/>
                <w:szCs w:val="18"/>
              </w:rPr>
              <w:t>3</w:t>
            </w:r>
            <w:r w:rsidRPr="00F631FB">
              <w:rPr>
                <w:rFonts w:ascii="Arial" w:eastAsia="仿宋_GB2312" w:hAnsi="Arial" w:cs="Arial"/>
                <w:sz w:val="18"/>
                <w:szCs w:val="18"/>
              </w:rPr>
              <w:t>月</w:t>
            </w:r>
          </w:p>
        </w:tc>
      </w:tr>
      <w:tr w:rsidR="000E7771" w:rsidRPr="00F631FB" w14:paraId="51C3010F" w14:textId="77777777" w:rsidTr="004F0BE4">
        <w:trPr>
          <w:trHeight w:val="270"/>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A659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969" w:type="pct"/>
            <w:tcBorders>
              <w:top w:val="nil"/>
              <w:left w:val="nil"/>
              <w:bottom w:val="single" w:sz="4" w:space="0" w:color="auto"/>
              <w:right w:val="single" w:sz="4" w:space="0" w:color="auto"/>
            </w:tcBorders>
            <w:shd w:val="clear" w:color="auto" w:fill="auto"/>
            <w:vAlign w:val="center"/>
            <w:hideMark/>
          </w:tcPr>
          <w:p w14:paraId="79171F1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881" w:type="pct"/>
            <w:tcBorders>
              <w:top w:val="nil"/>
              <w:left w:val="nil"/>
              <w:bottom w:val="single" w:sz="4" w:space="0" w:color="auto"/>
              <w:right w:val="single" w:sz="4" w:space="0" w:color="auto"/>
            </w:tcBorders>
            <w:shd w:val="clear" w:color="auto" w:fill="auto"/>
            <w:vAlign w:val="center"/>
            <w:hideMark/>
          </w:tcPr>
          <w:p w14:paraId="07100CF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11" w:type="pct"/>
            <w:tcBorders>
              <w:top w:val="nil"/>
              <w:left w:val="nil"/>
              <w:bottom w:val="single" w:sz="4" w:space="0" w:color="auto"/>
              <w:right w:val="single" w:sz="4" w:space="0" w:color="auto"/>
            </w:tcBorders>
            <w:shd w:val="clear" w:color="auto" w:fill="auto"/>
            <w:vAlign w:val="center"/>
            <w:hideMark/>
          </w:tcPr>
          <w:p w14:paraId="0DCE63A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90" w:type="pct"/>
            <w:tcBorders>
              <w:top w:val="nil"/>
              <w:left w:val="nil"/>
              <w:bottom w:val="single" w:sz="4" w:space="0" w:color="auto"/>
              <w:right w:val="single" w:sz="4" w:space="0" w:color="auto"/>
            </w:tcBorders>
            <w:shd w:val="clear" w:color="auto" w:fill="auto"/>
            <w:vAlign w:val="center"/>
            <w:hideMark/>
          </w:tcPr>
          <w:p w14:paraId="41D2DF0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r>
      <w:tr w:rsidR="000E7771" w:rsidRPr="00F631FB" w14:paraId="4B02A3A0" w14:textId="77777777" w:rsidTr="004F0BE4">
        <w:trPr>
          <w:trHeight w:val="270"/>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C7D6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969" w:type="pct"/>
            <w:tcBorders>
              <w:top w:val="nil"/>
              <w:left w:val="nil"/>
              <w:bottom w:val="single" w:sz="4" w:space="0" w:color="auto"/>
              <w:right w:val="single" w:sz="4" w:space="0" w:color="auto"/>
            </w:tcBorders>
            <w:shd w:val="clear" w:color="auto" w:fill="auto"/>
            <w:vAlign w:val="center"/>
            <w:hideMark/>
          </w:tcPr>
          <w:p w14:paraId="1733DA4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c>
          <w:tcPr>
            <w:tcW w:w="881" w:type="pct"/>
            <w:tcBorders>
              <w:top w:val="nil"/>
              <w:left w:val="nil"/>
              <w:bottom w:val="single" w:sz="4" w:space="0" w:color="auto"/>
              <w:right w:val="single" w:sz="4" w:space="0" w:color="auto"/>
            </w:tcBorders>
            <w:shd w:val="clear" w:color="auto" w:fill="auto"/>
            <w:vAlign w:val="center"/>
            <w:hideMark/>
          </w:tcPr>
          <w:p w14:paraId="3B495A9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c>
          <w:tcPr>
            <w:tcW w:w="911" w:type="pct"/>
            <w:tcBorders>
              <w:top w:val="nil"/>
              <w:left w:val="nil"/>
              <w:bottom w:val="single" w:sz="4" w:space="0" w:color="auto"/>
              <w:right w:val="single" w:sz="4" w:space="0" w:color="auto"/>
            </w:tcBorders>
            <w:shd w:val="clear" w:color="auto" w:fill="auto"/>
            <w:vAlign w:val="center"/>
            <w:hideMark/>
          </w:tcPr>
          <w:p w14:paraId="08251E5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c>
          <w:tcPr>
            <w:tcW w:w="990" w:type="pct"/>
            <w:tcBorders>
              <w:top w:val="nil"/>
              <w:left w:val="nil"/>
              <w:bottom w:val="single" w:sz="4" w:space="0" w:color="auto"/>
              <w:right w:val="single" w:sz="4" w:space="0" w:color="auto"/>
            </w:tcBorders>
            <w:shd w:val="clear" w:color="auto" w:fill="auto"/>
            <w:vAlign w:val="center"/>
            <w:hideMark/>
          </w:tcPr>
          <w:p w14:paraId="1308932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r>
      <w:tr w:rsidR="000E7771" w:rsidRPr="00F631FB" w14:paraId="3D5A9722" w14:textId="77777777" w:rsidTr="004F0BE4">
        <w:trPr>
          <w:trHeight w:val="270"/>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4C042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969" w:type="pct"/>
            <w:tcBorders>
              <w:top w:val="nil"/>
              <w:left w:val="nil"/>
              <w:bottom w:val="single" w:sz="4" w:space="0" w:color="auto"/>
              <w:right w:val="single" w:sz="4" w:space="0" w:color="auto"/>
            </w:tcBorders>
            <w:shd w:val="clear" w:color="auto" w:fill="auto"/>
            <w:vAlign w:val="center"/>
          </w:tcPr>
          <w:p w14:paraId="6247E32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0</w:t>
            </w:r>
          </w:p>
        </w:tc>
        <w:tc>
          <w:tcPr>
            <w:tcW w:w="881" w:type="pct"/>
            <w:tcBorders>
              <w:top w:val="nil"/>
              <w:left w:val="nil"/>
              <w:bottom w:val="single" w:sz="4" w:space="0" w:color="auto"/>
              <w:right w:val="single" w:sz="4" w:space="0" w:color="auto"/>
            </w:tcBorders>
            <w:shd w:val="clear" w:color="auto" w:fill="auto"/>
            <w:vAlign w:val="center"/>
          </w:tcPr>
          <w:p w14:paraId="7AE2DFC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0</w:t>
            </w:r>
          </w:p>
        </w:tc>
        <w:tc>
          <w:tcPr>
            <w:tcW w:w="911" w:type="pct"/>
            <w:tcBorders>
              <w:top w:val="nil"/>
              <w:left w:val="nil"/>
              <w:bottom w:val="single" w:sz="4" w:space="0" w:color="auto"/>
              <w:right w:val="single" w:sz="4" w:space="0" w:color="auto"/>
            </w:tcBorders>
            <w:shd w:val="clear" w:color="auto" w:fill="auto"/>
            <w:vAlign w:val="center"/>
          </w:tcPr>
          <w:p w14:paraId="6CAEE7F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0</w:t>
            </w:r>
          </w:p>
        </w:tc>
        <w:tc>
          <w:tcPr>
            <w:tcW w:w="990" w:type="pct"/>
            <w:tcBorders>
              <w:top w:val="nil"/>
              <w:left w:val="nil"/>
              <w:bottom w:val="single" w:sz="4" w:space="0" w:color="auto"/>
              <w:right w:val="single" w:sz="4" w:space="0" w:color="auto"/>
            </w:tcBorders>
            <w:shd w:val="clear" w:color="auto" w:fill="auto"/>
            <w:vAlign w:val="center"/>
          </w:tcPr>
          <w:p w14:paraId="0D0614D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0</w:t>
            </w:r>
          </w:p>
        </w:tc>
      </w:tr>
      <w:tr w:rsidR="000E7771" w:rsidRPr="00F631FB" w14:paraId="360E0905" w14:textId="77777777" w:rsidTr="004F0BE4">
        <w:trPr>
          <w:trHeight w:val="675"/>
        </w:trPr>
        <w:tc>
          <w:tcPr>
            <w:tcW w:w="205" w:type="pct"/>
            <w:vMerge w:val="restart"/>
            <w:tcBorders>
              <w:top w:val="nil"/>
              <w:left w:val="single" w:sz="4" w:space="0" w:color="auto"/>
              <w:bottom w:val="single" w:sz="4" w:space="0" w:color="auto"/>
              <w:right w:val="single" w:sz="4" w:space="0" w:color="auto"/>
            </w:tcBorders>
            <w:shd w:val="clear" w:color="auto" w:fill="auto"/>
            <w:vAlign w:val="center"/>
            <w:hideMark/>
          </w:tcPr>
          <w:p w14:paraId="5764C61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044" w:type="pct"/>
            <w:tcBorders>
              <w:top w:val="nil"/>
              <w:left w:val="nil"/>
              <w:bottom w:val="single" w:sz="4" w:space="0" w:color="auto"/>
              <w:right w:val="single" w:sz="4" w:space="0" w:color="auto"/>
            </w:tcBorders>
            <w:shd w:val="clear" w:color="auto" w:fill="auto"/>
            <w:noWrap/>
            <w:vAlign w:val="center"/>
            <w:hideMark/>
          </w:tcPr>
          <w:p w14:paraId="500F8EC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办公集聚程度</w:t>
            </w:r>
          </w:p>
        </w:tc>
        <w:tc>
          <w:tcPr>
            <w:tcW w:w="969" w:type="pct"/>
            <w:tcBorders>
              <w:top w:val="nil"/>
              <w:left w:val="nil"/>
              <w:bottom w:val="single" w:sz="4" w:space="0" w:color="auto"/>
              <w:right w:val="single" w:sz="4" w:space="0" w:color="auto"/>
            </w:tcBorders>
            <w:shd w:val="clear" w:color="auto" w:fill="auto"/>
            <w:vAlign w:val="center"/>
            <w:hideMark/>
          </w:tcPr>
          <w:p w14:paraId="7FE489B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A0789">
              <w:rPr>
                <w:rFonts w:ascii="Arial" w:eastAsia="仿宋_GB2312" w:hAnsi="Arial" w:cs="Arial" w:hint="eastAsia"/>
                <w:sz w:val="18"/>
                <w:szCs w:val="18"/>
              </w:rPr>
              <w:t>估价对象位于海淀区苏州街，估价对象周边有亿方大厦、</w:t>
            </w:r>
            <w:proofErr w:type="gramStart"/>
            <w:r w:rsidRPr="009A0789">
              <w:rPr>
                <w:rFonts w:ascii="Arial" w:eastAsia="仿宋_GB2312" w:hAnsi="Arial" w:cs="Arial" w:hint="eastAsia"/>
                <w:sz w:val="18"/>
                <w:szCs w:val="18"/>
              </w:rPr>
              <w:t>中电投大厦</w:t>
            </w:r>
            <w:proofErr w:type="gramEnd"/>
            <w:r w:rsidRPr="009A0789">
              <w:rPr>
                <w:rFonts w:ascii="Arial" w:eastAsia="仿宋_GB2312" w:hAnsi="Arial" w:cs="Arial" w:hint="eastAsia"/>
                <w:sz w:val="18"/>
                <w:szCs w:val="18"/>
              </w:rPr>
              <w:t>、国家电投大厦、</w:t>
            </w:r>
            <w:proofErr w:type="gramStart"/>
            <w:r w:rsidRPr="009A0789">
              <w:rPr>
                <w:rFonts w:ascii="Arial" w:eastAsia="仿宋_GB2312" w:hAnsi="Arial" w:cs="Arial" w:hint="eastAsia"/>
                <w:sz w:val="18"/>
                <w:szCs w:val="18"/>
              </w:rPr>
              <w:t>鼎钧大厦</w:t>
            </w:r>
            <w:proofErr w:type="gramEnd"/>
            <w:r w:rsidRPr="009A0789">
              <w:rPr>
                <w:rFonts w:ascii="Arial" w:eastAsia="仿宋_GB2312" w:hAnsi="Arial" w:cs="Arial" w:hint="eastAsia"/>
                <w:sz w:val="18"/>
                <w:szCs w:val="18"/>
              </w:rPr>
              <w:t>、</w:t>
            </w:r>
            <w:proofErr w:type="gramStart"/>
            <w:r w:rsidRPr="009A0789">
              <w:rPr>
                <w:rFonts w:ascii="Arial" w:eastAsia="仿宋_GB2312" w:hAnsi="Arial" w:cs="Arial" w:hint="eastAsia"/>
                <w:sz w:val="18"/>
                <w:szCs w:val="18"/>
              </w:rPr>
              <w:t>盈智大厦</w:t>
            </w:r>
            <w:proofErr w:type="gramEnd"/>
            <w:r w:rsidRPr="009A0789">
              <w:rPr>
                <w:rFonts w:ascii="Arial" w:eastAsia="仿宋_GB2312" w:hAnsi="Arial" w:cs="Arial" w:hint="eastAsia"/>
                <w:sz w:val="18"/>
                <w:szCs w:val="18"/>
              </w:rPr>
              <w:t>等写字楼项目，办公集聚程度较好。</w:t>
            </w:r>
          </w:p>
        </w:tc>
        <w:tc>
          <w:tcPr>
            <w:tcW w:w="881" w:type="pct"/>
            <w:tcBorders>
              <w:top w:val="nil"/>
              <w:left w:val="nil"/>
              <w:bottom w:val="single" w:sz="4" w:space="0" w:color="auto"/>
              <w:right w:val="single" w:sz="4" w:space="0" w:color="auto"/>
            </w:tcBorders>
            <w:shd w:val="clear" w:color="auto" w:fill="auto"/>
            <w:vAlign w:val="center"/>
            <w:hideMark/>
          </w:tcPr>
          <w:p w14:paraId="7D84C24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A0789">
              <w:rPr>
                <w:rFonts w:ascii="Arial" w:eastAsia="仿宋_GB2312" w:hAnsi="Arial" w:cs="Arial" w:hint="eastAsia"/>
                <w:sz w:val="18"/>
                <w:szCs w:val="18"/>
              </w:rPr>
              <w:t>周边有城建大厦、冠海大厦、环星大厦、中城写字楼等，办公集聚程度较好</w:t>
            </w:r>
          </w:p>
        </w:tc>
        <w:tc>
          <w:tcPr>
            <w:tcW w:w="911" w:type="pct"/>
            <w:tcBorders>
              <w:top w:val="nil"/>
              <w:left w:val="nil"/>
              <w:bottom w:val="single" w:sz="4" w:space="0" w:color="auto"/>
              <w:right w:val="single" w:sz="4" w:space="0" w:color="auto"/>
            </w:tcBorders>
            <w:shd w:val="clear" w:color="auto" w:fill="auto"/>
            <w:vAlign w:val="center"/>
            <w:hideMark/>
          </w:tcPr>
          <w:p w14:paraId="691E9EB8" w14:textId="77777777" w:rsidR="000E7771" w:rsidRPr="009A0789" w:rsidRDefault="000E7771" w:rsidP="004F0BE4">
            <w:pPr>
              <w:widowControl/>
              <w:adjustRightInd/>
              <w:spacing w:line="240" w:lineRule="auto"/>
              <w:jc w:val="center"/>
              <w:textAlignment w:val="auto"/>
              <w:rPr>
                <w:rFonts w:ascii="Arial" w:eastAsia="仿宋_GB2312" w:hAnsi="Arial" w:cs="Arial"/>
                <w:sz w:val="18"/>
                <w:szCs w:val="18"/>
              </w:rPr>
            </w:pPr>
            <w:r w:rsidRPr="009A0789">
              <w:rPr>
                <w:rFonts w:ascii="Arial" w:eastAsia="仿宋_GB2312" w:hAnsi="Arial" w:cs="Arial" w:hint="eastAsia"/>
                <w:sz w:val="18"/>
                <w:szCs w:val="18"/>
              </w:rPr>
              <w:t>周边有广东大厦、</w:t>
            </w:r>
            <w:proofErr w:type="gramStart"/>
            <w:r w:rsidRPr="009A0789">
              <w:rPr>
                <w:rFonts w:ascii="Arial" w:eastAsia="仿宋_GB2312" w:hAnsi="Arial" w:cs="Arial" w:hint="eastAsia"/>
                <w:sz w:val="18"/>
                <w:szCs w:val="18"/>
              </w:rPr>
              <w:t>裕惠大厦</w:t>
            </w:r>
            <w:proofErr w:type="gramEnd"/>
            <w:r w:rsidRPr="009A0789">
              <w:rPr>
                <w:rFonts w:ascii="Arial" w:eastAsia="仿宋_GB2312" w:hAnsi="Arial" w:cs="Arial" w:hint="eastAsia"/>
                <w:sz w:val="18"/>
                <w:szCs w:val="18"/>
              </w:rPr>
              <w:t>、银都大厦等，办公集聚程度较好</w:t>
            </w:r>
          </w:p>
          <w:p w14:paraId="56BBF333" w14:textId="77777777" w:rsidR="000E7771" w:rsidRPr="009A0789" w:rsidRDefault="000E7771" w:rsidP="004F0BE4">
            <w:pPr>
              <w:widowControl/>
              <w:adjustRightInd/>
              <w:spacing w:line="240" w:lineRule="auto"/>
              <w:jc w:val="center"/>
              <w:textAlignment w:val="auto"/>
              <w:rPr>
                <w:rFonts w:ascii="Arial" w:eastAsia="仿宋_GB2312" w:hAnsi="Arial" w:cs="Arial"/>
                <w:sz w:val="18"/>
                <w:szCs w:val="18"/>
              </w:rPr>
            </w:pPr>
          </w:p>
        </w:tc>
        <w:tc>
          <w:tcPr>
            <w:tcW w:w="990" w:type="pct"/>
            <w:tcBorders>
              <w:top w:val="nil"/>
              <w:left w:val="nil"/>
              <w:bottom w:val="single" w:sz="4" w:space="0" w:color="auto"/>
              <w:right w:val="single" w:sz="4" w:space="0" w:color="auto"/>
            </w:tcBorders>
            <w:shd w:val="clear" w:color="auto" w:fill="auto"/>
            <w:vAlign w:val="center"/>
            <w:hideMark/>
          </w:tcPr>
          <w:p w14:paraId="036DDD1F" w14:textId="77777777" w:rsidR="000E7771" w:rsidRPr="009A0789" w:rsidRDefault="000E7771" w:rsidP="004F0BE4">
            <w:pPr>
              <w:widowControl/>
              <w:adjustRightInd/>
              <w:spacing w:line="240" w:lineRule="auto"/>
              <w:jc w:val="center"/>
              <w:textAlignment w:val="auto"/>
              <w:rPr>
                <w:rFonts w:ascii="Arial" w:eastAsia="仿宋_GB2312" w:hAnsi="Arial" w:cs="Arial"/>
                <w:sz w:val="18"/>
                <w:szCs w:val="18"/>
              </w:rPr>
            </w:pPr>
            <w:r w:rsidRPr="009A0789">
              <w:rPr>
                <w:rFonts w:ascii="Arial" w:eastAsia="仿宋_GB2312" w:hAnsi="Arial" w:cs="Arial" w:hint="eastAsia"/>
                <w:sz w:val="18"/>
                <w:szCs w:val="18"/>
              </w:rPr>
              <w:t>周边有中</w:t>
            </w:r>
            <w:proofErr w:type="gramStart"/>
            <w:r w:rsidRPr="009A0789">
              <w:rPr>
                <w:rFonts w:ascii="Arial" w:eastAsia="仿宋_GB2312" w:hAnsi="Arial" w:cs="Arial" w:hint="eastAsia"/>
                <w:sz w:val="18"/>
                <w:szCs w:val="18"/>
              </w:rPr>
              <w:t>核教育</w:t>
            </w:r>
            <w:proofErr w:type="gramEnd"/>
            <w:r w:rsidRPr="009A0789">
              <w:rPr>
                <w:rFonts w:ascii="Arial" w:eastAsia="仿宋_GB2312" w:hAnsi="Arial" w:cs="Arial" w:hint="eastAsia"/>
                <w:sz w:val="18"/>
                <w:szCs w:val="18"/>
              </w:rPr>
              <w:t>大厦、北京二十二院街艺术区等，办公集聚程度较好</w:t>
            </w:r>
          </w:p>
          <w:p w14:paraId="28C8AFD3" w14:textId="77777777" w:rsidR="000E7771" w:rsidRPr="009A0789" w:rsidRDefault="000E7771" w:rsidP="004F0BE4">
            <w:pPr>
              <w:widowControl/>
              <w:adjustRightInd/>
              <w:spacing w:line="240" w:lineRule="auto"/>
              <w:jc w:val="center"/>
              <w:textAlignment w:val="auto"/>
              <w:rPr>
                <w:rFonts w:ascii="Arial" w:eastAsia="仿宋_GB2312" w:hAnsi="Arial" w:cs="Arial"/>
                <w:sz w:val="18"/>
                <w:szCs w:val="18"/>
              </w:rPr>
            </w:pPr>
          </w:p>
        </w:tc>
      </w:tr>
      <w:tr w:rsidR="000E7771" w:rsidRPr="00F631FB" w14:paraId="61EA067B" w14:textId="77777777" w:rsidTr="004F0BE4">
        <w:trPr>
          <w:trHeight w:val="2550"/>
        </w:trPr>
        <w:tc>
          <w:tcPr>
            <w:tcW w:w="205" w:type="pct"/>
            <w:vMerge/>
            <w:tcBorders>
              <w:top w:val="nil"/>
              <w:left w:val="single" w:sz="4" w:space="0" w:color="auto"/>
              <w:bottom w:val="single" w:sz="4" w:space="0" w:color="auto"/>
              <w:right w:val="single" w:sz="4" w:space="0" w:color="auto"/>
            </w:tcBorders>
            <w:vAlign w:val="center"/>
            <w:hideMark/>
          </w:tcPr>
          <w:p w14:paraId="537CD6B6"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7745F26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969" w:type="pct"/>
            <w:tcBorders>
              <w:top w:val="nil"/>
              <w:left w:val="nil"/>
              <w:bottom w:val="single" w:sz="4" w:space="0" w:color="auto"/>
              <w:right w:val="single" w:sz="4" w:space="0" w:color="auto"/>
            </w:tcBorders>
            <w:shd w:val="clear" w:color="auto" w:fill="auto"/>
            <w:vAlign w:val="center"/>
            <w:hideMark/>
          </w:tcPr>
          <w:p w14:paraId="51718E5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hint="eastAsia"/>
                <w:sz w:val="18"/>
                <w:szCs w:val="18"/>
              </w:rPr>
              <w:t>估价对象紧邻城市主干道—海淀南路、苏州街，南距北三环西路约</w:t>
            </w:r>
            <w:r w:rsidRPr="00AF6157">
              <w:rPr>
                <w:rFonts w:ascii="Arial" w:eastAsia="仿宋_GB2312" w:hAnsi="Arial" w:cs="Arial" w:hint="eastAsia"/>
                <w:sz w:val="18"/>
                <w:szCs w:val="18"/>
              </w:rPr>
              <w:t>1500</w:t>
            </w:r>
            <w:r w:rsidRPr="00AF6157">
              <w:rPr>
                <w:rFonts w:ascii="Arial" w:eastAsia="仿宋_GB2312" w:hAnsi="Arial" w:cs="Arial" w:hint="eastAsia"/>
                <w:sz w:val="18"/>
                <w:szCs w:val="18"/>
              </w:rPr>
              <w:t>米，距北京首都国际机场约</w:t>
            </w:r>
            <w:r w:rsidRPr="00AF6157">
              <w:rPr>
                <w:rFonts w:ascii="Arial" w:eastAsia="仿宋_GB2312" w:hAnsi="Arial" w:cs="Arial" w:hint="eastAsia"/>
                <w:sz w:val="18"/>
                <w:szCs w:val="18"/>
              </w:rPr>
              <w:t>29</w:t>
            </w:r>
            <w:r w:rsidRPr="00AF6157">
              <w:rPr>
                <w:rFonts w:ascii="Arial" w:eastAsia="仿宋_GB2312" w:hAnsi="Arial" w:cs="Arial" w:hint="eastAsia"/>
                <w:sz w:val="18"/>
                <w:szCs w:val="18"/>
              </w:rPr>
              <w:t>公里，距北京站约</w:t>
            </w:r>
            <w:r w:rsidRPr="00AF6157">
              <w:rPr>
                <w:rFonts w:ascii="Arial" w:eastAsia="仿宋_GB2312" w:hAnsi="Arial" w:cs="Arial" w:hint="eastAsia"/>
                <w:sz w:val="18"/>
                <w:szCs w:val="18"/>
              </w:rPr>
              <w:t>13</w:t>
            </w:r>
            <w:r w:rsidRPr="00AF6157">
              <w:rPr>
                <w:rFonts w:ascii="Arial" w:eastAsia="仿宋_GB2312" w:hAnsi="Arial" w:cs="Arial" w:hint="eastAsia"/>
                <w:sz w:val="18"/>
                <w:szCs w:val="18"/>
              </w:rPr>
              <w:t>公里，紧邻地铁</w:t>
            </w:r>
            <w:r w:rsidRPr="00AF6157">
              <w:rPr>
                <w:rFonts w:ascii="Arial" w:eastAsia="仿宋_GB2312" w:hAnsi="Arial" w:cs="Arial" w:hint="eastAsia"/>
                <w:sz w:val="18"/>
                <w:szCs w:val="18"/>
              </w:rPr>
              <w:t>10</w:t>
            </w:r>
            <w:r w:rsidRPr="00AF6157">
              <w:rPr>
                <w:rFonts w:ascii="Arial" w:eastAsia="仿宋_GB2312" w:hAnsi="Arial" w:cs="Arial" w:hint="eastAsia"/>
                <w:sz w:val="18"/>
                <w:szCs w:val="18"/>
              </w:rPr>
              <w:t>、</w:t>
            </w:r>
            <w:r w:rsidRPr="00AF6157">
              <w:rPr>
                <w:rFonts w:ascii="Arial" w:eastAsia="仿宋_GB2312" w:hAnsi="Arial" w:cs="Arial" w:hint="eastAsia"/>
                <w:sz w:val="18"/>
                <w:szCs w:val="18"/>
              </w:rPr>
              <w:t>16</w:t>
            </w:r>
            <w:r w:rsidRPr="00AF6157">
              <w:rPr>
                <w:rFonts w:ascii="Arial" w:eastAsia="仿宋_GB2312" w:hAnsi="Arial" w:cs="Arial" w:hint="eastAsia"/>
                <w:sz w:val="18"/>
                <w:szCs w:val="18"/>
              </w:rPr>
              <w:t>号线（苏州街站），周边有</w:t>
            </w:r>
            <w:r w:rsidRPr="00AF6157">
              <w:rPr>
                <w:rFonts w:ascii="Arial" w:eastAsia="仿宋_GB2312" w:hAnsi="Arial" w:cs="Arial" w:hint="eastAsia"/>
                <w:sz w:val="18"/>
                <w:szCs w:val="18"/>
              </w:rPr>
              <w:t>304</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307</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386</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630</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634</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671</w:t>
            </w:r>
            <w:r w:rsidRPr="00AF6157">
              <w:rPr>
                <w:rFonts w:ascii="Arial" w:eastAsia="仿宋_GB2312" w:hAnsi="Arial" w:cs="Arial" w:hint="eastAsia"/>
                <w:sz w:val="18"/>
                <w:szCs w:val="18"/>
              </w:rPr>
              <w:t>路等多条公交线路通过，综合评价交通便捷度较好。</w:t>
            </w:r>
          </w:p>
        </w:tc>
        <w:tc>
          <w:tcPr>
            <w:tcW w:w="881" w:type="pct"/>
            <w:tcBorders>
              <w:top w:val="nil"/>
              <w:left w:val="nil"/>
              <w:bottom w:val="single" w:sz="4" w:space="0" w:color="auto"/>
              <w:right w:val="single" w:sz="4" w:space="0" w:color="auto"/>
            </w:tcBorders>
            <w:shd w:val="clear" w:color="auto" w:fill="auto"/>
            <w:vAlign w:val="center"/>
            <w:hideMark/>
          </w:tcPr>
          <w:p w14:paraId="0C6F9F77"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AF6157">
              <w:rPr>
                <w:rFonts w:ascii="Arial" w:eastAsia="仿宋_GB2312" w:hAnsi="Arial" w:cs="Arial" w:hint="eastAsia"/>
                <w:sz w:val="18"/>
                <w:szCs w:val="18"/>
              </w:rPr>
              <w:t>距离地铁十号线牡丹园站约</w:t>
            </w:r>
            <w:r w:rsidRPr="00AF6157">
              <w:rPr>
                <w:rFonts w:ascii="Arial" w:eastAsia="仿宋_GB2312" w:hAnsi="Arial" w:cs="Arial" w:hint="eastAsia"/>
                <w:sz w:val="18"/>
                <w:szCs w:val="18"/>
              </w:rPr>
              <w:t>500</w:t>
            </w:r>
            <w:r w:rsidRPr="00AF6157">
              <w:rPr>
                <w:rFonts w:ascii="Arial" w:eastAsia="仿宋_GB2312" w:hAnsi="Arial" w:cs="Arial" w:hint="eastAsia"/>
                <w:sz w:val="18"/>
                <w:szCs w:val="18"/>
              </w:rPr>
              <w:t>米，区域道路较密集，距北三环约</w:t>
            </w:r>
            <w:r w:rsidRPr="00AF6157">
              <w:rPr>
                <w:rFonts w:ascii="Arial" w:eastAsia="仿宋_GB2312" w:hAnsi="Arial" w:cs="Arial" w:hint="eastAsia"/>
                <w:sz w:val="18"/>
                <w:szCs w:val="18"/>
              </w:rPr>
              <w:t>500</w:t>
            </w:r>
            <w:r w:rsidRPr="00AF6157">
              <w:rPr>
                <w:rFonts w:ascii="Arial" w:eastAsia="仿宋_GB2312" w:hAnsi="Arial" w:cs="Arial" w:hint="eastAsia"/>
                <w:sz w:val="18"/>
                <w:szCs w:val="18"/>
              </w:rPr>
              <w:t>米，距北京首都国际机场约</w:t>
            </w:r>
            <w:r w:rsidRPr="00AF6157">
              <w:rPr>
                <w:rFonts w:ascii="Arial" w:eastAsia="仿宋_GB2312" w:hAnsi="Arial" w:cs="Arial" w:hint="eastAsia"/>
                <w:sz w:val="18"/>
                <w:szCs w:val="18"/>
              </w:rPr>
              <w:t>22.9</w:t>
            </w:r>
            <w:r w:rsidRPr="00AF6157">
              <w:rPr>
                <w:rFonts w:ascii="Arial" w:eastAsia="仿宋_GB2312" w:hAnsi="Arial" w:cs="Arial" w:hint="eastAsia"/>
                <w:sz w:val="18"/>
                <w:szCs w:val="18"/>
              </w:rPr>
              <w:t>公里，距北京站约</w:t>
            </w:r>
            <w:r w:rsidRPr="00AF6157">
              <w:rPr>
                <w:rFonts w:ascii="Arial" w:eastAsia="仿宋_GB2312" w:hAnsi="Arial" w:cs="Arial" w:hint="eastAsia"/>
                <w:sz w:val="18"/>
                <w:szCs w:val="18"/>
              </w:rPr>
              <w:t>9</w:t>
            </w:r>
            <w:r w:rsidRPr="00AF6157">
              <w:rPr>
                <w:rFonts w:ascii="Arial" w:eastAsia="仿宋_GB2312" w:hAnsi="Arial" w:cs="Arial" w:hint="eastAsia"/>
                <w:sz w:val="18"/>
                <w:szCs w:val="18"/>
              </w:rPr>
              <w:t>公里，综合评价交通便捷度较好</w:t>
            </w:r>
          </w:p>
        </w:tc>
        <w:tc>
          <w:tcPr>
            <w:tcW w:w="911" w:type="pct"/>
            <w:tcBorders>
              <w:top w:val="nil"/>
              <w:left w:val="nil"/>
              <w:bottom w:val="single" w:sz="4" w:space="0" w:color="auto"/>
              <w:right w:val="single" w:sz="4" w:space="0" w:color="auto"/>
            </w:tcBorders>
            <w:shd w:val="clear" w:color="auto" w:fill="auto"/>
            <w:vAlign w:val="center"/>
            <w:hideMark/>
          </w:tcPr>
          <w:p w14:paraId="3145609D"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AF6157">
              <w:rPr>
                <w:rFonts w:ascii="Arial" w:eastAsia="仿宋_GB2312" w:hAnsi="Arial" w:cs="Arial" w:hint="eastAsia"/>
                <w:sz w:val="18"/>
                <w:szCs w:val="18"/>
              </w:rPr>
              <w:t>距离地铁十号线西钓鱼台站约</w:t>
            </w:r>
            <w:r w:rsidRPr="00AF6157">
              <w:rPr>
                <w:rFonts w:ascii="Arial" w:eastAsia="仿宋_GB2312" w:hAnsi="Arial" w:cs="Arial" w:hint="eastAsia"/>
                <w:sz w:val="18"/>
                <w:szCs w:val="18"/>
              </w:rPr>
              <w:t>500</w:t>
            </w:r>
            <w:r w:rsidRPr="00AF6157">
              <w:rPr>
                <w:rFonts w:ascii="Arial" w:eastAsia="仿宋_GB2312" w:hAnsi="Arial" w:cs="Arial" w:hint="eastAsia"/>
                <w:sz w:val="18"/>
                <w:szCs w:val="18"/>
              </w:rPr>
              <w:t>米，区域道路较密集，距西三环约</w:t>
            </w:r>
            <w:r w:rsidRPr="00AF6157">
              <w:rPr>
                <w:rFonts w:ascii="Arial" w:eastAsia="仿宋_GB2312" w:hAnsi="Arial" w:cs="Arial" w:hint="eastAsia"/>
                <w:sz w:val="18"/>
                <w:szCs w:val="18"/>
              </w:rPr>
              <w:t>700</w:t>
            </w:r>
            <w:r w:rsidRPr="00AF6157">
              <w:rPr>
                <w:rFonts w:ascii="Arial" w:eastAsia="仿宋_GB2312" w:hAnsi="Arial" w:cs="Arial" w:hint="eastAsia"/>
                <w:sz w:val="18"/>
                <w:szCs w:val="18"/>
              </w:rPr>
              <w:t>米，距北京首都国际机场约</w:t>
            </w:r>
            <w:r w:rsidRPr="00AF6157">
              <w:rPr>
                <w:rFonts w:ascii="Arial" w:eastAsia="仿宋_GB2312" w:hAnsi="Arial" w:cs="Arial" w:hint="eastAsia"/>
                <w:sz w:val="18"/>
                <w:szCs w:val="18"/>
              </w:rPr>
              <w:t>30.7</w:t>
            </w:r>
            <w:r w:rsidRPr="00AF6157">
              <w:rPr>
                <w:rFonts w:ascii="Arial" w:eastAsia="仿宋_GB2312" w:hAnsi="Arial" w:cs="Arial" w:hint="eastAsia"/>
                <w:sz w:val="18"/>
                <w:szCs w:val="18"/>
              </w:rPr>
              <w:t>公里，距北京站约</w:t>
            </w:r>
            <w:r w:rsidRPr="00AF6157">
              <w:rPr>
                <w:rFonts w:ascii="Arial" w:eastAsia="仿宋_GB2312" w:hAnsi="Arial" w:cs="Arial" w:hint="eastAsia"/>
                <w:sz w:val="18"/>
                <w:szCs w:val="18"/>
              </w:rPr>
              <w:t>11</w:t>
            </w:r>
            <w:r w:rsidRPr="00AF6157">
              <w:rPr>
                <w:rFonts w:ascii="Arial" w:eastAsia="仿宋_GB2312" w:hAnsi="Arial" w:cs="Arial" w:hint="eastAsia"/>
                <w:sz w:val="18"/>
                <w:szCs w:val="18"/>
              </w:rPr>
              <w:t>公里，综合评价交通便捷度较好</w:t>
            </w:r>
          </w:p>
        </w:tc>
        <w:tc>
          <w:tcPr>
            <w:tcW w:w="990" w:type="pct"/>
            <w:tcBorders>
              <w:top w:val="nil"/>
              <w:left w:val="nil"/>
              <w:bottom w:val="single" w:sz="4" w:space="0" w:color="auto"/>
              <w:right w:val="single" w:sz="4" w:space="0" w:color="auto"/>
            </w:tcBorders>
            <w:shd w:val="clear" w:color="auto" w:fill="auto"/>
            <w:vAlign w:val="center"/>
            <w:hideMark/>
          </w:tcPr>
          <w:p w14:paraId="4D982C58"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AF6157">
              <w:rPr>
                <w:rFonts w:ascii="Arial" w:eastAsia="仿宋_GB2312" w:hAnsi="Arial" w:cs="Arial" w:hint="eastAsia"/>
                <w:sz w:val="18"/>
                <w:szCs w:val="18"/>
              </w:rPr>
              <w:t>距离地铁</w:t>
            </w:r>
            <w:r w:rsidRPr="00AF6157">
              <w:rPr>
                <w:rFonts w:ascii="Arial" w:eastAsia="仿宋_GB2312" w:hAnsi="Arial" w:cs="Arial" w:hint="eastAsia"/>
                <w:sz w:val="18"/>
                <w:szCs w:val="18"/>
              </w:rPr>
              <w:t>14</w:t>
            </w:r>
            <w:r w:rsidRPr="00AF6157">
              <w:rPr>
                <w:rFonts w:ascii="Arial" w:eastAsia="仿宋_GB2312" w:hAnsi="Arial" w:cs="Arial" w:hint="eastAsia"/>
                <w:sz w:val="18"/>
                <w:szCs w:val="18"/>
              </w:rPr>
              <w:t>号线九龙山站约</w:t>
            </w:r>
            <w:r w:rsidRPr="00AF6157">
              <w:rPr>
                <w:rFonts w:ascii="Arial" w:eastAsia="仿宋_GB2312" w:hAnsi="Arial" w:cs="Arial" w:hint="eastAsia"/>
                <w:sz w:val="18"/>
                <w:szCs w:val="18"/>
              </w:rPr>
              <w:t>800</w:t>
            </w:r>
            <w:r w:rsidRPr="00AF6157">
              <w:rPr>
                <w:rFonts w:ascii="Arial" w:eastAsia="仿宋_GB2312" w:hAnsi="Arial" w:cs="Arial" w:hint="eastAsia"/>
                <w:sz w:val="18"/>
                <w:szCs w:val="18"/>
              </w:rPr>
              <w:t>米、大望路站约</w:t>
            </w:r>
            <w:r w:rsidRPr="00AF6157">
              <w:rPr>
                <w:rFonts w:ascii="Arial" w:eastAsia="仿宋_GB2312" w:hAnsi="Arial" w:cs="Arial" w:hint="eastAsia"/>
                <w:sz w:val="18"/>
                <w:szCs w:val="18"/>
              </w:rPr>
              <w:t>1</w:t>
            </w:r>
            <w:r w:rsidRPr="00AF6157">
              <w:rPr>
                <w:rFonts w:ascii="Arial" w:eastAsia="仿宋_GB2312" w:hAnsi="Arial" w:cs="Arial" w:hint="eastAsia"/>
                <w:sz w:val="18"/>
                <w:szCs w:val="18"/>
              </w:rPr>
              <w:t>公里，区域道路较密集，距东三环约</w:t>
            </w:r>
            <w:r w:rsidRPr="00AF6157">
              <w:rPr>
                <w:rFonts w:ascii="Arial" w:eastAsia="仿宋_GB2312" w:hAnsi="Arial" w:cs="Arial" w:hint="eastAsia"/>
                <w:sz w:val="18"/>
                <w:szCs w:val="18"/>
              </w:rPr>
              <w:t>1</w:t>
            </w:r>
            <w:r w:rsidRPr="00AF6157">
              <w:rPr>
                <w:rFonts w:ascii="Arial" w:eastAsia="仿宋_GB2312" w:hAnsi="Arial" w:cs="Arial" w:hint="eastAsia"/>
                <w:sz w:val="18"/>
                <w:szCs w:val="18"/>
              </w:rPr>
              <w:t>公里，距北京首都国际机场约</w:t>
            </w:r>
            <w:r w:rsidRPr="00AF6157">
              <w:rPr>
                <w:rFonts w:ascii="Arial" w:eastAsia="仿宋_GB2312" w:hAnsi="Arial" w:cs="Arial" w:hint="eastAsia"/>
                <w:sz w:val="18"/>
                <w:szCs w:val="18"/>
              </w:rPr>
              <w:t>22.6</w:t>
            </w:r>
            <w:r w:rsidRPr="00AF6157">
              <w:rPr>
                <w:rFonts w:ascii="Arial" w:eastAsia="仿宋_GB2312" w:hAnsi="Arial" w:cs="Arial" w:hint="eastAsia"/>
                <w:sz w:val="18"/>
                <w:szCs w:val="18"/>
              </w:rPr>
              <w:t>公里，距北京站约</w:t>
            </w:r>
            <w:r w:rsidRPr="00AF6157">
              <w:rPr>
                <w:rFonts w:ascii="Arial" w:eastAsia="仿宋_GB2312" w:hAnsi="Arial" w:cs="Arial" w:hint="eastAsia"/>
                <w:sz w:val="18"/>
                <w:szCs w:val="18"/>
              </w:rPr>
              <w:t>4</w:t>
            </w:r>
            <w:r w:rsidRPr="00AF6157">
              <w:rPr>
                <w:rFonts w:ascii="Arial" w:eastAsia="仿宋_GB2312" w:hAnsi="Arial" w:cs="Arial" w:hint="eastAsia"/>
                <w:sz w:val="18"/>
                <w:szCs w:val="18"/>
              </w:rPr>
              <w:t>公里，综合评价交通便捷度较好</w:t>
            </w:r>
          </w:p>
        </w:tc>
      </w:tr>
      <w:tr w:rsidR="000E7771" w:rsidRPr="00F631FB" w14:paraId="4BFD7CA4" w14:textId="77777777" w:rsidTr="004F0BE4">
        <w:trPr>
          <w:trHeight w:val="450"/>
        </w:trPr>
        <w:tc>
          <w:tcPr>
            <w:tcW w:w="205" w:type="pct"/>
            <w:vMerge/>
            <w:tcBorders>
              <w:top w:val="nil"/>
              <w:left w:val="single" w:sz="4" w:space="0" w:color="auto"/>
              <w:bottom w:val="single" w:sz="4" w:space="0" w:color="auto"/>
              <w:right w:val="single" w:sz="4" w:space="0" w:color="auto"/>
            </w:tcBorders>
            <w:vAlign w:val="center"/>
            <w:hideMark/>
          </w:tcPr>
          <w:p w14:paraId="6A0786B4"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3DC7A86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969" w:type="pct"/>
            <w:tcBorders>
              <w:top w:val="nil"/>
              <w:left w:val="nil"/>
              <w:bottom w:val="single" w:sz="4" w:space="0" w:color="auto"/>
              <w:right w:val="single" w:sz="4" w:space="0" w:color="auto"/>
            </w:tcBorders>
            <w:shd w:val="clear" w:color="auto" w:fill="auto"/>
            <w:vAlign w:val="center"/>
            <w:hideMark/>
          </w:tcPr>
          <w:p w14:paraId="2F94E27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881" w:type="pct"/>
            <w:tcBorders>
              <w:top w:val="nil"/>
              <w:left w:val="nil"/>
              <w:bottom w:val="single" w:sz="4" w:space="0" w:color="auto"/>
              <w:right w:val="single" w:sz="4" w:space="0" w:color="auto"/>
            </w:tcBorders>
            <w:shd w:val="clear" w:color="auto" w:fill="auto"/>
            <w:vAlign w:val="center"/>
            <w:hideMark/>
          </w:tcPr>
          <w:p w14:paraId="7DC0E80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11" w:type="pct"/>
            <w:tcBorders>
              <w:top w:val="nil"/>
              <w:left w:val="nil"/>
              <w:bottom w:val="single" w:sz="4" w:space="0" w:color="auto"/>
              <w:right w:val="single" w:sz="4" w:space="0" w:color="auto"/>
            </w:tcBorders>
            <w:shd w:val="clear" w:color="auto" w:fill="auto"/>
            <w:vAlign w:val="center"/>
            <w:hideMark/>
          </w:tcPr>
          <w:p w14:paraId="6C91B3C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90" w:type="pct"/>
            <w:tcBorders>
              <w:top w:val="nil"/>
              <w:left w:val="nil"/>
              <w:bottom w:val="single" w:sz="4" w:space="0" w:color="auto"/>
              <w:right w:val="single" w:sz="4" w:space="0" w:color="auto"/>
            </w:tcBorders>
            <w:shd w:val="clear" w:color="auto" w:fill="auto"/>
            <w:vAlign w:val="center"/>
            <w:hideMark/>
          </w:tcPr>
          <w:p w14:paraId="2CAB8AE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r>
      <w:tr w:rsidR="000E7771" w:rsidRPr="00F631FB" w14:paraId="3FCE4D3D" w14:textId="77777777" w:rsidTr="004F0BE4">
        <w:trPr>
          <w:trHeight w:val="247"/>
        </w:trPr>
        <w:tc>
          <w:tcPr>
            <w:tcW w:w="205" w:type="pct"/>
            <w:vMerge/>
            <w:tcBorders>
              <w:top w:val="nil"/>
              <w:left w:val="single" w:sz="4" w:space="0" w:color="auto"/>
              <w:bottom w:val="single" w:sz="4" w:space="0" w:color="auto"/>
              <w:right w:val="single" w:sz="4" w:space="0" w:color="auto"/>
            </w:tcBorders>
            <w:vAlign w:val="center"/>
            <w:hideMark/>
          </w:tcPr>
          <w:p w14:paraId="56A3718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5747FD1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969" w:type="pct"/>
            <w:tcBorders>
              <w:top w:val="nil"/>
              <w:left w:val="nil"/>
              <w:bottom w:val="single" w:sz="4" w:space="0" w:color="auto"/>
              <w:right w:val="single" w:sz="4" w:space="0" w:color="auto"/>
            </w:tcBorders>
            <w:shd w:val="clear" w:color="auto" w:fill="auto"/>
            <w:vAlign w:val="center"/>
            <w:hideMark/>
          </w:tcPr>
          <w:p w14:paraId="7FC6725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hint="eastAsia"/>
                <w:sz w:val="18"/>
                <w:szCs w:val="18"/>
              </w:rPr>
              <w:t>周边</w:t>
            </w:r>
            <w:r w:rsidRPr="00AF6157">
              <w:rPr>
                <w:rFonts w:ascii="Arial" w:eastAsia="仿宋_GB2312" w:hAnsi="Arial" w:cs="Arial" w:hint="eastAsia"/>
                <w:sz w:val="18"/>
                <w:szCs w:val="18"/>
              </w:rPr>
              <w:t>2</w:t>
            </w:r>
            <w:r w:rsidRPr="00AF6157">
              <w:rPr>
                <w:rFonts w:ascii="Arial" w:eastAsia="仿宋_GB2312" w:hAnsi="Arial" w:cs="Arial" w:hint="eastAsia"/>
                <w:sz w:val="18"/>
                <w:szCs w:val="18"/>
              </w:rPr>
              <w:t>公里内有海淀公园、知春公园、</w:t>
            </w:r>
            <w:proofErr w:type="gramStart"/>
            <w:r w:rsidRPr="00AF6157">
              <w:rPr>
                <w:rFonts w:ascii="Arial" w:eastAsia="仿宋_GB2312" w:hAnsi="Arial" w:cs="Arial" w:hint="eastAsia"/>
                <w:sz w:val="18"/>
                <w:szCs w:val="18"/>
              </w:rPr>
              <w:t>巴沟山水园</w:t>
            </w:r>
            <w:proofErr w:type="gramEnd"/>
            <w:r w:rsidRPr="00AF6157">
              <w:rPr>
                <w:rFonts w:ascii="Arial" w:eastAsia="仿宋_GB2312" w:hAnsi="Arial" w:cs="Arial" w:hint="eastAsia"/>
                <w:sz w:val="18"/>
                <w:szCs w:val="18"/>
              </w:rPr>
              <w:t>等；中国人民大学、北京大学等人文设施，综合考虑自然环境与人文环境较好。</w:t>
            </w:r>
          </w:p>
        </w:tc>
        <w:tc>
          <w:tcPr>
            <w:tcW w:w="881" w:type="pct"/>
            <w:tcBorders>
              <w:top w:val="nil"/>
              <w:left w:val="nil"/>
              <w:bottom w:val="single" w:sz="4" w:space="0" w:color="auto"/>
              <w:right w:val="single" w:sz="4" w:space="0" w:color="auto"/>
            </w:tcBorders>
            <w:shd w:val="clear" w:color="auto" w:fill="auto"/>
            <w:vAlign w:val="center"/>
            <w:hideMark/>
          </w:tcPr>
          <w:p w14:paraId="7B1E4D65"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公里内有元大都遗址公园、马甸公园、马甸清真寺等；较少博物馆、美术馆、高等院校等人文设施，综合考虑自然环境与人文环境好</w:t>
            </w:r>
          </w:p>
        </w:tc>
        <w:tc>
          <w:tcPr>
            <w:tcW w:w="911" w:type="pct"/>
            <w:tcBorders>
              <w:top w:val="nil"/>
              <w:left w:val="nil"/>
              <w:bottom w:val="single" w:sz="4" w:space="0" w:color="auto"/>
              <w:right w:val="single" w:sz="4" w:space="0" w:color="auto"/>
            </w:tcBorders>
            <w:shd w:val="clear" w:color="auto" w:fill="auto"/>
            <w:vAlign w:val="center"/>
            <w:hideMark/>
          </w:tcPr>
          <w:p w14:paraId="548C2662"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公里内有玲珑公园、中央电视塔、首都师范大学等；较少博物馆、美术馆、高等院校等人文设施，综合考虑自然环境与人文环境好</w:t>
            </w:r>
          </w:p>
        </w:tc>
        <w:tc>
          <w:tcPr>
            <w:tcW w:w="990" w:type="pct"/>
            <w:tcBorders>
              <w:top w:val="nil"/>
              <w:left w:val="nil"/>
              <w:bottom w:val="single" w:sz="4" w:space="0" w:color="auto"/>
              <w:right w:val="single" w:sz="4" w:space="0" w:color="auto"/>
            </w:tcBorders>
            <w:shd w:val="clear" w:color="auto" w:fill="auto"/>
            <w:vAlign w:val="center"/>
            <w:hideMark/>
          </w:tcPr>
          <w:p w14:paraId="1FA95FD6"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公里范围内有庆丰公园、通惠河等；较少博物馆、美术馆、高等院校等人文设施，综合评价自然及人文环境较好</w:t>
            </w:r>
          </w:p>
        </w:tc>
      </w:tr>
      <w:tr w:rsidR="000E7771" w:rsidRPr="00F631FB" w14:paraId="773FA3D8" w14:textId="77777777" w:rsidTr="004F0BE4">
        <w:trPr>
          <w:trHeight w:val="4950"/>
        </w:trPr>
        <w:tc>
          <w:tcPr>
            <w:tcW w:w="205" w:type="pct"/>
            <w:vMerge/>
            <w:tcBorders>
              <w:top w:val="nil"/>
              <w:left w:val="single" w:sz="4" w:space="0" w:color="auto"/>
              <w:bottom w:val="single" w:sz="4" w:space="0" w:color="auto"/>
              <w:right w:val="single" w:sz="4" w:space="0" w:color="auto"/>
            </w:tcBorders>
            <w:vAlign w:val="center"/>
            <w:hideMark/>
          </w:tcPr>
          <w:p w14:paraId="6875F55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10524F8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969" w:type="pct"/>
            <w:tcBorders>
              <w:top w:val="nil"/>
              <w:left w:val="nil"/>
              <w:bottom w:val="single" w:sz="4" w:space="0" w:color="auto"/>
              <w:right w:val="single" w:sz="4" w:space="0" w:color="auto"/>
            </w:tcBorders>
            <w:shd w:val="clear" w:color="auto" w:fill="auto"/>
            <w:vAlign w:val="center"/>
            <w:hideMark/>
          </w:tcPr>
          <w:p w14:paraId="40C1624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购物场所（新中关购物中心、</w:t>
            </w:r>
            <w:proofErr w:type="gramStart"/>
            <w:r w:rsidRPr="00943337">
              <w:rPr>
                <w:rFonts w:ascii="Arial" w:eastAsia="仿宋_GB2312" w:hAnsi="Arial" w:cs="Arial" w:hint="eastAsia"/>
                <w:sz w:val="18"/>
                <w:szCs w:val="18"/>
              </w:rPr>
              <w:t>领展购物</w:t>
            </w:r>
            <w:proofErr w:type="gramEnd"/>
            <w:r w:rsidRPr="00943337">
              <w:rPr>
                <w:rFonts w:ascii="Arial" w:eastAsia="仿宋_GB2312" w:hAnsi="Arial" w:cs="Arial" w:hint="eastAsia"/>
                <w:sz w:val="18"/>
                <w:szCs w:val="18"/>
              </w:rPr>
              <w:t>广场（中关村店）、</w:t>
            </w:r>
            <w:r w:rsidRPr="00943337">
              <w:rPr>
                <w:rFonts w:ascii="Arial" w:eastAsia="仿宋_GB2312" w:hAnsi="Arial" w:cs="Arial" w:hint="eastAsia"/>
                <w:sz w:val="18"/>
                <w:szCs w:val="18"/>
              </w:rPr>
              <w:t>BHG MALL</w:t>
            </w:r>
            <w:r w:rsidRPr="00943337">
              <w:rPr>
                <w:rFonts w:ascii="Arial" w:eastAsia="仿宋_GB2312" w:hAnsi="Arial" w:cs="Arial" w:hint="eastAsia"/>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881" w:type="pct"/>
            <w:tcBorders>
              <w:top w:val="nil"/>
              <w:left w:val="nil"/>
              <w:bottom w:val="single" w:sz="4" w:space="0" w:color="auto"/>
              <w:right w:val="single" w:sz="4" w:space="0" w:color="auto"/>
            </w:tcBorders>
            <w:shd w:val="clear" w:color="auto" w:fill="auto"/>
            <w:vAlign w:val="center"/>
            <w:hideMark/>
          </w:tcPr>
          <w:p w14:paraId="55E42A2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范围内有购物场所（翠微百货、超市发等），银行（中国建设银行、中国农业银行、中国建设银行等），学校（北京交通大学附属中学、北师大第三附属中学、北京市海淀区民族小学等），医院（北京大学第三医院、花园路社区卫生服务中心、北京国都医院等），综合评价区域设施及基础设施水平较好</w:t>
            </w:r>
          </w:p>
        </w:tc>
        <w:tc>
          <w:tcPr>
            <w:tcW w:w="911" w:type="pct"/>
            <w:tcBorders>
              <w:top w:val="nil"/>
              <w:left w:val="nil"/>
              <w:bottom w:val="single" w:sz="4" w:space="0" w:color="auto"/>
              <w:right w:val="single" w:sz="4" w:space="0" w:color="auto"/>
            </w:tcBorders>
            <w:shd w:val="clear" w:color="auto" w:fill="auto"/>
            <w:vAlign w:val="center"/>
            <w:hideMark/>
          </w:tcPr>
          <w:p w14:paraId="2D31739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范围内有购物场所（华光商厦、物美超市等），银行（中国农业银行、北京农商银行、招商银行等），学校（海淀区八里庄小学、首师大附属中学、首都师范大学等），医院（中国人民解放军总医院第四医学中心、北京水利医院、空军特色医学中心等），综合评价区域设施及基础设施水平较好</w:t>
            </w:r>
          </w:p>
        </w:tc>
        <w:tc>
          <w:tcPr>
            <w:tcW w:w="990" w:type="pct"/>
            <w:tcBorders>
              <w:top w:val="nil"/>
              <w:left w:val="nil"/>
              <w:bottom w:val="single" w:sz="4" w:space="0" w:color="auto"/>
              <w:right w:val="single" w:sz="4" w:space="0" w:color="auto"/>
            </w:tcBorders>
            <w:shd w:val="clear" w:color="auto" w:fill="auto"/>
            <w:vAlign w:val="center"/>
            <w:hideMark/>
          </w:tcPr>
          <w:p w14:paraId="5D2BE01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范围内有超市（合生汇、家乐福、华联超市等）、银行（中国民生银行、中国建设银行、华夏银行等）、学校（北京了城国际学校、中央山南港务区实验学校、大望路中学、北工大附属中学等）、医院（北京垂杨柳医院、北京第一中西医结合医院、南郎家园社区服务中心等），综合评价区域设施及基础设施水平较好</w:t>
            </w:r>
          </w:p>
        </w:tc>
      </w:tr>
      <w:tr w:rsidR="000E7771" w:rsidRPr="00F631FB" w14:paraId="5D324150" w14:textId="77777777" w:rsidTr="004F0BE4">
        <w:trPr>
          <w:trHeight w:val="270"/>
        </w:trPr>
        <w:tc>
          <w:tcPr>
            <w:tcW w:w="205" w:type="pct"/>
            <w:vMerge/>
            <w:tcBorders>
              <w:top w:val="nil"/>
              <w:left w:val="single" w:sz="4" w:space="0" w:color="auto"/>
              <w:bottom w:val="single" w:sz="4" w:space="0" w:color="auto"/>
              <w:right w:val="single" w:sz="4" w:space="0" w:color="auto"/>
            </w:tcBorders>
            <w:vAlign w:val="center"/>
            <w:hideMark/>
          </w:tcPr>
          <w:p w14:paraId="5F7D941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6FA75C0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969" w:type="pct"/>
            <w:tcBorders>
              <w:top w:val="nil"/>
              <w:left w:val="nil"/>
              <w:bottom w:val="single" w:sz="4" w:space="0" w:color="auto"/>
              <w:right w:val="single" w:sz="4" w:space="0" w:color="auto"/>
            </w:tcBorders>
            <w:shd w:val="clear" w:color="auto" w:fill="auto"/>
            <w:vAlign w:val="center"/>
            <w:hideMark/>
          </w:tcPr>
          <w:p w14:paraId="02821CF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1" w:type="pct"/>
            <w:tcBorders>
              <w:top w:val="nil"/>
              <w:left w:val="nil"/>
              <w:bottom w:val="single" w:sz="4" w:space="0" w:color="auto"/>
              <w:right w:val="single" w:sz="4" w:space="0" w:color="auto"/>
            </w:tcBorders>
            <w:shd w:val="clear" w:color="auto" w:fill="auto"/>
            <w:vAlign w:val="center"/>
            <w:hideMark/>
          </w:tcPr>
          <w:p w14:paraId="549DC7A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1" w:type="pct"/>
            <w:tcBorders>
              <w:top w:val="nil"/>
              <w:left w:val="nil"/>
              <w:bottom w:val="single" w:sz="4" w:space="0" w:color="auto"/>
              <w:right w:val="single" w:sz="4" w:space="0" w:color="auto"/>
            </w:tcBorders>
            <w:shd w:val="clear" w:color="auto" w:fill="auto"/>
            <w:vAlign w:val="center"/>
            <w:hideMark/>
          </w:tcPr>
          <w:p w14:paraId="4400698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0" w:type="pct"/>
            <w:tcBorders>
              <w:top w:val="nil"/>
              <w:left w:val="nil"/>
              <w:bottom w:val="single" w:sz="4" w:space="0" w:color="auto"/>
              <w:right w:val="single" w:sz="4" w:space="0" w:color="auto"/>
            </w:tcBorders>
            <w:shd w:val="clear" w:color="auto" w:fill="auto"/>
            <w:vAlign w:val="center"/>
            <w:hideMark/>
          </w:tcPr>
          <w:p w14:paraId="5EDCF1B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0E7771" w:rsidRPr="00F631FB" w14:paraId="08F09F91" w14:textId="77777777" w:rsidTr="004F0BE4">
        <w:trPr>
          <w:trHeight w:val="675"/>
        </w:trPr>
        <w:tc>
          <w:tcPr>
            <w:tcW w:w="205" w:type="pct"/>
            <w:vMerge/>
            <w:tcBorders>
              <w:top w:val="nil"/>
              <w:left w:val="single" w:sz="4" w:space="0" w:color="auto"/>
              <w:bottom w:val="single" w:sz="4" w:space="0" w:color="auto"/>
              <w:right w:val="single" w:sz="4" w:space="0" w:color="auto"/>
            </w:tcBorders>
            <w:vAlign w:val="center"/>
            <w:hideMark/>
          </w:tcPr>
          <w:p w14:paraId="6C00849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6AEC39B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969" w:type="pct"/>
            <w:tcBorders>
              <w:top w:val="nil"/>
              <w:left w:val="nil"/>
              <w:bottom w:val="single" w:sz="4" w:space="0" w:color="auto"/>
              <w:right w:val="single" w:sz="4" w:space="0" w:color="auto"/>
            </w:tcBorders>
            <w:shd w:val="clear" w:color="auto" w:fill="auto"/>
            <w:vAlign w:val="center"/>
            <w:hideMark/>
          </w:tcPr>
          <w:p w14:paraId="037055F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海淀南路</w:t>
            </w:r>
          </w:p>
        </w:tc>
        <w:tc>
          <w:tcPr>
            <w:tcW w:w="881" w:type="pct"/>
            <w:tcBorders>
              <w:top w:val="nil"/>
              <w:left w:val="nil"/>
              <w:bottom w:val="single" w:sz="4" w:space="0" w:color="auto"/>
              <w:right w:val="single" w:sz="4" w:space="0" w:color="auto"/>
            </w:tcBorders>
            <w:shd w:val="clear" w:color="auto" w:fill="auto"/>
            <w:vAlign w:val="center"/>
            <w:hideMark/>
          </w:tcPr>
          <w:p w14:paraId="079DB447" w14:textId="77777777" w:rsidR="000E7771" w:rsidRPr="00943337"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城市次干道</w:t>
            </w:r>
            <w:r w:rsidRPr="00943337">
              <w:rPr>
                <w:rFonts w:ascii="Arial" w:eastAsia="仿宋_GB2312" w:hAnsi="Arial" w:cs="Arial"/>
                <w:sz w:val="18"/>
                <w:szCs w:val="18"/>
              </w:rPr>
              <w:t>-</w:t>
            </w:r>
            <w:r w:rsidRPr="00943337">
              <w:rPr>
                <w:rFonts w:ascii="Arial" w:eastAsia="仿宋_GB2312" w:hAnsi="Arial" w:cs="Arial" w:hint="eastAsia"/>
                <w:sz w:val="18"/>
                <w:szCs w:val="18"/>
              </w:rPr>
              <w:t>北太平庄路</w:t>
            </w:r>
          </w:p>
          <w:p w14:paraId="4819C45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c>
          <w:tcPr>
            <w:tcW w:w="911" w:type="pct"/>
            <w:tcBorders>
              <w:top w:val="nil"/>
              <w:left w:val="nil"/>
              <w:bottom w:val="single" w:sz="4" w:space="0" w:color="auto"/>
              <w:right w:val="single" w:sz="4" w:space="0" w:color="auto"/>
            </w:tcBorders>
            <w:shd w:val="clear" w:color="auto" w:fill="auto"/>
            <w:vAlign w:val="center"/>
            <w:hideMark/>
          </w:tcPr>
          <w:p w14:paraId="1F8DE818" w14:textId="77777777" w:rsidR="000E7771" w:rsidRPr="00943337"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城市次干道</w:t>
            </w:r>
            <w:r w:rsidRPr="00943337">
              <w:rPr>
                <w:rFonts w:ascii="Arial" w:eastAsia="仿宋_GB2312" w:hAnsi="Arial" w:cs="Arial"/>
                <w:sz w:val="18"/>
                <w:szCs w:val="18"/>
              </w:rPr>
              <w:t>-</w:t>
            </w:r>
            <w:r w:rsidRPr="00943337">
              <w:rPr>
                <w:rFonts w:ascii="Arial" w:eastAsia="仿宋_GB2312" w:hAnsi="Arial" w:cs="Arial" w:hint="eastAsia"/>
                <w:sz w:val="18"/>
                <w:szCs w:val="18"/>
              </w:rPr>
              <w:t>北洼路</w:t>
            </w:r>
          </w:p>
          <w:p w14:paraId="220D93D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c>
          <w:tcPr>
            <w:tcW w:w="990" w:type="pct"/>
            <w:tcBorders>
              <w:top w:val="nil"/>
              <w:left w:val="nil"/>
              <w:bottom w:val="single" w:sz="4" w:space="0" w:color="auto"/>
              <w:right w:val="single" w:sz="4" w:space="0" w:color="auto"/>
            </w:tcBorders>
            <w:shd w:val="clear" w:color="auto" w:fill="auto"/>
            <w:vAlign w:val="center"/>
            <w:hideMark/>
          </w:tcPr>
          <w:p w14:paraId="7DECB47B" w14:textId="77777777" w:rsidR="000E7771" w:rsidRPr="00943337"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城市次干道</w:t>
            </w:r>
            <w:r w:rsidRPr="00943337">
              <w:rPr>
                <w:rFonts w:ascii="Arial" w:eastAsia="仿宋_GB2312" w:hAnsi="Arial" w:cs="Arial" w:hint="eastAsia"/>
                <w:sz w:val="18"/>
                <w:szCs w:val="18"/>
              </w:rPr>
              <w:t>-</w:t>
            </w:r>
            <w:r w:rsidRPr="00943337">
              <w:rPr>
                <w:rFonts w:ascii="Arial" w:eastAsia="仿宋_GB2312" w:hAnsi="Arial" w:cs="Arial" w:hint="eastAsia"/>
                <w:sz w:val="18"/>
                <w:szCs w:val="18"/>
              </w:rPr>
              <w:t>百子</w:t>
            </w:r>
            <w:proofErr w:type="gramStart"/>
            <w:r w:rsidRPr="00943337">
              <w:rPr>
                <w:rFonts w:ascii="Arial" w:eastAsia="仿宋_GB2312" w:hAnsi="Arial" w:cs="Arial" w:hint="eastAsia"/>
                <w:sz w:val="18"/>
                <w:szCs w:val="18"/>
              </w:rPr>
              <w:t>湾路</w:t>
            </w:r>
            <w:proofErr w:type="gramEnd"/>
          </w:p>
          <w:p w14:paraId="7CD4C0A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r>
      <w:tr w:rsidR="000E7771" w:rsidRPr="00F631FB" w14:paraId="2AA76C6A" w14:textId="77777777" w:rsidTr="004F0BE4">
        <w:trPr>
          <w:trHeight w:val="450"/>
        </w:trPr>
        <w:tc>
          <w:tcPr>
            <w:tcW w:w="205" w:type="pct"/>
            <w:vMerge/>
            <w:tcBorders>
              <w:top w:val="nil"/>
              <w:left w:val="single" w:sz="4" w:space="0" w:color="auto"/>
              <w:bottom w:val="single" w:sz="4" w:space="0" w:color="auto"/>
              <w:right w:val="single" w:sz="4" w:space="0" w:color="auto"/>
            </w:tcBorders>
            <w:vAlign w:val="center"/>
            <w:hideMark/>
          </w:tcPr>
          <w:p w14:paraId="122634C0"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5EC270A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969" w:type="pct"/>
            <w:tcBorders>
              <w:top w:val="nil"/>
              <w:left w:val="nil"/>
              <w:bottom w:val="single" w:sz="4" w:space="0" w:color="auto"/>
              <w:right w:val="single" w:sz="4" w:space="0" w:color="auto"/>
            </w:tcBorders>
            <w:shd w:val="clear" w:color="auto" w:fill="auto"/>
            <w:vAlign w:val="center"/>
            <w:hideMark/>
          </w:tcPr>
          <w:p w14:paraId="6467CA3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办公类二级</w:t>
            </w:r>
          </w:p>
        </w:tc>
        <w:tc>
          <w:tcPr>
            <w:tcW w:w="881" w:type="pct"/>
            <w:tcBorders>
              <w:top w:val="nil"/>
              <w:left w:val="nil"/>
              <w:bottom w:val="single" w:sz="4" w:space="0" w:color="auto"/>
              <w:right w:val="single" w:sz="4" w:space="0" w:color="auto"/>
            </w:tcBorders>
            <w:shd w:val="clear" w:color="auto" w:fill="auto"/>
            <w:vAlign w:val="center"/>
            <w:hideMark/>
          </w:tcPr>
          <w:p w14:paraId="7CC6B31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办公类三级</w:t>
            </w:r>
          </w:p>
        </w:tc>
        <w:tc>
          <w:tcPr>
            <w:tcW w:w="911" w:type="pct"/>
            <w:tcBorders>
              <w:top w:val="nil"/>
              <w:left w:val="nil"/>
              <w:bottom w:val="single" w:sz="4" w:space="0" w:color="auto"/>
              <w:right w:val="single" w:sz="4" w:space="0" w:color="auto"/>
            </w:tcBorders>
            <w:shd w:val="clear" w:color="auto" w:fill="auto"/>
            <w:vAlign w:val="center"/>
            <w:hideMark/>
          </w:tcPr>
          <w:p w14:paraId="6DD1823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065C2D">
              <w:rPr>
                <w:rFonts w:ascii="Arial" w:eastAsia="仿宋_GB2312" w:hAnsi="Arial" w:cs="Arial" w:hint="eastAsia"/>
                <w:sz w:val="18"/>
                <w:szCs w:val="18"/>
              </w:rPr>
              <w:t>办公类三级</w:t>
            </w:r>
          </w:p>
        </w:tc>
        <w:tc>
          <w:tcPr>
            <w:tcW w:w="990" w:type="pct"/>
            <w:tcBorders>
              <w:top w:val="nil"/>
              <w:left w:val="nil"/>
              <w:bottom w:val="single" w:sz="4" w:space="0" w:color="auto"/>
              <w:right w:val="single" w:sz="4" w:space="0" w:color="auto"/>
            </w:tcBorders>
            <w:shd w:val="clear" w:color="auto" w:fill="auto"/>
            <w:vAlign w:val="center"/>
            <w:hideMark/>
          </w:tcPr>
          <w:p w14:paraId="197EA5B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065C2D">
              <w:rPr>
                <w:rFonts w:ascii="Arial" w:eastAsia="仿宋_GB2312" w:hAnsi="Arial" w:cs="Arial" w:hint="eastAsia"/>
                <w:sz w:val="18"/>
                <w:szCs w:val="18"/>
              </w:rPr>
              <w:t>办公类三级</w:t>
            </w:r>
          </w:p>
        </w:tc>
      </w:tr>
      <w:tr w:rsidR="000E7771" w:rsidRPr="00F631FB" w14:paraId="6BBC2D61" w14:textId="77777777" w:rsidTr="004F0BE4">
        <w:trPr>
          <w:trHeight w:val="270"/>
        </w:trPr>
        <w:tc>
          <w:tcPr>
            <w:tcW w:w="205" w:type="pct"/>
            <w:vMerge w:val="restart"/>
            <w:tcBorders>
              <w:top w:val="nil"/>
              <w:left w:val="single" w:sz="4" w:space="0" w:color="auto"/>
              <w:bottom w:val="single" w:sz="4" w:space="0" w:color="auto"/>
              <w:right w:val="single" w:sz="4" w:space="0" w:color="auto"/>
            </w:tcBorders>
            <w:shd w:val="clear" w:color="auto" w:fill="auto"/>
            <w:vAlign w:val="center"/>
            <w:hideMark/>
          </w:tcPr>
          <w:p w14:paraId="73F6F4A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044" w:type="pct"/>
            <w:tcBorders>
              <w:top w:val="nil"/>
              <w:left w:val="nil"/>
              <w:bottom w:val="single" w:sz="4" w:space="0" w:color="auto"/>
              <w:right w:val="single" w:sz="4" w:space="0" w:color="auto"/>
            </w:tcBorders>
            <w:shd w:val="clear" w:color="auto" w:fill="auto"/>
            <w:noWrap/>
            <w:vAlign w:val="center"/>
            <w:hideMark/>
          </w:tcPr>
          <w:p w14:paraId="6415665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p w14:paraId="2403FB3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（平方米）</w:t>
            </w:r>
          </w:p>
        </w:tc>
        <w:tc>
          <w:tcPr>
            <w:tcW w:w="969" w:type="pct"/>
            <w:tcBorders>
              <w:top w:val="nil"/>
              <w:left w:val="nil"/>
              <w:bottom w:val="single" w:sz="4" w:space="0" w:color="auto"/>
              <w:right w:val="single" w:sz="4" w:space="0" w:color="auto"/>
            </w:tcBorders>
            <w:shd w:val="clear" w:color="auto" w:fill="auto"/>
            <w:vAlign w:val="center"/>
            <w:hideMark/>
          </w:tcPr>
          <w:p w14:paraId="47C8234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6180.978</w:t>
            </w:r>
          </w:p>
        </w:tc>
        <w:tc>
          <w:tcPr>
            <w:tcW w:w="881" w:type="pct"/>
            <w:tcBorders>
              <w:top w:val="nil"/>
              <w:left w:val="nil"/>
              <w:bottom w:val="single" w:sz="4" w:space="0" w:color="auto"/>
              <w:right w:val="single" w:sz="4" w:space="0" w:color="auto"/>
            </w:tcBorders>
            <w:shd w:val="clear" w:color="auto" w:fill="auto"/>
            <w:vAlign w:val="center"/>
            <w:hideMark/>
          </w:tcPr>
          <w:p w14:paraId="63FE0F2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7723.55</w:t>
            </w:r>
          </w:p>
        </w:tc>
        <w:tc>
          <w:tcPr>
            <w:tcW w:w="911" w:type="pct"/>
            <w:tcBorders>
              <w:top w:val="nil"/>
              <w:left w:val="nil"/>
              <w:bottom w:val="single" w:sz="4" w:space="0" w:color="auto"/>
              <w:right w:val="single" w:sz="4" w:space="0" w:color="auto"/>
            </w:tcBorders>
            <w:shd w:val="clear" w:color="auto" w:fill="auto"/>
            <w:vAlign w:val="center"/>
            <w:hideMark/>
          </w:tcPr>
          <w:p w14:paraId="2498BD3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3051.19</w:t>
            </w:r>
          </w:p>
        </w:tc>
        <w:tc>
          <w:tcPr>
            <w:tcW w:w="990" w:type="pct"/>
            <w:tcBorders>
              <w:top w:val="nil"/>
              <w:left w:val="nil"/>
              <w:bottom w:val="single" w:sz="4" w:space="0" w:color="auto"/>
              <w:right w:val="single" w:sz="4" w:space="0" w:color="auto"/>
            </w:tcBorders>
            <w:shd w:val="clear" w:color="auto" w:fill="auto"/>
            <w:vAlign w:val="center"/>
            <w:hideMark/>
          </w:tcPr>
          <w:p w14:paraId="129EA8B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791.429</w:t>
            </w:r>
          </w:p>
        </w:tc>
      </w:tr>
      <w:tr w:rsidR="000E7771" w:rsidRPr="00F631FB" w14:paraId="7229131D" w14:textId="77777777" w:rsidTr="004F0BE4">
        <w:trPr>
          <w:trHeight w:val="270"/>
        </w:trPr>
        <w:tc>
          <w:tcPr>
            <w:tcW w:w="205" w:type="pct"/>
            <w:vMerge/>
            <w:tcBorders>
              <w:top w:val="nil"/>
              <w:left w:val="single" w:sz="4" w:space="0" w:color="auto"/>
              <w:bottom w:val="single" w:sz="4" w:space="0" w:color="auto"/>
              <w:right w:val="single" w:sz="4" w:space="0" w:color="auto"/>
            </w:tcBorders>
            <w:shd w:val="clear" w:color="auto" w:fill="auto"/>
            <w:vAlign w:val="center"/>
          </w:tcPr>
          <w:p w14:paraId="2D25D07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1EBAF9D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969" w:type="pct"/>
            <w:tcBorders>
              <w:top w:val="nil"/>
              <w:left w:val="nil"/>
              <w:bottom w:val="single" w:sz="4" w:space="0" w:color="auto"/>
              <w:right w:val="single" w:sz="4" w:space="0" w:color="auto"/>
            </w:tcBorders>
            <w:shd w:val="clear" w:color="auto" w:fill="auto"/>
            <w:vAlign w:val="center"/>
          </w:tcPr>
          <w:p w14:paraId="060F5EB6" w14:textId="5610A696"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5.1</w:t>
            </w:r>
            <w:r w:rsidR="0042308B">
              <w:rPr>
                <w:rFonts w:ascii="Arial" w:eastAsia="仿宋_GB2312" w:hAnsi="Arial" w:cs="Arial"/>
                <w:sz w:val="18"/>
                <w:szCs w:val="18"/>
              </w:rPr>
              <w:t>0</w:t>
            </w:r>
          </w:p>
        </w:tc>
        <w:tc>
          <w:tcPr>
            <w:tcW w:w="881" w:type="pct"/>
            <w:tcBorders>
              <w:top w:val="nil"/>
              <w:left w:val="nil"/>
              <w:bottom w:val="single" w:sz="4" w:space="0" w:color="auto"/>
              <w:right w:val="single" w:sz="4" w:space="0" w:color="auto"/>
            </w:tcBorders>
            <w:shd w:val="clear" w:color="auto" w:fill="auto"/>
            <w:vAlign w:val="center"/>
          </w:tcPr>
          <w:p w14:paraId="16B12909" w14:textId="57D3B0A4"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2.4</w:t>
            </w:r>
            <w:r w:rsidR="0042308B">
              <w:rPr>
                <w:rFonts w:ascii="Arial" w:eastAsia="仿宋_GB2312" w:hAnsi="Arial" w:cs="Arial"/>
                <w:sz w:val="18"/>
                <w:szCs w:val="18"/>
              </w:rPr>
              <w:t>0</w:t>
            </w:r>
          </w:p>
        </w:tc>
        <w:tc>
          <w:tcPr>
            <w:tcW w:w="911" w:type="pct"/>
            <w:tcBorders>
              <w:top w:val="nil"/>
              <w:left w:val="nil"/>
              <w:bottom w:val="single" w:sz="4" w:space="0" w:color="auto"/>
              <w:right w:val="single" w:sz="4" w:space="0" w:color="auto"/>
            </w:tcBorders>
            <w:shd w:val="clear" w:color="auto" w:fill="auto"/>
            <w:vAlign w:val="center"/>
          </w:tcPr>
          <w:p w14:paraId="25800B99" w14:textId="6F2C6FD9"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6.7</w:t>
            </w:r>
            <w:r w:rsidR="0042308B">
              <w:rPr>
                <w:rFonts w:ascii="Arial" w:eastAsia="仿宋_GB2312" w:hAnsi="Arial" w:cs="Arial"/>
                <w:sz w:val="18"/>
                <w:szCs w:val="18"/>
              </w:rPr>
              <w:t>0</w:t>
            </w:r>
          </w:p>
        </w:tc>
        <w:tc>
          <w:tcPr>
            <w:tcW w:w="990" w:type="pct"/>
            <w:tcBorders>
              <w:top w:val="nil"/>
              <w:left w:val="nil"/>
              <w:bottom w:val="single" w:sz="4" w:space="0" w:color="auto"/>
              <w:right w:val="single" w:sz="4" w:space="0" w:color="auto"/>
            </w:tcBorders>
            <w:shd w:val="clear" w:color="auto" w:fill="auto"/>
            <w:vAlign w:val="center"/>
          </w:tcPr>
          <w:p w14:paraId="3C49B171" w14:textId="598CB892"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w:t>
            </w:r>
            <w:r w:rsidR="0042308B">
              <w:rPr>
                <w:rFonts w:ascii="Arial" w:eastAsia="仿宋_GB2312" w:hAnsi="Arial" w:cs="Arial"/>
                <w:sz w:val="18"/>
                <w:szCs w:val="18"/>
              </w:rPr>
              <w:t>.00</w:t>
            </w:r>
          </w:p>
        </w:tc>
      </w:tr>
      <w:tr w:rsidR="000E7771" w:rsidRPr="00F631FB" w14:paraId="387903C1" w14:textId="77777777" w:rsidTr="004F0BE4">
        <w:trPr>
          <w:trHeight w:val="450"/>
        </w:trPr>
        <w:tc>
          <w:tcPr>
            <w:tcW w:w="205" w:type="pct"/>
            <w:vMerge/>
            <w:tcBorders>
              <w:top w:val="nil"/>
              <w:left w:val="single" w:sz="4" w:space="0" w:color="auto"/>
              <w:bottom w:val="single" w:sz="4" w:space="0" w:color="auto"/>
              <w:right w:val="single" w:sz="4" w:space="0" w:color="auto"/>
            </w:tcBorders>
            <w:vAlign w:val="center"/>
            <w:hideMark/>
          </w:tcPr>
          <w:p w14:paraId="2CCF424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262EC30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969" w:type="pct"/>
            <w:tcBorders>
              <w:top w:val="nil"/>
              <w:left w:val="nil"/>
              <w:bottom w:val="single" w:sz="4" w:space="0" w:color="auto"/>
              <w:right w:val="single" w:sz="4" w:space="0" w:color="auto"/>
            </w:tcBorders>
            <w:shd w:val="clear" w:color="auto" w:fill="auto"/>
            <w:vAlign w:val="center"/>
            <w:hideMark/>
          </w:tcPr>
          <w:p w14:paraId="6AFC116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881" w:type="pct"/>
            <w:tcBorders>
              <w:top w:val="nil"/>
              <w:left w:val="nil"/>
              <w:bottom w:val="single" w:sz="4" w:space="0" w:color="auto"/>
              <w:right w:val="single" w:sz="4" w:space="0" w:color="auto"/>
            </w:tcBorders>
            <w:shd w:val="clear" w:color="auto" w:fill="auto"/>
            <w:vAlign w:val="center"/>
            <w:hideMark/>
          </w:tcPr>
          <w:p w14:paraId="6335331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11" w:type="pct"/>
            <w:tcBorders>
              <w:top w:val="nil"/>
              <w:left w:val="nil"/>
              <w:bottom w:val="single" w:sz="4" w:space="0" w:color="auto"/>
              <w:right w:val="single" w:sz="4" w:space="0" w:color="auto"/>
            </w:tcBorders>
            <w:shd w:val="clear" w:color="auto" w:fill="auto"/>
            <w:vAlign w:val="center"/>
            <w:hideMark/>
          </w:tcPr>
          <w:p w14:paraId="0AF54DD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90" w:type="pct"/>
            <w:tcBorders>
              <w:top w:val="nil"/>
              <w:left w:val="nil"/>
              <w:bottom w:val="single" w:sz="4" w:space="0" w:color="auto"/>
              <w:right w:val="single" w:sz="4" w:space="0" w:color="auto"/>
            </w:tcBorders>
            <w:shd w:val="clear" w:color="auto" w:fill="auto"/>
            <w:vAlign w:val="center"/>
            <w:hideMark/>
          </w:tcPr>
          <w:p w14:paraId="7FB75D0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r>
      <w:tr w:rsidR="000E7771" w:rsidRPr="00F631FB" w14:paraId="3EFD2604" w14:textId="77777777" w:rsidTr="0087591C">
        <w:trPr>
          <w:trHeight w:val="312"/>
        </w:trPr>
        <w:tc>
          <w:tcPr>
            <w:tcW w:w="205" w:type="pct"/>
            <w:vMerge/>
            <w:tcBorders>
              <w:top w:val="nil"/>
              <w:left w:val="single" w:sz="4" w:space="0" w:color="auto"/>
              <w:bottom w:val="single" w:sz="4" w:space="0" w:color="auto"/>
              <w:right w:val="single" w:sz="4" w:space="0" w:color="auto"/>
            </w:tcBorders>
            <w:vAlign w:val="center"/>
            <w:hideMark/>
          </w:tcPr>
          <w:p w14:paraId="1591C2BB"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13E83B9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969" w:type="pct"/>
            <w:tcBorders>
              <w:top w:val="nil"/>
              <w:left w:val="nil"/>
              <w:bottom w:val="single" w:sz="4" w:space="0" w:color="auto"/>
              <w:right w:val="single" w:sz="4" w:space="0" w:color="auto"/>
            </w:tcBorders>
            <w:shd w:val="clear" w:color="auto" w:fill="auto"/>
            <w:vAlign w:val="center"/>
            <w:hideMark/>
          </w:tcPr>
          <w:p w14:paraId="4F4266B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1" w:type="pct"/>
            <w:tcBorders>
              <w:top w:val="nil"/>
              <w:left w:val="nil"/>
              <w:bottom w:val="single" w:sz="4" w:space="0" w:color="auto"/>
              <w:right w:val="single" w:sz="4" w:space="0" w:color="auto"/>
            </w:tcBorders>
            <w:shd w:val="clear" w:color="auto" w:fill="auto"/>
            <w:vAlign w:val="center"/>
            <w:hideMark/>
          </w:tcPr>
          <w:p w14:paraId="416B856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1" w:type="pct"/>
            <w:tcBorders>
              <w:top w:val="nil"/>
              <w:left w:val="nil"/>
              <w:bottom w:val="single" w:sz="4" w:space="0" w:color="auto"/>
              <w:right w:val="single" w:sz="4" w:space="0" w:color="auto"/>
            </w:tcBorders>
            <w:shd w:val="clear" w:color="auto" w:fill="auto"/>
            <w:vAlign w:val="center"/>
            <w:hideMark/>
          </w:tcPr>
          <w:p w14:paraId="54E96AC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0" w:type="pct"/>
            <w:tcBorders>
              <w:top w:val="nil"/>
              <w:left w:val="nil"/>
              <w:bottom w:val="single" w:sz="4" w:space="0" w:color="auto"/>
              <w:right w:val="single" w:sz="4" w:space="0" w:color="auto"/>
            </w:tcBorders>
            <w:shd w:val="clear" w:color="auto" w:fill="auto"/>
            <w:vAlign w:val="center"/>
            <w:hideMark/>
          </w:tcPr>
          <w:p w14:paraId="19B139A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0E7771" w:rsidRPr="00F631FB" w14:paraId="0DC3717F" w14:textId="77777777" w:rsidTr="004F0BE4">
        <w:trPr>
          <w:trHeight w:val="270"/>
        </w:trPr>
        <w:tc>
          <w:tcPr>
            <w:tcW w:w="205" w:type="pct"/>
            <w:vMerge/>
            <w:tcBorders>
              <w:top w:val="nil"/>
              <w:left w:val="single" w:sz="4" w:space="0" w:color="auto"/>
              <w:bottom w:val="single" w:sz="4" w:space="0" w:color="auto"/>
              <w:right w:val="single" w:sz="4" w:space="0" w:color="auto"/>
            </w:tcBorders>
            <w:vAlign w:val="center"/>
            <w:hideMark/>
          </w:tcPr>
          <w:p w14:paraId="10A82E57"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1F066CA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工程地质条件</w:t>
            </w:r>
          </w:p>
        </w:tc>
        <w:tc>
          <w:tcPr>
            <w:tcW w:w="969" w:type="pct"/>
            <w:tcBorders>
              <w:top w:val="nil"/>
              <w:left w:val="nil"/>
              <w:bottom w:val="single" w:sz="4" w:space="0" w:color="auto"/>
              <w:right w:val="single" w:sz="4" w:space="0" w:color="auto"/>
            </w:tcBorders>
            <w:shd w:val="clear" w:color="auto" w:fill="auto"/>
            <w:vAlign w:val="center"/>
            <w:hideMark/>
          </w:tcPr>
          <w:p w14:paraId="5482896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较好</w:t>
            </w:r>
          </w:p>
        </w:tc>
        <w:tc>
          <w:tcPr>
            <w:tcW w:w="881" w:type="pct"/>
            <w:tcBorders>
              <w:top w:val="nil"/>
              <w:left w:val="nil"/>
              <w:bottom w:val="single" w:sz="4" w:space="0" w:color="auto"/>
              <w:right w:val="single" w:sz="4" w:space="0" w:color="auto"/>
            </w:tcBorders>
            <w:shd w:val="clear" w:color="auto" w:fill="auto"/>
            <w:hideMark/>
          </w:tcPr>
          <w:p w14:paraId="2EDED6C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757767">
              <w:rPr>
                <w:rFonts w:ascii="Arial" w:eastAsia="仿宋_GB2312" w:hAnsi="Arial" w:cs="Arial" w:hint="eastAsia"/>
                <w:sz w:val="18"/>
                <w:szCs w:val="18"/>
              </w:rPr>
              <w:t>较好</w:t>
            </w:r>
          </w:p>
        </w:tc>
        <w:tc>
          <w:tcPr>
            <w:tcW w:w="911" w:type="pct"/>
            <w:tcBorders>
              <w:top w:val="nil"/>
              <w:left w:val="nil"/>
              <w:bottom w:val="single" w:sz="4" w:space="0" w:color="auto"/>
              <w:right w:val="single" w:sz="4" w:space="0" w:color="auto"/>
            </w:tcBorders>
            <w:shd w:val="clear" w:color="auto" w:fill="auto"/>
            <w:hideMark/>
          </w:tcPr>
          <w:p w14:paraId="35E1F19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757767">
              <w:rPr>
                <w:rFonts w:ascii="Arial" w:eastAsia="仿宋_GB2312" w:hAnsi="Arial" w:cs="Arial" w:hint="eastAsia"/>
                <w:sz w:val="18"/>
                <w:szCs w:val="18"/>
              </w:rPr>
              <w:t>较好</w:t>
            </w:r>
          </w:p>
        </w:tc>
        <w:tc>
          <w:tcPr>
            <w:tcW w:w="990" w:type="pct"/>
            <w:tcBorders>
              <w:top w:val="nil"/>
              <w:left w:val="nil"/>
              <w:bottom w:val="single" w:sz="4" w:space="0" w:color="auto"/>
              <w:right w:val="single" w:sz="4" w:space="0" w:color="auto"/>
            </w:tcBorders>
            <w:shd w:val="clear" w:color="auto" w:fill="auto"/>
            <w:hideMark/>
          </w:tcPr>
          <w:p w14:paraId="37FD5C1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757767">
              <w:rPr>
                <w:rFonts w:ascii="Arial" w:eastAsia="仿宋_GB2312" w:hAnsi="Arial" w:cs="Arial" w:hint="eastAsia"/>
                <w:sz w:val="18"/>
                <w:szCs w:val="18"/>
              </w:rPr>
              <w:t>较好</w:t>
            </w:r>
          </w:p>
        </w:tc>
      </w:tr>
    </w:tbl>
    <w:p w14:paraId="1DE5C804"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p>
    <w:p w14:paraId="133701BF"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w:t>
      </w:r>
      <w:r w:rsidRPr="00F631FB">
        <w:rPr>
          <w:rFonts w:ascii="Arial" w:eastAsia="仿宋_GB2312" w:hAnsi="Arial" w:cs="Arial"/>
          <w:sz w:val="28"/>
          <w:szCs w:val="28"/>
        </w:rPr>
        <w:t>）比较因素选择</w:t>
      </w:r>
    </w:p>
    <w:p w14:paraId="404AAA05"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依据估价对象的区域条件及个别条件</w:t>
      </w:r>
      <w:r w:rsidRPr="00F631FB">
        <w:rPr>
          <w:rFonts w:ascii="Arial" w:eastAsia="仿宋_GB2312" w:hAnsi="Arial" w:cs="Arial"/>
          <w:sz w:val="28"/>
          <w:szCs w:val="28"/>
        </w:rPr>
        <w:t>,</w:t>
      </w:r>
      <w:r w:rsidRPr="00F631FB">
        <w:rPr>
          <w:rFonts w:ascii="Arial" w:eastAsia="仿宋_GB2312" w:hAnsi="Arial" w:cs="Arial"/>
          <w:sz w:val="28"/>
          <w:szCs w:val="28"/>
        </w:rPr>
        <w:t>采用市场比较法时选择的比较因素主要有</w:t>
      </w:r>
      <w:r w:rsidRPr="00F631FB">
        <w:rPr>
          <w:rFonts w:ascii="Arial" w:eastAsia="仿宋_GB2312" w:hAnsi="Arial" w:cs="Arial"/>
          <w:sz w:val="28"/>
          <w:szCs w:val="28"/>
        </w:rPr>
        <w:t>:</w:t>
      </w:r>
      <w:r w:rsidRPr="00F631FB">
        <w:rPr>
          <w:rFonts w:ascii="Arial" w:eastAsia="仿宋_GB2312" w:hAnsi="Arial" w:cs="Arial"/>
          <w:sz w:val="28"/>
          <w:szCs w:val="28"/>
        </w:rPr>
        <w:t>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w:t>
      </w:r>
    </w:p>
    <w:p w14:paraId="0B694D0C" w14:textId="77777777"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lastRenderedPageBreak/>
        <w:t>A.</w:t>
      </w:r>
      <w:r w:rsidRPr="00F631FB">
        <w:rPr>
          <w:rFonts w:ascii="Arial" w:eastAsia="仿宋_GB2312" w:hAnsi="Arial" w:cs="Arial"/>
          <w:sz w:val="28"/>
          <w:szCs w:val="28"/>
        </w:rPr>
        <w:t>交易时间因素：指由于时间的因素房地产交易价格会不同；</w:t>
      </w:r>
      <w:r w:rsidRPr="00F631FB">
        <w:rPr>
          <w:rFonts w:ascii="Arial" w:eastAsia="仿宋_GB2312" w:hAnsi="Arial" w:cs="Arial"/>
          <w:sz w:val="28"/>
          <w:szCs w:val="28"/>
        </w:rPr>
        <w:t xml:space="preserve"> </w:t>
      </w:r>
    </w:p>
    <w:p w14:paraId="61BD86EB" w14:textId="77777777"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B.</w:t>
      </w:r>
      <w:r w:rsidRPr="00F631FB">
        <w:rPr>
          <w:rFonts w:ascii="Arial" w:eastAsia="仿宋_GB2312" w:hAnsi="Arial" w:cs="Arial"/>
          <w:sz w:val="28"/>
          <w:szCs w:val="28"/>
        </w:rPr>
        <w:t>交易情况因素：指房地产交易中交易双方的公开、公平及客观程度等；</w:t>
      </w:r>
      <w:r w:rsidRPr="00F631FB">
        <w:rPr>
          <w:rFonts w:ascii="Arial" w:eastAsia="仿宋_GB2312" w:hAnsi="Arial" w:cs="Arial"/>
          <w:sz w:val="28"/>
          <w:szCs w:val="28"/>
        </w:rPr>
        <w:t xml:space="preserve"> </w:t>
      </w:r>
    </w:p>
    <w:p w14:paraId="3EEDE31A" w14:textId="77777777"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C.</w:t>
      </w:r>
      <w:r w:rsidRPr="00F631FB">
        <w:rPr>
          <w:rFonts w:ascii="Arial" w:eastAsia="仿宋_GB2312" w:hAnsi="Arial" w:cs="Arial"/>
          <w:sz w:val="28"/>
          <w:szCs w:val="28"/>
        </w:rPr>
        <w:t>土地用途：指土地的合法规划用途；</w:t>
      </w:r>
    </w:p>
    <w:p w14:paraId="472E2E58" w14:textId="77777777"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D.</w:t>
      </w:r>
      <w:r w:rsidRPr="00F631FB">
        <w:rPr>
          <w:rFonts w:ascii="Arial" w:eastAsia="仿宋_GB2312" w:hAnsi="Arial" w:cs="Arial" w:hint="eastAsia"/>
          <w:sz w:val="28"/>
          <w:szCs w:val="28"/>
        </w:rPr>
        <w:t>土地使用年限：指土地的合法</w:t>
      </w:r>
      <w:proofErr w:type="gramStart"/>
      <w:r w:rsidRPr="00F631FB">
        <w:rPr>
          <w:rFonts w:ascii="Arial" w:eastAsia="仿宋_GB2312" w:hAnsi="Arial" w:cs="Arial" w:hint="eastAsia"/>
          <w:sz w:val="28"/>
          <w:szCs w:val="28"/>
        </w:rPr>
        <w:t>有效可</w:t>
      </w:r>
      <w:proofErr w:type="gramEnd"/>
      <w:r w:rsidRPr="00F631FB">
        <w:rPr>
          <w:rFonts w:ascii="Arial" w:eastAsia="仿宋_GB2312" w:hAnsi="Arial" w:cs="Arial" w:hint="eastAsia"/>
          <w:sz w:val="28"/>
          <w:szCs w:val="28"/>
        </w:rPr>
        <w:t>使用年限；</w:t>
      </w:r>
    </w:p>
    <w:p w14:paraId="51B4ADE6" w14:textId="5121F994"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E.</w:t>
      </w:r>
      <w:r w:rsidRPr="00F631FB">
        <w:rPr>
          <w:rFonts w:ascii="Arial" w:eastAsia="仿宋_GB2312" w:hAnsi="Arial" w:cs="Arial"/>
          <w:sz w:val="28"/>
          <w:szCs w:val="28"/>
        </w:rPr>
        <w:t>区域因素：</w:t>
      </w:r>
      <w:r w:rsidR="00B1377B">
        <w:rPr>
          <w:rFonts w:ascii="Arial" w:eastAsia="仿宋_GB2312" w:hAnsi="Arial" w:cs="Arial" w:hint="eastAsia"/>
          <w:sz w:val="28"/>
          <w:szCs w:val="28"/>
        </w:rPr>
        <w:t>办公聚集度</w:t>
      </w:r>
      <w:r w:rsidRPr="00F631FB">
        <w:rPr>
          <w:rFonts w:ascii="Arial" w:eastAsia="仿宋_GB2312" w:hAnsi="Arial" w:cs="Arial"/>
          <w:sz w:val="28"/>
          <w:szCs w:val="28"/>
        </w:rPr>
        <w:t>、交通便捷度、区域土地利用方向、自然及人文环境、公共配套设施、基础设施水平、毗邻道路的类型与等级、土地级别；</w:t>
      </w:r>
    </w:p>
    <w:p w14:paraId="1B8038C8" w14:textId="469E0733"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F.</w:t>
      </w:r>
      <w:r w:rsidRPr="00F631FB">
        <w:rPr>
          <w:rFonts w:ascii="Arial" w:eastAsia="仿宋_GB2312" w:hAnsi="Arial" w:cs="Arial"/>
          <w:sz w:val="28"/>
          <w:szCs w:val="28"/>
        </w:rPr>
        <w:t>个别因素：宗地面积、</w:t>
      </w:r>
      <w:r w:rsidRPr="00F631FB">
        <w:rPr>
          <w:rFonts w:ascii="Arial" w:eastAsia="仿宋_GB2312" w:hAnsi="Arial" w:cs="Arial" w:hint="eastAsia"/>
          <w:sz w:val="28"/>
          <w:szCs w:val="28"/>
        </w:rPr>
        <w:t>容积率、</w:t>
      </w:r>
      <w:r w:rsidRPr="00F631FB">
        <w:rPr>
          <w:rFonts w:ascii="Arial" w:eastAsia="仿宋_GB2312" w:hAnsi="Arial" w:cs="Arial"/>
          <w:sz w:val="28"/>
          <w:szCs w:val="28"/>
        </w:rPr>
        <w:t>宗地形状、</w:t>
      </w:r>
      <w:r w:rsidR="00B1377B" w:rsidRPr="00B1377B">
        <w:rPr>
          <w:rFonts w:ascii="Arial" w:eastAsia="仿宋_GB2312" w:hAnsi="Arial" w:cs="Arial" w:hint="eastAsia"/>
          <w:sz w:val="28"/>
          <w:szCs w:val="28"/>
        </w:rPr>
        <w:t>工程地质条件</w:t>
      </w:r>
      <w:r w:rsidRPr="00F631FB">
        <w:rPr>
          <w:rFonts w:ascii="Arial" w:eastAsia="仿宋_GB2312" w:hAnsi="Arial" w:cs="Arial"/>
          <w:sz w:val="28"/>
          <w:szCs w:val="28"/>
        </w:rPr>
        <w:t>、宗地开发程度。</w:t>
      </w:r>
    </w:p>
    <w:p w14:paraId="46638CB6" w14:textId="77777777" w:rsidR="00273CE2" w:rsidRDefault="000E7771" w:rsidP="00273CE2">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3</w:t>
      </w:r>
      <w:r w:rsidRPr="00F631FB">
        <w:rPr>
          <w:rFonts w:ascii="Arial" w:eastAsia="仿宋_GB2312" w:hAnsi="Arial" w:cs="Arial"/>
          <w:sz w:val="28"/>
          <w:szCs w:val="28"/>
        </w:rPr>
        <w:t>）编制比较因素条件指数表</w:t>
      </w:r>
      <w:r w:rsidRPr="00F631FB">
        <w:rPr>
          <w:rFonts w:ascii="Arial" w:eastAsia="仿宋_GB2312" w:hAnsi="Arial" w:cs="Arial"/>
          <w:sz w:val="28"/>
          <w:szCs w:val="28"/>
        </w:rPr>
        <w:t>(</w:t>
      </w:r>
      <w:r w:rsidRPr="00F631FB">
        <w:rPr>
          <w:rFonts w:ascii="Arial" w:eastAsia="仿宋_GB2312" w:hAnsi="Arial" w:cs="Arial"/>
          <w:sz w:val="28"/>
          <w:szCs w:val="28"/>
        </w:rPr>
        <w:t>见表</w:t>
      </w:r>
      <w:r w:rsidRPr="00F631FB">
        <w:rPr>
          <w:rFonts w:ascii="Arial" w:eastAsia="仿宋_GB2312" w:hAnsi="Arial" w:cs="Arial" w:hint="eastAsia"/>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w:t>
      </w:r>
    </w:p>
    <w:p w14:paraId="7419EC71" w14:textId="084BEF74" w:rsidR="00273CE2" w:rsidRPr="00F631FB" w:rsidRDefault="00273CE2" w:rsidP="00273CE2">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Pr="00F631FB">
        <w:rPr>
          <w:rFonts w:ascii="Arial" w:eastAsia="仿宋_GB2312" w:hAnsi="Arial" w:cs="Arial" w:hint="eastAsia"/>
          <w:b/>
          <w:bCs/>
          <w:szCs w:val="24"/>
        </w:rPr>
        <w:t>1</w:t>
      </w:r>
      <w:r w:rsidR="0087591C">
        <w:rPr>
          <w:rFonts w:ascii="Arial" w:eastAsia="仿宋_GB2312" w:hAnsi="Arial" w:cs="Arial"/>
          <w:b/>
          <w:bCs/>
          <w:szCs w:val="24"/>
        </w:rPr>
        <w:t>3</w:t>
      </w:r>
      <w:r w:rsidRPr="00F631FB">
        <w:rPr>
          <w:rFonts w:ascii="Arial" w:eastAsia="仿宋_GB2312" w:hAnsi="Arial" w:cs="Arial"/>
          <w:b/>
          <w:bCs/>
          <w:szCs w:val="24"/>
        </w:rPr>
        <w:t>：比较因素条件指数表</w:t>
      </w:r>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87591C" w:rsidRPr="00F631FB" w14:paraId="42362A91" w14:textId="77777777" w:rsidTr="00AF0914">
        <w:trPr>
          <w:trHeight w:val="285"/>
        </w:trPr>
        <w:tc>
          <w:tcPr>
            <w:tcW w:w="4300" w:type="dxa"/>
            <w:gridSpan w:val="2"/>
            <w:shd w:val="clear" w:color="auto" w:fill="auto"/>
            <w:vAlign w:val="center"/>
            <w:hideMark/>
          </w:tcPr>
          <w:p w14:paraId="2190B273" w14:textId="77777777"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60" w:type="dxa"/>
            <w:shd w:val="clear" w:color="auto" w:fill="auto"/>
            <w:vAlign w:val="center"/>
            <w:hideMark/>
          </w:tcPr>
          <w:p w14:paraId="471AA1F2" w14:textId="77777777"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待估宗地</w:t>
            </w:r>
            <w:proofErr w:type="gramEnd"/>
          </w:p>
        </w:tc>
        <w:tc>
          <w:tcPr>
            <w:tcW w:w="1180" w:type="dxa"/>
            <w:shd w:val="clear" w:color="auto" w:fill="auto"/>
            <w:vAlign w:val="center"/>
            <w:hideMark/>
          </w:tcPr>
          <w:p w14:paraId="63C39548" w14:textId="48367A63"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Pr="00F631FB">
              <w:rPr>
                <w:rFonts w:ascii="Arial" w:eastAsia="仿宋_GB2312" w:hAnsi="Arial" w:cs="Arial"/>
                <w:sz w:val="18"/>
                <w:szCs w:val="18"/>
              </w:rPr>
              <w:t>例</w:t>
            </w:r>
            <w:r>
              <w:rPr>
                <w:rFonts w:ascii="Arial" w:eastAsia="仿宋_GB2312" w:hAnsi="Arial" w:cs="Arial" w:hint="eastAsia"/>
                <w:sz w:val="18"/>
                <w:szCs w:val="18"/>
              </w:rPr>
              <w:t>M</w:t>
            </w:r>
          </w:p>
        </w:tc>
        <w:tc>
          <w:tcPr>
            <w:tcW w:w="1260" w:type="dxa"/>
            <w:shd w:val="clear" w:color="auto" w:fill="auto"/>
            <w:vAlign w:val="center"/>
            <w:hideMark/>
          </w:tcPr>
          <w:p w14:paraId="6142D939" w14:textId="00C7109E"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Pr="00F631FB">
              <w:rPr>
                <w:rFonts w:ascii="Arial" w:eastAsia="仿宋_GB2312" w:hAnsi="Arial" w:cs="Arial"/>
                <w:sz w:val="18"/>
                <w:szCs w:val="18"/>
              </w:rPr>
              <w:t>例</w:t>
            </w:r>
            <w:r>
              <w:rPr>
                <w:rFonts w:ascii="Arial" w:eastAsia="仿宋_GB2312" w:hAnsi="Arial" w:cs="Arial" w:hint="eastAsia"/>
                <w:sz w:val="18"/>
                <w:szCs w:val="18"/>
              </w:rPr>
              <w:t>N</w:t>
            </w:r>
          </w:p>
        </w:tc>
        <w:tc>
          <w:tcPr>
            <w:tcW w:w="1240" w:type="dxa"/>
            <w:shd w:val="clear" w:color="auto" w:fill="auto"/>
            <w:vAlign w:val="center"/>
            <w:hideMark/>
          </w:tcPr>
          <w:p w14:paraId="5C945964" w14:textId="5E486F80"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Pr="00F631FB">
              <w:rPr>
                <w:rFonts w:ascii="Arial" w:eastAsia="仿宋_GB2312" w:hAnsi="Arial" w:cs="Arial"/>
                <w:sz w:val="18"/>
                <w:szCs w:val="18"/>
              </w:rPr>
              <w:t>例</w:t>
            </w:r>
            <w:r>
              <w:rPr>
                <w:rFonts w:ascii="Arial" w:eastAsia="仿宋_GB2312" w:hAnsi="Arial" w:cs="Arial" w:hint="eastAsia"/>
                <w:sz w:val="18"/>
                <w:szCs w:val="18"/>
              </w:rPr>
              <w:t>O</w:t>
            </w:r>
          </w:p>
        </w:tc>
      </w:tr>
      <w:tr w:rsidR="00273CE2" w:rsidRPr="00F631FB" w14:paraId="7EE40E14" w14:textId="77777777" w:rsidTr="00AF0914">
        <w:trPr>
          <w:trHeight w:val="285"/>
        </w:trPr>
        <w:tc>
          <w:tcPr>
            <w:tcW w:w="4300" w:type="dxa"/>
            <w:gridSpan w:val="2"/>
            <w:shd w:val="clear" w:color="auto" w:fill="auto"/>
            <w:vAlign w:val="center"/>
            <w:hideMark/>
          </w:tcPr>
          <w:p w14:paraId="330BE354"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60" w:type="dxa"/>
            <w:shd w:val="clear" w:color="auto" w:fill="auto"/>
            <w:vAlign w:val="center"/>
            <w:hideMark/>
          </w:tcPr>
          <w:p w14:paraId="6A1CE182"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10429D1"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88.47</w:t>
            </w:r>
          </w:p>
        </w:tc>
        <w:tc>
          <w:tcPr>
            <w:tcW w:w="1260" w:type="dxa"/>
            <w:shd w:val="clear" w:color="auto" w:fill="auto"/>
            <w:vAlign w:val="center"/>
            <w:hideMark/>
          </w:tcPr>
          <w:p w14:paraId="47C51ED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88.47</w:t>
            </w:r>
          </w:p>
        </w:tc>
        <w:tc>
          <w:tcPr>
            <w:tcW w:w="1240" w:type="dxa"/>
            <w:shd w:val="clear" w:color="auto" w:fill="auto"/>
            <w:vAlign w:val="center"/>
            <w:hideMark/>
          </w:tcPr>
          <w:p w14:paraId="703D68A2"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96.71</w:t>
            </w:r>
          </w:p>
        </w:tc>
      </w:tr>
      <w:tr w:rsidR="00273CE2" w:rsidRPr="00F631FB" w14:paraId="2DF97BCA" w14:textId="77777777" w:rsidTr="00AF0914">
        <w:trPr>
          <w:trHeight w:val="285"/>
        </w:trPr>
        <w:tc>
          <w:tcPr>
            <w:tcW w:w="4300" w:type="dxa"/>
            <w:gridSpan w:val="2"/>
            <w:shd w:val="clear" w:color="auto" w:fill="auto"/>
            <w:vAlign w:val="center"/>
            <w:hideMark/>
          </w:tcPr>
          <w:p w14:paraId="0DFCFF9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1060" w:type="dxa"/>
            <w:shd w:val="clear" w:color="auto" w:fill="auto"/>
            <w:vAlign w:val="center"/>
            <w:hideMark/>
          </w:tcPr>
          <w:p w14:paraId="3DE6141B"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E9E17E4"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520755A0"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E6CC61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73CE2" w:rsidRPr="00F631FB" w14:paraId="3C9F30F7" w14:textId="77777777" w:rsidTr="00AF0914">
        <w:trPr>
          <w:trHeight w:val="300"/>
        </w:trPr>
        <w:tc>
          <w:tcPr>
            <w:tcW w:w="4300" w:type="dxa"/>
            <w:gridSpan w:val="2"/>
            <w:shd w:val="clear" w:color="auto" w:fill="auto"/>
            <w:vAlign w:val="center"/>
            <w:hideMark/>
          </w:tcPr>
          <w:p w14:paraId="570EB6D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60" w:type="dxa"/>
            <w:shd w:val="clear" w:color="auto" w:fill="auto"/>
            <w:vAlign w:val="center"/>
            <w:hideMark/>
          </w:tcPr>
          <w:p w14:paraId="6A895AB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26A7EB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3A8D0B73"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4FFD1F1B"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73CE2" w:rsidRPr="00F631FB" w14:paraId="2CA231AD" w14:textId="77777777" w:rsidTr="00AF0914">
        <w:trPr>
          <w:trHeight w:val="300"/>
        </w:trPr>
        <w:tc>
          <w:tcPr>
            <w:tcW w:w="4300" w:type="dxa"/>
            <w:gridSpan w:val="2"/>
            <w:shd w:val="clear" w:color="auto" w:fill="auto"/>
            <w:vAlign w:val="center"/>
          </w:tcPr>
          <w:p w14:paraId="42264B9F"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60" w:type="dxa"/>
            <w:shd w:val="clear" w:color="auto" w:fill="auto"/>
            <w:vAlign w:val="center"/>
          </w:tcPr>
          <w:p w14:paraId="522FEF13"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13F37D5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tcPr>
          <w:p w14:paraId="7F1CAA2D"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tcPr>
          <w:p w14:paraId="09B9814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r>
      <w:tr w:rsidR="00273CE2" w:rsidRPr="00F631FB" w14:paraId="12E13C01" w14:textId="77777777" w:rsidTr="00AF0914">
        <w:trPr>
          <w:trHeight w:val="300"/>
        </w:trPr>
        <w:tc>
          <w:tcPr>
            <w:tcW w:w="1940" w:type="dxa"/>
            <w:vMerge w:val="restart"/>
            <w:shd w:val="clear" w:color="auto" w:fill="auto"/>
            <w:vAlign w:val="center"/>
            <w:hideMark/>
          </w:tcPr>
          <w:p w14:paraId="6558975B"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2360" w:type="dxa"/>
            <w:shd w:val="clear" w:color="auto" w:fill="auto"/>
            <w:vAlign w:val="center"/>
            <w:hideMark/>
          </w:tcPr>
          <w:p w14:paraId="12B37247"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商业繁华度</w:t>
            </w:r>
          </w:p>
        </w:tc>
        <w:tc>
          <w:tcPr>
            <w:tcW w:w="1060" w:type="dxa"/>
            <w:shd w:val="clear" w:color="auto" w:fill="auto"/>
            <w:vAlign w:val="center"/>
            <w:hideMark/>
          </w:tcPr>
          <w:p w14:paraId="0933B6B5"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1FF4F7F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hideMark/>
          </w:tcPr>
          <w:p w14:paraId="13D9EA7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hideMark/>
          </w:tcPr>
          <w:p w14:paraId="2A04BD5C"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273CE2" w:rsidRPr="00F631FB" w14:paraId="05B75B60" w14:textId="77777777" w:rsidTr="00AF0914">
        <w:trPr>
          <w:trHeight w:val="279"/>
        </w:trPr>
        <w:tc>
          <w:tcPr>
            <w:tcW w:w="1940" w:type="dxa"/>
            <w:vMerge/>
            <w:vAlign w:val="center"/>
            <w:hideMark/>
          </w:tcPr>
          <w:p w14:paraId="65C7B413"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39542235"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60" w:type="dxa"/>
            <w:shd w:val="clear" w:color="auto" w:fill="auto"/>
            <w:vAlign w:val="center"/>
            <w:hideMark/>
          </w:tcPr>
          <w:p w14:paraId="6BB114E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37BF754"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60" w:type="dxa"/>
            <w:shd w:val="clear" w:color="auto" w:fill="auto"/>
            <w:vAlign w:val="center"/>
            <w:hideMark/>
          </w:tcPr>
          <w:p w14:paraId="45CC0C7C"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hideMark/>
          </w:tcPr>
          <w:p w14:paraId="4007C903"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73CE2" w:rsidRPr="00F631FB" w14:paraId="593FDE21" w14:textId="77777777" w:rsidTr="00AF0914">
        <w:trPr>
          <w:trHeight w:val="300"/>
        </w:trPr>
        <w:tc>
          <w:tcPr>
            <w:tcW w:w="1940" w:type="dxa"/>
            <w:vMerge/>
            <w:vAlign w:val="center"/>
            <w:hideMark/>
          </w:tcPr>
          <w:p w14:paraId="663918D6"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377AB4F7"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60" w:type="dxa"/>
            <w:shd w:val="clear" w:color="auto" w:fill="auto"/>
            <w:vAlign w:val="center"/>
            <w:hideMark/>
          </w:tcPr>
          <w:p w14:paraId="797D3ECB"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4DEF47F"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85684A1"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A2ADBD1"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73CE2" w:rsidRPr="00F631FB" w14:paraId="730769AC" w14:textId="77777777" w:rsidTr="00AF0914">
        <w:trPr>
          <w:trHeight w:val="300"/>
        </w:trPr>
        <w:tc>
          <w:tcPr>
            <w:tcW w:w="1940" w:type="dxa"/>
            <w:vMerge/>
            <w:vAlign w:val="center"/>
            <w:hideMark/>
          </w:tcPr>
          <w:p w14:paraId="023985E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73D30106"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60" w:type="dxa"/>
            <w:shd w:val="clear" w:color="auto" w:fill="auto"/>
            <w:vAlign w:val="center"/>
            <w:hideMark/>
          </w:tcPr>
          <w:p w14:paraId="00DB4B0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7DA2215" w14:textId="511D9CBA"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sidR="00B1377B">
              <w:rPr>
                <w:rFonts w:ascii="Arial" w:eastAsia="仿宋_GB2312" w:hAnsi="Arial" w:cs="Arial"/>
                <w:sz w:val="18"/>
                <w:szCs w:val="18"/>
              </w:rPr>
              <w:t>1</w:t>
            </w:r>
          </w:p>
        </w:tc>
        <w:tc>
          <w:tcPr>
            <w:tcW w:w="1260" w:type="dxa"/>
            <w:shd w:val="clear" w:color="auto" w:fill="auto"/>
            <w:vAlign w:val="center"/>
            <w:hideMark/>
          </w:tcPr>
          <w:p w14:paraId="065A77F8" w14:textId="75F1517E"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sidR="00B1377B">
              <w:rPr>
                <w:rFonts w:ascii="Arial" w:eastAsia="仿宋_GB2312" w:hAnsi="Arial" w:cs="Arial"/>
                <w:sz w:val="18"/>
                <w:szCs w:val="18"/>
              </w:rPr>
              <w:t>1</w:t>
            </w:r>
          </w:p>
        </w:tc>
        <w:tc>
          <w:tcPr>
            <w:tcW w:w="1240" w:type="dxa"/>
            <w:shd w:val="clear" w:color="auto" w:fill="auto"/>
            <w:vAlign w:val="center"/>
            <w:hideMark/>
          </w:tcPr>
          <w:p w14:paraId="57B9192B"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273CE2" w:rsidRPr="00F631FB" w14:paraId="10E190C7" w14:textId="77777777" w:rsidTr="00AF0914">
        <w:trPr>
          <w:trHeight w:val="300"/>
        </w:trPr>
        <w:tc>
          <w:tcPr>
            <w:tcW w:w="1940" w:type="dxa"/>
            <w:vMerge/>
            <w:vAlign w:val="center"/>
            <w:hideMark/>
          </w:tcPr>
          <w:p w14:paraId="7E6DF0A1"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5AB54826"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60" w:type="dxa"/>
            <w:shd w:val="clear" w:color="auto" w:fill="auto"/>
            <w:vAlign w:val="center"/>
            <w:hideMark/>
          </w:tcPr>
          <w:p w14:paraId="779DB6C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87A4D2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6EFC9D6"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81ECE6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73CE2" w:rsidRPr="00F631FB" w14:paraId="7430095A" w14:textId="77777777" w:rsidTr="00AF0914">
        <w:trPr>
          <w:trHeight w:val="300"/>
        </w:trPr>
        <w:tc>
          <w:tcPr>
            <w:tcW w:w="1940" w:type="dxa"/>
            <w:vMerge/>
            <w:vAlign w:val="center"/>
            <w:hideMark/>
          </w:tcPr>
          <w:p w14:paraId="387BD4B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019C7A0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60" w:type="dxa"/>
            <w:shd w:val="clear" w:color="auto" w:fill="auto"/>
            <w:vAlign w:val="center"/>
            <w:hideMark/>
          </w:tcPr>
          <w:p w14:paraId="6B030B14"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ECCED9C"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46C45BE7"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6068BD9"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73CE2" w:rsidRPr="00F631FB" w14:paraId="3F2BB924" w14:textId="77777777" w:rsidTr="00AF0914">
        <w:trPr>
          <w:trHeight w:val="303"/>
        </w:trPr>
        <w:tc>
          <w:tcPr>
            <w:tcW w:w="1940" w:type="dxa"/>
            <w:vMerge/>
            <w:vAlign w:val="center"/>
            <w:hideMark/>
          </w:tcPr>
          <w:p w14:paraId="71E3B5E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47C67AF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60" w:type="dxa"/>
            <w:shd w:val="clear" w:color="auto" w:fill="auto"/>
            <w:vAlign w:val="center"/>
            <w:hideMark/>
          </w:tcPr>
          <w:p w14:paraId="246949E7"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644DE6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1260" w:type="dxa"/>
            <w:shd w:val="clear" w:color="auto" w:fill="auto"/>
            <w:vAlign w:val="center"/>
            <w:hideMark/>
          </w:tcPr>
          <w:p w14:paraId="4B154486"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1240" w:type="dxa"/>
            <w:shd w:val="clear" w:color="auto" w:fill="auto"/>
            <w:vAlign w:val="center"/>
            <w:hideMark/>
          </w:tcPr>
          <w:p w14:paraId="09F2B58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r>
      <w:tr w:rsidR="00273CE2" w:rsidRPr="00F631FB" w14:paraId="302C32B8" w14:textId="77777777" w:rsidTr="00AF0914">
        <w:trPr>
          <w:trHeight w:val="300"/>
        </w:trPr>
        <w:tc>
          <w:tcPr>
            <w:tcW w:w="1940" w:type="dxa"/>
            <w:vMerge/>
            <w:vAlign w:val="center"/>
            <w:hideMark/>
          </w:tcPr>
          <w:p w14:paraId="0B6A688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0C38E3B4"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60" w:type="dxa"/>
            <w:shd w:val="clear" w:color="auto" w:fill="auto"/>
            <w:vAlign w:val="center"/>
            <w:hideMark/>
          </w:tcPr>
          <w:p w14:paraId="7D843000"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332785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1260" w:type="dxa"/>
            <w:shd w:val="clear" w:color="auto" w:fill="auto"/>
            <w:vAlign w:val="center"/>
            <w:hideMark/>
          </w:tcPr>
          <w:p w14:paraId="52409E77"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1240" w:type="dxa"/>
            <w:shd w:val="clear" w:color="auto" w:fill="auto"/>
            <w:vAlign w:val="center"/>
            <w:hideMark/>
          </w:tcPr>
          <w:p w14:paraId="140C1FC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r>
      <w:tr w:rsidR="00273CE2" w:rsidRPr="00F631FB" w14:paraId="589191E8" w14:textId="77777777" w:rsidTr="00AF0914">
        <w:trPr>
          <w:trHeight w:val="341"/>
        </w:trPr>
        <w:tc>
          <w:tcPr>
            <w:tcW w:w="1940" w:type="dxa"/>
            <w:vMerge w:val="restart"/>
            <w:shd w:val="clear" w:color="auto" w:fill="auto"/>
            <w:vAlign w:val="center"/>
            <w:hideMark/>
          </w:tcPr>
          <w:p w14:paraId="2AA28860"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2360" w:type="dxa"/>
            <w:shd w:val="clear" w:color="auto" w:fill="auto"/>
            <w:vAlign w:val="center"/>
            <w:hideMark/>
          </w:tcPr>
          <w:p w14:paraId="385681F3"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60" w:type="dxa"/>
            <w:shd w:val="clear" w:color="auto" w:fill="auto"/>
            <w:vAlign w:val="center"/>
            <w:hideMark/>
          </w:tcPr>
          <w:p w14:paraId="69C40E2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1600E4B"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hideMark/>
          </w:tcPr>
          <w:p w14:paraId="7D110D16" w14:textId="057C5DD8" w:rsidR="00273CE2" w:rsidRPr="00F631FB" w:rsidRDefault="003B749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1240" w:type="dxa"/>
            <w:shd w:val="clear" w:color="auto" w:fill="auto"/>
            <w:vAlign w:val="center"/>
            <w:hideMark/>
          </w:tcPr>
          <w:p w14:paraId="12300DE4" w14:textId="0F28CA04" w:rsidR="00273CE2" w:rsidRPr="00F631FB" w:rsidRDefault="003B749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95.5</w:t>
            </w:r>
          </w:p>
        </w:tc>
      </w:tr>
      <w:tr w:rsidR="00273CE2" w:rsidRPr="00F631FB" w14:paraId="142A0658" w14:textId="77777777" w:rsidTr="00AF0914">
        <w:trPr>
          <w:trHeight w:val="341"/>
        </w:trPr>
        <w:tc>
          <w:tcPr>
            <w:tcW w:w="1940" w:type="dxa"/>
            <w:vMerge/>
            <w:shd w:val="clear" w:color="auto" w:fill="auto"/>
            <w:vAlign w:val="center"/>
          </w:tcPr>
          <w:p w14:paraId="63976651"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423D26FD"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60" w:type="dxa"/>
            <w:shd w:val="clear" w:color="auto" w:fill="auto"/>
            <w:vAlign w:val="center"/>
          </w:tcPr>
          <w:p w14:paraId="3F0D9186"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0694A4D0"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100.3</w:t>
            </w:r>
          </w:p>
        </w:tc>
        <w:tc>
          <w:tcPr>
            <w:tcW w:w="1260" w:type="dxa"/>
            <w:shd w:val="clear" w:color="auto" w:fill="auto"/>
            <w:vAlign w:val="center"/>
          </w:tcPr>
          <w:p w14:paraId="0F837EF5"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99.9</w:t>
            </w:r>
          </w:p>
        </w:tc>
        <w:tc>
          <w:tcPr>
            <w:tcW w:w="1240" w:type="dxa"/>
            <w:shd w:val="clear" w:color="auto" w:fill="auto"/>
            <w:vAlign w:val="center"/>
          </w:tcPr>
          <w:p w14:paraId="42AA23B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100.4</w:t>
            </w:r>
          </w:p>
        </w:tc>
      </w:tr>
      <w:tr w:rsidR="00273CE2" w:rsidRPr="00F631FB" w14:paraId="060D704D" w14:textId="77777777" w:rsidTr="00AF0914">
        <w:trPr>
          <w:trHeight w:val="275"/>
        </w:trPr>
        <w:tc>
          <w:tcPr>
            <w:tcW w:w="1940" w:type="dxa"/>
            <w:vMerge/>
            <w:vAlign w:val="center"/>
            <w:hideMark/>
          </w:tcPr>
          <w:p w14:paraId="2B421B09"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22140389"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60" w:type="dxa"/>
            <w:shd w:val="clear" w:color="auto" w:fill="auto"/>
            <w:vAlign w:val="center"/>
            <w:hideMark/>
          </w:tcPr>
          <w:p w14:paraId="74D85B62"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B36BCC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6DF519FF"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6EF34791"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73CE2" w:rsidRPr="00F631FB" w14:paraId="084ECE2B" w14:textId="77777777" w:rsidTr="00AF0914">
        <w:trPr>
          <w:trHeight w:val="365"/>
        </w:trPr>
        <w:tc>
          <w:tcPr>
            <w:tcW w:w="1940" w:type="dxa"/>
            <w:vMerge/>
            <w:vAlign w:val="center"/>
            <w:hideMark/>
          </w:tcPr>
          <w:p w14:paraId="4C99FFBB"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4AF486E5"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60" w:type="dxa"/>
            <w:shd w:val="clear" w:color="auto" w:fill="auto"/>
            <w:vAlign w:val="center"/>
            <w:hideMark/>
          </w:tcPr>
          <w:p w14:paraId="21E7D07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5362852"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9B5B49F"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6ADF01A4"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73CE2" w:rsidRPr="00F631FB" w14:paraId="32120725" w14:textId="77777777" w:rsidTr="00AF0914">
        <w:trPr>
          <w:trHeight w:val="272"/>
        </w:trPr>
        <w:tc>
          <w:tcPr>
            <w:tcW w:w="1940" w:type="dxa"/>
            <w:vMerge/>
            <w:vAlign w:val="center"/>
            <w:hideMark/>
          </w:tcPr>
          <w:p w14:paraId="5247F627"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2DBB084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工程地质条件</w:t>
            </w:r>
          </w:p>
        </w:tc>
        <w:tc>
          <w:tcPr>
            <w:tcW w:w="1060" w:type="dxa"/>
            <w:shd w:val="clear" w:color="auto" w:fill="auto"/>
            <w:vAlign w:val="center"/>
            <w:hideMark/>
          </w:tcPr>
          <w:p w14:paraId="7B39DBB7"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5AEFDB4"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5547D6E7"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400C4724"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bl>
    <w:p w14:paraId="223F5CD5"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）因素修正</w:t>
      </w:r>
    </w:p>
    <w:p w14:paraId="73D91471"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在各因素条件指数表的基础上，进行比较实例交易时间、交易情况、土地用途、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区域因素、个别因素修正，即估价对象的因素条件指数与比较实例的因素条件进行比较，得到各因素修正系数，计算得出估价对象</w:t>
      </w:r>
      <w:r w:rsidRPr="00F631FB">
        <w:rPr>
          <w:rFonts w:ascii="Arial" w:eastAsia="仿宋_GB2312" w:hAnsi="Arial" w:cs="Arial"/>
          <w:sz w:val="28"/>
        </w:rPr>
        <w:t>楼面地价</w:t>
      </w:r>
      <w:r w:rsidRPr="00F631FB">
        <w:rPr>
          <w:rFonts w:ascii="Arial" w:eastAsia="仿宋_GB2312" w:hAnsi="Arial" w:cs="Arial"/>
          <w:sz w:val="28"/>
          <w:szCs w:val="28"/>
        </w:rPr>
        <w:t>(</w:t>
      </w:r>
      <w:r w:rsidRPr="00F631FB">
        <w:rPr>
          <w:rFonts w:ascii="Arial" w:eastAsia="仿宋_GB2312" w:hAnsi="Arial" w:cs="Arial"/>
          <w:sz w:val="28"/>
          <w:szCs w:val="28"/>
        </w:rPr>
        <w:t>见表</w:t>
      </w:r>
      <w:r w:rsidRPr="00F631FB">
        <w:rPr>
          <w:rFonts w:ascii="Arial" w:eastAsia="仿宋_GB2312" w:hAnsi="Arial" w:cs="Arial" w:hint="eastAsia"/>
          <w:sz w:val="28"/>
          <w:szCs w:val="28"/>
        </w:rPr>
        <w:t>12</w:t>
      </w:r>
      <w:r w:rsidRPr="00F631FB">
        <w:rPr>
          <w:rFonts w:ascii="Arial" w:eastAsia="仿宋_GB2312" w:hAnsi="Arial" w:cs="Arial"/>
          <w:sz w:val="28"/>
          <w:szCs w:val="28"/>
        </w:rPr>
        <w:t>)</w:t>
      </w:r>
      <w:r w:rsidRPr="00F631FB">
        <w:rPr>
          <w:rFonts w:ascii="Arial" w:eastAsia="仿宋_GB2312" w:hAnsi="Arial" w:cs="Arial"/>
          <w:sz w:val="28"/>
          <w:szCs w:val="28"/>
        </w:rPr>
        <w:t>：</w:t>
      </w:r>
    </w:p>
    <w:p w14:paraId="05BCCB82" w14:textId="51E57430" w:rsidR="000E7771" w:rsidRPr="00F631FB" w:rsidRDefault="000E7771" w:rsidP="000E7771">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表</w:t>
      </w:r>
      <w:r w:rsidRPr="00F631FB">
        <w:rPr>
          <w:rFonts w:ascii="Arial" w:eastAsia="仿宋_GB2312" w:hAnsi="Arial" w:cs="Arial" w:hint="eastAsia"/>
          <w:b/>
          <w:bCs/>
          <w:szCs w:val="24"/>
        </w:rPr>
        <w:t>1</w:t>
      </w:r>
      <w:r w:rsidR="0087591C">
        <w:rPr>
          <w:rFonts w:ascii="Arial" w:eastAsia="仿宋_GB2312" w:hAnsi="Arial" w:cs="Arial"/>
          <w:b/>
          <w:bCs/>
          <w:szCs w:val="24"/>
        </w:rPr>
        <w:t>4</w:t>
      </w:r>
      <w:r w:rsidRPr="00F631FB">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46"/>
        <w:gridCol w:w="2679"/>
        <w:gridCol w:w="1889"/>
        <w:gridCol w:w="1889"/>
        <w:gridCol w:w="1886"/>
      </w:tblGrid>
      <w:tr w:rsidR="0087591C" w:rsidRPr="00F631FB" w14:paraId="00394063"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7EA2E" w14:textId="77777777"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43FCA25" w14:textId="286DA324"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Pr="00F631FB">
              <w:rPr>
                <w:rFonts w:ascii="Arial" w:eastAsia="仿宋_GB2312" w:hAnsi="Arial" w:cs="Arial"/>
                <w:sz w:val="18"/>
                <w:szCs w:val="18"/>
              </w:rPr>
              <w:t>例</w:t>
            </w:r>
            <w:r>
              <w:rPr>
                <w:rFonts w:ascii="Arial" w:eastAsia="仿宋_GB2312" w:hAnsi="Arial" w:cs="Arial" w:hint="eastAsia"/>
                <w:sz w:val="18"/>
                <w:szCs w:val="18"/>
              </w:rPr>
              <w:t>M</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E3AA257" w14:textId="714B573B"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Pr="00F631FB">
              <w:rPr>
                <w:rFonts w:ascii="Arial" w:eastAsia="仿宋_GB2312" w:hAnsi="Arial" w:cs="Arial"/>
                <w:sz w:val="18"/>
                <w:szCs w:val="18"/>
              </w:rPr>
              <w:t>例</w:t>
            </w:r>
            <w:r>
              <w:rPr>
                <w:rFonts w:ascii="Arial" w:eastAsia="仿宋_GB2312" w:hAnsi="Arial" w:cs="Arial" w:hint="eastAsia"/>
                <w:sz w:val="18"/>
                <w:szCs w:val="18"/>
              </w:rPr>
              <w:t>N</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A72C696" w14:textId="2C102C96" w:rsidR="0087591C" w:rsidRPr="00F631FB" w:rsidRDefault="0087591C" w:rsidP="008759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w:t>
            </w:r>
            <w:r w:rsidRPr="00F631FB">
              <w:rPr>
                <w:rFonts w:ascii="Arial" w:eastAsia="仿宋_GB2312" w:hAnsi="Arial" w:cs="Arial"/>
                <w:sz w:val="18"/>
                <w:szCs w:val="18"/>
              </w:rPr>
              <w:t>例</w:t>
            </w:r>
            <w:r>
              <w:rPr>
                <w:rFonts w:ascii="Arial" w:eastAsia="仿宋_GB2312" w:hAnsi="Arial" w:cs="Arial" w:hint="eastAsia"/>
                <w:sz w:val="18"/>
                <w:szCs w:val="18"/>
              </w:rPr>
              <w:t>O</w:t>
            </w:r>
          </w:p>
        </w:tc>
      </w:tr>
      <w:tr w:rsidR="000E7771" w:rsidRPr="00F631FB" w14:paraId="24476923"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7CBE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06A175"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100/88.47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6CD85F"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100/88.47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BB5B0A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100/96.71</w:t>
            </w:r>
          </w:p>
        </w:tc>
      </w:tr>
      <w:tr w:rsidR="000E7771" w:rsidRPr="00F631FB" w14:paraId="4418D5C7"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99357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AA4D03A"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FD50B2D"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7B1A8979"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22FE470A"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DFFA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4D53A4E"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32A824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0D3A8C5"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0DD36EFD"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F8215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D234D10"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E502579"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33BA5173"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2C748136" w14:textId="77777777" w:rsidTr="004F0BE4">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03559AF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0626619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97A239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DB31904"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AD36FCA"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0BD39EB5" w14:textId="77777777" w:rsidTr="004F0BE4">
        <w:trPr>
          <w:trHeight w:val="285"/>
        </w:trPr>
        <w:tc>
          <w:tcPr>
            <w:tcW w:w="509" w:type="pct"/>
            <w:vMerge/>
            <w:tcBorders>
              <w:top w:val="nil"/>
              <w:left w:val="single" w:sz="4" w:space="0" w:color="auto"/>
              <w:bottom w:val="single" w:sz="4" w:space="0" w:color="auto"/>
              <w:right w:val="single" w:sz="4" w:space="0" w:color="auto"/>
            </w:tcBorders>
            <w:vAlign w:val="center"/>
            <w:hideMark/>
          </w:tcPr>
          <w:p w14:paraId="0C8DAC84"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2200AC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249A745"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A2C009"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4ADD510"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50ACE48A" w14:textId="77777777" w:rsidTr="004F0BE4">
        <w:trPr>
          <w:trHeight w:val="285"/>
        </w:trPr>
        <w:tc>
          <w:tcPr>
            <w:tcW w:w="509" w:type="pct"/>
            <w:vMerge/>
            <w:tcBorders>
              <w:top w:val="nil"/>
              <w:left w:val="single" w:sz="4" w:space="0" w:color="auto"/>
              <w:bottom w:val="single" w:sz="4" w:space="0" w:color="auto"/>
              <w:right w:val="single" w:sz="4" w:space="0" w:color="auto"/>
            </w:tcBorders>
            <w:vAlign w:val="center"/>
            <w:hideMark/>
          </w:tcPr>
          <w:p w14:paraId="507C3BB4"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90B39D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EB6B197"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1C7C87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861880A"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2416C842" w14:textId="77777777" w:rsidTr="004F0BE4">
        <w:trPr>
          <w:trHeight w:val="300"/>
        </w:trPr>
        <w:tc>
          <w:tcPr>
            <w:tcW w:w="509" w:type="pct"/>
            <w:vMerge/>
            <w:tcBorders>
              <w:top w:val="nil"/>
              <w:left w:val="single" w:sz="4" w:space="0" w:color="auto"/>
              <w:bottom w:val="single" w:sz="4" w:space="0" w:color="auto"/>
              <w:right w:val="single" w:sz="4" w:space="0" w:color="auto"/>
            </w:tcBorders>
            <w:vAlign w:val="center"/>
            <w:hideMark/>
          </w:tcPr>
          <w:p w14:paraId="13C8542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7523E9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93793BF" w14:textId="6305637B"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sidR="00B1377B">
              <w:rPr>
                <w:rFonts w:ascii="Arial" w:eastAsia="仿宋_GB2312" w:hAnsi="Arial" w:cs="Arial"/>
                <w:sz w:val="22"/>
                <w:szCs w:val="22"/>
              </w:rPr>
              <w:t>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42BFA60" w14:textId="31F298AB"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sidR="00B1377B">
              <w:rPr>
                <w:rFonts w:ascii="Arial" w:eastAsia="仿宋_GB2312" w:hAnsi="Arial" w:cs="Arial"/>
                <w:sz w:val="22"/>
                <w:szCs w:val="22"/>
              </w:rPr>
              <w:t>1</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631159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23A30058"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190D4380"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CE34FD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77A590D"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B703D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71A3653"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33880253"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3F5102E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1E9A7C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D60576"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C9C51F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40233C0"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00B1323D"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03CDFF20"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0C1215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295269"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97</w:t>
            </w:r>
          </w:p>
        </w:tc>
        <w:tc>
          <w:tcPr>
            <w:tcW w:w="1017" w:type="pct"/>
            <w:tcBorders>
              <w:top w:val="single" w:sz="4" w:space="0" w:color="auto"/>
              <w:left w:val="nil"/>
              <w:bottom w:val="single" w:sz="4" w:space="0" w:color="auto"/>
              <w:right w:val="single" w:sz="4" w:space="0" w:color="000000"/>
            </w:tcBorders>
            <w:shd w:val="clear" w:color="auto" w:fill="auto"/>
            <w:noWrap/>
            <w:hideMark/>
          </w:tcPr>
          <w:p w14:paraId="384B6262"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100/97</w:t>
            </w:r>
          </w:p>
        </w:tc>
        <w:tc>
          <w:tcPr>
            <w:tcW w:w="1015" w:type="pct"/>
            <w:tcBorders>
              <w:top w:val="single" w:sz="4" w:space="0" w:color="auto"/>
              <w:left w:val="nil"/>
              <w:bottom w:val="single" w:sz="4" w:space="0" w:color="auto"/>
              <w:right w:val="single" w:sz="4" w:space="0" w:color="000000"/>
            </w:tcBorders>
            <w:shd w:val="clear" w:color="auto" w:fill="auto"/>
            <w:noWrap/>
            <w:hideMark/>
          </w:tcPr>
          <w:p w14:paraId="3F0A1415"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100/97</w:t>
            </w:r>
          </w:p>
        </w:tc>
      </w:tr>
      <w:tr w:rsidR="000E7771" w:rsidRPr="00F631FB" w14:paraId="5FC65DB1"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28E10203"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B16FB3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B149D0"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6968E8"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5EA7CE7"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100/95</w:t>
            </w:r>
          </w:p>
        </w:tc>
      </w:tr>
      <w:tr w:rsidR="000E7771" w:rsidRPr="00F631FB" w14:paraId="1FE3179A" w14:textId="77777777" w:rsidTr="004F0BE4">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58053CD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5BFC19B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1743762"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w:t>
            </w:r>
            <w:r>
              <w:rPr>
                <w:rFonts w:ascii="Arial" w:eastAsia="仿宋_GB2312" w:hAnsi="Arial" w:cs="Arial"/>
                <w:sz w:val="22"/>
                <w:szCs w:val="22"/>
              </w:rPr>
              <w:t>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27D8EA2" w14:textId="2ADAA4D1" w:rsidR="000E7771" w:rsidRPr="00F631FB" w:rsidRDefault="000E777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sidR="003B749F">
              <w:rPr>
                <w:rFonts w:ascii="Arial" w:eastAsia="仿宋_GB2312" w:hAnsi="Arial" w:cs="Arial"/>
                <w:sz w:val="22"/>
                <w:szCs w:val="22"/>
              </w:rPr>
              <w:t>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5D5A335" w14:textId="20F1A398" w:rsidR="000E7771" w:rsidRPr="00F631FB" w:rsidRDefault="000E777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sidR="003B749F">
              <w:rPr>
                <w:rFonts w:ascii="Arial" w:eastAsia="仿宋_GB2312" w:hAnsi="Arial" w:cs="Arial"/>
                <w:sz w:val="22"/>
                <w:szCs w:val="22"/>
              </w:rPr>
              <w:t>95.5</w:t>
            </w:r>
          </w:p>
        </w:tc>
      </w:tr>
      <w:tr w:rsidR="000E7771" w:rsidRPr="00F631FB" w14:paraId="7E39AEBB" w14:textId="77777777" w:rsidTr="004F0BE4">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660D1F6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207B601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821C40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Pr>
                <w:rFonts w:ascii="Arial" w:eastAsia="仿宋_GB2312" w:hAnsi="Arial" w:cs="Arial"/>
                <w:sz w:val="22"/>
                <w:szCs w:val="22"/>
              </w:rPr>
              <w:t>100.3</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26ABF9A"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100/99.9</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5445361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100/100.4</w:t>
            </w:r>
          </w:p>
        </w:tc>
      </w:tr>
      <w:tr w:rsidR="000E7771" w:rsidRPr="00F631FB" w14:paraId="2DE3988D"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05F1359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1A2C7A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CD19EDE"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0C87EA6"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6AF4B2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028ADDE5"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0F6015BB"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42E611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250843E"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EE139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97181B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75F64A19"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246F5071"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D6DC60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工程地质条件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522C18"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67267BE"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E02A163"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41ECE726" w14:textId="77777777" w:rsidTr="004F0BE4">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59A1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楼面地价（元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4754BAF"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26475</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2E53E8E"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23783</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F9DC073"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27543</w:t>
            </w:r>
          </w:p>
        </w:tc>
      </w:tr>
      <w:tr w:rsidR="000E7771" w:rsidRPr="00F631FB" w14:paraId="4F5AE862" w14:textId="77777777" w:rsidTr="004F0BE4">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C81C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比准价格（元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5BCB658" w14:textId="03B3EBF2" w:rsidR="000E7771" w:rsidRPr="00F631FB" w:rsidRDefault="00B1377B"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32057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3AC2723" w14:textId="15BF0920" w:rsidR="000E7771" w:rsidRPr="00F631FB" w:rsidRDefault="00B1377B"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29807</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E66230A" w14:textId="66964110" w:rsidR="000E7771" w:rsidRPr="00F631FB" w:rsidRDefault="00B1377B"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32233</w:t>
            </w:r>
          </w:p>
        </w:tc>
      </w:tr>
    </w:tbl>
    <w:p w14:paraId="6D91E8D1" w14:textId="77777777" w:rsidR="000E7771" w:rsidRPr="00F631FB" w:rsidRDefault="000E7771" w:rsidP="000E7771">
      <w:pPr>
        <w:spacing w:line="360" w:lineRule="auto"/>
        <w:ind w:firstLineChars="200" w:firstLine="560"/>
        <w:jc w:val="both"/>
        <w:rPr>
          <w:rFonts w:ascii="Arial" w:eastAsia="仿宋_GB2312" w:hAnsi="Arial" w:cs="Arial"/>
          <w:bCs/>
          <w:sz w:val="28"/>
        </w:rPr>
      </w:pPr>
      <w:r w:rsidRPr="00F631FB">
        <w:rPr>
          <w:rFonts w:ascii="Arial" w:eastAsia="仿宋_GB2312" w:hAnsi="Arial" w:cs="Arial"/>
          <w:sz w:val="28"/>
          <w:szCs w:val="28"/>
        </w:rPr>
        <w:t>5</w:t>
      </w:r>
      <w:r w:rsidRPr="00F631FB">
        <w:rPr>
          <w:rFonts w:ascii="Arial" w:eastAsia="仿宋_GB2312" w:hAnsi="Arial" w:cs="Arial"/>
          <w:sz w:val="28"/>
          <w:szCs w:val="28"/>
        </w:rPr>
        <w:t>）</w:t>
      </w:r>
      <w:r w:rsidRPr="00F631FB">
        <w:rPr>
          <w:rFonts w:ascii="Arial" w:eastAsia="仿宋_GB2312" w:hAnsi="Arial" w:cs="Arial"/>
          <w:bCs/>
          <w:sz w:val="28"/>
        </w:rPr>
        <w:t>地上</w:t>
      </w:r>
      <w:r>
        <w:rPr>
          <w:rFonts w:ascii="Arial" w:eastAsia="仿宋_GB2312" w:hAnsi="Arial" w:cs="Arial" w:hint="eastAsia"/>
          <w:bCs/>
          <w:sz w:val="28"/>
        </w:rPr>
        <w:t>办公</w:t>
      </w:r>
      <w:r w:rsidRPr="00F631FB">
        <w:rPr>
          <w:rFonts w:ascii="Arial" w:eastAsia="仿宋_GB2312" w:hAnsi="Arial" w:cs="Arial"/>
          <w:bCs/>
          <w:sz w:val="28"/>
        </w:rPr>
        <w:t>楼面地价</w:t>
      </w:r>
    </w:p>
    <w:p w14:paraId="119D8560" w14:textId="77777777" w:rsidR="000E7771" w:rsidRPr="00F631FB" w:rsidRDefault="000E7771" w:rsidP="000E7771">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631279A2" w14:textId="698BDAA0" w:rsidR="000E7771" w:rsidRPr="00F631FB" w:rsidRDefault="000E7771" w:rsidP="000E7771">
      <w:pPr>
        <w:spacing w:line="360" w:lineRule="auto"/>
        <w:ind w:firstLineChars="250" w:firstLine="700"/>
        <w:jc w:val="both"/>
        <w:rPr>
          <w:rFonts w:ascii="Arial" w:eastAsia="仿宋_GB2312" w:hAnsi="Arial" w:cs="Arial"/>
          <w:bCs/>
          <w:sz w:val="28"/>
        </w:rPr>
      </w:pPr>
      <w:r w:rsidRPr="00F631FB">
        <w:rPr>
          <w:rFonts w:ascii="Arial" w:eastAsia="仿宋_GB2312" w:hAnsi="Arial" w:cs="Arial"/>
          <w:sz w:val="28"/>
        </w:rPr>
        <w:t>楼面地价</w:t>
      </w:r>
      <w:r w:rsidRPr="00F631FB">
        <w:rPr>
          <w:rFonts w:ascii="Arial" w:eastAsia="仿宋_GB2312" w:hAnsi="Arial" w:cs="Arial"/>
          <w:bCs/>
          <w:sz w:val="28"/>
        </w:rPr>
        <w:t>＝</w:t>
      </w:r>
      <w:r w:rsidRPr="00F631FB">
        <w:rPr>
          <w:rFonts w:ascii="Arial" w:eastAsia="仿宋_GB2312" w:hAnsi="Arial" w:cs="Arial"/>
          <w:bCs/>
          <w:sz w:val="28"/>
        </w:rPr>
        <w:t>(</w:t>
      </w:r>
      <w:r w:rsidR="00B1377B">
        <w:rPr>
          <w:rFonts w:ascii="Arial" w:eastAsia="仿宋_GB2312" w:hAnsi="Arial" w:cs="Arial"/>
          <w:bCs/>
          <w:sz w:val="28"/>
        </w:rPr>
        <w:t>32057</w:t>
      </w:r>
      <w:r>
        <w:rPr>
          <w:rFonts w:ascii="Arial" w:eastAsia="仿宋_GB2312" w:hAnsi="Arial" w:cs="Arial"/>
          <w:bCs/>
          <w:sz w:val="28"/>
        </w:rPr>
        <w:t>+</w:t>
      </w:r>
      <w:r w:rsidR="00B1377B">
        <w:rPr>
          <w:rFonts w:ascii="Arial" w:eastAsia="仿宋_GB2312" w:hAnsi="Arial" w:cs="Arial"/>
          <w:bCs/>
          <w:sz w:val="28"/>
        </w:rPr>
        <w:t>29807</w:t>
      </w:r>
      <w:r>
        <w:rPr>
          <w:rFonts w:ascii="Arial" w:eastAsia="仿宋_GB2312" w:hAnsi="Arial" w:cs="Arial"/>
          <w:bCs/>
          <w:sz w:val="28"/>
        </w:rPr>
        <w:t>+3</w:t>
      </w:r>
      <w:r w:rsidR="00B1377B">
        <w:rPr>
          <w:rFonts w:ascii="Arial" w:eastAsia="仿宋_GB2312" w:hAnsi="Arial" w:cs="Arial"/>
          <w:bCs/>
          <w:sz w:val="28"/>
        </w:rPr>
        <w:t>2233</w:t>
      </w:r>
      <w:r w:rsidRPr="00F631FB">
        <w:rPr>
          <w:rFonts w:ascii="Arial" w:eastAsia="仿宋_GB2312" w:hAnsi="Arial" w:cs="Arial"/>
          <w:bCs/>
          <w:sz w:val="28"/>
        </w:rPr>
        <w:t>)÷3</w:t>
      </w:r>
    </w:p>
    <w:p w14:paraId="56D119D0" w14:textId="775F1A77" w:rsidR="000E7771" w:rsidRPr="00F631FB" w:rsidRDefault="000E7771" w:rsidP="000E7771">
      <w:pPr>
        <w:spacing w:line="360" w:lineRule="auto"/>
        <w:ind w:firstLineChars="650" w:firstLine="1820"/>
        <w:jc w:val="both"/>
        <w:rPr>
          <w:rFonts w:ascii="Arial" w:eastAsia="仿宋_GB2312" w:hAnsi="Arial" w:cs="Arial"/>
          <w:bCs/>
          <w:sz w:val="28"/>
        </w:rPr>
      </w:pPr>
      <w:r w:rsidRPr="00F631FB">
        <w:rPr>
          <w:rFonts w:ascii="Arial" w:eastAsia="仿宋_GB2312" w:hAnsi="Arial" w:cs="Arial"/>
          <w:bCs/>
          <w:sz w:val="28"/>
        </w:rPr>
        <w:t>＝</w:t>
      </w:r>
      <w:r w:rsidR="00B1377B">
        <w:rPr>
          <w:rFonts w:ascii="Arial" w:eastAsia="仿宋_GB2312" w:hAnsi="Arial" w:cs="Arial"/>
          <w:bCs/>
          <w:sz w:val="28"/>
        </w:rPr>
        <w:t>31366</w:t>
      </w:r>
      <w:r w:rsidRPr="00F631FB">
        <w:rPr>
          <w:rFonts w:ascii="Arial" w:eastAsia="仿宋_GB2312" w:hAnsi="Arial" w:cs="Arial"/>
          <w:bCs/>
          <w:sz w:val="28"/>
        </w:rPr>
        <w:t>(</w:t>
      </w:r>
      <w:r w:rsidRPr="00F631FB">
        <w:rPr>
          <w:rFonts w:ascii="Arial" w:eastAsia="仿宋_GB2312" w:hAnsi="Arial" w:cs="Arial"/>
          <w:bCs/>
          <w:sz w:val="28"/>
        </w:rPr>
        <w:t>元</w:t>
      </w:r>
      <w:r w:rsidRPr="00F631FB">
        <w:rPr>
          <w:rFonts w:ascii="Arial" w:eastAsia="仿宋_GB2312" w:hAnsi="Arial" w:cs="Arial"/>
          <w:bCs/>
          <w:sz w:val="28"/>
        </w:rPr>
        <w:t>/</w:t>
      </w:r>
      <w:r w:rsidRPr="00F631FB">
        <w:rPr>
          <w:rFonts w:ascii="Arial" w:eastAsia="仿宋_GB2312" w:hAnsi="Arial" w:cs="Arial"/>
          <w:bCs/>
          <w:sz w:val="28"/>
        </w:rPr>
        <w:t>平方米</w:t>
      </w:r>
      <w:r w:rsidRPr="00F631FB">
        <w:rPr>
          <w:rFonts w:ascii="Arial" w:eastAsia="仿宋_GB2312" w:hAnsi="Arial" w:cs="Arial"/>
          <w:bCs/>
          <w:sz w:val="28"/>
        </w:rPr>
        <w:t>)</w:t>
      </w:r>
    </w:p>
    <w:p w14:paraId="3B8F8FFF" w14:textId="77777777" w:rsidR="00273CE2" w:rsidRDefault="00273CE2" w:rsidP="000E7771">
      <w:pPr>
        <w:spacing w:line="360" w:lineRule="auto"/>
        <w:jc w:val="both"/>
        <w:rPr>
          <w:rFonts w:ascii="Arial" w:eastAsia="仿宋_GB2312" w:hAnsi="Arial" w:cs="Arial"/>
          <w:b/>
          <w:sz w:val="28"/>
        </w:rPr>
      </w:pPr>
    </w:p>
    <w:p w14:paraId="5CB7DF30" w14:textId="77777777" w:rsidR="00C06FE8" w:rsidRDefault="00C06FE8" w:rsidP="000E7771">
      <w:pPr>
        <w:spacing w:line="360" w:lineRule="auto"/>
        <w:jc w:val="both"/>
        <w:rPr>
          <w:rFonts w:ascii="Arial" w:eastAsia="仿宋_GB2312" w:hAnsi="Arial" w:cs="Arial"/>
          <w:b/>
          <w:sz w:val="28"/>
        </w:rPr>
      </w:pPr>
      <w:r>
        <w:rPr>
          <w:rFonts w:ascii="Arial" w:eastAsia="仿宋_GB2312" w:hAnsi="Arial" w:cs="Arial"/>
          <w:b/>
          <w:sz w:val="28"/>
        </w:rPr>
        <w:br w:type="page"/>
      </w:r>
    </w:p>
    <w:p w14:paraId="2ED811DC" w14:textId="38E24D2F" w:rsidR="000E7771" w:rsidRPr="00F631FB" w:rsidRDefault="000E7771" w:rsidP="000E7771">
      <w:pPr>
        <w:spacing w:line="360" w:lineRule="auto"/>
        <w:jc w:val="both"/>
        <w:rPr>
          <w:rFonts w:ascii="Arial" w:eastAsia="仿宋_GB2312" w:hAnsi="Arial" w:cs="Arial"/>
          <w:b/>
          <w:sz w:val="28"/>
        </w:rPr>
      </w:pPr>
      <w:r w:rsidRPr="009A0789">
        <w:rPr>
          <w:rFonts w:ascii="Arial" w:eastAsia="仿宋_GB2312" w:hAnsi="Arial" w:cs="Arial" w:hint="eastAsia"/>
          <w:b/>
          <w:sz w:val="28"/>
        </w:rPr>
        <w:lastRenderedPageBreak/>
        <w:t>（</w:t>
      </w:r>
      <w:r w:rsidRPr="009A0789">
        <w:rPr>
          <w:rFonts w:ascii="Arial" w:eastAsia="仿宋_GB2312" w:hAnsi="Arial" w:cs="Arial" w:hint="eastAsia"/>
          <w:b/>
          <w:sz w:val="28"/>
        </w:rPr>
        <w:t>3</w:t>
      </w:r>
      <w:r w:rsidRPr="009A0789">
        <w:rPr>
          <w:rFonts w:ascii="Arial" w:eastAsia="仿宋_GB2312" w:hAnsi="Arial" w:cs="Arial" w:hint="eastAsia"/>
          <w:b/>
          <w:sz w:val="28"/>
        </w:rPr>
        <w:t>）</w:t>
      </w:r>
      <w:r w:rsidRPr="00F631FB">
        <w:rPr>
          <w:rFonts w:ascii="Arial" w:eastAsia="仿宋_GB2312" w:hAnsi="Arial" w:cs="Arial"/>
          <w:b/>
          <w:sz w:val="28"/>
        </w:rPr>
        <w:t>求取估价对象</w:t>
      </w:r>
      <w:r>
        <w:rPr>
          <w:rFonts w:ascii="Arial" w:eastAsia="仿宋_GB2312" w:hAnsi="Arial" w:cs="Arial" w:hint="eastAsia"/>
          <w:b/>
          <w:sz w:val="28"/>
        </w:rPr>
        <w:t>地下办公</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Pr>
          <w:rFonts w:ascii="Arial" w:eastAsia="仿宋_GB2312" w:hAnsi="Arial" w:cs="Arial"/>
          <w:b/>
          <w:sz w:val="28"/>
        </w:rPr>
        <w:t>50</w:t>
      </w:r>
      <w:r w:rsidRPr="00F631FB">
        <w:rPr>
          <w:rFonts w:ascii="Arial" w:eastAsia="仿宋_GB2312" w:hAnsi="Arial" w:cs="Arial" w:hint="eastAsia"/>
          <w:b/>
          <w:sz w:val="28"/>
        </w:rPr>
        <w:t>年）</w:t>
      </w:r>
    </w:p>
    <w:p w14:paraId="323201D6" w14:textId="77777777" w:rsidR="000E7771" w:rsidRPr="00F631FB" w:rsidRDefault="000E7771" w:rsidP="000E7771">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hint="eastAsia"/>
          <w:sz w:val="28"/>
        </w:rPr>
        <w:t>二</w:t>
      </w:r>
      <w:r w:rsidRPr="00F631FB">
        <w:rPr>
          <w:rFonts w:ascii="Arial" w:eastAsia="仿宋_GB2312" w:hAnsi="Arial" w:cs="Arial"/>
          <w:sz w:val="28"/>
        </w:rPr>
        <w:t>级地价区，需根据《北京市基准地价地下空间修正系数表》进行用途修正。地下空间修正系数表详见下表：</w:t>
      </w:r>
    </w:p>
    <w:p w14:paraId="437D2B36" w14:textId="77777777" w:rsidR="000E7771" w:rsidRPr="00F631FB" w:rsidRDefault="000E7771" w:rsidP="000E7771">
      <w:pPr>
        <w:spacing w:line="360" w:lineRule="auto"/>
        <w:ind w:firstLineChars="200" w:firstLine="480"/>
        <w:jc w:val="center"/>
        <w:rPr>
          <w:rFonts w:ascii="Arial" w:eastAsia="仿宋_GB2312" w:hAnsi="Arial" w:cs="Arial"/>
        </w:rPr>
      </w:pPr>
      <w:r w:rsidRPr="00F631FB">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0E7771" w:rsidRPr="00F631FB" w14:paraId="27551FA0" w14:textId="77777777" w:rsidTr="004F0BE4">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EF807F"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2165BA"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483F07"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50A6BAB2"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0E7771" w:rsidRPr="00F631FB" w14:paraId="1ACC2AAF" w14:textId="77777777" w:rsidTr="004F0BE4">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07AAF241"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441C52C6"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DA04163"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57F92311"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0BC3348C"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5AC38B84"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0E7771" w:rsidRPr="00F631FB" w14:paraId="2762ACE9" w14:textId="77777777" w:rsidTr="004F0BE4">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258E4C59"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5F13C4D4"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1472D255"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13FBCE24"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3E1FE497"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68914075"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w:t>
            </w:r>
          </w:p>
        </w:tc>
      </w:tr>
    </w:tbl>
    <w:p w14:paraId="28914E8E" w14:textId="77777777" w:rsidR="000E7771" w:rsidRPr="00F631FB" w:rsidRDefault="000E7771" w:rsidP="000E7771">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p>
    <w:p w14:paraId="697F53E8" w14:textId="5DE6496A" w:rsidR="000E7771" w:rsidRPr="00F631FB" w:rsidRDefault="000E7771" w:rsidP="000E7771">
      <w:pPr>
        <w:spacing w:line="360" w:lineRule="auto"/>
        <w:ind w:firstLineChars="200" w:firstLine="560"/>
        <w:rPr>
          <w:rFonts w:ascii="Arial" w:eastAsia="仿宋_GB2312" w:hAnsi="Arial" w:cs="Arial"/>
          <w:spacing w:val="-20"/>
          <w:sz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w:t>
      </w:r>
      <w:r w:rsidR="00B1377B">
        <w:rPr>
          <w:rFonts w:ascii="Arial" w:eastAsia="仿宋_GB2312" w:hAnsi="Arial" w:cs="Arial" w:hint="eastAsia"/>
          <w:snapToGrid w:val="0"/>
          <w:sz w:val="28"/>
          <w:szCs w:val="28"/>
        </w:rPr>
        <w:t>下</w:t>
      </w:r>
      <w:r w:rsidRPr="00F631FB">
        <w:rPr>
          <w:rFonts w:ascii="Arial" w:eastAsia="仿宋_GB2312" w:hAnsi="Arial" w:cs="Arial"/>
          <w:snapToGrid w:val="0"/>
          <w:sz w:val="28"/>
          <w:szCs w:val="28"/>
        </w:rPr>
        <w:t>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z w:val="28"/>
          <w:szCs w:val="28"/>
        </w:rPr>
        <w:t>×</w:t>
      </w:r>
      <w:r w:rsidRPr="00F631FB">
        <w:rPr>
          <w:rFonts w:ascii="Arial" w:eastAsia="仿宋_GB2312" w:hAnsi="Arial" w:cs="Arial"/>
          <w:snapToGrid w:val="0"/>
          <w:sz w:val="28"/>
          <w:szCs w:val="28"/>
        </w:rPr>
        <w:t>相应用途地下空间修正系数</w:t>
      </w:r>
      <w:r w:rsidRPr="00F631FB">
        <w:rPr>
          <w:rFonts w:ascii="Arial" w:eastAsia="仿宋_GB2312" w:hAnsi="Arial" w:cs="Arial"/>
          <w:spacing w:val="-20"/>
          <w:sz w:val="28"/>
        </w:rPr>
        <w:t xml:space="preserve"> </w:t>
      </w:r>
    </w:p>
    <w:p w14:paraId="54C2DF92" w14:textId="43946DEB" w:rsidR="000E7771" w:rsidRPr="00F631FB" w:rsidRDefault="000E7771" w:rsidP="000E7771">
      <w:pPr>
        <w:spacing w:line="360" w:lineRule="auto"/>
        <w:ind w:rightChars="11" w:right="26" w:firstLineChars="200" w:firstLine="560"/>
        <w:jc w:val="both"/>
        <w:rPr>
          <w:rFonts w:ascii="Arial" w:eastAsia="仿宋_GB2312" w:hAnsi="Arial" w:cs="Arial"/>
          <w:bCs/>
          <w:sz w:val="28"/>
        </w:rPr>
      </w:pPr>
      <w:r w:rsidRPr="00F631FB">
        <w:rPr>
          <w:rFonts w:ascii="Arial" w:eastAsia="仿宋_GB2312" w:hAnsi="Arial" w:cs="Arial"/>
          <w:bCs/>
          <w:sz w:val="28"/>
        </w:rPr>
        <w:t>＝</w:t>
      </w:r>
      <w:r w:rsidR="00B1377B">
        <w:rPr>
          <w:rFonts w:ascii="Arial" w:eastAsia="仿宋_GB2312" w:hAnsi="Arial" w:cs="Arial"/>
          <w:sz w:val="28"/>
          <w:szCs w:val="28"/>
        </w:rPr>
        <w:t>31366</w:t>
      </w:r>
      <w:r w:rsidRPr="00F631FB">
        <w:rPr>
          <w:rFonts w:ascii="Arial" w:eastAsia="仿宋_GB2312" w:hAnsi="Arial" w:cs="Arial"/>
          <w:sz w:val="28"/>
          <w:szCs w:val="28"/>
        </w:rPr>
        <w:t>×0.</w:t>
      </w:r>
      <w:r>
        <w:rPr>
          <w:rFonts w:ascii="Arial" w:eastAsia="仿宋_GB2312" w:hAnsi="Arial" w:cs="Arial"/>
          <w:sz w:val="28"/>
          <w:szCs w:val="28"/>
        </w:rPr>
        <w:t>3</w:t>
      </w:r>
    </w:p>
    <w:p w14:paraId="5307BA48" w14:textId="5F88421D" w:rsidR="000E7771" w:rsidRPr="00F631FB" w:rsidRDefault="000E7771" w:rsidP="000E7771">
      <w:pPr>
        <w:spacing w:line="360" w:lineRule="auto"/>
        <w:ind w:firstLineChars="200" w:firstLine="560"/>
        <w:jc w:val="both"/>
        <w:rPr>
          <w:rFonts w:ascii="Arial" w:eastAsia="仿宋_GB2312" w:hAnsi="Arial" w:cs="Arial"/>
          <w:b/>
          <w:sz w:val="28"/>
        </w:rPr>
      </w:pPr>
      <w:r w:rsidRPr="00F631FB">
        <w:rPr>
          <w:rFonts w:ascii="Arial" w:eastAsia="仿宋_GB2312" w:hAnsi="Arial" w:cs="Arial"/>
          <w:bCs/>
          <w:sz w:val="28"/>
        </w:rPr>
        <w:t>＝</w:t>
      </w:r>
      <w:r w:rsidR="00B1377B">
        <w:rPr>
          <w:rFonts w:ascii="Arial" w:eastAsia="仿宋_GB2312" w:hAnsi="Arial" w:cs="Arial"/>
          <w:bCs/>
          <w:sz w:val="28"/>
        </w:rPr>
        <w:t>9410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6A82389E"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p>
    <w:p w14:paraId="145562FA" w14:textId="77777777" w:rsidR="00273CE2" w:rsidRDefault="00273CE2" w:rsidP="000E7771">
      <w:pPr>
        <w:spacing w:line="360" w:lineRule="auto"/>
        <w:ind w:firstLine="556"/>
        <w:jc w:val="both"/>
        <w:rPr>
          <w:rFonts w:ascii="Arial" w:eastAsia="仿宋_GB2312" w:hAnsi="Arial" w:cs="Arial"/>
          <w:b/>
          <w:sz w:val="28"/>
          <w:szCs w:val="28"/>
        </w:rPr>
      </w:pPr>
      <w:r>
        <w:rPr>
          <w:rFonts w:ascii="Arial" w:eastAsia="仿宋_GB2312" w:hAnsi="Arial" w:cs="Arial"/>
          <w:b/>
          <w:sz w:val="28"/>
          <w:szCs w:val="28"/>
        </w:rPr>
        <w:br w:type="page"/>
      </w:r>
    </w:p>
    <w:p w14:paraId="20C2E4C9" w14:textId="0233B28C" w:rsidR="000E7771" w:rsidRPr="00F631FB" w:rsidRDefault="000E7771" w:rsidP="000E7771">
      <w:pPr>
        <w:spacing w:line="360" w:lineRule="auto"/>
        <w:ind w:firstLine="556"/>
        <w:jc w:val="both"/>
        <w:rPr>
          <w:rFonts w:ascii="Arial" w:eastAsia="仿宋_GB2312" w:hAnsi="Arial" w:cs="Arial"/>
          <w:sz w:val="28"/>
          <w:szCs w:val="28"/>
        </w:rPr>
      </w:pPr>
      <w:r w:rsidRPr="00F631FB">
        <w:rPr>
          <w:rFonts w:ascii="Arial" w:eastAsia="仿宋_GB2312" w:hAnsi="Arial" w:cs="Arial"/>
          <w:b/>
          <w:sz w:val="28"/>
          <w:szCs w:val="28"/>
        </w:rPr>
        <w:lastRenderedPageBreak/>
        <w:t>3.</w:t>
      </w:r>
      <w:r w:rsidRPr="00F631FB">
        <w:rPr>
          <w:rFonts w:ascii="Arial" w:eastAsia="仿宋_GB2312" w:hAnsi="Arial" w:cs="Arial"/>
          <w:b/>
          <w:sz w:val="28"/>
          <w:szCs w:val="28"/>
        </w:rPr>
        <w:t>求取估价对象各</w:t>
      </w:r>
      <w:proofErr w:type="gramStart"/>
      <w:r w:rsidRPr="00F631FB">
        <w:rPr>
          <w:rFonts w:ascii="Arial" w:eastAsia="仿宋_GB2312" w:hAnsi="Arial" w:cs="Arial"/>
          <w:b/>
          <w:sz w:val="28"/>
          <w:szCs w:val="28"/>
        </w:rPr>
        <w:t>用途楼</w:t>
      </w:r>
      <w:proofErr w:type="gramEnd"/>
      <w:r w:rsidRPr="00F631FB">
        <w:rPr>
          <w:rFonts w:ascii="Arial" w:eastAsia="仿宋_GB2312" w:hAnsi="Arial" w:cs="Arial"/>
          <w:b/>
          <w:sz w:val="28"/>
          <w:szCs w:val="28"/>
        </w:rPr>
        <w:t>面熟地价</w:t>
      </w:r>
    </w:p>
    <w:p w14:paraId="6FCFAF42" w14:textId="5AEF2F96" w:rsidR="000E7771" w:rsidRPr="00F631FB" w:rsidRDefault="000E7771" w:rsidP="000E7771">
      <w:pPr>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根据区域土地市场情况，并结合估价对象的具体特点及估价目的等，此次评估采用了基准地价系数修正法、剩余法和市场比较法确定商业</w:t>
      </w:r>
      <w:r w:rsidRPr="00F631FB">
        <w:rPr>
          <w:rFonts w:ascii="Arial" w:eastAsia="仿宋_GB2312" w:hAnsi="Arial" w:cs="Arial" w:hint="eastAsia"/>
          <w:sz w:val="28"/>
          <w:szCs w:val="28"/>
        </w:rPr>
        <w:t>、办公</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F631FB">
        <w:rPr>
          <w:rFonts w:ascii="Arial" w:eastAsia="仿宋_GB2312" w:hAnsi="Arial" w:cs="Arial"/>
          <w:sz w:val="28"/>
          <w:szCs w:val="28"/>
        </w:rPr>
        <w:t>的</w:t>
      </w:r>
      <w:proofErr w:type="gramEnd"/>
      <w:r w:rsidRPr="00F631FB">
        <w:rPr>
          <w:rFonts w:ascii="Arial" w:eastAsia="仿宋_GB2312" w:hAnsi="Arial" w:cs="Arial"/>
          <w:sz w:val="28"/>
          <w:szCs w:val="28"/>
        </w:rPr>
        <w:t>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议出让的经营性建设用地，满足市场比较法的要求。三种评估方法各有其侧重，从不同的角度反映了估价对象的地价水平，定量分析如下：</w:t>
      </w:r>
    </w:p>
    <w:p w14:paraId="0D8378AE" w14:textId="77777777" w:rsidR="000E7771" w:rsidRPr="00F631FB" w:rsidRDefault="000E7771" w:rsidP="000E7771">
      <w:pPr>
        <w:spacing w:line="360" w:lineRule="auto"/>
        <w:ind w:firstLine="556"/>
        <w:jc w:val="both"/>
        <w:rPr>
          <w:rFonts w:ascii="Arial" w:eastAsia="仿宋_GB2312" w:hAnsi="Arial" w:cs="Arial"/>
          <w:sz w:val="28"/>
          <w:szCs w:val="28"/>
        </w:rPr>
      </w:pPr>
      <w:r w:rsidRPr="00F631FB">
        <w:rPr>
          <w:rFonts w:ascii="Arial" w:eastAsia="仿宋_GB2312" w:hAnsi="Arial" w:cs="Arial" w:hint="eastAsia"/>
          <w:sz w:val="28"/>
          <w:szCs w:val="28"/>
        </w:rPr>
        <w:t>（转下页）</w:t>
      </w:r>
      <w:r w:rsidRPr="00F631FB">
        <w:rPr>
          <w:rFonts w:ascii="Arial" w:eastAsia="仿宋_GB2312" w:hAnsi="Arial" w:cs="Arial"/>
          <w:sz w:val="28"/>
          <w:szCs w:val="28"/>
        </w:rPr>
        <w:br w:type="page"/>
      </w:r>
    </w:p>
    <w:p w14:paraId="07B96EE0" w14:textId="3F469B6F" w:rsidR="000E7771" w:rsidRPr="00F631FB" w:rsidRDefault="00B1377B" w:rsidP="000E7771">
      <w:pPr>
        <w:spacing w:beforeLines="50" w:before="120" w:line="360" w:lineRule="auto"/>
        <w:jc w:val="center"/>
        <w:rPr>
          <w:rFonts w:ascii="Arial" w:eastAsia="仿宋_GB2312" w:hAnsi="Arial" w:cs="Arial"/>
          <w:sz w:val="28"/>
          <w:szCs w:val="28"/>
        </w:rPr>
      </w:pPr>
      <w:r>
        <w:rPr>
          <w:rFonts w:ascii="Arial" w:eastAsia="仿宋_GB2312" w:hAnsi="Arial" w:cs="Arial" w:hint="eastAsia"/>
          <w:sz w:val="28"/>
          <w:szCs w:val="28"/>
        </w:rPr>
        <w:lastRenderedPageBreak/>
        <w:t>地上</w:t>
      </w:r>
      <w:r w:rsidR="00273CE2" w:rsidRPr="00F631FB">
        <w:rPr>
          <w:rFonts w:ascii="Arial" w:eastAsia="仿宋_GB2312" w:hAnsi="Arial" w:cs="Arial"/>
          <w:sz w:val="28"/>
          <w:szCs w:val="28"/>
        </w:rPr>
        <w:t>商业</w:t>
      </w:r>
      <w:r w:rsidR="00273CE2" w:rsidRPr="00F631FB">
        <w:rPr>
          <w:rFonts w:ascii="Arial" w:eastAsia="仿宋_GB2312" w:hAnsi="Arial" w:cs="Arial" w:hint="eastAsia"/>
          <w:sz w:val="28"/>
          <w:szCs w:val="28"/>
        </w:rPr>
        <w:t>、办公用途</w:t>
      </w:r>
      <w:r w:rsidR="000E7771" w:rsidRPr="00F631FB">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0E7771" w:rsidRPr="00F631FB" w14:paraId="35B0BBA0" w14:textId="77777777" w:rsidTr="004F0BE4">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F3BA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12D7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3940E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97C03F5"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eastAsia="仿宋_GB2312" w:hAnsi="Arial" w:cs="Arial"/>
                <w:sz w:val="18"/>
                <w:szCs w:val="18"/>
              </w:rPr>
              <w:t>估价对象</w:t>
            </w:r>
          </w:p>
        </w:tc>
      </w:tr>
      <w:tr w:rsidR="000E7771" w:rsidRPr="00F631FB" w14:paraId="3163EDD3" w14:textId="77777777" w:rsidTr="004F0BE4">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581AB8F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438009B"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437BF85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05F3577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636EF74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3311151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市场比较法</w:t>
            </w:r>
          </w:p>
        </w:tc>
      </w:tr>
      <w:tr w:rsidR="000E7771" w:rsidRPr="00F631FB" w14:paraId="4944E657" w14:textId="77777777" w:rsidTr="004F0BE4">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1A78DE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FB66A6"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0E9DF40E"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A87967"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4646B9"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140D0A"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20</w:t>
            </w:r>
          </w:p>
        </w:tc>
      </w:tr>
      <w:tr w:rsidR="000E7771" w:rsidRPr="00F631FB" w14:paraId="17BD2CA0"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734569CD"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8F8C147"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A1B988A"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FB78E25"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FD4FB22"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8B30B16"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30B02DE2"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F65C39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E0DBDBF"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034F0D9"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A0891F8"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5D4A877"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A4FC11D"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4DC80E64" w14:textId="77777777" w:rsidTr="004F0BE4">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1DD015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689DA1F"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181BDFD"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626DDF"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1DF17C"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C5E3FD"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r>
      <w:tr w:rsidR="000E7771" w:rsidRPr="00F631FB" w14:paraId="113E5CAF"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EDCF5F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DD58E5A"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4C2E951"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47D7B01"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CE4A025"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9E0698E"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3FC385B6"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0764ED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5BC2AFB"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4EC9CFF3"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3B855B"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77B300"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1AD0A8"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r>
      <w:tr w:rsidR="000E7771" w:rsidRPr="00F631FB" w14:paraId="7204AF4E"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AED784D"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32CEC01"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D66A786"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6358C42"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F528BE0"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CCD10A7"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199C7D1E"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38C63EF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86A7ED8"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1890FAA4"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C14B6"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E34742"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319135"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r>
      <w:tr w:rsidR="000E7771" w:rsidRPr="00F631FB" w14:paraId="45EFB139"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237899B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4AE4664"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CCF51A8"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87C6005"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67C45F5"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8948CF1"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1AEC5BAD"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176EAFF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61BC40"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1C7FA018"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2D7F13"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70EB3F"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FDA695"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20</w:t>
            </w:r>
          </w:p>
        </w:tc>
      </w:tr>
      <w:tr w:rsidR="000E7771" w:rsidRPr="00F631FB" w14:paraId="6B756DA1" w14:textId="77777777" w:rsidTr="004F0BE4">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7885C280"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E83B3B8"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D926033"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38173DF"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84708B5"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825C14C"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267387F8" w14:textId="77777777" w:rsidTr="004F0BE4">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12FB9E58"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9F65C53"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B40CB7F"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FCB9DD4"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172ADED"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78723C1"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3A9A3E25" w14:textId="77777777" w:rsidTr="004F0BE4">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3FB4D" w14:textId="77777777" w:rsidR="000E7771" w:rsidRPr="00F631FB" w:rsidRDefault="000E7771" w:rsidP="004F0BE4">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1A3C9A62"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21FB5A2D"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42BF2925"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80</w:t>
            </w:r>
          </w:p>
        </w:tc>
      </w:tr>
      <w:tr w:rsidR="000E7771" w:rsidRPr="00F631FB" w14:paraId="60F942D1" w14:textId="77777777" w:rsidTr="004F0BE4">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ED2C7" w14:textId="77777777" w:rsidR="000E7771" w:rsidRPr="00F631FB" w:rsidRDefault="000E7771" w:rsidP="004F0BE4">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CF9051E"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08462E29"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0765A1B5"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40%</w:t>
            </w:r>
          </w:p>
        </w:tc>
      </w:tr>
    </w:tbl>
    <w:p w14:paraId="716BE154" w14:textId="77777777" w:rsidR="00584C10" w:rsidRDefault="00584C10" w:rsidP="000E7771">
      <w:pPr>
        <w:spacing w:line="360" w:lineRule="auto"/>
        <w:ind w:firstLine="556"/>
        <w:jc w:val="both"/>
        <w:rPr>
          <w:rFonts w:ascii="Arial" w:eastAsia="仿宋_GB2312" w:hAnsi="Arial" w:cs="Arial"/>
          <w:sz w:val="28"/>
          <w:szCs w:val="28"/>
        </w:rPr>
      </w:pPr>
      <w:r>
        <w:rPr>
          <w:rFonts w:ascii="Arial" w:eastAsia="仿宋_GB2312" w:hAnsi="Arial" w:cs="Arial"/>
          <w:sz w:val="28"/>
          <w:szCs w:val="28"/>
        </w:rPr>
        <w:br w:type="page"/>
      </w:r>
    </w:p>
    <w:p w14:paraId="55853041" w14:textId="1B1AE264" w:rsidR="000E7771" w:rsidRPr="00F631FB" w:rsidRDefault="000E7771" w:rsidP="000E7771">
      <w:pPr>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lastRenderedPageBreak/>
        <w:t>根据区域土地市场情况，并结合估价对象的具体特点及估价目的等，此次评估采用了基准地价系数修正法、剩余法和市场比较法确定</w:t>
      </w:r>
      <w:r w:rsidR="00584C10">
        <w:rPr>
          <w:rFonts w:ascii="Arial" w:eastAsia="仿宋_GB2312" w:hAnsi="Arial" w:cs="Arial" w:hint="eastAsia"/>
          <w:sz w:val="28"/>
          <w:szCs w:val="28"/>
        </w:rPr>
        <w:t>地上</w:t>
      </w:r>
      <w:r>
        <w:rPr>
          <w:rFonts w:ascii="Arial" w:eastAsia="仿宋_GB2312" w:hAnsi="Arial" w:cs="Arial" w:hint="eastAsia"/>
          <w:sz w:val="28"/>
          <w:szCs w:val="28"/>
        </w:rPr>
        <w:t>办公</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F631FB">
        <w:rPr>
          <w:rFonts w:ascii="Arial" w:eastAsia="仿宋_GB2312" w:hAnsi="Arial" w:cs="Arial"/>
          <w:sz w:val="28"/>
          <w:szCs w:val="28"/>
        </w:rPr>
        <w:t>的</w:t>
      </w:r>
      <w:proofErr w:type="gramEnd"/>
      <w:r w:rsidRPr="00F631FB">
        <w:rPr>
          <w:rFonts w:ascii="Arial" w:eastAsia="仿宋_GB2312" w:hAnsi="Arial" w:cs="Arial"/>
          <w:sz w:val="28"/>
          <w:szCs w:val="28"/>
        </w:rPr>
        <w:t>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议出让的经营性建设用地，满足市场比较法的要求。三种评估方法各有其侧重，从不同的角度反映了估价对象的地价水平，定量分析如下：</w:t>
      </w:r>
    </w:p>
    <w:p w14:paraId="71990FC4" w14:textId="77777777" w:rsidR="000E7771" w:rsidRPr="00F631FB" w:rsidRDefault="000E7771" w:rsidP="000E7771">
      <w:pPr>
        <w:spacing w:line="360" w:lineRule="auto"/>
        <w:ind w:firstLine="556"/>
        <w:jc w:val="both"/>
        <w:rPr>
          <w:rFonts w:ascii="Arial" w:eastAsia="仿宋_GB2312" w:hAnsi="Arial" w:cs="Arial"/>
          <w:sz w:val="28"/>
          <w:szCs w:val="28"/>
        </w:rPr>
      </w:pPr>
      <w:r w:rsidRPr="00F631FB">
        <w:rPr>
          <w:rFonts w:ascii="Arial" w:eastAsia="仿宋_GB2312" w:hAnsi="Arial" w:cs="Arial" w:hint="eastAsia"/>
          <w:sz w:val="28"/>
          <w:szCs w:val="28"/>
        </w:rPr>
        <w:t>（转下页）</w:t>
      </w:r>
      <w:r w:rsidRPr="00F631FB">
        <w:rPr>
          <w:rFonts w:ascii="Arial" w:eastAsia="仿宋_GB2312" w:hAnsi="Arial" w:cs="Arial"/>
          <w:sz w:val="28"/>
          <w:szCs w:val="28"/>
        </w:rPr>
        <w:br w:type="page"/>
      </w:r>
    </w:p>
    <w:p w14:paraId="17FED076" w14:textId="47C35888" w:rsidR="000E7771" w:rsidRPr="00F631FB" w:rsidRDefault="00584C10" w:rsidP="000E7771">
      <w:pPr>
        <w:spacing w:beforeLines="50" w:before="120" w:line="360" w:lineRule="auto"/>
        <w:jc w:val="center"/>
        <w:rPr>
          <w:rFonts w:ascii="Arial" w:eastAsia="仿宋_GB2312" w:hAnsi="Arial" w:cs="Arial"/>
          <w:sz w:val="28"/>
          <w:szCs w:val="28"/>
        </w:rPr>
      </w:pPr>
      <w:r>
        <w:rPr>
          <w:rFonts w:ascii="Arial" w:eastAsia="仿宋_GB2312" w:hAnsi="Arial" w:cs="Arial" w:hint="eastAsia"/>
          <w:sz w:val="28"/>
          <w:szCs w:val="28"/>
        </w:rPr>
        <w:lastRenderedPageBreak/>
        <w:t>地下办公用途</w:t>
      </w:r>
      <w:r w:rsidR="000E7771" w:rsidRPr="00F631FB">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0E7771" w:rsidRPr="00F631FB" w14:paraId="4DB72B16" w14:textId="77777777" w:rsidTr="004F0BE4">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FF4E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2A73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C6DC4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5FC5E36"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eastAsia="仿宋_GB2312" w:hAnsi="Arial" w:cs="Arial"/>
                <w:sz w:val="18"/>
                <w:szCs w:val="18"/>
              </w:rPr>
              <w:t>估价对象</w:t>
            </w:r>
          </w:p>
        </w:tc>
      </w:tr>
      <w:tr w:rsidR="000E7771" w:rsidRPr="00F631FB" w14:paraId="03BD2EDC" w14:textId="77777777" w:rsidTr="004F0BE4">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06FCD34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C42B818"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169D2E03"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26FAF2E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044511D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68C90B2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市场比较法</w:t>
            </w:r>
          </w:p>
        </w:tc>
      </w:tr>
      <w:tr w:rsidR="000E7771" w:rsidRPr="00F631FB" w14:paraId="37C30124" w14:textId="77777777" w:rsidTr="004F0BE4">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0BBB6C0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2C855D"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3705106F"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544F62"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20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76535F"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692527"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0E7771" w:rsidRPr="00F631FB" w14:paraId="7239E47B"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F0F8FD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30E8CDE"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03EDEFE"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6FD6E8C"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386B426"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B9DC01"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1BAC4980"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1FF45E2"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928CB0A"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D02139B"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3B6D408"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7F135FC"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BB0E0CA"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397EB600" w14:textId="77777777" w:rsidTr="004F0BE4">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3B8C7C1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781F206"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F2E9E54"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7CE7A9"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Pr>
                <w:rFonts w:ascii="Arial" w:hAnsi="Arial" w:cs="Arial"/>
                <w:sz w:val="18"/>
                <w:szCs w:val="18"/>
              </w:rPr>
              <w:t>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D03501"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8E55CF"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r>
      <w:tr w:rsidR="000E7771" w:rsidRPr="00F631FB" w14:paraId="06D6F8D5"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D18E2A2"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EBB4960"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1FAD0A1"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E22616B"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80010CD"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5916B88"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142086C7"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0014AE3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46D301B"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5BDB3C66"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A8EC33"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Pr>
                <w:rFonts w:ascii="Arial" w:hAnsi="Arial" w:cs="Arial"/>
                <w:sz w:val="18"/>
                <w:szCs w:val="18"/>
              </w:rPr>
              <w:t>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7A1D84"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CB4B9C"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r>
      <w:tr w:rsidR="000E7771" w:rsidRPr="00F631FB" w14:paraId="2873016A"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EDF315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375E261"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C7A670D"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ED01FF5"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166E9B9"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4213174"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3E7905A2"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F0A03E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E4521FE"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5D35DC06"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46A858"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B533D4"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92093C"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p>
        </w:tc>
      </w:tr>
      <w:tr w:rsidR="000E7771" w:rsidRPr="00F631FB" w14:paraId="42697462"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3D9F297"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B3C636C"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6BEF488"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6B7FE7E"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BAAEFA2"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7B7D4BE"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164BEE00"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2A2BB0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ECE251"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75B305CE"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F29B81"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44A4D1"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Pr>
                <w:rFonts w:ascii="Arial" w:hAnsi="Arial" w:cs="Arial"/>
                <w:sz w:val="18"/>
                <w:szCs w:val="18"/>
              </w:rPr>
              <w:t>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73B0A1"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r>
      <w:tr w:rsidR="000E7771" w:rsidRPr="00F631FB" w14:paraId="280E2A36" w14:textId="77777777" w:rsidTr="004F0BE4">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79F643D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795D177"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991C953"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8E5622B"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2F416D7"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91CFC77"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798E982E" w14:textId="77777777" w:rsidTr="004F0BE4">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276304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B28269B"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E5DF554"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5997C5E"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C450EB7"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0528A41"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0DAD5BC3" w14:textId="77777777" w:rsidTr="004F0BE4">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1223B" w14:textId="77777777" w:rsidR="000E7771" w:rsidRPr="00F631FB" w:rsidRDefault="000E7771" w:rsidP="004F0BE4">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053B33E3"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75</w:t>
            </w:r>
          </w:p>
        </w:tc>
        <w:tc>
          <w:tcPr>
            <w:tcW w:w="1236" w:type="dxa"/>
            <w:tcBorders>
              <w:top w:val="nil"/>
              <w:left w:val="nil"/>
              <w:bottom w:val="single" w:sz="4" w:space="0" w:color="auto"/>
              <w:right w:val="single" w:sz="4" w:space="0" w:color="auto"/>
            </w:tcBorders>
            <w:shd w:val="clear" w:color="auto" w:fill="auto"/>
            <w:noWrap/>
            <w:vAlign w:val="center"/>
            <w:hideMark/>
          </w:tcPr>
          <w:p w14:paraId="4B424815"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55</w:t>
            </w:r>
          </w:p>
        </w:tc>
        <w:tc>
          <w:tcPr>
            <w:tcW w:w="1080" w:type="dxa"/>
            <w:tcBorders>
              <w:top w:val="nil"/>
              <w:left w:val="nil"/>
              <w:bottom w:val="single" w:sz="4" w:space="0" w:color="auto"/>
              <w:right w:val="single" w:sz="4" w:space="0" w:color="auto"/>
            </w:tcBorders>
            <w:shd w:val="clear" w:color="auto" w:fill="auto"/>
            <w:noWrap/>
            <w:vAlign w:val="center"/>
            <w:hideMark/>
          </w:tcPr>
          <w:p w14:paraId="48D42572"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55</w:t>
            </w:r>
          </w:p>
        </w:tc>
      </w:tr>
      <w:tr w:rsidR="000E7771" w:rsidRPr="00F631FB" w14:paraId="4EC41ECB" w14:textId="77777777" w:rsidTr="004F0BE4">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5F70B" w14:textId="77777777" w:rsidR="000E7771" w:rsidRPr="00F631FB" w:rsidRDefault="000E7771" w:rsidP="004F0BE4">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50034B78"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40</w:t>
            </w:r>
            <w:r w:rsidRPr="00F631FB">
              <w:rPr>
                <w:rFonts w:ascii="Arial" w:hAnsi="Arial" w:cs="Arial"/>
                <w:sz w:val="18"/>
                <w:szCs w:val="18"/>
              </w:rPr>
              <w:t>%</w:t>
            </w:r>
          </w:p>
        </w:tc>
        <w:tc>
          <w:tcPr>
            <w:tcW w:w="1236" w:type="dxa"/>
            <w:tcBorders>
              <w:top w:val="nil"/>
              <w:left w:val="nil"/>
              <w:bottom w:val="single" w:sz="4" w:space="0" w:color="auto"/>
              <w:right w:val="single" w:sz="4" w:space="0" w:color="auto"/>
            </w:tcBorders>
            <w:shd w:val="clear" w:color="auto" w:fill="auto"/>
            <w:noWrap/>
            <w:vAlign w:val="center"/>
            <w:hideMark/>
          </w:tcPr>
          <w:p w14:paraId="297318B5"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3F8790A0"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3</w:t>
            </w:r>
            <w:r w:rsidRPr="00F631FB">
              <w:rPr>
                <w:rFonts w:ascii="Arial" w:hAnsi="Arial" w:cs="Arial"/>
                <w:sz w:val="18"/>
                <w:szCs w:val="18"/>
              </w:rPr>
              <w:t>0%</w:t>
            </w:r>
          </w:p>
        </w:tc>
      </w:tr>
    </w:tbl>
    <w:p w14:paraId="4B557C4B" w14:textId="63A38A2A" w:rsidR="00584C10" w:rsidRDefault="00AF0914" w:rsidP="000E7771">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hint="eastAsia"/>
          <w:sz w:val="28"/>
          <w:szCs w:val="28"/>
        </w:rPr>
        <w:t>（转下页）</w:t>
      </w:r>
      <w:r w:rsidR="00584C10">
        <w:rPr>
          <w:rFonts w:ascii="Arial" w:eastAsia="仿宋_GB2312" w:hAnsi="Arial" w:cs="Arial"/>
          <w:sz w:val="28"/>
          <w:szCs w:val="28"/>
        </w:rPr>
        <w:br w:type="page"/>
      </w:r>
    </w:p>
    <w:p w14:paraId="54DE3553" w14:textId="3F2874DD" w:rsidR="000E7771" w:rsidRDefault="000E7771" w:rsidP="000E7771">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sz w:val="28"/>
          <w:szCs w:val="28"/>
        </w:rPr>
        <w:lastRenderedPageBreak/>
        <w:t>根据区域土地市场情况，并结合估价对象的具体特点及估价目的等，此次评估采用了基准地价系数修正法和剩余法确定居住</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F631FB">
        <w:rPr>
          <w:rFonts w:ascii="Arial" w:eastAsia="仿宋_GB2312" w:hAnsi="Arial" w:cs="Arial" w:hint="eastAsia"/>
          <w:sz w:val="28"/>
          <w:szCs w:val="28"/>
        </w:rPr>
        <w:t>两种</w:t>
      </w:r>
      <w:r w:rsidRPr="00F631FB">
        <w:rPr>
          <w:rFonts w:ascii="Arial" w:eastAsia="仿宋_GB2312" w:hAnsi="Arial" w:cs="Arial"/>
          <w:sz w:val="28"/>
          <w:szCs w:val="28"/>
        </w:rPr>
        <w:t>评估方法各有其侧重，从不同的角度反映了估价对象的地价水平，定量分析如下：</w:t>
      </w:r>
    </w:p>
    <w:p w14:paraId="5BB2C641" w14:textId="746CA5D2" w:rsidR="00584C10" w:rsidRPr="00F631FB" w:rsidRDefault="00584C10" w:rsidP="000E7771">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hint="eastAsia"/>
          <w:sz w:val="28"/>
          <w:szCs w:val="28"/>
        </w:rPr>
        <w:t>（转下页）</w:t>
      </w:r>
    </w:p>
    <w:p w14:paraId="4ACACDDD" w14:textId="77777777" w:rsidR="00584C10" w:rsidRDefault="00584C10" w:rsidP="000E7771">
      <w:pPr>
        <w:spacing w:beforeLines="50" w:before="120" w:line="360" w:lineRule="auto"/>
        <w:jc w:val="center"/>
        <w:rPr>
          <w:rFonts w:ascii="Arial" w:eastAsia="仿宋_GB2312" w:hAnsi="Arial" w:cs="Arial"/>
          <w:sz w:val="28"/>
          <w:szCs w:val="28"/>
        </w:rPr>
      </w:pPr>
      <w:r>
        <w:rPr>
          <w:rFonts w:ascii="Arial" w:eastAsia="仿宋_GB2312" w:hAnsi="Arial" w:cs="Arial"/>
          <w:sz w:val="28"/>
          <w:szCs w:val="28"/>
        </w:rPr>
        <w:br w:type="page"/>
      </w:r>
    </w:p>
    <w:p w14:paraId="6BB09A59" w14:textId="0260310E" w:rsidR="000E7771" w:rsidRPr="00F631FB" w:rsidRDefault="00B1377B" w:rsidP="000E7771">
      <w:pPr>
        <w:spacing w:beforeLines="50" w:before="120" w:line="360" w:lineRule="auto"/>
        <w:jc w:val="center"/>
        <w:rPr>
          <w:rFonts w:ascii="Arial" w:eastAsia="仿宋_GB2312" w:hAnsi="Arial" w:cs="Arial"/>
          <w:sz w:val="28"/>
          <w:szCs w:val="28"/>
        </w:rPr>
      </w:pPr>
      <w:r>
        <w:rPr>
          <w:rFonts w:ascii="Arial" w:eastAsia="仿宋_GB2312" w:hAnsi="Arial" w:cs="Arial" w:hint="eastAsia"/>
          <w:sz w:val="28"/>
          <w:szCs w:val="28"/>
        </w:rPr>
        <w:lastRenderedPageBreak/>
        <w:t>地上住宅、地下车库</w:t>
      </w:r>
      <w:r w:rsidR="000E7771" w:rsidRPr="00F631FB">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0E7771" w:rsidRPr="00F631FB" w14:paraId="17F97838" w14:textId="77777777" w:rsidTr="004F0BE4">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E496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3FFF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AF7C1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37BA7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r>
      <w:tr w:rsidR="000E7771" w:rsidRPr="00F631FB" w14:paraId="5271B797" w14:textId="77777777" w:rsidTr="004F0BE4">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5885C21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E743D68"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C649013"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68F82C2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13C39D2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r>
      <w:tr w:rsidR="000E7771" w:rsidRPr="00F631FB" w14:paraId="39559E02" w14:textId="77777777" w:rsidTr="004F0BE4">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F9CF97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1A38DE"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2D048E2B"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CEC24B" w14:textId="672B8158" w:rsidR="000E7771" w:rsidRPr="00F631FB" w:rsidRDefault="000B7D55"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007356" w14:textId="061CA488" w:rsidR="000E7771" w:rsidRPr="00F631FB" w:rsidRDefault="000B7D55"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24</w:t>
            </w:r>
          </w:p>
        </w:tc>
      </w:tr>
      <w:tr w:rsidR="000E7771" w:rsidRPr="00F631FB" w14:paraId="2C1F6C00"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249B7EA2"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C55C066"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0C30810"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518FCCB"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AA6CD51"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4E35FFBA"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C7F1218"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1E5F13E"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D64BF27"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D05F6AA"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8D493C7"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41521E90" w14:textId="77777777" w:rsidTr="004F0BE4">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08A0528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98A8AE4"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22FF06C0"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B2B6E3" w14:textId="301CFC35" w:rsidR="000E7771" w:rsidRPr="00F631FB" w:rsidRDefault="000B7D55"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6</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EF2B6"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Pr="00F631FB">
              <w:rPr>
                <w:rFonts w:ascii="Arial" w:hAnsi="Arial" w:cs="Arial" w:hint="eastAsia"/>
                <w:sz w:val="18"/>
                <w:szCs w:val="18"/>
              </w:rPr>
              <w:t>5</w:t>
            </w:r>
          </w:p>
        </w:tc>
      </w:tr>
      <w:tr w:rsidR="000E7771" w:rsidRPr="00F631FB" w14:paraId="54863B63"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66B4A1D"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D06FF2B"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077FD25"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6375D31"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4FEF83E"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363DBB52"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3CA12F2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E9A3A51"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4DBBFEC8"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2A11D4" w14:textId="2403646B" w:rsidR="000E7771" w:rsidRPr="00F631FB" w:rsidRDefault="000B7D55"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FABD52" w14:textId="4CA2EEEB" w:rsidR="000E7771" w:rsidRPr="00F631FB" w:rsidRDefault="000B7D55"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0E7771" w:rsidRPr="00F631FB" w14:paraId="40A310B2"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79480C08"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C02878A"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816A40E"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7A08EA4"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58D1672"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549D0CA7"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AC44B1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7827831"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1349D5C8"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9B154D" w14:textId="1FB00CD0" w:rsidR="000E7771" w:rsidRPr="00F631FB" w:rsidRDefault="000B7D55"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8CF4ED"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Pr="00F631FB">
              <w:rPr>
                <w:rFonts w:ascii="Arial" w:hAnsi="Arial" w:cs="Arial" w:hint="eastAsia"/>
                <w:sz w:val="18"/>
                <w:szCs w:val="18"/>
              </w:rPr>
              <w:t>5</w:t>
            </w:r>
          </w:p>
        </w:tc>
      </w:tr>
      <w:tr w:rsidR="000E7771" w:rsidRPr="00F631FB" w14:paraId="7148F8A9"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27FB335E"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EE68AD"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7329248"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A22C17A"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2653FAF"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4A369C83"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17784E4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60B0D1"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016C41C2"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235E75" w14:textId="4BCEB910" w:rsidR="000E7771" w:rsidRPr="00F631FB" w:rsidRDefault="000B7D55"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EB8413" w14:textId="79B4CA3E" w:rsidR="000E7771" w:rsidRPr="00F631FB" w:rsidRDefault="000B7D55"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0E7771" w:rsidRPr="00F631FB" w14:paraId="3778D01C" w14:textId="77777777" w:rsidTr="004F0BE4">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2C1F3A5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50E47F1"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FEAB9B3"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AE2D700"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B5F0612"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0458FB6C" w14:textId="77777777" w:rsidTr="004F0BE4">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0D4877B"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45E5432"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1D0EC31"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701C81B"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A665F0B"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42B06FE1" w14:textId="77777777" w:rsidTr="004F0BE4">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20A37" w14:textId="77777777" w:rsidR="000E7771" w:rsidRPr="00F631FB" w:rsidRDefault="000E7771" w:rsidP="004F0BE4">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1D3ED1B9" w14:textId="1E108534" w:rsidR="000E7771" w:rsidRPr="00F631FB" w:rsidRDefault="000B7D55"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36</w:t>
            </w:r>
          </w:p>
        </w:tc>
        <w:tc>
          <w:tcPr>
            <w:tcW w:w="1236" w:type="dxa"/>
            <w:tcBorders>
              <w:top w:val="nil"/>
              <w:left w:val="nil"/>
              <w:bottom w:val="single" w:sz="4" w:space="0" w:color="auto"/>
              <w:right w:val="single" w:sz="4" w:space="0" w:color="auto"/>
            </w:tcBorders>
            <w:shd w:val="clear" w:color="auto" w:fill="auto"/>
            <w:noWrap/>
            <w:vAlign w:val="center"/>
            <w:hideMark/>
          </w:tcPr>
          <w:p w14:paraId="0E0075B6" w14:textId="0AD50048" w:rsidR="000E7771" w:rsidRPr="00F631FB" w:rsidRDefault="000B7D55"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84</w:t>
            </w:r>
          </w:p>
        </w:tc>
      </w:tr>
      <w:tr w:rsidR="000E7771" w:rsidRPr="00F631FB" w14:paraId="3EE33F07" w14:textId="77777777" w:rsidTr="004F0BE4">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0DD63" w14:textId="77777777" w:rsidR="000E7771" w:rsidRPr="00F631FB" w:rsidRDefault="000E7771" w:rsidP="004F0BE4">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52F9DFDA" w14:textId="001E4437" w:rsidR="000E7771" w:rsidRPr="00F631FB" w:rsidRDefault="000B7D55"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3</w:t>
            </w:r>
            <w:r w:rsidR="000E7771">
              <w:rPr>
                <w:rFonts w:ascii="Arial" w:hAnsi="Arial" w:cs="Arial"/>
                <w:sz w:val="18"/>
                <w:szCs w:val="18"/>
              </w:rPr>
              <w:t>0%</w:t>
            </w:r>
          </w:p>
        </w:tc>
        <w:tc>
          <w:tcPr>
            <w:tcW w:w="1236" w:type="dxa"/>
            <w:tcBorders>
              <w:top w:val="nil"/>
              <w:left w:val="nil"/>
              <w:bottom w:val="single" w:sz="4" w:space="0" w:color="auto"/>
              <w:right w:val="single" w:sz="4" w:space="0" w:color="auto"/>
            </w:tcBorders>
            <w:shd w:val="clear" w:color="auto" w:fill="auto"/>
            <w:noWrap/>
            <w:vAlign w:val="center"/>
            <w:hideMark/>
          </w:tcPr>
          <w:p w14:paraId="570D9392" w14:textId="37E1FD6A" w:rsidR="000E7771" w:rsidRPr="00F631FB" w:rsidRDefault="000B7D55"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7</w:t>
            </w:r>
            <w:r w:rsidR="000E7771">
              <w:rPr>
                <w:rFonts w:ascii="Arial" w:hAnsi="Arial" w:cs="Arial"/>
                <w:sz w:val="18"/>
                <w:szCs w:val="18"/>
              </w:rPr>
              <w:t>0%</w:t>
            </w:r>
          </w:p>
        </w:tc>
      </w:tr>
    </w:tbl>
    <w:p w14:paraId="2EF5B41B" w14:textId="77777777" w:rsidR="000E7771" w:rsidRPr="00F631FB" w:rsidRDefault="000E7771" w:rsidP="000E7771">
      <w:pPr>
        <w:spacing w:beforeLines="50" w:before="120" w:line="360" w:lineRule="auto"/>
        <w:ind w:firstLineChars="200" w:firstLine="560"/>
        <w:jc w:val="both"/>
        <w:rPr>
          <w:rFonts w:ascii="Arial" w:eastAsia="仿宋_GB2312" w:hAnsi="Arial" w:cs="Arial"/>
          <w:sz w:val="28"/>
        </w:rPr>
      </w:pPr>
    </w:p>
    <w:p w14:paraId="230B2B01" w14:textId="4C489A21" w:rsidR="000E7771" w:rsidRDefault="000E7771" w:rsidP="000E7771">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79E8B4E8" w14:textId="42C55AD3" w:rsidR="00596F26" w:rsidRDefault="00596F26" w:rsidP="00596F26">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sz w:val="28"/>
          <w:szCs w:val="28"/>
        </w:rPr>
        <w:lastRenderedPageBreak/>
        <w:t>根据区域土地市场情况，并结合估价对象的具体特点及估价目的等，此次评估采用了基准地价系数修正法和剩余法确定地</w:t>
      </w:r>
      <w:r w:rsidRPr="00F631FB">
        <w:rPr>
          <w:rFonts w:ascii="Arial" w:eastAsia="仿宋_GB2312" w:hAnsi="Arial" w:cs="Arial" w:hint="eastAsia"/>
          <w:sz w:val="28"/>
          <w:szCs w:val="28"/>
        </w:rPr>
        <w:t>下</w:t>
      </w:r>
      <w:r>
        <w:rPr>
          <w:rFonts w:ascii="Arial" w:eastAsia="仿宋_GB2312" w:hAnsi="Arial" w:cs="Arial" w:hint="eastAsia"/>
          <w:sz w:val="28"/>
          <w:szCs w:val="28"/>
        </w:rPr>
        <w:t>车库</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F631FB">
        <w:rPr>
          <w:rFonts w:ascii="Arial" w:eastAsia="仿宋_GB2312" w:hAnsi="Arial" w:cs="Arial" w:hint="eastAsia"/>
          <w:sz w:val="28"/>
          <w:szCs w:val="28"/>
        </w:rPr>
        <w:t>两种</w:t>
      </w:r>
      <w:r w:rsidRPr="00F631FB">
        <w:rPr>
          <w:rFonts w:ascii="Arial" w:eastAsia="仿宋_GB2312" w:hAnsi="Arial" w:cs="Arial"/>
          <w:sz w:val="28"/>
          <w:szCs w:val="28"/>
        </w:rPr>
        <w:t>评估方法各有其侧重，从不同的角度反映了估价对象的地价水平，定量分析如下：</w:t>
      </w:r>
    </w:p>
    <w:p w14:paraId="6F7120EA" w14:textId="77777777" w:rsidR="00596F26" w:rsidRPr="00F631FB" w:rsidRDefault="00596F26" w:rsidP="00596F26">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hint="eastAsia"/>
          <w:sz w:val="28"/>
          <w:szCs w:val="28"/>
        </w:rPr>
        <w:t>（转下页）</w:t>
      </w:r>
    </w:p>
    <w:p w14:paraId="62089BEE" w14:textId="77777777" w:rsidR="00596F26" w:rsidRDefault="00596F26" w:rsidP="00596F26">
      <w:pPr>
        <w:spacing w:beforeLines="50" w:before="120" w:line="360" w:lineRule="auto"/>
        <w:jc w:val="center"/>
        <w:rPr>
          <w:rFonts w:ascii="Arial" w:eastAsia="仿宋_GB2312" w:hAnsi="Arial" w:cs="Arial"/>
          <w:sz w:val="28"/>
          <w:szCs w:val="28"/>
        </w:rPr>
      </w:pPr>
      <w:r>
        <w:rPr>
          <w:rFonts w:ascii="Arial" w:eastAsia="仿宋_GB2312" w:hAnsi="Arial" w:cs="Arial"/>
          <w:sz w:val="28"/>
          <w:szCs w:val="28"/>
        </w:rPr>
        <w:br w:type="page"/>
      </w:r>
    </w:p>
    <w:p w14:paraId="7F52DB17" w14:textId="77777777" w:rsidR="00596F26" w:rsidRPr="00F631FB" w:rsidRDefault="00596F26" w:rsidP="00596F26">
      <w:pPr>
        <w:spacing w:beforeLines="50" w:before="120" w:line="360" w:lineRule="auto"/>
        <w:jc w:val="center"/>
        <w:rPr>
          <w:rFonts w:ascii="Arial" w:eastAsia="仿宋_GB2312" w:hAnsi="Arial" w:cs="Arial"/>
          <w:sz w:val="28"/>
          <w:szCs w:val="28"/>
        </w:rPr>
      </w:pPr>
      <w:r>
        <w:rPr>
          <w:rFonts w:ascii="Arial" w:eastAsia="仿宋_GB2312" w:hAnsi="Arial" w:cs="Arial" w:hint="eastAsia"/>
          <w:sz w:val="28"/>
          <w:szCs w:val="28"/>
        </w:rPr>
        <w:lastRenderedPageBreak/>
        <w:t>地上住宅、地下车库</w:t>
      </w:r>
      <w:r w:rsidRPr="00F631FB">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596F26" w:rsidRPr="00F631FB" w14:paraId="2BAFEDF7" w14:textId="77777777" w:rsidTr="00596F26">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BF532" w14:textId="77777777" w:rsidR="00596F26" w:rsidRPr="00F631FB" w:rsidRDefault="00596F26" w:rsidP="00596F2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A521C" w14:textId="77777777" w:rsidR="00596F26" w:rsidRPr="00F631FB" w:rsidRDefault="00596F26" w:rsidP="00596F2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5CD8EF" w14:textId="77777777" w:rsidR="00596F26" w:rsidRPr="00F631FB" w:rsidRDefault="00596F26" w:rsidP="00596F2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FB1DB8" w14:textId="77777777" w:rsidR="00596F26" w:rsidRPr="00F631FB" w:rsidRDefault="00596F26" w:rsidP="00596F2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r>
      <w:tr w:rsidR="00596F26" w:rsidRPr="00F631FB" w14:paraId="7A31E66C" w14:textId="77777777" w:rsidTr="00596F26">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1748F992" w14:textId="77777777" w:rsidR="00596F26" w:rsidRPr="00F631FB" w:rsidRDefault="00596F26" w:rsidP="00596F26">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59B0B89" w14:textId="77777777" w:rsidR="00596F26" w:rsidRPr="00F631FB" w:rsidRDefault="00596F26" w:rsidP="00596F26">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08167B23" w14:textId="77777777" w:rsidR="00596F26" w:rsidRPr="00F631FB" w:rsidRDefault="00596F26" w:rsidP="00596F26">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617EA490" w14:textId="77777777" w:rsidR="00596F26" w:rsidRPr="00F631FB" w:rsidRDefault="00596F26" w:rsidP="00596F2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527C00A7" w14:textId="77777777" w:rsidR="00596F26" w:rsidRPr="00F631FB" w:rsidRDefault="00596F26" w:rsidP="00596F2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r>
      <w:tr w:rsidR="00596F26" w:rsidRPr="00F631FB" w14:paraId="5EADB8A9" w14:textId="77777777" w:rsidTr="00596F26">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761C2AE" w14:textId="77777777" w:rsidR="00596F26" w:rsidRPr="00F631FB" w:rsidRDefault="00596F26" w:rsidP="00596F2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767A62" w14:textId="77777777" w:rsidR="00596F26" w:rsidRPr="00F631FB" w:rsidRDefault="00596F26" w:rsidP="00596F26">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5841CE07" w14:textId="77777777" w:rsidR="00596F26" w:rsidRPr="00F631FB" w:rsidRDefault="00596F26" w:rsidP="00596F26">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89C6DF" w14:textId="26E14246" w:rsidR="00596F26" w:rsidRPr="00F631FB" w:rsidRDefault="000B7D55" w:rsidP="00596F26">
            <w:pPr>
              <w:widowControl/>
              <w:adjustRightInd/>
              <w:spacing w:line="240" w:lineRule="auto"/>
              <w:jc w:val="center"/>
              <w:textAlignment w:val="auto"/>
              <w:rPr>
                <w:rFonts w:ascii="Arial" w:hAnsi="Arial" w:cs="Arial"/>
                <w:sz w:val="18"/>
                <w:szCs w:val="18"/>
              </w:rPr>
            </w:pPr>
            <w:r>
              <w:rPr>
                <w:rFonts w:ascii="Arial" w:hAnsi="Arial" w:cs="Arial"/>
                <w:sz w:val="18"/>
                <w:szCs w:val="18"/>
              </w:rPr>
              <w:t>24</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9F3B2C" w14:textId="39701B16" w:rsidR="00596F26" w:rsidRPr="00F631FB" w:rsidRDefault="000B7D55" w:rsidP="00596F26">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r>
      <w:tr w:rsidR="00596F26" w:rsidRPr="00F631FB" w14:paraId="6FA61A0F" w14:textId="77777777" w:rsidTr="00596F2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99215A5" w14:textId="77777777" w:rsidR="00596F26" w:rsidRPr="00F631FB" w:rsidRDefault="00596F26" w:rsidP="00596F26">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4552426" w14:textId="77777777" w:rsidR="00596F26" w:rsidRPr="00F631FB" w:rsidRDefault="00596F26" w:rsidP="00596F26">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1588B0A" w14:textId="77777777" w:rsidR="00596F26" w:rsidRPr="00F631FB" w:rsidRDefault="00596F26" w:rsidP="00596F26">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CDAD22D" w14:textId="77777777" w:rsidR="00596F26" w:rsidRPr="00F631FB" w:rsidRDefault="00596F26" w:rsidP="00596F26">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1BDF67F" w14:textId="77777777" w:rsidR="00596F26" w:rsidRPr="00F631FB" w:rsidRDefault="00596F26" w:rsidP="00596F26">
            <w:pPr>
              <w:widowControl/>
              <w:adjustRightInd/>
              <w:spacing w:line="240" w:lineRule="auto"/>
              <w:textAlignment w:val="auto"/>
              <w:rPr>
                <w:rFonts w:ascii="Arial" w:hAnsi="Arial" w:cs="Arial"/>
                <w:sz w:val="18"/>
                <w:szCs w:val="18"/>
              </w:rPr>
            </w:pPr>
          </w:p>
        </w:tc>
      </w:tr>
      <w:tr w:rsidR="00596F26" w:rsidRPr="00F631FB" w14:paraId="4E6BB728" w14:textId="77777777" w:rsidTr="00596F2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242ACEF" w14:textId="77777777" w:rsidR="00596F26" w:rsidRPr="00F631FB" w:rsidRDefault="00596F26" w:rsidP="00596F26">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2F12490" w14:textId="77777777" w:rsidR="00596F26" w:rsidRPr="00F631FB" w:rsidRDefault="00596F26" w:rsidP="00596F26">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8149D0D" w14:textId="77777777" w:rsidR="00596F26" w:rsidRPr="00F631FB" w:rsidRDefault="00596F26" w:rsidP="00596F26">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9D9D56A" w14:textId="77777777" w:rsidR="00596F26" w:rsidRPr="00F631FB" w:rsidRDefault="00596F26" w:rsidP="00596F26">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4DD073F" w14:textId="77777777" w:rsidR="00596F26" w:rsidRPr="00F631FB" w:rsidRDefault="00596F26" w:rsidP="00596F26">
            <w:pPr>
              <w:widowControl/>
              <w:adjustRightInd/>
              <w:spacing w:line="240" w:lineRule="auto"/>
              <w:textAlignment w:val="auto"/>
              <w:rPr>
                <w:rFonts w:ascii="Arial" w:hAnsi="Arial" w:cs="Arial"/>
                <w:sz w:val="18"/>
                <w:szCs w:val="18"/>
              </w:rPr>
            </w:pPr>
          </w:p>
        </w:tc>
      </w:tr>
      <w:tr w:rsidR="00596F26" w:rsidRPr="00F631FB" w14:paraId="0A91C88B" w14:textId="77777777" w:rsidTr="00596F26">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155E4703" w14:textId="77777777" w:rsidR="00596F26" w:rsidRPr="00F631FB" w:rsidRDefault="00596F26" w:rsidP="00596F2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5CD6EA85" w14:textId="77777777" w:rsidR="00596F26" w:rsidRPr="00F631FB" w:rsidRDefault="00596F26" w:rsidP="00596F26">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BEFE581" w14:textId="77777777" w:rsidR="00596F26" w:rsidRPr="00F631FB" w:rsidRDefault="00596F26" w:rsidP="00596F26">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4462FF" w14:textId="77777777" w:rsidR="00596F26" w:rsidRPr="00F631FB" w:rsidRDefault="00596F26" w:rsidP="00596F26">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96C85F" w14:textId="568AEBEA" w:rsidR="00596F26" w:rsidRPr="00F631FB" w:rsidRDefault="000B7D55" w:rsidP="00596F26">
            <w:pPr>
              <w:widowControl/>
              <w:adjustRightInd/>
              <w:spacing w:line="240" w:lineRule="auto"/>
              <w:jc w:val="center"/>
              <w:textAlignment w:val="auto"/>
              <w:rPr>
                <w:rFonts w:ascii="Arial" w:hAnsi="Arial" w:cs="Arial"/>
                <w:sz w:val="18"/>
                <w:szCs w:val="18"/>
              </w:rPr>
            </w:pPr>
            <w:r>
              <w:rPr>
                <w:rFonts w:ascii="Arial" w:hAnsi="Arial" w:cs="Arial"/>
                <w:sz w:val="18"/>
                <w:szCs w:val="18"/>
              </w:rPr>
              <w:t>6</w:t>
            </w:r>
          </w:p>
        </w:tc>
      </w:tr>
      <w:tr w:rsidR="00596F26" w:rsidRPr="00F631FB" w14:paraId="1E7FD40B" w14:textId="77777777" w:rsidTr="00596F2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5C742C8" w14:textId="77777777" w:rsidR="00596F26" w:rsidRPr="00F631FB" w:rsidRDefault="00596F26" w:rsidP="00596F26">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859B4AC" w14:textId="77777777" w:rsidR="00596F26" w:rsidRPr="00F631FB" w:rsidRDefault="00596F26" w:rsidP="00596F26">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474DEEF" w14:textId="77777777" w:rsidR="00596F26" w:rsidRPr="00F631FB" w:rsidRDefault="00596F26" w:rsidP="00596F26">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299565B" w14:textId="77777777" w:rsidR="00596F26" w:rsidRPr="00F631FB" w:rsidRDefault="00596F26" w:rsidP="00596F26">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F92D199" w14:textId="77777777" w:rsidR="00596F26" w:rsidRPr="00F631FB" w:rsidRDefault="00596F26" w:rsidP="00596F26">
            <w:pPr>
              <w:widowControl/>
              <w:adjustRightInd/>
              <w:spacing w:line="240" w:lineRule="auto"/>
              <w:textAlignment w:val="auto"/>
              <w:rPr>
                <w:rFonts w:ascii="Arial" w:hAnsi="Arial" w:cs="Arial"/>
                <w:sz w:val="18"/>
                <w:szCs w:val="18"/>
              </w:rPr>
            </w:pPr>
          </w:p>
        </w:tc>
      </w:tr>
      <w:tr w:rsidR="00596F26" w:rsidRPr="00F631FB" w14:paraId="193427FA" w14:textId="77777777" w:rsidTr="00596F26">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8F66E55" w14:textId="77777777" w:rsidR="00596F26" w:rsidRPr="00F631FB" w:rsidRDefault="00596F26" w:rsidP="00596F2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0F37F89" w14:textId="77777777" w:rsidR="00596F26" w:rsidRPr="00F631FB" w:rsidRDefault="00596F26" w:rsidP="00596F26">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8705746" w14:textId="77777777" w:rsidR="00596F26" w:rsidRPr="00F631FB" w:rsidRDefault="00596F26" w:rsidP="00596F26">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D11496" w14:textId="77777777" w:rsidR="00596F26" w:rsidRPr="00F631FB" w:rsidRDefault="00596F26" w:rsidP="00596F26">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0F9782" w14:textId="77777777" w:rsidR="00596F26" w:rsidRPr="00F631FB" w:rsidRDefault="00596F26" w:rsidP="00596F2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p>
        </w:tc>
      </w:tr>
      <w:tr w:rsidR="00596F26" w:rsidRPr="00F631FB" w14:paraId="0922C280" w14:textId="77777777" w:rsidTr="00596F2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0EE5BD2" w14:textId="77777777" w:rsidR="00596F26" w:rsidRPr="00F631FB" w:rsidRDefault="00596F26" w:rsidP="00596F26">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3452B07" w14:textId="77777777" w:rsidR="00596F26" w:rsidRPr="00F631FB" w:rsidRDefault="00596F26" w:rsidP="00596F26">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F909E09" w14:textId="77777777" w:rsidR="00596F26" w:rsidRPr="00F631FB" w:rsidRDefault="00596F26" w:rsidP="00596F26">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A0B9331" w14:textId="77777777" w:rsidR="00596F26" w:rsidRPr="00F631FB" w:rsidRDefault="00596F26" w:rsidP="00596F26">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91A830F" w14:textId="77777777" w:rsidR="00596F26" w:rsidRPr="00F631FB" w:rsidRDefault="00596F26" w:rsidP="00596F26">
            <w:pPr>
              <w:widowControl/>
              <w:adjustRightInd/>
              <w:spacing w:line="240" w:lineRule="auto"/>
              <w:textAlignment w:val="auto"/>
              <w:rPr>
                <w:rFonts w:ascii="Arial" w:hAnsi="Arial" w:cs="Arial"/>
                <w:sz w:val="18"/>
                <w:szCs w:val="18"/>
              </w:rPr>
            </w:pPr>
          </w:p>
        </w:tc>
      </w:tr>
      <w:tr w:rsidR="00596F26" w:rsidRPr="00F631FB" w14:paraId="33634AE5" w14:textId="77777777" w:rsidTr="00596F26">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158C5948" w14:textId="77777777" w:rsidR="00596F26" w:rsidRPr="00F631FB" w:rsidRDefault="00596F26" w:rsidP="00596F2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449DC26" w14:textId="77777777" w:rsidR="00596F26" w:rsidRPr="00F631FB" w:rsidRDefault="00596F26" w:rsidP="00596F26">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08F7219" w14:textId="77777777" w:rsidR="00596F26" w:rsidRPr="00F631FB" w:rsidRDefault="00596F26" w:rsidP="00596F26">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19102E" w14:textId="02B2389A" w:rsidR="00596F26" w:rsidRPr="00F631FB" w:rsidRDefault="000B7D55" w:rsidP="00596F26">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8EB284" w14:textId="0A321622" w:rsidR="00596F26" w:rsidRPr="00F631FB" w:rsidRDefault="00596F26" w:rsidP="00596F26">
            <w:pPr>
              <w:widowControl/>
              <w:adjustRightInd/>
              <w:spacing w:line="240" w:lineRule="auto"/>
              <w:jc w:val="center"/>
              <w:textAlignment w:val="auto"/>
              <w:rPr>
                <w:rFonts w:ascii="Arial" w:hAnsi="Arial" w:cs="Arial"/>
                <w:sz w:val="18"/>
                <w:szCs w:val="18"/>
              </w:rPr>
            </w:pPr>
            <w:r w:rsidRPr="00F631FB">
              <w:rPr>
                <w:rFonts w:ascii="Arial" w:hAnsi="Arial" w:cs="Arial" w:hint="eastAsia"/>
                <w:sz w:val="18"/>
                <w:szCs w:val="18"/>
              </w:rPr>
              <w:t>5</w:t>
            </w:r>
          </w:p>
        </w:tc>
      </w:tr>
      <w:tr w:rsidR="00596F26" w:rsidRPr="00F631FB" w14:paraId="7C0959A6" w14:textId="77777777" w:rsidTr="00596F2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33CFDF9" w14:textId="77777777" w:rsidR="00596F26" w:rsidRPr="00F631FB" w:rsidRDefault="00596F26" w:rsidP="00596F26">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5E7F792" w14:textId="77777777" w:rsidR="00596F26" w:rsidRPr="00F631FB" w:rsidRDefault="00596F26" w:rsidP="00596F26">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F118C22" w14:textId="77777777" w:rsidR="00596F26" w:rsidRPr="00F631FB" w:rsidRDefault="00596F26" w:rsidP="00596F26">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F39DB01" w14:textId="77777777" w:rsidR="00596F26" w:rsidRPr="00F631FB" w:rsidRDefault="00596F26" w:rsidP="00596F26">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993895D" w14:textId="77777777" w:rsidR="00596F26" w:rsidRPr="00F631FB" w:rsidRDefault="00596F26" w:rsidP="00596F26">
            <w:pPr>
              <w:widowControl/>
              <w:adjustRightInd/>
              <w:spacing w:line="240" w:lineRule="auto"/>
              <w:textAlignment w:val="auto"/>
              <w:rPr>
                <w:rFonts w:ascii="Arial" w:hAnsi="Arial" w:cs="Arial"/>
                <w:sz w:val="18"/>
                <w:szCs w:val="18"/>
              </w:rPr>
            </w:pPr>
          </w:p>
        </w:tc>
      </w:tr>
      <w:tr w:rsidR="00596F26" w:rsidRPr="00F631FB" w14:paraId="4216200A" w14:textId="77777777" w:rsidTr="00596F26">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0DC11D3C" w14:textId="77777777" w:rsidR="00596F26" w:rsidRPr="00F631FB" w:rsidRDefault="00596F26" w:rsidP="00596F2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8B37E0" w14:textId="77777777" w:rsidR="00596F26" w:rsidRPr="00F631FB" w:rsidRDefault="00596F26" w:rsidP="00596F26">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2BEB653E" w14:textId="77777777" w:rsidR="00596F26" w:rsidRPr="00F631FB" w:rsidRDefault="00596F26" w:rsidP="00596F26">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7BF56" w14:textId="77777777" w:rsidR="00596F26" w:rsidRPr="00F631FB" w:rsidRDefault="00596F26" w:rsidP="00596F26">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94087A" w14:textId="7BDAC138" w:rsidR="00596F26" w:rsidRPr="00F631FB" w:rsidRDefault="000B7D55" w:rsidP="00596F26">
            <w:pPr>
              <w:widowControl/>
              <w:adjustRightInd/>
              <w:spacing w:line="240" w:lineRule="auto"/>
              <w:jc w:val="center"/>
              <w:textAlignment w:val="auto"/>
              <w:rPr>
                <w:rFonts w:ascii="Arial" w:hAnsi="Arial" w:cs="Arial"/>
                <w:sz w:val="18"/>
                <w:szCs w:val="18"/>
              </w:rPr>
            </w:pPr>
            <w:r>
              <w:rPr>
                <w:rFonts w:ascii="Arial" w:hAnsi="Arial" w:cs="Arial"/>
                <w:sz w:val="18"/>
                <w:szCs w:val="18"/>
              </w:rPr>
              <w:t>5</w:t>
            </w:r>
          </w:p>
        </w:tc>
      </w:tr>
      <w:tr w:rsidR="00596F26" w:rsidRPr="00F631FB" w14:paraId="2451800A" w14:textId="77777777" w:rsidTr="00596F26">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65D7FE44" w14:textId="77777777" w:rsidR="00596F26" w:rsidRPr="00F631FB" w:rsidRDefault="00596F26" w:rsidP="00596F26">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A42605B" w14:textId="77777777" w:rsidR="00596F26" w:rsidRPr="00F631FB" w:rsidRDefault="00596F26" w:rsidP="00596F26">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F773AE1" w14:textId="77777777" w:rsidR="00596F26" w:rsidRPr="00F631FB" w:rsidRDefault="00596F26" w:rsidP="00596F26">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C1AAFF1" w14:textId="77777777" w:rsidR="00596F26" w:rsidRPr="00F631FB" w:rsidRDefault="00596F26" w:rsidP="00596F26">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6DC811A" w14:textId="77777777" w:rsidR="00596F26" w:rsidRPr="00F631FB" w:rsidRDefault="00596F26" w:rsidP="00596F26">
            <w:pPr>
              <w:widowControl/>
              <w:adjustRightInd/>
              <w:spacing w:line="240" w:lineRule="auto"/>
              <w:textAlignment w:val="auto"/>
              <w:rPr>
                <w:rFonts w:ascii="Arial" w:hAnsi="Arial" w:cs="Arial"/>
                <w:sz w:val="18"/>
                <w:szCs w:val="18"/>
              </w:rPr>
            </w:pPr>
          </w:p>
        </w:tc>
      </w:tr>
      <w:tr w:rsidR="00596F26" w:rsidRPr="00F631FB" w14:paraId="2324A125" w14:textId="77777777" w:rsidTr="00596F26">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65A9BEF2" w14:textId="77777777" w:rsidR="00596F26" w:rsidRPr="00F631FB" w:rsidRDefault="00596F26" w:rsidP="00596F26">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C0F3669" w14:textId="77777777" w:rsidR="00596F26" w:rsidRPr="00F631FB" w:rsidRDefault="00596F26" w:rsidP="00596F26">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EA73496" w14:textId="77777777" w:rsidR="00596F26" w:rsidRPr="00F631FB" w:rsidRDefault="00596F26" w:rsidP="00596F26">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F991B2F" w14:textId="77777777" w:rsidR="00596F26" w:rsidRPr="00F631FB" w:rsidRDefault="00596F26" w:rsidP="00596F26">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FB4B8DD" w14:textId="77777777" w:rsidR="00596F26" w:rsidRPr="00F631FB" w:rsidRDefault="00596F26" w:rsidP="00596F26">
            <w:pPr>
              <w:widowControl/>
              <w:adjustRightInd/>
              <w:spacing w:line="240" w:lineRule="auto"/>
              <w:textAlignment w:val="auto"/>
              <w:rPr>
                <w:rFonts w:ascii="Arial" w:hAnsi="Arial" w:cs="Arial"/>
                <w:sz w:val="18"/>
                <w:szCs w:val="18"/>
              </w:rPr>
            </w:pPr>
          </w:p>
        </w:tc>
      </w:tr>
      <w:tr w:rsidR="00596F26" w:rsidRPr="00F631FB" w14:paraId="792F9C89" w14:textId="77777777" w:rsidTr="00596F26">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6DE62" w14:textId="77777777" w:rsidR="00596F26" w:rsidRPr="00F631FB" w:rsidRDefault="00596F26" w:rsidP="00596F26">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6CCE3C8D" w14:textId="4D790FFA" w:rsidR="00596F26" w:rsidRPr="00F631FB" w:rsidRDefault="000B7D55" w:rsidP="00596F26">
            <w:pPr>
              <w:widowControl/>
              <w:adjustRightInd/>
              <w:spacing w:line="240" w:lineRule="auto"/>
              <w:jc w:val="center"/>
              <w:textAlignment w:val="auto"/>
              <w:rPr>
                <w:rFonts w:ascii="Arial" w:hAnsi="Arial" w:cs="Arial"/>
                <w:sz w:val="18"/>
                <w:szCs w:val="18"/>
              </w:rPr>
            </w:pPr>
            <w:r>
              <w:rPr>
                <w:rFonts w:ascii="Arial" w:hAnsi="Arial" w:cs="Arial"/>
                <w:sz w:val="18"/>
                <w:szCs w:val="18"/>
              </w:rPr>
              <w:t>84</w:t>
            </w:r>
          </w:p>
        </w:tc>
        <w:tc>
          <w:tcPr>
            <w:tcW w:w="1236" w:type="dxa"/>
            <w:tcBorders>
              <w:top w:val="nil"/>
              <w:left w:val="nil"/>
              <w:bottom w:val="single" w:sz="4" w:space="0" w:color="auto"/>
              <w:right w:val="single" w:sz="4" w:space="0" w:color="auto"/>
            </w:tcBorders>
            <w:shd w:val="clear" w:color="auto" w:fill="auto"/>
            <w:noWrap/>
            <w:vAlign w:val="center"/>
            <w:hideMark/>
          </w:tcPr>
          <w:p w14:paraId="3EF5DD17" w14:textId="2B9AAE18" w:rsidR="00596F26" w:rsidRPr="00F631FB" w:rsidRDefault="000B7D55" w:rsidP="00596F26">
            <w:pPr>
              <w:widowControl/>
              <w:adjustRightInd/>
              <w:spacing w:line="240" w:lineRule="auto"/>
              <w:jc w:val="center"/>
              <w:textAlignment w:val="auto"/>
              <w:rPr>
                <w:rFonts w:ascii="Arial" w:hAnsi="Arial" w:cs="Arial"/>
                <w:sz w:val="18"/>
                <w:szCs w:val="18"/>
              </w:rPr>
            </w:pPr>
            <w:r>
              <w:rPr>
                <w:rFonts w:ascii="Arial" w:hAnsi="Arial" w:cs="Arial"/>
                <w:sz w:val="18"/>
                <w:szCs w:val="18"/>
              </w:rPr>
              <w:t>36</w:t>
            </w:r>
          </w:p>
        </w:tc>
      </w:tr>
      <w:tr w:rsidR="00596F26" w:rsidRPr="00F631FB" w14:paraId="2E06ACAE" w14:textId="77777777" w:rsidTr="00596F26">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5242A" w14:textId="77777777" w:rsidR="00596F26" w:rsidRPr="00F631FB" w:rsidRDefault="00596F26" w:rsidP="00596F26">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1E99246B" w14:textId="21916BE4" w:rsidR="00596F26" w:rsidRPr="00F631FB" w:rsidRDefault="000B7D55" w:rsidP="00596F26">
            <w:pPr>
              <w:widowControl/>
              <w:adjustRightInd/>
              <w:spacing w:line="240" w:lineRule="auto"/>
              <w:jc w:val="center"/>
              <w:textAlignment w:val="auto"/>
              <w:rPr>
                <w:rFonts w:ascii="Arial" w:hAnsi="Arial" w:cs="Arial"/>
                <w:sz w:val="18"/>
                <w:szCs w:val="18"/>
              </w:rPr>
            </w:pPr>
            <w:r>
              <w:rPr>
                <w:rFonts w:ascii="Arial" w:hAnsi="Arial" w:cs="Arial"/>
                <w:sz w:val="18"/>
                <w:szCs w:val="18"/>
              </w:rPr>
              <w:t>7</w:t>
            </w:r>
            <w:r w:rsidR="00596F26">
              <w:rPr>
                <w:rFonts w:ascii="Arial" w:hAnsi="Arial" w:cs="Arial"/>
                <w:sz w:val="18"/>
                <w:szCs w:val="18"/>
              </w:rPr>
              <w:t>0%</w:t>
            </w:r>
          </w:p>
        </w:tc>
        <w:tc>
          <w:tcPr>
            <w:tcW w:w="1236" w:type="dxa"/>
            <w:tcBorders>
              <w:top w:val="nil"/>
              <w:left w:val="nil"/>
              <w:bottom w:val="single" w:sz="4" w:space="0" w:color="auto"/>
              <w:right w:val="single" w:sz="4" w:space="0" w:color="auto"/>
            </w:tcBorders>
            <w:shd w:val="clear" w:color="auto" w:fill="auto"/>
            <w:noWrap/>
            <w:vAlign w:val="center"/>
            <w:hideMark/>
          </w:tcPr>
          <w:p w14:paraId="7416E972" w14:textId="7F4FE7B3" w:rsidR="00596F26" w:rsidRPr="00F631FB" w:rsidRDefault="000B7D55" w:rsidP="00596F26">
            <w:pPr>
              <w:widowControl/>
              <w:adjustRightInd/>
              <w:spacing w:line="240" w:lineRule="auto"/>
              <w:jc w:val="center"/>
              <w:textAlignment w:val="auto"/>
              <w:rPr>
                <w:rFonts w:ascii="Arial" w:hAnsi="Arial" w:cs="Arial"/>
                <w:sz w:val="18"/>
                <w:szCs w:val="18"/>
              </w:rPr>
            </w:pPr>
            <w:r>
              <w:rPr>
                <w:rFonts w:ascii="Arial" w:hAnsi="Arial" w:cs="Arial"/>
                <w:sz w:val="18"/>
                <w:szCs w:val="18"/>
              </w:rPr>
              <w:t>3</w:t>
            </w:r>
            <w:r w:rsidR="00596F26">
              <w:rPr>
                <w:rFonts w:ascii="Arial" w:hAnsi="Arial" w:cs="Arial"/>
                <w:sz w:val="18"/>
                <w:szCs w:val="18"/>
              </w:rPr>
              <w:t>0%</w:t>
            </w:r>
          </w:p>
        </w:tc>
      </w:tr>
    </w:tbl>
    <w:p w14:paraId="511B6933" w14:textId="77777777" w:rsidR="00596F26" w:rsidRPr="00F631FB" w:rsidRDefault="00596F26" w:rsidP="00596F26">
      <w:pPr>
        <w:spacing w:beforeLines="50" w:before="120" w:line="360" w:lineRule="auto"/>
        <w:ind w:firstLineChars="200" w:firstLine="560"/>
        <w:jc w:val="both"/>
        <w:rPr>
          <w:rFonts w:ascii="Arial" w:eastAsia="仿宋_GB2312" w:hAnsi="Arial" w:cs="Arial"/>
          <w:sz w:val="28"/>
        </w:rPr>
      </w:pPr>
    </w:p>
    <w:p w14:paraId="0EA8B9B3" w14:textId="3778B145" w:rsidR="00596F26" w:rsidRPr="00F631FB" w:rsidRDefault="00596F26" w:rsidP="000E7771">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7E7D8BDE" w14:textId="77777777" w:rsidR="000E7771" w:rsidRPr="00F631FB" w:rsidRDefault="000E7771" w:rsidP="000E7771">
      <w:pPr>
        <w:spacing w:beforeLines="50" w:before="120"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则各</w:t>
      </w:r>
      <w:proofErr w:type="gramStart"/>
      <w:r w:rsidRPr="00F631FB">
        <w:rPr>
          <w:rFonts w:ascii="Arial" w:eastAsia="仿宋_GB2312" w:hAnsi="Arial" w:cs="Arial"/>
          <w:sz w:val="28"/>
        </w:rPr>
        <w:t>用途楼</w:t>
      </w:r>
      <w:proofErr w:type="gramEnd"/>
      <w:r w:rsidRPr="00F631FB">
        <w:rPr>
          <w:rFonts w:ascii="Arial" w:eastAsia="仿宋_GB2312" w:hAnsi="Arial" w:cs="Arial"/>
          <w:sz w:val="28"/>
        </w:rPr>
        <w:t>面熟地价</w:t>
      </w:r>
      <w:r w:rsidRPr="00F631FB">
        <w:rPr>
          <w:rFonts w:ascii="Arial" w:eastAsia="仿宋_GB2312" w:hAnsi="Arial" w:cs="Arial" w:hint="eastAsia"/>
          <w:sz w:val="28"/>
        </w:rPr>
        <w:t>及政府土地出让收益</w:t>
      </w:r>
      <w:r w:rsidRPr="00F631FB">
        <w:rPr>
          <w:rFonts w:ascii="Arial" w:eastAsia="仿宋_GB2312" w:hAnsi="Arial" w:cs="Arial"/>
          <w:sz w:val="28"/>
        </w:rPr>
        <w:t>如下表：</w:t>
      </w:r>
    </w:p>
    <w:tbl>
      <w:tblPr>
        <w:tblW w:w="8926" w:type="dxa"/>
        <w:tblLook w:val="04A0" w:firstRow="1" w:lastRow="0" w:firstColumn="1" w:lastColumn="0" w:noHBand="0" w:noVBand="1"/>
      </w:tblPr>
      <w:tblGrid>
        <w:gridCol w:w="1684"/>
        <w:gridCol w:w="1559"/>
        <w:gridCol w:w="1485"/>
        <w:gridCol w:w="850"/>
        <w:gridCol w:w="1568"/>
        <w:gridCol w:w="1780"/>
      </w:tblGrid>
      <w:tr w:rsidR="000E7771" w:rsidRPr="00F631FB" w14:paraId="2D683F95" w14:textId="77777777" w:rsidTr="00584C10">
        <w:trPr>
          <w:trHeight w:val="300"/>
        </w:trPr>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BC0EE"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用途</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DD538EA"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方法</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47F5234D"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楼面熟地价（元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25826F4"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14:paraId="2ADB1A49"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权重楼面</w:t>
            </w:r>
          </w:p>
          <w:p w14:paraId="328C2C7A"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熟地单价</w:t>
            </w:r>
          </w:p>
          <w:p w14:paraId="46930283"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c>
          <w:tcPr>
            <w:tcW w:w="1780" w:type="dxa"/>
            <w:tcBorders>
              <w:top w:val="single" w:sz="4" w:space="0" w:color="auto"/>
              <w:left w:val="nil"/>
              <w:bottom w:val="single" w:sz="4" w:space="0" w:color="auto"/>
              <w:right w:val="single" w:sz="4" w:space="0" w:color="auto"/>
            </w:tcBorders>
            <w:vAlign w:val="center"/>
          </w:tcPr>
          <w:p w14:paraId="10D42C4A"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hint="eastAsia"/>
                <w:b/>
                <w:bCs/>
                <w:color w:val="000000"/>
                <w:szCs w:val="24"/>
              </w:rPr>
              <w:t>政府土地出让收益楼面价</w:t>
            </w:r>
          </w:p>
          <w:p w14:paraId="36B3DE69"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r>
      <w:tr w:rsidR="000E7771" w:rsidRPr="00F631FB" w14:paraId="3BC907FD" w14:textId="77777777" w:rsidTr="00584C10">
        <w:trPr>
          <w:trHeight w:val="37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135BFE04"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地上</w:t>
            </w:r>
            <w:r w:rsidRPr="00F631FB">
              <w:rPr>
                <w:rFonts w:ascii="仿宋" w:eastAsia="仿宋" w:hAnsi="仿宋" w:cs="Arial" w:hint="eastAsia"/>
                <w:color w:val="000000"/>
                <w:sz w:val="22"/>
                <w:szCs w:val="22"/>
              </w:rPr>
              <w:t>住宅</w:t>
            </w:r>
          </w:p>
          <w:p w14:paraId="4B2C8C7C"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（土地剩余年限70年）</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07165142"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vMerge w:val="restart"/>
            <w:tcBorders>
              <w:top w:val="nil"/>
              <w:left w:val="single" w:sz="4" w:space="0" w:color="auto"/>
              <w:bottom w:val="single" w:sz="4" w:space="0" w:color="auto"/>
              <w:right w:val="single" w:sz="4" w:space="0" w:color="auto"/>
            </w:tcBorders>
            <w:shd w:val="clear" w:color="auto" w:fill="auto"/>
            <w:vAlign w:val="center"/>
            <w:hideMark/>
          </w:tcPr>
          <w:p w14:paraId="7E380D24"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44597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475D18D0" w14:textId="77386F6F" w:rsidR="000E7771" w:rsidRPr="00F631FB" w:rsidRDefault="000B7D55"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598DAB6B" w14:textId="7E00CCDA" w:rsidR="000E7771" w:rsidRPr="00F631FB" w:rsidRDefault="000B7D55"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79598</w:t>
            </w:r>
          </w:p>
        </w:tc>
        <w:tc>
          <w:tcPr>
            <w:tcW w:w="1780" w:type="dxa"/>
            <w:vMerge w:val="restart"/>
            <w:tcBorders>
              <w:top w:val="single" w:sz="4" w:space="0" w:color="auto"/>
              <w:left w:val="single" w:sz="4" w:space="0" w:color="auto"/>
              <w:right w:val="single" w:sz="4" w:space="0" w:color="auto"/>
            </w:tcBorders>
            <w:vAlign w:val="center"/>
          </w:tcPr>
          <w:p w14:paraId="2AF60921" w14:textId="28918A43" w:rsidR="000E7771" w:rsidRPr="00F631FB" w:rsidRDefault="000B7D55"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19900</w:t>
            </w:r>
          </w:p>
        </w:tc>
      </w:tr>
      <w:tr w:rsidR="000E7771" w:rsidRPr="00F631FB" w14:paraId="126645E0" w14:textId="77777777" w:rsidTr="00584C10">
        <w:trPr>
          <w:trHeight w:val="28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2A4435F3"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15D6783B"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485" w:type="dxa"/>
            <w:vMerge/>
            <w:tcBorders>
              <w:top w:val="nil"/>
              <w:left w:val="single" w:sz="4" w:space="0" w:color="auto"/>
              <w:bottom w:val="single" w:sz="4" w:space="0" w:color="auto"/>
              <w:right w:val="single" w:sz="4" w:space="0" w:color="auto"/>
            </w:tcBorders>
            <w:shd w:val="clear" w:color="auto" w:fill="auto"/>
            <w:vAlign w:val="center"/>
            <w:hideMark/>
          </w:tcPr>
          <w:p w14:paraId="5FCF37D0"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2B9D123C"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43D1624F"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left w:val="single" w:sz="4" w:space="0" w:color="auto"/>
              <w:right w:val="single" w:sz="4" w:space="0" w:color="auto"/>
            </w:tcBorders>
            <w:vAlign w:val="center"/>
          </w:tcPr>
          <w:p w14:paraId="52B55AB9"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p>
        </w:tc>
      </w:tr>
      <w:tr w:rsidR="000E7771" w:rsidRPr="00F631FB" w14:paraId="174EF98C" w14:textId="77777777" w:rsidTr="00584C10">
        <w:trPr>
          <w:trHeight w:val="416"/>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78934D9B"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46152C18"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35496711" w14:textId="78CC4A75" w:rsidR="000E7771" w:rsidRPr="00F631FB" w:rsidRDefault="000B7D55"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94598</w:t>
            </w:r>
          </w:p>
        </w:tc>
        <w:tc>
          <w:tcPr>
            <w:tcW w:w="850" w:type="dxa"/>
            <w:tcBorders>
              <w:top w:val="nil"/>
              <w:left w:val="nil"/>
              <w:bottom w:val="single" w:sz="4" w:space="0" w:color="auto"/>
              <w:right w:val="single" w:sz="4" w:space="0" w:color="auto"/>
            </w:tcBorders>
            <w:shd w:val="clear" w:color="auto" w:fill="auto"/>
            <w:vAlign w:val="center"/>
            <w:hideMark/>
          </w:tcPr>
          <w:p w14:paraId="5C03C28D" w14:textId="069DA865" w:rsidR="000E7771" w:rsidRPr="00F631FB" w:rsidRDefault="000B7D55"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0.7</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174B9116"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left w:val="single" w:sz="4" w:space="0" w:color="auto"/>
              <w:right w:val="single" w:sz="4" w:space="0" w:color="auto"/>
            </w:tcBorders>
            <w:vAlign w:val="center"/>
          </w:tcPr>
          <w:p w14:paraId="4909C81E"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p>
        </w:tc>
      </w:tr>
      <w:tr w:rsidR="000E7771" w:rsidRPr="00F631FB" w14:paraId="413886B2" w14:textId="77777777" w:rsidTr="00584C10">
        <w:trPr>
          <w:trHeight w:val="43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4BC830BF"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w:t>
            </w:r>
            <w:r w:rsidRPr="00F631FB">
              <w:rPr>
                <w:rFonts w:ascii="仿宋" w:eastAsia="仿宋" w:hAnsi="仿宋" w:cs="Arial" w:hint="eastAsia"/>
                <w:color w:val="000000"/>
                <w:sz w:val="22"/>
                <w:szCs w:val="22"/>
              </w:rPr>
              <w:t>上商业</w:t>
            </w:r>
          </w:p>
          <w:p w14:paraId="5A02F4C3"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（土地剩余年限40年）</w:t>
            </w:r>
          </w:p>
        </w:tc>
        <w:tc>
          <w:tcPr>
            <w:tcW w:w="1559" w:type="dxa"/>
            <w:tcBorders>
              <w:top w:val="nil"/>
              <w:left w:val="nil"/>
              <w:bottom w:val="single" w:sz="4" w:space="0" w:color="auto"/>
              <w:right w:val="single" w:sz="4" w:space="0" w:color="auto"/>
            </w:tcBorders>
            <w:shd w:val="clear" w:color="auto" w:fill="auto"/>
            <w:vAlign w:val="center"/>
            <w:hideMark/>
          </w:tcPr>
          <w:p w14:paraId="3E74D3D4"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22EF3094"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26540</w:t>
            </w:r>
          </w:p>
        </w:tc>
        <w:tc>
          <w:tcPr>
            <w:tcW w:w="850" w:type="dxa"/>
            <w:tcBorders>
              <w:top w:val="nil"/>
              <w:left w:val="nil"/>
              <w:bottom w:val="single" w:sz="4" w:space="0" w:color="auto"/>
              <w:right w:val="single" w:sz="4" w:space="0" w:color="auto"/>
            </w:tcBorders>
            <w:shd w:val="clear" w:color="auto" w:fill="auto"/>
            <w:vAlign w:val="center"/>
            <w:hideMark/>
          </w:tcPr>
          <w:p w14:paraId="4D2758F5"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798C9BDF" w14:textId="73C5F13B" w:rsidR="000E7771" w:rsidRPr="00F631FB" w:rsidRDefault="000B7D55">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30853</w:t>
            </w:r>
          </w:p>
        </w:tc>
        <w:tc>
          <w:tcPr>
            <w:tcW w:w="1780" w:type="dxa"/>
            <w:vMerge w:val="restart"/>
            <w:tcBorders>
              <w:top w:val="single" w:sz="4" w:space="0" w:color="auto"/>
              <w:right w:val="single" w:sz="4" w:space="0" w:color="auto"/>
            </w:tcBorders>
            <w:vAlign w:val="center"/>
          </w:tcPr>
          <w:p w14:paraId="2244B74B" w14:textId="6B78F0D3" w:rsidR="000E7771" w:rsidRPr="00F631FB" w:rsidRDefault="000B7D55"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7713</w:t>
            </w:r>
          </w:p>
        </w:tc>
      </w:tr>
      <w:tr w:rsidR="000E7771" w:rsidRPr="00F631FB" w14:paraId="285A46E7" w14:textId="77777777" w:rsidTr="00584C10">
        <w:trPr>
          <w:trHeight w:val="41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30943B53"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41B49EC4"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493BA736" w14:textId="69CEC261" w:rsidR="000E7771" w:rsidRPr="00F631FB" w:rsidRDefault="000B7D55"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30395</w:t>
            </w:r>
          </w:p>
        </w:tc>
        <w:tc>
          <w:tcPr>
            <w:tcW w:w="850" w:type="dxa"/>
            <w:tcBorders>
              <w:top w:val="nil"/>
              <w:left w:val="nil"/>
              <w:bottom w:val="single" w:sz="4" w:space="0" w:color="auto"/>
              <w:right w:val="single" w:sz="4" w:space="0" w:color="auto"/>
            </w:tcBorders>
            <w:shd w:val="clear" w:color="auto" w:fill="auto"/>
            <w:vAlign w:val="center"/>
            <w:hideMark/>
          </w:tcPr>
          <w:p w14:paraId="108A8C93"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2E3FA198"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right w:val="single" w:sz="4" w:space="0" w:color="auto"/>
            </w:tcBorders>
            <w:vAlign w:val="center"/>
          </w:tcPr>
          <w:p w14:paraId="5A2714EA"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p>
        </w:tc>
      </w:tr>
      <w:tr w:rsidR="000E7771" w:rsidRPr="00F631FB" w14:paraId="4BFDF8FC" w14:textId="77777777" w:rsidTr="00584C10">
        <w:trPr>
          <w:trHeight w:val="42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2A5EC2FE"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106B5129"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14:paraId="00153EEE" w14:textId="711DC480" w:rsidR="000E7771" w:rsidRPr="00F631FB" w:rsidRDefault="00FE3E7A">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34431</w:t>
            </w:r>
          </w:p>
        </w:tc>
        <w:tc>
          <w:tcPr>
            <w:tcW w:w="850" w:type="dxa"/>
            <w:tcBorders>
              <w:top w:val="nil"/>
              <w:left w:val="nil"/>
              <w:bottom w:val="single" w:sz="4" w:space="0" w:color="auto"/>
              <w:right w:val="single" w:sz="4" w:space="0" w:color="auto"/>
            </w:tcBorders>
            <w:shd w:val="clear" w:color="auto" w:fill="auto"/>
            <w:vAlign w:val="center"/>
            <w:hideMark/>
          </w:tcPr>
          <w:p w14:paraId="4A1BEA4E"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2BF894DF"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bottom w:val="single" w:sz="4" w:space="0" w:color="auto"/>
              <w:right w:val="single" w:sz="4" w:space="0" w:color="auto"/>
            </w:tcBorders>
            <w:vAlign w:val="center"/>
          </w:tcPr>
          <w:p w14:paraId="7A73EAA7"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p>
        </w:tc>
      </w:tr>
      <w:tr w:rsidR="000E7771" w:rsidRPr="00F631FB" w14:paraId="44F8A032" w14:textId="77777777" w:rsidTr="00584C10">
        <w:trPr>
          <w:trHeight w:val="43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6945C02C"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w:t>
            </w:r>
            <w:r w:rsidRPr="00F631FB">
              <w:rPr>
                <w:rFonts w:ascii="仿宋" w:eastAsia="仿宋" w:hAnsi="仿宋" w:cs="Arial" w:hint="eastAsia"/>
                <w:color w:val="000000"/>
                <w:sz w:val="22"/>
                <w:szCs w:val="22"/>
              </w:rPr>
              <w:t>上</w:t>
            </w:r>
            <w:r>
              <w:rPr>
                <w:rFonts w:ascii="仿宋" w:eastAsia="仿宋" w:hAnsi="仿宋" w:cs="Arial" w:hint="eastAsia"/>
                <w:color w:val="000000"/>
                <w:sz w:val="22"/>
                <w:szCs w:val="22"/>
              </w:rPr>
              <w:t>办公</w:t>
            </w:r>
          </w:p>
          <w:p w14:paraId="33EA5604"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hint="eastAsia"/>
                <w:color w:val="000000"/>
                <w:sz w:val="22"/>
                <w:szCs w:val="22"/>
              </w:rPr>
              <w:t>5</w:t>
            </w:r>
            <w:r>
              <w:rPr>
                <w:rFonts w:ascii="仿宋" w:eastAsia="仿宋" w:hAnsi="仿宋" w:cs="Arial"/>
                <w:color w:val="000000"/>
                <w:sz w:val="22"/>
                <w:szCs w:val="22"/>
              </w:rPr>
              <w:t>0</w:t>
            </w:r>
            <w:r w:rsidRPr="00F631F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3FF29EDC"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59C53BBB"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30794</w:t>
            </w:r>
          </w:p>
        </w:tc>
        <w:tc>
          <w:tcPr>
            <w:tcW w:w="850" w:type="dxa"/>
            <w:tcBorders>
              <w:top w:val="nil"/>
              <w:left w:val="nil"/>
              <w:bottom w:val="single" w:sz="4" w:space="0" w:color="auto"/>
              <w:right w:val="single" w:sz="4" w:space="0" w:color="auto"/>
            </w:tcBorders>
            <w:shd w:val="clear" w:color="auto" w:fill="auto"/>
            <w:vAlign w:val="center"/>
            <w:hideMark/>
          </w:tcPr>
          <w:p w14:paraId="7E915EA7"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29E93830" w14:textId="43A5ABCA" w:rsidR="000E7771" w:rsidRPr="00F631FB" w:rsidRDefault="000B7D55">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30708</w:t>
            </w:r>
          </w:p>
        </w:tc>
        <w:tc>
          <w:tcPr>
            <w:tcW w:w="1780" w:type="dxa"/>
            <w:vMerge w:val="restart"/>
            <w:tcBorders>
              <w:top w:val="single" w:sz="4" w:space="0" w:color="auto"/>
              <w:right w:val="single" w:sz="4" w:space="0" w:color="auto"/>
            </w:tcBorders>
            <w:vAlign w:val="center"/>
          </w:tcPr>
          <w:p w14:paraId="731D454D" w14:textId="48F82E0D" w:rsidR="000E7771" w:rsidRPr="00F631FB" w:rsidRDefault="000B7D55">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7677</w:t>
            </w:r>
          </w:p>
        </w:tc>
      </w:tr>
      <w:tr w:rsidR="000E7771" w:rsidRPr="00F631FB" w14:paraId="20FE6D21" w14:textId="77777777" w:rsidTr="00584C10">
        <w:trPr>
          <w:trHeight w:val="41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11267682"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0B9D12A0"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23E03CD9" w14:textId="1581D265" w:rsidR="000E7771" w:rsidRPr="00F631FB" w:rsidRDefault="000B7D55">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29746</w:t>
            </w:r>
          </w:p>
        </w:tc>
        <w:tc>
          <w:tcPr>
            <w:tcW w:w="850" w:type="dxa"/>
            <w:tcBorders>
              <w:top w:val="nil"/>
              <w:left w:val="nil"/>
              <w:bottom w:val="single" w:sz="4" w:space="0" w:color="auto"/>
              <w:right w:val="single" w:sz="4" w:space="0" w:color="auto"/>
            </w:tcBorders>
            <w:shd w:val="clear" w:color="auto" w:fill="auto"/>
            <w:vAlign w:val="center"/>
            <w:hideMark/>
          </w:tcPr>
          <w:p w14:paraId="6C8B1790"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2F13DB23"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right w:val="single" w:sz="4" w:space="0" w:color="auto"/>
            </w:tcBorders>
            <w:vAlign w:val="center"/>
          </w:tcPr>
          <w:p w14:paraId="27CA8FE1"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p>
        </w:tc>
      </w:tr>
      <w:tr w:rsidR="000E7771" w:rsidRPr="00F631FB" w14:paraId="53B77BE9" w14:textId="77777777" w:rsidTr="00584C10">
        <w:trPr>
          <w:trHeight w:val="42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5BAD3BEA"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1FE0714D"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14:paraId="00676307" w14:textId="6E3AD8CE" w:rsidR="000E7771" w:rsidRPr="00F631FB" w:rsidRDefault="00B1377B"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31366</w:t>
            </w:r>
          </w:p>
        </w:tc>
        <w:tc>
          <w:tcPr>
            <w:tcW w:w="850" w:type="dxa"/>
            <w:tcBorders>
              <w:top w:val="nil"/>
              <w:left w:val="nil"/>
              <w:bottom w:val="single" w:sz="4" w:space="0" w:color="auto"/>
              <w:right w:val="single" w:sz="4" w:space="0" w:color="auto"/>
            </w:tcBorders>
            <w:shd w:val="clear" w:color="auto" w:fill="auto"/>
            <w:vAlign w:val="center"/>
            <w:hideMark/>
          </w:tcPr>
          <w:p w14:paraId="194EC508"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7DE9944D"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bottom w:val="single" w:sz="4" w:space="0" w:color="auto"/>
              <w:right w:val="single" w:sz="4" w:space="0" w:color="auto"/>
            </w:tcBorders>
            <w:vAlign w:val="center"/>
          </w:tcPr>
          <w:p w14:paraId="04EB58BA"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p>
        </w:tc>
      </w:tr>
      <w:tr w:rsidR="000E7771" w:rsidRPr="00F631FB" w14:paraId="06F65404" w14:textId="77777777" w:rsidTr="00584C10">
        <w:trPr>
          <w:trHeight w:val="437"/>
        </w:trPr>
        <w:tc>
          <w:tcPr>
            <w:tcW w:w="1684" w:type="dxa"/>
            <w:vMerge w:val="restart"/>
            <w:tcBorders>
              <w:top w:val="nil"/>
              <w:left w:val="single" w:sz="4" w:space="0" w:color="auto"/>
              <w:right w:val="single" w:sz="4" w:space="0" w:color="auto"/>
            </w:tcBorders>
            <w:shd w:val="clear" w:color="auto" w:fill="auto"/>
            <w:vAlign w:val="center"/>
            <w:hideMark/>
          </w:tcPr>
          <w:p w14:paraId="41197728"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地下</w:t>
            </w:r>
            <w:r w:rsidRPr="00F631FB">
              <w:rPr>
                <w:rFonts w:ascii="仿宋" w:eastAsia="仿宋" w:hAnsi="仿宋" w:cs="Arial" w:hint="eastAsia"/>
                <w:color w:val="000000"/>
                <w:sz w:val="22"/>
                <w:szCs w:val="22"/>
              </w:rPr>
              <w:t>办公（</w:t>
            </w:r>
          </w:p>
          <w:p w14:paraId="08FD0763"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6E1109E0"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1EB4B6F6"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w:t>
            </w:r>
            <w:r>
              <w:rPr>
                <w:rFonts w:ascii="Arial" w:hAnsi="Arial" w:cs="Arial"/>
                <w:color w:val="000000"/>
                <w:sz w:val="22"/>
                <w:szCs w:val="22"/>
              </w:rPr>
              <w:t>0095</w:t>
            </w:r>
          </w:p>
        </w:tc>
        <w:tc>
          <w:tcPr>
            <w:tcW w:w="850" w:type="dxa"/>
            <w:tcBorders>
              <w:top w:val="nil"/>
              <w:left w:val="nil"/>
              <w:bottom w:val="single" w:sz="4" w:space="0" w:color="auto"/>
              <w:right w:val="single" w:sz="4" w:space="0" w:color="auto"/>
            </w:tcBorders>
            <w:shd w:val="clear" w:color="auto" w:fill="auto"/>
            <w:vAlign w:val="center"/>
            <w:hideMark/>
          </w:tcPr>
          <w:p w14:paraId="15DBB417" w14:textId="3C471CA5" w:rsidR="000E7771" w:rsidRPr="00F631FB" w:rsidRDefault="000E7771" w:rsidP="004F0BE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AF0914">
              <w:rPr>
                <w:rFonts w:ascii="Arial" w:hAnsi="Arial" w:cs="Arial"/>
                <w:color w:val="000000"/>
                <w:sz w:val="22"/>
                <w:szCs w:val="22"/>
              </w:rPr>
              <w:t>4</w:t>
            </w:r>
          </w:p>
        </w:tc>
        <w:tc>
          <w:tcPr>
            <w:tcW w:w="1568" w:type="dxa"/>
            <w:vMerge w:val="restart"/>
            <w:tcBorders>
              <w:top w:val="nil"/>
              <w:left w:val="single" w:sz="4" w:space="0" w:color="auto"/>
              <w:right w:val="single" w:sz="4" w:space="0" w:color="auto"/>
            </w:tcBorders>
            <w:shd w:val="clear" w:color="auto" w:fill="auto"/>
            <w:vAlign w:val="center"/>
            <w:hideMark/>
          </w:tcPr>
          <w:p w14:paraId="28989D17" w14:textId="23BE2F54" w:rsidR="000E7771" w:rsidRPr="00F631FB" w:rsidRDefault="000B7D55">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9538</w:t>
            </w:r>
          </w:p>
        </w:tc>
        <w:tc>
          <w:tcPr>
            <w:tcW w:w="1780" w:type="dxa"/>
            <w:vMerge w:val="restart"/>
            <w:tcBorders>
              <w:top w:val="single" w:sz="4" w:space="0" w:color="auto"/>
              <w:right w:val="single" w:sz="4" w:space="0" w:color="auto"/>
            </w:tcBorders>
            <w:vAlign w:val="center"/>
          </w:tcPr>
          <w:p w14:paraId="01CF40D1" w14:textId="095C3D82" w:rsidR="000E7771" w:rsidRPr="00F631FB" w:rsidRDefault="000B7D55">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2385</w:t>
            </w:r>
          </w:p>
        </w:tc>
      </w:tr>
      <w:tr w:rsidR="000E7771" w:rsidRPr="00F631FB" w14:paraId="170F16CD" w14:textId="77777777" w:rsidTr="00584C10">
        <w:trPr>
          <w:trHeight w:val="355"/>
        </w:trPr>
        <w:tc>
          <w:tcPr>
            <w:tcW w:w="1684" w:type="dxa"/>
            <w:vMerge/>
            <w:tcBorders>
              <w:left w:val="single" w:sz="4" w:space="0" w:color="auto"/>
              <w:right w:val="single" w:sz="4" w:space="0" w:color="auto"/>
            </w:tcBorders>
            <w:shd w:val="clear" w:color="auto" w:fill="auto"/>
            <w:vAlign w:val="center"/>
            <w:hideMark/>
          </w:tcPr>
          <w:p w14:paraId="3301D8E0"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68E9D56A"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6DAD4279" w14:textId="0CAA819C" w:rsidR="000E7771" w:rsidRPr="00F631FB" w:rsidRDefault="000B7D55">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8924</w:t>
            </w:r>
          </w:p>
        </w:tc>
        <w:tc>
          <w:tcPr>
            <w:tcW w:w="850" w:type="dxa"/>
            <w:tcBorders>
              <w:top w:val="nil"/>
              <w:left w:val="nil"/>
              <w:bottom w:val="single" w:sz="4" w:space="0" w:color="auto"/>
              <w:right w:val="single" w:sz="4" w:space="0" w:color="auto"/>
            </w:tcBorders>
            <w:shd w:val="clear" w:color="auto" w:fill="auto"/>
            <w:vAlign w:val="center"/>
            <w:hideMark/>
          </w:tcPr>
          <w:p w14:paraId="2ADC00F6"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Pr="00F631FB">
              <w:rPr>
                <w:rFonts w:ascii="Arial" w:hAnsi="Arial" w:cs="Arial" w:hint="eastAsia"/>
                <w:color w:val="000000"/>
                <w:sz w:val="22"/>
                <w:szCs w:val="22"/>
              </w:rPr>
              <w:t>3</w:t>
            </w:r>
          </w:p>
        </w:tc>
        <w:tc>
          <w:tcPr>
            <w:tcW w:w="1568" w:type="dxa"/>
            <w:vMerge/>
            <w:tcBorders>
              <w:left w:val="single" w:sz="4" w:space="0" w:color="auto"/>
              <w:right w:val="single" w:sz="4" w:space="0" w:color="auto"/>
            </w:tcBorders>
            <w:shd w:val="clear" w:color="auto" w:fill="auto"/>
            <w:vAlign w:val="center"/>
            <w:hideMark/>
          </w:tcPr>
          <w:p w14:paraId="551DB183"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right w:val="single" w:sz="4" w:space="0" w:color="auto"/>
            </w:tcBorders>
          </w:tcPr>
          <w:p w14:paraId="6F2FC7C1" w14:textId="77777777" w:rsidR="000E7771" w:rsidRPr="00F631FB" w:rsidRDefault="000E7771" w:rsidP="004F0BE4">
            <w:pPr>
              <w:widowControl/>
              <w:adjustRightInd/>
              <w:spacing w:line="240" w:lineRule="auto"/>
              <w:textAlignment w:val="auto"/>
              <w:rPr>
                <w:rFonts w:ascii="Arial" w:eastAsia="Times New Roman" w:hAnsi="Arial" w:cs="Arial"/>
                <w:sz w:val="20"/>
              </w:rPr>
            </w:pPr>
          </w:p>
        </w:tc>
      </w:tr>
      <w:tr w:rsidR="000E7771" w:rsidRPr="00F631FB" w14:paraId="4C434D94" w14:textId="77777777" w:rsidTr="00584C10">
        <w:trPr>
          <w:trHeight w:val="316"/>
        </w:trPr>
        <w:tc>
          <w:tcPr>
            <w:tcW w:w="1684" w:type="dxa"/>
            <w:vMerge/>
            <w:tcBorders>
              <w:left w:val="single" w:sz="4" w:space="0" w:color="auto"/>
              <w:bottom w:val="single" w:sz="4" w:space="0" w:color="auto"/>
              <w:right w:val="single" w:sz="4" w:space="0" w:color="auto"/>
            </w:tcBorders>
            <w:shd w:val="clear" w:color="auto" w:fill="auto"/>
            <w:vAlign w:val="center"/>
          </w:tcPr>
          <w:p w14:paraId="38EA684D"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13B023CC" w14:textId="77777777" w:rsidR="000E7771" w:rsidRPr="00F631FB" w:rsidRDefault="000E7771" w:rsidP="004F0BE4">
            <w:pPr>
              <w:spacing w:line="240" w:lineRule="auto"/>
              <w:jc w:val="center"/>
              <w:rPr>
                <w:rFonts w:ascii="仿宋" w:eastAsia="仿宋" w:hAnsi="仿宋" w:cs="Arial"/>
                <w:color w:val="000000"/>
                <w:sz w:val="22"/>
                <w:szCs w:val="22"/>
              </w:rPr>
            </w:pPr>
            <w:r w:rsidRPr="00F631FB">
              <w:rPr>
                <w:rFonts w:ascii="仿宋" w:eastAsia="仿宋" w:hAnsi="仿宋" w:cs="Arial" w:hint="eastAsia"/>
                <w:color w:val="000000"/>
                <w:sz w:val="22"/>
                <w:szCs w:val="22"/>
              </w:rPr>
              <w:t>比较法</w:t>
            </w:r>
          </w:p>
        </w:tc>
        <w:tc>
          <w:tcPr>
            <w:tcW w:w="1485" w:type="dxa"/>
            <w:tcBorders>
              <w:top w:val="single" w:sz="4" w:space="0" w:color="auto"/>
              <w:left w:val="nil"/>
              <w:bottom w:val="single" w:sz="4" w:space="0" w:color="auto"/>
              <w:right w:val="single" w:sz="4" w:space="0" w:color="auto"/>
            </w:tcBorders>
            <w:shd w:val="clear" w:color="auto" w:fill="auto"/>
            <w:vAlign w:val="center"/>
          </w:tcPr>
          <w:p w14:paraId="675A0A12" w14:textId="71CE813B" w:rsidR="000E7771" w:rsidRPr="00F631FB" w:rsidRDefault="00B1377B" w:rsidP="004F0BE4">
            <w:pPr>
              <w:spacing w:line="240" w:lineRule="auto"/>
              <w:jc w:val="center"/>
              <w:rPr>
                <w:rFonts w:ascii="Arial" w:hAnsi="Arial" w:cs="Arial"/>
                <w:color w:val="000000"/>
                <w:sz w:val="22"/>
                <w:szCs w:val="22"/>
              </w:rPr>
            </w:pPr>
            <w:r>
              <w:rPr>
                <w:rFonts w:ascii="Arial" w:hAnsi="Arial" w:cs="Arial"/>
                <w:color w:val="000000"/>
                <w:sz w:val="22"/>
                <w:szCs w:val="22"/>
              </w:rPr>
              <w:t>9410</w:t>
            </w:r>
          </w:p>
        </w:tc>
        <w:tc>
          <w:tcPr>
            <w:tcW w:w="850" w:type="dxa"/>
            <w:tcBorders>
              <w:top w:val="single" w:sz="4" w:space="0" w:color="auto"/>
              <w:left w:val="nil"/>
              <w:bottom w:val="single" w:sz="4" w:space="0" w:color="auto"/>
              <w:right w:val="single" w:sz="4" w:space="0" w:color="auto"/>
            </w:tcBorders>
            <w:shd w:val="clear" w:color="auto" w:fill="auto"/>
            <w:vAlign w:val="center"/>
          </w:tcPr>
          <w:p w14:paraId="044140E4" w14:textId="40A60A0A" w:rsidR="000E7771" w:rsidRPr="00F631FB" w:rsidRDefault="000E7771" w:rsidP="004F0BE4">
            <w:pPr>
              <w:spacing w:line="240" w:lineRule="auto"/>
              <w:jc w:val="center"/>
              <w:rPr>
                <w:rFonts w:ascii="Arial" w:hAnsi="Arial" w:cs="Arial"/>
                <w:color w:val="000000"/>
                <w:sz w:val="22"/>
                <w:szCs w:val="22"/>
              </w:rPr>
            </w:pPr>
            <w:r w:rsidRPr="00F631FB">
              <w:rPr>
                <w:rFonts w:ascii="Arial" w:hAnsi="Arial" w:cs="Arial" w:hint="eastAsia"/>
                <w:color w:val="000000"/>
                <w:sz w:val="22"/>
                <w:szCs w:val="22"/>
              </w:rPr>
              <w:t>0.</w:t>
            </w:r>
            <w:r w:rsidR="00AF0914">
              <w:rPr>
                <w:rFonts w:ascii="Arial" w:hAnsi="Arial" w:cs="Arial"/>
                <w:color w:val="000000"/>
                <w:sz w:val="22"/>
                <w:szCs w:val="22"/>
              </w:rPr>
              <w:t>3</w:t>
            </w:r>
          </w:p>
        </w:tc>
        <w:tc>
          <w:tcPr>
            <w:tcW w:w="1568" w:type="dxa"/>
            <w:vMerge/>
            <w:tcBorders>
              <w:left w:val="single" w:sz="4" w:space="0" w:color="auto"/>
              <w:bottom w:val="single" w:sz="4" w:space="0" w:color="000000"/>
              <w:right w:val="single" w:sz="4" w:space="0" w:color="auto"/>
            </w:tcBorders>
            <w:shd w:val="clear" w:color="auto" w:fill="auto"/>
            <w:vAlign w:val="center"/>
          </w:tcPr>
          <w:p w14:paraId="566310F7"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bottom w:val="single" w:sz="4" w:space="0" w:color="auto"/>
              <w:right w:val="single" w:sz="4" w:space="0" w:color="auto"/>
            </w:tcBorders>
          </w:tcPr>
          <w:p w14:paraId="318EBF07" w14:textId="77777777" w:rsidR="000E7771" w:rsidRPr="00F631FB" w:rsidRDefault="000E7771" w:rsidP="004F0BE4">
            <w:pPr>
              <w:widowControl/>
              <w:adjustRightInd/>
              <w:spacing w:line="240" w:lineRule="auto"/>
              <w:textAlignment w:val="auto"/>
              <w:rPr>
                <w:rFonts w:ascii="Arial" w:eastAsia="Times New Roman" w:hAnsi="Arial" w:cs="Arial"/>
                <w:sz w:val="20"/>
              </w:rPr>
            </w:pPr>
          </w:p>
        </w:tc>
      </w:tr>
      <w:tr w:rsidR="000E7771" w:rsidRPr="00F631FB" w14:paraId="3C3A9377" w14:textId="77777777" w:rsidTr="00584C10">
        <w:trPr>
          <w:trHeight w:val="405"/>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4D03FF08"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地下</w:t>
            </w:r>
            <w:r>
              <w:rPr>
                <w:rFonts w:ascii="仿宋" w:eastAsia="仿宋" w:hAnsi="仿宋" w:cs="Arial" w:hint="eastAsia"/>
                <w:color w:val="000000"/>
                <w:sz w:val="22"/>
                <w:szCs w:val="22"/>
              </w:rPr>
              <w:t>车库</w:t>
            </w:r>
          </w:p>
          <w:p w14:paraId="2D5BAEB3"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3149C5DF"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7638C25E" w14:textId="4FB87346" w:rsidR="000E7771" w:rsidRPr="00F631FB" w:rsidRDefault="00B1377B"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10739</w:t>
            </w:r>
          </w:p>
        </w:tc>
        <w:tc>
          <w:tcPr>
            <w:tcW w:w="850" w:type="dxa"/>
            <w:tcBorders>
              <w:top w:val="nil"/>
              <w:left w:val="nil"/>
              <w:bottom w:val="single" w:sz="4" w:space="0" w:color="auto"/>
              <w:right w:val="single" w:sz="4" w:space="0" w:color="auto"/>
            </w:tcBorders>
            <w:shd w:val="clear" w:color="auto" w:fill="auto"/>
            <w:vAlign w:val="center"/>
            <w:hideMark/>
          </w:tcPr>
          <w:p w14:paraId="7A857F7D" w14:textId="02369230" w:rsidR="000E7771" w:rsidRPr="00F631FB" w:rsidRDefault="000B7D55"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0.7</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6E78DB9D" w14:textId="0E504CED" w:rsidR="000E7771" w:rsidRPr="00F631FB" w:rsidRDefault="00443EF8"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9922</w:t>
            </w:r>
          </w:p>
        </w:tc>
        <w:tc>
          <w:tcPr>
            <w:tcW w:w="1780" w:type="dxa"/>
            <w:vMerge w:val="restart"/>
            <w:tcBorders>
              <w:top w:val="single" w:sz="4" w:space="0" w:color="auto"/>
              <w:right w:val="single" w:sz="4" w:space="0" w:color="auto"/>
            </w:tcBorders>
            <w:vAlign w:val="center"/>
          </w:tcPr>
          <w:p w14:paraId="2D8E03F5" w14:textId="2C55AD6F" w:rsidR="000E7771" w:rsidRPr="00F631FB" w:rsidRDefault="00443EF8"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2481</w:t>
            </w:r>
          </w:p>
        </w:tc>
      </w:tr>
      <w:tr w:rsidR="000E7771" w:rsidRPr="00F631FB" w14:paraId="27E3F60C" w14:textId="77777777" w:rsidTr="00584C10">
        <w:trPr>
          <w:trHeight w:val="42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2E37FE52"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35244B35"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4C660BAA" w14:textId="1CABC35E" w:rsidR="000E7771" w:rsidRPr="00F631FB" w:rsidRDefault="00443EF8"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8016</w:t>
            </w:r>
          </w:p>
        </w:tc>
        <w:tc>
          <w:tcPr>
            <w:tcW w:w="850" w:type="dxa"/>
            <w:tcBorders>
              <w:top w:val="nil"/>
              <w:left w:val="nil"/>
              <w:bottom w:val="single" w:sz="4" w:space="0" w:color="auto"/>
              <w:right w:val="single" w:sz="4" w:space="0" w:color="auto"/>
            </w:tcBorders>
            <w:shd w:val="clear" w:color="auto" w:fill="auto"/>
            <w:vAlign w:val="center"/>
            <w:hideMark/>
          </w:tcPr>
          <w:p w14:paraId="01DA69AE" w14:textId="35295B27" w:rsidR="000E7771" w:rsidRPr="00F631FB" w:rsidRDefault="000B7D55"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3314E16C"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bottom w:val="single" w:sz="4" w:space="0" w:color="auto"/>
              <w:right w:val="single" w:sz="4" w:space="0" w:color="auto"/>
            </w:tcBorders>
            <w:vAlign w:val="center"/>
          </w:tcPr>
          <w:p w14:paraId="4318C254"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p>
        </w:tc>
      </w:tr>
    </w:tbl>
    <w:p w14:paraId="6F62E28E" w14:textId="77777777" w:rsidR="000E7771" w:rsidRPr="00F631FB" w:rsidRDefault="000E7771" w:rsidP="000E7771">
      <w:pPr>
        <w:spacing w:beforeLines="50" w:before="120" w:line="360" w:lineRule="auto"/>
        <w:ind w:firstLineChars="1300" w:firstLine="3640"/>
        <w:jc w:val="both"/>
        <w:rPr>
          <w:rFonts w:ascii="Arial" w:eastAsia="仿宋_GB2312" w:hAnsi="Arial" w:cs="Arial"/>
          <w:sz w:val="28"/>
        </w:rPr>
      </w:pPr>
    </w:p>
    <w:p w14:paraId="015F2ACB" w14:textId="77777777" w:rsidR="00584C10" w:rsidRDefault="00584C10" w:rsidP="000E7771">
      <w:pPr>
        <w:pStyle w:val="11"/>
        <w:rPr>
          <w:rFonts w:ascii="Arial" w:hAnsi="Arial" w:cs="Arial"/>
        </w:rPr>
      </w:pPr>
      <w:bookmarkStart w:id="308" w:name="_Toc515457832"/>
      <w:bookmarkStart w:id="309" w:name="_Toc515458410"/>
      <w:bookmarkStart w:id="310" w:name="_Toc524335121"/>
      <w:r>
        <w:rPr>
          <w:rFonts w:ascii="Arial" w:hAnsi="Arial" w:cs="Arial"/>
        </w:rPr>
        <w:br w:type="page"/>
      </w:r>
    </w:p>
    <w:p w14:paraId="3F9A4444" w14:textId="3178C660" w:rsidR="000E7771" w:rsidRPr="00F631FB" w:rsidRDefault="000E7771" w:rsidP="000E7771">
      <w:pPr>
        <w:pStyle w:val="11"/>
        <w:rPr>
          <w:rFonts w:ascii="Arial" w:hAnsi="Arial" w:cs="Arial"/>
        </w:rPr>
      </w:pPr>
      <w:r w:rsidRPr="00F631FB">
        <w:rPr>
          <w:rFonts w:ascii="Arial" w:hAnsi="Arial" w:cs="Arial"/>
        </w:rPr>
        <w:lastRenderedPageBreak/>
        <w:t>（四）估价结果</w:t>
      </w:r>
      <w:bookmarkEnd w:id="308"/>
      <w:bookmarkEnd w:id="309"/>
      <w:bookmarkEnd w:id="310"/>
      <w:r w:rsidRPr="00F631FB">
        <w:rPr>
          <w:rFonts w:ascii="Arial" w:hAnsi="Arial" w:cs="Arial"/>
        </w:rPr>
        <w:t>确定</w:t>
      </w:r>
    </w:p>
    <w:p w14:paraId="189BDE01" w14:textId="77777777" w:rsidR="0077205E" w:rsidRDefault="0077205E" w:rsidP="0077205E">
      <w:pPr>
        <w:spacing w:line="360" w:lineRule="auto"/>
        <w:ind w:firstLineChars="200" w:firstLine="560"/>
        <w:jc w:val="both"/>
        <w:rPr>
          <w:rFonts w:ascii="Arial" w:eastAsia="仿宋_GB2312" w:hAnsi="Arial" w:cs="Arial"/>
          <w:sz w:val="28"/>
        </w:rPr>
      </w:pPr>
      <w:r w:rsidRPr="00F631FB">
        <w:rPr>
          <w:rFonts w:ascii="Arial" w:eastAsia="仿宋_GB2312" w:hAnsi="Arial" w:cs="Arial"/>
          <w:kern w:val="2"/>
          <w:sz w:val="28"/>
        </w:rPr>
        <w:t>评估专业人员根据估价的目的，按照估价的程序，采用科学的估价方法（剩余法、基准地价系数修正法和</w:t>
      </w:r>
      <w:r w:rsidRPr="00F631FB">
        <w:rPr>
          <w:rFonts w:ascii="Arial" w:eastAsia="仿宋_GB2312" w:hAnsi="Arial" w:cs="Arial"/>
          <w:sz w:val="28"/>
        </w:rPr>
        <w:t>市场比较法</w:t>
      </w:r>
      <w:r w:rsidRPr="00F631FB">
        <w:rPr>
          <w:rFonts w:ascii="Arial" w:eastAsia="仿宋_GB2312" w:hAnsi="Arial" w:cs="Arial"/>
          <w:kern w:val="2"/>
          <w:sz w:val="28"/>
        </w:rPr>
        <w:t>），在认真分析现有资料的基础上，通过仔细测算和认真分析各种影响</w:t>
      </w:r>
      <w:r w:rsidRPr="00F631FB">
        <w:rPr>
          <w:rFonts w:ascii="Arial" w:eastAsia="仿宋_GB2312" w:hAnsi="Arial" w:cs="Arial"/>
          <w:sz w:val="28"/>
        </w:rPr>
        <w:t>土地</w:t>
      </w:r>
      <w:r w:rsidRPr="00F631FB">
        <w:rPr>
          <w:rFonts w:ascii="Arial" w:eastAsia="仿宋_GB2312" w:hAnsi="Arial" w:cs="Arial"/>
          <w:kern w:val="2"/>
          <w:sz w:val="28"/>
        </w:rPr>
        <w:t>价格的因素，确定</w:t>
      </w:r>
      <w:r w:rsidRPr="00F631FB">
        <w:rPr>
          <w:rFonts w:ascii="Arial" w:eastAsia="仿宋_GB2312" w:hAnsi="Arial" w:cs="Arial"/>
          <w:sz w:val="28"/>
        </w:rPr>
        <w:t>估价对象于估价期日的出让国有建设用地使用权评估价格为（币种：人民币）：</w:t>
      </w:r>
    </w:p>
    <w:p w14:paraId="2EA07A5F" w14:textId="77777777" w:rsidR="0077205E" w:rsidRDefault="0077205E" w:rsidP="0077205E">
      <w:pPr>
        <w:snapToGrid w:val="0"/>
        <w:ind w:firstLine="556"/>
        <w:rPr>
          <w:rFonts w:ascii="Arial" w:eastAsia="仿宋_GB2312" w:hAnsi="Arial" w:cs="Arial"/>
          <w:b/>
          <w:sz w:val="28"/>
          <w:szCs w:val="28"/>
        </w:rPr>
      </w:pPr>
      <w:r w:rsidRPr="00AF4CFE">
        <w:rPr>
          <w:rFonts w:ascii="Arial" w:eastAsia="仿宋_GB2312" w:hAnsi="Arial" w:cs="Arial"/>
          <w:b/>
          <w:sz w:val="28"/>
          <w:szCs w:val="28"/>
        </w:rPr>
        <w:sym w:font="Wingdings 2" w:char="F0C3"/>
      </w:r>
      <w:r w:rsidRPr="00AF4CFE">
        <w:rPr>
          <w:rFonts w:ascii="Arial" w:eastAsia="仿宋_GB2312" w:hAnsi="Arial" w:cs="Arial"/>
          <w:b/>
          <w:sz w:val="28"/>
          <w:szCs w:val="28"/>
        </w:rPr>
        <w:t xml:space="preserve"> </w:t>
      </w:r>
      <w:r w:rsidRPr="00AF4CFE">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1123"/>
        <w:gridCol w:w="1844"/>
        <w:gridCol w:w="1844"/>
        <w:gridCol w:w="2124"/>
        <w:gridCol w:w="2349"/>
      </w:tblGrid>
      <w:tr w:rsidR="0077205E" w:rsidRPr="006C526D" w14:paraId="46806A27" w14:textId="77777777" w:rsidTr="00E906EE">
        <w:trPr>
          <w:trHeight w:val="720"/>
          <w:jc w:val="center"/>
        </w:trPr>
        <w:tc>
          <w:tcPr>
            <w:tcW w:w="605"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5D835637"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部位</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F75AB"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1D400"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出让建筑面积</w:t>
            </w:r>
          </w:p>
          <w:p w14:paraId="6F4EC449" w14:textId="77777777" w:rsidR="0077205E" w:rsidRPr="006C526D" w:rsidRDefault="0077205E" w:rsidP="00E906EE">
            <w:pPr>
              <w:spacing w:line="240" w:lineRule="auto"/>
              <w:jc w:val="center"/>
              <w:rPr>
                <w:rFonts w:ascii="Arial" w:eastAsia="仿宋_GB2312" w:hAnsi="Arial" w:cs="Arial"/>
                <w:b/>
                <w:bCs/>
                <w:sz w:val="22"/>
                <w:szCs w:val="16"/>
              </w:rPr>
            </w:pPr>
            <w:r w:rsidRPr="006C526D">
              <w:rPr>
                <w:rFonts w:ascii="Arial" w:eastAsia="仿宋_GB2312" w:hAnsi="Arial" w:cs="Arial" w:hint="eastAsia"/>
                <w:b/>
                <w:bCs/>
                <w:sz w:val="22"/>
                <w:szCs w:val="16"/>
              </w:rPr>
              <w:t>（</w:t>
            </w:r>
            <w:r w:rsidRPr="006C526D">
              <w:rPr>
                <w:rFonts w:ascii="Segoe UI Emoji" w:eastAsia="Segoe UI Emoji" w:hAnsi="Segoe UI Emoji" w:cs="Segoe UI Emoji" w:hint="eastAsia"/>
                <w:b/>
                <w:bCs/>
                <w:sz w:val="22"/>
                <w:szCs w:val="16"/>
              </w:rPr>
              <w:t>㎡</w:t>
            </w:r>
            <w:r w:rsidRPr="006C526D">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D1EE1"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楼面熟地单价</w:t>
            </w:r>
          </w:p>
          <w:p w14:paraId="4726690B" w14:textId="77777777" w:rsidR="0077205E" w:rsidRPr="006C526D" w:rsidRDefault="0077205E" w:rsidP="00E906EE">
            <w:pPr>
              <w:spacing w:line="240" w:lineRule="auto"/>
              <w:jc w:val="center"/>
              <w:rPr>
                <w:rFonts w:ascii="Arial" w:eastAsia="仿宋_GB2312" w:hAnsi="Arial" w:cs="Arial"/>
                <w:b/>
                <w:bCs/>
                <w:sz w:val="22"/>
                <w:szCs w:val="16"/>
              </w:rPr>
            </w:pPr>
            <w:r w:rsidRPr="006C526D">
              <w:rPr>
                <w:rFonts w:ascii="Arial" w:eastAsia="仿宋_GB2312" w:hAnsi="Arial" w:cs="Arial" w:hint="eastAsia"/>
                <w:b/>
                <w:bCs/>
                <w:sz w:val="22"/>
                <w:szCs w:val="16"/>
              </w:rPr>
              <w:t>（元</w:t>
            </w:r>
            <w:r w:rsidRPr="006C526D">
              <w:rPr>
                <w:rFonts w:ascii="Arial" w:eastAsia="仿宋_GB2312" w:hAnsi="Arial" w:cs="Arial" w:hint="eastAsia"/>
                <w:b/>
                <w:bCs/>
                <w:sz w:val="22"/>
                <w:szCs w:val="16"/>
              </w:rPr>
              <w:t>/</w:t>
            </w:r>
            <w:r w:rsidRPr="006C526D">
              <w:rPr>
                <w:rFonts w:ascii="Segoe UI Emoji" w:eastAsia="Segoe UI Emoji" w:hAnsi="Segoe UI Emoji" w:cs="Segoe UI Emoji" w:hint="eastAsia"/>
                <w:b/>
                <w:bCs/>
                <w:sz w:val="22"/>
                <w:szCs w:val="16"/>
              </w:rPr>
              <w:t>㎡</w:t>
            </w:r>
            <w:r w:rsidRPr="006C526D">
              <w:rPr>
                <w:rFonts w:ascii="Arial" w:eastAsia="仿宋_GB2312" w:hAnsi="Arial" w:cs="Arial"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89387"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熟地总价</w:t>
            </w:r>
          </w:p>
          <w:p w14:paraId="2360754A"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w:t>
            </w:r>
            <w:r w:rsidRPr="006C526D">
              <w:rPr>
                <w:rFonts w:ascii="Arial" w:eastAsia="仿宋_GB2312" w:hAnsi="Arial" w:cs="Arial" w:hint="eastAsia"/>
                <w:b/>
                <w:bCs/>
                <w:sz w:val="22"/>
                <w:szCs w:val="16"/>
              </w:rPr>
              <w:t>万元）</w:t>
            </w:r>
          </w:p>
        </w:tc>
      </w:tr>
      <w:tr w:rsidR="0077205E" w:rsidRPr="006C526D" w14:paraId="4AF80D9A" w14:textId="77777777" w:rsidTr="00E906EE">
        <w:trPr>
          <w:trHeight w:val="420"/>
          <w:jc w:val="center"/>
        </w:trPr>
        <w:tc>
          <w:tcPr>
            <w:tcW w:w="605" w:type="pct"/>
            <w:vMerge w:val="restart"/>
            <w:tcBorders>
              <w:top w:val="nil"/>
              <w:left w:val="single" w:sz="8" w:space="0" w:color="auto"/>
              <w:bottom w:val="single" w:sz="8" w:space="0" w:color="auto"/>
              <w:right w:val="single" w:sz="8" w:space="0" w:color="auto"/>
            </w:tcBorders>
            <w:shd w:val="clear" w:color="auto" w:fill="auto"/>
            <w:vAlign w:val="center"/>
            <w:hideMark/>
          </w:tcPr>
          <w:p w14:paraId="477544F1"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地上</w:t>
            </w:r>
          </w:p>
        </w:tc>
        <w:tc>
          <w:tcPr>
            <w:tcW w:w="993" w:type="pct"/>
            <w:tcBorders>
              <w:top w:val="single" w:sz="4" w:space="0" w:color="auto"/>
              <w:left w:val="nil"/>
              <w:bottom w:val="single" w:sz="8" w:space="0" w:color="auto"/>
              <w:right w:val="single" w:sz="8" w:space="0" w:color="auto"/>
            </w:tcBorders>
            <w:shd w:val="clear" w:color="auto" w:fill="auto"/>
            <w:vAlign w:val="center"/>
            <w:hideMark/>
          </w:tcPr>
          <w:p w14:paraId="78E2A52B"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住宅</w:t>
            </w:r>
          </w:p>
        </w:tc>
        <w:tc>
          <w:tcPr>
            <w:tcW w:w="993" w:type="pct"/>
            <w:tcBorders>
              <w:top w:val="single" w:sz="4" w:space="0" w:color="auto"/>
              <w:left w:val="nil"/>
              <w:bottom w:val="single" w:sz="8" w:space="0" w:color="auto"/>
              <w:right w:val="single" w:sz="8" w:space="0" w:color="auto"/>
            </w:tcBorders>
            <w:shd w:val="clear" w:color="auto" w:fill="auto"/>
            <w:vAlign w:val="center"/>
            <w:hideMark/>
          </w:tcPr>
          <w:p w14:paraId="29E757BC" w14:textId="77777777" w:rsidR="0077205E" w:rsidRPr="006C526D" w:rsidRDefault="0077205E"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28075</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2B1D9D8A" w14:textId="7BEF7EC3" w:rsidR="0077205E"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79598</w:t>
            </w:r>
            <w:r w:rsidR="0077205E" w:rsidRPr="003C48EF">
              <w:rPr>
                <w:rFonts w:ascii="Arial" w:eastAsia="仿宋_GB2312" w:hAnsi="Arial" w:cs="Arial"/>
                <w:sz w:val="22"/>
                <w:szCs w:val="16"/>
              </w:rPr>
              <w:t xml:space="preserve"> </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2A319399" w14:textId="19DA74DF" w:rsidR="0077205E"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223471.3850</w:t>
            </w:r>
          </w:p>
        </w:tc>
      </w:tr>
      <w:tr w:rsidR="0077205E" w:rsidRPr="006C526D" w14:paraId="18EF6113"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292EAF8D"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7F118F8F"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商业</w:t>
            </w:r>
          </w:p>
        </w:tc>
        <w:tc>
          <w:tcPr>
            <w:tcW w:w="993" w:type="pct"/>
            <w:tcBorders>
              <w:top w:val="nil"/>
              <w:left w:val="nil"/>
              <w:bottom w:val="single" w:sz="8" w:space="0" w:color="auto"/>
              <w:right w:val="single" w:sz="8" w:space="0" w:color="auto"/>
            </w:tcBorders>
            <w:shd w:val="clear" w:color="auto" w:fill="auto"/>
            <w:vAlign w:val="center"/>
            <w:hideMark/>
          </w:tcPr>
          <w:p w14:paraId="5FBD4AE5" w14:textId="77777777" w:rsidR="0077205E" w:rsidRPr="006C526D" w:rsidRDefault="0077205E"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3318</w:t>
            </w:r>
          </w:p>
        </w:tc>
        <w:tc>
          <w:tcPr>
            <w:tcW w:w="1144" w:type="pct"/>
            <w:tcBorders>
              <w:top w:val="nil"/>
              <w:left w:val="nil"/>
              <w:bottom w:val="single" w:sz="8" w:space="0" w:color="auto"/>
              <w:right w:val="single" w:sz="8" w:space="0" w:color="auto"/>
            </w:tcBorders>
            <w:shd w:val="clear" w:color="auto" w:fill="auto"/>
            <w:vAlign w:val="center"/>
            <w:hideMark/>
          </w:tcPr>
          <w:p w14:paraId="7BEF2D65" w14:textId="05FFADDE" w:rsidR="0077205E"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30853</w:t>
            </w:r>
            <w:r w:rsidR="0077205E"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21AD85B6" w14:textId="79CA24BD" w:rsidR="0077205E"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10237.0254</w:t>
            </w:r>
          </w:p>
        </w:tc>
      </w:tr>
      <w:tr w:rsidR="0077205E" w:rsidRPr="006C526D" w14:paraId="2515FF6E"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326BD418"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6DB46D6A"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办公</w:t>
            </w:r>
          </w:p>
        </w:tc>
        <w:tc>
          <w:tcPr>
            <w:tcW w:w="993" w:type="pct"/>
            <w:tcBorders>
              <w:top w:val="nil"/>
              <w:left w:val="nil"/>
              <w:bottom w:val="single" w:sz="8" w:space="0" w:color="auto"/>
              <w:right w:val="single" w:sz="8" w:space="0" w:color="auto"/>
            </w:tcBorders>
            <w:shd w:val="clear" w:color="auto" w:fill="auto"/>
            <w:vAlign w:val="center"/>
            <w:hideMark/>
          </w:tcPr>
          <w:p w14:paraId="3DD66D66" w14:textId="77777777" w:rsidR="0077205E" w:rsidRPr="006C526D" w:rsidRDefault="0077205E"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118</w:t>
            </w:r>
          </w:p>
        </w:tc>
        <w:tc>
          <w:tcPr>
            <w:tcW w:w="1144" w:type="pct"/>
            <w:tcBorders>
              <w:top w:val="nil"/>
              <w:left w:val="nil"/>
              <w:bottom w:val="single" w:sz="8" w:space="0" w:color="auto"/>
              <w:right w:val="single" w:sz="8" w:space="0" w:color="auto"/>
            </w:tcBorders>
            <w:shd w:val="clear" w:color="auto" w:fill="auto"/>
            <w:vAlign w:val="center"/>
            <w:hideMark/>
          </w:tcPr>
          <w:p w14:paraId="662FBF7D" w14:textId="5F5E9CE4" w:rsidR="0077205E"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30708</w:t>
            </w:r>
            <w:r w:rsidR="0077205E"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50D20BA8" w14:textId="35B8D51E" w:rsidR="0077205E"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362.3544</w:t>
            </w:r>
          </w:p>
        </w:tc>
      </w:tr>
      <w:tr w:rsidR="0077205E" w:rsidRPr="006C526D" w14:paraId="17A41D9D"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57F4D8CE"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672E395D"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小计</w:t>
            </w:r>
          </w:p>
        </w:tc>
        <w:tc>
          <w:tcPr>
            <w:tcW w:w="993" w:type="pct"/>
            <w:tcBorders>
              <w:top w:val="nil"/>
              <w:left w:val="nil"/>
              <w:bottom w:val="single" w:sz="8" w:space="0" w:color="auto"/>
              <w:right w:val="single" w:sz="8" w:space="0" w:color="auto"/>
            </w:tcBorders>
            <w:shd w:val="clear" w:color="auto" w:fill="auto"/>
            <w:vAlign w:val="center"/>
            <w:hideMark/>
          </w:tcPr>
          <w:p w14:paraId="735B9F84" w14:textId="77777777" w:rsidR="0077205E" w:rsidRPr="003C48EF" w:rsidRDefault="0077205E"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31511</w:t>
            </w:r>
          </w:p>
        </w:tc>
        <w:tc>
          <w:tcPr>
            <w:tcW w:w="1144" w:type="pct"/>
            <w:tcBorders>
              <w:top w:val="nil"/>
              <w:left w:val="nil"/>
              <w:bottom w:val="single" w:sz="8" w:space="0" w:color="auto"/>
              <w:right w:val="single" w:sz="8" w:space="0" w:color="auto"/>
            </w:tcBorders>
            <w:shd w:val="clear" w:color="auto" w:fill="auto"/>
            <w:vAlign w:val="center"/>
            <w:hideMark/>
          </w:tcPr>
          <w:p w14:paraId="1D037906" w14:textId="77777777" w:rsidR="0077205E" w:rsidRPr="003C48EF" w:rsidRDefault="0077205E"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2946AE94" w14:textId="5AD8FFAB" w:rsidR="0077205E" w:rsidRPr="003C48EF" w:rsidRDefault="000B7D55"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234070.7648</w:t>
            </w:r>
          </w:p>
        </w:tc>
      </w:tr>
      <w:tr w:rsidR="0077205E" w:rsidRPr="006C526D" w14:paraId="26D57A82" w14:textId="77777777" w:rsidTr="00E906EE">
        <w:trPr>
          <w:trHeight w:val="420"/>
          <w:jc w:val="center"/>
        </w:trPr>
        <w:tc>
          <w:tcPr>
            <w:tcW w:w="605" w:type="pct"/>
            <w:vMerge w:val="restart"/>
            <w:tcBorders>
              <w:top w:val="nil"/>
              <w:left w:val="single" w:sz="8" w:space="0" w:color="auto"/>
              <w:bottom w:val="single" w:sz="8" w:space="0" w:color="auto"/>
              <w:right w:val="single" w:sz="8" w:space="0" w:color="auto"/>
            </w:tcBorders>
            <w:shd w:val="clear" w:color="auto" w:fill="auto"/>
            <w:vAlign w:val="center"/>
            <w:hideMark/>
          </w:tcPr>
          <w:p w14:paraId="0E10CC35"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w:t>
            </w:r>
          </w:p>
        </w:tc>
        <w:tc>
          <w:tcPr>
            <w:tcW w:w="993" w:type="pct"/>
            <w:tcBorders>
              <w:top w:val="nil"/>
              <w:left w:val="nil"/>
              <w:bottom w:val="single" w:sz="8" w:space="0" w:color="auto"/>
              <w:right w:val="single" w:sz="8" w:space="0" w:color="auto"/>
            </w:tcBorders>
            <w:shd w:val="clear" w:color="auto" w:fill="auto"/>
            <w:vAlign w:val="center"/>
            <w:hideMark/>
          </w:tcPr>
          <w:p w14:paraId="3576BB43"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地下办公</w:t>
            </w:r>
          </w:p>
        </w:tc>
        <w:tc>
          <w:tcPr>
            <w:tcW w:w="993" w:type="pct"/>
            <w:tcBorders>
              <w:top w:val="nil"/>
              <w:left w:val="nil"/>
              <w:bottom w:val="single" w:sz="8" w:space="0" w:color="auto"/>
              <w:right w:val="single" w:sz="8" w:space="0" w:color="auto"/>
            </w:tcBorders>
            <w:shd w:val="clear" w:color="auto" w:fill="auto"/>
            <w:vAlign w:val="center"/>
            <w:hideMark/>
          </w:tcPr>
          <w:p w14:paraId="26FAC10C" w14:textId="77777777" w:rsidR="0077205E" w:rsidRPr="006C526D" w:rsidRDefault="0077205E"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32</w:t>
            </w:r>
          </w:p>
        </w:tc>
        <w:tc>
          <w:tcPr>
            <w:tcW w:w="1144" w:type="pct"/>
            <w:tcBorders>
              <w:top w:val="nil"/>
              <w:left w:val="nil"/>
              <w:bottom w:val="single" w:sz="8" w:space="0" w:color="auto"/>
              <w:right w:val="single" w:sz="8" w:space="0" w:color="auto"/>
            </w:tcBorders>
            <w:shd w:val="clear" w:color="auto" w:fill="auto"/>
            <w:vAlign w:val="center"/>
            <w:hideMark/>
          </w:tcPr>
          <w:p w14:paraId="7CCCBCAD" w14:textId="42743D73" w:rsidR="0077205E"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9538</w:t>
            </w:r>
            <w:r w:rsidR="0077205E"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556F3873" w14:textId="178660AF" w:rsidR="0077205E" w:rsidRPr="006C526D"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30.5216</w:t>
            </w:r>
          </w:p>
        </w:tc>
      </w:tr>
      <w:tr w:rsidR="0077205E" w:rsidRPr="006C526D" w14:paraId="6CC23764"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66C981D3"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5B86691F"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地下车库</w:t>
            </w:r>
          </w:p>
        </w:tc>
        <w:tc>
          <w:tcPr>
            <w:tcW w:w="993" w:type="pct"/>
            <w:tcBorders>
              <w:top w:val="nil"/>
              <w:left w:val="nil"/>
              <w:bottom w:val="single" w:sz="8" w:space="0" w:color="auto"/>
              <w:right w:val="single" w:sz="8" w:space="0" w:color="auto"/>
            </w:tcBorders>
            <w:shd w:val="clear" w:color="auto" w:fill="auto"/>
            <w:vAlign w:val="center"/>
            <w:hideMark/>
          </w:tcPr>
          <w:p w14:paraId="4E7BB290" w14:textId="77777777" w:rsidR="0077205E" w:rsidRPr="006C526D" w:rsidRDefault="0077205E"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10345</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7A7E1227" w14:textId="01AA4E66" w:rsidR="0077205E" w:rsidRPr="006C526D"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9922</w:t>
            </w:r>
            <w:r w:rsidR="0077205E"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518B6C2F" w14:textId="2549B1E7" w:rsidR="0077205E" w:rsidRPr="006C526D"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10264.3288</w:t>
            </w:r>
          </w:p>
        </w:tc>
      </w:tr>
      <w:tr w:rsidR="0077205E" w:rsidRPr="006C526D" w14:paraId="63F78C60"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71D3DBE1"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67A73DF2"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小计</w:t>
            </w:r>
          </w:p>
        </w:tc>
        <w:tc>
          <w:tcPr>
            <w:tcW w:w="993" w:type="pct"/>
            <w:tcBorders>
              <w:top w:val="nil"/>
              <w:left w:val="nil"/>
              <w:bottom w:val="single" w:sz="8" w:space="0" w:color="auto"/>
              <w:right w:val="single" w:sz="8" w:space="0" w:color="auto"/>
            </w:tcBorders>
            <w:shd w:val="clear" w:color="auto" w:fill="auto"/>
            <w:vAlign w:val="center"/>
            <w:hideMark/>
          </w:tcPr>
          <w:p w14:paraId="16006CD2" w14:textId="77777777" w:rsidR="0077205E" w:rsidRPr="003C48EF" w:rsidRDefault="0077205E"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p>
        </w:tc>
        <w:tc>
          <w:tcPr>
            <w:tcW w:w="1144" w:type="pct"/>
            <w:tcBorders>
              <w:top w:val="nil"/>
              <w:left w:val="nil"/>
              <w:bottom w:val="single" w:sz="8" w:space="0" w:color="auto"/>
              <w:right w:val="single" w:sz="8" w:space="0" w:color="auto"/>
            </w:tcBorders>
            <w:shd w:val="clear" w:color="auto" w:fill="auto"/>
            <w:vAlign w:val="center"/>
            <w:hideMark/>
          </w:tcPr>
          <w:p w14:paraId="295B6A17" w14:textId="77777777" w:rsidR="0077205E" w:rsidRPr="003C48EF" w:rsidRDefault="0077205E"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3301B7DE" w14:textId="08651194" w:rsidR="0077205E" w:rsidRPr="003C48EF" w:rsidRDefault="00443EF8"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10294.8504</w:t>
            </w:r>
          </w:p>
        </w:tc>
      </w:tr>
      <w:tr w:rsidR="0077205E" w:rsidRPr="006C526D" w14:paraId="505B1D19" w14:textId="77777777" w:rsidTr="00E906EE">
        <w:trPr>
          <w:trHeight w:val="420"/>
          <w:jc w:val="center"/>
        </w:trPr>
        <w:tc>
          <w:tcPr>
            <w:tcW w:w="1598"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AD118B7"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合计</w:t>
            </w:r>
          </w:p>
        </w:tc>
        <w:tc>
          <w:tcPr>
            <w:tcW w:w="993" w:type="pct"/>
            <w:tcBorders>
              <w:top w:val="nil"/>
              <w:left w:val="nil"/>
              <w:bottom w:val="single" w:sz="8" w:space="0" w:color="auto"/>
              <w:right w:val="single" w:sz="8" w:space="0" w:color="auto"/>
            </w:tcBorders>
            <w:shd w:val="clear" w:color="auto" w:fill="auto"/>
            <w:vAlign w:val="center"/>
            <w:hideMark/>
          </w:tcPr>
          <w:p w14:paraId="32ADF627" w14:textId="77777777" w:rsidR="0077205E" w:rsidRPr="003C48EF" w:rsidRDefault="0077205E"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p>
        </w:tc>
        <w:tc>
          <w:tcPr>
            <w:tcW w:w="1144" w:type="pct"/>
            <w:tcBorders>
              <w:top w:val="nil"/>
              <w:left w:val="nil"/>
              <w:bottom w:val="single" w:sz="8" w:space="0" w:color="auto"/>
              <w:right w:val="single" w:sz="8" w:space="0" w:color="auto"/>
            </w:tcBorders>
            <w:shd w:val="clear" w:color="auto" w:fill="auto"/>
            <w:vAlign w:val="center"/>
            <w:hideMark/>
          </w:tcPr>
          <w:p w14:paraId="56C90F8E" w14:textId="77777777" w:rsidR="0077205E" w:rsidRPr="003C48EF" w:rsidRDefault="0077205E"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7A66AF2C" w14:textId="647D1F69" w:rsidR="0077205E" w:rsidRPr="003C48EF" w:rsidRDefault="00443EF8"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244365.6152</w:t>
            </w:r>
          </w:p>
        </w:tc>
      </w:tr>
    </w:tbl>
    <w:p w14:paraId="52783A7F" w14:textId="77777777" w:rsidR="0077205E" w:rsidRDefault="0077205E" w:rsidP="0077205E">
      <w:pPr>
        <w:snapToGrid w:val="0"/>
        <w:spacing w:beforeLines="100" w:before="240"/>
        <w:ind w:firstLine="556"/>
        <w:rPr>
          <w:rFonts w:ascii="Arial" w:eastAsia="仿宋_GB2312" w:hAnsi="Arial" w:cs="Arial"/>
          <w:b/>
          <w:sz w:val="28"/>
          <w:szCs w:val="28"/>
        </w:rPr>
      </w:pPr>
      <w:r w:rsidRPr="00AF4CFE">
        <w:rPr>
          <w:rFonts w:ascii="Arial" w:eastAsia="仿宋_GB2312" w:hAnsi="Arial" w:cs="Arial"/>
          <w:b/>
          <w:sz w:val="28"/>
          <w:szCs w:val="28"/>
        </w:rPr>
        <w:sym w:font="Wingdings 2" w:char="F0C3"/>
      </w:r>
      <w:r w:rsidRPr="00AF4CFE">
        <w:rPr>
          <w:rFonts w:ascii="Arial" w:eastAsia="仿宋_GB2312" w:hAnsi="Arial" w:cs="Arial"/>
          <w:b/>
          <w:sz w:val="28"/>
          <w:szCs w:val="28"/>
        </w:rPr>
        <w:t>政府土地出让收益</w:t>
      </w:r>
    </w:p>
    <w:tbl>
      <w:tblPr>
        <w:tblW w:w="5000" w:type="pct"/>
        <w:tblLook w:val="04A0" w:firstRow="1" w:lastRow="0" w:firstColumn="1" w:lastColumn="0" w:noHBand="0" w:noVBand="1"/>
      </w:tblPr>
      <w:tblGrid>
        <w:gridCol w:w="1123"/>
        <w:gridCol w:w="1844"/>
        <w:gridCol w:w="1844"/>
        <w:gridCol w:w="2124"/>
        <w:gridCol w:w="2349"/>
      </w:tblGrid>
      <w:tr w:rsidR="0077205E" w:rsidRPr="00666906" w14:paraId="3E49A789" w14:textId="77777777" w:rsidTr="00E906EE">
        <w:trPr>
          <w:trHeight w:val="936"/>
        </w:trPr>
        <w:tc>
          <w:tcPr>
            <w:tcW w:w="60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696901FC"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部位</w:t>
            </w:r>
          </w:p>
        </w:tc>
        <w:tc>
          <w:tcPr>
            <w:tcW w:w="993"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7C7E174E"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107B8"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出让建筑面积</w:t>
            </w:r>
          </w:p>
          <w:p w14:paraId="1BA1E567" w14:textId="77777777" w:rsidR="0077205E" w:rsidRPr="00666906" w:rsidRDefault="0077205E" w:rsidP="00E906EE">
            <w:pPr>
              <w:spacing w:line="240" w:lineRule="auto"/>
              <w:jc w:val="center"/>
              <w:rPr>
                <w:rFonts w:ascii="Arial" w:eastAsia="仿宋_GB2312" w:hAnsi="Arial" w:cs="Arial"/>
                <w:b/>
                <w:bCs/>
                <w:sz w:val="22"/>
                <w:szCs w:val="16"/>
              </w:rPr>
            </w:pPr>
            <w:r w:rsidRPr="00666906">
              <w:rPr>
                <w:rFonts w:ascii="Arial" w:eastAsia="仿宋_GB2312" w:hAnsi="Arial" w:cs="Arial" w:hint="eastAsia"/>
                <w:b/>
                <w:bCs/>
                <w:sz w:val="22"/>
                <w:szCs w:val="16"/>
              </w:rPr>
              <w:t>（</w:t>
            </w:r>
            <w:r w:rsidRPr="00666906">
              <w:rPr>
                <w:rFonts w:ascii="Segoe UI Emoji" w:eastAsia="Segoe UI Emoji" w:hAnsi="Segoe UI Emoji" w:cs="Segoe UI Emoji" w:hint="eastAsia"/>
                <w:b/>
                <w:bCs/>
                <w:sz w:val="22"/>
                <w:szCs w:val="16"/>
              </w:rPr>
              <w:t>㎡</w:t>
            </w:r>
            <w:r w:rsidRPr="00666906">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A65CE" w14:textId="77777777" w:rsidR="0077205E" w:rsidRPr="00666906" w:rsidRDefault="0077205E" w:rsidP="00E906EE">
            <w:pPr>
              <w:widowControl/>
              <w:adjustRightInd/>
              <w:spacing w:line="240" w:lineRule="auto"/>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政府土地出让收益楼面单价（元</w:t>
            </w:r>
            <w:r w:rsidRPr="00666906">
              <w:rPr>
                <w:rFonts w:ascii="Arial" w:eastAsia="仿宋_GB2312" w:hAnsi="Arial" w:cs="Arial" w:hint="eastAsia"/>
                <w:b/>
                <w:bCs/>
                <w:sz w:val="22"/>
                <w:szCs w:val="16"/>
              </w:rPr>
              <w:t>/</w:t>
            </w:r>
            <w:r w:rsidRPr="00666906">
              <w:rPr>
                <w:rFonts w:ascii="Segoe UI Emoji" w:eastAsia="Segoe UI Emoji" w:hAnsi="Segoe UI Emoji" w:cs="Segoe UI Emoji" w:hint="eastAsia"/>
                <w:b/>
                <w:bCs/>
                <w:sz w:val="22"/>
                <w:szCs w:val="16"/>
              </w:rPr>
              <w:t>㎡</w:t>
            </w:r>
            <w:r w:rsidRPr="00666906">
              <w:rPr>
                <w:rFonts w:ascii="微软雅黑" w:eastAsia="微软雅黑" w:hAnsi="微软雅黑" w:cs="微软雅黑"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04AF5" w14:textId="77777777" w:rsidR="0077205E"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w:t>
            </w:r>
          </w:p>
          <w:p w14:paraId="1E58588C"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收益总价</w:t>
            </w:r>
            <w:r w:rsidRPr="00666906">
              <w:rPr>
                <w:rFonts w:ascii="Arial" w:eastAsia="仿宋_GB2312" w:hAnsi="Arial" w:cs="Arial" w:hint="eastAsia"/>
                <w:b/>
                <w:bCs/>
                <w:sz w:val="22"/>
                <w:szCs w:val="16"/>
              </w:rPr>
              <w:t>(</w:t>
            </w:r>
            <w:r w:rsidRPr="00666906">
              <w:rPr>
                <w:rFonts w:ascii="Arial" w:eastAsia="仿宋_GB2312" w:hAnsi="Arial" w:cs="Arial" w:hint="eastAsia"/>
                <w:b/>
                <w:bCs/>
                <w:sz w:val="22"/>
                <w:szCs w:val="16"/>
              </w:rPr>
              <w:t>万元）</w:t>
            </w:r>
          </w:p>
        </w:tc>
      </w:tr>
      <w:tr w:rsidR="0077205E" w:rsidRPr="00666906" w14:paraId="3C2708FD"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2AAD00D9"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地上</w:t>
            </w:r>
          </w:p>
        </w:tc>
        <w:tc>
          <w:tcPr>
            <w:tcW w:w="993" w:type="pct"/>
            <w:tcBorders>
              <w:top w:val="nil"/>
              <w:left w:val="nil"/>
              <w:bottom w:val="single" w:sz="8" w:space="0" w:color="auto"/>
              <w:right w:val="nil"/>
            </w:tcBorders>
            <w:shd w:val="clear" w:color="auto" w:fill="auto"/>
            <w:vAlign w:val="center"/>
            <w:hideMark/>
          </w:tcPr>
          <w:p w14:paraId="4A0642A6"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住宅</w:t>
            </w:r>
          </w:p>
        </w:tc>
        <w:tc>
          <w:tcPr>
            <w:tcW w:w="99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D37AE86"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28075 </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0C2F2AD1" w14:textId="17AC6F31" w:rsidR="0077205E"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19900</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088A4934" w14:textId="16939AC3" w:rsidR="0077205E"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55869.2500</w:t>
            </w:r>
          </w:p>
        </w:tc>
      </w:tr>
      <w:tr w:rsidR="0077205E" w:rsidRPr="00666906" w14:paraId="75490802"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4090951F"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05B59D7B"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商业</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3673BA5"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3318 </w:t>
            </w:r>
          </w:p>
        </w:tc>
        <w:tc>
          <w:tcPr>
            <w:tcW w:w="1144" w:type="pct"/>
            <w:tcBorders>
              <w:top w:val="nil"/>
              <w:left w:val="nil"/>
              <w:bottom w:val="single" w:sz="8" w:space="0" w:color="auto"/>
              <w:right w:val="single" w:sz="8" w:space="0" w:color="auto"/>
            </w:tcBorders>
            <w:shd w:val="clear" w:color="auto" w:fill="auto"/>
            <w:vAlign w:val="center"/>
            <w:hideMark/>
          </w:tcPr>
          <w:p w14:paraId="4A67F91D" w14:textId="538B89DC" w:rsidR="0077205E"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7713</w:t>
            </w:r>
          </w:p>
        </w:tc>
        <w:tc>
          <w:tcPr>
            <w:tcW w:w="1265" w:type="pct"/>
            <w:tcBorders>
              <w:top w:val="nil"/>
              <w:left w:val="nil"/>
              <w:bottom w:val="single" w:sz="8" w:space="0" w:color="auto"/>
              <w:right w:val="single" w:sz="8" w:space="0" w:color="auto"/>
            </w:tcBorders>
            <w:shd w:val="clear" w:color="auto" w:fill="auto"/>
            <w:vAlign w:val="center"/>
            <w:hideMark/>
          </w:tcPr>
          <w:p w14:paraId="11CCB504" w14:textId="751D083A" w:rsidR="0077205E"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2559.1734</w:t>
            </w:r>
          </w:p>
        </w:tc>
      </w:tr>
      <w:tr w:rsidR="0077205E" w:rsidRPr="00666906" w14:paraId="6B264FA7"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0DC51F5A"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5E508574"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521C911A"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118 </w:t>
            </w:r>
          </w:p>
        </w:tc>
        <w:tc>
          <w:tcPr>
            <w:tcW w:w="1144" w:type="pct"/>
            <w:tcBorders>
              <w:top w:val="nil"/>
              <w:left w:val="nil"/>
              <w:bottom w:val="single" w:sz="8" w:space="0" w:color="auto"/>
              <w:right w:val="single" w:sz="8" w:space="0" w:color="auto"/>
            </w:tcBorders>
            <w:shd w:val="clear" w:color="auto" w:fill="auto"/>
            <w:vAlign w:val="center"/>
            <w:hideMark/>
          </w:tcPr>
          <w:p w14:paraId="2CF763BE" w14:textId="49594C5B" w:rsidR="0077205E"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7677</w:t>
            </w:r>
          </w:p>
        </w:tc>
        <w:tc>
          <w:tcPr>
            <w:tcW w:w="1265" w:type="pct"/>
            <w:tcBorders>
              <w:top w:val="nil"/>
              <w:left w:val="nil"/>
              <w:bottom w:val="single" w:sz="8" w:space="0" w:color="auto"/>
              <w:right w:val="single" w:sz="8" w:space="0" w:color="auto"/>
            </w:tcBorders>
            <w:shd w:val="clear" w:color="auto" w:fill="auto"/>
            <w:vAlign w:val="center"/>
            <w:hideMark/>
          </w:tcPr>
          <w:p w14:paraId="29BA4CF0" w14:textId="6FB61C09" w:rsidR="0077205E"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90.5886</w:t>
            </w:r>
          </w:p>
        </w:tc>
      </w:tr>
      <w:tr w:rsidR="0077205E" w:rsidRPr="00666906" w14:paraId="05D4A3E8"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37CAA9E9"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74E52D60"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170AC4FF"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b/>
                <w:bCs/>
                <w:sz w:val="22"/>
                <w:szCs w:val="16"/>
              </w:rPr>
              <w:t xml:space="preserve">31511 </w:t>
            </w:r>
          </w:p>
        </w:tc>
        <w:tc>
          <w:tcPr>
            <w:tcW w:w="1144" w:type="pct"/>
            <w:tcBorders>
              <w:top w:val="nil"/>
              <w:left w:val="nil"/>
              <w:bottom w:val="single" w:sz="8" w:space="0" w:color="auto"/>
              <w:right w:val="single" w:sz="8" w:space="0" w:color="auto"/>
            </w:tcBorders>
            <w:shd w:val="clear" w:color="auto" w:fill="auto"/>
            <w:vAlign w:val="center"/>
            <w:hideMark/>
          </w:tcPr>
          <w:p w14:paraId="13342DB3" w14:textId="77777777" w:rsidR="0077205E" w:rsidRPr="00826D24" w:rsidRDefault="0077205E" w:rsidP="00E906EE">
            <w:pPr>
              <w:widowControl/>
              <w:adjustRightInd/>
              <w:spacing w:line="240" w:lineRule="auto"/>
              <w:jc w:val="center"/>
              <w:textAlignment w:val="auto"/>
              <w:rPr>
                <w:rFonts w:ascii="Arial" w:eastAsia="仿宋_GB2312" w:hAnsi="Arial" w:cs="Arial"/>
                <w:sz w:val="22"/>
                <w:szCs w:val="16"/>
              </w:rPr>
            </w:pPr>
            <w:r w:rsidRPr="00826D24">
              <w:rPr>
                <w:rFonts w:ascii="Arial" w:eastAsia="仿宋_GB2312" w:hAnsi="Arial" w:cs="Arial"/>
                <w:sz w:val="22"/>
                <w:szCs w:val="16"/>
              </w:rPr>
              <w:t>-</w:t>
            </w:r>
            <w:r>
              <w:rPr>
                <w:rFonts w:ascii="Arial" w:eastAsia="仿宋_GB2312" w:hAnsi="Arial" w:cs="Arial"/>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53C9F54E" w14:textId="5C2F628E" w:rsidR="0077205E" w:rsidRPr="00826D24" w:rsidRDefault="000B7D55"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58519.0120</w:t>
            </w:r>
          </w:p>
        </w:tc>
      </w:tr>
      <w:tr w:rsidR="0077205E" w:rsidRPr="00666906" w14:paraId="41C9E29C"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49A0A457"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w:t>
            </w:r>
          </w:p>
        </w:tc>
        <w:tc>
          <w:tcPr>
            <w:tcW w:w="993" w:type="pct"/>
            <w:tcBorders>
              <w:top w:val="nil"/>
              <w:left w:val="nil"/>
              <w:bottom w:val="single" w:sz="8" w:space="0" w:color="auto"/>
              <w:right w:val="nil"/>
            </w:tcBorders>
            <w:shd w:val="clear" w:color="auto" w:fill="auto"/>
            <w:vAlign w:val="center"/>
            <w:hideMark/>
          </w:tcPr>
          <w:p w14:paraId="32CD8C20"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12857E65"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32 </w:t>
            </w:r>
          </w:p>
        </w:tc>
        <w:tc>
          <w:tcPr>
            <w:tcW w:w="1144" w:type="pct"/>
            <w:tcBorders>
              <w:top w:val="nil"/>
              <w:left w:val="nil"/>
              <w:bottom w:val="single" w:sz="8" w:space="0" w:color="auto"/>
              <w:right w:val="single" w:sz="8" w:space="0" w:color="auto"/>
            </w:tcBorders>
            <w:shd w:val="clear" w:color="auto" w:fill="auto"/>
            <w:vAlign w:val="center"/>
            <w:hideMark/>
          </w:tcPr>
          <w:p w14:paraId="264EA935" w14:textId="33F0313E" w:rsidR="0077205E"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2385</w:t>
            </w:r>
          </w:p>
        </w:tc>
        <w:tc>
          <w:tcPr>
            <w:tcW w:w="1265" w:type="pct"/>
            <w:tcBorders>
              <w:top w:val="nil"/>
              <w:left w:val="nil"/>
              <w:bottom w:val="single" w:sz="8" w:space="0" w:color="auto"/>
              <w:right w:val="single" w:sz="8" w:space="0" w:color="auto"/>
            </w:tcBorders>
            <w:shd w:val="clear" w:color="auto" w:fill="auto"/>
            <w:vAlign w:val="center"/>
            <w:hideMark/>
          </w:tcPr>
          <w:p w14:paraId="32BE18CB" w14:textId="7AC96CEA" w:rsidR="0077205E"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7.6320</w:t>
            </w:r>
          </w:p>
        </w:tc>
      </w:tr>
      <w:tr w:rsidR="0077205E" w:rsidRPr="00666906" w14:paraId="6BA2C47D"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790763B8"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2B897D03"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地下车库</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548D969C"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10345 </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56D7B331" w14:textId="02551EE6" w:rsidR="0077205E" w:rsidRPr="00666906"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2481</w:t>
            </w:r>
          </w:p>
        </w:tc>
        <w:tc>
          <w:tcPr>
            <w:tcW w:w="1265" w:type="pct"/>
            <w:tcBorders>
              <w:top w:val="nil"/>
              <w:left w:val="nil"/>
              <w:bottom w:val="single" w:sz="8" w:space="0" w:color="auto"/>
              <w:right w:val="single" w:sz="8" w:space="0" w:color="auto"/>
            </w:tcBorders>
            <w:shd w:val="clear" w:color="auto" w:fill="auto"/>
            <w:vAlign w:val="center"/>
            <w:hideMark/>
          </w:tcPr>
          <w:p w14:paraId="2C023472" w14:textId="65DB4257" w:rsidR="0077205E" w:rsidRPr="00666906"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2566.5995</w:t>
            </w:r>
          </w:p>
        </w:tc>
      </w:tr>
      <w:tr w:rsidR="0077205E" w:rsidRPr="00666906" w14:paraId="56CC72AF"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5E58EFC3"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14F2EB87"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6424BCC" w14:textId="77777777" w:rsidR="0077205E" w:rsidRPr="00826D24" w:rsidRDefault="0077205E"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78629BF6" w14:textId="77777777" w:rsidR="0077205E" w:rsidRPr="00826D24" w:rsidRDefault="0077205E"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7A0617D0" w14:textId="4EE63FBF" w:rsidR="0077205E" w:rsidRPr="00826D24" w:rsidRDefault="00443EF8"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2574.2315</w:t>
            </w:r>
          </w:p>
        </w:tc>
      </w:tr>
      <w:tr w:rsidR="0077205E" w:rsidRPr="00666906" w14:paraId="7C652B60" w14:textId="77777777" w:rsidTr="00E906EE">
        <w:trPr>
          <w:trHeight w:val="420"/>
        </w:trPr>
        <w:tc>
          <w:tcPr>
            <w:tcW w:w="1598" w:type="pct"/>
            <w:gridSpan w:val="2"/>
            <w:tcBorders>
              <w:top w:val="single" w:sz="8" w:space="0" w:color="auto"/>
              <w:left w:val="single" w:sz="8" w:space="0" w:color="auto"/>
              <w:bottom w:val="single" w:sz="8" w:space="0" w:color="auto"/>
              <w:right w:val="nil"/>
            </w:tcBorders>
            <w:shd w:val="clear" w:color="auto" w:fill="auto"/>
            <w:vAlign w:val="center"/>
            <w:hideMark/>
          </w:tcPr>
          <w:p w14:paraId="7C58819B"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合计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6A7115EF" w14:textId="77777777" w:rsidR="0077205E" w:rsidRPr="00826D24" w:rsidRDefault="0077205E"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0F637121" w14:textId="77777777" w:rsidR="0077205E" w:rsidRPr="00826D24" w:rsidRDefault="0077205E"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610448AE" w14:textId="55B0F908" w:rsidR="0077205E" w:rsidRPr="00826D24" w:rsidRDefault="00443EF8" w:rsidP="007F1FA0">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61093.2435</w:t>
            </w:r>
          </w:p>
        </w:tc>
      </w:tr>
    </w:tbl>
    <w:p w14:paraId="503DFEDB" w14:textId="77777777" w:rsidR="0077205E" w:rsidRDefault="0077205E" w:rsidP="0077205E">
      <w:pPr>
        <w:pStyle w:val="11"/>
        <w:ind w:firstLine="562"/>
        <w:rPr>
          <w:rFonts w:ascii="Arial" w:hAnsi="Arial" w:cs="Arial"/>
          <w:b/>
          <w:szCs w:val="28"/>
        </w:rPr>
      </w:pPr>
      <w:r>
        <w:rPr>
          <w:rFonts w:ascii="Arial" w:hAnsi="Arial" w:cs="Arial"/>
          <w:b/>
          <w:szCs w:val="28"/>
        </w:rPr>
        <w:sym w:font="Wingdings 2" w:char="F0C3"/>
      </w:r>
      <w:r>
        <w:rPr>
          <w:rFonts w:ascii="Arial" w:hAnsi="Arial" w:cs="Arial" w:hint="eastAsia"/>
          <w:b/>
          <w:szCs w:val="28"/>
        </w:rPr>
        <w:t>土地开发总成本</w:t>
      </w:r>
    </w:p>
    <w:p w14:paraId="79DE2EB8" w14:textId="77777777" w:rsidR="00B03551" w:rsidRPr="001C2131" w:rsidRDefault="00B03551" w:rsidP="00B03551">
      <w:pPr>
        <w:pStyle w:val="11"/>
        <w:jc w:val="both"/>
        <w:rPr>
          <w:rFonts w:ascii="Arial" w:hAnsi="Arial" w:cs="Arial"/>
          <w:bCs/>
          <w:szCs w:val="28"/>
        </w:rPr>
      </w:pPr>
      <w:r w:rsidRPr="001C2131">
        <w:rPr>
          <w:rFonts w:ascii="Arial" w:hAnsi="Arial" w:cs="Arial" w:hint="eastAsia"/>
          <w:bCs/>
          <w:szCs w:val="28"/>
        </w:rPr>
        <w:t>根据《北京市海淀区人民政府关于商请加快地铁</w:t>
      </w:r>
      <w:r w:rsidRPr="001C2131">
        <w:rPr>
          <w:rFonts w:ascii="Arial" w:hAnsi="Arial" w:cs="Arial" w:hint="eastAsia"/>
          <w:bCs/>
          <w:szCs w:val="28"/>
        </w:rPr>
        <w:t>16</w:t>
      </w:r>
      <w:r w:rsidRPr="001C2131">
        <w:rPr>
          <w:rFonts w:ascii="Arial" w:hAnsi="Arial" w:cs="Arial" w:hint="eastAsia"/>
          <w:bCs/>
          <w:szCs w:val="28"/>
        </w:rPr>
        <w:t>号线苏州街站一体化</w:t>
      </w:r>
      <w:r w:rsidRPr="001C2131">
        <w:rPr>
          <w:rFonts w:ascii="Arial" w:hAnsi="Arial" w:cs="Arial" w:hint="eastAsia"/>
          <w:bCs/>
          <w:szCs w:val="28"/>
        </w:rPr>
        <w:lastRenderedPageBreak/>
        <w:t>棚改项目国有建设用地使用权出让手续办理有关事宜的函》</w:t>
      </w:r>
      <w:r w:rsidRPr="001C2131">
        <w:rPr>
          <w:rFonts w:ascii="Arial" w:hAnsi="Arial" w:cs="Arial" w:hint="eastAsia"/>
          <w:bCs/>
          <w:szCs w:val="28"/>
        </w:rPr>
        <w:t>[</w:t>
      </w:r>
      <w:r w:rsidRPr="001C2131">
        <w:rPr>
          <w:rFonts w:ascii="Arial" w:hAnsi="Arial" w:cs="Arial" w:hint="eastAsia"/>
          <w:bCs/>
          <w:szCs w:val="28"/>
        </w:rPr>
        <w:t>海政函（</w:t>
      </w:r>
      <w:r w:rsidRPr="001C2131">
        <w:rPr>
          <w:rFonts w:ascii="Arial" w:hAnsi="Arial" w:cs="Arial" w:hint="eastAsia"/>
          <w:bCs/>
          <w:szCs w:val="28"/>
        </w:rPr>
        <w:t>2021</w:t>
      </w:r>
      <w:r w:rsidRPr="001C2131">
        <w:rPr>
          <w:rFonts w:ascii="Arial" w:hAnsi="Arial" w:cs="Arial" w:hint="eastAsia"/>
          <w:bCs/>
          <w:szCs w:val="28"/>
        </w:rPr>
        <w:t>）</w:t>
      </w:r>
      <w:r w:rsidRPr="001C2131">
        <w:rPr>
          <w:rFonts w:ascii="Arial" w:hAnsi="Arial" w:cs="Arial" w:hint="eastAsia"/>
          <w:bCs/>
          <w:szCs w:val="28"/>
        </w:rPr>
        <w:t>50</w:t>
      </w:r>
      <w:r w:rsidRPr="001C2131">
        <w:rPr>
          <w:rFonts w:ascii="Arial" w:hAnsi="Arial" w:cs="Arial" w:hint="eastAsia"/>
          <w:bCs/>
          <w:szCs w:val="28"/>
        </w:rPr>
        <w:t>号</w:t>
      </w:r>
      <w:r w:rsidRPr="001C2131">
        <w:rPr>
          <w:rFonts w:ascii="Arial" w:hAnsi="Arial" w:cs="Arial" w:hint="eastAsia"/>
          <w:bCs/>
          <w:szCs w:val="28"/>
        </w:rPr>
        <w:t>]</w:t>
      </w:r>
      <w:r w:rsidRPr="001C2131">
        <w:rPr>
          <w:rFonts w:ascii="Arial" w:hAnsi="Arial" w:cs="Arial" w:hint="eastAsia"/>
          <w:bCs/>
          <w:szCs w:val="28"/>
        </w:rPr>
        <w:t>及其附件。</w:t>
      </w:r>
      <w:r>
        <w:rPr>
          <w:rFonts w:ascii="Arial" w:hAnsi="Arial" w:cs="Arial" w:hint="eastAsia"/>
        </w:rPr>
        <w:t>该项目前期土地开发成本</w:t>
      </w:r>
      <w:r w:rsidRPr="00B03551">
        <w:rPr>
          <w:rFonts w:ascii="Arial" w:hAnsi="Arial" w:cs="Arial" w:hint="eastAsia"/>
        </w:rPr>
        <w:t>包括房屋拆迁补偿费等主要成本的实际发生额，以及未来计划发生成本和不可预见费（根据招标方案预估）</w:t>
      </w:r>
      <w:r>
        <w:rPr>
          <w:rFonts w:ascii="Arial" w:hAnsi="Arial" w:cs="Arial" w:hint="eastAsia"/>
        </w:rPr>
        <w:t>。</w:t>
      </w:r>
    </w:p>
    <w:p w14:paraId="5BB3508A" w14:textId="77777777" w:rsidR="00B03551" w:rsidRDefault="00B03551" w:rsidP="00B03551">
      <w:pPr>
        <w:snapToGrid w:val="0"/>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土地开发总成本：</w:t>
      </w:r>
      <w:r>
        <w:rPr>
          <w:rFonts w:ascii="Arial" w:eastAsia="仿宋_GB2312" w:hAnsi="Arial" w:cs="Arial"/>
          <w:sz w:val="28"/>
        </w:rPr>
        <w:t>158379.13</w:t>
      </w:r>
      <w:r>
        <w:rPr>
          <w:rFonts w:ascii="Arial" w:eastAsia="仿宋_GB2312" w:hAnsi="Arial" w:cs="Arial" w:hint="eastAsia"/>
          <w:sz w:val="28"/>
        </w:rPr>
        <w:t>万元</w:t>
      </w:r>
    </w:p>
    <w:p w14:paraId="09252948" w14:textId="01FF003D" w:rsidR="0077205E" w:rsidRDefault="00B03551" w:rsidP="00B03551">
      <w:pPr>
        <w:snapToGrid w:val="0"/>
        <w:spacing w:beforeLines="50" w:before="120" w:line="360" w:lineRule="auto"/>
        <w:ind w:firstLineChars="200" w:firstLine="560"/>
        <w:rPr>
          <w:rFonts w:ascii="Arial" w:eastAsia="仿宋_GB2312" w:hAnsi="Arial" w:cs="Arial"/>
          <w:sz w:val="28"/>
        </w:rPr>
      </w:pPr>
      <w:r>
        <w:rPr>
          <w:rFonts w:ascii="Arial" w:eastAsia="仿宋_GB2312" w:hAnsi="Arial" w:cs="Arial" w:hint="eastAsia"/>
          <w:sz w:val="28"/>
        </w:rPr>
        <w:t>大写金额：壹拾伍亿捌仟叁佰柒拾玖万壹仟叁佰元</w:t>
      </w:r>
      <w:r w:rsidR="0077205E">
        <w:rPr>
          <w:rFonts w:ascii="Arial" w:eastAsia="仿宋_GB2312" w:hAnsi="Arial" w:cs="Arial" w:hint="eastAsia"/>
          <w:sz w:val="28"/>
        </w:rPr>
        <w:t>整</w:t>
      </w:r>
    </w:p>
    <w:p w14:paraId="71AD6D6B" w14:textId="77777777" w:rsidR="0077205E" w:rsidRPr="00AF4CFE" w:rsidRDefault="0077205E" w:rsidP="0077205E">
      <w:pPr>
        <w:pStyle w:val="11"/>
        <w:ind w:firstLine="562"/>
        <w:rPr>
          <w:rFonts w:ascii="Arial" w:hAnsi="Arial" w:cs="Arial"/>
          <w:b/>
          <w:szCs w:val="28"/>
        </w:rPr>
      </w:pPr>
      <w:r>
        <w:rPr>
          <w:rFonts w:ascii="Arial" w:hAnsi="Arial" w:cs="Arial"/>
          <w:b/>
          <w:szCs w:val="28"/>
        </w:rPr>
        <w:sym w:font="Wingdings 2" w:char="F0C3"/>
      </w:r>
      <w:r>
        <w:rPr>
          <w:rFonts w:ascii="Arial" w:hAnsi="Arial" w:cs="Arial" w:hint="eastAsia"/>
          <w:b/>
          <w:szCs w:val="28"/>
        </w:rPr>
        <w:t>需缴纳地价款</w:t>
      </w:r>
    </w:p>
    <w:tbl>
      <w:tblPr>
        <w:tblW w:w="5000" w:type="pct"/>
        <w:tblLook w:val="04A0" w:firstRow="1" w:lastRow="0" w:firstColumn="1" w:lastColumn="0" w:noHBand="0" w:noVBand="1"/>
      </w:tblPr>
      <w:tblGrid>
        <w:gridCol w:w="1123"/>
        <w:gridCol w:w="1844"/>
        <w:gridCol w:w="1844"/>
        <w:gridCol w:w="2124"/>
        <w:gridCol w:w="2349"/>
      </w:tblGrid>
      <w:tr w:rsidR="0077205E" w:rsidRPr="00666906" w14:paraId="4A0B3F81" w14:textId="77777777" w:rsidTr="00E906EE">
        <w:trPr>
          <w:trHeight w:val="936"/>
        </w:trPr>
        <w:tc>
          <w:tcPr>
            <w:tcW w:w="60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254B9FE7"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部位</w:t>
            </w:r>
          </w:p>
        </w:tc>
        <w:tc>
          <w:tcPr>
            <w:tcW w:w="993"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61422879"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795B4"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出让建筑面积</w:t>
            </w:r>
          </w:p>
          <w:p w14:paraId="1DD6FBE0" w14:textId="77777777" w:rsidR="0077205E" w:rsidRPr="00666906" w:rsidRDefault="0077205E" w:rsidP="00E906EE">
            <w:pPr>
              <w:spacing w:line="240" w:lineRule="auto"/>
              <w:jc w:val="center"/>
              <w:rPr>
                <w:rFonts w:ascii="Arial" w:eastAsia="仿宋_GB2312" w:hAnsi="Arial" w:cs="Arial"/>
                <w:b/>
                <w:bCs/>
                <w:sz w:val="22"/>
                <w:szCs w:val="16"/>
              </w:rPr>
            </w:pP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97FEA" w14:textId="77777777" w:rsidR="0077205E" w:rsidRPr="00666906" w:rsidRDefault="0077205E" w:rsidP="00E906EE">
            <w:pPr>
              <w:widowControl/>
              <w:adjustRightInd/>
              <w:spacing w:line="240" w:lineRule="auto"/>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政府土地出让收益楼面单价（元</w:t>
            </w: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微软雅黑" w:eastAsia="微软雅黑" w:hAnsi="微软雅黑" w:cs="微软雅黑"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D0F0C" w14:textId="77777777" w:rsidR="0077205E"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w:t>
            </w:r>
          </w:p>
          <w:p w14:paraId="3B370D6F"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收益总价</w:t>
            </w:r>
            <w:r w:rsidRPr="00666906">
              <w:rPr>
                <w:rFonts w:ascii="Arial" w:eastAsia="仿宋_GB2312" w:hAnsi="Arial" w:cs="Arial" w:hint="eastAsia"/>
                <w:b/>
                <w:bCs/>
                <w:sz w:val="22"/>
                <w:szCs w:val="16"/>
              </w:rPr>
              <w:t>(</w:t>
            </w:r>
            <w:r w:rsidRPr="00666906">
              <w:rPr>
                <w:rFonts w:ascii="Arial" w:eastAsia="仿宋_GB2312" w:hAnsi="Arial" w:cs="Arial" w:hint="eastAsia"/>
                <w:b/>
                <w:bCs/>
                <w:sz w:val="22"/>
                <w:szCs w:val="16"/>
              </w:rPr>
              <w:t>万元）</w:t>
            </w:r>
          </w:p>
        </w:tc>
      </w:tr>
      <w:tr w:rsidR="0077205E" w:rsidRPr="00666906" w14:paraId="721EEEA9"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2C900C16"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地上</w:t>
            </w:r>
          </w:p>
        </w:tc>
        <w:tc>
          <w:tcPr>
            <w:tcW w:w="993" w:type="pct"/>
            <w:tcBorders>
              <w:top w:val="nil"/>
              <w:left w:val="nil"/>
              <w:bottom w:val="single" w:sz="8" w:space="0" w:color="auto"/>
              <w:right w:val="nil"/>
            </w:tcBorders>
            <w:shd w:val="clear" w:color="auto" w:fill="auto"/>
            <w:vAlign w:val="center"/>
            <w:hideMark/>
          </w:tcPr>
          <w:p w14:paraId="2D2C61C3"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住宅</w:t>
            </w:r>
          </w:p>
        </w:tc>
        <w:tc>
          <w:tcPr>
            <w:tcW w:w="99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AAF5168"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28075 </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52D2B4E8" w14:textId="237C7741" w:rsidR="0077205E"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19900</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787315F9" w14:textId="4CD4855F" w:rsidR="0077205E"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55869.2500</w:t>
            </w:r>
          </w:p>
        </w:tc>
      </w:tr>
      <w:tr w:rsidR="0077205E" w:rsidRPr="00666906" w14:paraId="41C805D9"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27B6B751"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27A363E3"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商业</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23BBD8D"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3318 </w:t>
            </w:r>
          </w:p>
        </w:tc>
        <w:tc>
          <w:tcPr>
            <w:tcW w:w="1144" w:type="pct"/>
            <w:tcBorders>
              <w:top w:val="nil"/>
              <w:left w:val="nil"/>
              <w:bottom w:val="single" w:sz="8" w:space="0" w:color="auto"/>
              <w:right w:val="single" w:sz="8" w:space="0" w:color="auto"/>
            </w:tcBorders>
            <w:shd w:val="clear" w:color="auto" w:fill="auto"/>
            <w:vAlign w:val="center"/>
            <w:hideMark/>
          </w:tcPr>
          <w:p w14:paraId="08E3AC02" w14:textId="1B12ADD1" w:rsidR="0077205E"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7713</w:t>
            </w:r>
          </w:p>
        </w:tc>
        <w:tc>
          <w:tcPr>
            <w:tcW w:w="1265" w:type="pct"/>
            <w:tcBorders>
              <w:top w:val="nil"/>
              <w:left w:val="nil"/>
              <w:bottom w:val="single" w:sz="8" w:space="0" w:color="auto"/>
              <w:right w:val="single" w:sz="8" w:space="0" w:color="auto"/>
            </w:tcBorders>
            <w:shd w:val="clear" w:color="auto" w:fill="auto"/>
            <w:vAlign w:val="center"/>
            <w:hideMark/>
          </w:tcPr>
          <w:p w14:paraId="214A7DC7" w14:textId="02A49EC4" w:rsidR="0077205E"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2559.1734</w:t>
            </w:r>
          </w:p>
        </w:tc>
      </w:tr>
      <w:tr w:rsidR="0077205E" w:rsidRPr="00666906" w14:paraId="27A99935"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31952568"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41C8DCE0"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51CE4BE6"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118 </w:t>
            </w:r>
          </w:p>
        </w:tc>
        <w:tc>
          <w:tcPr>
            <w:tcW w:w="1144" w:type="pct"/>
            <w:tcBorders>
              <w:top w:val="nil"/>
              <w:left w:val="nil"/>
              <w:bottom w:val="single" w:sz="8" w:space="0" w:color="auto"/>
              <w:right w:val="single" w:sz="8" w:space="0" w:color="auto"/>
            </w:tcBorders>
            <w:shd w:val="clear" w:color="auto" w:fill="auto"/>
            <w:vAlign w:val="center"/>
            <w:hideMark/>
          </w:tcPr>
          <w:p w14:paraId="72429E2E" w14:textId="1D8E1D47" w:rsidR="0077205E"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7677</w:t>
            </w:r>
          </w:p>
        </w:tc>
        <w:tc>
          <w:tcPr>
            <w:tcW w:w="1265" w:type="pct"/>
            <w:tcBorders>
              <w:top w:val="nil"/>
              <w:left w:val="nil"/>
              <w:bottom w:val="single" w:sz="8" w:space="0" w:color="auto"/>
              <w:right w:val="single" w:sz="8" w:space="0" w:color="auto"/>
            </w:tcBorders>
            <w:shd w:val="clear" w:color="auto" w:fill="auto"/>
            <w:vAlign w:val="center"/>
            <w:hideMark/>
          </w:tcPr>
          <w:p w14:paraId="00BB2C92" w14:textId="1AE03F67" w:rsidR="0077205E"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90.5886</w:t>
            </w:r>
          </w:p>
        </w:tc>
      </w:tr>
      <w:tr w:rsidR="0077205E" w:rsidRPr="00666906" w14:paraId="543B0A21"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30675AA0"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080C7F56"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627DC1D9"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b/>
                <w:bCs/>
                <w:sz w:val="22"/>
                <w:szCs w:val="16"/>
              </w:rPr>
              <w:t xml:space="preserve">31511 </w:t>
            </w:r>
          </w:p>
        </w:tc>
        <w:tc>
          <w:tcPr>
            <w:tcW w:w="1144" w:type="pct"/>
            <w:tcBorders>
              <w:top w:val="nil"/>
              <w:left w:val="nil"/>
              <w:bottom w:val="single" w:sz="8" w:space="0" w:color="auto"/>
              <w:right w:val="single" w:sz="8" w:space="0" w:color="auto"/>
            </w:tcBorders>
            <w:shd w:val="clear" w:color="auto" w:fill="auto"/>
            <w:vAlign w:val="center"/>
            <w:hideMark/>
          </w:tcPr>
          <w:p w14:paraId="0D827B7D" w14:textId="77777777" w:rsidR="0077205E" w:rsidRPr="00826D24" w:rsidRDefault="0077205E" w:rsidP="00E906EE">
            <w:pPr>
              <w:widowControl/>
              <w:adjustRightInd/>
              <w:spacing w:line="240" w:lineRule="auto"/>
              <w:jc w:val="center"/>
              <w:textAlignment w:val="auto"/>
              <w:rPr>
                <w:rFonts w:ascii="Arial" w:eastAsia="仿宋_GB2312" w:hAnsi="Arial" w:cs="Arial"/>
                <w:sz w:val="22"/>
                <w:szCs w:val="16"/>
              </w:rPr>
            </w:pPr>
            <w:r w:rsidRPr="00826D24">
              <w:rPr>
                <w:rFonts w:ascii="Arial" w:eastAsia="仿宋_GB2312" w:hAnsi="Arial" w:cs="Arial"/>
                <w:sz w:val="22"/>
                <w:szCs w:val="16"/>
              </w:rPr>
              <w:t>-</w:t>
            </w:r>
            <w:r>
              <w:rPr>
                <w:rFonts w:ascii="Arial" w:eastAsia="仿宋_GB2312" w:hAnsi="Arial" w:cs="Arial"/>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61C81784" w14:textId="04FC537C" w:rsidR="0077205E" w:rsidRPr="00826D24" w:rsidRDefault="000B7D55"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58519.0120</w:t>
            </w:r>
          </w:p>
        </w:tc>
      </w:tr>
      <w:tr w:rsidR="0077205E" w:rsidRPr="00666906" w14:paraId="042B93C5"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78007265"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w:t>
            </w:r>
          </w:p>
        </w:tc>
        <w:tc>
          <w:tcPr>
            <w:tcW w:w="993" w:type="pct"/>
            <w:tcBorders>
              <w:top w:val="nil"/>
              <w:left w:val="nil"/>
              <w:bottom w:val="single" w:sz="8" w:space="0" w:color="auto"/>
              <w:right w:val="nil"/>
            </w:tcBorders>
            <w:shd w:val="clear" w:color="auto" w:fill="auto"/>
            <w:vAlign w:val="center"/>
            <w:hideMark/>
          </w:tcPr>
          <w:p w14:paraId="443187CC"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3B3387BC"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32 </w:t>
            </w:r>
          </w:p>
        </w:tc>
        <w:tc>
          <w:tcPr>
            <w:tcW w:w="1144" w:type="pct"/>
            <w:tcBorders>
              <w:top w:val="nil"/>
              <w:left w:val="nil"/>
              <w:bottom w:val="single" w:sz="8" w:space="0" w:color="auto"/>
              <w:right w:val="single" w:sz="8" w:space="0" w:color="auto"/>
            </w:tcBorders>
            <w:shd w:val="clear" w:color="auto" w:fill="auto"/>
            <w:vAlign w:val="center"/>
            <w:hideMark/>
          </w:tcPr>
          <w:p w14:paraId="42EAFCFB" w14:textId="647E02C2" w:rsidR="0077205E"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2385</w:t>
            </w:r>
          </w:p>
        </w:tc>
        <w:tc>
          <w:tcPr>
            <w:tcW w:w="1265" w:type="pct"/>
            <w:tcBorders>
              <w:top w:val="nil"/>
              <w:left w:val="nil"/>
              <w:bottom w:val="single" w:sz="8" w:space="0" w:color="auto"/>
              <w:right w:val="single" w:sz="8" w:space="0" w:color="auto"/>
            </w:tcBorders>
            <w:shd w:val="clear" w:color="auto" w:fill="auto"/>
            <w:vAlign w:val="center"/>
            <w:hideMark/>
          </w:tcPr>
          <w:p w14:paraId="4BF8002D" w14:textId="4C01C43F" w:rsidR="0077205E" w:rsidRPr="00666906" w:rsidRDefault="000B7D55"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7.6320</w:t>
            </w:r>
          </w:p>
        </w:tc>
      </w:tr>
      <w:tr w:rsidR="0077205E" w:rsidRPr="00666906" w14:paraId="72E39BD1"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16D0A2BE"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5D001303"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地下车库</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66E63893"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10345 </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29153B1E" w14:textId="2B6FD745" w:rsidR="0077205E" w:rsidRPr="00666906"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2481</w:t>
            </w:r>
          </w:p>
        </w:tc>
        <w:tc>
          <w:tcPr>
            <w:tcW w:w="1265" w:type="pct"/>
            <w:tcBorders>
              <w:top w:val="nil"/>
              <w:left w:val="nil"/>
              <w:bottom w:val="single" w:sz="8" w:space="0" w:color="auto"/>
              <w:right w:val="single" w:sz="8" w:space="0" w:color="auto"/>
            </w:tcBorders>
            <w:shd w:val="clear" w:color="auto" w:fill="auto"/>
            <w:vAlign w:val="center"/>
            <w:hideMark/>
          </w:tcPr>
          <w:p w14:paraId="2E89ADF7" w14:textId="624BEDC2" w:rsidR="0077205E" w:rsidRPr="00666906" w:rsidRDefault="00443EF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2566.5995</w:t>
            </w:r>
          </w:p>
        </w:tc>
      </w:tr>
      <w:tr w:rsidR="0077205E" w:rsidRPr="00666906" w14:paraId="7CF15CBA"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20DD9EE2"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7125049D"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342EE3F0" w14:textId="77777777" w:rsidR="0077205E" w:rsidRPr="00826D24" w:rsidRDefault="0077205E"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05EB2D0E" w14:textId="77777777" w:rsidR="0077205E" w:rsidRPr="00826D24" w:rsidRDefault="0077205E"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2A2C34C6" w14:textId="0FCEC11C" w:rsidR="0077205E" w:rsidRPr="00826D24" w:rsidRDefault="00443EF8"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2574.2315</w:t>
            </w:r>
          </w:p>
        </w:tc>
      </w:tr>
      <w:tr w:rsidR="0077205E" w:rsidRPr="00666906" w14:paraId="2921A564" w14:textId="77777777" w:rsidTr="00E906EE">
        <w:trPr>
          <w:trHeight w:val="420"/>
        </w:trPr>
        <w:tc>
          <w:tcPr>
            <w:tcW w:w="1598" w:type="pct"/>
            <w:gridSpan w:val="2"/>
            <w:tcBorders>
              <w:top w:val="single" w:sz="8" w:space="0" w:color="auto"/>
              <w:left w:val="single" w:sz="8" w:space="0" w:color="auto"/>
              <w:bottom w:val="single" w:sz="8" w:space="0" w:color="auto"/>
              <w:right w:val="nil"/>
            </w:tcBorders>
            <w:shd w:val="clear" w:color="auto" w:fill="auto"/>
            <w:vAlign w:val="center"/>
            <w:hideMark/>
          </w:tcPr>
          <w:p w14:paraId="527F52BD"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合计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79961092" w14:textId="77777777" w:rsidR="0077205E" w:rsidRPr="00826D24" w:rsidRDefault="0077205E"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0D06B12B" w14:textId="77777777" w:rsidR="0077205E" w:rsidRPr="00826D24" w:rsidRDefault="0077205E"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05F1D268" w14:textId="3AD199B3" w:rsidR="0077205E" w:rsidRPr="00826D24" w:rsidRDefault="00443EF8" w:rsidP="007F1FA0">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61093.2435</w:t>
            </w:r>
          </w:p>
        </w:tc>
      </w:tr>
    </w:tbl>
    <w:p w14:paraId="0AD2BD5B" w14:textId="77777777" w:rsidR="0077205E" w:rsidRDefault="0077205E" w:rsidP="0077205E">
      <w:pPr>
        <w:spacing w:beforeLines="100" w:before="240" w:line="360" w:lineRule="auto"/>
        <w:ind w:firstLineChars="200" w:firstLine="560"/>
        <w:jc w:val="both"/>
        <w:rPr>
          <w:rFonts w:ascii="Arial" w:eastAsia="仿宋_GB2312" w:hAnsi="Arial" w:cs="Arial"/>
          <w:sz w:val="28"/>
        </w:rPr>
      </w:pPr>
      <w:r w:rsidRPr="00666906">
        <w:rPr>
          <w:rFonts w:ascii="Arial" w:eastAsia="仿宋_GB2312" w:hAnsi="Arial" w:cs="Arial" w:hint="eastAsia"/>
          <w:sz w:val="28"/>
        </w:rPr>
        <w:t>具体结果详见《估价结果一览表》</w:t>
      </w:r>
    </w:p>
    <w:p w14:paraId="5E8DA775" w14:textId="056541D9" w:rsidR="000E7771" w:rsidRPr="0077205E" w:rsidRDefault="000E7771" w:rsidP="00584C10">
      <w:pPr>
        <w:spacing w:beforeLines="100" w:before="240" w:line="360" w:lineRule="auto"/>
        <w:ind w:firstLineChars="200" w:firstLine="560"/>
        <w:jc w:val="both"/>
        <w:rPr>
          <w:rFonts w:ascii="Arial" w:eastAsia="仿宋_GB2312" w:hAnsi="Arial" w:cs="Arial"/>
          <w:sz w:val="28"/>
        </w:rPr>
      </w:pPr>
    </w:p>
    <w:p w14:paraId="0A03F1CD" w14:textId="250CC17A" w:rsidR="002C3ABF" w:rsidRPr="00F631FB" w:rsidRDefault="000E7771" w:rsidP="00584C10">
      <w:pPr>
        <w:snapToGrid w:val="0"/>
        <w:spacing w:line="360" w:lineRule="auto"/>
        <w:rPr>
          <w:rFonts w:ascii="Arial" w:eastAsia="仿宋_GB2312" w:hAnsi="Arial" w:cs="Arial"/>
          <w:sz w:val="28"/>
        </w:rPr>
        <w:sectPr w:rsidR="002C3ABF" w:rsidRPr="00F631FB" w:rsidSect="004A2C77">
          <w:headerReference w:type="default" r:id="rId90"/>
          <w:footerReference w:type="first" r:id="rId91"/>
          <w:pgSz w:w="11907" w:h="16840"/>
          <w:pgMar w:top="1843" w:right="1134" w:bottom="1134" w:left="1134" w:header="1134" w:footer="907" w:gutter="340"/>
          <w:cols w:space="720"/>
          <w:titlePg/>
          <w:docGrid w:linePitch="326"/>
        </w:sectPr>
      </w:pPr>
      <w:r w:rsidRPr="00F631FB">
        <w:rPr>
          <w:rFonts w:ascii="Arial" w:eastAsia="仿宋_GB2312" w:hAnsi="Arial" w:cs="Arial"/>
          <w:sz w:val="28"/>
          <w:szCs w:val="28"/>
        </w:rPr>
        <w:t xml:space="preserve"> </w:t>
      </w:r>
      <w:r w:rsidRPr="00F631FB">
        <w:rPr>
          <w:rFonts w:ascii="Arial" w:eastAsia="仿宋_GB2312" w:hAnsi="Arial" w:cs="Arial"/>
          <w:sz w:val="28"/>
        </w:rPr>
        <w:t xml:space="preserve">  </w:t>
      </w:r>
      <w:r w:rsidR="002C3ABF" w:rsidRPr="00F631FB">
        <w:rPr>
          <w:rFonts w:ascii="Arial" w:eastAsia="仿宋_GB2312" w:hAnsi="Arial" w:cs="Arial"/>
          <w:sz w:val="28"/>
          <w:szCs w:val="28"/>
        </w:rPr>
        <w:t xml:space="preserve"> </w:t>
      </w:r>
      <w:r w:rsidR="002C3ABF" w:rsidRPr="00F631FB">
        <w:rPr>
          <w:rFonts w:ascii="Arial" w:eastAsia="仿宋_GB2312" w:hAnsi="Arial" w:cs="Arial"/>
          <w:sz w:val="28"/>
        </w:rPr>
        <w:t xml:space="preserve">  </w:t>
      </w:r>
    </w:p>
    <w:p w14:paraId="545FEDEF" w14:textId="77777777" w:rsidR="002C3ABF" w:rsidRPr="00F631FB" w:rsidRDefault="002C3ABF" w:rsidP="002C3ABF">
      <w:pPr>
        <w:pStyle w:val="11"/>
        <w:ind w:firstLine="562"/>
        <w:rPr>
          <w:rFonts w:ascii="Arial" w:hAnsi="Arial" w:cs="Arial"/>
          <w:b/>
        </w:rPr>
      </w:pPr>
      <w:r w:rsidRPr="00F631FB">
        <w:rPr>
          <w:rFonts w:ascii="Arial" w:hAnsi="Arial" w:cs="Arial"/>
          <w:b/>
        </w:rPr>
        <w:lastRenderedPageBreak/>
        <w:t>附</w:t>
      </w:r>
      <w:r w:rsidRPr="00F631FB">
        <w:rPr>
          <w:rFonts w:ascii="Arial" w:hAnsi="Arial" w:cs="Arial"/>
          <w:b/>
        </w:rPr>
        <w:t xml:space="preserve">                                           </w:t>
      </w:r>
      <w:r w:rsidRPr="00F631FB">
        <w:rPr>
          <w:rFonts w:ascii="Arial" w:hAnsi="Arial" w:cs="Arial"/>
          <w:b/>
        </w:rPr>
        <w:t>估价结果一览表</w:t>
      </w:r>
    </w:p>
    <w:p w14:paraId="7F37C6F5" w14:textId="52155E8A" w:rsidR="002C3ABF" w:rsidRPr="00F631FB" w:rsidRDefault="002C3ABF" w:rsidP="002C3ABF">
      <w:pPr>
        <w:spacing w:line="240" w:lineRule="auto"/>
        <w:rPr>
          <w:rFonts w:ascii="Arial" w:eastAsia="仿宋_GB2312" w:hAnsi="Arial" w:cs="Arial"/>
          <w:bCs/>
          <w:sz w:val="18"/>
        </w:rPr>
      </w:pPr>
      <w:r w:rsidRPr="00F631FB">
        <w:rPr>
          <w:rFonts w:ascii="Arial" w:eastAsia="仿宋_GB2312" w:hAnsi="Arial" w:cs="Arial"/>
          <w:bCs/>
          <w:sz w:val="18"/>
        </w:rPr>
        <w:t>估价机构：</w:t>
      </w:r>
      <w:proofErr w:type="gramStart"/>
      <w:r w:rsidRPr="00F631FB">
        <w:rPr>
          <w:rFonts w:ascii="Arial" w:eastAsia="仿宋_GB2312" w:hAnsi="Arial" w:cs="Arial"/>
          <w:sz w:val="18"/>
        </w:rPr>
        <w:t>北京康正宏</w:t>
      </w:r>
      <w:proofErr w:type="gramEnd"/>
      <w:r w:rsidRPr="00F631FB">
        <w:rPr>
          <w:rFonts w:ascii="Arial" w:eastAsia="仿宋_GB2312" w:hAnsi="Arial" w:cs="Arial"/>
          <w:sz w:val="18"/>
        </w:rPr>
        <w:t>基房地产评估有限公司</w:t>
      </w:r>
      <w:r w:rsidRPr="00F631FB">
        <w:rPr>
          <w:rFonts w:ascii="Arial" w:eastAsia="仿宋_GB2312" w:hAnsi="Arial" w:cs="Arial"/>
          <w:sz w:val="18"/>
        </w:rPr>
        <w:t xml:space="preserve"> </w:t>
      </w:r>
      <w:r w:rsidRPr="00F631FB">
        <w:rPr>
          <w:rFonts w:ascii="Arial" w:eastAsia="仿宋_GB2312" w:hAnsi="Arial" w:cs="Arial"/>
          <w:bCs/>
          <w:sz w:val="18"/>
        </w:rPr>
        <w:t xml:space="preserve">  </w:t>
      </w:r>
      <w:r w:rsidRPr="00F631FB">
        <w:rPr>
          <w:rFonts w:ascii="Arial" w:eastAsia="仿宋_GB2312" w:hAnsi="Arial" w:cs="Arial"/>
          <w:bCs/>
          <w:sz w:val="18"/>
        </w:rPr>
        <w:t>估价报告编号：</w:t>
      </w:r>
      <w:r w:rsidR="008E4F13">
        <w:rPr>
          <w:rFonts w:ascii="Arial" w:eastAsia="仿宋_GB2312" w:hAnsi="Arial" w:cs="Arial"/>
          <w:bCs/>
          <w:sz w:val="18"/>
        </w:rPr>
        <w:t>2021-1-0606-</w:t>
      </w:r>
      <w:r w:rsidR="00831261">
        <w:rPr>
          <w:rFonts w:ascii="Arial" w:eastAsia="仿宋_GB2312" w:hAnsi="Arial" w:cs="Arial"/>
          <w:bCs/>
          <w:sz w:val="18"/>
        </w:rPr>
        <w:t>F02</w:t>
      </w:r>
      <w:r w:rsidR="008E4F13">
        <w:rPr>
          <w:rFonts w:ascii="Arial" w:eastAsia="仿宋_GB2312" w:hAnsi="Arial" w:cs="Arial"/>
          <w:bCs/>
          <w:sz w:val="18"/>
        </w:rPr>
        <w:t>TDCR6</w:t>
      </w:r>
      <w:r w:rsidRPr="00F631FB">
        <w:rPr>
          <w:rFonts w:ascii="Arial" w:eastAsia="仿宋_GB2312" w:hAnsi="Arial" w:cs="Arial"/>
          <w:bCs/>
          <w:sz w:val="18"/>
        </w:rPr>
        <w:t xml:space="preserve">    </w:t>
      </w:r>
      <w:r w:rsidRPr="00F631FB">
        <w:rPr>
          <w:rFonts w:ascii="Arial" w:eastAsia="仿宋_GB2312" w:hAnsi="Arial" w:cs="Arial"/>
          <w:bCs/>
          <w:sz w:val="18"/>
        </w:rPr>
        <w:t>估价期日：</w:t>
      </w:r>
      <w:r w:rsidR="006650F1">
        <w:rPr>
          <w:rFonts w:ascii="Arial" w:eastAsia="仿宋_GB2312" w:hAnsi="Arial" w:cs="Arial"/>
          <w:bCs/>
          <w:sz w:val="18"/>
        </w:rPr>
        <w:t>2021</w:t>
      </w:r>
      <w:r w:rsidR="006650F1">
        <w:rPr>
          <w:rFonts w:ascii="Arial" w:eastAsia="仿宋_GB2312" w:hAnsi="Arial" w:cs="Arial"/>
          <w:bCs/>
          <w:sz w:val="18"/>
        </w:rPr>
        <w:t>年</w:t>
      </w:r>
      <w:r w:rsidR="006650F1">
        <w:rPr>
          <w:rFonts w:ascii="Arial" w:eastAsia="仿宋_GB2312" w:hAnsi="Arial" w:cs="Arial"/>
          <w:bCs/>
          <w:sz w:val="18"/>
        </w:rPr>
        <w:t>10</w:t>
      </w:r>
      <w:r w:rsidR="006650F1">
        <w:rPr>
          <w:rFonts w:ascii="Arial" w:eastAsia="仿宋_GB2312" w:hAnsi="Arial" w:cs="Arial"/>
          <w:bCs/>
          <w:sz w:val="18"/>
        </w:rPr>
        <w:t>月</w:t>
      </w:r>
      <w:r w:rsidR="006650F1">
        <w:rPr>
          <w:rFonts w:ascii="Arial" w:eastAsia="仿宋_GB2312" w:hAnsi="Arial" w:cs="Arial"/>
          <w:bCs/>
          <w:sz w:val="18"/>
        </w:rPr>
        <w:t>15</w:t>
      </w:r>
      <w:r w:rsidR="006650F1">
        <w:rPr>
          <w:rFonts w:ascii="Arial" w:eastAsia="仿宋_GB2312" w:hAnsi="Arial" w:cs="Arial"/>
          <w:bCs/>
          <w:sz w:val="18"/>
        </w:rPr>
        <w:t>日</w:t>
      </w:r>
      <w:r w:rsidRPr="00F631FB">
        <w:rPr>
          <w:rFonts w:ascii="Arial" w:eastAsia="仿宋_GB2312" w:hAnsi="Arial" w:cs="Arial"/>
          <w:bCs/>
          <w:sz w:val="18"/>
        </w:rPr>
        <w:t xml:space="preserve">   </w:t>
      </w:r>
      <w:r w:rsidRPr="00F631FB">
        <w:rPr>
          <w:rFonts w:ascii="Arial" w:eastAsia="仿宋_GB2312" w:hAnsi="Arial" w:cs="Arial"/>
          <w:bCs/>
          <w:sz w:val="18"/>
        </w:rPr>
        <w:t>估价期日的国有建设用地使用权性质：出让</w:t>
      </w:r>
    </w:p>
    <w:tbl>
      <w:tblPr>
        <w:tblW w:w="5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25"/>
        <w:gridCol w:w="710"/>
        <w:gridCol w:w="425"/>
        <w:gridCol w:w="710"/>
        <w:gridCol w:w="707"/>
        <w:gridCol w:w="710"/>
        <w:gridCol w:w="425"/>
        <w:gridCol w:w="425"/>
        <w:gridCol w:w="425"/>
        <w:gridCol w:w="710"/>
        <w:gridCol w:w="579"/>
        <w:gridCol w:w="710"/>
        <w:gridCol w:w="992"/>
        <w:gridCol w:w="995"/>
        <w:gridCol w:w="849"/>
        <w:gridCol w:w="1274"/>
        <w:gridCol w:w="849"/>
        <w:gridCol w:w="1277"/>
        <w:gridCol w:w="1268"/>
      </w:tblGrid>
      <w:tr w:rsidR="0077205E" w:rsidRPr="006B33D2" w14:paraId="50D3D608" w14:textId="77777777" w:rsidTr="00E906EE">
        <w:trPr>
          <w:cantSplit/>
          <w:trHeight w:val="780"/>
          <w:jc w:val="center"/>
        </w:trPr>
        <w:tc>
          <w:tcPr>
            <w:tcW w:w="232" w:type="pct"/>
            <w:vMerge w:val="restart"/>
            <w:vAlign w:val="center"/>
          </w:tcPr>
          <w:p w14:paraId="3386A66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估价期日土地使用者</w:t>
            </w:r>
          </w:p>
        </w:tc>
        <w:tc>
          <w:tcPr>
            <w:tcW w:w="140" w:type="pct"/>
            <w:vMerge w:val="restart"/>
            <w:vAlign w:val="center"/>
          </w:tcPr>
          <w:p w14:paraId="4FAB37AE"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宗地编号</w:t>
            </w:r>
          </w:p>
        </w:tc>
        <w:tc>
          <w:tcPr>
            <w:tcW w:w="234" w:type="pct"/>
            <w:vMerge w:val="restart"/>
            <w:vAlign w:val="center"/>
          </w:tcPr>
          <w:p w14:paraId="7683DBC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宗地名称</w:t>
            </w:r>
          </w:p>
        </w:tc>
        <w:tc>
          <w:tcPr>
            <w:tcW w:w="140" w:type="pct"/>
            <w:vMerge w:val="restart"/>
            <w:vAlign w:val="center"/>
          </w:tcPr>
          <w:p w14:paraId="3B92A19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土地使用证编号</w:t>
            </w:r>
          </w:p>
        </w:tc>
        <w:tc>
          <w:tcPr>
            <w:tcW w:w="701" w:type="pct"/>
            <w:gridSpan w:val="3"/>
            <w:tcBorders>
              <w:bottom w:val="single" w:sz="4" w:space="0" w:color="auto"/>
            </w:tcBorders>
            <w:vAlign w:val="center"/>
          </w:tcPr>
          <w:p w14:paraId="034E822A" w14:textId="77777777" w:rsidR="0077205E" w:rsidRPr="006B33D2" w:rsidRDefault="0077205E" w:rsidP="00E906EE">
            <w:pPr>
              <w:spacing w:line="240" w:lineRule="auto"/>
              <w:ind w:rightChars="-45" w:right="-108"/>
              <w:jc w:val="center"/>
              <w:rPr>
                <w:rFonts w:ascii="Arial" w:eastAsia="仿宋_GB2312" w:hAnsi="Arial" w:cs="Arial"/>
                <w:bCs/>
                <w:sz w:val="18"/>
                <w:szCs w:val="18"/>
              </w:rPr>
            </w:pPr>
            <w:r w:rsidRPr="006B33D2">
              <w:rPr>
                <w:rFonts w:ascii="Arial" w:eastAsia="仿宋_GB2312" w:hAnsi="Arial" w:cs="Arial"/>
                <w:bCs/>
                <w:sz w:val="18"/>
                <w:szCs w:val="18"/>
              </w:rPr>
              <w:t>估价期日的用途</w:t>
            </w:r>
          </w:p>
        </w:tc>
        <w:tc>
          <w:tcPr>
            <w:tcW w:w="420" w:type="pct"/>
            <w:gridSpan w:val="3"/>
            <w:vAlign w:val="center"/>
          </w:tcPr>
          <w:p w14:paraId="75E44A5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容积率</w:t>
            </w:r>
          </w:p>
        </w:tc>
        <w:tc>
          <w:tcPr>
            <w:tcW w:w="234" w:type="pct"/>
            <w:vMerge w:val="restart"/>
            <w:vAlign w:val="center"/>
          </w:tcPr>
          <w:p w14:paraId="5204D79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估价期日的实际土地开发程度</w:t>
            </w:r>
          </w:p>
        </w:tc>
        <w:tc>
          <w:tcPr>
            <w:tcW w:w="191" w:type="pct"/>
            <w:vMerge w:val="restart"/>
            <w:vAlign w:val="center"/>
          </w:tcPr>
          <w:p w14:paraId="1ECF2FC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估价设定的土地开发程度</w:t>
            </w:r>
          </w:p>
        </w:tc>
        <w:tc>
          <w:tcPr>
            <w:tcW w:w="234" w:type="pct"/>
            <w:vMerge w:val="restart"/>
            <w:vAlign w:val="center"/>
          </w:tcPr>
          <w:p w14:paraId="0D694F3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土地使用年限</w:t>
            </w:r>
            <w:r w:rsidRPr="006B33D2">
              <w:rPr>
                <w:rFonts w:ascii="Arial" w:eastAsia="仿宋_GB2312" w:hAnsi="Arial" w:cs="Arial"/>
                <w:bCs/>
                <w:sz w:val="18"/>
                <w:szCs w:val="18"/>
              </w:rPr>
              <w:t>/</w:t>
            </w:r>
            <w:r w:rsidRPr="006B33D2">
              <w:rPr>
                <w:rFonts w:ascii="Arial" w:eastAsia="仿宋_GB2312" w:hAnsi="Arial" w:cs="Arial"/>
                <w:bCs/>
                <w:sz w:val="18"/>
                <w:szCs w:val="18"/>
              </w:rPr>
              <w:t>年</w:t>
            </w:r>
          </w:p>
        </w:tc>
        <w:tc>
          <w:tcPr>
            <w:tcW w:w="327" w:type="pct"/>
            <w:vMerge w:val="restart"/>
            <w:vAlign w:val="center"/>
          </w:tcPr>
          <w:p w14:paraId="1C10F455"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出让建设用地</w:t>
            </w:r>
            <w:r w:rsidRPr="006B33D2">
              <w:rPr>
                <w:rFonts w:ascii="Arial" w:eastAsia="仿宋_GB2312" w:hAnsi="Arial" w:cs="Arial"/>
                <w:bCs/>
                <w:sz w:val="18"/>
                <w:szCs w:val="18"/>
              </w:rPr>
              <w:t>面积</w:t>
            </w:r>
            <w:r w:rsidRPr="006B33D2">
              <w:rPr>
                <w:rFonts w:ascii="Arial" w:eastAsia="仿宋_GB2312" w:hAnsi="Arial" w:cs="Arial"/>
                <w:bCs/>
                <w:sz w:val="18"/>
                <w:szCs w:val="18"/>
              </w:rPr>
              <w:t>/</w:t>
            </w:r>
            <w:r w:rsidRPr="006B33D2">
              <w:rPr>
                <w:rFonts w:ascii="Arial" w:hAnsi="Arial" w:cs="Arial"/>
                <w:bCs/>
                <w:sz w:val="18"/>
                <w:szCs w:val="18"/>
              </w:rPr>
              <w:t>㎡</w:t>
            </w:r>
          </w:p>
        </w:tc>
        <w:tc>
          <w:tcPr>
            <w:tcW w:w="328" w:type="pct"/>
            <w:vMerge w:val="restart"/>
            <w:vAlign w:val="center"/>
          </w:tcPr>
          <w:p w14:paraId="517A245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出让</w:t>
            </w:r>
            <w:r w:rsidRPr="006B33D2">
              <w:rPr>
                <w:rFonts w:ascii="Arial" w:eastAsia="仿宋_GB2312" w:hAnsi="Arial" w:cs="Arial"/>
                <w:bCs/>
                <w:sz w:val="18"/>
                <w:szCs w:val="18"/>
              </w:rPr>
              <w:t>建筑面积</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p>
        </w:tc>
        <w:tc>
          <w:tcPr>
            <w:tcW w:w="280" w:type="pct"/>
            <w:vMerge w:val="restart"/>
            <w:vAlign w:val="center"/>
          </w:tcPr>
          <w:p w14:paraId="55CFFD2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楼面地价</w:t>
            </w:r>
            <w:r w:rsidRPr="006B33D2">
              <w:rPr>
                <w:rFonts w:ascii="Arial" w:eastAsia="仿宋_GB2312" w:hAnsi="Arial" w:cs="Arial"/>
                <w:bCs/>
                <w:sz w:val="18"/>
                <w:szCs w:val="18"/>
              </w:rPr>
              <w:t>/</w:t>
            </w:r>
            <w:r w:rsidRPr="006B33D2">
              <w:rPr>
                <w:rFonts w:ascii="Arial" w:eastAsia="仿宋_GB2312" w:hAnsi="Arial" w:cs="Arial"/>
                <w:bCs/>
                <w:sz w:val="18"/>
                <w:szCs w:val="18"/>
              </w:rPr>
              <w:t>元</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p>
        </w:tc>
        <w:tc>
          <w:tcPr>
            <w:tcW w:w="420" w:type="pct"/>
            <w:vMerge w:val="restart"/>
            <w:vAlign w:val="center"/>
          </w:tcPr>
          <w:p w14:paraId="2730D20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熟地总价（万元）</w:t>
            </w:r>
          </w:p>
        </w:tc>
        <w:tc>
          <w:tcPr>
            <w:tcW w:w="280" w:type="pct"/>
            <w:vMerge w:val="restart"/>
            <w:vAlign w:val="center"/>
          </w:tcPr>
          <w:p w14:paraId="16F6749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政府土地出让收益单价（元</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r w:rsidRPr="006B33D2">
              <w:rPr>
                <w:rFonts w:ascii="Arial" w:eastAsia="仿宋_GB2312" w:hAnsi="Arial" w:cs="Arial"/>
                <w:bCs/>
                <w:sz w:val="18"/>
                <w:szCs w:val="18"/>
              </w:rPr>
              <w:t>）</w:t>
            </w:r>
          </w:p>
        </w:tc>
        <w:tc>
          <w:tcPr>
            <w:tcW w:w="421" w:type="pct"/>
            <w:vMerge w:val="restart"/>
            <w:vAlign w:val="center"/>
          </w:tcPr>
          <w:p w14:paraId="07E2BB9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政府土地出让收益总价（万元）</w:t>
            </w:r>
          </w:p>
        </w:tc>
        <w:tc>
          <w:tcPr>
            <w:tcW w:w="418" w:type="pct"/>
            <w:vMerge w:val="restart"/>
            <w:vAlign w:val="center"/>
          </w:tcPr>
          <w:p w14:paraId="20434C53" w14:textId="5002EC85"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需</w:t>
            </w:r>
            <w:r w:rsidR="00546EFE">
              <w:rPr>
                <w:rFonts w:ascii="Arial" w:eastAsia="仿宋_GB2312" w:hAnsi="Arial" w:cs="Arial" w:hint="eastAsia"/>
                <w:bCs/>
                <w:sz w:val="18"/>
                <w:szCs w:val="18"/>
              </w:rPr>
              <w:t>缴纳</w:t>
            </w:r>
            <w:r w:rsidRPr="006B33D2">
              <w:rPr>
                <w:rFonts w:ascii="Arial" w:eastAsia="仿宋_GB2312" w:hAnsi="Arial" w:cs="Arial" w:hint="eastAsia"/>
                <w:bCs/>
                <w:sz w:val="18"/>
                <w:szCs w:val="18"/>
              </w:rPr>
              <w:t>地价款</w:t>
            </w:r>
            <w:r w:rsidRPr="006B33D2">
              <w:rPr>
                <w:rFonts w:ascii="Arial" w:eastAsia="仿宋_GB2312" w:hAnsi="Arial" w:cs="Arial"/>
                <w:bCs/>
                <w:sz w:val="18"/>
                <w:szCs w:val="18"/>
              </w:rPr>
              <w:t>（万元）</w:t>
            </w:r>
          </w:p>
        </w:tc>
      </w:tr>
      <w:tr w:rsidR="0077205E" w:rsidRPr="006B33D2" w14:paraId="723E404B" w14:textId="77777777" w:rsidTr="00E906EE">
        <w:trPr>
          <w:cantSplit/>
          <w:trHeight w:val="1369"/>
          <w:jc w:val="center"/>
        </w:trPr>
        <w:tc>
          <w:tcPr>
            <w:tcW w:w="232" w:type="pct"/>
            <w:vMerge/>
            <w:tcBorders>
              <w:bottom w:val="single" w:sz="4" w:space="0" w:color="auto"/>
            </w:tcBorders>
            <w:vAlign w:val="center"/>
          </w:tcPr>
          <w:p w14:paraId="69C6CE7D"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tcBorders>
              <w:bottom w:val="single" w:sz="4" w:space="0" w:color="auto"/>
            </w:tcBorders>
            <w:vAlign w:val="center"/>
          </w:tcPr>
          <w:p w14:paraId="0AEC8C99"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tcBorders>
              <w:bottom w:val="single" w:sz="4" w:space="0" w:color="auto"/>
            </w:tcBorders>
            <w:vAlign w:val="center"/>
          </w:tcPr>
          <w:p w14:paraId="2FDA6E60"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tcBorders>
              <w:bottom w:val="single" w:sz="4" w:space="0" w:color="auto"/>
            </w:tcBorders>
            <w:vAlign w:val="center"/>
          </w:tcPr>
          <w:p w14:paraId="69C91377"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tcBorders>
              <w:bottom w:val="single" w:sz="4" w:space="0" w:color="auto"/>
            </w:tcBorders>
            <w:vAlign w:val="center"/>
          </w:tcPr>
          <w:p w14:paraId="61FCBE1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证载</w:t>
            </w:r>
          </w:p>
          <w:p w14:paraId="3814FD2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（或批准）</w:t>
            </w:r>
          </w:p>
        </w:tc>
        <w:tc>
          <w:tcPr>
            <w:tcW w:w="233" w:type="pct"/>
            <w:tcBorders>
              <w:bottom w:val="single" w:sz="4" w:space="0" w:color="auto"/>
            </w:tcBorders>
            <w:vAlign w:val="center"/>
          </w:tcPr>
          <w:p w14:paraId="18408CA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实际</w:t>
            </w:r>
          </w:p>
        </w:tc>
        <w:tc>
          <w:tcPr>
            <w:tcW w:w="234" w:type="pct"/>
            <w:tcBorders>
              <w:bottom w:val="single" w:sz="4" w:space="0" w:color="auto"/>
            </w:tcBorders>
            <w:vAlign w:val="center"/>
          </w:tcPr>
          <w:p w14:paraId="7F5F863A" w14:textId="77777777" w:rsidR="0077205E" w:rsidRPr="006B33D2" w:rsidRDefault="0077205E" w:rsidP="00E906EE">
            <w:pPr>
              <w:spacing w:line="240" w:lineRule="auto"/>
              <w:ind w:rightChars="-45" w:right="-108"/>
              <w:jc w:val="center"/>
              <w:rPr>
                <w:rFonts w:ascii="Arial" w:eastAsia="仿宋_GB2312" w:hAnsi="Arial" w:cs="Arial"/>
                <w:bCs/>
                <w:sz w:val="18"/>
                <w:szCs w:val="18"/>
              </w:rPr>
            </w:pPr>
            <w:r w:rsidRPr="006B33D2">
              <w:rPr>
                <w:rFonts w:ascii="Arial" w:eastAsia="仿宋_GB2312" w:hAnsi="Arial" w:cs="Arial"/>
                <w:bCs/>
                <w:sz w:val="18"/>
                <w:szCs w:val="18"/>
              </w:rPr>
              <w:t>设定</w:t>
            </w:r>
          </w:p>
        </w:tc>
        <w:tc>
          <w:tcPr>
            <w:tcW w:w="140" w:type="pct"/>
            <w:tcBorders>
              <w:bottom w:val="single" w:sz="4" w:space="0" w:color="auto"/>
            </w:tcBorders>
            <w:vAlign w:val="center"/>
          </w:tcPr>
          <w:p w14:paraId="0EAD5071"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规划</w:t>
            </w:r>
          </w:p>
        </w:tc>
        <w:tc>
          <w:tcPr>
            <w:tcW w:w="140" w:type="pct"/>
            <w:tcBorders>
              <w:bottom w:val="single" w:sz="4" w:space="0" w:color="auto"/>
            </w:tcBorders>
            <w:vAlign w:val="center"/>
          </w:tcPr>
          <w:p w14:paraId="29F3ABC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实际</w:t>
            </w:r>
          </w:p>
        </w:tc>
        <w:tc>
          <w:tcPr>
            <w:tcW w:w="140" w:type="pct"/>
            <w:tcBorders>
              <w:bottom w:val="single" w:sz="4" w:space="0" w:color="auto"/>
            </w:tcBorders>
            <w:vAlign w:val="center"/>
          </w:tcPr>
          <w:p w14:paraId="0412025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设定</w:t>
            </w:r>
          </w:p>
        </w:tc>
        <w:tc>
          <w:tcPr>
            <w:tcW w:w="234" w:type="pct"/>
            <w:vMerge/>
            <w:tcBorders>
              <w:bottom w:val="single" w:sz="4" w:space="0" w:color="auto"/>
            </w:tcBorders>
            <w:vAlign w:val="center"/>
          </w:tcPr>
          <w:p w14:paraId="41F129B6"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tcBorders>
              <w:bottom w:val="single" w:sz="4" w:space="0" w:color="auto"/>
            </w:tcBorders>
            <w:vAlign w:val="center"/>
          </w:tcPr>
          <w:p w14:paraId="5BD9FDFD"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tcBorders>
              <w:bottom w:val="single" w:sz="4" w:space="0" w:color="auto"/>
            </w:tcBorders>
            <w:vAlign w:val="center"/>
          </w:tcPr>
          <w:p w14:paraId="54F1A8B4" w14:textId="77777777" w:rsidR="0077205E" w:rsidRPr="006B33D2" w:rsidRDefault="0077205E" w:rsidP="00E906EE">
            <w:pPr>
              <w:spacing w:line="240" w:lineRule="auto"/>
              <w:jc w:val="center"/>
              <w:rPr>
                <w:rFonts w:ascii="Arial" w:eastAsia="仿宋_GB2312" w:hAnsi="Arial" w:cs="Arial"/>
                <w:bCs/>
                <w:sz w:val="18"/>
                <w:szCs w:val="18"/>
              </w:rPr>
            </w:pPr>
          </w:p>
        </w:tc>
        <w:tc>
          <w:tcPr>
            <w:tcW w:w="327" w:type="pct"/>
            <w:vMerge/>
            <w:tcBorders>
              <w:bottom w:val="single" w:sz="4" w:space="0" w:color="auto"/>
            </w:tcBorders>
            <w:vAlign w:val="center"/>
          </w:tcPr>
          <w:p w14:paraId="55E1DA68"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vMerge/>
            <w:tcBorders>
              <w:bottom w:val="single" w:sz="4" w:space="0" w:color="auto"/>
            </w:tcBorders>
            <w:vAlign w:val="center"/>
          </w:tcPr>
          <w:p w14:paraId="54849987" w14:textId="77777777" w:rsidR="0077205E" w:rsidRPr="006B33D2" w:rsidRDefault="0077205E" w:rsidP="00E906EE">
            <w:pPr>
              <w:spacing w:line="240" w:lineRule="auto"/>
              <w:jc w:val="center"/>
              <w:rPr>
                <w:rFonts w:ascii="Arial" w:eastAsia="仿宋_GB2312" w:hAnsi="Arial" w:cs="Arial"/>
                <w:bCs/>
                <w:sz w:val="18"/>
                <w:szCs w:val="18"/>
              </w:rPr>
            </w:pPr>
          </w:p>
        </w:tc>
        <w:tc>
          <w:tcPr>
            <w:tcW w:w="280" w:type="pct"/>
            <w:vMerge/>
            <w:tcBorders>
              <w:bottom w:val="single" w:sz="4" w:space="0" w:color="auto"/>
            </w:tcBorders>
            <w:vAlign w:val="center"/>
          </w:tcPr>
          <w:p w14:paraId="7E02B066" w14:textId="77777777" w:rsidR="0077205E" w:rsidRPr="006B33D2" w:rsidRDefault="0077205E" w:rsidP="00E906EE">
            <w:pPr>
              <w:spacing w:line="240" w:lineRule="auto"/>
              <w:jc w:val="center"/>
              <w:rPr>
                <w:rFonts w:ascii="Arial" w:eastAsia="仿宋_GB2312" w:hAnsi="Arial" w:cs="Arial"/>
                <w:bCs/>
                <w:sz w:val="18"/>
                <w:szCs w:val="18"/>
              </w:rPr>
            </w:pPr>
          </w:p>
        </w:tc>
        <w:tc>
          <w:tcPr>
            <w:tcW w:w="420" w:type="pct"/>
            <w:vMerge/>
            <w:tcBorders>
              <w:bottom w:val="single" w:sz="4" w:space="0" w:color="auto"/>
            </w:tcBorders>
            <w:vAlign w:val="center"/>
          </w:tcPr>
          <w:p w14:paraId="48362986" w14:textId="77777777" w:rsidR="0077205E" w:rsidRPr="006B33D2" w:rsidRDefault="0077205E" w:rsidP="00E906EE">
            <w:pPr>
              <w:spacing w:line="240" w:lineRule="auto"/>
              <w:jc w:val="center"/>
              <w:rPr>
                <w:rFonts w:ascii="Arial" w:eastAsia="仿宋_GB2312" w:hAnsi="Arial" w:cs="Arial"/>
                <w:bCs/>
                <w:sz w:val="18"/>
                <w:szCs w:val="18"/>
              </w:rPr>
            </w:pPr>
          </w:p>
        </w:tc>
        <w:tc>
          <w:tcPr>
            <w:tcW w:w="280" w:type="pct"/>
            <w:vMerge/>
            <w:tcBorders>
              <w:bottom w:val="single" w:sz="4" w:space="0" w:color="auto"/>
            </w:tcBorders>
            <w:vAlign w:val="center"/>
          </w:tcPr>
          <w:p w14:paraId="60E3C5E1" w14:textId="77777777" w:rsidR="0077205E" w:rsidRPr="006B33D2" w:rsidRDefault="0077205E" w:rsidP="00E906EE">
            <w:pPr>
              <w:spacing w:line="240" w:lineRule="auto"/>
              <w:jc w:val="center"/>
              <w:rPr>
                <w:rFonts w:ascii="Arial" w:eastAsia="仿宋_GB2312" w:hAnsi="Arial" w:cs="Arial"/>
                <w:bCs/>
                <w:sz w:val="18"/>
                <w:szCs w:val="18"/>
              </w:rPr>
            </w:pPr>
          </w:p>
        </w:tc>
        <w:tc>
          <w:tcPr>
            <w:tcW w:w="421" w:type="pct"/>
            <w:vMerge/>
            <w:tcBorders>
              <w:bottom w:val="single" w:sz="4" w:space="0" w:color="auto"/>
            </w:tcBorders>
            <w:vAlign w:val="center"/>
          </w:tcPr>
          <w:p w14:paraId="1D2B3E87" w14:textId="77777777" w:rsidR="0077205E" w:rsidRPr="006B33D2" w:rsidRDefault="0077205E" w:rsidP="00E906EE">
            <w:pPr>
              <w:spacing w:line="240" w:lineRule="auto"/>
              <w:jc w:val="center"/>
              <w:rPr>
                <w:rFonts w:ascii="Arial" w:eastAsia="仿宋_GB2312" w:hAnsi="Arial" w:cs="Arial"/>
                <w:bCs/>
                <w:sz w:val="18"/>
                <w:szCs w:val="18"/>
              </w:rPr>
            </w:pPr>
          </w:p>
        </w:tc>
        <w:tc>
          <w:tcPr>
            <w:tcW w:w="418" w:type="pct"/>
            <w:vMerge/>
            <w:tcBorders>
              <w:bottom w:val="single" w:sz="4" w:space="0" w:color="auto"/>
            </w:tcBorders>
            <w:vAlign w:val="center"/>
          </w:tcPr>
          <w:p w14:paraId="1F0A8934"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3F4F9EAA" w14:textId="77777777" w:rsidTr="00E906EE">
        <w:trPr>
          <w:cantSplit/>
          <w:trHeight w:val="566"/>
          <w:jc w:val="center"/>
        </w:trPr>
        <w:tc>
          <w:tcPr>
            <w:tcW w:w="232" w:type="pct"/>
            <w:vMerge w:val="restart"/>
            <w:vAlign w:val="center"/>
          </w:tcPr>
          <w:p w14:paraId="5935641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北京城投地下空间开发建设有限公司</w:t>
            </w:r>
          </w:p>
        </w:tc>
        <w:tc>
          <w:tcPr>
            <w:tcW w:w="140" w:type="pct"/>
            <w:vMerge w:val="restart"/>
            <w:vAlign w:val="center"/>
          </w:tcPr>
          <w:p w14:paraId="704EE23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Merge w:val="restart"/>
            <w:vAlign w:val="center"/>
          </w:tcPr>
          <w:p w14:paraId="1D4A03F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北京市海淀区苏州街站一体化棚户区改造一次性招标项目</w:t>
            </w:r>
          </w:p>
        </w:tc>
        <w:tc>
          <w:tcPr>
            <w:tcW w:w="140" w:type="pct"/>
            <w:vMerge w:val="restart"/>
            <w:vAlign w:val="center"/>
          </w:tcPr>
          <w:p w14:paraId="3B880C3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234" w:type="pct"/>
            <w:vMerge w:val="restart"/>
            <w:vAlign w:val="center"/>
          </w:tcPr>
          <w:p w14:paraId="6D48F41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R</w:t>
            </w:r>
            <w:r w:rsidRPr="006B33D2">
              <w:rPr>
                <w:rFonts w:ascii="Arial" w:eastAsia="仿宋_GB2312" w:hAnsi="Arial" w:cs="Arial"/>
                <w:bCs/>
                <w:sz w:val="18"/>
                <w:szCs w:val="18"/>
              </w:rPr>
              <w:t>2</w:t>
            </w:r>
            <w:proofErr w:type="gramStart"/>
            <w:r w:rsidRPr="006B33D2">
              <w:rPr>
                <w:rFonts w:ascii="Arial" w:eastAsia="仿宋_GB2312" w:hAnsi="Arial" w:cs="Arial" w:hint="eastAsia"/>
                <w:bCs/>
                <w:sz w:val="18"/>
                <w:szCs w:val="18"/>
              </w:rPr>
              <w:t>二</w:t>
            </w:r>
            <w:proofErr w:type="gramEnd"/>
            <w:r w:rsidRPr="006B33D2">
              <w:rPr>
                <w:rFonts w:ascii="Arial" w:eastAsia="仿宋_GB2312" w:hAnsi="Arial" w:cs="Arial" w:hint="eastAsia"/>
                <w:bCs/>
                <w:sz w:val="18"/>
                <w:szCs w:val="18"/>
              </w:rPr>
              <w:t>类居住用地</w:t>
            </w:r>
          </w:p>
        </w:tc>
        <w:tc>
          <w:tcPr>
            <w:tcW w:w="233" w:type="pct"/>
            <w:vAlign w:val="center"/>
          </w:tcPr>
          <w:p w14:paraId="22C80D7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住宅</w:t>
            </w:r>
          </w:p>
        </w:tc>
        <w:tc>
          <w:tcPr>
            <w:tcW w:w="234" w:type="pct"/>
            <w:vAlign w:val="center"/>
          </w:tcPr>
          <w:p w14:paraId="6FB9474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住宅</w:t>
            </w:r>
          </w:p>
        </w:tc>
        <w:tc>
          <w:tcPr>
            <w:tcW w:w="140" w:type="pct"/>
            <w:vMerge w:val="restart"/>
            <w:vAlign w:val="center"/>
          </w:tcPr>
          <w:p w14:paraId="31EF44D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140" w:type="pct"/>
            <w:vMerge w:val="restart"/>
            <w:vAlign w:val="center"/>
          </w:tcPr>
          <w:p w14:paraId="433160E5"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140" w:type="pct"/>
            <w:vMerge w:val="restart"/>
            <w:vAlign w:val="center"/>
          </w:tcPr>
          <w:p w14:paraId="585F1B2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234" w:type="pct"/>
            <w:vMerge w:val="restart"/>
            <w:vAlign w:val="center"/>
          </w:tcPr>
          <w:p w14:paraId="53A107C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宗地外</w:t>
            </w:r>
            <w:r w:rsidRPr="006B33D2">
              <w:rPr>
                <w:rFonts w:ascii="Arial" w:eastAsia="仿宋_GB2312" w:hAnsi="Arial" w:cs="Arial"/>
                <w:bCs/>
                <w:sz w:val="18"/>
                <w:szCs w:val="18"/>
              </w:rPr>
              <w:t>“</w:t>
            </w:r>
            <w:r w:rsidRPr="006B33D2">
              <w:rPr>
                <w:rFonts w:ascii="Arial" w:eastAsia="仿宋_GB2312" w:hAnsi="Arial" w:cs="Arial"/>
                <w:bCs/>
                <w:sz w:val="18"/>
                <w:szCs w:val="18"/>
              </w:rPr>
              <w:t>七通</w:t>
            </w:r>
            <w:r w:rsidRPr="006B33D2">
              <w:rPr>
                <w:rFonts w:ascii="Arial" w:eastAsia="仿宋_GB2312" w:hAnsi="Arial" w:cs="Arial"/>
                <w:bCs/>
                <w:sz w:val="18"/>
                <w:szCs w:val="18"/>
              </w:rPr>
              <w:t>”</w:t>
            </w:r>
            <w:r w:rsidRPr="006B33D2">
              <w:rPr>
                <w:rFonts w:ascii="Arial" w:eastAsia="仿宋_GB2312" w:hAnsi="Arial" w:cs="Arial"/>
                <w:bCs/>
                <w:sz w:val="18"/>
                <w:szCs w:val="18"/>
              </w:rPr>
              <w:t>，宗地内建筑物正在进行结构施工</w:t>
            </w:r>
          </w:p>
        </w:tc>
        <w:tc>
          <w:tcPr>
            <w:tcW w:w="191" w:type="pct"/>
            <w:vMerge w:val="restart"/>
            <w:vAlign w:val="center"/>
          </w:tcPr>
          <w:p w14:paraId="63B40CA5"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宗地外</w:t>
            </w:r>
            <w:r w:rsidRPr="006B33D2">
              <w:rPr>
                <w:rFonts w:ascii="Arial" w:eastAsia="仿宋_GB2312" w:hAnsi="Arial" w:cs="Arial"/>
                <w:bCs/>
                <w:sz w:val="18"/>
                <w:szCs w:val="18"/>
              </w:rPr>
              <w:t>“</w:t>
            </w:r>
            <w:r w:rsidRPr="006B33D2">
              <w:rPr>
                <w:rFonts w:ascii="Arial" w:eastAsia="仿宋_GB2312" w:hAnsi="Arial" w:cs="Arial"/>
                <w:bCs/>
                <w:sz w:val="18"/>
                <w:szCs w:val="18"/>
              </w:rPr>
              <w:t>七通</w:t>
            </w:r>
            <w:r w:rsidRPr="006B33D2">
              <w:rPr>
                <w:rFonts w:ascii="Arial" w:eastAsia="仿宋_GB2312" w:hAnsi="Arial" w:cs="Arial"/>
                <w:bCs/>
                <w:sz w:val="18"/>
                <w:szCs w:val="18"/>
              </w:rPr>
              <w:t>”</w:t>
            </w:r>
            <w:r w:rsidRPr="006B33D2">
              <w:rPr>
                <w:rFonts w:ascii="Arial" w:eastAsia="仿宋_GB2312" w:hAnsi="Arial" w:cs="Arial"/>
                <w:bCs/>
                <w:sz w:val="18"/>
                <w:szCs w:val="18"/>
              </w:rPr>
              <w:t>，宗地内</w:t>
            </w:r>
            <w:r w:rsidRPr="006B33D2">
              <w:rPr>
                <w:rFonts w:ascii="Arial" w:eastAsia="仿宋_GB2312" w:hAnsi="Arial" w:cs="Arial"/>
                <w:bCs/>
                <w:sz w:val="18"/>
                <w:szCs w:val="18"/>
              </w:rPr>
              <w:t>“</w:t>
            </w:r>
            <w:r w:rsidRPr="006B33D2">
              <w:rPr>
                <w:rFonts w:ascii="Arial" w:eastAsia="仿宋_GB2312" w:hAnsi="Arial" w:cs="Arial"/>
                <w:bCs/>
                <w:sz w:val="18"/>
                <w:szCs w:val="18"/>
              </w:rPr>
              <w:t>场地平整</w:t>
            </w:r>
            <w:r w:rsidRPr="006B33D2">
              <w:rPr>
                <w:rFonts w:ascii="Arial" w:eastAsia="仿宋_GB2312" w:hAnsi="Arial" w:cs="Arial"/>
                <w:bCs/>
                <w:sz w:val="18"/>
                <w:szCs w:val="18"/>
              </w:rPr>
              <w:t>”</w:t>
            </w:r>
          </w:p>
        </w:tc>
        <w:tc>
          <w:tcPr>
            <w:tcW w:w="234" w:type="pct"/>
            <w:vAlign w:val="center"/>
          </w:tcPr>
          <w:p w14:paraId="0D560E5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7</w:t>
            </w:r>
            <w:r w:rsidRPr="006B33D2">
              <w:rPr>
                <w:rFonts w:ascii="Arial" w:eastAsia="仿宋_GB2312" w:hAnsi="Arial" w:cs="Arial"/>
                <w:bCs/>
                <w:sz w:val="18"/>
                <w:szCs w:val="18"/>
              </w:rPr>
              <w:t>0</w:t>
            </w:r>
          </w:p>
        </w:tc>
        <w:tc>
          <w:tcPr>
            <w:tcW w:w="327" w:type="pct"/>
            <w:vMerge w:val="restart"/>
            <w:vAlign w:val="center"/>
          </w:tcPr>
          <w:p w14:paraId="3971689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6180.978</w:t>
            </w:r>
          </w:p>
        </w:tc>
        <w:tc>
          <w:tcPr>
            <w:tcW w:w="328" w:type="pct"/>
            <w:tcBorders>
              <w:left w:val="single" w:sz="4" w:space="0" w:color="auto"/>
            </w:tcBorders>
            <w:vAlign w:val="center"/>
          </w:tcPr>
          <w:p w14:paraId="4EC53C4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28075 </w:t>
            </w:r>
          </w:p>
        </w:tc>
        <w:tc>
          <w:tcPr>
            <w:tcW w:w="280" w:type="pct"/>
            <w:tcBorders>
              <w:left w:val="single" w:sz="4" w:space="0" w:color="auto"/>
              <w:right w:val="single" w:sz="4" w:space="0" w:color="auto"/>
            </w:tcBorders>
            <w:vAlign w:val="center"/>
          </w:tcPr>
          <w:p w14:paraId="7FA6FD3B" w14:textId="2650526F"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79598</w:t>
            </w:r>
            <w:r w:rsidR="0077205E"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444DC788" w14:textId="75D92BEC"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223471.3850</w:t>
            </w:r>
          </w:p>
        </w:tc>
        <w:tc>
          <w:tcPr>
            <w:tcW w:w="280" w:type="pct"/>
            <w:tcBorders>
              <w:left w:val="single" w:sz="4" w:space="0" w:color="auto"/>
              <w:right w:val="single" w:sz="4" w:space="0" w:color="auto"/>
            </w:tcBorders>
            <w:vAlign w:val="center"/>
          </w:tcPr>
          <w:p w14:paraId="76EC7310" w14:textId="55CD43C3"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19900</w:t>
            </w:r>
          </w:p>
        </w:tc>
        <w:tc>
          <w:tcPr>
            <w:tcW w:w="421" w:type="pct"/>
            <w:tcBorders>
              <w:left w:val="single" w:sz="4" w:space="0" w:color="auto"/>
              <w:right w:val="single" w:sz="4" w:space="0" w:color="auto"/>
            </w:tcBorders>
            <w:vAlign w:val="center"/>
          </w:tcPr>
          <w:p w14:paraId="680711AA" w14:textId="6CEC7D3F"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55869.2500</w:t>
            </w:r>
          </w:p>
        </w:tc>
        <w:tc>
          <w:tcPr>
            <w:tcW w:w="418" w:type="pct"/>
            <w:vMerge w:val="restart"/>
            <w:tcBorders>
              <w:left w:val="single" w:sz="4" w:space="0" w:color="auto"/>
            </w:tcBorders>
            <w:vAlign w:val="center"/>
          </w:tcPr>
          <w:p w14:paraId="723D937A" w14:textId="6DABD58B" w:rsidR="0077205E" w:rsidRPr="006B33D2" w:rsidRDefault="00443EF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61093.2435</w:t>
            </w:r>
          </w:p>
        </w:tc>
      </w:tr>
      <w:tr w:rsidR="0077205E" w:rsidRPr="006B33D2" w14:paraId="02B6726A" w14:textId="77777777" w:rsidTr="00E906EE">
        <w:trPr>
          <w:cantSplit/>
          <w:trHeight w:val="546"/>
          <w:jc w:val="center"/>
        </w:trPr>
        <w:tc>
          <w:tcPr>
            <w:tcW w:w="232" w:type="pct"/>
            <w:vMerge/>
            <w:vAlign w:val="center"/>
          </w:tcPr>
          <w:p w14:paraId="6C86B699"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0717F96E" w14:textId="77777777" w:rsidR="0077205E" w:rsidRPr="006B33D2" w:rsidRDefault="0077205E" w:rsidP="00E906EE">
            <w:pPr>
              <w:spacing w:line="240" w:lineRule="auto"/>
              <w:jc w:val="center"/>
              <w:rPr>
                <w:rFonts w:ascii="Arial" w:hAnsi="Arial" w:cs="Arial"/>
                <w:bCs/>
                <w:sz w:val="18"/>
                <w:szCs w:val="18"/>
              </w:rPr>
            </w:pPr>
          </w:p>
        </w:tc>
        <w:tc>
          <w:tcPr>
            <w:tcW w:w="234" w:type="pct"/>
            <w:vMerge/>
            <w:vAlign w:val="center"/>
          </w:tcPr>
          <w:p w14:paraId="3DC8AF87"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57029B38"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1A0990A2" w14:textId="77777777" w:rsidR="0077205E" w:rsidRPr="006B33D2" w:rsidRDefault="0077205E" w:rsidP="00E906EE">
            <w:pPr>
              <w:spacing w:line="240" w:lineRule="auto"/>
              <w:jc w:val="center"/>
              <w:rPr>
                <w:rFonts w:ascii="Arial" w:eastAsia="仿宋_GB2312" w:hAnsi="Arial" w:cs="Arial"/>
                <w:bCs/>
                <w:sz w:val="18"/>
                <w:szCs w:val="18"/>
              </w:rPr>
            </w:pPr>
          </w:p>
        </w:tc>
        <w:tc>
          <w:tcPr>
            <w:tcW w:w="233" w:type="pct"/>
            <w:vAlign w:val="center"/>
          </w:tcPr>
          <w:p w14:paraId="7BFE4FC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商业</w:t>
            </w:r>
          </w:p>
        </w:tc>
        <w:tc>
          <w:tcPr>
            <w:tcW w:w="234" w:type="pct"/>
            <w:vAlign w:val="center"/>
          </w:tcPr>
          <w:p w14:paraId="664820B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商业</w:t>
            </w:r>
          </w:p>
        </w:tc>
        <w:tc>
          <w:tcPr>
            <w:tcW w:w="140" w:type="pct"/>
            <w:vMerge/>
            <w:vAlign w:val="center"/>
          </w:tcPr>
          <w:p w14:paraId="781D1EEB"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10380DEB"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517A9D41"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67EF98E2"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vAlign w:val="center"/>
          </w:tcPr>
          <w:p w14:paraId="6DC900DF"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Align w:val="center"/>
          </w:tcPr>
          <w:p w14:paraId="533364FE"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4</w:t>
            </w:r>
            <w:r w:rsidRPr="006B33D2">
              <w:rPr>
                <w:rFonts w:ascii="Arial" w:eastAsia="仿宋_GB2312" w:hAnsi="Arial" w:cs="Arial"/>
                <w:bCs/>
                <w:sz w:val="18"/>
                <w:szCs w:val="18"/>
              </w:rPr>
              <w:t>0</w:t>
            </w:r>
          </w:p>
        </w:tc>
        <w:tc>
          <w:tcPr>
            <w:tcW w:w="327" w:type="pct"/>
            <w:vMerge/>
            <w:vAlign w:val="center"/>
          </w:tcPr>
          <w:p w14:paraId="75B65962"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6F900121"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3318 </w:t>
            </w:r>
          </w:p>
        </w:tc>
        <w:tc>
          <w:tcPr>
            <w:tcW w:w="280" w:type="pct"/>
            <w:tcBorders>
              <w:left w:val="single" w:sz="4" w:space="0" w:color="auto"/>
              <w:right w:val="single" w:sz="4" w:space="0" w:color="auto"/>
            </w:tcBorders>
            <w:vAlign w:val="center"/>
          </w:tcPr>
          <w:p w14:paraId="02884B00" w14:textId="5640CA7F"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30853</w:t>
            </w:r>
            <w:r w:rsidR="0077205E"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41B1E3CA" w14:textId="52D2479A"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10237.0254</w:t>
            </w:r>
          </w:p>
        </w:tc>
        <w:tc>
          <w:tcPr>
            <w:tcW w:w="280" w:type="pct"/>
            <w:tcBorders>
              <w:left w:val="single" w:sz="4" w:space="0" w:color="auto"/>
              <w:right w:val="single" w:sz="4" w:space="0" w:color="auto"/>
            </w:tcBorders>
            <w:vAlign w:val="center"/>
          </w:tcPr>
          <w:p w14:paraId="607C9D57" w14:textId="237CAD19"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7713</w:t>
            </w:r>
          </w:p>
        </w:tc>
        <w:tc>
          <w:tcPr>
            <w:tcW w:w="421" w:type="pct"/>
            <w:tcBorders>
              <w:left w:val="single" w:sz="4" w:space="0" w:color="auto"/>
              <w:right w:val="single" w:sz="4" w:space="0" w:color="auto"/>
            </w:tcBorders>
            <w:vAlign w:val="center"/>
          </w:tcPr>
          <w:p w14:paraId="27AD0519" w14:textId="3829640E"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2559.1734</w:t>
            </w:r>
          </w:p>
        </w:tc>
        <w:tc>
          <w:tcPr>
            <w:tcW w:w="418" w:type="pct"/>
            <w:vMerge/>
            <w:tcBorders>
              <w:left w:val="single" w:sz="4" w:space="0" w:color="auto"/>
            </w:tcBorders>
            <w:vAlign w:val="center"/>
          </w:tcPr>
          <w:p w14:paraId="33A9588A"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7BC5C2FC" w14:textId="77777777" w:rsidTr="00E906EE">
        <w:trPr>
          <w:cantSplit/>
          <w:trHeight w:val="568"/>
          <w:jc w:val="center"/>
        </w:trPr>
        <w:tc>
          <w:tcPr>
            <w:tcW w:w="232" w:type="pct"/>
            <w:vMerge/>
            <w:vAlign w:val="center"/>
          </w:tcPr>
          <w:p w14:paraId="2C4FFC8A"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1397FE2C" w14:textId="77777777" w:rsidR="0077205E" w:rsidRPr="006B33D2" w:rsidRDefault="0077205E" w:rsidP="00E906EE">
            <w:pPr>
              <w:spacing w:line="240" w:lineRule="auto"/>
              <w:jc w:val="center"/>
              <w:rPr>
                <w:rFonts w:ascii="Arial" w:hAnsi="Arial" w:cs="Arial"/>
                <w:bCs/>
                <w:sz w:val="18"/>
                <w:szCs w:val="18"/>
              </w:rPr>
            </w:pPr>
          </w:p>
        </w:tc>
        <w:tc>
          <w:tcPr>
            <w:tcW w:w="234" w:type="pct"/>
            <w:vMerge/>
            <w:vAlign w:val="center"/>
          </w:tcPr>
          <w:p w14:paraId="48FEA5C4"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6C2A2A7D"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28ACF8E5" w14:textId="77777777" w:rsidR="0077205E" w:rsidRPr="006B33D2" w:rsidRDefault="0077205E" w:rsidP="00E906EE">
            <w:pPr>
              <w:spacing w:line="240" w:lineRule="auto"/>
              <w:jc w:val="center"/>
              <w:rPr>
                <w:rFonts w:ascii="Arial" w:eastAsia="仿宋_GB2312" w:hAnsi="Arial" w:cs="Arial"/>
                <w:bCs/>
                <w:sz w:val="18"/>
                <w:szCs w:val="18"/>
              </w:rPr>
            </w:pPr>
          </w:p>
        </w:tc>
        <w:tc>
          <w:tcPr>
            <w:tcW w:w="233" w:type="pct"/>
            <w:vAlign w:val="center"/>
          </w:tcPr>
          <w:p w14:paraId="0ED529D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办公</w:t>
            </w:r>
          </w:p>
        </w:tc>
        <w:tc>
          <w:tcPr>
            <w:tcW w:w="234" w:type="pct"/>
            <w:vAlign w:val="center"/>
          </w:tcPr>
          <w:p w14:paraId="22B3870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办公</w:t>
            </w:r>
          </w:p>
        </w:tc>
        <w:tc>
          <w:tcPr>
            <w:tcW w:w="140" w:type="pct"/>
            <w:vMerge/>
            <w:vAlign w:val="center"/>
          </w:tcPr>
          <w:p w14:paraId="5C501AE4"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082486A1"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7C4D943E"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473D12D9"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vAlign w:val="center"/>
          </w:tcPr>
          <w:p w14:paraId="0D08E048"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Align w:val="center"/>
          </w:tcPr>
          <w:p w14:paraId="2890EEA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5B1FE42A"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7181103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118 </w:t>
            </w:r>
          </w:p>
        </w:tc>
        <w:tc>
          <w:tcPr>
            <w:tcW w:w="280" w:type="pct"/>
            <w:tcBorders>
              <w:left w:val="single" w:sz="4" w:space="0" w:color="auto"/>
              <w:right w:val="single" w:sz="4" w:space="0" w:color="auto"/>
            </w:tcBorders>
            <w:vAlign w:val="center"/>
          </w:tcPr>
          <w:p w14:paraId="7F593DCA" w14:textId="1455C126"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30708</w:t>
            </w:r>
          </w:p>
        </w:tc>
        <w:tc>
          <w:tcPr>
            <w:tcW w:w="420" w:type="pct"/>
            <w:tcBorders>
              <w:left w:val="single" w:sz="4" w:space="0" w:color="auto"/>
              <w:right w:val="single" w:sz="4" w:space="0" w:color="auto"/>
            </w:tcBorders>
            <w:vAlign w:val="center"/>
          </w:tcPr>
          <w:p w14:paraId="1DA466CC" w14:textId="118D3D58"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362.3544</w:t>
            </w:r>
          </w:p>
        </w:tc>
        <w:tc>
          <w:tcPr>
            <w:tcW w:w="280" w:type="pct"/>
            <w:tcBorders>
              <w:left w:val="single" w:sz="4" w:space="0" w:color="auto"/>
              <w:right w:val="single" w:sz="4" w:space="0" w:color="auto"/>
            </w:tcBorders>
            <w:vAlign w:val="center"/>
          </w:tcPr>
          <w:p w14:paraId="47084FB0" w14:textId="2D319777"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7677</w:t>
            </w:r>
          </w:p>
        </w:tc>
        <w:tc>
          <w:tcPr>
            <w:tcW w:w="421" w:type="pct"/>
            <w:tcBorders>
              <w:left w:val="single" w:sz="4" w:space="0" w:color="auto"/>
              <w:right w:val="single" w:sz="4" w:space="0" w:color="auto"/>
            </w:tcBorders>
            <w:vAlign w:val="center"/>
          </w:tcPr>
          <w:p w14:paraId="24E5F9E4" w14:textId="4C5284FE"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90.5886</w:t>
            </w:r>
          </w:p>
        </w:tc>
        <w:tc>
          <w:tcPr>
            <w:tcW w:w="418" w:type="pct"/>
            <w:vMerge/>
            <w:tcBorders>
              <w:left w:val="single" w:sz="4" w:space="0" w:color="auto"/>
            </w:tcBorders>
            <w:vAlign w:val="center"/>
          </w:tcPr>
          <w:p w14:paraId="25B06956"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1EAB93F1" w14:textId="77777777" w:rsidTr="00E906EE">
        <w:trPr>
          <w:cantSplit/>
          <w:trHeight w:val="846"/>
          <w:jc w:val="center"/>
        </w:trPr>
        <w:tc>
          <w:tcPr>
            <w:tcW w:w="232" w:type="pct"/>
            <w:vMerge/>
            <w:vAlign w:val="center"/>
          </w:tcPr>
          <w:p w14:paraId="6CD626F8"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6EA1E7CF" w14:textId="77777777" w:rsidR="0077205E" w:rsidRPr="006B33D2" w:rsidRDefault="0077205E" w:rsidP="00E906EE">
            <w:pPr>
              <w:spacing w:line="240" w:lineRule="auto"/>
              <w:jc w:val="center"/>
              <w:rPr>
                <w:rFonts w:ascii="Arial" w:hAnsi="Arial" w:cs="Arial"/>
                <w:bCs/>
                <w:sz w:val="18"/>
                <w:szCs w:val="18"/>
              </w:rPr>
            </w:pPr>
          </w:p>
        </w:tc>
        <w:tc>
          <w:tcPr>
            <w:tcW w:w="234" w:type="pct"/>
            <w:vMerge/>
            <w:vAlign w:val="center"/>
          </w:tcPr>
          <w:p w14:paraId="5446E9CF"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3F847C8C"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58AAD23C" w14:textId="77777777" w:rsidR="0077205E" w:rsidRPr="006B33D2" w:rsidRDefault="0077205E" w:rsidP="00E906EE">
            <w:pPr>
              <w:spacing w:line="240" w:lineRule="auto"/>
              <w:jc w:val="center"/>
              <w:rPr>
                <w:rFonts w:ascii="Arial" w:eastAsia="仿宋_GB2312" w:hAnsi="Arial" w:cs="Arial"/>
                <w:bCs/>
                <w:sz w:val="18"/>
                <w:szCs w:val="18"/>
              </w:rPr>
            </w:pPr>
          </w:p>
        </w:tc>
        <w:tc>
          <w:tcPr>
            <w:tcW w:w="233" w:type="pct"/>
            <w:vAlign w:val="center"/>
          </w:tcPr>
          <w:p w14:paraId="2C503DA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地下办公</w:t>
            </w:r>
          </w:p>
        </w:tc>
        <w:tc>
          <w:tcPr>
            <w:tcW w:w="234" w:type="pct"/>
            <w:vAlign w:val="center"/>
          </w:tcPr>
          <w:p w14:paraId="1D5A4B85"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地下办公</w:t>
            </w:r>
          </w:p>
        </w:tc>
        <w:tc>
          <w:tcPr>
            <w:tcW w:w="140" w:type="pct"/>
            <w:vMerge/>
            <w:vAlign w:val="center"/>
          </w:tcPr>
          <w:p w14:paraId="2C0FFFF7"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7CDB679D"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0822FDC8"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416E8BFE"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vAlign w:val="center"/>
          </w:tcPr>
          <w:p w14:paraId="48FD5ACD"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Align w:val="center"/>
          </w:tcPr>
          <w:p w14:paraId="3A9147E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72807C86"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46361A7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32 </w:t>
            </w:r>
          </w:p>
        </w:tc>
        <w:tc>
          <w:tcPr>
            <w:tcW w:w="280" w:type="pct"/>
            <w:tcBorders>
              <w:left w:val="single" w:sz="4" w:space="0" w:color="auto"/>
              <w:right w:val="single" w:sz="4" w:space="0" w:color="auto"/>
            </w:tcBorders>
            <w:vAlign w:val="center"/>
          </w:tcPr>
          <w:p w14:paraId="24A11AF9" w14:textId="6BCAF899"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9538</w:t>
            </w:r>
          </w:p>
        </w:tc>
        <w:tc>
          <w:tcPr>
            <w:tcW w:w="420" w:type="pct"/>
            <w:tcBorders>
              <w:left w:val="single" w:sz="4" w:space="0" w:color="auto"/>
              <w:right w:val="single" w:sz="4" w:space="0" w:color="auto"/>
            </w:tcBorders>
            <w:vAlign w:val="center"/>
          </w:tcPr>
          <w:p w14:paraId="53948598" w14:textId="0CB0FE2D"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30.5216</w:t>
            </w:r>
          </w:p>
        </w:tc>
        <w:tc>
          <w:tcPr>
            <w:tcW w:w="280" w:type="pct"/>
            <w:tcBorders>
              <w:left w:val="single" w:sz="4" w:space="0" w:color="auto"/>
              <w:right w:val="single" w:sz="4" w:space="0" w:color="auto"/>
            </w:tcBorders>
            <w:vAlign w:val="center"/>
          </w:tcPr>
          <w:p w14:paraId="03D5E879" w14:textId="23AD6A96"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2385</w:t>
            </w:r>
          </w:p>
        </w:tc>
        <w:tc>
          <w:tcPr>
            <w:tcW w:w="421" w:type="pct"/>
            <w:tcBorders>
              <w:left w:val="single" w:sz="4" w:space="0" w:color="auto"/>
              <w:right w:val="single" w:sz="4" w:space="0" w:color="auto"/>
            </w:tcBorders>
            <w:vAlign w:val="center"/>
          </w:tcPr>
          <w:p w14:paraId="40440BAD" w14:textId="7A23426B" w:rsidR="0077205E" w:rsidRPr="006B33D2" w:rsidRDefault="000B7D55"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7.6320</w:t>
            </w:r>
          </w:p>
        </w:tc>
        <w:tc>
          <w:tcPr>
            <w:tcW w:w="418" w:type="pct"/>
            <w:vMerge/>
            <w:tcBorders>
              <w:left w:val="single" w:sz="4" w:space="0" w:color="auto"/>
            </w:tcBorders>
            <w:vAlign w:val="center"/>
          </w:tcPr>
          <w:p w14:paraId="0D80BBA6"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6E12331D" w14:textId="77777777" w:rsidTr="00E906EE">
        <w:trPr>
          <w:cantSplit/>
          <w:trHeight w:val="830"/>
          <w:jc w:val="center"/>
        </w:trPr>
        <w:tc>
          <w:tcPr>
            <w:tcW w:w="232" w:type="pct"/>
            <w:vMerge/>
            <w:vAlign w:val="center"/>
          </w:tcPr>
          <w:p w14:paraId="375746B7"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2A409CDE" w14:textId="77777777" w:rsidR="0077205E" w:rsidRPr="006B33D2" w:rsidRDefault="0077205E" w:rsidP="00E906EE">
            <w:pPr>
              <w:spacing w:line="240" w:lineRule="auto"/>
              <w:jc w:val="center"/>
              <w:rPr>
                <w:rFonts w:ascii="Arial" w:hAnsi="Arial" w:cs="Arial"/>
                <w:bCs/>
                <w:sz w:val="18"/>
                <w:szCs w:val="18"/>
              </w:rPr>
            </w:pPr>
          </w:p>
        </w:tc>
        <w:tc>
          <w:tcPr>
            <w:tcW w:w="234" w:type="pct"/>
            <w:vMerge/>
            <w:vAlign w:val="center"/>
          </w:tcPr>
          <w:p w14:paraId="0BCEC7F2"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16D9337B"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2598C1BD" w14:textId="77777777" w:rsidR="0077205E" w:rsidRPr="006B33D2" w:rsidRDefault="0077205E" w:rsidP="00E906EE">
            <w:pPr>
              <w:spacing w:line="240" w:lineRule="auto"/>
              <w:jc w:val="center"/>
              <w:rPr>
                <w:rFonts w:ascii="Arial" w:eastAsia="仿宋_GB2312" w:hAnsi="Arial" w:cs="Arial"/>
                <w:bCs/>
                <w:sz w:val="18"/>
                <w:szCs w:val="18"/>
              </w:rPr>
            </w:pPr>
          </w:p>
        </w:tc>
        <w:tc>
          <w:tcPr>
            <w:tcW w:w="233" w:type="pct"/>
            <w:vAlign w:val="center"/>
          </w:tcPr>
          <w:p w14:paraId="704D3125"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地下车库</w:t>
            </w:r>
          </w:p>
        </w:tc>
        <w:tc>
          <w:tcPr>
            <w:tcW w:w="234" w:type="pct"/>
            <w:vAlign w:val="center"/>
          </w:tcPr>
          <w:p w14:paraId="5C634F3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地下车库</w:t>
            </w:r>
          </w:p>
        </w:tc>
        <w:tc>
          <w:tcPr>
            <w:tcW w:w="140" w:type="pct"/>
            <w:vMerge/>
            <w:vAlign w:val="center"/>
          </w:tcPr>
          <w:p w14:paraId="68E253FB"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4DBCB912"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5C14CF2A"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255C601E"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vAlign w:val="center"/>
          </w:tcPr>
          <w:p w14:paraId="63E01AEA"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Align w:val="center"/>
          </w:tcPr>
          <w:p w14:paraId="27756FCE"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5F4F01C8"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75044E9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10345.02 </w:t>
            </w:r>
          </w:p>
        </w:tc>
        <w:tc>
          <w:tcPr>
            <w:tcW w:w="280" w:type="pct"/>
            <w:tcBorders>
              <w:left w:val="single" w:sz="4" w:space="0" w:color="auto"/>
              <w:right w:val="single" w:sz="4" w:space="0" w:color="auto"/>
            </w:tcBorders>
            <w:vAlign w:val="center"/>
          </w:tcPr>
          <w:p w14:paraId="4147D723" w14:textId="282468A5" w:rsidR="0077205E" w:rsidRPr="006B33D2" w:rsidRDefault="00443EF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9922</w:t>
            </w:r>
            <w:r w:rsidR="0077205E"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7C154349" w14:textId="44561B41" w:rsidR="0077205E" w:rsidRPr="006B33D2" w:rsidRDefault="00443EF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10264.3288</w:t>
            </w:r>
          </w:p>
        </w:tc>
        <w:tc>
          <w:tcPr>
            <w:tcW w:w="280" w:type="pct"/>
            <w:tcBorders>
              <w:left w:val="single" w:sz="4" w:space="0" w:color="auto"/>
              <w:right w:val="single" w:sz="4" w:space="0" w:color="auto"/>
            </w:tcBorders>
            <w:vAlign w:val="center"/>
          </w:tcPr>
          <w:p w14:paraId="56C34519" w14:textId="7DAC0E2D" w:rsidR="0077205E" w:rsidRPr="006B33D2" w:rsidRDefault="00443EF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2481</w:t>
            </w:r>
          </w:p>
        </w:tc>
        <w:tc>
          <w:tcPr>
            <w:tcW w:w="421" w:type="pct"/>
            <w:tcBorders>
              <w:left w:val="single" w:sz="4" w:space="0" w:color="auto"/>
              <w:right w:val="single" w:sz="4" w:space="0" w:color="auto"/>
            </w:tcBorders>
            <w:vAlign w:val="center"/>
          </w:tcPr>
          <w:p w14:paraId="1C3EBA68" w14:textId="4142427A" w:rsidR="0077205E" w:rsidRPr="006B33D2" w:rsidRDefault="00443EF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2566.5995</w:t>
            </w:r>
          </w:p>
        </w:tc>
        <w:tc>
          <w:tcPr>
            <w:tcW w:w="418" w:type="pct"/>
            <w:vMerge/>
            <w:tcBorders>
              <w:left w:val="single" w:sz="4" w:space="0" w:color="auto"/>
            </w:tcBorders>
            <w:vAlign w:val="center"/>
          </w:tcPr>
          <w:p w14:paraId="2D81F7F5"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6823C6FC" w14:textId="77777777" w:rsidTr="00E906EE">
        <w:trPr>
          <w:cantSplit/>
          <w:trHeight w:val="830"/>
          <w:jc w:val="center"/>
        </w:trPr>
        <w:tc>
          <w:tcPr>
            <w:tcW w:w="232" w:type="pct"/>
            <w:vAlign w:val="center"/>
          </w:tcPr>
          <w:p w14:paraId="4B3FD9D1"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合计</w:t>
            </w:r>
          </w:p>
        </w:tc>
        <w:tc>
          <w:tcPr>
            <w:tcW w:w="140" w:type="pct"/>
            <w:vAlign w:val="center"/>
          </w:tcPr>
          <w:p w14:paraId="6B94118C" w14:textId="77777777" w:rsidR="0077205E" w:rsidRPr="006B33D2" w:rsidRDefault="0077205E" w:rsidP="00E906EE">
            <w:pPr>
              <w:spacing w:line="240" w:lineRule="auto"/>
              <w:jc w:val="center"/>
              <w:rPr>
                <w:rFonts w:ascii="Arial" w:hAnsi="Arial" w:cs="Arial"/>
                <w:bCs/>
                <w:sz w:val="18"/>
                <w:szCs w:val="18"/>
              </w:rPr>
            </w:pPr>
            <w:r w:rsidRPr="006B33D2">
              <w:rPr>
                <w:rFonts w:ascii="Arial" w:hAnsi="Arial" w:cs="Arial"/>
                <w:bCs/>
                <w:sz w:val="18"/>
                <w:szCs w:val="18"/>
              </w:rPr>
              <w:t>--</w:t>
            </w:r>
          </w:p>
        </w:tc>
        <w:tc>
          <w:tcPr>
            <w:tcW w:w="234" w:type="pct"/>
            <w:vAlign w:val="center"/>
          </w:tcPr>
          <w:p w14:paraId="2A7213E8"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7572826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45024C9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3" w:type="pct"/>
            <w:vAlign w:val="center"/>
          </w:tcPr>
          <w:p w14:paraId="0441114E"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4F4185A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1FB1008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646D2E7A"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4B9CE173"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5C81DE8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91" w:type="pct"/>
            <w:vAlign w:val="center"/>
          </w:tcPr>
          <w:p w14:paraId="7D42D481"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07DF558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327" w:type="pct"/>
            <w:vAlign w:val="center"/>
          </w:tcPr>
          <w:p w14:paraId="1DE198EE"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6180.978</w:t>
            </w:r>
          </w:p>
        </w:tc>
        <w:tc>
          <w:tcPr>
            <w:tcW w:w="328" w:type="pct"/>
            <w:tcBorders>
              <w:left w:val="single" w:sz="4" w:space="0" w:color="auto"/>
            </w:tcBorders>
            <w:vAlign w:val="center"/>
          </w:tcPr>
          <w:p w14:paraId="72B4975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41888.02</w:t>
            </w:r>
          </w:p>
        </w:tc>
        <w:tc>
          <w:tcPr>
            <w:tcW w:w="280" w:type="pct"/>
            <w:tcBorders>
              <w:left w:val="single" w:sz="4" w:space="0" w:color="auto"/>
              <w:right w:val="single" w:sz="4" w:space="0" w:color="auto"/>
            </w:tcBorders>
            <w:vAlign w:val="center"/>
          </w:tcPr>
          <w:p w14:paraId="151F8768"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420" w:type="pct"/>
            <w:tcBorders>
              <w:left w:val="single" w:sz="4" w:space="0" w:color="auto"/>
              <w:right w:val="single" w:sz="4" w:space="0" w:color="auto"/>
            </w:tcBorders>
            <w:vAlign w:val="center"/>
          </w:tcPr>
          <w:p w14:paraId="759A524E" w14:textId="1AB34322" w:rsidR="0077205E" w:rsidRPr="006B33D2" w:rsidRDefault="00443EF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244365.6152</w:t>
            </w:r>
          </w:p>
        </w:tc>
        <w:tc>
          <w:tcPr>
            <w:tcW w:w="280" w:type="pct"/>
            <w:tcBorders>
              <w:left w:val="single" w:sz="4" w:space="0" w:color="auto"/>
              <w:right w:val="single" w:sz="4" w:space="0" w:color="auto"/>
            </w:tcBorders>
            <w:vAlign w:val="center"/>
          </w:tcPr>
          <w:p w14:paraId="3C547D03"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421" w:type="pct"/>
            <w:tcBorders>
              <w:left w:val="single" w:sz="4" w:space="0" w:color="auto"/>
              <w:right w:val="single" w:sz="4" w:space="0" w:color="auto"/>
            </w:tcBorders>
            <w:vAlign w:val="center"/>
          </w:tcPr>
          <w:p w14:paraId="104CAD8A" w14:textId="5D461AAB" w:rsidR="0077205E" w:rsidRPr="006B33D2" w:rsidRDefault="00443EF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61093.2435</w:t>
            </w:r>
          </w:p>
        </w:tc>
        <w:tc>
          <w:tcPr>
            <w:tcW w:w="418" w:type="pct"/>
            <w:tcBorders>
              <w:left w:val="single" w:sz="4" w:space="0" w:color="auto"/>
            </w:tcBorders>
            <w:vAlign w:val="center"/>
          </w:tcPr>
          <w:p w14:paraId="68AA4B9D" w14:textId="1518631B" w:rsidR="0077205E" w:rsidRPr="006B33D2" w:rsidRDefault="00443EF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61093.2435</w:t>
            </w:r>
          </w:p>
        </w:tc>
      </w:tr>
    </w:tbl>
    <w:p w14:paraId="446E5DAF" w14:textId="35E73C81" w:rsidR="002C3ABF" w:rsidRPr="00584C10" w:rsidRDefault="002C3ABF" w:rsidP="00584C10">
      <w:pPr>
        <w:spacing w:line="360" w:lineRule="auto"/>
        <w:rPr>
          <w:rFonts w:ascii="Arial" w:eastAsia="仿宋_GB2312" w:hAnsi="Arial" w:cs="Arial"/>
          <w:sz w:val="18"/>
          <w:szCs w:val="18"/>
        </w:rPr>
        <w:sectPr w:rsidR="002C3ABF" w:rsidRPr="00584C10">
          <w:headerReference w:type="first" r:id="rId92"/>
          <w:pgSz w:w="16840" w:h="11907" w:orient="landscape"/>
          <w:pgMar w:top="1508" w:right="1134" w:bottom="1134" w:left="1134" w:header="1134" w:footer="907" w:gutter="340"/>
          <w:cols w:space="720"/>
          <w:titlePg/>
          <w:docGrid w:linePitch="326"/>
        </w:sectPr>
      </w:pPr>
      <w:r w:rsidRPr="00F631FB">
        <w:rPr>
          <w:rFonts w:ascii="Arial" w:eastAsia="仿宋_GB2312" w:hAnsi="Arial" w:cs="Arial"/>
          <w:sz w:val="18"/>
          <w:szCs w:val="18"/>
        </w:rPr>
        <w:t>币种：人民币</w:t>
      </w:r>
    </w:p>
    <w:p w14:paraId="4937CF96" w14:textId="5F5D32DC" w:rsidR="002C3ABF" w:rsidRDefault="002C3ABF" w:rsidP="002C3ABF">
      <w:pPr>
        <w:spacing w:line="360" w:lineRule="auto"/>
        <w:jc w:val="center"/>
        <w:outlineLvl w:val="0"/>
        <w:rPr>
          <w:rFonts w:ascii="Arial" w:hAnsi="Arial" w:cs="Arial"/>
          <w:b/>
          <w:sz w:val="32"/>
        </w:rPr>
      </w:pPr>
      <w:bookmarkStart w:id="311" w:name="_Toc66929530"/>
      <w:bookmarkStart w:id="312" w:name="_Toc69393405"/>
      <w:r w:rsidRPr="00F631FB">
        <w:rPr>
          <w:rFonts w:ascii="Arial" w:eastAsia="仿宋_GB2312" w:hAnsi="Arial" w:cs="Arial"/>
          <w:b/>
          <w:sz w:val="32"/>
        </w:rPr>
        <w:lastRenderedPageBreak/>
        <w:t>第四部分</w:t>
      </w:r>
      <w:r w:rsidRPr="00F631FB">
        <w:rPr>
          <w:rFonts w:ascii="Arial" w:eastAsia="仿宋_GB2312" w:hAnsi="Arial" w:cs="Arial"/>
          <w:b/>
          <w:sz w:val="32"/>
        </w:rPr>
        <w:t xml:space="preserve">  </w:t>
      </w:r>
      <w:bookmarkStart w:id="313" w:name="_Toc516488223"/>
      <w:bookmarkStart w:id="314" w:name="_Toc515457834"/>
      <w:bookmarkStart w:id="315" w:name="_Toc524335123"/>
      <w:r w:rsidRPr="00F631FB">
        <w:rPr>
          <w:rFonts w:ascii="Arial" w:hAnsi="Arial" w:cs="Arial"/>
          <w:b/>
          <w:sz w:val="32"/>
        </w:rPr>
        <w:t>附</w:t>
      </w:r>
      <w:r w:rsidRPr="00F631FB">
        <w:rPr>
          <w:rFonts w:ascii="Arial" w:eastAsia="仿宋_GB2312" w:hAnsi="Arial" w:cs="Arial"/>
          <w:b/>
          <w:sz w:val="32"/>
        </w:rPr>
        <w:t xml:space="preserve">  </w:t>
      </w:r>
      <w:r w:rsidRPr="00F631FB">
        <w:rPr>
          <w:rFonts w:ascii="Arial" w:hAnsi="Arial" w:cs="Arial"/>
          <w:b/>
          <w:sz w:val="32"/>
        </w:rPr>
        <w:t>件</w:t>
      </w:r>
      <w:bookmarkEnd w:id="302"/>
      <w:bookmarkEnd w:id="303"/>
      <w:bookmarkEnd w:id="304"/>
      <w:bookmarkEnd w:id="311"/>
      <w:bookmarkEnd w:id="312"/>
      <w:bookmarkEnd w:id="313"/>
      <w:bookmarkEnd w:id="314"/>
      <w:bookmarkEnd w:id="315"/>
    </w:p>
    <w:p w14:paraId="0700108C"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Pr="00F631FB">
        <w:rPr>
          <w:rFonts w:ascii="Arial" w:eastAsia="仿宋_GB2312" w:hAnsi="Arial" w:cs="Arial" w:hint="eastAsia"/>
          <w:sz w:val="28"/>
        </w:rPr>
        <w:t>《国有建设用地使用权出让地价评估委托书》复印件</w:t>
      </w:r>
    </w:p>
    <w:p w14:paraId="28876F47"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 xml:space="preserve">2. </w:t>
      </w:r>
      <w:r w:rsidRPr="00F631FB">
        <w:rPr>
          <w:rFonts w:ascii="Arial" w:eastAsia="仿宋_GB2312" w:hAnsi="Arial" w:cs="Arial" w:hint="eastAsia"/>
          <w:sz w:val="28"/>
        </w:rPr>
        <w:t>估价对象所在位置示意图</w:t>
      </w:r>
    </w:p>
    <w:p w14:paraId="6EC4B4E8"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 xml:space="preserve">3. </w:t>
      </w:r>
      <w:r w:rsidRPr="00F631FB">
        <w:rPr>
          <w:rFonts w:ascii="Arial" w:eastAsia="仿宋_GB2312" w:hAnsi="Arial" w:cs="Arial" w:hint="eastAsia"/>
          <w:sz w:val="28"/>
        </w:rPr>
        <w:t>估价对象实地勘察情况和相关照片</w:t>
      </w:r>
    </w:p>
    <w:p w14:paraId="0B5D1861" w14:textId="478A4585"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4.</w:t>
      </w:r>
      <w:r w:rsidRPr="00F631FB">
        <w:rPr>
          <w:rFonts w:ascii="Arial" w:eastAsia="仿宋_GB2312" w:hAnsi="Arial" w:cs="Arial" w:hint="eastAsia"/>
          <w:sz w:val="28"/>
        </w:rPr>
        <w:t>《</w:t>
      </w:r>
      <w:r w:rsidR="002D38EC">
        <w:rPr>
          <w:rFonts w:ascii="Arial" w:eastAsia="仿宋_GB2312" w:hAnsi="Arial" w:cs="Arial" w:hint="eastAsia"/>
          <w:sz w:val="28"/>
        </w:rPr>
        <w:t>建设工程规划用地测量成果报告书</w:t>
      </w:r>
      <w:r w:rsidRPr="00F631FB">
        <w:rPr>
          <w:rFonts w:ascii="Arial" w:eastAsia="仿宋_GB2312" w:hAnsi="Arial" w:cs="Arial" w:hint="eastAsia"/>
          <w:sz w:val="28"/>
        </w:rPr>
        <w:t>》</w:t>
      </w:r>
      <w:r w:rsidRPr="00F631FB">
        <w:rPr>
          <w:rFonts w:ascii="Arial" w:eastAsia="仿宋_GB2312" w:hAnsi="Arial" w:cs="Arial" w:hint="eastAsia"/>
          <w:sz w:val="28"/>
        </w:rPr>
        <w:t>[</w:t>
      </w:r>
      <w:r w:rsidR="005E7536">
        <w:rPr>
          <w:rFonts w:ascii="Arial" w:eastAsia="仿宋_GB2312" w:hAnsi="Arial" w:cs="Arial"/>
          <w:sz w:val="28"/>
        </w:rPr>
        <w:t>2017</w:t>
      </w:r>
      <w:proofErr w:type="gramStart"/>
      <w:r w:rsidR="005E7536">
        <w:rPr>
          <w:rFonts w:ascii="Arial" w:eastAsia="仿宋_GB2312" w:hAnsi="Arial" w:cs="Arial" w:hint="eastAsia"/>
          <w:sz w:val="28"/>
        </w:rPr>
        <w:t>规</w:t>
      </w:r>
      <w:proofErr w:type="gramEnd"/>
      <w:r w:rsidR="005E7536">
        <w:rPr>
          <w:rFonts w:ascii="Arial" w:eastAsia="仿宋_GB2312" w:hAnsi="Arial" w:cs="Arial" w:hint="eastAsia"/>
          <w:sz w:val="28"/>
        </w:rPr>
        <w:t>（海）测字</w:t>
      </w:r>
      <w:r w:rsidR="005E7536">
        <w:rPr>
          <w:rFonts w:ascii="Arial" w:eastAsia="仿宋_GB2312" w:hAnsi="Arial" w:cs="Arial" w:hint="eastAsia"/>
          <w:sz w:val="28"/>
        </w:rPr>
        <w:t>0</w:t>
      </w:r>
      <w:r w:rsidR="005E7536">
        <w:rPr>
          <w:rFonts w:ascii="Arial" w:eastAsia="仿宋_GB2312" w:hAnsi="Arial" w:cs="Arial"/>
          <w:sz w:val="28"/>
        </w:rPr>
        <w:t>023</w:t>
      </w:r>
      <w:r w:rsidR="005E7536">
        <w:rPr>
          <w:rFonts w:ascii="Arial" w:eastAsia="仿宋_GB2312" w:hAnsi="Arial" w:cs="Arial" w:hint="eastAsia"/>
          <w:sz w:val="28"/>
        </w:rPr>
        <w:t>号</w:t>
      </w:r>
      <w:r w:rsidR="005E7536">
        <w:rPr>
          <w:rFonts w:ascii="Arial" w:eastAsia="仿宋_GB2312" w:hAnsi="Arial" w:cs="Arial" w:hint="eastAsia"/>
          <w:sz w:val="28"/>
        </w:rPr>
        <w:t>]</w:t>
      </w:r>
      <w:r w:rsidRPr="00F631FB">
        <w:rPr>
          <w:rFonts w:ascii="Arial" w:eastAsia="仿宋_GB2312" w:hAnsi="Arial" w:cs="Arial" w:hint="eastAsia"/>
          <w:sz w:val="28"/>
        </w:rPr>
        <w:t>及</w:t>
      </w:r>
      <w:r w:rsidR="005E7536">
        <w:rPr>
          <w:rFonts w:ascii="Arial" w:eastAsia="仿宋_GB2312" w:hAnsi="Arial" w:cs="Arial" w:hint="eastAsia"/>
          <w:sz w:val="28"/>
        </w:rPr>
        <w:t>其附图</w:t>
      </w:r>
      <w:r w:rsidRPr="00F631FB">
        <w:rPr>
          <w:rFonts w:ascii="Arial" w:eastAsia="仿宋_GB2312" w:hAnsi="Arial" w:cs="Arial" w:hint="eastAsia"/>
          <w:sz w:val="28"/>
        </w:rPr>
        <w:t>复印件</w:t>
      </w:r>
    </w:p>
    <w:p w14:paraId="0D7CEA87" w14:textId="0C7DA41E"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5.</w:t>
      </w:r>
      <w:r w:rsidRPr="00F631FB">
        <w:rPr>
          <w:rFonts w:ascii="Arial" w:eastAsia="仿宋_GB2312" w:hAnsi="Arial" w:cs="Arial" w:hint="eastAsia"/>
          <w:sz w:val="28"/>
        </w:rPr>
        <w:t>《</w:t>
      </w:r>
      <w:r w:rsidR="005E7536">
        <w:rPr>
          <w:rFonts w:ascii="Arial" w:eastAsia="仿宋_GB2312" w:hAnsi="Arial" w:cs="Arial" w:hint="eastAsia"/>
          <w:sz w:val="28"/>
        </w:rPr>
        <w:t>海淀区苏州街站一体化棚户区改造项目前期工作及拟改造土地使用权一次性招标方案</w:t>
      </w:r>
      <w:r w:rsidRPr="00F631FB">
        <w:rPr>
          <w:rFonts w:ascii="Arial" w:eastAsia="仿宋_GB2312" w:hAnsi="Arial" w:cs="Arial" w:hint="eastAsia"/>
          <w:sz w:val="28"/>
        </w:rPr>
        <w:t>》</w:t>
      </w:r>
      <w:r w:rsidR="005E7536">
        <w:rPr>
          <w:rFonts w:ascii="Arial" w:eastAsia="仿宋_GB2312" w:hAnsi="Arial" w:cs="Arial" w:hint="eastAsia"/>
          <w:sz w:val="28"/>
        </w:rPr>
        <w:t>及其附件复印件</w:t>
      </w:r>
    </w:p>
    <w:p w14:paraId="0C3DF3BE" w14:textId="4F495099"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6.</w:t>
      </w:r>
      <w:r w:rsidR="005E7536">
        <w:rPr>
          <w:rFonts w:ascii="Arial" w:eastAsia="仿宋_GB2312" w:hAnsi="Arial" w:cs="Arial" w:hint="eastAsia"/>
          <w:sz w:val="28"/>
        </w:rPr>
        <w:t>《北京市海淀区苏州街站一体化棚户区改造项目前期工作及拟改造土地使用权出让招标文件》</w:t>
      </w:r>
      <w:r w:rsidR="005E7536">
        <w:rPr>
          <w:rFonts w:ascii="Arial" w:eastAsia="仿宋_GB2312" w:hAnsi="Arial" w:cs="Arial" w:hint="eastAsia"/>
          <w:sz w:val="28"/>
        </w:rPr>
        <w:t>[</w:t>
      </w:r>
      <w:r w:rsidR="005E7536">
        <w:rPr>
          <w:rFonts w:ascii="Arial" w:eastAsia="仿宋_GB2312" w:hAnsi="Arial" w:cs="Arial" w:hint="eastAsia"/>
          <w:sz w:val="28"/>
        </w:rPr>
        <w:t>招标编号：</w:t>
      </w:r>
      <w:proofErr w:type="gramStart"/>
      <w:r w:rsidR="005E7536">
        <w:rPr>
          <w:rFonts w:ascii="Arial" w:eastAsia="仿宋_GB2312" w:hAnsi="Arial" w:cs="Arial" w:hint="eastAsia"/>
          <w:sz w:val="28"/>
        </w:rPr>
        <w:t>京土棚改</w:t>
      </w:r>
      <w:proofErr w:type="gramEnd"/>
      <w:r w:rsidR="005E7536">
        <w:rPr>
          <w:rFonts w:ascii="Arial" w:eastAsia="仿宋_GB2312" w:hAnsi="Arial" w:cs="Arial" w:hint="eastAsia"/>
          <w:sz w:val="28"/>
        </w:rPr>
        <w:t>招（海）</w:t>
      </w:r>
      <w:r w:rsidR="005E7536">
        <w:rPr>
          <w:rFonts w:ascii="Arial" w:eastAsia="仿宋_GB2312" w:hAnsi="Arial" w:cs="Arial" w:hint="eastAsia"/>
          <w:sz w:val="28"/>
        </w:rPr>
        <w:t>[2</w:t>
      </w:r>
      <w:r w:rsidR="005E7536">
        <w:rPr>
          <w:rFonts w:ascii="Arial" w:eastAsia="仿宋_GB2312" w:hAnsi="Arial" w:cs="Arial"/>
          <w:sz w:val="28"/>
        </w:rPr>
        <w:t>017</w:t>
      </w:r>
      <w:r w:rsidR="005E7536">
        <w:rPr>
          <w:rFonts w:ascii="Arial" w:eastAsia="仿宋_GB2312" w:hAnsi="Arial" w:cs="Arial" w:hint="eastAsia"/>
          <w:sz w:val="28"/>
        </w:rPr>
        <w:t>]0</w:t>
      </w:r>
      <w:r w:rsidR="005E7536">
        <w:rPr>
          <w:rFonts w:ascii="Arial" w:eastAsia="仿宋_GB2312" w:hAnsi="Arial" w:cs="Arial"/>
          <w:sz w:val="28"/>
        </w:rPr>
        <w:t>01</w:t>
      </w:r>
      <w:r w:rsidR="005E7536">
        <w:rPr>
          <w:rFonts w:ascii="Arial" w:eastAsia="仿宋_GB2312" w:hAnsi="Arial" w:cs="Arial" w:hint="eastAsia"/>
          <w:sz w:val="28"/>
        </w:rPr>
        <w:t>号</w:t>
      </w:r>
      <w:r w:rsidR="005E7536">
        <w:rPr>
          <w:rFonts w:ascii="Arial" w:eastAsia="仿宋_GB2312" w:hAnsi="Arial" w:cs="Arial"/>
          <w:sz w:val="28"/>
        </w:rPr>
        <w:t>]</w:t>
      </w:r>
      <w:r w:rsidR="005E7536">
        <w:rPr>
          <w:rFonts w:ascii="Arial" w:eastAsia="仿宋_GB2312" w:hAnsi="Arial" w:cs="Arial" w:hint="eastAsia"/>
          <w:sz w:val="28"/>
        </w:rPr>
        <w:t>及其附件</w:t>
      </w:r>
      <w:r w:rsidRPr="00F631FB">
        <w:rPr>
          <w:rFonts w:ascii="Arial" w:eastAsia="仿宋_GB2312" w:hAnsi="Arial" w:cs="Arial" w:hint="eastAsia"/>
          <w:sz w:val="28"/>
        </w:rPr>
        <w:t>复印件</w:t>
      </w:r>
    </w:p>
    <w:p w14:paraId="3FBC8A6D" w14:textId="1B8B012D"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005E7536">
        <w:rPr>
          <w:rFonts w:ascii="Arial" w:eastAsia="仿宋_GB2312" w:hAnsi="Arial" w:cs="Arial" w:hint="eastAsia"/>
          <w:sz w:val="28"/>
        </w:rPr>
        <w:t>《中标通知书》复印件</w:t>
      </w:r>
    </w:p>
    <w:p w14:paraId="3F175F99" w14:textId="791A83AB"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8.</w:t>
      </w:r>
      <w:r w:rsidR="006667CB">
        <w:rPr>
          <w:rFonts w:ascii="Arial" w:eastAsia="仿宋_GB2312" w:hAnsi="Arial" w:cs="Arial" w:hint="eastAsia"/>
          <w:sz w:val="28"/>
        </w:rPr>
        <w:t>《</w:t>
      </w:r>
      <w:r w:rsidR="00E355E5">
        <w:rPr>
          <w:rFonts w:ascii="Arial" w:eastAsia="仿宋_GB2312" w:hAnsi="Arial" w:cs="Arial" w:hint="eastAsia"/>
          <w:sz w:val="28"/>
        </w:rPr>
        <w:t>北京市规划和自然资源委员会</w:t>
      </w:r>
      <w:r w:rsidR="006667CB">
        <w:rPr>
          <w:rFonts w:ascii="Arial" w:eastAsia="仿宋_GB2312" w:hAnsi="Arial" w:cs="Arial" w:hint="eastAsia"/>
          <w:sz w:val="28"/>
        </w:rPr>
        <w:t>关于北京市海淀区苏州街站一体化棚户区改造项目用地相关意见及设计方案审查意见的函（城镇建筑工程）》</w:t>
      </w:r>
      <w:r w:rsidR="006667CB">
        <w:rPr>
          <w:rFonts w:ascii="Arial" w:eastAsia="仿宋_GB2312" w:hAnsi="Arial" w:cs="Arial" w:hint="eastAsia"/>
          <w:sz w:val="28"/>
        </w:rPr>
        <w:t>[</w:t>
      </w:r>
      <w:r w:rsidR="006667CB">
        <w:rPr>
          <w:rFonts w:ascii="Arial" w:eastAsia="仿宋_GB2312" w:hAnsi="Arial" w:cs="Arial"/>
          <w:sz w:val="28"/>
        </w:rPr>
        <w:t>2019</w:t>
      </w:r>
      <w:proofErr w:type="gramStart"/>
      <w:r w:rsidR="006667CB">
        <w:rPr>
          <w:rFonts w:ascii="Arial" w:eastAsia="仿宋_GB2312" w:hAnsi="Arial" w:cs="Arial" w:hint="eastAsia"/>
          <w:sz w:val="28"/>
        </w:rPr>
        <w:t>规</w:t>
      </w:r>
      <w:proofErr w:type="gramEnd"/>
      <w:r w:rsidR="006667CB">
        <w:rPr>
          <w:rFonts w:ascii="Arial" w:eastAsia="仿宋_GB2312" w:hAnsi="Arial" w:cs="Arial" w:hint="eastAsia"/>
          <w:sz w:val="28"/>
        </w:rPr>
        <w:t>自（海）</w:t>
      </w:r>
      <w:proofErr w:type="gramStart"/>
      <w:r w:rsidR="006667CB">
        <w:rPr>
          <w:rFonts w:ascii="Arial" w:eastAsia="仿宋_GB2312" w:hAnsi="Arial" w:cs="Arial" w:hint="eastAsia"/>
          <w:sz w:val="28"/>
        </w:rPr>
        <w:t>审改试点函</w:t>
      </w:r>
      <w:proofErr w:type="gramEnd"/>
      <w:r w:rsidR="006667CB">
        <w:rPr>
          <w:rFonts w:ascii="Arial" w:eastAsia="仿宋_GB2312" w:hAnsi="Arial" w:cs="Arial" w:hint="eastAsia"/>
          <w:sz w:val="28"/>
        </w:rPr>
        <w:t>字</w:t>
      </w:r>
      <w:r w:rsidR="006667CB">
        <w:rPr>
          <w:rFonts w:ascii="Arial" w:eastAsia="仿宋_GB2312" w:hAnsi="Arial" w:cs="Arial" w:hint="eastAsia"/>
          <w:sz w:val="28"/>
        </w:rPr>
        <w:t>0</w:t>
      </w:r>
      <w:r w:rsidR="006667CB">
        <w:rPr>
          <w:rFonts w:ascii="Arial" w:eastAsia="仿宋_GB2312" w:hAnsi="Arial" w:cs="Arial"/>
          <w:sz w:val="28"/>
        </w:rPr>
        <w:t>001</w:t>
      </w:r>
      <w:r w:rsidR="006667CB">
        <w:rPr>
          <w:rFonts w:ascii="Arial" w:eastAsia="仿宋_GB2312" w:hAnsi="Arial" w:cs="Arial" w:hint="eastAsia"/>
          <w:sz w:val="28"/>
        </w:rPr>
        <w:t>号</w:t>
      </w:r>
      <w:r w:rsidR="006667CB">
        <w:rPr>
          <w:rFonts w:ascii="Arial" w:eastAsia="仿宋_GB2312" w:hAnsi="Arial" w:cs="Arial"/>
          <w:sz w:val="28"/>
        </w:rPr>
        <w:t>]</w:t>
      </w:r>
      <w:r w:rsidR="006667CB">
        <w:rPr>
          <w:rFonts w:ascii="Arial" w:eastAsia="仿宋_GB2312" w:hAnsi="Arial" w:cs="Arial" w:hint="eastAsia"/>
          <w:sz w:val="28"/>
        </w:rPr>
        <w:t>及其附图</w:t>
      </w:r>
      <w:r w:rsidRPr="00F631FB">
        <w:rPr>
          <w:rFonts w:ascii="Arial" w:eastAsia="仿宋_GB2312" w:hAnsi="Arial" w:cs="Arial" w:hint="eastAsia"/>
          <w:sz w:val="28"/>
        </w:rPr>
        <w:t>复印件</w:t>
      </w:r>
    </w:p>
    <w:p w14:paraId="7EBB4EEA" w14:textId="5BCEAE2C"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9.</w:t>
      </w:r>
      <w:r w:rsidRPr="00F631FB">
        <w:rPr>
          <w:rFonts w:ascii="Arial" w:eastAsia="仿宋_GB2312" w:hAnsi="Arial" w:cs="Arial" w:hint="eastAsia"/>
          <w:sz w:val="28"/>
        </w:rPr>
        <w:t>《</w:t>
      </w:r>
      <w:r w:rsidR="006667CB">
        <w:rPr>
          <w:rFonts w:ascii="Arial" w:eastAsia="仿宋_GB2312" w:hAnsi="Arial" w:cs="Arial" w:hint="eastAsia"/>
          <w:sz w:val="28"/>
        </w:rPr>
        <w:t>北京市海淀区人民防空办公室建设项目修建人民防空防护工程标准审查意见书</w:t>
      </w:r>
      <w:r w:rsidRPr="00F631FB">
        <w:rPr>
          <w:rFonts w:ascii="Arial" w:eastAsia="仿宋_GB2312" w:hAnsi="Arial" w:cs="Arial" w:hint="eastAsia"/>
          <w:sz w:val="28"/>
        </w:rPr>
        <w:t>》</w:t>
      </w:r>
      <w:r w:rsidRPr="00F631FB">
        <w:rPr>
          <w:rFonts w:ascii="Arial" w:eastAsia="仿宋_GB2312" w:hAnsi="Arial" w:cs="Arial" w:hint="eastAsia"/>
          <w:sz w:val="28"/>
        </w:rPr>
        <w:t>[</w:t>
      </w:r>
      <w:r w:rsidR="006667CB">
        <w:rPr>
          <w:rFonts w:ascii="Arial" w:eastAsia="仿宋_GB2312" w:hAnsi="Arial" w:cs="Arial"/>
          <w:sz w:val="28"/>
        </w:rPr>
        <w:t>2020</w:t>
      </w:r>
      <w:r w:rsidR="006667CB">
        <w:rPr>
          <w:rFonts w:ascii="Arial" w:eastAsia="仿宋_GB2312" w:hAnsi="Arial" w:cs="Arial" w:hint="eastAsia"/>
          <w:sz w:val="28"/>
        </w:rPr>
        <w:t>（</w:t>
      </w:r>
      <w:r w:rsidR="006667CB">
        <w:rPr>
          <w:rFonts w:ascii="Arial" w:eastAsia="仿宋_GB2312" w:hAnsi="Arial" w:cs="Arial" w:hint="eastAsia"/>
          <w:sz w:val="28"/>
        </w:rPr>
        <w:t>DGHY</w:t>
      </w:r>
      <w:r w:rsidR="006667CB">
        <w:rPr>
          <w:rFonts w:ascii="Arial" w:eastAsia="仿宋_GB2312" w:hAnsi="Arial" w:cs="Arial" w:hint="eastAsia"/>
          <w:sz w:val="28"/>
        </w:rPr>
        <w:t>）京防（海）工准字</w:t>
      </w:r>
      <w:r w:rsidR="006667CB">
        <w:rPr>
          <w:rFonts w:ascii="Arial" w:eastAsia="仿宋_GB2312" w:hAnsi="Arial" w:cs="Arial" w:hint="eastAsia"/>
          <w:sz w:val="28"/>
        </w:rPr>
        <w:t>0</w:t>
      </w:r>
      <w:r w:rsidR="006667CB">
        <w:rPr>
          <w:rFonts w:ascii="Arial" w:eastAsia="仿宋_GB2312" w:hAnsi="Arial" w:cs="Arial"/>
          <w:sz w:val="28"/>
        </w:rPr>
        <w:t>022</w:t>
      </w:r>
      <w:r w:rsidR="006667CB">
        <w:rPr>
          <w:rFonts w:ascii="Arial" w:eastAsia="仿宋_GB2312" w:hAnsi="Arial" w:cs="Arial" w:hint="eastAsia"/>
          <w:sz w:val="28"/>
        </w:rPr>
        <w:t>号</w:t>
      </w:r>
      <w:r w:rsidRPr="00F631FB">
        <w:rPr>
          <w:rFonts w:ascii="Arial" w:eastAsia="仿宋_GB2312" w:hAnsi="Arial" w:cs="Arial" w:hint="eastAsia"/>
          <w:sz w:val="28"/>
        </w:rPr>
        <w:t>]</w:t>
      </w:r>
      <w:r w:rsidR="006667CB">
        <w:rPr>
          <w:rFonts w:ascii="Arial" w:eastAsia="仿宋_GB2312" w:hAnsi="Arial" w:cs="Arial" w:hint="eastAsia"/>
          <w:sz w:val="28"/>
        </w:rPr>
        <w:t>及其附图复印件</w:t>
      </w:r>
    </w:p>
    <w:p w14:paraId="72CF5B25" w14:textId="51AF333B"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10.</w:t>
      </w:r>
      <w:r w:rsidR="006C1DB6">
        <w:rPr>
          <w:rFonts w:ascii="Arial" w:eastAsia="仿宋_GB2312" w:hAnsi="Arial" w:cs="Arial" w:hint="eastAsia"/>
          <w:sz w:val="28"/>
        </w:rPr>
        <w:t>《北京市发展和改革委员会、北京市住房和城乡建设委员会关于海淀区苏州街站一体化棚户区改造项目重新核准的批复》</w:t>
      </w:r>
      <w:r w:rsidR="006C1DB6">
        <w:rPr>
          <w:rFonts w:ascii="Arial" w:eastAsia="仿宋_GB2312" w:hAnsi="Arial" w:cs="Arial" w:hint="eastAsia"/>
          <w:sz w:val="28"/>
        </w:rPr>
        <w:t>[</w:t>
      </w:r>
      <w:r w:rsidR="006C1DB6">
        <w:rPr>
          <w:rFonts w:ascii="Arial" w:eastAsia="仿宋_GB2312" w:hAnsi="Arial" w:cs="Arial" w:hint="eastAsia"/>
          <w:sz w:val="28"/>
        </w:rPr>
        <w:t>京发改（核）</w:t>
      </w:r>
      <w:r w:rsidR="006C1DB6">
        <w:rPr>
          <w:rFonts w:ascii="Arial" w:eastAsia="仿宋_GB2312" w:hAnsi="Arial" w:cs="Arial" w:hint="eastAsia"/>
          <w:sz w:val="28"/>
        </w:rPr>
        <w:t>[2021]54</w:t>
      </w:r>
      <w:r w:rsidR="006C1DB6">
        <w:rPr>
          <w:rFonts w:ascii="Arial" w:eastAsia="仿宋_GB2312" w:hAnsi="Arial" w:cs="Arial" w:hint="eastAsia"/>
          <w:sz w:val="28"/>
        </w:rPr>
        <w:t>号</w:t>
      </w:r>
      <w:r w:rsidR="006C1DB6">
        <w:rPr>
          <w:rFonts w:ascii="Arial" w:eastAsia="仿宋_GB2312" w:hAnsi="Arial" w:cs="Arial" w:hint="eastAsia"/>
          <w:sz w:val="28"/>
        </w:rPr>
        <w:t>]</w:t>
      </w:r>
      <w:r w:rsidRPr="00F631FB">
        <w:rPr>
          <w:rFonts w:ascii="Arial" w:eastAsia="仿宋_GB2312" w:hAnsi="Arial" w:cs="Arial" w:hint="eastAsia"/>
          <w:sz w:val="28"/>
        </w:rPr>
        <w:t>复印件</w:t>
      </w:r>
    </w:p>
    <w:p w14:paraId="17E88943" w14:textId="37DC034B" w:rsidR="00ED4C69"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lastRenderedPageBreak/>
        <w:t>11.</w:t>
      </w:r>
      <w:r w:rsidR="006667CB">
        <w:rPr>
          <w:rFonts w:ascii="Arial" w:eastAsia="仿宋_GB2312" w:hAnsi="Arial" w:cs="Arial" w:hint="eastAsia"/>
          <w:sz w:val="28"/>
        </w:rPr>
        <w:t>《北京市海淀区人民政府关于商请加快地铁</w:t>
      </w:r>
      <w:r w:rsidR="006667CB">
        <w:rPr>
          <w:rFonts w:ascii="Arial" w:eastAsia="仿宋_GB2312" w:hAnsi="Arial" w:cs="Arial" w:hint="eastAsia"/>
          <w:sz w:val="28"/>
        </w:rPr>
        <w:t>1</w:t>
      </w:r>
      <w:r w:rsidR="006667CB">
        <w:rPr>
          <w:rFonts w:ascii="Arial" w:eastAsia="仿宋_GB2312" w:hAnsi="Arial" w:cs="Arial"/>
          <w:sz w:val="28"/>
        </w:rPr>
        <w:t>6</w:t>
      </w:r>
      <w:r w:rsidR="006667CB">
        <w:rPr>
          <w:rFonts w:ascii="Arial" w:eastAsia="仿宋_GB2312" w:hAnsi="Arial" w:cs="Arial" w:hint="eastAsia"/>
          <w:sz w:val="28"/>
        </w:rPr>
        <w:t>号线苏州街站一体化棚改项目国有建设用地使用权出让手续办理有关事宜的函》</w:t>
      </w:r>
      <w:r w:rsidR="006667CB">
        <w:rPr>
          <w:rFonts w:ascii="Arial" w:eastAsia="仿宋_GB2312" w:hAnsi="Arial" w:cs="Arial"/>
          <w:sz w:val="28"/>
        </w:rPr>
        <w:t>[</w:t>
      </w:r>
      <w:r w:rsidR="006667CB">
        <w:rPr>
          <w:rFonts w:ascii="Arial" w:eastAsia="仿宋_GB2312" w:hAnsi="Arial" w:cs="Arial" w:hint="eastAsia"/>
          <w:sz w:val="28"/>
        </w:rPr>
        <w:t>海政函（</w:t>
      </w:r>
      <w:r w:rsidR="006667CB">
        <w:rPr>
          <w:rFonts w:ascii="Arial" w:eastAsia="仿宋_GB2312" w:hAnsi="Arial" w:cs="Arial" w:hint="eastAsia"/>
          <w:sz w:val="28"/>
        </w:rPr>
        <w:t>2</w:t>
      </w:r>
      <w:r w:rsidR="006667CB">
        <w:rPr>
          <w:rFonts w:ascii="Arial" w:eastAsia="仿宋_GB2312" w:hAnsi="Arial" w:cs="Arial"/>
          <w:sz w:val="28"/>
        </w:rPr>
        <w:t>021</w:t>
      </w:r>
      <w:r w:rsidR="006667CB">
        <w:rPr>
          <w:rFonts w:ascii="Arial" w:eastAsia="仿宋_GB2312" w:hAnsi="Arial" w:cs="Arial" w:hint="eastAsia"/>
          <w:sz w:val="28"/>
        </w:rPr>
        <w:t>）</w:t>
      </w:r>
      <w:r w:rsidR="006667CB">
        <w:rPr>
          <w:rFonts w:ascii="Arial" w:eastAsia="仿宋_GB2312" w:hAnsi="Arial" w:cs="Arial" w:hint="eastAsia"/>
          <w:sz w:val="28"/>
        </w:rPr>
        <w:t>5</w:t>
      </w:r>
      <w:r w:rsidR="006667CB">
        <w:rPr>
          <w:rFonts w:ascii="Arial" w:eastAsia="仿宋_GB2312" w:hAnsi="Arial" w:cs="Arial"/>
          <w:sz w:val="28"/>
        </w:rPr>
        <w:t>0</w:t>
      </w:r>
      <w:r w:rsidR="006667CB">
        <w:rPr>
          <w:rFonts w:ascii="Arial" w:eastAsia="仿宋_GB2312" w:hAnsi="Arial" w:cs="Arial" w:hint="eastAsia"/>
          <w:sz w:val="28"/>
        </w:rPr>
        <w:t>号</w:t>
      </w:r>
      <w:r w:rsidR="006667CB">
        <w:rPr>
          <w:rFonts w:ascii="Arial" w:eastAsia="仿宋_GB2312" w:hAnsi="Arial" w:cs="Arial"/>
          <w:sz w:val="28"/>
        </w:rPr>
        <w:t>]</w:t>
      </w:r>
      <w:r w:rsidR="006667CB">
        <w:rPr>
          <w:rFonts w:ascii="Arial" w:eastAsia="仿宋_GB2312" w:hAnsi="Arial" w:cs="Arial" w:hint="eastAsia"/>
          <w:sz w:val="28"/>
        </w:rPr>
        <w:t>及其附件</w:t>
      </w:r>
      <w:r w:rsidRPr="00F631FB">
        <w:rPr>
          <w:rFonts w:ascii="Arial" w:eastAsia="仿宋_GB2312" w:hAnsi="Arial" w:cs="Arial" w:hint="eastAsia"/>
          <w:sz w:val="28"/>
        </w:rPr>
        <w:t>复印件</w:t>
      </w:r>
    </w:p>
    <w:p w14:paraId="0E7721A6" w14:textId="2C377F43" w:rsidR="00E355E5" w:rsidRPr="00F631FB" w:rsidRDefault="00E355E5" w:rsidP="00ED4C6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《名称变更通知》复印件</w:t>
      </w:r>
    </w:p>
    <w:p w14:paraId="4EE69BB1" w14:textId="4A1F1B0C" w:rsidR="00ED4C69"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00E355E5">
        <w:rPr>
          <w:rFonts w:ascii="Arial" w:eastAsia="仿宋_GB2312" w:hAnsi="Arial" w:cs="Arial"/>
          <w:sz w:val="28"/>
        </w:rPr>
        <w:t>3</w:t>
      </w:r>
      <w:r w:rsidRPr="00F631FB">
        <w:rPr>
          <w:rFonts w:ascii="Arial" w:eastAsia="仿宋_GB2312" w:hAnsi="Arial" w:cs="Arial" w:hint="eastAsia"/>
          <w:sz w:val="28"/>
        </w:rPr>
        <w:t>.</w:t>
      </w:r>
      <w:r w:rsidR="006667CB">
        <w:rPr>
          <w:rFonts w:ascii="Arial" w:eastAsia="仿宋_GB2312" w:hAnsi="Arial" w:cs="Arial" w:hint="eastAsia"/>
          <w:sz w:val="28"/>
        </w:rPr>
        <w:t>《</w:t>
      </w:r>
      <w:r w:rsidR="00E355E5">
        <w:rPr>
          <w:rFonts w:ascii="Arial" w:eastAsia="仿宋_GB2312" w:hAnsi="Arial" w:cs="Arial" w:hint="eastAsia"/>
          <w:sz w:val="28"/>
        </w:rPr>
        <w:t>土地权属审查告知书</w:t>
      </w:r>
      <w:r w:rsidR="006667CB">
        <w:rPr>
          <w:rFonts w:ascii="Arial" w:eastAsia="仿宋_GB2312" w:hAnsi="Arial" w:cs="Arial" w:hint="eastAsia"/>
          <w:sz w:val="28"/>
        </w:rPr>
        <w:t>》</w:t>
      </w:r>
      <w:r w:rsidR="00E355E5">
        <w:rPr>
          <w:rFonts w:ascii="Arial" w:eastAsia="仿宋_GB2312" w:hAnsi="Arial" w:cs="Arial" w:hint="eastAsia"/>
          <w:sz w:val="28"/>
        </w:rPr>
        <w:t>[</w:t>
      </w:r>
      <w:r w:rsidR="00E355E5">
        <w:rPr>
          <w:rFonts w:ascii="Arial" w:eastAsia="仿宋_GB2312" w:hAnsi="Arial" w:cs="Arial" w:hint="eastAsia"/>
          <w:sz w:val="28"/>
        </w:rPr>
        <w:t>编号：海权属审（</w:t>
      </w:r>
      <w:r w:rsidR="00E355E5">
        <w:rPr>
          <w:rFonts w:ascii="Arial" w:eastAsia="仿宋_GB2312" w:hAnsi="Arial" w:cs="Arial" w:hint="eastAsia"/>
          <w:sz w:val="28"/>
        </w:rPr>
        <w:t>2</w:t>
      </w:r>
      <w:r w:rsidR="00E355E5">
        <w:rPr>
          <w:rFonts w:ascii="Arial" w:eastAsia="仿宋_GB2312" w:hAnsi="Arial" w:cs="Arial"/>
          <w:sz w:val="28"/>
        </w:rPr>
        <w:t>021</w:t>
      </w:r>
      <w:r w:rsidR="00E355E5">
        <w:rPr>
          <w:rFonts w:ascii="Arial" w:eastAsia="仿宋_GB2312" w:hAnsi="Arial" w:cs="Arial" w:hint="eastAsia"/>
          <w:sz w:val="28"/>
        </w:rPr>
        <w:t>）字第</w:t>
      </w:r>
      <w:r w:rsidR="00E355E5">
        <w:rPr>
          <w:rFonts w:ascii="Arial" w:eastAsia="仿宋_GB2312" w:hAnsi="Arial" w:cs="Arial" w:hint="eastAsia"/>
          <w:sz w:val="28"/>
        </w:rPr>
        <w:t>1</w:t>
      </w:r>
      <w:r w:rsidR="00E355E5">
        <w:rPr>
          <w:rFonts w:ascii="Arial" w:eastAsia="仿宋_GB2312" w:hAnsi="Arial" w:cs="Arial"/>
          <w:sz w:val="28"/>
        </w:rPr>
        <w:t>268</w:t>
      </w:r>
      <w:r w:rsidR="00E355E5">
        <w:rPr>
          <w:rFonts w:ascii="Arial" w:eastAsia="仿宋_GB2312" w:hAnsi="Arial" w:cs="Arial" w:hint="eastAsia"/>
          <w:sz w:val="28"/>
        </w:rPr>
        <w:t>号</w:t>
      </w:r>
      <w:r w:rsidR="00E355E5">
        <w:rPr>
          <w:rFonts w:ascii="Arial" w:eastAsia="仿宋_GB2312" w:hAnsi="Arial" w:cs="Arial"/>
          <w:sz w:val="28"/>
        </w:rPr>
        <w:t>]</w:t>
      </w:r>
      <w:r w:rsidR="00E355E5">
        <w:rPr>
          <w:rFonts w:ascii="Arial" w:eastAsia="仿宋_GB2312" w:hAnsi="Arial" w:cs="Arial" w:hint="eastAsia"/>
          <w:sz w:val="28"/>
        </w:rPr>
        <w:t>及其附表附图</w:t>
      </w:r>
      <w:r w:rsidRPr="00F631FB">
        <w:rPr>
          <w:rFonts w:ascii="Arial" w:eastAsia="仿宋_GB2312" w:hAnsi="Arial" w:cs="Arial" w:hint="eastAsia"/>
          <w:sz w:val="28"/>
        </w:rPr>
        <w:t>复印件</w:t>
      </w:r>
    </w:p>
    <w:p w14:paraId="0ECB9DBE" w14:textId="68D0A96F" w:rsidR="00E355E5" w:rsidRDefault="00E355E5" w:rsidP="00ED4C6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《海淀区苏州街一体化棚户区改造项目建筑面积及用途的说明》及其附表复印件</w:t>
      </w:r>
    </w:p>
    <w:p w14:paraId="7C00FA30" w14:textId="45913102" w:rsidR="00E355E5" w:rsidRDefault="00E355E5" w:rsidP="00ED4C6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《关于海淀区苏州街站一体化棚户区改造项目成本说明》复印件</w:t>
      </w:r>
    </w:p>
    <w:p w14:paraId="5273B11A" w14:textId="49D89742" w:rsidR="00E355E5" w:rsidRPr="00F631FB" w:rsidRDefault="00E355E5" w:rsidP="00E355E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《关于海淀南路</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号院（飞达地块）拆迁安置情况说明》复印件</w:t>
      </w:r>
    </w:p>
    <w:p w14:paraId="7FEFB2A8" w14:textId="5D992083"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00E355E5">
        <w:rPr>
          <w:rFonts w:ascii="Arial" w:eastAsia="仿宋_GB2312" w:hAnsi="Arial" w:cs="Arial"/>
          <w:sz w:val="28"/>
        </w:rPr>
        <w:t>7</w:t>
      </w:r>
      <w:r w:rsidRPr="00F631FB">
        <w:rPr>
          <w:rFonts w:ascii="Arial" w:eastAsia="仿宋_GB2312" w:hAnsi="Arial" w:cs="Arial" w:hint="eastAsia"/>
          <w:sz w:val="28"/>
        </w:rPr>
        <w:t xml:space="preserve">. </w:t>
      </w:r>
      <w:r w:rsidRPr="00F631FB">
        <w:rPr>
          <w:rFonts w:ascii="Arial" w:eastAsia="仿宋_GB2312" w:hAnsi="Arial" w:cs="Arial" w:hint="eastAsia"/>
          <w:sz w:val="28"/>
        </w:rPr>
        <w:t>土地使用权人《营业执照》复印件</w:t>
      </w:r>
    </w:p>
    <w:p w14:paraId="29A5E3AC" w14:textId="326D97FA"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00E355E5">
        <w:rPr>
          <w:rFonts w:ascii="Arial" w:eastAsia="仿宋_GB2312" w:hAnsi="Arial" w:cs="Arial"/>
          <w:sz w:val="28"/>
        </w:rPr>
        <w:t>8</w:t>
      </w:r>
      <w:r w:rsidRPr="00F631FB">
        <w:rPr>
          <w:rFonts w:ascii="Arial" w:eastAsia="仿宋_GB2312" w:hAnsi="Arial" w:cs="Arial" w:hint="eastAsia"/>
          <w:sz w:val="28"/>
        </w:rPr>
        <w:t>.</w:t>
      </w:r>
      <w:r w:rsidRPr="00F631FB">
        <w:rPr>
          <w:rFonts w:ascii="Arial" w:eastAsia="仿宋_GB2312" w:hAnsi="Arial" w:cs="Arial" w:hint="eastAsia"/>
          <w:sz w:val="28"/>
        </w:rPr>
        <w:t>估价机构《营业执照（副本）》复印件</w:t>
      </w:r>
    </w:p>
    <w:p w14:paraId="5C1C1513" w14:textId="1E85FC0D"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00E355E5">
        <w:rPr>
          <w:rFonts w:ascii="Arial" w:eastAsia="仿宋_GB2312" w:hAnsi="Arial" w:cs="Arial"/>
          <w:sz w:val="28"/>
        </w:rPr>
        <w:t>9</w:t>
      </w:r>
      <w:r w:rsidRPr="00F631FB">
        <w:rPr>
          <w:rFonts w:ascii="Arial" w:eastAsia="仿宋_GB2312" w:hAnsi="Arial" w:cs="Arial" w:hint="eastAsia"/>
          <w:sz w:val="28"/>
        </w:rPr>
        <w:t>.</w:t>
      </w:r>
      <w:r w:rsidRPr="00F631FB">
        <w:rPr>
          <w:rFonts w:ascii="Arial" w:eastAsia="仿宋_GB2312" w:hAnsi="Arial" w:cs="Arial" w:hint="eastAsia"/>
          <w:sz w:val="28"/>
        </w:rPr>
        <w:t>估价机构评估资质复印件</w:t>
      </w:r>
    </w:p>
    <w:p w14:paraId="6120E007" w14:textId="2D32B0AA" w:rsidR="002C3ABF" w:rsidRPr="0074010A" w:rsidRDefault="00E355E5" w:rsidP="002C3ABF">
      <w:pPr>
        <w:spacing w:line="360" w:lineRule="auto"/>
        <w:ind w:firstLineChars="200" w:firstLine="560"/>
        <w:jc w:val="both"/>
        <w:rPr>
          <w:rFonts w:ascii="Arial" w:hAnsi="Arial" w:cs="Arial"/>
        </w:rPr>
      </w:pPr>
      <w:r>
        <w:rPr>
          <w:rFonts w:ascii="Arial" w:eastAsia="仿宋_GB2312" w:hAnsi="Arial" w:cs="Arial"/>
          <w:sz w:val="28"/>
        </w:rPr>
        <w:t>20</w:t>
      </w:r>
      <w:r w:rsidR="00ED4C69" w:rsidRPr="00F631FB">
        <w:rPr>
          <w:rFonts w:ascii="Arial" w:eastAsia="仿宋_GB2312" w:hAnsi="Arial" w:cs="Arial" w:hint="eastAsia"/>
          <w:sz w:val="28"/>
        </w:rPr>
        <w:t>.</w:t>
      </w:r>
      <w:r w:rsidR="00ED4C69" w:rsidRPr="00F631FB">
        <w:rPr>
          <w:rFonts w:ascii="Arial" w:eastAsia="仿宋_GB2312" w:hAnsi="Arial" w:cs="Arial" w:hint="eastAsia"/>
          <w:sz w:val="28"/>
        </w:rPr>
        <w:t>评估专业人员资质证书复印件</w:t>
      </w:r>
    </w:p>
    <w:p w14:paraId="453F58E4" w14:textId="77777777" w:rsidR="005256F1" w:rsidRPr="00E355E5" w:rsidRDefault="005256F1"/>
    <w:sectPr w:rsidR="005256F1" w:rsidRPr="00E355E5" w:rsidSect="004A2C77">
      <w:headerReference w:type="default" r:id="rId93"/>
      <w:footerReference w:type="default" r:id="rId94"/>
      <w:pgSz w:w="11906" w:h="16838"/>
      <w:pgMar w:top="1843" w:right="1134" w:bottom="1134" w:left="1134" w:header="1134" w:footer="907" w:gutter="340"/>
      <w:cols w:space="425"/>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9157D" w16cex:dateUtc="2021-11-24T11:48:00Z"/>
  <w16cex:commentExtensible w16cex:durableId="2549161A" w16cex:dateUtc="2021-11-24T11:50:00Z"/>
  <w16cex:commentExtensible w16cex:durableId="2549165C" w16cex:dateUtc="2021-11-24T11:51:00Z"/>
  <w16cex:commentExtensible w16cex:durableId="25491685" w16cex:dateUtc="2021-11-24T11:52:00Z"/>
  <w16cex:commentExtensible w16cex:durableId="254916A0" w16cex:dateUtc="2021-11-24T11:53:00Z"/>
  <w16cex:commentExtensible w16cex:durableId="254917AC" w16cex:dateUtc="2021-11-24T11:57:00Z"/>
  <w16cex:commentExtensible w16cex:durableId="254917CB" w16cex:dateUtc="2021-11-24T11:58:00Z"/>
  <w16cex:commentExtensible w16cex:durableId="2549181C" w16cex:dateUtc="2021-11-24T11:59:00Z"/>
  <w16cex:commentExtensible w16cex:durableId="25491862" w16cex:dateUtc="2021-11-24T12:00:00Z"/>
  <w16cex:commentExtensible w16cex:durableId="2549187F" w16cex:dateUtc="2021-11-24T12:01:00Z"/>
  <w16cex:commentExtensible w16cex:durableId="25491932" w16cex:dateUtc="2021-11-24T12:04:00Z"/>
  <w16cex:commentExtensible w16cex:durableId="25491948" w16cex:dateUtc="2021-11-24T12:04:00Z"/>
  <w16cex:commentExtensible w16cex:durableId="254917FB" w16cex:dateUtc="2021-11-24T11:58:00Z"/>
  <w16cex:commentExtensible w16cex:durableId="25491A53" w16cex:dateUtc="2021-11-24T12:08:00Z"/>
  <w16cex:commentExtensible w16cex:durableId="25491A4C" w16cex:dateUtc="2021-11-24T12:08:00Z"/>
  <w16cex:commentExtensible w16cex:durableId="25491CF3" w16cex:dateUtc="2021-11-24T12:20:00Z"/>
  <w16cex:commentExtensible w16cex:durableId="25491D6F" w16cex:dateUtc="2021-11-24T12:22:00Z"/>
  <w16cex:commentExtensible w16cex:durableId="25491D5D" w16cex:dateUtc="2021-11-24T12:21:00Z"/>
  <w16cex:commentExtensible w16cex:durableId="25491E97" w16cex:dateUtc="2021-11-24T12:27:00Z"/>
  <w16cex:commentExtensible w16cex:durableId="25491F1F" w16cex:dateUtc="2021-11-24T12:29:00Z"/>
  <w16cex:commentExtensible w16cex:durableId="25491F30" w16cex:dateUtc="2021-11-24T12:29:00Z"/>
  <w16cex:commentExtensible w16cex:durableId="25491F37" w16cex:dateUtc="2021-11-24T12:29:00Z"/>
  <w16cex:commentExtensible w16cex:durableId="25491FC9" w16cex:dateUtc="2021-11-24T12:32:00Z"/>
  <w16cex:commentExtensible w16cex:durableId="254920CD" w16cex:dateUtc="2021-11-24T12:36:00Z"/>
  <w16cex:commentExtensible w16cex:durableId="25492161" w16cex:dateUtc="2021-11-24T12:38:00Z"/>
  <w16cex:commentExtensible w16cex:durableId="25492BAE" w16cex:dateUtc="2021-11-24T13:22:00Z"/>
  <w16cex:commentExtensible w16cex:durableId="25492BFE" w16cex:dateUtc="2021-11-24T13:24:00Z"/>
  <w16cex:commentExtensible w16cex:durableId="25492BDD" w16cex:dateUtc="2021-11-24T13:23:00Z"/>
  <w16cex:commentExtensible w16cex:durableId="25492C0B" w16cex:dateUtc="2021-11-24T13:24:00Z"/>
  <w16cex:commentExtensible w16cex:durableId="25492CA5" w16cex:dateUtc="2021-11-24T13:27:00Z"/>
  <w16cex:commentExtensible w16cex:durableId="25492CD9" w16cex:dateUtc="2021-11-24T13:27:00Z"/>
  <w16cex:commentExtensible w16cex:durableId="25492CEC" w16cex:dateUtc="2021-11-24T13:28:00Z"/>
  <w16cex:commentExtensible w16cex:durableId="25492E99" w16cex:dateUtc="2021-11-24T13:35:00Z"/>
  <w16cex:commentExtensible w16cex:durableId="25492D56" w16cex:dateUtc="2021-11-24T13:29:00Z"/>
  <w16cex:commentExtensible w16cex:durableId="25492D81" w16cex:dateUtc="2021-11-24T13:30:00Z"/>
  <w16cex:commentExtensible w16cex:durableId="25492E92" w16cex:dateUtc="2021-11-24T13:35:00Z"/>
  <w16cex:commentExtensible w16cex:durableId="25492F1F" w16cex:dateUtc="2021-11-24T13:37:00Z"/>
  <w16cex:commentExtensible w16cex:durableId="25492FE4" w16cex:dateUtc="2021-11-24T13:40:00Z"/>
  <w16cex:commentExtensible w16cex:durableId="25492F98" w16cex:dateUtc="2021-11-24T13:39:00Z"/>
  <w16cex:commentExtensible w16cex:durableId="25492FCA" w16cex:dateUtc="2021-11-24T13:40:00Z"/>
  <w16cex:commentExtensible w16cex:durableId="25492FEC" w16cex:dateUtc="2021-11-24T13:41:00Z"/>
  <w16cex:commentExtensible w16cex:durableId="25492FF4" w16cex:dateUtc="2021-11-24T13:41:00Z"/>
  <w16cex:commentExtensible w16cex:durableId="25493088" w16cex:dateUtc="2021-11-24T13:43:00Z"/>
  <w16cex:commentExtensible w16cex:durableId="254930A0" w16cex:dateUtc="2021-11-24T13: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A9985" w14:textId="77777777" w:rsidR="007B5839" w:rsidRDefault="007B5839" w:rsidP="002C3ABF">
      <w:pPr>
        <w:spacing w:line="240" w:lineRule="auto"/>
      </w:pPr>
      <w:r>
        <w:separator/>
      </w:r>
    </w:p>
  </w:endnote>
  <w:endnote w:type="continuationSeparator" w:id="0">
    <w:p w14:paraId="7E733089" w14:textId="77777777" w:rsidR="007B5839" w:rsidRDefault="007B5839" w:rsidP="002C3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10002FF" w:usb1="4000ACFF" w:usb2="00000009" w:usb3="00000000" w:csb0="0000019F" w:csb1="00000000"/>
  </w:font>
  <w:font w:name="Microsoft YaHei UI">
    <w:panose1 w:val="020B0503020204020204"/>
    <w:charset w:val="86"/>
    <w:family w:val="swiss"/>
    <w:pitch w:val="variable"/>
    <w:sig w:usb0="80000287" w:usb1="28C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Segoe UI Emoji">
    <w:altName w:val="MS Gothic"/>
    <w:charset w:val="00"/>
    <w:family w:val="swiss"/>
    <w:pitch w:val="variable"/>
    <w:sig w:usb0="00000003" w:usb1="02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Adobe 黑体 Std R">
    <w:altName w:val="微软雅黑"/>
    <w:panose1 w:val="00000000000000000000"/>
    <w:charset w:val="86"/>
    <w:family w:val="swiss"/>
    <w:notTrueType/>
    <w:pitch w:val="variable"/>
    <w:sig w:usb0="00000207" w:usb1="0A0F1810" w:usb2="00000016" w:usb3="00000000" w:csb0="00060007"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97BD5" w14:textId="77777777" w:rsidR="00790873" w:rsidRDefault="00790873">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438CD" w14:textId="77777777" w:rsidR="00790873" w:rsidRDefault="00790873">
    <w:pPr>
      <w:pBdr>
        <w:top w:val="single" w:sz="4" w:space="1" w:color="auto"/>
      </w:pBdr>
      <w:jc w:val="center"/>
    </w:pPr>
    <w:r>
      <w:rPr>
        <w:rFonts w:hint="eastAsia"/>
      </w:rPr>
      <w:t>51</w:t>
    </w:r>
  </w:p>
  <w:p w14:paraId="1A63D8B5" w14:textId="77777777" w:rsidR="00790873" w:rsidRDefault="00790873"/>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16161" w14:textId="739ACCF7" w:rsidR="00790873" w:rsidRPr="00E01757" w:rsidRDefault="00790873" w:rsidP="004A2C77">
    <w:pPr>
      <w:pBdr>
        <w:top w:val="single" w:sz="4" w:space="1" w:color="auto"/>
      </w:pBdr>
      <w:jc w:val="center"/>
    </w:pPr>
    <w:r>
      <w:fldChar w:fldCharType="begin"/>
    </w:r>
    <w:r>
      <w:instrText>PAGE   \* MERGEFORMAT</w:instrText>
    </w:r>
    <w:r>
      <w:fldChar w:fldCharType="separate"/>
    </w:r>
    <w:r w:rsidRPr="00443EF8">
      <w:rPr>
        <w:noProof/>
        <w:lang w:val="zh-CN"/>
      </w:rPr>
      <w:t>29</w:t>
    </w:r>
    <w:r>
      <w:rPr>
        <w:noProof/>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FEFA6" w14:textId="77777777" w:rsidR="00790873" w:rsidRDefault="00790873"/>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E859E" w14:textId="263DC17A" w:rsidR="00790873" w:rsidRDefault="00790873">
    <w:pPr>
      <w:pBdr>
        <w:top w:val="single" w:sz="4" w:space="1" w:color="auto"/>
      </w:pBdr>
      <w:jc w:val="center"/>
    </w:pPr>
    <w:r>
      <w:fldChar w:fldCharType="begin"/>
    </w:r>
    <w:r>
      <w:instrText>PAGE   \* MERGEFORMAT</w:instrText>
    </w:r>
    <w:r>
      <w:fldChar w:fldCharType="separate"/>
    </w:r>
    <w:r w:rsidRPr="00443EF8">
      <w:rPr>
        <w:noProof/>
        <w:lang w:val="zh-CN"/>
      </w:rPr>
      <w:t>21</w:t>
    </w:r>
    <w:r>
      <w:rPr>
        <w:noProof/>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87480" w14:textId="77777777" w:rsidR="00790873" w:rsidRDefault="00790873">
    <w:pPr>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rPr>
        <w:rFonts w:ascii="Arial" w:hAnsi="Arial"/>
        <w:noProof/>
        <w:lang w:val="zh-C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005B9" w14:textId="6AAD87F9" w:rsidR="00790873" w:rsidRDefault="00790873" w:rsidP="004A2C77">
    <w:pPr>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Pr="00443EF8">
      <w:rPr>
        <w:rFonts w:ascii="Arial" w:hAnsi="Arial" w:cs="Arial"/>
        <w:noProof/>
        <w:lang w:val="zh-CN"/>
      </w:rPr>
      <w:t>97</w:t>
    </w:r>
    <w:r w:rsidRPr="007814F0">
      <w:rPr>
        <w:rFonts w:ascii="Arial" w:hAnsi="Arial" w:cs="Arial"/>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7CBD0" w14:textId="015074F5" w:rsidR="00790873" w:rsidRPr="00FB7E94" w:rsidRDefault="00790873"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Pr="00443EF8">
      <w:rPr>
        <w:rFonts w:ascii="Arial" w:hAnsi="Arial" w:cs="Arial"/>
        <w:noProof/>
        <w:sz w:val="21"/>
        <w:szCs w:val="21"/>
        <w:lang w:val="zh-CN"/>
      </w:rPr>
      <w:t>108</w:t>
    </w:r>
    <w:r w:rsidRPr="00FB7E94">
      <w:rPr>
        <w:rFonts w:ascii="Arial" w:hAnsi="Arial" w:cs="Arial"/>
        <w:sz w:val="21"/>
        <w:szCs w:val="21"/>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E01CD" w14:textId="56C3F3F7" w:rsidR="00790873" w:rsidRPr="00FB7E94" w:rsidRDefault="00790873"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Pr="00443EF8">
      <w:rPr>
        <w:rFonts w:ascii="Arial" w:hAnsi="Arial" w:cs="Arial"/>
        <w:noProof/>
        <w:sz w:val="21"/>
        <w:szCs w:val="21"/>
        <w:lang w:val="zh-CN"/>
      </w:rPr>
      <w:t>184</w:t>
    </w:r>
    <w:r w:rsidRPr="00FB7E94">
      <w:rPr>
        <w:rFonts w:ascii="Arial" w:hAnsi="Arial" w:cs="Arial"/>
        <w:sz w:val="21"/>
        <w:szCs w:val="21"/>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E6A2A" w14:textId="28D22E5D" w:rsidR="00790873" w:rsidRDefault="00790873">
    <w:pPr>
      <w:pBdr>
        <w:top w:val="single" w:sz="4" w:space="1" w:color="auto"/>
      </w:pBdr>
      <w:jc w:val="center"/>
    </w:pPr>
    <w:r>
      <w:fldChar w:fldCharType="begin"/>
    </w:r>
    <w:r>
      <w:instrText>PAGE   \* MERGEFORMAT</w:instrText>
    </w:r>
    <w:r>
      <w:fldChar w:fldCharType="separate"/>
    </w:r>
    <w:r w:rsidRPr="00443EF8">
      <w:rPr>
        <w:rFonts w:ascii="Arial" w:hAnsi="Arial"/>
        <w:noProof/>
        <w:lang w:val="zh-CN"/>
      </w:rPr>
      <w:t>185</w:t>
    </w:r>
    <w:r>
      <w:rPr>
        <w:rFonts w:ascii="Arial" w:hAnsi="Arial"/>
        <w:noProof/>
        <w:lang w:val="zh-CN"/>
      </w:rPr>
      <w:fldChar w:fldCharType="end"/>
    </w:r>
  </w:p>
  <w:p w14:paraId="043BAFB8" w14:textId="77777777" w:rsidR="00790873" w:rsidRDefault="00790873"/>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C36A3" w14:textId="152004EA" w:rsidR="00790873" w:rsidRPr="00416DD0" w:rsidRDefault="00790873" w:rsidP="004A2C77">
    <w:pPr>
      <w:pBdr>
        <w:top w:val="single" w:sz="4" w:space="1" w:color="auto"/>
      </w:pBdr>
      <w:jc w:val="center"/>
    </w:pPr>
    <w:r>
      <w:fldChar w:fldCharType="begin"/>
    </w:r>
    <w:r>
      <w:instrText>PAGE   \* MERGEFORMAT</w:instrText>
    </w:r>
    <w:r>
      <w:fldChar w:fldCharType="separate"/>
    </w:r>
    <w:r w:rsidRPr="00443EF8">
      <w:rPr>
        <w:rFonts w:ascii="Arial" w:hAnsi="Arial"/>
        <w:noProof/>
        <w:lang w:val="zh-CN"/>
      </w:rPr>
      <w:t>187</w:t>
    </w:r>
    <w:r>
      <w:rPr>
        <w:rFonts w:ascii="Arial" w:hAnsi="Arial"/>
        <w:noProof/>
        <w:lang w:val="zh-CN"/>
      </w:rPr>
      <w:fldChar w:fldCharType="end"/>
    </w:r>
  </w:p>
  <w:p w14:paraId="7318E55A" w14:textId="77777777" w:rsidR="00790873" w:rsidRDefault="007908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473FF" w14:textId="77777777" w:rsidR="00790873" w:rsidRDefault="0079087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75C50" w14:textId="77777777" w:rsidR="00790873" w:rsidRDefault="00790873">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325D" w14:textId="77777777" w:rsidR="00790873" w:rsidRDefault="00790873">
    <w:pPr>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AFAF17E" w14:textId="77777777" w:rsidR="00790873" w:rsidRDefault="0079087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59B8C" w14:textId="60CC81BD" w:rsidR="00790873" w:rsidRDefault="00790873">
    <w:pPr>
      <w:pBdr>
        <w:top w:val="single" w:sz="4" w:space="1" w:color="auto"/>
      </w:pBdr>
      <w:jc w:val="center"/>
      <w:rPr>
        <w:rStyle w:val="ac"/>
      </w:rPr>
    </w:pPr>
    <w:r w:rsidRPr="004A0C38">
      <w:rPr>
        <w:rStyle w:val="ac"/>
      </w:rPr>
      <w:fldChar w:fldCharType="begin"/>
    </w:r>
    <w:r w:rsidRPr="004A0C38">
      <w:rPr>
        <w:rStyle w:val="ac"/>
      </w:rPr>
      <w:instrText>PAGE   \* MERGEFORMAT</w:instrText>
    </w:r>
    <w:r w:rsidRPr="004A0C38">
      <w:rPr>
        <w:rStyle w:val="ac"/>
      </w:rPr>
      <w:fldChar w:fldCharType="separate"/>
    </w:r>
    <w:r w:rsidRPr="00443EF8">
      <w:rPr>
        <w:rStyle w:val="ac"/>
        <w:noProof/>
        <w:lang w:val="zh-CN"/>
      </w:rPr>
      <w:t>14</w:t>
    </w:r>
    <w:r w:rsidRPr="004A0C38">
      <w:rPr>
        <w:rStyle w:val="ac"/>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A8FEC" w14:textId="77777777" w:rsidR="00790873" w:rsidRDefault="00790873">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D3D45" w14:textId="33A46547" w:rsidR="00790873" w:rsidRDefault="00790873">
    <w:pPr>
      <w:pBdr>
        <w:top w:val="single" w:sz="4" w:space="1" w:color="auto"/>
      </w:pBdr>
      <w:jc w:val="center"/>
    </w:pPr>
    <w:r>
      <w:fldChar w:fldCharType="begin"/>
    </w:r>
    <w:r>
      <w:instrText>PAGE   \* MERGEFORMAT</w:instrText>
    </w:r>
    <w:r>
      <w:fldChar w:fldCharType="separate"/>
    </w:r>
    <w:r w:rsidRPr="00443EF8">
      <w:rPr>
        <w:noProof/>
        <w:lang w:val="zh-CN"/>
      </w:rPr>
      <w:t>18</w:t>
    </w:r>
    <w:r>
      <w:rPr>
        <w:noProof/>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9C18E" w14:textId="25C0CF3A" w:rsidR="00790873" w:rsidRDefault="00790873" w:rsidP="004A2C77">
    <w:pPr>
      <w:pBdr>
        <w:top w:val="single" w:sz="8" w:space="15" w:color="auto"/>
      </w:pBdr>
      <w:jc w:val="center"/>
    </w:pPr>
    <w:r>
      <w:fldChar w:fldCharType="begin"/>
    </w:r>
    <w:r>
      <w:instrText>PAGE   \* MERGEFORMAT</w:instrText>
    </w:r>
    <w:r>
      <w:fldChar w:fldCharType="separate"/>
    </w:r>
    <w:r w:rsidRPr="00443EF8">
      <w:rPr>
        <w:noProof/>
        <w:lang w:val="zh-CN"/>
      </w:rPr>
      <w:t>22</w:t>
    </w:r>
    <w:r>
      <w:rPr>
        <w:noProof/>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325A9" w14:textId="77777777" w:rsidR="00790873" w:rsidRDefault="00790873">
    <w:pPr>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rPr>
        <w:rFonts w:ascii="Arial" w:hAnsi="Arial"/>
        <w:noProof/>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66628" w14:textId="77777777" w:rsidR="007B5839" w:rsidRDefault="007B5839" w:rsidP="002C3ABF">
      <w:pPr>
        <w:spacing w:line="240" w:lineRule="auto"/>
      </w:pPr>
      <w:r>
        <w:separator/>
      </w:r>
    </w:p>
  </w:footnote>
  <w:footnote w:type="continuationSeparator" w:id="0">
    <w:p w14:paraId="550AC285" w14:textId="77777777" w:rsidR="007B5839" w:rsidRDefault="007B5839" w:rsidP="002C3A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DFFF7" w14:textId="77777777" w:rsidR="00790873" w:rsidRDefault="00790873" w:rsidP="007A3D09">
    <w:pPr>
      <w:pStyle w:val="a3"/>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6AA8C" w14:textId="77777777" w:rsidR="00790873" w:rsidRDefault="00790873">
    <w:pPr>
      <w:jc w:val="both"/>
    </w:pPr>
    <w:r>
      <w:rPr>
        <w:noProof/>
      </w:rPr>
      <w:drawing>
        <wp:inline distT="0" distB="0" distL="114300" distR="114300" wp14:anchorId="58118DED" wp14:editId="347EAB51">
          <wp:extent cx="5902325" cy="285750"/>
          <wp:effectExtent l="0" t="0" r="3175" b="0"/>
          <wp:docPr id="45" name="图片 45"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7165F" w14:textId="77777777" w:rsidR="00790873" w:rsidRDefault="00790873">
    <w:pPr>
      <w:jc w:val="both"/>
    </w:pPr>
    <w:r>
      <w:rPr>
        <w:noProof/>
      </w:rPr>
      <w:drawing>
        <wp:inline distT="0" distB="0" distL="114300" distR="114300" wp14:anchorId="7A7F23AE" wp14:editId="7A88C192">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D413B" w14:textId="77777777" w:rsidR="00790873" w:rsidRDefault="00790873">
    <w:r>
      <w:rPr>
        <w:noProof/>
      </w:rPr>
      <w:drawing>
        <wp:inline distT="0" distB="0" distL="114300" distR="114300" wp14:anchorId="6B76E583" wp14:editId="4B4FCCF3">
          <wp:extent cx="5902325" cy="285750"/>
          <wp:effectExtent l="0" t="0" r="3175" b="0"/>
          <wp:docPr id="4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7158D" w14:textId="77777777" w:rsidR="00790873" w:rsidRDefault="00790873" w:rsidP="004A2C77">
    <w:r>
      <w:rPr>
        <w:noProof/>
      </w:rPr>
      <w:drawing>
        <wp:inline distT="0" distB="0" distL="114300" distR="114300" wp14:anchorId="6ACC0B10" wp14:editId="30D14EEA">
          <wp:extent cx="5902325" cy="285750"/>
          <wp:effectExtent l="0" t="0" r="3175" b="0"/>
          <wp:docPr id="90" name="图片 90"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F12E3" w14:textId="77777777" w:rsidR="00790873" w:rsidRDefault="00790873" w:rsidP="004A2C77">
    <w:r>
      <w:rPr>
        <w:noProof/>
      </w:rPr>
      <w:drawing>
        <wp:inline distT="0" distB="0" distL="0" distR="0" wp14:anchorId="7D81A39A" wp14:editId="7442ED53">
          <wp:extent cx="5968365" cy="296526"/>
          <wp:effectExtent l="0" t="0" r="0" b="8890"/>
          <wp:docPr id="56" name="图片 56"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9737" cy="304047"/>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FA02F" w14:textId="77777777" w:rsidR="00790873" w:rsidRPr="00853DEA" w:rsidRDefault="00790873" w:rsidP="004A2C77">
    <w:r>
      <w:rPr>
        <w:noProof/>
      </w:rPr>
      <w:drawing>
        <wp:inline distT="0" distB="0" distL="0" distR="0" wp14:anchorId="2E5A0D28" wp14:editId="3CA33B35">
          <wp:extent cx="5587468" cy="286374"/>
          <wp:effectExtent l="0" t="0" r="0" b="0"/>
          <wp:docPr id="57" name="图片 5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7468" cy="286374"/>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EB6D4" w14:textId="77777777" w:rsidR="00790873" w:rsidRPr="00853DEA" w:rsidRDefault="00790873" w:rsidP="004A2C77">
    <w:r>
      <w:rPr>
        <w:noProof/>
      </w:rPr>
      <w:drawing>
        <wp:inline distT="0" distB="0" distL="0" distR="0" wp14:anchorId="1276901A" wp14:editId="6982E55C">
          <wp:extent cx="5901055" cy="287020"/>
          <wp:effectExtent l="0" t="0" r="4445" b="0"/>
          <wp:docPr id="68" name="图片 68"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17548" w14:textId="77777777" w:rsidR="00790873" w:rsidRDefault="00790873" w:rsidP="004A2C77">
    <w:r>
      <w:rPr>
        <w:noProof/>
      </w:rPr>
      <w:drawing>
        <wp:inline distT="0" distB="0" distL="114300" distR="114300" wp14:anchorId="5033FC7A" wp14:editId="7569B08E">
          <wp:extent cx="5902325" cy="285750"/>
          <wp:effectExtent l="0" t="0" r="3175" b="0"/>
          <wp:docPr id="59" name="图片 5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C4D02AE" w14:textId="77777777" w:rsidR="00790873" w:rsidRDefault="00790873"/>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0C5ED" w14:textId="77777777" w:rsidR="00790873" w:rsidRDefault="00790873">
    <w:r>
      <w:rPr>
        <w:noProof/>
      </w:rPr>
      <w:drawing>
        <wp:inline distT="0" distB="0" distL="114300" distR="114300" wp14:anchorId="72A7286D" wp14:editId="11C6CCB8">
          <wp:extent cx="5902325" cy="285750"/>
          <wp:effectExtent l="0" t="0" r="3175" b="0"/>
          <wp:docPr id="61"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39401" w14:textId="77777777" w:rsidR="00790873" w:rsidRDefault="00790873">
    <w:r>
      <w:rPr>
        <w:noProof/>
      </w:rPr>
      <w:drawing>
        <wp:inline distT="0" distB="0" distL="114300" distR="114300" wp14:anchorId="12A870B5" wp14:editId="62F89CA1">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AF1DD9B" w14:textId="77777777" w:rsidR="00790873" w:rsidRDefault="007908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BEA2E" w14:textId="77777777" w:rsidR="00790873" w:rsidRDefault="00790873" w:rsidP="007A3D09">
    <w:pPr>
      <w:pStyle w:val="a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1C797" w14:textId="77777777" w:rsidR="00790873" w:rsidRDefault="00790873">
    <w:r>
      <w:rPr>
        <w:noProof/>
      </w:rPr>
      <w:drawing>
        <wp:inline distT="0" distB="0" distL="114300" distR="114300" wp14:anchorId="085DA56E" wp14:editId="0BA0228A">
          <wp:extent cx="5902325" cy="285750"/>
          <wp:effectExtent l="0" t="0" r="3175" b="0"/>
          <wp:docPr id="19"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C889D" w14:textId="77777777" w:rsidR="00790873" w:rsidRDefault="00790873">
    <w:pPr>
      <w:jc w:val="both"/>
    </w:pPr>
    <w:r>
      <w:rPr>
        <w:noProof/>
      </w:rPr>
      <w:drawing>
        <wp:inline distT="0" distB="0" distL="114300" distR="114300" wp14:anchorId="1959B6BE" wp14:editId="21C449C1">
          <wp:extent cx="5902325" cy="285750"/>
          <wp:effectExtent l="0" t="0" r="3175" b="0"/>
          <wp:docPr id="2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8C268" w14:textId="77777777" w:rsidR="00790873" w:rsidRDefault="00790873">
    <w:r>
      <w:rPr>
        <w:noProof/>
      </w:rPr>
      <w:drawing>
        <wp:inline distT="0" distB="0" distL="114300" distR="114300" wp14:anchorId="024E2378" wp14:editId="0AB36879">
          <wp:extent cx="5902325" cy="285750"/>
          <wp:effectExtent l="0" t="0" r="3175" b="0"/>
          <wp:docPr id="23" name="图片 23"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89507" w14:textId="77777777" w:rsidR="00790873" w:rsidRDefault="00790873">
    <w:pPr>
      <w:jc w:val="both"/>
      <w:rPr>
        <w:rFonts w:ascii="Arial" w:eastAsia="华文行楷" w:hAnsi="Arial"/>
      </w:rPr>
    </w:pPr>
    <w:r>
      <w:rPr>
        <w:rFonts w:ascii="楷体_GB2312" w:eastAsia="楷体_GB2312" w:hint="eastAsia"/>
        <w:noProof/>
        <w:spacing w:val="-20"/>
      </w:rPr>
      <w:drawing>
        <wp:inline distT="0" distB="0" distL="114300" distR="114300" wp14:anchorId="1FBB8E14" wp14:editId="79464E80">
          <wp:extent cx="8866505" cy="392430"/>
          <wp:effectExtent l="0" t="0" r="10795" b="7620"/>
          <wp:docPr id="41" name="图片 41"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E9CCA" w14:textId="77777777" w:rsidR="00790873" w:rsidRDefault="00790873">
    <w:pPr>
      <w:rPr>
        <w:rFonts w:ascii="楷体_GB2312" w:eastAsia="楷体_GB2312"/>
        <w:spacing w:val="-20"/>
      </w:rPr>
    </w:pPr>
    <w:r>
      <w:rPr>
        <w:noProof/>
      </w:rPr>
      <w:drawing>
        <wp:inline distT="0" distB="0" distL="114300" distR="114300" wp14:anchorId="193E6CC4" wp14:editId="63E143B4">
          <wp:extent cx="9227127" cy="285750"/>
          <wp:effectExtent l="0" t="0" r="0" b="0"/>
          <wp:docPr id="42"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9234827" cy="285988"/>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81F92" w14:textId="77777777" w:rsidR="00790873" w:rsidRDefault="00790873">
    <w:pPr>
      <w:rPr>
        <w:rFonts w:ascii="楷体_GB2312" w:eastAsia="楷体_GB2312"/>
        <w:spacing w:val="-20"/>
      </w:rPr>
    </w:pPr>
    <w:r>
      <w:rPr>
        <w:noProof/>
      </w:rPr>
      <w:drawing>
        <wp:inline distT="0" distB="0" distL="114300" distR="114300" wp14:anchorId="354FEA12" wp14:editId="55D38F47">
          <wp:extent cx="5902325" cy="285750"/>
          <wp:effectExtent l="0" t="0" r="3175" b="0"/>
          <wp:docPr id="43"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D174F" w14:textId="77777777" w:rsidR="00790873" w:rsidRDefault="00790873" w:rsidP="004A2C77">
    <w:r>
      <w:rPr>
        <w:noProof/>
      </w:rPr>
      <w:drawing>
        <wp:inline distT="0" distB="0" distL="114300" distR="114300" wp14:anchorId="302C6F5C" wp14:editId="33B8EAB9">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06331"/>
    <w:multiLevelType w:val="hybridMultilevel"/>
    <w:tmpl w:val="41000764"/>
    <w:lvl w:ilvl="0" w:tplc="8B76AF72">
      <w:start w:val="3"/>
      <w:numFmt w:val="japaneseCounting"/>
      <w:lvlText w:val="（%1）"/>
      <w:lvlJc w:val="left"/>
      <w:pPr>
        <w:ind w:left="4848" w:hanging="885"/>
      </w:pPr>
      <w:rPr>
        <w:rFonts w:ascii="仿宋_GB2312" w:hAnsi="华文仿宋" w:cs="Times New Roman" w:hint="default"/>
      </w:rPr>
    </w:lvl>
    <w:lvl w:ilvl="1" w:tplc="04090019" w:tentative="1">
      <w:start w:val="1"/>
      <w:numFmt w:val="lowerLetter"/>
      <w:lvlText w:val="%2)"/>
      <w:lvlJc w:val="left"/>
      <w:pPr>
        <w:ind w:left="4803" w:hanging="420"/>
      </w:pPr>
    </w:lvl>
    <w:lvl w:ilvl="2" w:tplc="0409001B" w:tentative="1">
      <w:start w:val="1"/>
      <w:numFmt w:val="lowerRoman"/>
      <w:lvlText w:val="%3."/>
      <w:lvlJc w:val="right"/>
      <w:pPr>
        <w:ind w:left="5223" w:hanging="420"/>
      </w:pPr>
    </w:lvl>
    <w:lvl w:ilvl="3" w:tplc="0409000F" w:tentative="1">
      <w:start w:val="1"/>
      <w:numFmt w:val="decimal"/>
      <w:lvlText w:val="%4."/>
      <w:lvlJc w:val="left"/>
      <w:pPr>
        <w:ind w:left="5643" w:hanging="420"/>
      </w:pPr>
    </w:lvl>
    <w:lvl w:ilvl="4" w:tplc="04090019" w:tentative="1">
      <w:start w:val="1"/>
      <w:numFmt w:val="lowerLetter"/>
      <w:lvlText w:val="%5)"/>
      <w:lvlJc w:val="left"/>
      <w:pPr>
        <w:ind w:left="6063" w:hanging="420"/>
      </w:pPr>
    </w:lvl>
    <w:lvl w:ilvl="5" w:tplc="0409001B" w:tentative="1">
      <w:start w:val="1"/>
      <w:numFmt w:val="lowerRoman"/>
      <w:lvlText w:val="%6."/>
      <w:lvlJc w:val="right"/>
      <w:pPr>
        <w:ind w:left="6483" w:hanging="420"/>
      </w:pPr>
    </w:lvl>
    <w:lvl w:ilvl="6" w:tplc="0409000F" w:tentative="1">
      <w:start w:val="1"/>
      <w:numFmt w:val="decimal"/>
      <w:lvlText w:val="%7."/>
      <w:lvlJc w:val="left"/>
      <w:pPr>
        <w:ind w:left="6903" w:hanging="420"/>
      </w:pPr>
    </w:lvl>
    <w:lvl w:ilvl="7" w:tplc="04090019" w:tentative="1">
      <w:start w:val="1"/>
      <w:numFmt w:val="lowerLetter"/>
      <w:lvlText w:val="%8)"/>
      <w:lvlJc w:val="left"/>
      <w:pPr>
        <w:ind w:left="7323" w:hanging="420"/>
      </w:pPr>
    </w:lvl>
    <w:lvl w:ilvl="8" w:tplc="0409001B" w:tentative="1">
      <w:start w:val="1"/>
      <w:numFmt w:val="lowerRoman"/>
      <w:lvlText w:val="%9."/>
      <w:lvlJc w:val="right"/>
      <w:pPr>
        <w:ind w:left="7743" w:hanging="420"/>
      </w:pPr>
    </w:lvl>
  </w:abstractNum>
  <w:abstractNum w:abstractNumId="1" w15:restartNumberingAfterBreak="0">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3" w15:restartNumberingAfterBreak="0">
    <w:nsid w:val="13960EB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1399774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6" w15:restartNumberingAfterBreak="0">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9" w15:restartNumberingAfterBreak="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15:restartNumberingAfterBreak="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41E94D4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15:restartNumberingAfterBreak="0">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15:restartNumberingAfterBreak="0">
    <w:nsid w:val="4B6536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4" w15:restartNumberingAfterBreak="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98A3BA2"/>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15:restartNumberingAfterBreak="0">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9" w15:restartNumberingAfterBreak="0">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30" w15:restartNumberingAfterBreak="0">
    <w:nsid w:val="68F671A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1" w15:restartNumberingAfterBreak="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2" w15:restartNumberingAfterBreak="0">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3" w15:restartNumberingAfterBreak="0">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5" w15:restartNumberingAfterBreak="0">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6"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15:restartNumberingAfterBreak="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8" w15:restartNumberingAfterBreak="0">
    <w:nsid w:val="7D75583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6"/>
  </w:num>
  <w:num w:numId="2">
    <w:abstractNumId w:val="7"/>
  </w:num>
  <w:num w:numId="3">
    <w:abstractNumId w:val="5"/>
  </w:num>
  <w:num w:numId="4">
    <w:abstractNumId w:val="35"/>
  </w:num>
  <w:num w:numId="5">
    <w:abstractNumId w:val="34"/>
  </w:num>
  <w:num w:numId="6">
    <w:abstractNumId w:val="2"/>
  </w:num>
  <w:num w:numId="7">
    <w:abstractNumId w:val="28"/>
  </w:num>
  <w:num w:numId="8">
    <w:abstractNumId w:val="6"/>
  </w:num>
  <w:num w:numId="9">
    <w:abstractNumId w:val="12"/>
  </w:num>
  <w:num w:numId="10">
    <w:abstractNumId w:val="0"/>
  </w:num>
  <w:num w:numId="11">
    <w:abstractNumId w:val="31"/>
  </w:num>
  <w:num w:numId="12">
    <w:abstractNumId w:val="33"/>
  </w:num>
  <w:num w:numId="13">
    <w:abstractNumId w:val="17"/>
  </w:num>
  <w:num w:numId="14">
    <w:abstractNumId w:val="9"/>
  </w:num>
  <w:num w:numId="15">
    <w:abstractNumId w:val="15"/>
  </w:num>
  <w:num w:numId="16">
    <w:abstractNumId w:val="37"/>
  </w:num>
  <w:num w:numId="17">
    <w:abstractNumId w:val="11"/>
  </w:num>
  <w:num w:numId="18">
    <w:abstractNumId w:val="16"/>
  </w:num>
  <w:num w:numId="19">
    <w:abstractNumId w:val="22"/>
  </w:num>
  <w:num w:numId="20">
    <w:abstractNumId w:val="29"/>
  </w:num>
  <w:num w:numId="21">
    <w:abstractNumId w:val="27"/>
  </w:num>
  <w:num w:numId="22">
    <w:abstractNumId w:val="36"/>
  </w:num>
  <w:num w:numId="23">
    <w:abstractNumId w:val="23"/>
  </w:num>
  <w:num w:numId="24">
    <w:abstractNumId w:val="24"/>
  </w:num>
  <w:num w:numId="25">
    <w:abstractNumId w:val="8"/>
  </w:num>
  <w:num w:numId="26">
    <w:abstractNumId w:val="10"/>
  </w:num>
  <w:num w:numId="27">
    <w:abstractNumId w:val="20"/>
  </w:num>
  <w:num w:numId="28">
    <w:abstractNumId w:val="14"/>
  </w:num>
  <w:num w:numId="29">
    <w:abstractNumId w:val="19"/>
  </w:num>
  <w:num w:numId="30">
    <w:abstractNumId w:val="13"/>
  </w:num>
  <w:num w:numId="31">
    <w:abstractNumId w:val="32"/>
  </w:num>
  <w:num w:numId="32">
    <w:abstractNumId w:val="1"/>
  </w:num>
  <w:num w:numId="33">
    <w:abstractNumId w:val="30"/>
  </w:num>
  <w:num w:numId="34">
    <w:abstractNumId w:val="21"/>
  </w:num>
  <w:num w:numId="35">
    <w:abstractNumId w:val="38"/>
  </w:num>
  <w:num w:numId="36">
    <w:abstractNumId w:val="3"/>
  </w:num>
  <w:num w:numId="37">
    <w:abstractNumId w:val="18"/>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DFA"/>
    <w:rsid w:val="00026228"/>
    <w:rsid w:val="0002769D"/>
    <w:rsid w:val="0003006C"/>
    <w:rsid w:val="00042468"/>
    <w:rsid w:val="00044116"/>
    <w:rsid w:val="00060DEB"/>
    <w:rsid w:val="00061812"/>
    <w:rsid w:val="00063642"/>
    <w:rsid w:val="00070B44"/>
    <w:rsid w:val="00072076"/>
    <w:rsid w:val="00075B10"/>
    <w:rsid w:val="000824FB"/>
    <w:rsid w:val="000846A1"/>
    <w:rsid w:val="00084DF6"/>
    <w:rsid w:val="00090D86"/>
    <w:rsid w:val="000929DD"/>
    <w:rsid w:val="0009314F"/>
    <w:rsid w:val="00093A0B"/>
    <w:rsid w:val="000A169D"/>
    <w:rsid w:val="000A3D4F"/>
    <w:rsid w:val="000A5083"/>
    <w:rsid w:val="000A67B1"/>
    <w:rsid w:val="000B1304"/>
    <w:rsid w:val="000B32FD"/>
    <w:rsid w:val="000B5A76"/>
    <w:rsid w:val="000B6C12"/>
    <w:rsid w:val="000B71A5"/>
    <w:rsid w:val="000B7D55"/>
    <w:rsid w:val="000C3E13"/>
    <w:rsid w:val="000C63D6"/>
    <w:rsid w:val="000C70FF"/>
    <w:rsid w:val="000D4E49"/>
    <w:rsid w:val="000E7771"/>
    <w:rsid w:val="000F640C"/>
    <w:rsid w:val="0011013D"/>
    <w:rsid w:val="001106FA"/>
    <w:rsid w:val="00110C31"/>
    <w:rsid w:val="00120A1A"/>
    <w:rsid w:val="00120D84"/>
    <w:rsid w:val="00123EE9"/>
    <w:rsid w:val="00126C94"/>
    <w:rsid w:val="00134C60"/>
    <w:rsid w:val="00141AE9"/>
    <w:rsid w:val="00146331"/>
    <w:rsid w:val="00150704"/>
    <w:rsid w:val="001540AB"/>
    <w:rsid w:val="00157F7A"/>
    <w:rsid w:val="00160C1F"/>
    <w:rsid w:val="001657C9"/>
    <w:rsid w:val="001715EB"/>
    <w:rsid w:val="00171B07"/>
    <w:rsid w:val="0018367E"/>
    <w:rsid w:val="00191657"/>
    <w:rsid w:val="00193CEB"/>
    <w:rsid w:val="00195B20"/>
    <w:rsid w:val="0019689C"/>
    <w:rsid w:val="001A0783"/>
    <w:rsid w:val="001B1AE2"/>
    <w:rsid w:val="001B2360"/>
    <w:rsid w:val="001B31FD"/>
    <w:rsid w:val="001C13DD"/>
    <w:rsid w:val="001C2131"/>
    <w:rsid w:val="001C6B81"/>
    <w:rsid w:val="001D4423"/>
    <w:rsid w:val="001E1169"/>
    <w:rsid w:val="001F4B24"/>
    <w:rsid w:val="001F66FC"/>
    <w:rsid w:val="00202A32"/>
    <w:rsid w:val="00202E52"/>
    <w:rsid w:val="0020403B"/>
    <w:rsid w:val="00204D34"/>
    <w:rsid w:val="00205B87"/>
    <w:rsid w:val="00207644"/>
    <w:rsid w:val="00210B2B"/>
    <w:rsid w:val="00211E9F"/>
    <w:rsid w:val="00214018"/>
    <w:rsid w:val="002176E8"/>
    <w:rsid w:val="002321A9"/>
    <w:rsid w:val="002347DA"/>
    <w:rsid w:val="00246664"/>
    <w:rsid w:val="00250BC4"/>
    <w:rsid w:val="00251D30"/>
    <w:rsid w:val="00266131"/>
    <w:rsid w:val="00273576"/>
    <w:rsid w:val="00273CE2"/>
    <w:rsid w:val="00276E26"/>
    <w:rsid w:val="002818F2"/>
    <w:rsid w:val="0028694F"/>
    <w:rsid w:val="00287543"/>
    <w:rsid w:val="00296A75"/>
    <w:rsid w:val="002A554C"/>
    <w:rsid w:val="002C02C3"/>
    <w:rsid w:val="002C3804"/>
    <w:rsid w:val="002C3ABF"/>
    <w:rsid w:val="002D38EC"/>
    <w:rsid w:val="002E453F"/>
    <w:rsid w:val="002F113D"/>
    <w:rsid w:val="002F6940"/>
    <w:rsid w:val="0030440C"/>
    <w:rsid w:val="00310547"/>
    <w:rsid w:val="00326051"/>
    <w:rsid w:val="00327999"/>
    <w:rsid w:val="00330CBD"/>
    <w:rsid w:val="00331D08"/>
    <w:rsid w:val="00334BF4"/>
    <w:rsid w:val="00335444"/>
    <w:rsid w:val="00357A42"/>
    <w:rsid w:val="00367EBC"/>
    <w:rsid w:val="00370359"/>
    <w:rsid w:val="00382993"/>
    <w:rsid w:val="003A1485"/>
    <w:rsid w:val="003A3E89"/>
    <w:rsid w:val="003B671A"/>
    <w:rsid w:val="003B749F"/>
    <w:rsid w:val="003C313E"/>
    <w:rsid w:val="003C48EF"/>
    <w:rsid w:val="003D023D"/>
    <w:rsid w:val="003D6BCC"/>
    <w:rsid w:val="003E0F06"/>
    <w:rsid w:val="003E27DF"/>
    <w:rsid w:val="003F1721"/>
    <w:rsid w:val="003F1C9E"/>
    <w:rsid w:val="00413F5F"/>
    <w:rsid w:val="0042308B"/>
    <w:rsid w:val="004263CE"/>
    <w:rsid w:val="004322E9"/>
    <w:rsid w:val="004347C7"/>
    <w:rsid w:val="00443EF8"/>
    <w:rsid w:val="00444D2F"/>
    <w:rsid w:val="004465D8"/>
    <w:rsid w:val="00446802"/>
    <w:rsid w:val="00465583"/>
    <w:rsid w:val="00475BF9"/>
    <w:rsid w:val="0048307F"/>
    <w:rsid w:val="004873DC"/>
    <w:rsid w:val="004907BD"/>
    <w:rsid w:val="00492E2C"/>
    <w:rsid w:val="004A1EDE"/>
    <w:rsid w:val="004A2C77"/>
    <w:rsid w:val="004A6864"/>
    <w:rsid w:val="004A7786"/>
    <w:rsid w:val="004B00B4"/>
    <w:rsid w:val="004B0EB4"/>
    <w:rsid w:val="004C3B37"/>
    <w:rsid w:val="004C6864"/>
    <w:rsid w:val="004D00CF"/>
    <w:rsid w:val="004D6C9D"/>
    <w:rsid w:val="004E1A24"/>
    <w:rsid w:val="004F0BE4"/>
    <w:rsid w:val="004F6EE1"/>
    <w:rsid w:val="005027AE"/>
    <w:rsid w:val="00503BBF"/>
    <w:rsid w:val="005062BF"/>
    <w:rsid w:val="0051173F"/>
    <w:rsid w:val="0051195E"/>
    <w:rsid w:val="00512630"/>
    <w:rsid w:val="00517F3C"/>
    <w:rsid w:val="005256F1"/>
    <w:rsid w:val="00530D89"/>
    <w:rsid w:val="00541729"/>
    <w:rsid w:val="00541FC8"/>
    <w:rsid w:val="005424B1"/>
    <w:rsid w:val="005452B6"/>
    <w:rsid w:val="00546EFE"/>
    <w:rsid w:val="0056189A"/>
    <w:rsid w:val="00570C05"/>
    <w:rsid w:val="00575E35"/>
    <w:rsid w:val="00576285"/>
    <w:rsid w:val="00584C10"/>
    <w:rsid w:val="00586573"/>
    <w:rsid w:val="00593424"/>
    <w:rsid w:val="00595820"/>
    <w:rsid w:val="00596C77"/>
    <w:rsid w:val="00596F26"/>
    <w:rsid w:val="005A0536"/>
    <w:rsid w:val="005A4883"/>
    <w:rsid w:val="005A5141"/>
    <w:rsid w:val="005A79D0"/>
    <w:rsid w:val="005B214D"/>
    <w:rsid w:val="005B43B8"/>
    <w:rsid w:val="005B5CD2"/>
    <w:rsid w:val="005B6F82"/>
    <w:rsid w:val="005C2351"/>
    <w:rsid w:val="005E1306"/>
    <w:rsid w:val="005E23FA"/>
    <w:rsid w:val="005E28EC"/>
    <w:rsid w:val="005E359F"/>
    <w:rsid w:val="005E6AF1"/>
    <w:rsid w:val="005E7536"/>
    <w:rsid w:val="005F7D72"/>
    <w:rsid w:val="00614B37"/>
    <w:rsid w:val="00632B9F"/>
    <w:rsid w:val="0063620D"/>
    <w:rsid w:val="00640132"/>
    <w:rsid w:val="00656C28"/>
    <w:rsid w:val="00656EC6"/>
    <w:rsid w:val="006650F1"/>
    <w:rsid w:val="006667CB"/>
    <w:rsid w:val="00666906"/>
    <w:rsid w:val="006957FF"/>
    <w:rsid w:val="006A0786"/>
    <w:rsid w:val="006A0924"/>
    <w:rsid w:val="006A3976"/>
    <w:rsid w:val="006A417A"/>
    <w:rsid w:val="006B33D2"/>
    <w:rsid w:val="006C1DB6"/>
    <w:rsid w:val="006C364C"/>
    <w:rsid w:val="006C526D"/>
    <w:rsid w:val="006D4DBF"/>
    <w:rsid w:val="006D69B1"/>
    <w:rsid w:val="006E4113"/>
    <w:rsid w:val="006E74D2"/>
    <w:rsid w:val="006F0BBE"/>
    <w:rsid w:val="006F2DE0"/>
    <w:rsid w:val="007019C7"/>
    <w:rsid w:val="00711355"/>
    <w:rsid w:val="007178ED"/>
    <w:rsid w:val="00720326"/>
    <w:rsid w:val="00721237"/>
    <w:rsid w:val="00723242"/>
    <w:rsid w:val="0073655F"/>
    <w:rsid w:val="0074010A"/>
    <w:rsid w:val="00751119"/>
    <w:rsid w:val="00752A76"/>
    <w:rsid w:val="00760DF6"/>
    <w:rsid w:val="00770A07"/>
    <w:rsid w:val="00771E24"/>
    <w:rsid w:val="0077205E"/>
    <w:rsid w:val="00773973"/>
    <w:rsid w:val="007802E7"/>
    <w:rsid w:val="00790873"/>
    <w:rsid w:val="007A1B41"/>
    <w:rsid w:val="007A375D"/>
    <w:rsid w:val="007A3D09"/>
    <w:rsid w:val="007B3A83"/>
    <w:rsid w:val="007B5839"/>
    <w:rsid w:val="007C3005"/>
    <w:rsid w:val="007C36F2"/>
    <w:rsid w:val="007D21F7"/>
    <w:rsid w:val="007D4F81"/>
    <w:rsid w:val="007E1F92"/>
    <w:rsid w:val="007F1FA0"/>
    <w:rsid w:val="00806BBF"/>
    <w:rsid w:val="00810700"/>
    <w:rsid w:val="00810B19"/>
    <w:rsid w:val="0081160B"/>
    <w:rsid w:val="00814D19"/>
    <w:rsid w:val="00816773"/>
    <w:rsid w:val="00826D24"/>
    <w:rsid w:val="00831261"/>
    <w:rsid w:val="00835E64"/>
    <w:rsid w:val="008433CA"/>
    <w:rsid w:val="00843CF8"/>
    <w:rsid w:val="008635A7"/>
    <w:rsid w:val="0087591C"/>
    <w:rsid w:val="008869AB"/>
    <w:rsid w:val="00887F19"/>
    <w:rsid w:val="008943D5"/>
    <w:rsid w:val="008A04BE"/>
    <w:rsid w:val="008A1845"/>
    <w:rsid w:val="008B052A"/>
    <w:rsid w:val="008B444E"/>
    <w:rsid w:val="008B58C6"/>
    <w:rsid w:val="008D370B"/>
    <w:rsid w:val="008D5406"/>
    <w:rsid w:val="008D5BA2"/>
    <w:rsid w:val="008E4F13"/>
    <w:rsid w:val="009016C9"/>
    <w:rsid w:val="00911DBF"/>
    <w:rsid w:val="00914E90"/>
    <w:rsid w:val="0091790A"/>
    <w:rsid w:val="00920E53"/>
    <w:rsid w:val="00922100"/>
    <w:rsid w:val="00927BB2"/>
    <w:rsid w:val="00932E70"/>
    <w:rsid w:val="0093408B"/>
    <w:rsid w:val="00936837"/>
    <w:rsid w:val="00936D15"/>
    <w:rsid w:val="00954F56"/>
    <w:rsid w:val="009575B3"/>
    <w:rsid w:val="00964211"/>
    <w:rsid w:val="00967D80"/>
    <w:rsid w:val="00973E78"/>
    <w:rsid w:val="009760CC"/>
    <w:rsid w:val="009779CE"/>
    <w:rsid w:val="0098411B"/>
    <w:rsid w:val="00985692"/>
    <w:rsid w:val="0098577C"/>
    <w:rsid w:val="009906B8"/>
    <w:rsid w:val="00995EB3"/>
    <w:rsid w:val="009A76DB"/>
    <w:rsid w:val="009B7BA2"/>
    <w:rsid w:val="009D1EA2"/>
    <w:rsid w:val="009D71B7"/>
    <w:rsid w:val="009E410B"/>
    <w:rsid w:val="009E6B5B"/>
    <w:rsid w:val="009F133A"/>
    <w:rsid w:val="009F4456"/>
    <w:rsid w:val="00A145B3"/>
    <w:rsid w:val="00A204EC"/>
    <w:rsid w:val="00A20698"/>
    <w:rsid w:val="00A37684"/>
    <w:rsid w:val="00A41F16"/>
    <w:rsid w:val="00A42F66"/>
    <w:rsid w:val="00A4401A"/>
    <w:rsid w:val="00A44B9A"/>
    <w:rsid w:val="00A450A8"/>
    <w:rsid w:val="00A52AC4"/>
    <w:rsid w:val="00A60A06"/>
    <w:rsid w:val="00A679FA"/>
    <w:rsid w:val="00A73812"/>
    <w:rsid w:val="00A75B80"/>
    <w:rsid w:val="00A77EBC"/>
    <w:rsid w:val="00A86DFA"/>
    <w:rsid w:val="00A908C5"/>
    <w:rsid w:val="00A92F3E"/>
    <w:rsid w:val="00AA7E8B"/>
    <w:rsid w:val="00AB4D11"/>
    <w:rsid w:val="00AB575D"/>
    <w:rsid w:val="00AC30F4"/>
    <w:rsid w:val="00AC4D0F"/>
    <w:rsid w:val="00AC5A05"/>
    <w:rsid w:val="00AD6D80"/>
    <w:rsid w:val="00AE3E5E"/>
    <w:rsid w:val="00AE6A85"/>
    <w:rsid w:val="00AF0914"/>
    <w:rsid w:val="00AF7FC5"/>
    <w:rsid w:val="00B01189"/>
    <w:rsid w:val="00B03551"/>
    <w:rsid w:val="00B0422B"/>
    <w:rsid w:val="00B066AB"/>
    <w:rsid w:val="00B1377B"/>
    <w:rsid w:val="00B230A9"/>
    <w:rsid w:val="00B31BBA"/>
    <w:rsid w:val="00B41767"/>
    <w:rsid w:val="00B46B0D"/>
    <w:rsid w:val="00B5054C"/>
    <w:rsid w:val="00B80F95"/>
    <w:rsid w:val="00B83497"/>
    <w:rsid w:val="00B86A53"/>
    <w:rsid w:val="00B910EC"/>
    <w:rsid w:val="00BA76A0"/>
    <w:rsid w:val="00BA7C99"/>
    <w:rsid w:val="00BB44AF"/>
    <w:rsid w:val="00BC2443"/>
    <w:rsid w:val="00BC6EDC"/>
    <w:rsid w:val="00BD724C"/>
    <w:rsid w:val="00BE000D"/>
    <w:rsid w:val="00BE1CBA"/>
    <w:rsid w:val="00BF0453"/>
    <w:rsid w:val="00BF4DA3"/>
    <w:rsid w:val="00C06FE8"/>
    <w:rsid w:val="00C15547"/>
    <w:rsid w:val="00C27A00"/>
    <w:rsid w:val="00C43340"/>
    <w:rsid w:val="00C50E73"/>
    <w:rsid w:val="00C61BB4"/>
    <w:rsid w:val="00C6640C"/>
    <w:rsid w:val="00C67610"/>
    <w:rsid w:val="00C70DD8"/>
    <w:rsid w:val="00C70FA0"/>
    <w:rsid w:val="00C75876"/>
    <w:rsid w:val="00C8040A"/>
    <w:rsid w:val="00C80498"/>
    <w:rsid w:val="00C81828"/>
    <w:rsid w:val="00C8441E"/>
    <w:rsid w:val="00C85585"/>
    <w:rsid w:val="00C94934"/>
    <w:rsid w:val="00CB3AA4"/>
    <w:rsid w:val="00CB3EE5"/>
    <w:rsid w:val="00CC0C1B"/>
    <w:rsid w:val="00CC2915"/>
    <w:rsid w:val="00CC5B95"/>
    <w:rsid w:val="00CD340C"/>
    <w:rsid w:val="00CD767E"/>
    <w:rsid w:val="00CE08A5"/>
    <w:rsid w:val="00CE438D"/>
    <w:rsid w:val="00CE4462"/>
    <w:rsid w:val="00CF0B18"/>
    <w:rsid w:val="00CF2491"/>
    <w:rsid w:val="00D112F8"/>
    <w:rsid w:val="00D12201"/>
    <w:rsid w:val="00D152B3"/>
    <w:rsid w:val="00D211EA"/>
    <w:rsid w:val="00D22778"/>
    <w:rsid w:val="00D22E0E"/>
    <w:rsid w:val="00D30D65"/>
    <w:rsid w:val="00D346D3"/>
    <w:rsid w:val="00D3576D"/>
    <w:rsid w:val="00D43622"/>
    <w:rsid w:val="00D52D77"/>
    <w:rsid w:val="00D55500"/>
    <w:rsid w:val="00D56493"/>
    <w:rsid w:val="00D61A22"/>
    <w:rsid w:val="00D67CB9"/>
    <w:rsid w:val="00D72292"/>
    <w:rsid w:val="00D829B8"/>
    <w:rsid w:val="00D94213"/>
    <w:rsid w:val="00DA1BA5"/>
    <w:rsid w:val="00DA1CE2"/>
    <w:rsid w:val="00DA5B99"/>
    <w:rsid w:val="00DB53CD"/>
    <w:rsid w:val="00DC3337"/>
    <w:rsid w:val="00DC3FE0"/>
    <w:rsid w:val="00DC566A"/>
    <w:rsid w:val="00DC6BCD"/>
    <w:rsid w:val="00DE15EC"/>
    <w:rsid w:val="00DE3C2A"/>
    <w:rsid w:val="00DF2CC0"/>
    <w:rsid w:val="00E02248"/>
    <w:rsid w:val="00E07B15"/>
    <w:rsid w:val="00E111B9"/>
    <w:rsid w:val="00E206FB"/>
    <w:rsid w:val="00E2648C"/>
    <w:rsid w:val="00E3208F"/>
    <w:rsid w:val="00E355E5"/>
    <w:rsid w:val="00E36EFE"/>
    <w:rsid w:val="00E651D3"/>
    <w:rsid w:val="00E736F2"/>
    <w:rsid w:val="00E75CF8"/>
    <w:rsid w:val="00E81CA4"/>
    <w:rsid w:val="00E820E3"/>
    <w:rsid w:val="00E84DF8"/>
    <w:rsid w:val="00E906EE"/>
    <w:rsid w:val="00E947AE"/>
    <w:rsid w:val="00E9506C"/>
    <w:rsid w:val="00E967FB"/>
    <w:rsid w:val="00EA5E28"/>
    <w:rsid w:val="00EB0674"/>
    <w:rsid w:val="00EC0CE5"/>
    <w:rsid w:val="00EC19A5"/>
    <w:rsid w:val="00EC4C06"/>
    <w:rsid w:val="00ED20F4"/>
    <w:rsid w:val="00ED30EA"/>
    <w:rsid w:val="00ED4C69"/>
    <w:rsid w:val="00EE4F78"/>
    <w:rsid w:val="00EE6D49"/>
    <w:rsid w:val="00EE7E98"/>
    <w:rsid w:val="00EF2E85"/>
    <w:rsid w:val="00EF59C9"/>
    <w:rsid w:val="00EF6258"/>
    <w:rsid w:val="00F0347D"/>
    <w:rsid w:val="00F1591E"/>
    <w:rsid w:val="00F31153"/>
    <w:rsid w:val="00F36FAD"/>
    <w:rsid w:val="00F37DC9"/>
    <w:rsid w:val="00F50A31"/>
    <w:rsid w:val="00F56733"/>
    <w:rsid w:val="00F62B8B"/>
    <w:rsid w:val="00F631FB"/>
    <w:rsid w:val="00F7311A"/>
    <w:rsid w:val="00F800E5"/>
    <w:rsid w:val="00F81F06"/>
    <w:rsid w:val="00F83CE6"/>
    <w:rsid w:val="00F86D61"/>
    <w:rsid w:val="00FB4630"/>
    <w:rsid w:val="00FC7D32"/>
    <w:rsid w:val="00FD249C"/>
    <w:rsid w:val="00FD7616"/>
    <w:rsid w:val="00FE3E7A"/>
    <w:rsid w:val="00FE42C9"/>
    <w:rsid w:val="00FF6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67386"/>
  <w15:docId w15:val="{87DD6046-E41A-45F6-B871-F445DA4A0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3ABF"/>
    <w:pPr>
      <w:widowControl w:val="0"/>
      <w:adjustRightInd w:val="0"/>
      <w:spacing w:line="360" w:lineRule="atLeast"/>
      <w:textAlignment w:val="baseline"/>
    </w:pPr>
    <w:rPr>
      <w:rFonts w:ascii="Times New Roman" w:eastAsia="宋体" w:hAnsi="Times New Roman" w:cs="Times New Roman"/>
      <w:kern w:val="0"/>
      <w:sz w:val="24"/>
      <w:szCs w:val="20"/>
    </w:rPr>
  </w:style>
  <w:style w:type="paragraph" w:styleId="1">
    <w:name w:val="heading 1"/>
    <w:basedOn w:val="a"/>
    <w:next w:val="a"/>
    <w:link w:val="10"/>
    <w:qFormat/>
    <w:rsid w:val="002C3ABF"/>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rsid w:val="002C3ABF"/>
    <w:pPr>
      <w:keepNext/>
      <w:numPr>
        <w:numId w:val="5"/>
      </w:numPr>
      <w:spacing w:line="300" w:lineRule="auto"/>
      <w:outlineLvl w:val="1"/>
    </w:pPr>
    <w:rPr>
      <w:rFonts w:ascii="Arial" w:eastAsia="仿宋_GB2312" w:hAnsi="Arial"/>
      <w:b/>
      <w:bCs/>
      <w:sz w:val="28"/>
    </w:rPr>
  </w:style>
  <w:style w:type="paragraph" w:styleId="3">
    <w:name w:val="heading 3"/>
    <w:basedOn w:val="a"/>
    <w:next w:val="a"/>
    <w:link w:val="30"/>
    <w:qFormat/>
    <w:rsid w:val="002C3ABF"/>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rsid w:val="002C3ABF"/>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2C3ABF"/>
    <w:rPr>
      <w:rFonts w:ascii="Arial" w:eastAsia="仿宋_GB2312" w:hAnsi="Arial" w:cs="Times New Roman"/>
      <w:b/>
      <w:kern w:val="0"/>
      <w:sz w:val="28"/>
      <w:szCs w:val="20"/>
    </w:rPr>
  </w:style>
  <w:style w:type="character" w:customStyle="1" w:styleId="20">
    <w:name w:val="标题 2 字符"/>
    <w:aliases w:val="Body Text (Reset numbering) 字符"/>
    <w:basedOn w:val="a0"/>
    <w:link w:val="2"/>
    <w:rsid w:val="002C3ABF"/>
    <w:rPr>
      <w:rFonts w:ascii="Arial" w:eastAsia="仿宋_GB2312" w:hAnsi="Arial" w:cs="Times New Roman"/>
      <w:b/>
      <w:bCs/>
      <w:kern w:val="0"/>
      <w:sz w:val="28"/>
      <w:szCs w:val="20"/>
    </w:rPr>
  </w:style>
  <w:style w:type="character" w:customStyle="1" w:styleId="30">
    <w:name w:val="标题 3 字符"/>
    <w:basedOn w:val="a0"/>
    <w:link w:val="3"/>
    <w:rsid w:val="002C3ABF"/>
    <w:rPr>
      <w:rFonts w:ascii="仿宋_GB2312" w:eastAsia="仿宋_GB2312" w:hAnsi="Arial" w:cs="Times New Roman"/>
      <w:kern w:val="0"/>
      <w:sz w:val="28"/>
      <w:szCs w:val="20"/>
    </w:rPr>
  </w:style>
  <w:style w:type="character" w:customStyle="1" w:styleId="40">
    <w:name w:val="标题 4 字符"/>
    <w:basedOn w:val="a0"/>
    <w:link w:val="4"/>
    <w:rsid w:val="002C3ABF"/>
    <w:rPr>
      <w:rFonts w:ascii="仿宋_GB2312" w:eastAsia="仿宋_GB2312" w:hAnsi="Times New Roman" w:cs="Times New Roman"/>
      <w:kern w:val="0"/>
      <w:sz w:val="28"/>
      <w:szCs w:val="20"/>
    </w:rPr>
  </w:style>
  <w:style w:type="paragraph" w:styleId="a3">
    <w:name w:val="header"/>
    <w:basedOn w:val="a"/>
    <w:link w:val="a4"/>
    <w:uiPriority w:val="99"/>
    <w:unhideWhenUsed/>
    <w:rsid w:val="002C3AB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C3ABF"/>
    <w:rPr>
      <w:sz w:val="18"/>
      <w:szCs w:val="18"/>
    </w:rPr>
  </w:style>
  <w:style w:type="paragraph" w:styleId="a5">
    <w:name w:val="footer"/>
    <w:basedOn w:val="a"/>
    <w:link w:val="a6"/>
    <w:uiPriority w:val="99"/>
    <w:unhideWhenUsed/>
    <w:rsid w:val="002C3ABF"/>
    <w:pPr>
      <w:tabs>
        <w:tab w:val="center" w:pos="4153"/>
        <w:tab w:val="right" w:pos="8306"/>
      </w:tabs>
      <w:snapToGrid w:val="0"/>
    </w:pPr>
    <w:rPr>
      <w:sz w:val="18"/>
      <w:szCs w:val="18"/>
    </w:rPr>
  </w:style>
  <w:style w:type="character" w:customStyle="1" w:styleId="a6">
    <w:name w:val="页脚 字符"/>
    <w:basedOn w:val="a0"/>
    <w:link w:val="a5"/>
    <w:uiPriority w:val="99"/>
    <w:rsid w:val="002C3ABF"/>
    <w:rPr>
      <w:sz w:val="18"/>
      <w:szCs w:val="18"/>
    </w:rPr>
  </w:style>
  <w:style w:type="paragraph" w:styleId="31">
    <w:name w:val="Body Text 3"/>
    <w:basedOn w:val="a"/>
    <w:link w:val="32"/>
    <w:qFormat/>
    <w:rsid w:val="002C3ABF"/>
    <w:pPr>
      <w:spacing w:line="288" w:lineRule="auto"/>
      <w:jc w:val="both"/>
    </w:pPr>
    <w:rPr>
      <w:rFonts w:ascii="楷体_GB2312" w:eastAsia="楷体_GB2312" w:hAnsi="Arial"/>
      <w:sz w:val="32"/>
    </w:rPr>
  </w:style>
  <w:style w:type="character" w:customStyle="1" w:styleId="32">
    <w:name w:val="正文文本 3 字符"/>
    <w:basedOn w:val="a0"/>
    <w:link w:val="31"/>
    <w:rsid w:val="002C3ABF"/>
    <w:rPr>
      <w:rFonts w:ascii="楷体_GB2312" w:eastAsia="楷体_GB2312" w:hAnsi="Arial" w:cs="Times New Roman"/>
      <w:kern w:val="0"/>
      <w:sz w:val="32"/>
      <w:szCs w:val="20"/>
    </w:rPr>
  </w:style>
  <w:style w:type="paragraph" w:styleId="a7">
    <w:name w:val="Body Text"/>
    <w:basedOn w:val="a"/>
    <w:link w:val="a8"/>
    <w:qFormat/>
    <w:rsid w:val="002C3ABF"/>
    <w:pPr>
      <w:adjustRightInd/>
      <w:spacing w:line="240" w:lineRule="auto"/>
      <w:jc w:val="both"/>
      <w:textAlignment w:val="auto"/>
    </w:pPr>
    <w:rPr>
      <w:rFonts w:ascii="宋体"/>
      <w:sz w:val="30"/>
    </w:rPr>
  </w:style>
  <w:style w:type="character" w:customStyle="1" w:styleId="a8">
    <w:name w:val="正文文本 字符"/>
    <w:basedOn w:val="a0"/>
    <w:link w:val="a7"/>
    <w:rsid w:val="002C3ABF"/>
    <w:rPr>
      <w:rFonts w:ascii="宋体" w:eastAsia="宋体" w:hAnsi="Times New Roman" w:cs="Times New Roman"/>
      <w:kern w:val="0"/>
      <w:sz w:val="30"/>
      <w:szCs w:val="20"/>
    </w:rPr>
  </w:style>
  <w:style w:type="paragraph" w:styleId="a9">
    <w:name w:val="Body Text Indent"/>
    <w:basedOn w:val="a"/>
    <w:link w:val="aa"/>
    <w:qFormat/>
    <w:rsid w:val="002C3ABF"/>
    <w:pPr>
      <w:spacing w:line="400" w:lineRule="atLeast"/>
      <w:ind w:firstLine="570"/>
    </w:pPr>
    <w:rPr>
      <w:rFonts w:ascii="仿宋_GB2312" w:eastAsia="仿宋_GB2312" w:hAnsi="_x000B__x000C_"/>
      <w:sz w:val="28"/>
    </w:rPr>
  </w:style>
  <w:style w:type="character" w:customStyle="1" w:styleId="aa">
    <w:name w:val="正文文本缩进 字符"/>
    <w:basedOn w:val="a0"/>
    <w:link w:val="a9"/>
    <w:rsid w:val="002C3ABF"/>
    <w:rPr>
      <w:rFonts w:ascii="仿宋_GB2312" w:eastAsia="仿宋_GB2312" w:hAnsi="_x000B__x000C_" w:cs="Times New Roman"/>
      <w:kern w:val="0"/>
      <w:sz w:val="28"/>
      <w:szCs w:val="20"/>
    </w:rPr>
  </w:style>
  <w:style w:type="paragraph" w:styleId="TOC1">
    <w:name w:val="toc 1"/>
    <w:basedOn w:val="a"/>
    <w:next w:val="a"/>
    <w:uiPriority w:val="39"/>
    <w:unhideWhenUsed/>
    <w:rsid w:val="002C3ABF"/>
    <w:pPr>
      <w:tabs>
        <w:tab w:val="left" w:pos="840"/>
        <w:tab w:val="right" w:leader="dot" w:pos="8654"/>
      </w:tabs>
      <w:spacing w:line="360" w:lineRule="auto"/>
      <w:jc w:val="center"/>
    </w:pPr>
    <w:rPr>
      <w:rFonts w:ascii="仿宋_GB2312" w:eastAsia="仿宋_GB2312" w:hAnsi="Arial"/>
      <w:sz w:val="28"/>
      <w:szCs w:val="28"/>
    </w:rPr>
  </w:style>
  <w:style w:type="paragraph" w:styleId="TOC2">
    <w:name w:val="toc 2"/>
    <w:basedOn w:val="a"/>
    <w:next w:val="a"/>
    <w:uiPriority w:val="39"/>
    <w:unhideWhenUsed/>
    <w:rsid w:val="002C3ABF"/>
    <w:pPr>
      <w:tabs>
        <w:tab w:val="right" w:leader="dot" w:pos="8931"/>
      </w:tabs>
      <w:spacing w:line="360" w:lineRule="auto"/>
      <w:ind w:leftChars="200" w:left="480"/>
    </w:pPr>
  </w:style>
  <w:style w:type="character" w:styleId="ab">
    <w:name w:val="Strong"/>
    <w:qFormat/>
    <w:rsid w:val="002C3ABF"/>
    <w:rPr>
      <w:b/>
      <w:bCs/>
    </w:rPr>
  </w:style>
  <w:style w:type="character" w:styleId="ac">
    <w:name w:val="page number"/>
    <w:basedOn w:val="a0"/>
    <w:rsid w:val="002C3ABF"/>
  </w:style>
  <w:style w:type="character" w:styleId="ad">
    <w:name w:val="Hyperlink"/>
    <w:uiPriority w:val="99"/>
    <w:unhideWhenUsed/>
    <w:rsid w:val="002C3ABF"/>
    <w:rPr>
      <w:color w:val="0000FF"/>
      <w:u w:val="single"/>
    </w:rPr>
  </w:style>
  <w:style w:type="paragraph" w:styleId="ae">
    <w:name w:val="List Paragraph"/>
    <w:basedOn w:val="a"/>
    <w:uiPriority w:val="34"/>
    <w:qFormat/>
    <w:rsid w:val="002C3ABF"/>
    <w:pPr>
      <w:ind w:firstLineChars="200" w:firstLine="420"/>
    </w:pPr>
  </w:style>
  <w:style w:type="paragraph" w:customStyle="1" w:styleId="11">
    <w:name w:val="正文1"/>
    <w:basedOn w:val="a"/>
    <w:link w:val="1Char"/>
    <w:qFormat/>
    <w:rsid w:val="002C3AB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sid w:val="002C3ABF"/>
    <w:rPr>
      <w:rFonts w:ascii="Times New Roman" w:eastAsia="仿宋_GB2312" w:hAnsi="Times New Roman" w:cs="Times New Roman"/>
      <w:sz w:val="28"/>
      <w:szCs w:val="24"/>
    </w:rPr>
  </w:style>
  <w:style w:type="paragraph" w:customStyle="1" w:styleId="Normal37">
    <w:name w:val="Normal_37"/>
    <w:qFormat/>
    <w:rsid w:val="002C3ABF"/>
    <w:pPr>
      <w:spacing w:before="120" w:after="240"/>
      <w:jc w:val="both"/>
    </w:pPr>
    <w:rPr>
      <w:rFonts w:ascii="Calibri" w:eastAsia="Calibri" w:hAnsi="Calibri" w:cs="Times New Roman"/>
      <w:kern w:val="0"/>
      <w:sz w:val="22"/>
      <w:lang w:val="ru-RU" w:eastAsia="en-US"/>
    </w:rPr>
  </w:style>
  <w:style w:type="paragraph" w:customStyle="1" w:styleId="21">
    <w:name w:val="正文2"/>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styleId="af">
    <w:name w:val="Balloon Text"/>
    <w:basedOn w:val="a"/>
    <w:link w:val="af0"/>
    <w:uiPriority w:val="99"/>
    <w:rsid w:val="002C3ABF"/>
    <w:pPr>
      <w:spacing w:line="240" w:lineRule="auto"/>
    </w:pPr>
    <w:rPr>
      <w:sz w:val="18"/>
      <w:szCs w:val="18"/>
    </w:rPr>
  </w:style>
  <w:style w:type="character" w:customStyle="1" w:styleId="af0">
    <w:name w:val="批注框文本 字符"/>
    <w:basedOn w:val="a0"/>
    <w:link w:val="af"/>
    <w:uiPriority w:val="99"/>
    <w:rsid w:val="002C3ABF"/>
    <w:rPr>
      <w:rFonts w:ascii="Times New Roman" w:eastAsia="宋体" w:hAnsi="Times New Roman" w:cs="Times New Roman"/>
      <w:kern w:val="0"/>
      <w:sz w:val="18"/>
      <w:szCs w:val="18"/>
    </w:rPr>
  </w:style>
  <w:style w:type="character" w:styleId="af1">
    <w:name w:val="annotation reference"/>
    <w:basedOn w:val="a0"/>
    <w:uiPriority w:val="99"/>
    <w:rsid w:val="002C3ABF"/>
    <w:rPr>
      <w:sz w:val="21"/>
      <w:szCs w:val="21"/>
    </w:rPr>
  </w:style>
  <w:style w:type="paragraph" w:styleId="af2">
    <w:name w:val="annotation text"/>
    <w:basedOn w:val="a"/>
    <w:link w:val="af3"/>
    <w:uiPriority w:val="99"/>
    <w:rsid w:val="002C3ABF"/>
  </w:style>
  <w:style w:type="character" w:customStyle="1" w:styleId="af3">
    <w:name w:val="批注文字 字符"/>
    <w:basedOn w:val="a0"/>
    <w:link w:val="af2"/>
    <w:uiPriority w:val="99"/>
    <w:rsid w:val="002C3ABF"/>
    <w:rPr>
      <w:rFonts w:ascii="Times New Roman" w:eastAsia="宋体" w:hAnsi="Times New Roman" w:cs="Times New Roman"/>
      <w:kern w:val="0"/>
      <w:sz w:val="24"/>
      <w:szCs w:val="20"/>
    </w:rPr>
  </w:style>
  <w:style w:type="paragraph" w:styleId="af4">
    <w:name w:val="annotation subject"/>
    <w:basedOn w:val="af2"/>
    <w:next w:val="af2"/>
    <w:link w:val="af5"/>
    <w:uiPriority w:val="99"/>
    <w:rsid w:val="002C3ABF"/>
    <w:rPr>
      <w:b/>
      <w:bCs/>
    </w:rPr>
  </w:style>
  <w:style w:type="character" w:customStyle="1" w:styleId="af5">
    <w:name w:val="批注主题 字符"/>
    <w:basedOn w:val="af3"/>
    <w:link w:val="af4"/>
    <w:uiPriority w:val="99"/>
    <w:rsid w:val="002C3ABF"/>
    <w:rPr>
      <w:rFonts w:ascii="Times New Roman" w:eastAsia="宋体" w:hAnsi="Times New Roman" w:cs="Times New Roman"/>
      <w:b/>
      <w:bCs/>
      <w:kern w:val="0"/>
      <w:sz w:val="24"/>
      <w:szCs w:val="20"/>
    </w:rPr>
  </w:style>
  <w:style w:type="character" w:customStyle="1" w:styleId="apple-converted-space">
    <w:name w:val="apple-converted-space"/>
    <w:basedOn w:val="a0"/>
    <w:rsid w:val="002C3ABF"/>
  </w:style>
  <w:style w:type="character" w:customStyle="1" w:styleId="af6">
    <w:name w:val="文档结构图 字符"/>
    <w:link w:val="af7"/>
    <w:uiPriority w:val="99"/>
    <w:rsid w:val="002C3ABF"/>
    <w:rPr>
      <w:rFonts w:ascii="Times New Roman" w:hAnsi="Times New Roman"/>
      <w:sz w:val="24"/>
      <w:shd w:val="clear" w:color="auto" w:fill="000080"/>
    </w:rPr>
  </w:style>
  <w:style w:type="paragraph" w:styleId="af7">
    <w:name w:val="Document Map"/>
    <w:basedOn w:val="a"/>
    <w:link w:val="af6"/>
    <w:uiPriority w:val="99"/>
    <w:rsid w:val="002C3ABF"/>
    <w:pPr>
      <w:shd w:val="clear" w:color="auto" w:fill="000080"/>
    </w:pPr>
    <w:rPr>
      <w:rFonts w:eastAsiaTheme="minorEastAsia" w:cstheme="minorBidi"/>
      <w:kern w:val="2"/>
      <w:szCs w:val="22"/>
    </w:rPr>
  </w:style>
  <w:style w:type="character" w:customStyle="1" w:styleId="12">
    <w:name w:val="文档结构图 字符1"/>
    <w:basedOn w:val="a0"/>
    <w:uiPriority w:val="99"/>
    <w:semiHidden/>
    <w:rsid w:val="002C3ABF"/>
    <w:rPr>
      <w:rFonts w:ascii="Microsoft YaHei UI" w:eastAsia="Microsoft YaHei UI" w:hAnsi="Times New Roman" w:cs="Times New Roman"/>
      <w:kern w:val="0"/>
      <w:sz w:val="18"/>
      <w:szCs w:val="18"/>
    </w:rPr>
  </w:style>
  <w:style w:type="character" w:customStyle="1" w:styleId="Char1">
    <w:name w:val="文档结构图 Char1"/>
    <w:basedOn w:val="a0"/>
    <w:rsid w:val="002C3ABF"/>
    <w:rPr>
      <w:rFonts w:ascii="宋体" w:hAnsi="Times New Roman"/>
      <w:sz w:val="18"/>
      <w:szCs w:val="18"/>
    </w:rPr>
  </w:style>
  <w:style w:type="character" w:customStyle="1" w:styleId="Char">
    <w:name w:val="正文文本 Char"/>
    <w:rsid w:val="002C3ABF"/>
    <w:rPr>
      <w:rFonts w:ascii="宋体" w:eastAsia="宋体" w:hAnsi="Times New Roman" w:cs="Times New Roman"/>
      <w:sz w:val="30"/>
      <w:szCs w:val="20"/>
    </w:rPr>
  </w:style>
  <w:style w:type="paragraph" w:styleId="af8">
    <w:name w:val="Body Text First Indent"/>
    <w:basedOn w:val="a7"/>
    <w:link w:val="af9"/>
    <w:rsid w:val="002C3ABF"/>
    <w:pPr>
      <w:spacing w:after="120"/>
      <w:ind w:firstLine="420"/>
    </w:pPr>
    <w:rPr>
      <w:rFonts w:ascii="Times New Roman"/>
    </w:rPr>
  </w:style>
  <w:style w:type="character" w:customStyle="1" w:styleId="af9">
    <w:name w:val="正文文本首行缩进 字符"/>
    <w:basedOn w:val="a8"/>
    <w:link w:val="af8"/>
    <w:rsid w:val="002C3ABF"/>
    <w:rPr>
      <w:rFonts w:ascii="Times New Roman" w:eastAsia="宋体" w:hAnsi="Times New Roman" w:cs="Times New Roman"/>
      <w:kern w:val="0"/>
      <w:sz w:val="30"/>
      <w:szCs w:val="20"/>
    </w:rPr>
  </w:style>
  <w:style w:type="paragraph" w:styleId="22">
    <w:name w:val="Body Text Indent 2"/>
    <w:basedOn w:val="a"/>
    <w:link w:val="23"/>
    <w:rsid w:val="002C3ABF"/>
    <w:pPr>
      <w:spacing w:line="360" w:lineRule="exact"/>
      <w:ind w:firstLineChars="200" w:firstLine="560"/>
      <w:jc w:val="both"/>
      <w:outlineLvl w:val="0"/>
    </w:pPr>
    <w:rPr>
      <w:rFonts w:ascii="仿宋_GB2312" w:eastAsia="仿宋_GB2312"/>
      <w:sz w:val="28"/>
    </w:rPr>
  </w:style>
  <w:style w:type="character" w:customStyle="1" w:styleId="23">
    <w:name w:val="正文文本缩进 2 字符"/>
    <w:basedOn w:val="a0"/>
    <w:link w:val="22"/>
    <w:rsid w:val="002C3ABF"/>
    <w:rPr>
      <w:rFonts w:ascii="仿宋_GB2312" w:eastAsia="仿宋_GB2312" w:hAnsi="Times New Roman" w:cs="Times New Roman"/>
      <w:kern w:val="0"/>
      <w:sz w:val="28"/>
      <w:szCs w:val="20"/>
    </w:rPr>
  </w:style>
  <w:style w:type="paragraph" w:styleId="33">
    <w:name w:val="Body Text Indent 3"/>
    <w:basedOn w:val="a"/>
    <w:link w:val="34"/>
    <w:rsid w:val="002C3ABF"/>
    <w:pPr>
      <w:spacing w:line="440" w:lineRule="atLeast"/>
      <w:ind w:firstLine="600"/>
      <w:jc w:val="both"/>
    </w:pPr>
    <w:rPr>
      <w:rFonts w:ascii="Arial" w:eastAsia="仿宋_GB2312" w:hAnsi="Arial"/>
      <w:sz w:val="28"/>
    </w:rPr>
  </w:style>
  <w:style w:type="character" w:customStyle="1" w:styleId="34">
    <w:name w:val="正文文本缩进 3 字符"/>
    <w:basedOn w:val="a0"/>
    <w:link w:val="33"/>
    <w:rsid w:val="002C3ABF"/>
    <w:rPr>
      <w:rFonts w:ascii="Arial" w:eastAsia="仿宋_GB2312" w:hAnsi="Arial" w:cs="Times New Roman"/>
      <w:kern w:val="0"/>
      <w:sz w:val="28"/>
      <w:szCs w:val="20"/>
    </w:rPr>
  </w:style>
  <w:style w:type="paragraph" w:styleId="24">
    <w:name w:val="Body Text 2"/>
    <w:basedOn w:val="a"/>
    <w:link w:val="25"/>
    <w:rsid w:val="002C3ABF"/>
    <w:pPr>
      <w:autoSpaceDE w:val="0"/>
      <w:autoSpaceDN w:val="0"/>
      <w:spacing w:line="440" w:lineRule="exact"/>
      <w:jc w:val="both"/>
    </w:pPr>
    <w:rPr>
      <w:rFonts w:ascii="仿宋_GB2312" w:eastAsia="仿宋_GB2312" w:hAnsi="Arial"/>
      <w:sz w:val="28"/>
    </w:rPr>
  </w:style>
  <w:style w:type="character" w:customStyle="1" w:styleId="25">
    <w:name w:val="正文文本 2 字符"/>
    <w:basedOn w:val="a0"/>
    <w:link w:val="24"/>
    <w:rsid w:val="002C3ABF"/>
    <w:rPr>
      <w:rFonts w:ascii="仿宋_GB2312" w:eastAsia="仿宋_GB2312" w:hAnsi="Arial" w:cs="Times New Roman"/>
      <w:kern w:val="0"/>
      <w:sz w:val="28"/>
      <w:szCs w:val="20"/>
    </w:rPr>
  </w:style>
  <w:style w:type="paragraph" w:styleId="afa">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fb"/>
    <w:rsid w:val="002C3ABF"/>
    <w:pPr>
      <w:adjustRightInd/>
      <w:spacing w:line="240" w:lineRule="auto"/>
      <w:jc w:val="both"/>
      <w:textAlignment w:val="auto"/>
    </w:pPr>
    <w:rPr>
      <w:rFonts w:ascii="宋体" w:hAnsi="Courier New"/>
      <w:sz w:val="20"/>
    </w:rPr>
  </w:style>
  <w:style w:type="character" w:customStyle="1" w:styleId="afb">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fa"/>
    <w:rsid w:val="002C3ABF"/>
    <w:rPr>
      <w:rFonts w:ascii="宋体" w:eastAsia="宋体" w:hAnsi="Courier New" w:cs="Times New Roman"/>
      <w:kern w:val="0"/>
      <w:sz w:val="20"/>
      <w:szCs w:val="20"/>
    </w:rPr>
  </w:style>
  <w:style w:type="paragraph" w:styleId="afc">
    <w:name w:val="Normal (Web)"/>
    <w:basedOn w:val="a"/>
    <w:uiPriority w:val="99"/>
    <w:rsid w:val="002C3ABF"/>
    <w:pPr>
      <w:widowControl/>
      <w:adjustRightInd/>
      <w:spacing w:line="360" w:lineRule="auto"/>
      <w:textAlignment w:val="auto"/>
    </w:pPr>
    <w:rPr>
      <w:rFonts w:ascii="宋体" w:hAnsi="宋体"/>
      <w:sz w:val="18"/>
      <w:szCs w:val="18"/>
    </w:rPr>
  </w:style>
  <w:style w:type="paragraph" w:customStyle="1" w:styleId="35">
    <w:name w:val="正文3"/>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styleId="afd">
    <w:name w:val="Date"/>
    <w:basedOn w:val="a"/>
    <w:next w:val="a"/>
    <w:link w:val="afe"/>
    <w:rsid w:val="002C3ABF"/>
    <w:pPr>
      <w:jc w:val="both"/>
    </w:pPr>
    <w:rPr>
      <w:rFonts w:ascii="楷体_GB2312" w:eastAsia="楷体_GB2312"/>
      <w:b/>
      <w:sz w:val="28"/>
    </w:rPr>
  </w:style>
  <w:style w:type="character" w:customStyle="1" w:styleId="afe">
    <w:name w:val="日期 字符"/>
    <w:basedOn w:val="a0"/>
    <w:link w:val="afd"/>
    <w:rsid w:val="002C3ABF"/>
    <w:rPr>
      <w:rFonts w:ascii="楷体_GB2312" w:eastAsia="楷体_GB2312" w:hAnsi="Times New Roman" w:cs="Times New Roman"/>
      <w:b/>
      <w:kern w:val="0"/>
      <w:sz w:val="28"/>
      <w:szCs w:val="20"/>
    </w:rPr>
  </w:style>
  <w:style w:type="character" w:customStyle="1" w:styleId="text1">
    <w:name w:val="text1"/>
    <w:rsid w:val="002C3ABF"/>
    <w:rPr>
      <w:spacing w:val="10"/>
      <w:sz w:val="28"/>
      <w:szCs w:val="28"/>
    </w:rPr>
  </w:style>
  <w:style w:type="paragraph" w:customStyle="1" w:styleId="xl33">
    <w:name w:val="xl33"/>
    <w:basedOn w:val="a"/>
    <w:rsid w:val="002C3ABF"/>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2C3ABF"/>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2C3ABF"/>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2C3ABF"/>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2C3ABF"/>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2C3ABF"/>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2C3ABF"/>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2C3ABF"/>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2C3ABF"/>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2C3ABF"/>
    <w:rPr>
      <w:rFonts w:ascii="楷体_GB2312" w:eastAsia="楷体_GB2312" w:hint="eastAsia"/>
      <w:color w:val="000000"/>
      <w:sz w:val="24"/>
      <w:szCs w:val="24"/>
    </w:rPr>
  </w:style>
  <w:style w:type="paragraph" w:styleId="HTML">
    <w:name w:val="HTML Preformatted"/>
    <w:basedOn w:val="a"/>
    <w:link w:val="HTML0"/>
    <w:uiPriority w:val="99"/>
    <w:rsid w:val="002C3A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0">
    <w:name w:val="HTML 预设格式 字符"/>
    <w:basedOn w:val="a0"/>
    <w:link w:val="HTML"/>
    <w:uiPriority w:val="99"/>
    <w:rsid w:val="002C3ABF"/>
    <w:rPr>
      <w:rFonts w:ascii="宋体" w:eastAsia="宋体" w:hAnsi="宋体" w:cs="Times New Roman"/>
      <w:kern w:val="0"/>
      <w:sz w:val="24"/>
      <w:szCs w:val="24"/>
    </w:rPr>
  </w:style>
  <w:style w:type="paragraph" w:customStyle="1" w:styleId="26">
    <w:name w:val="样式2"/>
    <w:basedOn w:val="a"/>
    <w:rsid w:val="002C3ABF"/>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2C3ABF"/>
    <w:pPr>
      <w:adjustRightInd/>
      <w:spacing w:line="240" w:lineRule="auto"/>
      <w:jc w:val="both"/>
      <w:textAlignment w:val="auto"/>
    </w:pPr>
    <w:rPr>
      <w:rFonts w:ascii="宋体" w:hAnsi="宋体" w:cs="Courier New"/>
      <w:kern w:val="2"/>
      <w:sz w:val="32"/>
      <w:szCs w:val="32"/>
    </w:rPr>
  </w:style>
  <w:style w:type="paragraph" w:customStyle="1" w:styleId="Char0">
    <w:name w:val="Char"/>
    <w:basedOn w:val="a"/>
    <w:rsid w:val="002C3ABF"/>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2C3ABF"/>
    <w:rPr>
      <w:color w:val="000000"/>
      <w:sz w:val="24"/>
      <w:szCs w:val="24"/>
    </w:rPr>
  </w:style>
  <w:style w:type="paragraph" w:customStyle="1" w:styleId="Default">
    <w:name w:val="Default"/>
    <w:rsid w:val="002C3ABF"/>
    <w:pPr>
      <w:widowControl w:val="0"/>
      <w:autoSpaceDE w:val="0"/>
      <w:autoSpaceDN w:val="0"/>
      <w:adjustRightInd w:val="0"/>
    </w:pPr>
    <w:rPr>
      <w:rFonts w:ascii="华文细黑碙.." w:eastAsia="华文细黑碙.." w:hAnsi="Calibri" w:cs="华文细黑碙.."/>
      <w:color w:val="000000"/>
      <w:kern w:val="0"/>
      <w:sz w:val="24"/>
      <w:szCs w:val="24"/>
    </w:rPr>
  </w:style>
  <w:style w:type="character" w:customStyle="1" w:styleId="A40">
    <w:name w:val="A4"/>
    <w:rsid w:val="002C3ABF"/>
    <w:rPr>
      <w:rFonts w:cs="华文细黑碙.."/>
      <w:color w:val="000000"/>
      <w:sz w:val="16"/>
      <w:szCs w:val="16"/>
    </w:rPr>
  </w:style>
  <w:style w:type="character" w:customStyle="1" w:styleId="A30">
    <w:name w:val="A3"/>
    <w:rsid w:val="002C3ABF"/>
    <w:rPr>
      <w:rFonts w:cs="黑体萄"/>
      <w:color w:val="000000"/>
      <w:sz w:val="18"/>
      <w:szCs w:val="18"/>
    </w:rPr>
  </w:style>
  <w:style w:type="paragraph" w:customStyle="1" w:styleId="iwpoititle">
    <w:name w:val="iw_poi_title"/>
    <w:basedOn w:val="a"/>
    <w:rsid w:val="002C3ABF"/>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2C3ABF"/>
    <w:pPr>
      <w:adjustRightInd/>
      <w:spacing w:line="240" w:lineRule="auto"/>
      <w:jc w:val="both"/>
      <w:textAlignment w:val="auto"/>
    </w:pPr>
    <w:rPr>
      <w:rFonts w:ascii="宋体" w:hAnsi="宋体" w:cs="Courier New"/>
      <w:kern w:val="2"/>
      <w:sz w:val="32"/>
      <w:szCs w:val="32"/>
    </w:rPr>
  </w:style>
  <w:style w:type="paragraph" w:styleId="TOC3">
    <w:name w:val="toc 3"/>
    <w:basedOn w:val="a"/>
    <w:next w:val="a"/>
    <w:autoRedefine/>
    <w:uiPriority w:val="39"/>
    <w:unhideWhenUsed/>
    <w:rsid w:val="002C3ABF"/>
    <w:pPr>
      <w:adjustRightInd/>
      <w:spacing w:line="240" w:lineRule="auto"/>
      <w:ind w:leftChars="400" w:left="840"/>
      <w:jc w:val="both"/>
      <w:textAlignment w:val="auto"/>
    </w:pPr>
    <w:rPr>
      <w:rFonts w:ascii="Calibri" w:hAnsi="Calibri"/>
      <w:kern w:val="2"/>
      <w:sz w:val="21"/>
      <w:szCs w:val="22"/>
    </w:rPr>
  </w:style>
  <w:style w:type="paragraph" w:styleId="TOC4">
    <w:name w:val="toc 4"/>
    <w:basedOn w:val="a"/>
    <w:next w:val="a"/>
    <w:autoRedefine/>
    <w:uiPriority w:val="39"/>
    <w:unhideWhenUsed/>
    <w:rsid w:val="002C3ABF"/>
    <w:pPr>
      <w:adjustRightInd/>
      <w:spacing w:line="240" w:lineRule="auto"/>
      <w:ind w:leftChars="600" w:left="1260"/>
      <w:jc w:val="both"/>
      <w:textAlignment w:val="auto"/>
    </w:pPr>
    <w:rPr>
      <w:rFonts w:ascii="Calibri" w:hAnsi="Calibri"/>
      <w:kern w:val="2"/>
      <w:sz w:val="21"/>
      <w:szCs w:val="22"/>
    </w:rPr>
  </w:style>
  <w:style w:type="paragraph" w:styleId="TOC5">
    <w:name w:val="toc 5"/>
    <w:basedOn w:val="a"/>
    <w:next w:val="a"/>
    <w:autoRedefine/>
    <w:unhideWhenUsed/>
    <w:rsid w:val="002C3ABF"/>
    <w:pPr>
      <w:adjustRightInd/>
      <w:spacing w:line="240" w:lineRule="auto"/>
      <w:ind w:leftChars="800" w:left="1680"/>
      <w:jc w:val="both"/>
      <w:textAlignment w:val="auto"/>
    </w:pPr>
    <w:rPr>
      <w:rFonts w:ascii="Calibri" w:hAnsi="Calibri"/>
      <w:kern w:val="2"/>
      <w:sz w:val="21"/>
      <w:szCs w:val="22"/>
    </w:rPr>
  </w:style>
  <w:style w:type="paragraph" w:styleId="TOC6">
    <w:name w:val="toc 6"/>
    <w:basedOn w:val="a"/>
    <w:next w:val="a"/>
    <w:autoRedefine/>
    <w:uiPriority w:val="39"/>
    <w:unhideWhenUsed/>
    <w:rsid w:val="002C3ABF"/>
    <w:pPr>
      <w:adjustRightInd/>
      <w:spacing w:line="240" w:lineRule="auto"/>
      <w:ind w:leftChars="1000" w:left="2100"/>
      <w:jc w:val="both"/>
      <w:textAlignment w:val="auto"/>
    </w:pPr>
    <w:rPr>
      <w:rFonts w:ascii="Calibri" w:hAnsi="Calibri"/>
      <w:kern w:val="2"/>
      <w:sz w:val="21"/>
      <w:szCs w:val="22"/>
    </w:rPr>
  </w:style>
  <w:style w:type="paragraph" w:styleId="TOC7">
    <w:name w:val="toc 7"/>
    <w:basedOn w:val="a"/>
    <w:next w:val="a"/>
    <w:autoRedefine/>
    <w:uiPriority w:val="39"/>
    <w:unhideWhenUsed/>
    <w:rsid w:val="002C3ABF"/>
    <w:pPr>
      <w:adjustRightInd/>
      <w:spacing w:line="240" w:lineRule="auto"/>
      <w:ind w:leftChars="1200" w:left="2520"/>
      <w:jc w:val="both"/>
      <w:textAlignment w:val="auto"/>
    </w:pPr>
    <w:rPr>
      <w:rFonts w:ascii="Calibri" w:hAnsi="Calibri"/>
      <w:kern w:val="2"/>
      <w:sz w:val="21"/>
      <w:szCs w:val="22"/>
    </w:rPr>
  </w:style>
  <w:style w:type="paragraph" w:styleId="TOC8">
    <w:name w:val="toc 8"/>
    <w:basedOn w:val="a"/>
    <w:next w:val="a"/>
    <w:autoRedefine/>
    <w:uiPriority w:val="39"/>
    <w:unhideWhenUsed/>
    <w:rsid w:val="002C3ABF"/>
    <w:pPr>
      <w:adjustRightInd/>
      <w:spacing w:line="240" w:lineRule="auto"/>
      <w:ind w:leftChars="1400" w:left="2940"/>
      <w:jc w:val="both"/>
      <w:textAlignment w:val="auto"/>
    </w:pPr>
    <w:rPr>
      <w:rFonts w:ascii="Calibri" w:hAnsi="Calibri"/>
      <w:kern w:val="2"/>
      <w:sz w:val="21"/>
      <w:szCs w:val="22"/>
    </w:rPr>
  </w:style>
  <w:style w:type="paragraph" w:styleId="TOC9">
    <w:name w:val="toc 9"/>
    <w:basedOn w:val="a"/>
    <w:next w:val="a"/>
    <w:autoRedefine/>
    <w:uiPriority w:val="39"/>
    <w:unhideWhenUsed/>
    <w:rsid w:val="002C3ABF"/>
    <w:pPr>
      <w:adjustRightInd/>
      <w:spacing w:line="240" w:lineRule="auto"/>
      <w:ind w:leftChars="1600" w:left="3360"/>
      <w:jc w:val="both"/>
      <w:textAlignment w:val="auto"/>
    </w:pPr>
    <w:rPr>
      <w:rFonts w:ascii="Calibri" w:hAnsi="Calibri"/>
      <w:kern w:val="2"/>
      <w:sz w:val="21"/>
      <w:szCs w:val="22"/>
    </w:rPr>
  </w:style>
  <w:style w:type="paragraph" w:customStyle="1" w:styleId="aff">
    <w:name w:val="内容"/>
    <w:basedOn w:val="a"/>
    <w:rsid w:val="002C3ABF"/>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2C3ABF"/>
    <w:rPr>
      <w:sz w:val="21"/>
      <w:szCs w:val="21"/>
    </w:rPr>
  </w:style>
  <w:style w:type="paragraph" w:styleId="aff0">
    <w:name w:val="footnote text"/>
    <w:basedOn w:val="a"/>
    <w:link w:val="aff1"/>
    <w:rsid w:val="002C3ABF"/>
    <w:pPr>
      <w:adjustRightInd/>
      <w:snapToGrid w:val="0"/>
      <w:spacing w:line="240" w:lineRule="auto"/>
      <w:textAlignment w:val="auto"/>
    </w:pPr>
    <w:rPr>
      <w:kern w:val="2"/>
      <w:sz w:val="18"/>
      <w:szCs w:val="18"/>
    </w:rPr>
  </w:style>
  <w:style w:type="character" w:customStyle="1" w:styleId="aff1">
    <w:name w:val="脚注文本 字符"/>
    <w:basedOn w:val="a0"/>
    <w:link w:val="aff0"/>
    <w:rsid w:val="002C3ABF"/>
    <w:rPr>
      <w:rFonts w:ascii="Times New Roman" w:eastAsia="宋体" w:hAnsi="Times New Roman" w:cs="Times New Roman"/>
      <w:sz w:val="18"/>
      <w:szCs w:val="18"/>
    </w:rPr>
  </w:style>
  <w:style w:type="paragraph" w:customStyle="1" w:styleId="120">
    <w:name w:val="12"/>
    <w:basedOn w:val="22"/>
    <w:autoRedefine/>
    <w:rsid w:val="002C3ABF"/>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2C3ABF"/>
  </w:style>
  <w:style w:type="character" w:customStyle="1" w:styleId="CharChar12">
    <w:name w:val="Char Char12"/>
    <w:rsid w:val="002C3ABF"/>
    <w:rPr>
      <w:sz w:val="18"/>
    </w:rPr>
  </w:style>
  <w:style w:type="character" w:customStyle="1" w:styleId="CharChar5">
    <w:name w:val="Char Char5"/>
    <w:rsid w:val="002C3ABF"/>
    <w:rPr>
      <w:rFonts w:ascii="Arial" w:eastAsia="仿宋_GB2312" w:hAnsi="Arial" w:cs="Arial"/>
      <w:sz w:val="28"/>
    </w:rPr>
  </w:style>
  <w:style w:type="character" w:customStyle="1" w:styleId="CharChar1">
    <w:name w:val="Char Char1"/>
    <w:locked/>
    <w:rsid w:val="002C3ABF"/>
    <w:rPr>
      <w:rFonts w:ascii="宋体" w:eastAsia="宋体" w:hAnsi="Courier New"/>
      <w:kern w:val="2"/>
      <w:sz w:val="21"/>
      <w:lang w:val="en-US" w:eastAsia="zh-CN" w:bidi="ar-SA"/>
    </w:rPr>
  </w:style>
  <w:style w:type="character" w:customStyle="1" w:styleId="PlainTextChar">
    <w:name w:val="Plain Text Char"/>
    <w:locked/>
    <w:rsid w:val="002C3ABF"/>
    <w:rPr>
      <w:rFonts w:ascii="宋体" w:eastAsia="宋体" w:hAnsi="Courier New" w:cs="Times New Roman"/>
      <w:sz w:val="20"/>
      <w:szCs w:val="20"/>
    </w:rPr>
  </w:style>
  <w:style w:type="paragraph" w:customStyle="1" w:styleId="7">
    <w:name w:val="样式7"/>
    <w:basedOn w:val="a"/>
    <w:rsid w:val="002C3ABF"/>
    <w:pPr>
      <w:adjustRightInd/>
      <w:spacing w:line="360" w:lineRule="auto"/>
      <w:ind w:firstLine="567"/>
      <w:jc w:val="both"/>
      <w:textAlignment w:val="auto"/>
    </w:pPr>
    <w:rPr>
      <w:rFonts w:ascii="仿宋_GB2312" w:eastAsia="仿宋_GB2312"/>
      <w:noProof/>
      <w:kern w:val="2"/>
      <w:sz w:val="28"/>
    </w:rPr>
  </w:style>
  <w:style w:type="paragraph" w:styleId="aff2">
    <w:name w:val="Normal Indent"/>
    <w:basedOn w:val="a"/>
    <w:rsid w:val="002C3ABF"/>
    <w:pPr>
      <w:spacing w:line="312" w:lineRule="atLeast"/>
      <w:ind w:firstLine="420"/>
      <w:jc w:val="both"/>
    </w:pPr>
    <w:rPr>
      <w:rFonts w:ascii="Modern" w:eastAsia="仿宋_GB2312" w:hAnsi="Modern"/>
      <w:sz w:val="28"/>
    </w:rPr>
  </w:style>
  <w:style w:type="paragraph" w:customStyle="1" w:styleId="pic-info">
    <w:name w:val="pic-info"/>
    <w:basedOn w:val="a"/>
    <w:rsid w:val="002C3ABF"/>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2C3ABF"/>
  </w:style>
  <w:style w:type="paragraph" w:customStyle="1" w:styleId="110">
    <w:name w:val="正文11"/>
    <w:basedOn w:val="a"/>
    <w:rsid w:val="002C3AB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customStyle="1" w:styleId="5">
    <w:name w:val="正文5"/>
    <w:rsid w:val="002C3ABF"/>
    <w:pPr>
      <w:widowControl w:val="0"/>
      <w:adjustRightInd w:val="0"/>
      <w:spacing w:line="360" w:lineRule="atLeast"/>
    </w:pPr>
    <w:rPr>
      <w:rFonts w:ascii="宋体" w:eastAsia="宋体" w:hAnsi="Times New Roman" w:cs="Times New Roman"/>
      <w:kern w:val="0"/>
      <w:sz w:val="34"/>
      <w:szCs w:val="20"/>
    </w:rPr>
  </w:style>
  <w:style w:type="paragraph" w:customStyle="1" w:styleId="6">
    <w:name w:val="正文6"/>
    <w:rsid w:val="002C3ABF"/>
    <w:pPr>
      <w:widowControl w:val="0"/>
      <w:adjustRightInd w:val="0"/>
      <w:spacing w:line="360" w:lineRule="atLeast"/>
      <w:textAlignment w:val="baseline"/>
    </w:pPr>
    <w:rPr>
      <w:rFonts w:ascii="宋体" w:eastAsia="宋体" w:hAnsi="Times New Roman" w:cs="Times New Roman"/>
      <w:kern w:val="0"/>
      <w:sz w:val="34"/>
      <w:szCs w:val="20"/>
    </w:rPr>
  </w:style>
  <w:style w:type="character" w:customStyle="1" w:styleId="aff3">
    <w:name w:val="尾注文本 字符"/>
    <w:basedOn w:val="a0"/>
    <w:link w:val="aff4"/>
    <w:uiPriority w:val="99"/>
    <w:semiHidden/>
    <w:rsid w:val="002C3ABF"/>
    <w:rPr>
      <w:rFonts w:ascii="Times New Roman" w:eastAsia="宋体" w:hAnsi="Times New Roman" w:cs="Times New Roman"/>
      <w:kern w:val="0"/>
      <w:sz w:val="24"/>
      <w:szCs w:val="20"/>
    </w:rPr>
  </w:style>
  <w:style w:type="paragraph" w:styleId="aff4">
    <w:name w:val="endnote text"/>
    <w:basedOn w:val="a"/>
    <w:link w:val="aff3"/>
    <w:uiPriority w:val="99"/>
    <w:semiHidden/>
    <w:unhideWhenUsed/>
    <w:rsid w:val="002C3ABF"/>
    <w:pPr>
      <w:snapToGrid w:val="0"/>
    </w:pPr>
  </w:style>
  <w:style w:type="table" w:styleId="aff5">
    <w:name w:val="Table Grid"/>
    <w:basedOn w:val="a1"/>
    <w:uiPriority w:val="59"/>
    <w:rsid w:val="00D61A22"/>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4605">
      <w:bodyDiv w:val="1"/>
      <w:marLeft w:val="0"/>
      <w:marRight w:val="0"/>
      <w:marTop w:val="0"/>
      <w:marBottom w:val="0"/>
      <w:divBdr>
        <w:top w:val="none" w:sz="0" w:space="0" w:color="auto"/>
        <w:left w:val="none" w:sz="0" w:space="0" w:color="auto"/>
        <w:bottom w:val="none" w:sz="0" w:space="0" w:color="auto"/>
        <w:right w:val="none" w:sz="0" w:space="0" w:color="auto"/>
      </w:divBdr>
    </w:div>
    <w:div w:id="35932264">
      <w:bodyDiv w:val="1"/>
      <w:marLeft w:val="0"/>
      <w:marRight w:val="0"/>
      <w:marTop w:val="0"/>
      <w:marBottom w:val="0"/>
      <w:divBdr>
        <w:top w:val="none" w:sz="0" w:space="0" w:color="auto"/>
        <w:left w:val="none" w:sz="0" w:space="0" w:color="auto"/>
        <w:bottom w:val="none" w:sz="0" w:space="0" w:color="auto"/>
        <w:right w:val="none" w:sz="0" w:space="0" w:color="auto"/>
      </w:divBdr>
    </w:div>
    <w:div w:id="39941502">
      <w:bodyDiv w:val="1"/>
      <w:marLeft w:val="0"/>
      <w:marRight w:val="0"/>
      <w:marTop w:val="0"/>
      <w:marBottom w:val="0"/>
      <w:divBdr>
        <w:top w:val="none" w:sz="0" w:space="0" w:color="auto"/>
        <w:left w:val="none" w:sz="0" w:space="0" w:color="auto"/>
        <w:bottom w:val="none" w:sz="0" w:space="0" w:color="auto"/>
        <w:right w:val="none" w:sz="0" w:space="0" w:color="auto"/>
      </w:divBdr>
    </w:div>
    <w:div w:id="106900892">
      <w:bodyDiv w:val="1"/>
      <w:marLeft w:val="0"/>
      <w:marRight w:val="0"/>
      <w:marTop w:val="0"/>
      <w:marBottom w:val="0"/>
      <w:divBdr>
        <w:top w:val="none" w:sz="0" w:space="0" w:color="auto"/>
        <w:left w:val="none" w:sz="0" w:space="0" w:color="auto"/>
        <w:bottom w:val="none" w:sz="0" w:space="0" w:color="auto"/>
        <w:right w:val="none" w:sz="0" w:space="0" w:color="auto"/>
      </w:divBdr>
    </w:div>
    <w:div w:id="136924039">
      <w:bodyDiv w:val="1"/>
      <w:marLeft w:val="0"/>
      <w:marRight w:val="0"/>
      <w:marTop w:val="0"/>
      <w:marBottom w:val="0"/>
      <w:divBdr>
        <w:top w:val="none" w:sz="0" w:space="0" w:color="auto"/>
        <w:left w:val="none" w:sz="0" w:space="0" w:color="auto"/>
        <w:bottom w:val="none" w:sz="0" w:space="0" w:color="auto"/>
        <w:right w:val="none" w:sz="0" w:space="0" w:color="auto"/>
      </w:divBdr>
    </w:div>
    <w:div w:id="197621264">
      <w:bodyDiv w:val="1"/>
      <w:marLeft w:val="0"/>
      <w:marRight w:val="0"/>
      <w:marTop w:val="0"/>
      <w:marBottom w:val="0"/>
      <w:divBdr>
        <w:top w:val="none" w:sz="0" w:space="0" w:color="auto"/>
        <w:left w:val="none" w:sz="0" w:space="0" w:color="auto"/>
        <w:bottom w:val="none" w:sz="0" w:space="0" w:color="auto"/>
        <w:right w:val="none" w:sz="0" w:space="0" w:color="auto"/>
      </w:divBdr>
    </w:div>
    <w:div w:id="252594025">
      <w:bodyDiv w:val="1"/>
      <w:marLeft w:val="0"/>
      <w:marRight w:val="0"/>
      <w:marTop w:val="0"/>
      <w:marBottom w:val="0"/>
      <w:divBdr>
        <w:top w:val="none" w:sz="0" w:space="0" w:color="auto"/>
        <w:left w:val="none" w:sz="0" w:space="0" w:color="auto"/>
        <w:bottom w:val="none" w:sz="0" w:space="0" w:color="auto"/>
        <w:right w:val="none" w:sz="0" w:space="0" w:color="auto"/>
      </w:divBdr>
    </w:div>
    <w:div w:id="257299130">
      <w:bodyDiv w:val="1"/>
      <w:marLeft w:val="0"/>
      <w:marRight w:val="0"/>
      <w:marTop w:val="0"/>
      <w:marBottom w:val="0"/>
      <w:divBdr>
        <w:top w:val="none" w:sz="0" w:space="0" w:color="auto"/>
        <w:left w:val="none" w:sz="0" w:space="0" w:color="auto"/>
        <w:bottom w:val="none" w:sz="0" w:space="0" w:color="auto"/>
        <w:right w:val="none" w:sz="0" w:space="0" w:color="auto"/>
      </w:divBdr>
    </w:div>
    <w:div w:id="273565278">
      <w:bodyDiv w:val="1"/>
      <w:marLeft w:val="0"/>
      <w:marRight w:val="0"/>
      <w:marTop w:val="0"/>
      <w:marBottom w:val="0"/>
      <w:divBdr>
        <w:top w:val="none" w:sz="0" w:space="0" w:color="auto"/>
        <w:left w:val="none" w:sz="0" w:space="0" w:color="auto"/>
        <w:bottom w:val="none" w:sz="0" w:space="0" w:color="auto"/>
        <w:right w:val="none" w:sz="0" w:space="0" w:color="auto"/>
      </w:divBdr>
    </w:div>
    <w:div w:id="282616390">
      <w:bodyDiv w:val="1"/>
      <w:marLeft w:val="0"/>
      <w:marRight w:val="0"/>
      <w:marTop w:val="0"/>
      <w:marBottom w:val="0"/>
      <w:divBdr>
        <w:top w:val="none" w:sz="0" w:space="0" w:color="auto"/>
        <w:left w:val="none" w:sz="0" w:space="0" w:color="auto"/>
        <w:bottom w:val="none" w:sz="0" w:space="0" w:color="auto"/>
        <w:right w:val="none" w:sz="0" w:space="0" w:color="auto"/>
      </w:divBdr>
    </w:div>
    <w:div w:id="289478835">
      <w:bodyDiv w:val="1"/>
      <w:marLeft w:val="0"/>
      <w:marRight w:val="0"/>
      <w:marTop w:val="0"/>
      <w:marBottom w:val="0"/>
      <w:divBdr>
        <w:top w:val="none" w:sz="0" w:space="0" w:color="auto"/>
        <w:left w:val="none" w:sz="0" w:space="0" w:color="auto"/>
        <w:bottom w:val="none" w:sz="0" w:space="0" w:color="auto"/>
        <w:right w:val="none" w:sz="0" w:space="0" w:color="auto"/>
      </w:divBdr>
    </w:div>
    <w:div w:id="304506071">
      <w:bodyDiv w:val="1"/>
      <w:marLeft w:val="0"/>
      <w:marRight w:val="0"/>
      <w:marTop w:val="0"/>
      <w:marBottom w:val="0"/>
      <w:divBdr>
        <w:top w:val="none" w:sz="0" w:space="0" w:color="auto"/>
        <w:left w:val="none" w:sz="0" w:space="0" w:color="auto"/>
        <w:bottom w:val="none" w:sz="0" w:space="0" w:color="auto"/>
        <w:right w:val="none" w:sz="0" w:space="0" w:color="auto"/>
      </w:divBdr>
    </w:div>
    <w:div w:id="366222062">
      <w:bodyDiv w:val="1"/>
      <w:marLeft w:val="0"/>
      <w:marRight w:val="0"/>
      <w:marTop w:val="0"/>
      <w:marBottom w:val="0"/>
      <w:divBdr>
        <w:top w:val="none" w:sz="0" w:space="0" w:color="auto"/>
        <w:left w:val="none" w:sz="0" w:space="0" w:color="auto"/>
        <w:bottom w:val="none" w:sz="0" w:space="0" w:color="auto"/>
        <w:right w:val="none" w:sz="0" w:space="0" w:color="auto"/>
      </w:divBdr>
    </w:div>
    <w:div w:id="392897753">
      <w:bodyDiv w:val="1"/>
      <w:marLeft w:val="0"/>
      <w:marRight w:val="0"/>
      <w:marTop w:val="0"/>
      <w:marBottom w:val="0"/>
      <w:divBdr>
        <w:top w:val="none" w:sz="0" w:space="0" w:color="auto"/>
        <w:left w:val="none" w:sz="0" w:space="0" w:color="auto"/>
        <w:bottom w:val="none" w:sz="0" w:space="0" w:color="auto"/>
        <w:right w:val="none" w:sz="0" w:space="0" w:color="auto"/>
      </w:divBdr>
    </w:div>
    <w:div w:id="401636238">
      <w:bodyDiv w:val="1"/>
      <w:marLeft w:val="0"/>
      <w:marRight w:val="0"/>
      <w:marTop w:val="0"/>
      <w:marBottom w:val="0"/>
      <w:divBdr>
        <w:top w:val="none" w:sz="0" w:space="0" w:color="auto"/>
        <w:left w:val="none" w:sz="0" w:space="0" w:color="auto"/>
        <w:bottom w:val="none" w:sz="0" w:space="0" w:color="auto"/>
        <w:right w:val="none" w:sz="0" w:space="0" w:color="auto"/>
      </w:divBdr>
    </w:div>
    <w:div w:id="416824919">
      <w:bodyDiv w:val="1"/>
      <w:marLeft w:val="0"/>
      <w:marRight w:val="0"/>
      <w:marTop w:val="0"/>
      <w:marBottom w:val="0"/>
      <w:divBdr>
        <w:top w:val="none" w:sz="0" w:space="0" w:color="auto"/>
        <w:left w:val="none" w:sz="0" w:space="0" w:color="auto"/>
        <w:bottom w:val="none" w:sz="0" w:space="0" w:color="auto"/>
        <w:right w:val="none" w:sz="0" w:space="0" w:color="auto"/>
      </w:divBdr>
    </w:div>
    <w:div w:id="436368825">
      <w:bodyDiv w:val="1"/>
      <w:marLeft w:val="0"/>
      <w:marRight w:val="0"/>
      <w:marTop w:val="0"/>
      <w:marBottom w:val="0"/>
      <w:divBdr>
        <w:top w:val="none" w:sz="0" w:space="0" w:color="auto"/>
        <w:left w:val="none" w:sz="0" w:space="0" w:color="auto"/>
        <w:bottom w:val="none" w:sz="0" w:space="0" w:color="auto"/>
        <w:right w:val="none" w:sz="0" w:space="0" w:color="auto"/>
      </w:divBdr>
    </w:div>
    <w:div w:id="504705267">
      <w:bodyDiv w:val="1"/>
      <w:marLeft w:val="0"/>
      <w:marRight w:val="0"/>
      <w:marTop w:val="0"/>
      <w:marBottom w:val="0"/>
      <w:divBdr>
        <w:top w:val="none" w:sz="0" w:space="0" w:color="auto"/>
        <w:left w:val="none" w:sz="0" w:space="0" w:color="auto"/>
        <w:bottom w:val="none" w:sz="0" w:space="0" w:color="auto"/>
        <w:right w:val="none" w:sz="0" w:space="0" w:color="auto"/>
      </w:divBdr>
    </w:div>
    <w:div w:id="534345903">
      <w:bodyDiv w:val="1"/>
      <w:marLeft w:val="0"/>
      <w:marRight w:val="0"/>
      <w:marTop w:val="0"/>
      <w:marBottom w:val="0"/>
      <w:divBdr>
        <w:top w:val="none" w:sz="0" w:space="0" w:color="auto"/>
        <w:left w:val="none" w:sz="0" w:space="0" w:color="auto"/>
        <w:bottom w:val="none" w:sz="0" w:space="0" w:color="auto"/>
        <w:right w:val="none" w:sz="0" w:space="0" w:color="auto"/>
      </w:divBdr>
    </w:div>
    <w:div w:id="595209390">
      <w:bodyDiv w:val="1"/>
      <w:marLeft w:val="0"/>
      <w:marRight w:val="0"/>
      <w:marTop w:val="0"/>
      <w:marBottom w:val="0"/>
      <w:divBdr>
        <w:top w:val="none" w:sz="0" w:space="0" w:color="auto"/>
        <w:left w:val="none" w:sz="0" w:space="0" w:color="auto"/>
        <w:bottom w:val="none" w:sz="0" w:space="0" w:color="auto"/>
        <w:right w:val="none" w:sz="0" w:space="0" w:color="auto"/>
      </w:divBdr>
    </w:div>
    <w:div w:id="613363347">
      <w:bodyDiv w:val="1"/>
      <w:marLeft w:val="0"/>
      <w:marRight w:val="0"/>
      <w:marTop w:val="0"/>
      <w:marBottom w:val="0"/>
      <w:divBdr>
        <w:top w:val="none" w:sz="0" w:space="0" w:color="auto"/>
        <w:left w:val="none" w:sz="0" w:space="0" w:color="auto"/>
        <w:bottom w:val="none" w:sz="0" w:space="0" w:color="auto"/>
        <w:right w:val="none" w:sz="0" w:space="0" w:color="auto"/>
      </w:divBdr>
    </w:div>
    <w:div w:id="627400724">
      <w:bodyDiv w:val="1"/>
      <w:marLeft w:val="0"/>
      <w:marRight w:val="0"/>
      <w:marTop w:val="0"/>
      <w:marBottom w:val="0"/>
      <w:divBdr>
        <w:top w:val="none" w:sz="0" w:space="0" w:color="auto"/>
        <w:left w:val="none" w:sz="0" w:space="0" w:color="auto"/>
        <w:bottom w:val="none" w:sz="0" w:space="0" w:color="auto"/>
        <w:right w:val="none" w:sz="0" w:space="0" w:color="auto"/>
      </w:divBdr>
    </w:div>
    <w:div w:id="680661494">
      <w:bodyDiv w:val="1"/>
      <w:marLeft w:val="0"/>
      <w:marRight w:val="0"/>
      <w:marTop w:val="0"/>
      <w:marBottom w:val="0"/>
      <w:divBdr>
        <w:top w:val="none" w:sz="0" w:space="0" w:color="auto"/>
        <w:left w:val="none" w:sz="0" w:space="0" w:color="auto"/>
        <w:bottom w:val="none" w:sz="0" w:space="0" w:color="auto"/>
        <w:right w:val="none" w:sz="0" w:space="0" w:color="auto"/>
      </w:divBdr>
    </w:div>
    <w:div w:id="684477731">
      <w:bodyDiv w:val="1"/>
      <w:marLeft w:val="0"/>
      <w:marRight w:val="0"/>
      <w:marTop w:val="0"/>
      <w:marBottom w:val="0"/>
      <w:divBdr>
        <w:top w:val="none" w:sz="0" w:space="0" w:color="auto"/>
        <w:left w:val="none" w:sz="0" w:space="0" w:color="auto"/>
        <w:bottom w:val="none" w:sz="0" w:space="0" w:color="auto"/>
        <w:right w:val="none" w:sz="0" w:space="0" w:color="auto"/>
      </w:divBdr>
    </w:div>
    <w:div w:id="704017928">
      <w:bodyDiv w:val="1"/>
      <w:marLeft w:val="0"/>
      <w:marRight w:val="0"/>
      <w:marTop w:val="0"/>
      <w:marBottom w:val="0"/>
      <w:divBdr>
        <w:top w:val="none" w:sz="0" w:space="0" w:color="auto"/>
        <w:left w:val="none" w:sz="0" w:space="0" w:color="auto"/>
        <w:bottom w:val="none" w:sz="0" w:space="0" w:color="auto"/>
        <w:right w:val="none" w:sz="0" w:space="0" w:color="auto"/>
      </w:divBdr>
    </w:div>
    <w:div w:id="716050411">
      <w:bodyDiv w:val="1"/>
      <w:marLeft w:val="0"/>
      <w:marRight w:val="0"/>
      <w:marTop w:val="0"/>
      <w:marBottom w:val="0"/>
      <w:divBdr>
        <w:top w:val="none" w:sz="0" w:space="0" w:color="auto"/>
        <w:left w:val="none" w:sz="0" w:space="0" w:color="auto"/>
        <w:bottom w:val="none" w:sz="0" w:space="0" w:color="auto"/>
        <w:right w:val="none" w:sz="0" w:space="0" w:color="auto"/>
      </w:divBdr>
    </w:div>
    <w:div w:id="767774492">
      <w:bodyDiv w:val="1"/>
      <w:marLeft w:val="0"/>
      <w:marRight w:val="0"/>
      <w:marTop w:val="0"/>
      <w:marBottom w:val="0"/>
      <w:divBdr>
        <w:top w:val="none" w:sz="0" w:space="0" w:color="auto"/>
        <w:left w:val="none" w:sz="0" w:space="0" w:color="auto"/>
        <w:bottom w:val="none" w:sz="0" w:space="0" w:color="auto"/>
        <w:right w:val="none" w:sz="0" w:space="0" w:color="auto"/>
      </w:divBdr>
    </w:div>
    <w:div w:id="785197439">
      <w:bodyDiv w:val="1"/>
      <w:marLeft w:val="0"/>
      <w:marRight w:val="0"/>
      <w:marTop w:val="0"/>
      <w:marBottom w:val="0"/>
      <w:divBdr>
        <w:top w:val="none" w:sz="0" w:space="0" w:color="auto"/>
        <w:left w:val="none" w:sz="0" w:space="0" w:color="auto"/>
        <w:bottom w:val="none" w:sz="0" w:space="0" w:color="auto"/>
        <w:right w:val="none" w:sz="0" w:space="0" w:color="auto"/>
      </w:divBdr>
    </w:div>
    <w:div w:id="793405505">
      <w:bodyDiv w:val="1"/>
      <w:marLeft w:val="0"/>
      <w:marRight w:val="0"/>
      <w:marTop w:val="0"/>
      <w:marBottom w:val="0"/>
      <w:divBdr>
        <w:top w:val="none" w:sz="0" w:space="0" w:color="auto"/>
        <w:left w:val="none" w:sz="0" w:space="0" w:color="auto"/>
        <w:bottom w:val="none" w:sz="0" w:space="0" w:color="auto"/>
        <w:right w:val="none" w:sz="0" w:space="0" w:color="auto"/>
      </w:divBdr>
    </w:div>
    <w:div w:id="816799850">
      <w:bodyDiv w:val="1"/>
      <w:marLeft w:val="0"/>
      <w:marRight w:val="0"/>
      <w:marTop w:val="0"/>
      <w:marBottom w:val="0"/>
      <w:divBdr>
        <w:top w:val="none" w:sz="0" w:space="0" w:color="auto"/>
        <w:left w:val="none" w:sz="0" w:space="0" w:color="auto"/>
        <w:bottom w:val="none" w:sz="0" w:space="0" w:color="auto"/>
        <w:right w:val="none" w:sz="0" w:space="0" w:color="auto"/>
      </w:divBdr>
    </w:div>
    <w:div w:id="818182831">
      <w:bodyDiv w:val="1"/>
      <w:marLeft w:val="0"/>
      <w:marRight w:val="0"/>
      <w:marTop w:val="0"/>
      <w:marBottom w:val="0"/>
      <w:divBdr>
        <w:top w:val="none" w:sz="0" w:space="0" w:color="auto"/>
        <w:left w:val="none" w:sz="0" w:space="0" w:color="auto"/>
        <w:bottom w:val="none" w:sz="0" w:space="0" w:color="auto"/>
        <w:right w:val="none" w:sz="0" w:space="0" w:color="auto"/>
      </w:divBdr>
    </w:div>
    <w:div w:id="823817896">
      <w:bodyDiv w:val="1"/>
      <w:marLeft w:val="0"/>
      <w:marRight w:val="0"/>
      <w:marTop w:val="0"/>
      <w:marBottom w:val="0"/>
      <w:divBdr>
        <w:top w:val="none" w:sz="0" w:space="0" w:color="auto"/>
        <w:left w:val="none" w:sz="0" w:space="0" w:color="auto"/>
        <w:bottom w:val="none" w:sz="0" w:space="0" w:color="auto"/>
        <w:right w:val="none" w:sz="0" w:space="0" w:color="auto"/>
      </w:divBdr>
    </w:div>
    <w:div w:id="825585692">
      <w:bodyDiv w:val="1"/>
      <w:marLeft w:val="0"/>
      <w:marRight w:val="0"/>
      <w:marTop w:val="0"/>
      <w:marBottom w:val="0"/>
      <w:divBdr>
        <w:top w:val="none" w:sz="0" w:space="0" w:color="auto"/>
        <w:left w:val="none" w:sz="0" w:space="0" w:color="auto"/>
        <w:bottom w:val="none" w:sz="0" w:space="0" w:color="auto"/>
        <w:right w:val="none" w:sz="0" w:space="0" w:color="auto"/>
      </w:divBdr>
    </w:div>
    <w:div w:id="836920916">
      <w:bodyDiv w:val="1"/>
      <w:marLeft w:val="0"/>
      <w:marRight w:val="0"/>
      <w:marTop w:val="0"/>
      <w:marBottom w:val="0"/>
      <w:divBdr>
        <w:top w:val="none" w:sz="0" w:space="0" w:color="auto"/>
        <w:left w:val="none" w:sz="0" w:space="0" w:color="auto"/>
        <w:bottom w:val="none" w:sz="0" w:space="0" w:color="auto"/>
        <w:right w:val="none" w:sz="0" w:space="0" w:color="auto"/>
      </w:divBdr>
    </w:div>
    <w:div w:id="853036127">
      <w:bodyDiv w:val="1"/>
      <w:marLeft w:val="0"/>
      <w:marRight w:val="0"/>
      <w:marTop w:val="0"/>
      <w:marBottom w:val="0"/>
      <w:divBdr>
        <w:top w:val="none" w:sz="0" w:space="0" w:color="auto"/>
        <w:left w:val="none" w:sz="0" w:space="0" w:color="auto"/>
        <w:bottom w:val="none" w:sz="0" w:space="0" w:color="auto"/>
        <w:right w:val="none" w:sz="0" w:space="0" w:color="auto"/>
      </w:divBdr>
    </w:div>
    <w:div w:id="893270206">
      <w:bodyDiv w:val="1"/>
      <w:marLeft w:val="0"/>
      <w:marRight w:val="0"/>
      <w:marTop w:val="0"/>
      <w:marBottom w:val="0"/>
      <w:divBdr>
        <w:top w:val="none" w:sz="0" w:space="0" w:color="auto"/>
        <w:left w:val="none" w:sz="0" w:space="0" w:color="auto"/>
        <w:bottom w:val="none" w:sz="0" w:space="0" w:color="auto"/>
        <w:right w:val="none" w:sz="0" w:space="0" w:color="auto"/>
      </w:divBdr>
    </w:div>
    <w:div w:id="919408715">
      <w:bodyDiv w:val="1"/>
      <w:marLeft w:val="0"/>
      <w:marRight w:val="0"/>
      <w:marTop w:val="0"/>
      <w:marBottom w:val="0"/>
      <w:divBdr>
        <w:top w:val="none" w:sz="0" w:space="0" w:color="auto"/>
        <w:left w:val="none" w:sz="0" w:space="0" w:color="auto"/>
        <w:bottom w:val="none" w:sz="0" w:space="0" w:color="auto"/>
        <w:right w:val="none" w:sz="0" w:space="0" w:color="auto"/>
      </w:divBdr>
    </w:div>
    <w:div w:id="920331288">
      <w:bodyDiv w:val="1"/>
      <w:marLeft w:val="0"/>
      <w:marRight w:val="0"/>
      <w:marTop w:val="0"/>
      <w:marBottom w:val="0"/>
      <w:divBdr>
        <w:top w:val="none" w:sz="0" w:space="0" w:color="auto"/>
        <w:left w:val="none" w:sz="0" w:space="0" w:color="auto"/>
        <w:bottom w:val="none" w:sz="0" w:space="0" w:color="auto"/>
        <w:right w:val="none" w:sz="0" w:space="0" w:color="auto"/>
      </w:divBdr>
    </w:div>
    <w:div w:id="937912963">
      <w:bodyDiv w:val="1"/>
      <w:marLeft w:val="0"/>
      <w:marRight w:val="0"/>
      <w:marTop w:val="0"/>
      <w:marBottom w:val="0"/>
      <w:divBdr>
        <w:top w:val="none" w:sz="0" w:space="0" w:color="auto"/>
        <w:left w:val="none" w:sz="0" w:space="0" w:color="auto"/>
        <w:bottom w:val="none" w:sz="0" w:space="0" w:color="auto"/>
        <w:right w:val="none" w:sz="0" w:space="0" w:color="auto"/>
      </w:divBdr>
    </w:div>
    <w:div w:id="960570663">
      <w:bodyDiv w:val="1"/>
      <w:marLeft w:val="0"/>
      <w:marRight w:val="0"/>
      <w:marTop w:val="0"/>
      <w:marBottom w:val="0"/>
      <w:divBdr>
        <w:top w:val="none" w:sz="0" w:space="0" w:color="auto"/>
        <w:left w:val="none" w:sz="0" w:space="0" w:color="auto"/>
        <w:bottom w:val="none" w:sz="0" w:space="0" w:color="auto"/>
        <w:right w:val="none" w:sz="0" w:space="0" w:color="auto"/>
      </w:divBdr>
    </w:div>
    <w:div w:id="983049011">
      <w:bodyDiv w:val="1"/>
      <w:marLeft w:val="0"/>
      <w:marRight w:val="0"/>
      <w:marTop w:val="0"/>
      <w:marBottom w:val="0"/>
      <w:divBdr>
        <w:top w:val="none" w:sz="0" w:space="0" w:color="auto"/>
        <w:left w:val="none" w:sz="0" w:space="0" w:color="auto"/>
        <w:bottom w:val="none" w:sz="0" w:space="0" w:color="auto"/>
        <w:right w:val="none" w:sz="0" w:space="0" w:color="auto"/>
      </w:divBdr>
    </w:div>
    <w:div w:id="997271298">
      <w:bodyDiv w:val="1"/>
      <w:marLeft w:val="0"/>
      <w:marRight w:val="0"/>
      <w:marTop w:val="0"/>
      <w:marBottom w:val="0"/>
      <w:divBdr>
        <w:top w:val="none" w:sz="0" w:space="0" w:color="auto"/>
        <w:left w:val="none" w:sz="0" w:space="0" w:color="auto"/>
        <w:bottom w:val="none" w:sz="0" w:space="0" w:color="auto"/>
        <w:right w:val="none" w:sz="0" w:space="0" w:color="auto"/>
      </w:divBdr>
    </w:div>
    <w:div w:id="1010255837">
      <w:bodyDiv w:val="1"/>
      <w:marLeft w:val="0"/>
      <w:marRight w:val="0"/>
      <w:marTop w:val="0"/>
      <w:marBottom w:val="0"/>
      <w:divBdr>
        <w:top w:val="none" w:sz="0" w:space="0" w:color="auto"/>
        <w:left w:val="none" w:sz="0" w:space="0" w:color="auto"/>
        <w:bottom w:val="none" w:sz="0" w:space="0" w:color="auto"/>
        <w:right w:val="none" w:sz="0" w:space="0" w:color="auto"/>
      </w:divBdr>
    </w:div>
    <w:div w:id="1025399368">
      <w:bodyDiv w:val="1"/>
      <w:marLeft w:val="0"/>
      <w:marRight w:val="0"/>
      <w:marTop w:val="0"/>
      <w:marBottom w:val="0"/>
      <w:divBdr>
        <w:top w:val="none" w:sz="0" w:space="0" w:color="auto"/>
        <w:left w:val="none" w:sz="0" w:space="0" w:color="auto"/>
        <w:bottom w:val="none" w:sz="0" w:space="0" w:color="auto"/>
        <w:right w:val="none" w:sz="0" w:space="0" w:color="auto"/>
      </w:divBdr>
    </w:div>
    <w:div w:id="1045718408">
      <w:bodyDiv w:val="1"/>
      <w:marLeft w:val="0"/>
      <w:marRight w:val="0"/>
      <w:marTop w:val="0"/>
      <w:marBottom w:val="0"/>
      <w:divBdr>
        <w:top w:val="none" w:sz="0" w:space="0" w:color="auto"/>
        <w:left w:val="none" w:sz="0" w:space="0" w:color="auto"/>
        <w:bottom w:val="none" w:sz="0" w:space="0" w:color="auto"/>
        <w:right w:val="none" w:sz="0" w:space="0" w:color="auto"/>
      </w:divBdr>
    </w:div>
    <w:div w:id="1082601304">
      <w:bodyDiv w:val="1"/>
      <w:marLeft w:val="0"/>
      <w:marRight w:val="0"/>
      <w:marTop w:val="0"/>
      <w:marBottom w:val="0"/>
      <w:divBdr>
        <w:top w:val="none" w:sz="0" w:space="0" w:color="auto"/>
        <w:left w:val="none" w:sz="0" w:space="0" w:color="auto"/>
        <w:bottom w:val="none" w:sz="0" w:space="0" w:color="auto"/>
        <w:right w:val="none" w:sz="0" w:space="0" w:color="auto"/>
      </w:divBdr>
    </w:div>
    <w:div w:id="1088622112">
      <w:bodyDiv w:val="1"/>
      <w:marLeft w:val="0"/>
      <w:marRight w:val="0"/>
      <w:marTop w:val="0"/>
      <w:marBottom w:val="0"/>
      <w:divBdr>
        <w:top w:val="none" w:sz="0" w:space="0" w:color="auto"/>
        <w:left w:val="none" w:sz="0" w:space="0" w:color="auto"/>
        <w:bottom w:val="none" w:sz="0" w:space="0" w:color="auto"/>
        <w:right w:val="none" w:sz="0" w:space="0" w:color="auto"/>
      </w:divBdr>
    </w:div>
    <w:div w:id="1119952476">
      <w:bodyDiv w:val="1"/>
      <w:marLeft w:val="0"/>
      <w:marRight w:val="0"/>
      <w:marTop w:val="0"/>
      <w:marBottom w:val="0"/>
      <w:divBdr>
        <w:top w:val="none" w:sz="0" w:space="0" w:color="auto"/>
        <w:left w:val="none" w:sz="0" w:space="0" w:color="auto"/>
        <w:bottom w:val="none" w:sz="0" w:space="0" w:color="auto"/>
        <w:right w:val="none" w:sz="0" w:space="0" w:color="auto"/>
      </w:divBdr>
    </w:div>
    <w:div w:id="1151407020">
      <w:bodyDiv w:val="1"/>
      <w:marLeft w:val="0"/>
      <w:marRight w:val="0"/>
      <w:marTop w:val="0"/>
      <w:marBottom w:val="0"/>
      <w:divBdr>
        <w:top w:val="none" w:sz="0" w:space="0" w:color="auto"/>
        <w:left w:val="none" w:sz="0" w:space="0" w:color="auto"/>
        <w:bottom w:val="none" w:sz="0" w:space="0" w:color="auto"/>
        <w:right w:val="none" w:sz="0" w:space="0" w:color="auto"/>
      </w:divBdr>
    </w:div>
    <w:div w:id="1155411644">
      <w:bodyDiv w:val="1"/>
      <w:marLeft w:val="0"/>
      <w:marRight w:val="0"/>
      <w:marTop w:val="0"/>
      <w:marBottom w:val="0"/>
      <w:divBdr>
        <w:top w:val="none" w:sz="0" w:space="0" w:color="auto"/>
        <w:left w:val="none" w:sz="0" w:space="0" w:color="auto"/>
        <w:bottom w:val="none" w:sz="0" w:space="0" w:color="auto"/>
        <w:right w:val="none" w:sz="0" w:space="0" w:color="auto"/>
      </w:divBdr>
    </w:div>
    <w:div w:id="1220898929">
      <w:bodyDiv w:val="1"/>
      <w:marLeft w:val="0"/>
      <w:marRight w:val="0"/>
      <w:marTop w:val="0"/>
      <w:marBottom w:val="0"/>
      <w:divBdr>
        <w:top w:val="none" w:sz="0" w:space="0" w:color="auto"/>
        <w:left w:val="none" w:sz="0" w:space="0" w:color="auto"/>
        <w:bottom w:val="none" w:sz="0" w:space="0" w:color="auto"/>
        <w:right w:val="none" w:sz="0" w:space="0" w:color="auto"/>
      </w:divBdr>
    </w:div>
    <w:div w:id="1236546545">
      <w:bodyDiv w:val="1"/>
      <w:marLeft w:val="0"/>
      <w:marRight w:val="0"/>
      <w:marTop w:val="0"/>
      <w:marBottom w:val="0"/>
      <w:divBdr>
        <w:top w:val="none" w:sz="0" w:space="0" w:color="auto"/>
        <w:left w:val="none" w:sz="0" w:space="0" w:color="auto"/>
        <w:bottom w:val="none" w:sz="0" w:space="0" w:color="auto"/>
        <w:right w:val="none" w:sz="0" w:space="0" w:color="auto"/>
      </w:divBdr>
    </w:div>
    <w:div w:id="1262300474">
      <w:bodyDiv w:val="1"/>
      <w:marLeft w:val="0"/>
      <w:marRight w:val="0"/>
      <w:marTop w:val="0"/>
      <w:marBottom w:val="0"/>
      <w:divBdr>
        <w:top w:val="none" w:sz="0" w:space="0" w:color="auto"/>
        <w:left w:val="none" w:sz="0" w:space="0" w:color="auto"/>
        <w:bottom w:val="none" w:sz="0" w:space="0" w:color="auto"/>
        <w:right w:val="none" w:sz="0" w:space="0" w:color="auto"/>
      </w:divBdr>
    </w:div>
    <w:div w:id="1272660669">
      <w:bodyDiv w:val="1"/>
      <w:marLeft w:val="0"/>
      <w:marRight w:val="0"/>
      <w:marTop w:val="0"/>
      <w:marBottom w:val="0"/>
      <w:divBdr>
        <w:top w:val="none" w:sz="0" w:space="0" w:color="auto"/>
        <w:left w:val="none" w:sz="0" w:space="0" w:color="auto"/>
        <w:bottom w:val="none" w:sz="0" w:space="0" w:color="auto"/>
        <w:right w:val="none" w:sz="0" w:space="0" w:color="auto"/>
      </w:divBdr>
    </w:div>
    <w:div w:id="1320572742">
      <w:bodyDiv w:val="1"/>
      <w:marLeft w:val="0"/>
      <w:marRight w:val="0"/>
      <w:marTop w:val="0"/>
      <w:marBottom w:val="0"/>
      <w:divBdr>
        <w:top w:val="none" w:sz="0" w:space="0" w:color="auto"/>
        <w:left w:val="none" w:sz="0" w:space="0" w:color="auto"/>
        <w:bottom w:val="none" w:sz="0" w:space="0" w:color="auto"/>
        <w:right w:val="none" w:sz="0" w:space="0" w:color="auto"/>
      </w:divBdr>
    </w:div>
    <w:div w:id="1340887357">
      <w:bodyDiv w:val="1"/>
      <w:marLeft w:val="0"/>
      <w:marRight w:val="0"/>
      <w:marTop w:val="0"/>
      <w:marBottom w:val="0"/>
      <w:divBdr>
        <w:top w:val="none" w:sz="0" w:space="0" w:color="auto"/>
        <w:left w:val="none" w:sz="0" w:space="0" w:color="auto"/>
        <w:bottom w:val="none" w:sz="0" w:space="0" w:color="auto"/>
        <w:right w:val="none" w:sz="0" w:space="0" w:color="auto"/>
      </w:divBdr>
    </w:div>
    <w:div w:id="1364358913">
      <w:bodyDiv w:val="1"/>
      <w:marLeft w:val="0"/>
      <w:marRight w:val="0"/>
      <w:marTop w:val="0"/>
      <w:marBottom w:val="0"/>
      <w:divBdr>
        <w:top w:val="none" w:sz="0" w:space="0" w:color="auto"/>
        <w:left w:val="none" w:sz="0" w:space="0" w:color="auto"/>
        <w:bottom w:val="none" w:sz="0" w:space="0" w:color="auto"/>
        <w:right w:val="none" w:sz="0" w:space="0" w:color="auto"/>
      </w:divBdr>
    </w:div>
    <w:div w:id="1365667342">
      <w:bodyDiv w:val="1"/>
      <w:marLeft w:val="0"/>
      <w:marRight w:val="0"/>
      <w:marTop w:val="0"/>
      <w:marBottom w:val="0"/>
      <w:divBdr>
        <w:top w:val="none" w:sz="0" w:space="0" w:color="auto"/>
        <w:left w:val="none" w:sz="0" w:space="0" w:color="auto"/>
        <w:bottom w:val="none" w:sz="0" w:space="0" w:color="auto"/>
        <w:right w:val="none" w:sz="0" w:space="0" w:color="auto"/>
      </w:divBdr>
    </w:div>
    <w:div w:id="1383824439">
      <w:bodyDiv w:val="1"/>
      <w:marLeft w:val="0"/>
      <w:marRight w:val="0"/>
      <w:marTop w:val="0"/>
      <w:marBottom w:val="0"/>
      <w:divBdr>
        <w:top w:val="none" w:sz="0" w:space="0" w:color="auto"/>
        <w:left w:val="none" w:sz="0" w:space="0" w:color="auto"/>
        <w:bottom w:val="none" w:sz="0" w:space="0" w:color="auto"/>
        <w:right w:val="none" w:sz="0" w:space="0" w:color="auto"/>
      </w:divBdr>
    </w:div>
    <w:div w:id="1414013059">
      <w:bodyDiv w:val="1"/>
      <w:marLeft w:val="0"/>
      <w:marRight w:val="0"/>
      <w:marTop w:val="0"/>
      <w:marBottom w:val="0"/>
      <w:divBdr>
        <w:top w:val="none" w:sz="0" w:space="0" w:color="auto"/>
        <w:left w:val="none" w:sz="0" w:space="0" w:color="auto"/>
        <w:bottom w:val="none" w:sz="0" w:space="0" w:color="auto"/>
        <w:right w:val="none" w:sz="0" w:space="0" w:color="auto"/>
      </w:divBdr>
    </w:div>
    <w:div w:id="1434477422">
      <w:bodyDiv w:val="1"/>
      <w:marLeft w:val="0"/>
      <w:marRight w:val="0"/>
      <w:marTop w:val="0"/>
      <w:marBottom w:val="0"/>
      <w:divBdr>
        <w:top w:val="none" w:sz="0" w:space="0" w:color="auto"/>
        <w:left w:val="none" w:sz="0" w:space="0" w:color="auto"/>
        <w:bottom w:val="none" w:sz="0" w:space="0" w:color="auto"/>
        <w:right w:val="none" w:sz="0" w:space="0" w:color="auto"/>
      </w:divBdr>
    </w:div>
    <w:div w:id="1465344380">
      <w:bodyDiv w:val="1"/>
      <w:marLeft w:val="0"/>
      <w:marRight w:val="0"/>
      <w:marTop w:val="0"/>
      <w:marBottom w:val="0"/>
      <w:divBdr>
        <w:top w:val="none" w:sz="0" w:space="0" w:color="auto"/>
        <w:left w:val="none" w:sz="0" w:space="0" w:color="auto"/>
        <w:bottom w:val="none" w:sz="0" w:space="0" w:color="auto"/>
        <w:right w:val="none" w:sz="0" w:space="0" w:color="auto"/>
      </w:divBdr>
    </w:div>
    <w:div w:id="1500656965">
      <w:bodyDiv w:val="1"/>
      <w:marLeft w:val="0"/>
      <w:marRight w:val="0"/>
      <w:marTop w:val="0"/>
      <w:marBottom w:val="0"/>
      <w:divBdr>
        <w:top w:val="none" w:sz="0" w:space="0" w:color="auto"/>
        <w:left w:val="none" w:sz="0" w:space="0" w:color="auto"/>
        <w:bottom w:val="none" w:sz="0" w:space="0" w:color="auto"/>
        <w:right w:val="none" w:sz="0" w:space="0" w:color="auto"/>
      </w:divBdr>
    </w:div>
    <w:div w:id="1533573563">
      <w:bodyDiv w:val="1"/>
      <w:marLeft w:val="0"/>
      <w:marRight w:val="0"/>
      <w:marTop w:val="0"/>
      <w:marBottom w:val="0"/>
      <w:divBdr>
        <w:top w:val="none" w:sz="0" w:space="0" w:color="auto"/>
        <w:left w:val="none" w:sz="0" w:space="0" w:color="auto"/>
        <w:bottom w:val="none" w:sz="0" w:space="0" w:color="auto"/>
        <w:right w:val="none" w:sz="0" w:space="0" w:color="auto"/>
      </w:divBdr>
    </w:div>
    <w:div w:id="1556157683">
      <w:bodyDiv w:val="1"/>
      <w:marLeft w:val="0"/>
      <w:marRight w:val="0"/>
      <w:marTop w:val="0"/>
      <w:marBottom w:val="0"/>
      <w:divBdr>
        <w:top w:val="none" w:sz="0" w:space="0" w:color="auto"/>
        <w:left w:val="none" w:sz="0" w:space="0" w:color="auto"/>
        <w:bottom w:val="none" w:sz="0" w:space="0" w:color="auto"/>
        <w:right w:val="none" w:sz="0" w:space="0" w:color="auto"/>
      </w:divBdr>
    </w:div>
    <w:div w:id="1612281806">
      <w:bodyDiv w:val="1"/>
      <w:marLeft w:val="0"/>
      <w:marRight w:val="0"/>
      <w:marTop w:val="0"/>
      <w:marBottom w:val="0"/>
      <w:divBdr>
        <w:top w:val="none" w:sz="0" w:space="0" w:color="auto"/>
        <w:left w:val="none" w:sz="0" w:space="0" w:color="auto"/>
        <w:bottom w:val="none" w:sz="0" w:space="0" w:color="auto"/>
        <w:right w:val="none" w:sz="0" w:space="0" w:color="auto"/>
      </w:divBdr>
    </w:div>
    <w:div w:id="1656564642">
      <w:bodyDiv w:val="1"/>
      <w:marLeft w:val="0"/>
      <w:marRight w:val="0"/>
      <w:marTop w:val="0"/>
      <w:marBottom w:val="0"/>
      <w:divBdr>
        <w:top w:val="none" w:sz="0" w:space="0" w:color="auto"/>
        <w:left w:val="none" w:sz="0" w:space="0" w:color="auto"/>
        <w:bottom w:val="none" w:sz="0" w:space="0" w:color="auto"/>
        <w:right w:val="none" w:sz="0" w:space="0" w:color="auto"/>
      </w:divBdr>
    </w:div>
    <w:div w:id="1674137823">
      <w:bodyDiv w:val="1"/>
      <w:marLeft w:val="0"/>
      <w:marRight w:val="0"/>
      <w:marTop w:val="0"/>
      <w:marBottom w:val="0"/>
      <w:divBdr>
        <w:top w:val="none" w:sz="0" w:space="0" w:color="auto"/>
        <w:left w:val="none" w:sz="0" w:space="0" w:color="auto"/>
        <w:bottom w:val="none" w:sz="0" w:space="0" w:color="auto"/>
        <w:right w:val="none" w:sz="0" w:space="0" w:color="auto"/>
      </w:divBdr>
    </w:div>
    <w:div w:id="1723749003">
      <w:bodyDiv w:val="1"/>
      <w:marLeft w:val="0"/>
      <w:marRight w:val="0"/>
      <w:marTop w:val="0"/>
      <w:marBottom w:val="0"/>
      <w:divBdr>
        <w:top w:val="none" w:sz="0" w:space="0" w:color="auto"/>
        <w:left w:val="none" w:sz="0" w:space="0" w:color="auto"/>
        <w:bottom w:val="none" w:sz="0" w:space="0" w:color="auto"/>
        <w:right w:val="none" w:sz="0" w:space="0" w:color="auto"/>
      </w:divBdr>
    </w:div>
    <w:div w:id="1757552225">
      <w:bodyDiv w:val="1"/>
      <w:marLeft w:val="0"/>
      <w:marRight w:val="0"/>
      <w:marTop w:val="0"/>
      <w:marBottom w:val="0"/>
      <w:divBdr>
        <w:top w:val="none" w:sz="0" w:space="0" w:color="auto"/>
        <w:left w:val="none" w:sz="0" w:space="0" w:color="auto"/>
        <w:bottom w:val="none" w:sz="0" w:space="0" w:color="auto"/>
        <w:right w:val="none" w:sz="0" w:space="0" w:color="auto"/>
      </w:divBdr>
    </w:div>
    <w:div w:id="1763646299">
      <w:bodyDiv w:val="1"/>
      <w:marLeft w:val="0"/>
      <w:marRight w:val="0"/>
      <w:marTop w:val="0"/>
      <w:marBottom w:val="0"/>
      <w:divBdr>
        <w:top w:val="none" w:sz="0" w:space="0" w:color="auto"/>
        <w:left w:val="none" w:sz="0" w:space="0" w:color="auto"/>
        <w:bottom w:val="none" w:sz="0" w:space="0" w:color="auto"/>
        <w:right w:val="none" w:sz="0" w:space="0" w:color="auto"/>
      </w:divBdr>
    </w:div>
    <w:div w:id="1786457228">
      <w:bodyDiv w:val="1"/>
      <w:marLeft w:val="0"/>
      <w:marRight w:val="0"/>
      <w:marTop w:val="0"/>
      <w:marBottom w:val="0"/>
      <w:divBdr>
        <w:top w:val="none" w:sz="0" w:space="0" w:color="auto"/>
        <w:left w:val="none" w:sz="0" w:space="0" w:color="auto"/>
        <w:bottom w:val="none" w:sz="0" w:space="0" w:color="auto"/>
        <w:right w:val="none" w:sz="0" w:space="0" w:color="auto"/>
      </w:divBdr>
    </w:div>
    <w:div w:id="1814058330">
      <w:bodyDiv w:val="1"/>
      <w:marLeft w:val="0"/>
      <w:marRight w:val="0"/>
      <w:marTop w:val="0"/>
      <w:marBottom w:val="0"/>
      <w:divBdr>
        <w:top w:val="none" w:sz="0" w:space="0" w:color="auto"/>
        <w:left w:val="none" w:sz="0" w:space="0" w:color="auto"/>
        <w:bottom w:val="none" w:sz="0" w:space="0" w:color="auto"/>
        <w:right w:val="none" w:sz="0" w:space="0" w:color="auto"/>
      </w:divBdr>
    </w:div>
    <w:div w:id="1821267157">
      <w:bodyDiv w:val="1"/>
      <w:marLeft w:val="0"/>
      <w:marRight w:val="0"/>
      <w:marTop w:val="0"/>
      <w:marBottom w:val="0"/>
      <w:divBdr>
        <w:top w:val="none" w:sz="0" w:space="0" w:color="auto"/>
        <w:left w:val="none" w:sz="0" w:space="0" w:color="auto"/>
        <w:bottom w:val="none" w:sz="0" w:space="0" w:color="auto"/>
        <w:right w:val="none" w:sz="0" w:space="0" w:color="auto"/>
      </w:divBdr>
    </w:div>
    <w:div w:id="1835343011">
      <w:bodyDiv w:val="1"/>
      <w:marLeft w:val="0"/>
      <w:marRight w:val="0"/>
      <w:marTop w:val="0"/>
      <w:marBottom w:val="0"/>
      <w:divBdr>
        <w:top w:val="none" w:sz="0" w:space="0" w:color="auto"/>
        <w:left w:val="none" w:sz="0" w:space="0" w:color="auto"/>
        <w:bottom w:val="none" w:sz="0" w:space="0" w:color="auto"/>
        <w:right w:val="none" w:sz="0" w:space="0" w:color="auto"/>
      </w:divBdr>
    </w:div>
    <w:div w:id="1892811149">
      <w:bodyDiv w:val="1"/>
      <w:marLeft w:val="0"/>
      <w:marRight w:val="0"/>
      <w:marTop w:val="0"/>
      <w:marBottom w:val="0"/>
      <w:divBdr>
        <w:top w:val="none" w:sz="0" w:space="0" w:color="auto"/>
        <w:left w:val="none" w:sz="0" w:space="0" w:color="auto"/>
        <w:bottom w:val="none" w:sz="0" w:space="0" w:color="auto"/>
        <w:right w:val="none" w:sz="0" w:space="0" w:color="auto"/>
      </w:divBdr>
    </w:div>
    <w:div w:id="1897542796">
      <w:bodyDiv w:val="1"/>
      <w:marLeft w:val="0"/>
      <w:marRight w:val="0"/>
      <w:marTop w:val="0"/>
      <w:marBottom w:val="0"/>
      <w:divBdr>
        <w:top w:val="none" w:sz="0" w:space="0" w:color="auto"/>
        <w:left w:val="none" w:sz="0" w:space="0" w:color="auto"/>
        <w:bottom w:val="none" w:sz="0" w:space="0" w:color="auto"/>
        <w:right w:val="none" w:sz="0" w:space="0" w:color="auto"/>
      </w:divBdr>
    </w:div>
    <w:div w:id="1918395666">
      <w:bodyDiv w:val="1"/>
      <w:marLeft w:val="0"/>
      <w:marRight w:val="0"/>
      <w:marTop w:val="0"/>
      <w:marBottom w:val="0"/>
      <w:divBdr>
        <w:top w:val="none" w:sz="0" w:space="0" w:color="auto"/>
        <w:left w:val="none" w:sz="0" w:space="0" w:color="auto"/>
        <w:bottom w:val="none" w:sz="0" w:space="0" w:color="auto"/>
        <w:right w:val="none" w:sz="0" w:space="0" w:color="auto"/>
      </w:divBdr>
    </w:div>
    <w:div w:id="1936404639">
      <w:bodyDiv w:val="1"/>
      <w:marLeft w:val="0"/>
      <w:marRight w:val="0"/>
      <w:marTop w:val="0"/>
      <w:marBottom w:val="0"/>
      <w:divBdr>
        <w:top w:val="none" w:sz="0" w:space="0" w:color="auto"/>
        <w:left w:val="none" w:sz="0" w:space="0" w:color="auto"/>
        <w:bottom w:val="none" w:sz="0" w:space="0" w:color="auto"/>
        <w:right w:val="none" w:sz="0" w:space="0" w:color="auto"/>
      </w:divBdr>
    </w:div>
    <w:div w:id="1983345396">
      <w:bodyDiv w:val="1"/>
      <w:marLeft w:val="0"/>
      <w:marRight w:val="0"/>
      <w:marTop w:val="0"/>
      <w:marBottom w:val="0"/>
      <w:divBdr>
        <w:top w:val="none" w:sz="0" w:space="0" w:color="auto"/>
        <w:left w:val="none" w:sz="0" w:space="0" w:color="auto"/>
        <w:bottom w:val="none" w:sz="0" w:space="0" w:color="auto"/>
        <w:right w:val="none" w:sz="0" w:space="0" w:color="auto"/>
      </w:divBdr>
    </w:div>
    <w:div w:id="2020352063">
      <w:bodyDiv w:val="1"/>
      <w:marLeft w:val="0"/>
      <w:marRight w:val="0"/>
      <w:marTop w:val="0"/>
      <w:marBottom w:val="0"/>
      <w:divBdr>
        <w:top w:val="none" w:sz="0" w:space="0" w:color="auto"/>
        <w:left w:val="none" w:sz="0" w:space="0" w:color="auto"/>
        <w:bottom w:val="none" w:sz="0" w:space="0" w:color="auto"/>
        <w:right w:val="none" w:sz="0" w:space="0" w:color="auto"/>
      </w:divBdr>
    </w:div>
    <w:div w:id="2027973115">
      <w:bodyDiv w:val="1"/>
      <w:marLeft w:val="0"/>
      <w:marRight w:val="0"/>
      <w:marTop w:val="0"/>
      <w:marBottom w:val="0"/>
      <w:divBdr>
        <w:top w:val="none" w:sz="0" w:space="0" w:color="auto"/>
        <w:left w:val="none" w:sz="0" w:space="0" w:color="auto"/>
        <w:bottom w:val="none" w:sz="0" w:space="0" w:color="auto"/>
        <w:right w:val="none" w:sz="0" w:space="0" w:color="auto"/>
      </w:divBdr>
    </w:div>
    <w:div w:id="2046444761">
      <w:bodyDiv w:val="1"/>
      <w:marLeft w:val="0"/>
      <w:marRight w:val="0"/>
      <w:marTop w:val="0"/>
      <w:marBottom w:val="0"/>
      <w:divBdr>
        <w:top w:val="none" w:sz="0" w:space="0" w:color="auto"/>
        <w:left w:val="none" w:sz="0" w:space="0" w:color="auto"/>
        <w:bottom w:val="none" w:sz="0" w:space="0" w:color="auto"/>
        <w:right w:val="none" w:sz="0" w:space="0" w:color="auto"/>
      </w:divBdr>
    </w:div>
    <w:div w:id="2054116877">
      <w:bodyDiv w:val="1"/>
      <w:marLeft w:val="0"/>
      <w:marRight w:val="0"/>
      <w:marTop w:val="0"/>
      <w:marBottom w:val="0"/>
      <w:divBdr>
        <w:top w:val="none" w:sz="0" w:space="0" w:color="auto"/>
        <w:left w:val="none" w:sz="0" w:space="0" w:color="auto"/>
        <w:bottom w:val="none" w:sz="0" w:space="0" w:color="auto"/>
        <w:right w:val="none" w:sz="0" w:space="0" w:color="auto"/>
      </w:divBdr>
    </w:div>
    <w:div w:id="209369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chart" Target="charts/chart3.xml"/><Relationship Id="rId34" Type="http://schemas.openxmlformats.org/officeDocument/2006/relationships/image" Target="media/image9.png"/><Relationship Id="rId42" Type="http://schemas.openxmlformats.org/officeDocument/2006/relationships/hyperlink" Target="https://baike.baidu.com/item/%E7%9F%B3%E6%99%AF%E5%B1%B1%E5%8C%BA/3506063" TargetMode="External"/><Relationship Id="rId47" Type="http://schemas.openxmlformats.org/officeDocument/2006/relationships/hyperlink" Target="http://www.baidu.com/link?url=WR4ik0HfoP3GU1rlTYIFq3n2WBRxMHa-d8GcgMgJUtKKn1Pe8laCRZpZkd9wT3bWx0Da0HhCv5MAzf-34H8xnjpEjz3Kk8n4fMGDiYPYgW3" TargetMode="External"/><Relationship Id="rId50" Type="http://schemas.openxmlformats.org/officeDocument/2006/relationships/chart" Target="charts/chart7.xml"/><Relationship Id="rId55" Type="http://schemas.openxmlformats.org/officeDocument/2006/relationships/footer" Target="footer11.xml"/><Relationship Id="rId63" Type="http://schemas.openxmlformats.org/officeDocument/2006/relationships/header" Target="header12.xml"/><Relationship Id="rId68" Type="http://schemas.openxmlformats.org/officeDocument/2006/relationships/hyperlink" Target="https://baike.baidu.com/item/%E6%9C%9D%E9%98%B3%E5%8C%BA/2134" TargetMode="External"/><Relationship Id="rId76" Type="http://schemas.openxmlformats.org/officeDocument/2006/relationships/footer" Target="footer15.xml"/><Relationship Id="rId84" Type="http://schemas.openxmlformats.org/officeDocument/2006/relationships/hyperlink" Target="http://baike.baidu.com/view/641843.htm" TargetMode="External"/><Relationship Id="rId89" Type="http://schemas.openxmlformats.org/officeDocument/2006/relationships/footer" Target="footer17.xml"/><Relationship Id="rId104"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hyperlink" Target="https://baike.baidu.com/item/%E9%97%A8%E5%A4%B4%E6%B2%9F%E5%8C%BA/3505991" TargetMode="External"/><Relationship Id="rId92"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s://baike.baidu.com/item/%E6%9C%9D%E9%98%B3%E5%8C%BA/2134" TargetMode="External"/><Relationship Id="rId45" Type="http://schemas.openxmlformats.org/officeDocument/2006/relationships/hyperlink" Target="https://baike.baidu.com/item/%E5%8D%8E%E5%8C%97%E5%B9%B3%E5%8E%9F" TargetMode="External"/><Relationship Id="rId53" Type="http://schemas.openxmlformats.org/officeDocument/2006/relationships/header" Target="header10.xml"/><Relationship Id="rId58" Type="http://schemas.openxmlformats.org/officeDocument/2006/relationships/hyperlink" Target="http://www.baidu.com/link?url=WR4ik0HfoP3GU1rlTYIFq3n2WBRxMHa-d8GcgMgJUtKKn1Pe8laCRZpZkd9wT3bWx0Da0HhCv5MAzf-34H8xnjpEjz3Kk8n4fMGDiYPYgW3" TargetMode="External"/><Relationship Id="rId66" Type="http://schemas.openxmlformats.org/officeDocument/2006/relationships/chart" Target="charts/chart11.xml"/><Relationship Id="rId74" Type="http://schemas.openxmlformats.org/officeDocument/2006/relationships/hyperlink" Target="https://baike.baidu.com/item/%E7%99%BE%E6%9C%9B%E5%B1%B1" TargetMode="External"/><Relationship Id="rId79" Type="http://schemas.openxmlformats.org/officeDocument/2006/relationships/image" Target="media/image14.png"/><Relationship Id="rId87"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chart" Target="charts/chart10.xml"/><Relationship Id="rId82" Type="http://schemas.openxmlformats.org/officeDocument/2006/relationships/image" Target="media/image16.png"/><Relationship Id="rId90" Type="http://schemas.openxmlformats.org/officeDocument/2006/relationships/header" Target="header17.xml"/><Relationship Id="rId95" Type="http://schemas.openxmlformats.org/officeDocument/2006/relationships/fontTable" Target="fontTable.xml"/><Relationship Id="rId19" Type="http://schemas.openxmlformats.org/officeDocument/2006/relationships/chart" Target="charts/chart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chart" Target="charts/chart4.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baike.baidu.com/item/%E9%97%A8%E5%A4%B4%E6%B2%9F%E5%8C%BA/3505991" TargetMode="External"/><Relationship Id="rId48" Type="http://schemas.openxmlformats.org/officeDocument/2006/relationships/chart" Target="charts/chart5.xml"/><Relationship Id="rId56" Type="http://schemas.openxmlformats.org/officeDocument/2006/relationships/header" Target="header11.xml"/><Relationship Id="rId64" Type="http://schemas.openxmlformats.org/officeDocument/2006/relationships/header" Target="header13.xml"/><Relationship Id="rId69" Type="http://schemas.openxmlformats.org/officeDocument/2006/relationships/hyperlink" Target="https://baike.baidu.com/item/%E4%B8%B0%E5%8F%B0%E5%8C%BA/5105030" TargetMode="External"/><Relationship Id="rId77" Type="http://schemas.openxmlformats.org/officeDocument/2006/relationships/header" Target="header15.xml"/><Relationship Id="rId8" Type="http://schemas.openxmlformats.org/officeDocument/2006/relationships/header" Target="header1.xml"/><Relationship Id="rId51" Type="http://schemas.openxmlformats.org/officeDocument/2006/relationships/header" Target="header9.xml"/><Relationship Id="rId72" Type="http://schemas.openxmlformats.org/officeDocument/2006/relationships/hyperlink" Target="https://baike.baidu.com/item/%E6%98%8C%E5%B9%B3%E5%8C%BA/2504992" TargetMode="External"/><Relationship Id="rId80" Type="http://schemas.openxmlformats.org/officeDocument/2006/relationships/image" Target="media/image15.png"/><Relationship Id="rId85" Type="http://schemas.openxmlformats.org/officeDocument/2006/relationships/image" Target="media/image18.png"/><Relationship Id="rId93" Type="http://schemas.openxmlformats.org/officeDocument/2006/relationships/header" Target="header1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baike.baidu.com/item/%E7%99%BE%E6%9C%9B%E5%B1%B1" TargetMode="External"/><Relationship Id="rId59" Type="http://schemas.openxmlformats.org/officeDocument/2006/relationships/chart" Target="charts/chart8.xml"/><Relationship Id="rId67" Type="http://schemas.openxmlformats.org/officeDocument/2006/relationships/hyperlink" Target="https://baike.baidu.com/item/%E8%A5%BF%E5%9F%8E%E5%8C%BA/10234" TargetMode="External"/><Relationship Id="rId20" Type="http://schemas.openxmlformats.org/officeDocument/2006/relationships/chart" Target="charts/chart2.xml"/><Relationship Id="rId41" Type="http://schemas.openxmlformats.org/officeDocument/2006/relationships/hyperlink" Target="https://baike.baidu.com/item/%E4%B8%B0%E5%8F%B0%E5%8C%BA/5105030" TargetMode="External"/><Relationship Id="rId54" Type="http://schemas.openxmlformats.org/officeDocument/2006/relationships/footer" Target="footer10.xml"/><Relationship Id="rId62" Type="http://schemas.openxmlformats.org/officeDocument/2006/relationships/footer" Target="footer13.xml"/><Relationship Id="rId70" Type="http://schemas.openxmlformats.org/officeDocument/2006/relationships/hyperlink" Target="https://baike.baidu.com/item/%E7%9F%B3%E6%99%AF%E5%B1%B1%E5%8C%BA/3506063" TargetMode="External"/><Relationship Id="rId75" Type="http://schemas.openxmlformats.org/officeDocument/2006/relationships/header" Target="header14.xml"/><Relationship Id="rId83" Type="http://schemas.openxmlformats.org/officeDocument/2006/relationships/image" Target="media/image17.png"/><Relationship Id="rId88" Type="http://schemas.openxmlformats.org/officeDocument/2006/relationships/header" Target="header16.xml"/><Relationship Id="rId91" Type="http://schemas.openxmlformats.org/officeDocument/2006/relationships/footer" Target="footer18.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chart" Target="charts/chart6.xml"/><Relationship Id="rId57" Type="http://schemas.openxmlformats.org/officeDocument/2006/relationships/footer" Target="footer12.xml"/><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hyperlink" Target="https://baike.baidu.com/item/%E6%98%8C%E5%B9%B3%E5%8C%BA/2504992" TargetMode="External"/><Relationship Id="rId52" Type="http://schemas.openxmlformats.org/officeDocument/2006/relationships/footer" Target="footer9.xml"/><Relationship Id="rId60" Type="http://schemas.openxmlformats.org/officeDocument/2006/relationships/chart" Target="charts/chart9.xml"/><Relationship Id="rId65" Type="http://schemas.openxmlformats.org/officeDocument/2006/relationships/footer" Target="footer14.xml"/><Relationship Id="rId73" Type="http://schemas.openxmlformats.org/officeDocument/2006/relationships/hyperlink" Target="https://baike.baidu.com/item/%E5%8D%8E%E5%8C%97%E5%B9%B3%E5%8E%9F" TargetMode="External"/><Relationship Id="rId78" Type="http://schemas.openxmlformats.org/officeDocument/2006/relationships/footer" Target="footer16.xml"/><Relationship Id="rId81" Type="http://schemas.openxmlformats.org/officeDocument/2006/relationships/hyperlink" Target="http://baike.baidu.com/view/641843.htm" TargetMode="External"/><Relationship Id="rId86" Type="http://schemas.openxmlformats.org/officeDocument/2006/relationships/hyperlink" Target="http://baike.baidu.com/view/641843.htm" TargetMode="External"/><Relationship Id="rId94"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yperlink" Target="https://baike.baidu.com/item/%E8%A5%BF%E5%9F%8E%E5%8C%BA/10234"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E:\&#26446;&#35799;&#38678;\&#35799;&#38678;wuli&#25253;&#21578;&#20204;\2021&#24180;\&#21033;&#29992;&#20013;&#24515;\&#33487;&#24030;&#34903;&#26842;&#25913;\F02&#25913;&#21033;&#28070;&#29575;&#19981;&#32771;&#34385;&#23454;&#29289;&#34917;&#20607;&#27491;&#24120;&#35780;&#22320;&#19979;&#36710;&#24211;&#21097;&#20313;&#27861;&#21333;&#29420;&#27714;\&#27979;&#31639;-&#33487;&#24030;&#34903;&#26842;&#25913;-11.3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26446;&#35799;&#38678;\&#35799;&#38678;wuli&#25253;&#21578;&#20204;\2021&#24180;\&#21033;&#29992;&#20013;&#24515;\&#33487;&#24030;&#34903;&#26842;&#25913;\F02&#25913;&#21033;&#28070;&#29575;&#19981;&#32771;&#34385;&#23454;&#29289;&#34917;&#20607;&#27491;&#24120;&#35780;&#22320;&#19979;&#36710;&#24211;&#21097;&#20313;&#27861;&#21333;&#29420;&#27714;\&#27979;&#31639;-&#33487;&#24030;&#34903;&#26842;&#25913;-11.30.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oleObject" Target="file:///E:\&#26446;&#35799;&#38678;\&#35799;&#38678;wuli&#25253;&#21578;&#20204;\2021&#24180;\&#21033;&#29992;&#20013;&#24515;\&#33487;&#24030;&#34903;&#26842;&#25913;\F02&#25913;&#21033;&#28070;&#29575;&#19981;&#32771;&#34385;&#23454;&#29289;&#34917;&#20607;&#27491;&#24120;&#35780;&#22320;&#19979;&#36710;&#24211;&#21097;&#20313;&#27861;&#21333;&#29420;&#27714;\&#27979;&#31639;-&#33487;&#24030;&#34903;&#26842;&#25913;-11.3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6446;&#35799;&#38678;\&#35799;&#38678;wuli&#25253;&#21578;&#20204;\2021&#24180;\&#21033;&#29992;&#20013;&#24515;\&#33487;&#24030;&#34903;&#26842;&#25913;\F02&#25913;&#21033;&#28070;&#29575;&#19981;&#32771;&#34385;&#23454;&#29289;&#34917;&#20607;&#27491;&#24120;&#35780;&#22320;&#19979;&#36710;&#24211;&#21097;&#20313;&#27861;&#21333;&#29420;&#27714;\&#27979;&#31639;-&#33487;&#24030;&#34903;&#26842;&#25913;-11.30.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E:\&#26446;&#35799;&#38678;\&#35799;&#38678;wuli&#25253;&#21578;&#20204;\2021&#24180;\&#21033;&#29992;&#20013;&#24515;\&#33487;&#24030;&#34903;&#26842;&#25913;\F02&#25913;&#21033;&#28070;&#29575;&#19981;&#32771;&#34385;&#23454;&#29289;&#34917;&#20607;&#27491;&#24120;&#35780;&#22320;&#19979;&#36710;&#24211;&#21097;&#20313;&#27861;&#21333;&#29420;&#27714;\&#27979;&#31639;-&#33487;&#24030;&#34903;&#26842;&#25913;-11.3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26446;&#35799;&#38678;\&#35799;&#38678;wuli&#25253;&#21578;&#20204;\2021&#24180;\&#21033;&#29992;&#20013;&#24515;\&#33487;&#24030;&#34903;&#26842;&#25913;\F02&#25913;&#21033;&#28070;&#29575;&#19981;&#32771;&#34385;&#23454;&#29289;&#34917;&#20607;&#27491;&#24120;&#35780;&#22320;&#19979;&#36710;&#24211;&#21097;&#20313;&#27861;&#21333;&#29420;&#27714;\&#27979;&#31639;-&#33487;&#24030;&#34903;&#26842;&#25913;-11.3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26446;&#35799;&#38678;\&#35799;&#38678;wuli&#25253;&#21578;&#20204;\2021&#24180;\&#21033;&#29992;&#20013;&#24515;\&#33487;&#24030;&#34903;&#26842;&#25913;\F02&#25913;&#21033;&#28070;&#29575;&#19981;&#32771;&#34385;&#23454;&#29289;&#34917;&#20607;&#27491;&#24120;&#35780;&#22320;&#19979;&#36710;&#24211;&#21097;&#20313;&#27861;&#21333;&#29420;&#27714;\&#27979;&#31639;-&#33487;&#24030;&#34903;&#26842;&#25913;-11.3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26446;&#35799;&#38678;\&#35799;&#38678;wuli&#25253;&#21578;&#20204;\2021&#24180;\&#21033;&#29992;&#20013;&#24515;\&#33487;&#24030;&#34903;&#26842;&#25913;\F02&#25913;&#21033;&#28070;&#29575;&#19981;&#32771;&#34385;&#23454;&#29289;&#34917;&#20607;&#27491;&#24120;&#35780;&#22320;&#19979;&#36710;&#24211;&#21097;&#20313;&#27861;&#21333;&#29420;&#27714;\&#27979;&#31639;-&#33487;&#24030;&#34903;&#26842;&#25913;-11.3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26446;&#35799;&#38678;\&#35799;&#38678;wuli&#25253;&#21578;&#20204;\2021&#24180;\&#21033;&#29992;&#20013;&#24515;\&#33487;&#24030;&#34903;&#26842;&#25913;\F02&#25913;&#21033;&#28070;&#29575;&#19981;&#32771;&#34385;&#23454;&#29289;&#34917;&#20607;&#27491;&#24120;&#35780;&#22320;&#19979;&#36710;&#24211;&#21097;&#20313;&#27861;&#21333;&#29420;&#27714;\&#27979;&#31639;-&#33487;&#24030;&#34903;&#26842;&#25913;-11.3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市场分析!$C$16</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市场分析!$B$17:$B$19</c:f>
              <c:strCache>
                <c:ptCount val="3"/>
                <c:pt idx="0">
                  <c:v>2018年</c:v>
                </c:pt>
                <c:pt idx="1">
                  <c:v>2019年</c:v>
                </c:pt>
                <c:pt idx="2">
                  <c:v>2020年</c:v>
                </c:pt>
              </c:strCache>
            </c:strRef>
          </c:cat>
          <c:val>
            <c:numRef>
              <c:f>市场分析!$C$17:$C$19</c:f>
              <c:numCache>
                <c:formatCode>0</c:formatCode>
                <c:ptCount val="3"/>
                <c:pt idx="0">
                  <c:v>37107.326999999997</c:v>
                </c:pt>
                <c:pt idx="1">
                  <c:v>38381.123</c:v>
                </c:pt>
                <c:pt idx="2">
                  <c:v>39755.722999999998</c:v>
                </c:pt>
              </c:numCache>
            </c:numRef>
          </c:val>
          <c:extLst>
            <c:ext xmlns:c16="http://schemas.microsoft.com/office/drawing/2014/chart" uri="{C3380CC4-5D6E-409C-BE32-E72D297353CC}">
              <c16:uniqueId val="{00000000-FA42-4CBF-8E4E-B1BB67DF81B7}"/>
            </c:ext>
          </c:extLst>
        </c:ser>
        <c:ser>
          <c:idx val="1"/>
          <c:order val="1"/>
          <c:tx>
            <c:strRef>
              <c:f>市场分析!$D$16</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市场分析!$B$17:$B$19</c:f>
              <c:strCache>
                <c:ptCount val="3"/>
                <c:pt idx="0">
                  <c:v>2018年</c:v>
                </c:pt>
                <c:pt idx="1">
                  <c:v>2019年</c:v>
                </c:pt>
                <c:pt idx="2">
                  <c:v>2020年</c:v>
                </c:pt>
              </c:strCache>
            </c:strRef>
          </c:cat>
          <c:val>
            <c:numRef>
              <c:f>市场分析!$D$17:$D$19</c:f>
              <c:numCache>
                <c:formatCode>General</c:formatCode>
                <c:ptCount val="3"/>
                <c:pt idx="2">
                  <c:v>19622</c:v>
                </c:pt>
              </c:numCache>
            </c:numRef>
          </c:val>
          <c:extLst>
            <c:ext xmlns:c16="http://schemas.microsoft.com/office/drawing/2014/chart" uri="{C3380CC4-5D6E-409C-BE32-E72D297353CC}">
              <c16:uniqueId val="{00000001-FA42-4CBF-8E4E-B1BB67DF81B7}"/>
            </c:ext>
          </c:extLst>
        </c:ser>
        <c:ser>
          <c:idx val="2"/>
          <c:order val="2"/>
          <c:tx>
            <c:strRef>
              <c:f>市场分析!$E$16</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市场分析!$B$17:$B$19</c:f>
              <c:strCache>
                <c:ptCount val="3"/>
                <c:pt idx="0">
                  <c:v>2018年</c:v>
                </c:pt>
                <c:pt idx="1">
                  <c:v>2019年</c:v>
                </c:pt>
                <c:pt idx="2">
                  <c:v>2020年</c:v>
                </c:pt>
              </c:strCache>
            </c:strRef>
          </c:cat>
          <c:val>
            <c:numRef>
              <c:f>市场分析!$E$17:$E$19</c:f>
              <c:numCache>
                <c:formatCode>General</c:formatCode>
                <c:ptCount val="3"/>
                <c:pt idx="0">
                  <c:v>40865</c:v>
                </c:pt>
                <c:pt idx="2" formatCode="0">
                  <c:v>70049</c:v>
                </c:pt>
              </c:numCache>
            </c:numRef>
          </c:val>
          <c:extLst>
            <c:ext xmlns:c16="http://schemas.microsoft.com/office/drawing/2014/chart" uri="{C3380CC4-5D6E-409C-BE32-E72D297353CC}">
              <c16:uniqueId val="{00000002-FA42-4CBF-8E4E-B1BB67DF81B7}"/>
            </c:ext>
          </c:extLst>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市场分析!$F$16</c:f>
              <c:strCache>
                <c:ptCount val="1"/>
                <c:pt idx="0">
                  <c:v>苏州街</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FA42-4CBF-8E4E-B1BB67DF81B7}"/>
                </c:ext>
              </c:extLst>
            </c:dLbl>
            <c:dLbl>
              <c:idx val="1"/>
              <c:layout>
                <c:manualLayout>
                  <c:x val="-8.2717872968980866E-2"/>
                  <c:y val="-4.8134771295403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42-4CBF-8E4E-B1BB67DF81B7}"/>
                </c:ext>
              </c:extLst>
            </c:dLbl>
            <c:dLbl>
              <c:idx val="2"/>
              <c:delete val="1"/>
              <c:extLst>
                <c:ext xmlns:c15="http://schemas.microsoft.com/office/drawing/2012/chart" uri="{CE6537A1-D6FC-4f65-9D91-7224C49458BB}"/>
                <c:ext xmlns:c16="http://schemas.microsoft.com/office/drawing/2014/chart" uri="{C3380CC4-5D6E-409C-BE32-E72D297353CC}">
                  <c16:uniqueId val="{00000005-FA42-4CBF-8E4E-B1BB67DF81B7}"/>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市场分析!$B$17:$B$19</c:f>
              <c:strCache>
                <c:ptCount val="3"/>
                <c:pt idx="0">
                  <c:v>2018年</c:v>
                </c:pt>
                <c:pt idx="1">
                  <c:v>2019年</c:v>
                </c:pt>
                <c:pt idx="2">
                  <c:v>2020年</c:v>
                </c:pt>
              </c:strCache>
            </c:strRef>
          </c:cat>
          <c:val>
            <c:numRef>
              <c:f>市场分析!$F$17:$F$19</c:f>
              <c:numCache>
                <c:formatCode>General</c:formatCode>
                <c:ptCount val="3"/>
                <c:pt idx="0">
                  <c:v>79598</c:v>
                </c:pt>
                <c:pt idx="1">
                  <c:v>79598</c:v>
                </c:pt>
                <c:pt idx="2">
                  <c:v>79598</c:v>
                </c:pt>
              </c:numCache>
            </c:numRef>
          </c:val>
          <c:smooth val="0"/>
          <c:extLst>
            <c:ext xmlns:c16="http://schemas.microsoft.com/office/drawing/2014/chart" uri="{C3380CC4-5D6E-409C-BE32-E72D297353CC}">
              <c16:uniqueId val="{00000006-FA42-4CBF-8E4E-B1BB67DF81B7}"/>
            </c:ext>
          </c:extLst>
        </c:ser>
        <c:dLbls>
          <c:showLegendKey val="0"/>
          <c:showVal val="1"/>
          <c:showCatName val="0"/>
          <c:showSerName val="0"/>
          <c:showPercent val="0"/>
          <c:showBubbleSize val="0"/>
        </c:dLbls>
        <c:marker val="1"/>
        <c:smooth val="0"/>
        <c:axId val="240260224"/>
        <c:axId val="240271360"/>
      </c:lineChart>
      <c:catAx>
        <c:axId val="240260224"/>
        <c:scaling>
          <c:orientation val="minMax"/>
        </c:scaling>
        <c:delete val="0"/>
        <c:axPos val="b"/>
        <c:numFmt formatCode="General" sourceLinked="0"/>
        <c:majorTickMark val="none"/>
        <c:minorTickMark val="none"/>
        <c:tickLblPos val="nextTo"/>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crossAx val="240260224"/>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市场分析!$C$12</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市场分析!$B$13:$B$15</c:f>
              <c:strCache>
                <c:ptCount val="3"/>
                <c:pt idx="0">
                  <c:v>2018年</c:v>
                </c:pt>
                <c:pt idx="1">
                  <c:v>2019年</c:v>
                </c:pt>
                <c:pt idx="2">
                  <c:v>2020年</c:v>
                </c:pt>
              </c:strCache>
            </c:strRef>
          </c:cat>
          <c:val>
            <c:numRef>
              <c:f>市场分析!$C$13:$C$15</c:f>
              <c:numCache>
                <c:formatCode>0</c:formatCode>
                <c:ptCount val="3"/>
                <c:pt idx="0">
                  <c:v>31724.148000000001</c:v>
                </c:pt>
                <c:pt idx="1">
                  <c:v>32340.736000000001</c:v>
                </c:pt>
                <c:pt idx="2">
                  <c:v>31953.63</c:v>
                </c:pt>
              </c:numCache>
            </c:numRef>
          </c:val>
          <c:extLst>
            <c:ext xmlns:c16="http://schemas.microsoft.com/office/drawing/2014/chart" uri="{C3380CC4-5D6E-409C-BE32-E72D297353CC}">
              <c16:uniqueId val="{00000000-9571-4F4B-B9F1-D595B37DAA59}"/>
            </c:ext>
          </c:extLst>
        </c:ser>
        <c:ser>
          <c:idx val="1"/>
          <c:order val="1"/>
          <c:tx>
            <c:strRef>
              <c:f>市场分析!$D$12</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市场分析!$B$13:$B$15</c:f>
              <c:strCache>
                <c:ptCount val="3"/>
                <c:pt idx="0">
                  <c:v>2018年</c:v>
                </c:pt>
                <c:pt idx="1">
                  <c:v>2019年</c:v>
                </c:pt>
                <c:pt idx="2">
                  <c:v>2020年</c:v>
                </c:pt>
              </c:strCache>
            </c:strRef>
          </c:cat>
          <c:val>
            <c:numRef>
              <c:f>市场分析!$D$13:$D$15</c:f>
              <c:numCache>
                <c:formatCode>General</c:formatCode>
                <c:ptCount val="3"/>
                <c:pt idx="0">
                  <c:v>16852</c:v>
                </c:pt>
                <c:pt idx="1">
                  <c:v>19414</c:v>
                </c:pt>
                <c:pt idx="2">
                  <c:v>26293</c:v>
                </c:pt>
              </c:numCache>
            </c:numRef>
          </c:val>
          <c:extLst>
            <c:ext xmlns:c16="http://schemas.microsoft.com/office/drawing/2014/chart" uri="{C3380CC4-5D6E-409C-BE32-E72D297353CC}">
              <c16:uniqueId val="{00000001-9571-4F4B-B9F1-D595B37DAA59}"/>
            </c:ext>
          </c:extLst>
        </c:ser>
        <c:ser>
          <c:idx val="2"/>
          <c:order val="2"/>
          <c:tx>
            <c:strRef>
              <c:f>市场分析!$E$12</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市场分析!$B$13:$B$15</c:f>
              <c:strCache>
                <c:ptCount val="3"/>
                <c:pt idx="0">
                  <c:v>2018年</c:v>
                </c:pt>
                <c:pt idx="1">
                  <c:v>2019年</c:v>
                </c:pt>
                <c:pt idx="2">
                  <c:v>2020年</c:v>
                </c:pt>
              </c:strCache>
            </c:strRef>
          </c:cat>
          <c:val>
            <c:numRef>
              <c:f>市场分析!$E$13:$E$15</c:f>
              <c:numCache>
                <c:formatCode>0</c:formatCode>
                <c:ptCount val="3"/>
                <c:pt idx="1">
                  <c:v>22423</c:v>
                </c:pt>
                <c:pt idx="2">
                  <c:v>31358</c:v>
                </c:pt>
              </c:numCache>
            </c:numRef>
          </c:val>
          <c:extLst>
            <c:ext xmlns:c16="http://schemas.microsoft.com/office/drawing/2014/chart" uri="{C3380CC4-5D6E-409C-BE32-E72D297353CC}">
              <c16:uniqueId val="{00000002-9571-4F4B-B9F1-D595B37DAA59}"/>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市场分析!$F$12</c:f>
              <c:strCache>
                <c:ptCount val="1"/>
                <c:pt idx="0">
                  <c:v>苏州街</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71-4F4B-B9F1-D595B37DAA59}"/>
                </c:ext>
              </c:extLst>
            </c:dLbl>
            <c:dLbl>
              <c:idx val="1"/>
              <c:delete val="1"/>
              <c:extLst>
                <c:ext xmlns:c15="http://schemas.microsoft.com/office/drawing/2012/chart" uri="{CE6537A1-D6FC-4f65-9D91-7224C49458BB}"/>
                <c:ext xmlns:c16="http://schemas.microsoft.com/office/drawing/2014/chart" uri="{C3380CC4-5D6E-409C-BE32-E72D297353CC}">
                  <c16:uniqueId val="{00000004-9571-4F4B-B9F1-D595B37DAA59}"/>
                </c:ext>
              </c:extLst>
            </c:dLbl>
            <c:dLbl>
              <c:idx val="2"/>
              <c:delete val="1"/>
              <c:extLst>
                <c:ext xmlns:c15="http://schemas.microsoft.com/office/drawing/2012/chart" uri="{CE6537A1-D6FC-4f65-9D91-7224C49458BB}"/>
                <c:ext xmlns:c16="http://schemas.microsoft.com/office/drawing/2014/chart" uri="{C3380CC4-5D6E-409C-BE32-E72D297353CC}">
                  <c16:uniqueId val="{00000005-9571-4F4B-B9F1-D595B37DAA59}"/>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市场分析!$B$13:$B$15</c:f>
              <c:strCache>
                <c:ptCount val="3"/>
                <c:pt idx="0">
                  <c:v>2018年</c:v>
                </c:pt>
                <c:pt idx="1">
                  <c:v>2019年</c:v>
                </c:pt>
                <c:pt idx="2">
                  <c:v>2020年</c:v>
                </c:pt>
              </c:strCache>
            </c:strRef>
          </c:cat>
          <c:val>
            <c:numRef>
              <c:f>市场分析!$F$13:$F$15</c:f>
              <c:numCache>
                <c:formatCode>General</c:formatCode>
                <c:ptCount val="3"/>
                <c:pt idx="0">
                  <c:v>30708</c:v>
                </c:pt>
                <c:pt idx="1">
                  <c:v>30708</c:v>
                </c:pt>
                <c:pt idx="2">
                  <c:v>30708</c:v>
                </c:pt>
              </c:numCache>
            </c:numRef>
          </c:val>
          <c:smooth val="0"/>
          <c:extLst>
            <c:ext xmlns:c16="http://schemas.microsoft.com/office/drawing/2014/chart" uri="{C3380CC4-5D6E-409C-BE32-E72D297353CC}">
              <c16:uniqueId val="{00000006-9571-4F4B-B9F1-D595B37DAA59}"/>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8344-4E24-AD86-125D05E273C7}"/>
            </c:ext>
          </c:extLst>
        </c:ser>
        <c:dLbls>
          <c:showLegendKey val="0"/>
          <c:showVal val="0"/>
          <c:showCatName val="0"/>
          <c:showSerName val="0"/>
          <c:showPercent val="0"/>
          <c:showBubbleSize val="0"/>
        </c:dLbls>
        <c:gapWidth val="150"/>
        <c:axId val="103347328"/>
        <c:axId val="103348864"/>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44-4E24-AD86-125D05E273C7}"/>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44-4E24-AD86-125D05E273C7}"/>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44-4E24-AD86-125D05E273C7}"/>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44-4E24-AD86-125D05E273C7}"/>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44-4E24-AD86-125D05E273C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-8.606010400846964E-3</c:v>
                </c:pt>
                <c:pt idx="3">
                  <c:v>-7.8776431565853455E-3</c:v>
                </c:pt>
                <c:pt idx="4">
                  <c:v>1.6293751740785511E-2</c:v>
                </c:pt>
              </c:numCache>
            </c:numRef>
          </c:val>
          <c:smooth val="0"/>
          <c:extLst>
            <c:ext xmlns:c16="http://schemas.microsoft.com/office/drawing/2014/chart" uri="{C3380CC4-5D6E-409C-BE32-E72D297353CC}">
              <c16:uniqueId val="{00000007-8344-4E24-AD86-125D05E273C7}"/>
            </c:ext>
          </c:extLst>
        </c:ser>
        <c:dLbls>
          <c:showLegendKey val="0"/>
          <c:showVal val="0"/>
          <c:showCatName val="0"/>
          <c:showSerName val="0"/>
          <c:showPercent val="0"/>
          <c:showBubbleSize val="0"/>
        </c:dLbls>
        <c:marker val="1"/>
        <c:smooth val="0"/>
        <c:axId val="103897344"/>
        <c:axId val="103895424"/>
      </c:lineChart>
      <c:catAx>
        <c:axId val="103347328"/>
        <c:scaling>
          <c:orientation val="minMax"/>
        </c:scaling>
        <c:delete val="0"/>
        <c:axPos val="b"/>
        <c:numFmt formatCode="General" sourceLinked="1"/>
        <c:majorTickMark val="none"/>
        <c:minorTickMark val="none"/>
        <c:tickLblPos val="low"/>
        <c:crossAx val="103348864"/>
        <c:crosses val="autoZero"/>
        <c:auto val="1"/>
        <c:lblAlgn val="ctr"/>
        <c:lblOffset val="100"/>
        <c:noMultiLvlLbl val="0"/>
      </c:catAx>
      <c:valAx>
        <c:axId val="103348864"/>
        <c:scaling>
          <c:orientation val="minMax"/>
          <c:max val="2500"/>
          <c:min val="-500"/>
        </c:scaling>
        <c:delete val="0"/>
        <c:axPos val="l"/>
        <c:majorGridlines/>
        <c:numFmt formatCode="General" sourceLinked="1"/>
        <c:majorTickMark val="out"/>
        <c:minorTickMark val="none"/>
        <c:tickLblPos val="nextTo"/>
        <c:crossAx val="103347328"/>
        <c:crosses val="autoZero"/>
        <c:crossBetween val="between"/>
        <c:majorUnit val="500"/>
      </c:valAx>
      <c:valAx>
        <c:axId val="103895424"/>
        <c:scaling>
          <c:orientation val="minMax"/>
          <c:max val="5.000000000000001E-2"/>
          <c:min val="-1.0000000000000002E-2"/>
        </c:scaling>
        <c:delete val="0"/>
        <c:axPos val="r"/>
        <c:numFmt formatCode="0.0%" sourceLinked="1"/>
        <c:majorTickMark val="out"/>
        <c:minorTickMark val="none"/>
        <c:tickLblPos val="nextTo"/>
        <c:crossAx val="103897344"/>
        <c:crosses val="max"/>
        <c:crossBetween val="between"/>
      </c:valAx>
      <c:catAx>
        <c:axId val="103897344"/>
        <c:scaling>
          <c:orientation val="minMax"/>
        </c:scaling>
        <c:delete val="1"/>
        <c:axPos val="b"/>
        <c:numFmt formatCode="General" sourceLinked="1"/>
        <c:majorTickMark val="out"/>
        <c:minorTickMark val="none"/>
        <c:tickLblPos val="nextTo"/>
        <c:crossAx val="1038954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6B-4FC9-8131-24831EE10996}"/>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6B-4FC9-8131-24831EE1099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市场分析!$C$8:$C$10</c:f>
              <c:numCache>
                <c:formatCode>0</c:formatCode>
                <c:ptCount val="3"/>
                <c:pt idx="0">
                  <c:v>30205.002</c:v>
                </c:pt>
                <c:pt idx="1">
                  <c:v>30792.063999999998</c:v>
                </c:pt>
                <c:pt idx="2">
                  <c:v>30423.495000000003</c:v>
                </c:pt>
              </c:numCache>
            </c:numRef>
          </c:val>
          <c:extLst>
            <c:ext xmlns:c16="http://schemas.microsoft.com/office/drawing/2014/chart" uri="{C3380CC4-5D6E-409C-BE32-E72D297353CC}">
              <c16:uniqueId val="{00000002-386B-4FC9-8131-24831EE10996}"/>
            </c:ext>
          </c:extLst>
        </c:ser>
        <c:ser>
          <c:idx val="1"/>
          <c:order val="1"/>
          <c:tx>
            <c:strRef>
              <c:f>市场分析!$D$7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市场分析!$D$8:$D$10</c:f>
              <c:numCache>
                <c:formatCode>General</c:formatCode>
                <c:ptCount val="3"/>
                <c:pt idx="0" formatCode="0">
                  <c:v>20293</c:v>
                </c:pt>
                <c:pt idx="1">
                  <c:v>23694</c:v>
                </c:pt>
              </c:numCache>
            </c:numRef>
          </c:val>
          <c:extLst>
            <c:ext xmlns:c16="http://schemas.microsoft.com/office/drawing/2014/chart" uri="{C3380CC4-5D6E-409C-BE32-E72D297353CC}">
              <c16:uniqueId val="{00000003-386B-4FC9-8131-24831EE10996}"/>
            </c:ext>
          </c:extLst>
        </c:ser>
        <c:ser>
          <c:idx val="2"/>
          <c:order val="2"/>
          <c:tx>
            <c:strRef>
              <c:f>市场分析!$E$7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市场分析!$E$8:$E$10</c:f>
              <c:numCache>
                <c:formatCode>0</c:formatCode>
                <c:ptCount val="3"/>
                <c:pt idx="1">
                  <c:v>22423</c:v>
                </c:pt>
                <c:pt idx="2">
                  <c:v>31358</c:v>
                </c:pt>
              </c:numCache>
            </c:numRef>
          </c:val>
          <c:extLst>
            <c:ext xmlns:c16="http://schemas.microsoft.com/office/drawing/2014/chart" uri="{C3380CC4-5D6E-409C-BE32-E72D297353CC}">
              <c16:uniqueId val="{00000004-386B-4FC9-8131-24831EE10996}"/>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市场分析!$F$7</c:f>
              <c:strCache>
                <c:ptCount val="1"/>
                <c:pt idx="0">
                  <c:v>苏州街</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6B-4FC9-8131-24831EE10996}"/>
                </c:ext>
              </c:extLst>
            </c:dLbl>
            <c:dLbl>
              <c:idx val="1"/>
              <c:delete val="1"/>
              <c:extLst>
                <c:ext xmlns:c15="http://schemas.microsoft.com/office/drawing/2012/chart" uri="{CE6537A1-D6FC-4f65-9D91-7224C49458BB}"/>
                <c:ext xmlns:c16="http://schemas.microsoft.com/office/drawing/2014/chart" uri="{C3380CC4-5D6E-409C-BE32-E72D297353CC}">
                  <c16:uniqueId val="{00000006-386B-4FC9-8131-24831EE10996}"/>
                </c:ext>
              </c:extLst>
            </c:dLbl>
            <c:dLbl>
              <c:idx val="2"/>
              <c:delete val="1"/>
              <c:extLst>
                <c:ext xmlns:c15="http://schemas.microsoft.com/office/drawing/2012/chart" uri="{CE6537A1-D6FC-4f65-9D91-7224C49458BB}"/>
                <c:ext xmlns:c16="http://schemas.microsoft.com/office/drawing/2014/chart" uri="{C3380CC4-5D6E-409C-BE32-E72D297353CC}">
                  <c16:uniqueId val="{00000007-386B-4FC9-8131-24831EE10996}"/>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市场分析!$F$8:$F$10</c:f>
              <c:numCache>
                <c:formatCode>General</c:formatCode>
                <c:ptCount val="3"/>
                <c:pt idx="0">
                  <c:v>30853</c:v>
                </c:pt>
                <c:pt idx="1">
                  <c:v>30853</c:v>
                </c:pt>
                <c:pt idx="2">
                  <c:v>30853</c:v>
                </c:pt>
              </c:numCache>
            </c:numRef>
          </c:val>
          <c:smooth val="0"/>
          <c:extLst>
            <c:ext xmlns:c16="http://schemas.microsoft.com/office/drawing/2014/chart" uri="{C3380CC4-5D6E-409C-BE32-E72D297353CC}">
              <c16:uniqueId val="{00000008-386B-4FC9-8131-24831EE10996}"/>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市场分析!$C$12</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市场分析!$B$13:$B$15</c:f>
              <c:strCache>
                <c:ptCount val="3"/>
                <c:pt idx="0">
                  <c:v>2018年</c:v>
                </c:pt>
                <c:pt idx="1">
                  <c:v>2019年</c:v>
                </c:pt>
                <c:pt idx="2">
                  <c:v>2020年</c:v>
                </c:pt>
              </c:strCache>
            </c:strRef>
          </c:cat>
          <c:val>
            <c:numRef>
              <c:f>市场分析!$C$13:$C$15</c:f>
              <c:numCache>
                <c:formatCode>0</c:formatCode>
                <c:ptCount val="3"/>
                <c:pt idx="0">
                  <c:v>31724.148000000001</c:v>
                </c:pt>
                <c:pt idx="1">
                  <c:v>32340.736000000001</c:v>
                </c:pt>
                <c:pt idx="2">
                  <c:v>31953.63</c:v>
                </c:pt>
              </c:numCache>
            </c:numRef>
          </c:val>
          <c:extLst>
            <c:ext xmlns:c16="http://schemas.microsoft.com/office/drawing/2014/chart" uri="{C3380CC4-5D6E-409C-BE32-E72D297353CC}">
              <c16:uniqueId val="{00000000-2A40-4B5B-8D50-8AE7F5F5D5F5}"/>
            </c:ext>
          </c:extLst>
        </c:ser>
        <c:ser>
          <c:idx val="1"/>
          <c:order val="1"/>
          <c:tx>
            <c:strRef>
              <c:f>市场分析!$D$12</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市场分析!$B$13:$B$15</c:f>
              <c:strCache>
                <c:ptCount val="3"/>
                <c:pt idx="0">
                  <c:v>2018年</c:v>
                </c:pt>
                <c:pt idx="1">
                  <c:v>2019年</c:v>
                </c:pt>
                <c:pt idx="2">
                  <c:v>2020年</c:v>
                </c:pt>
              </c:strCache>
            </c:strRef>
          </c:cat>
          <c:val>
            <c:numRef>
              <c:f>市场分析!$D$13:$D$15</c:f>
              <c:numCache>
                <c:formatCode>General</c:formatCode>
                <c:ptCount val="3"/>
                <c:pt idx="0">
                  <c:v>16852</c:v>
                </c:pt>
                <c:pt idx="1">
                  <c:v>19414</c:v>
                </c:pt>
                <c:pt idx="2">
                  <c:v>26293</c:v>
                </c:pt>
              </c:numCache>
            </c:numRef>
          </c:val>
          <c:extLst>
            <c:ext xmlns:c16="http://schemas.microsoft.com/office/drawing/2014/chart" uri="{C3380CC4-5D6E-409C-BE32-E72D297353CC}">
              <c16:uniqueId val="{00000001-2A40-4B5B-8D50-8AE7F5F5D5F5}"/>
            </c:ext>
          </c:extLst>
        </c:ser>
        <c:ser>
          <c:idx val="2"/>
          <c:order val="2"/>
          <c:tx>
            <c:strRef>
              <c:f>市场分析!$E$12</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市场分析!$B$13:$B$15</c:f>
              <c:strCache>
                <c:ptCount val="3"/>
                <c:pt idx="0">
                  <c:v>2018年</c:v>
                </c:pt>
                <c:pt idx="1">
                  <c:v>2019年</c:v>
                </c:pt>
                <c:pt idx="2">
                  <c:v>2020年</c:v>
                </c:pt>
              </c:strCache>
            </c:strRef>
          </c:cat>
          <c:val>
            <c:numRef>
              <c:f>市场分析!$E$13:$E$15</c:f>
              <c:numCache>
                <c:formatCode>0</c:formatCode>
                <c:ptCount val="3"/>
                <c:pt idx="1">
                  <c:v>22423</c:v>
                </c:pt>
                <c:pt idx="2">
                  <c:v>31358</c:v>
                </c:pt>
              </c:numCache>
            </c:numRef>
          </c:val>
          <c:extLst>
            <c:ext xmlns:c16="http://schemas.microsoft.com/office/drawing/2014/chart" uri="{C3380CC4-5D6E-409C-BE32-E72D297353CC}">
              <c16:uniqueId val="{00000002-2A40-4B5B-8D50-8AE7F5F5D5F5}"/>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市场分析!$F$12</c:f>
              <c:strCache>
                <c:ptCount val="1"/>
                <c:pt idx="0">
                  <c:v>苏州街</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40-4B5B-8D50-8AE7F5F5D5F5}"/>
                </c:ext>
              </c:extLst>
            </c:dLbl>
            <c:dLbl>
              <c:idx val="1"/>
              <c:delete val="1"/>
              <c:extLst>
                <c:ext xmlns:c15="http://schemas.microsoft.com/office/drawing/2012/chart" uri="{CE6537A1-D6FC-4f65-9D91-7224C49458BB}"/>
                <c:ext xmlns:c16="http://schemas.microsoft.com/office/drawing/2014/chart" uri="{C3380CC4-5D6E-409C-BE32-E72D297353CC}">
                  <c16:uniqueId val="{00000004-2A40-4B5B-8D50-8AE7F5F5D5F5}"/>
                </c:ext>
              </c:extLst>
            </c:dLbl>
            <c:dLbl>
              <c:idx val="2"/>
              <c:delete val="1"/>
              <c:extLst>
                <c:ext xmlns:c15="http://schemas.microsoft.com/office/drawing/2012/chart" uri="{CE6537A1-D6FC-4f65-9D91-7224C49458BB}"/>
                <c:ext xmlns:c16="http://schemas.microsoft.com/office/drawing/2014/chart" uri="{C3380CC4-5D6E-409C-BE32-E72D297353CC}">
                  <c16:uniqueId val="{00000005-2A40-4B5B-8D50-8AE7F5F5D5F5}"/>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市场分析!$B$13:$B$15</c:f>
              <c:strCache>
                <c:ptCount val="3"/>
                <c:pt idx="0">
                  <c:v>2018年</c:v>
                </c:pt>
                <c:pt idx="1">
                  <c:v>2019年</c:v>
                </c:pt>
                <c:pt idx="2">
                  <c:v>2020年</c:v>
                </c:pt>
              </c:strCache>
            </c:strRef>
          </c:cat>
          <c:val>
            <c:numRef>
              <c:f>市场分析!$F$13:$F$15</c:f>
              <c:numCache>
                <c:formatCode>General</c:formatCode>
                <c:ptCount val="3"/>
                <c:pt idx="0">
                  <c:v>30708</c:v>
                </c:pt>
                <c:pt idx="1">
                  <c:v>30708</c:v>
                </c:pt>
                <c:pt idx="2">
                  <c:v>30708</c:v>
                </c:pt>
              </c:numCache>
            </c:numRef>
          </c:val>
          <c:smooth val="0"/>
          <c:extLst>
            <c:ext xmlns:c16="http://schemas.microsoft.com/office/drawing/2014/chart" uri="{C3380CC4-5D6E-409C-BE32-E72D297353CC}">
              <c16:uniqueId val="{00000006-2A40-4B5B-8D50-8AE7F5F5D5F5}"/>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5C72-4737-A25B-2D554A133124}"/>
            </c:ext>
          </c:extLst>
        </c:ser>
        <c:dLbls>
          <c:showLegendKey val="0"/>
          <c:showVal val="0"/>
          <c:showCatName val="0"/>
          <c:showSerName val="0"/>
          <c:showPercent val="0"/>
          <c:showBubbleSize val="0"/>
        </c:dLbls>
        <c:gapWidth val="150"/>
        <c:axId val="103347328"/>
        <c:axId val="103348864"/>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72-4737-A25B-2D554A133124}"/>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72-4737-A25B-2D554A133124}"/>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72-4737-A25B-2D554A133124}"/>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72-4737-A25B-2D554A133124}"/>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72-4737-A25B-2D554A13312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-8.606010400846964E-3</c:v>
                </c:pt>
                <c:pt idx="3">
                  <c:v>-7.8776431565853455E-3</c:v>
                </c:pt>
                <c:pt idx="4">
                  <c:v>1.6293751740785511E-2</c:v>
                </c:pt>
              </c:numCache>
            </c:numRef>
          </c:val>
          <c:smooth val="0"/>
          <c:extLst>
            <c:ext xmlns:c16="http://schemas.microsoft.com/office/drawing/2014/chart" uri="{C3380CC4-5D6E-409C-BE32-E72D297353CC}">
              <c16:uniqueId val="{00000007-5C72-4737-A25B-2D554A133124}"/>
            </c:ext>
          </c:extLst>
        </c:ser>
        <c:dLbls>
          <c:showLegendKey val="0"/>
          <c:showVal val="0"/>
          <c:showCatName val="0"/>
          <c:showSerName val="0"/>
          <c:showPercent val="0"/>
          <c:showBubbleSize val="0"/>
        </c:dLbls>
        <c:marker val="1"/>
        <c:smooth val="0"/>
        <c:axId val="103897344"/>
        <c:axId val="103895424"/>
      </c:lineChart>
      <c:catAx>
        <c:axId val="103347328"/>
        <c:scaling>
          <c:orientation val="minMax"/>
        </c:scaling>
        <c:delete val="0"/>
        <c:axPos val="b"/>
        <c:numFmt formatCode="General" sourceLinked="1"/>
        <c:majorTickMark val="none"/>
        <c:minorTickMark val="none"/>
        <c:tickLblPos val="low"/>
        <c:crossAx val="103348864"/>
        <c:crosses val="autoZero"/>
        <c:auto val="1"/>
        <c:lblAlgn val="ctr"/>
        <c:lblOffset val="100"/>
        <c:noMultiLvlLbl val="0"/>
      </c:catAx>
      <c:valAx>
        <c:axId val="103348864"/>
        <c:scaling>
          <c:orientation val="minMax"/>
          <c:max val="2500"/>
          <c:min val="-500"/>
        </c:scaling>
        <c:delete val="0"/>
        <c:axPos val="l"/>
        <c:majorGridlines/>
        <c:numFmt formatCode="General" sourceLinked="1"/>
        <c:majorTickMark val="out"/>
        <c:minorTickMark val="none"/>
        <c:tickLblPos val="nextTo"/>
        <c:crossAx val="103347328"/>
        <c:crosses val="autoZero"/>
        <c:crossBetween val="between"/>
        <c:majorUnit val="500"/>
      </c:valAx>
      <c:valAx>
        <c:axId val="103895424"/>
        <c:scaling>
          <c:orientation val="minMax"/>
          <c:max val="5.000000000000001E-2"/>
          <c:min val="-1.0000000000000002E-2"/>
        </c:scaling>
        <c:delete val="0"/>
        <c:axPos val="r"/>
        <c:numFmt formatCode="0.0%" sourceLinked="1"/>
        <c:majorTickMark val="out"/>
        <c:minorTickMark val="none"/>
        <c:tickLblPos val="nextTo"/>
        <c:crossAx val="103897344"/>
        <c:crosses val="max"/>
        <c:crossBetween val="between"/>
      </c:valAx>
      <c:catAx>
        <c:axId val="103897344"/>
        <c:scaling>
          <c:orientation val="minMax"/>
        </c:scaling>
        <c:delete val="1"/>
        <c:axPos val="b"/>
        <c:numFmt formatCode="General" sourceLinked="1"/>
        <c:majorTickMark val="out"/>
        <c:minorTickMark val="none"/>
        <c:tickLblPos val="nextTo"/>
        <c:crossAx val="1038954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市场分析!$C$16</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市场分析!$B$17:$B$19</c:f>
              <c:strCache>
                <c:ptCount val="3"/>
                <c:pt idx="0">
                  <c:v>2018年</c:v>
                </c:pt>
                <c:pt idx="1">
                  <c:v>2019年</c:v>
                </c:pt>
                <c:pt idx="2">
                  <c:v>2020年</c:v>
                </c:pt>
              </c:strCache>
            </c:strRef>
          </c:cat>
          <c:val>
            <c:numRef>
              <c:f>市场分析!$C$17:$C$19</c:f>
              <c:numCache>
                <c:formatCode>0</c:formatCode>
                <c:ptCount val="3"/>
                <c:pt idx="0">
                  <c:v>37107.326999999997</c:v>
                </c:pt>
                <c:pt idx="1">
                  <c:v>38381.123</c:v>
                </c:pt>
                <c:pt idx="2">
                  <c:v>39755.722999999998</c:v>
                </c:pt>
              </c:numCache>
            </c:numRef>
          </c:val>
          <c:extLst>
            <c:ext xmlns:c16="http://schemas.microsoft.com/office/drawing/2014/chart" uri="{C3380CC4-5D6E-409C-BE32-E72D297353CC}">
              <c16:uniqueId val="{00000000-C91F-42CC-8AFC-9CB7705A0A08}"/>
            </c:ext>
          </c:extLst>
        </c:ser>
        <c:ser>
          <c:idx val="1"/>
          <c:order val="1"/>
          <c:tx>
            <c:strRef>
              <c:f>市场分析!$D$16</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市场分析!$B$17:$B$19</c:f>
              <c:strCache>
                <c:ptCount val="3"/>
                <c:pt idx="0">
                  <c:v>2018年</c:v>
                </c:pt>
                <c:pt idx="1">
                  <c:v>2019年</c:v>
                </c:pt>
                <c:pt idx="2">
                  <c:v>2020年</c:v>
                </c:pt>
              </c:strCache>
            </c:strRef>
          </c:cat>
          <c:val>
            <c:numRef>
              <c:f>市场分析!$D$17:$D$19</c:f>
              <c:numCache>
                <c:formatCode>General</c:formatCode>
                <c:ptCount val="3"/>
                <c:pt idx="2">
                  <c:v>19622</c:v>
                </c:pt>
              </c:numCache>
            </c:numRef>
          </c:val>
          <c:extLst>
            <c:ext xmlns:c16="http://schemas.microsoft.com/office/drawing/2014/chart" uri="{C3380CC4-5D6E-409C-BE32-E72D297353CC}">
              <c16:uniqueId val="{00000001-C91F-42CC-8AFC-9CB7705A0A08}"/>
            </c:ext>
          </c:extLst>
        </c:ser>
        <c:ser>
          <c:idx val="2"/>
          <c:order val="2"/>
          <c:tx>
            <c:strRef>
              <c:f>市场分析!$E$16</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市场分析!$B$17:$B$19</c:f>
              <c:strCache>
                <c:ptCount val="3"/>
                <c:pt idx="0">
                  <c:v>2018年</c:v>
                </c:pt>
                <c:pt idx="1">
                  <c:v>2019年</c:v>
                </c:pt>
                <c:pt idx="2">
                  <c:v>2020年</c:v>
                </c:pt>
              </c:strCache>
            </c:strRef>
          </c:cat>
          <c:val>
            <c:numRef>
              <c:f>市场分析!$E$17:$E$19</c:f>
              <c:numCache>
                <c:formatCode>General</c:formatCode>
                <c:ptCount val="3"/>
                <c:pt idx="0">
                  <c:v>40865</c:v>
                </c:pt>
                <c:pt idx="2" formatCode="0">
                  <c:v>70049</c:v>
                </c:pt>
              </c:numCache>
            </c:numRef>
          </c:val>
          <c:extLst>
            <c:ext xmlns:c16="http://schemas.microsoft.com/office/drawing/2014/chart" uri="{C3380CC4-5D6E-409C-BE32-E72D297353CC}">
              <c16:uniqueId val="{00000002-C91F-42CC-8AFC-9CB7705A0A08}"/>
            </c:ext>
          </c:extLst>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市场分析!$F$16</c:f>
              <c:strCache>
                <c:ptCount val="1"/>
                <c:pt idx="0">
                  <c:v>苏州街</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C91F-42CC-8AFC-9CB7705A0A08}"/>
                </c:ext>
              </c:extLst>
            </c:dLbl>
            <c:dLbl>
              <c:idx val="1"/>
              <c:layout>
                <c:manualLayout>
                  <c:x val="-8.2717872968980866E-2"/>
                  <c:y val="-4.8134771295403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1F-42CC-8AFC-9CB7705A0A08}"/>
                </c:ext>
              </c:extLst>
            </c:dLbl>
            <c:dLbl>
              <c:idx val="2"/>
              <c:delete val="1"/>
              <c:extLst>
                <c:ext xmlns:c15="http://schemas.microsoft.com/office/drawing/2012/chart" uri="{CE6537A1-D6FC-4f65-9D91-7224C49458BB}"/>
                <c:ext xmlns:c16="http://schemas.microsoft.com/office/drawing/2014/chart" uri="{C3380CC4-5D6E-409C-BE32-E72D297353CC}">
                  <c16:uniqueId val="{00000005-C91F-42CC-8AFC-9CB7705A0A08}"/>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市场分析!$B$17:$B$19</c:f>
              <c:strCache>
                <c:ptCount val="3"/>
                <c:pt idx="0">
                  <c:v>2018年</c:v>
                </c:pt>
                <c:pt idx="1">
                  <c:v>2019年</c:v>
                </c:pt>
                <c:pt idx="2">
                  <c:v>2020年</c:v>
                </c:pt>
              </c:strCache>
            </c:strRef>
          </c:cat>
          <c:val>
            <c:numRef>
              <c:f>市场分析!$F$17:$F$19</c:f>
              <c:numCache>
                <c:formatCode>General</c:formatCode>
                <c:ptCount val="3"/>
                <c:pt idx="0">
                  <c:v>79598</c:v>
                </c:pt>
                <c:pt idx="1">
                  <c:v>79598</c:v>
                </c:pt>
                <c:pt idx="2">
                  <c:v>79598</c:v>
                </c:pt>
              </c:numCache>
            </c:numRef>
          </c:val>
          <c:smooth val="0"/>
          <c:extLst>
            <c:ext xmlns:c16="http://schemas.microsoft.com/office/drawing/2014/chart" uri="{C3380CC4-5D6E-409C-BE32-E72D297353CC}">
              <c16:uniqueId val="{00000006-C91F-42CC-8AFC-9CB7705A0A08}"/>
            </c:ext>
          </c:extLst>
        </c:ser>
        <c:dLbls>
          <c:showLegendKey val="0"/>
          <c:showVal val="1"/>
          <c:showCatName val="0"/>
          <c:showSerName val="0"/>
          <c:showPercent val="0"/>
          <c:showBubbleSize val="0"/>
        </c:dLbls>
        <c:marker val="1"/>
        <c:smooth val="0"/>
        <c:axId val="240260224"/>
        <c:axId val="240271360"/>
      </c:lineChart>
      <c:catAx>
        <c:axId val="240260224"/>
        <c:scaling>
          <c:orientation val="minMax"/>
        </c:scaling>
        <c:delete val="0"/>
        <c:axPos val="b"/>
        <c:numFmt formatCode="General" sourceLinked="0"/>
        <c:majorTickMark val="none"/>
        <c:minorTickMark val="none"/>
        <c:tickLblPos val="nextTo"/>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crossAx val="240260224"/>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32-41AB-8F94-2A2102500420}"/>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32-41AB-8F94-2A210250042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市场分析!$C$8:$C$10</c:f>
              <c:numCache>
                <c:formatCode>0</c:formatCode>
                <c:ptCount val="3"/>
                <c:pt idx="0">
                  <c:v>30205.002</c:v>
                </c:pt>
                <c:pt idx="1">
                  <c:v>30792.063999999998</c:v>
                </c:pt>
                <c:pt idx="2">
                  <c:v>30423.495000000003</c:v>
                </c:pt>
              </c:numCache>
            </c:numRef>
          </c:val>
          <c:extLst>
            <c:ext xmlns:c16="http://schemas.microsoft.com/office/drawing/2014/chart" uri="{C3380CC4-5D6E-409C-BE32-E72D297353CC}">
              <c16:uniqueId val="{00000002-CD32-41AB-8F94-2A2102500420}"/>
            </c:ext>
          </c:extLst>
        </c:ser>
        <c:ser>
          <c:idx val="1"/>
          <c:order val="1"/>
          <c:tx>
            <c:strRef>
              <c:f>市场分析!$D$7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市场分析!$D$8:$D$10</c:f>
              <c:numCache>
                <c:formatCode>General</c:formatCode>
                <c:ptCount val="3"/>
                <c:pt idx="0" formatCode="0">
                  <c:v>20293</c:v>
                </c:pt>
                <c:pt idx="1">
                  <c:v>23694</c:v>
                </c:pt>
              </c:numCache>
            </c:numRef>
          </c:val>
          <c:extLst>
            <c:ext xmlns:c16="http://schemas.microsoft.com/office/drawing/2014/chart" uri="{C3380CC4-5D6E-409C-BE32-E72D297353CC}">
              <c16:uniqueId val="{00000003-CD32-41AB-8F94-2A2102500420}"/>
            </c:ext>
          </c:extLst>
        </c:ser>
        <c:ser>
          <c:idx val="2"/>
          <c:order val="2"/>
          <c:tx>
            <c:strRef>
              <c:f>市场分析!$E$7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市场分析!$E$8:$E$10</c:f>
              <c:numCache>
                <c:formatCode>0</c:formatCode>
                <c:ptCount val="3"/>
                <c:pt idx="1">
                  <c:v>22423</c:v>
                </c:pt>
                <c:pt idx="2">
                  <c:v>31358</c:v>
                </c:pt>
              </c:numCache>
            </c:numRef>
          </c:val>
          <c:extLst>
            <c:ext xmlns:c16="http://schemas.microsoft.com/office/drawing/2014/chart" uri="{C3380CC4-5D6E-409C-BE32-E72D297353CC}">
              <c16:uniqueId val="{00000004-CD32-41AB-8F94-2A2102500420}"/>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市场分析!$F$7</c:f>
              <c:strCache>
                <c:ptCount val="1"/>
                <c:pt idx="0">
                  <c:v>苏州街</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32-41AB-8F94-2A2102500420}"/>
                </c:ext>
              </c:extLst>
            </c:dLbl>
            <c:dLbl>
              <c:idx val="1"/>
              <c:delete val="1"/>
              <c:extLst>
                <c:ext xmlns:c15="http://schemas.microsoft.com/office/drawing/2012/chart" uri="{CE6537A1-D6FC-4f65-9D91-7224C49458BB}"/>
                <c:ext xmlns:c16="http://schemas.microsoft.com/office/drawing/2014/chart" uri="{C3380CC4-5D6E-409C-BE32-E72D297353CC}">
                  <c16:uniqueId val="{00000006-CD32-41AB-8F94-2A2102500420}"/>
                </c:ext>
              </c:extLst>
            </c:dLbl>
            <c:dLbl>
              <c:idx val="2"/>
              <c:delete val="1"/>
              <c:extLst>
                <c:ext xmlns:c15="http://schemas.microsoft.com/office/drawing/2012/chart" uri="{CE6537A1-D6FC-4f65-9D91-7224C49458BB}"/>
                <c:ext xmlns:c16="http://schemas.microsoft.com/office/drawing/2014/chart" uri="{C3380CC4-5D6E-409C-BE32-E72D297353CC}">
                  <c16:uniqueId val="{00000007-CD32-41AB-8F94-2A2102500420}"/>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市场分析!$F$8:$F$10</c:f>
              <c:numCache>
                <c:formatCode>General</c:formatCode>
                <c:ptCount val="3"/>
                <c:pt idx="0">
                  <c:v>30853</c:v>
                </c:pt>
                <c:pt idx="1">
                  <c:v>30853</c:v>
                </c:pt>
                <c:pt idx="2">
                  <c:v>30853</c:v>
                </c:pt>
              </c:numCache>
            </c:numRef>
          </c:val>
          <c:smooth val="0"/>
          <c:extLst>
            <c:ext xmlns:c16="http://schemas.microsoft.com/office/drawing/2014/chart" uri="{C3380CC4-5D6E-409C-BE32-E72D297353CC}">
              <c16:uniqueId val="{00000008-CD32-41AB-8F94-2A2102500420}"/>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市场分析!$C$12</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市场分析!$B$13:$B$15</c:f>
              <c:strCache>
                <c:ptCount val="3"/>
                <c:pt idx="0">
                  <c:v>2018年</c:v>
                </c:pt>
                <c:pt idx="1">
                  <c:v>2019年</c:v>
                </c:pt>
                <c:pt idx="2">
                  <c:v>2020年</c:v>
                </c:pt>
              </c:strCache>
            </c:strRef>
          </c:cat>
          <c:val>
            <c:numRef>
              <c:f>市场分析!$C$13:$C$15</c:f>
              <c:numCache>
                <c:formatCode>0</c:formatCode>
                <c:ptCount val="3"/>
                <c:pt idx="0">
                  <c:v>31724.148000000001</c:v>
                </c:pt>
                <c:pt idx="1">
                  <c:v>32340.736000000001</c:v>
                </c:pt>
                <c:pt idx="2">
                  <c:v>31953.63</c:v>
                </c:pt>
              </c:numCache>
            </c:numRef>
          </c:val>
          <c:extLst>
            <c:ext xmlns:c16="http://schemas.microsoft.com/office/drawing/2014/chart" uri="{C3380CC4-5D6E-409C-BE32-E72D297353CC}">
              <c16:uniqueId val="{00000000-D97D-4F83-9F1E-08F7E58082B7}"/>
            </c:ext>
          </c:extLst>
        </c:ser>
        <c:ser>
          <c:idx val="1"/>
          <c:order val="1"/>
          <c:tx>
            <c:strRef>
              <c:f>市场分析!$D$12</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市场分析!$B$13:$B$15</c:f>
              <c:strCache>
                <c:ptCount val="3"/>
                <c:pt idx="0">
                  <c:v>2018年</c:v>
                </c:pt>
                <c:pt idx="1">
                  <c:v>2019年</c:v>
                </c:pt>
                <c:pt idx="2">
                  <c:v>2020年</c:v>
                </c:pt>
              </c:strCache>
            </c:strRef>
          </c:cat>
          <c:val>
            <c:numRef>
              <c:f>市场分析!$D$13:$D$15</c:f>
              <c:numCache>
                <c:formatCode>General</c:formatCode>
                <c:ptCount val="3"/>
                <c:pt idx="0">
                  <c:v>16852</c:v>
                </c:pt>
                <c:pt idx="1">
                  <c:v>19414</c:v>
                </c:pt>
                <c:pt idx="2">
                  <c:v>26293</c:v>
                </c:pt>
              </c:numCache>
            </c:numRef>
          </c:val>
          <c:extLst>
            <c:ext xmlns:c16="http://schemas.microsoft.com/office/drawing/2014/chart" uri="{C3380CC4-5D6E-409C-BE32-E72D297353CC}">
              <c16:uniqueId val="{00000001-D97D-4F83-9F1E-08F7E58082B7}"/>
            </c:ext>
          </c:extLst>
        </c:ser>
        <c:ser>
          <c:idx val="2"/>
          <c:order val="2"/>
          <c:tx>
            <c:strRef>
              <c:f>市场分析!$E$12</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市场分析!$B$13:$B$15</c:f>
              <c:strCache>
                <c:ptCount val="3"/>
                <c:pt idx="0">
                  <c:v>2018年</c:v>
                </c:pt>
                <c:pt idx="1">
                  <c:v>2019年</c:v>
                </c:pt>
                <c:pt idx="2">
                  <c:v>2020年</c:v>
                </c:pt>
              </c:strCache>
            </c:strRef>
          </c:cat>
          <c:val>
            <c:numRef>
              <c:f>市场分析!$E$13:$E$15</c:f>
              <c:numCache>
                <c:formatCode>0</c:formatCode>
                <c:ptCount val="3"/>
                <c:pt idx="1">
                  <c:v>22423</c:v>
                </c:pt>
                <c:pt idx="2">
                  <c:v>31358</c:v>
                </c:pt>
              </c:numCache>
            </c:numRef>
          </c:val>
          <c:extLst>
            <c:ext xmlns:c16="http://schemas.microsoft.com/office/drawing/2014/chart" uri="{C3380CC4-5D6E-409C-BE32-E72D297353CC}">
              <c16:uniqueId val="{00000002-D97D-4F83-9F1E-08F7E58082B7}"/>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市场分析!$F$12</c:f>
              <c:strCache>
                <c:ptCount val="1"/>
                <c:pt idx="0">
                  <c:v>苏州街</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7D-4F83-9F1E-08F7E58082B7}"/>
                </c:ext>
              </c:extLst>
            </c:dLbl>
            <c:dLbl>
              <c:idx val="1"/>
              <c:delete val="1"/>
              <c:extLst>
                <c:ext xmlns:c15="http://schemas.microsoft.com/office/drawing/2012/chart" uri="{CE6537A1-D6FC-4f65-9D91-7224C49458BB}"/>
                <c:ext xmlns:c16="http://schemas.microsoft.com/office/drawing/2014/chart" uri="{C3380CC4-5D6E-409C-BE32-E72D297353CC}">
                  <c16:uniqueId val="{00000004-D97D-4F83-9F1E-08F7E58082B7}"/>
                </c:ext>
              </c:extLst>
            </c:dLbl>
            <c:dLbl>
              <c:idx val="2"/>
              <c:delete val="1"/>
              <c:extLst>
                <c:ext xmlns:c15="http://schemas.microsoft.com/office/drawing/2012/chart" uri="{CE6537A1-D6FC-4f65-9D91-7224C49458BB}"/>
                <c:ext xmlns:c16="http://schemas.microsoft.com/office/drawing/2014/chart" uri="{C3380CC4-5D6E-409C-BE32-E72D297353CC}">
                  <c16:uniqueId val="{00000005-D97D-4F83-9F1E-08F7E58082B7}"/>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市场分析!$B$13:$B$15</c:f>
              <c:strCache>
                <c:ptCount val="3"/>
                <c:pt idx="0">
                  <c:v>2018年</c:v>
                </c:pt>
                <c:pt idx="1">
                  <c:v>2019年</c:v>
                </c:pt>
                <c:pt idx="2">
                  <c:v>2020年</c:v>
                </c:pt>
              </c:strCache>
            </c:strRef>
          </c:cat>
          <c:val>
            <c:numRef>
              <c:f>市场分析!$F$13:$F$15</c:f>
              <c:numCache>
                <c:formatCode>General</c:formatCode>
                <c:ptCount val="3"/>
                <c:pt idx="0">
                  <c:v>30708</c:v>
                </c:pt>
                <c:pt idx="1">
                  <c:v>30708</c:v>
                </c:pt>
                <c:pt idx="2">
                  <c:v>30708</c:v>
                </c:pt>
              </c:numCache>
            </c:numRef>
          </c:val>
          <c:smooth val="0"/>
          <c:extLst>
            <c:ext xmlns:c16="http://schemas.microsoft.com/office/drawing/2014/chart" uri="{C3380CC4-5D6E-409C-BE32-E72D297353CC}">
              <c16:uniqueId val="{00000006-D97D-4F83-9F1E-08F7E58082B7}"/>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市场分析!$C$16</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市场分析!$B$17:$B$19</c:f>
              <c:strCache>
                <c:ptCount val="3"/>
                <c:pt idx="0">
                  <c:v>2018年</c:v>
                </c:pt>
                <c:pt idx="1">
                  <c:v>2019年</c:v>
                </c:pt>
                <c:pt idx="2">
                  <c:v>2020年</c:v>
                </c:pt>
              </c:strCache>
            </c:strRef>
          </c:cat>
          <c:val>
            <c:numRef>
              <c:f>市场分析!$C$17:$C$19</c:f>
              <c:numCache>
                <c:formatCode>0</c:formatCode>
                <c:ptCount val="3"/>
                <c:pt idx="0">
                  <c:v>37107.326999999997</c:v>
                </c:pt>
                <c:pt idx="1">
                  <c:v>38381.123</c:v>
                </c:pt>
                <c:pt idx="2">
                  <c:v>39755.722999999998</c:v>
                </c:pt>
              </c:numCache>
            </c:numRef>
          </c:val>
          <c:extLst>
            <c:ext xmlns:c16="http://schemas.microsoft.com/office/drawing/2014/chart" uri="{C3380CC4-5D6E-409C-BE32-E72D297353CC}">
              <c16:uniqueId val="{00000000-E980-4AD4-91B6-05B1F4B542E7}"/>
            </c:ext>
          </c:extLst>
        </c:ser>
        <c:ser>
          <c:idx val="1"/>
          <c:order val="1"/>
          <c:tx>
            <c:strRef>
              <c:f>市场分析!$D$16</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市场分析!$B$17:$B$19</c:f>
              <c:strCache>
                <c:ptCount val="3"/>
                <c:pt idx="0">
                  <c:v>2018年</c:v>
                </c:pt>
                <c:pt idx="1">
                  <c:v>2019年</c:v>
                </c:pt>
                <c:pt idx="2">
                  <c:v>2020年</c:v>
                </c:pt>
              </c:strCache>
            </c:strRef>
          </c:cat>
          <c:val>
            <c:numRef>
              <c:f>市场分析!$D$17:$D$19</c:f>
              <c:numCache>
                <c:formatCode>General</c:formatCode>
                <c:ptCount val="3"/>
                <c:pt idx="2">
                  <c:v>19622</c:v>
                </c:pt>
              </c:numCache>
            </c:numRef>
          </c:val>
          <c:extLst>
            <c:ext xmlns:c16="http://schemas.microsoft.com/office/drawing/2014/chart" uri="{C3380CC4-5D6E-409C-BE32-E72D297353CC}">
              <c16:uniqueId val="{00000001-E980-4AD4-91B6-05B1F4B542E7}"/>
            </c:ext>
          </c:extLst>
        </c:ser>
        <c:ser>
          <c:idx val="2"/>
          <c:order val="2"/>
          <c:tx>
            <c:strRef>
              <c:f>市场分析!$E$16</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市场分析!$B$17:$B$19</c:f>
              <c:strCache>
                <c:ptCount val="3"/>
                <c:pt idx="0">
                  <c:v>2018年</c:v>
                </c:pt>
                <c:pt idx="1">
                  <c:v>2019年</c:v>
                </c:pt>
                <c:pt idx="2">
                  <c:v>2020年</c:v>
                </c:pt>
              </c:strCache>
            </c:strRef>
          </c:cat>
          <c:val>
            <c:numRef>
              <c:f>市场分析!$E$17:$E$19</c:f>
              <c:numCache>
                <c:formatCode>General</c:formatCode>
                <c:ptCount val="3"/>
                <c:pt idx="0">
                  <c:v>40865</c:v>
                </c:pt>
                <c:pt idx="2" formatCode="0">
                  <c:v>70049</c:v>
                </c:pt>
              </c:numCache>
            </c:numRef>
          </c:val>
          <c:extLst>
            <c:ext xmlns:c16="http://schemas.microsoft.com/office/drawing/2014/chart" uri="{C3380CC4-5D6E-409C-BE32-E72D297353CC}">
              <c16:uniqueId val="{00000002-E980-4AD4-91B6-05B1F4B542E7}"/>
            </c:ext>
          </c:extLst>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市场分析!$F$16</c:f>
              <c:strCache>
                <c:ptCount val="1"/>
                <c:pt idx="0">
                  <c:v>苏州街</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E980-4AD4-91B6-05B1F4B542E7}"/>
                </c:ext>
              </c:extLst>
            </c:dLbl>
            <c:dLbl>
              <c:idx val="1"/>
              <c:layout>
                <c:manualLayout>
                  <c:x val="-8.2717872968980866E-2"/>
                  <c:y val="-4.8134771295403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80-4AD4-91B6-05B1F4B542E7}"/>
                </c:ext>
              </c:extLst>
            </c:dLbl>
            <c:dLbl>
              <c:idx val="2"/>
              <c:delete val="1"/>
              <c:extLst>
                <c:ext xmlns:c15="http://schemas.microsoft.com/office/drawing/2012/chart" uri="{CE6537A1-D6FC-4f65-9D91-7224C49458BB}"/>
                <c:ext xmlns:c16="http://schemas.microsoft.com/office/drawing/2014/chart" uri="{C3380CC4-5D6E-409C-BE32-E72D297353CC}">
                  <c16:uniqueId val="{00000005-E980-4AD4-91B6-05B1F4B542E7}"/>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市场分析!$B$17:$B$19</c:f>
              <c:strCache>
                <c:ptCount val="3"/>
                <c:pt idx="0">
                  <c:v>2018年</c:v>
                </c:pt>
                <c:pt idx="1">
                  <c:v>2019年</c:v>
                </c:pt>
                <c:pt idx="2">
                  <c:v>2020年</c:v>
                </c:pt>
              </c:strCache>
            </c:strRef>
          </c:cat>
          <c:val>
            <c:numRef>
              <c:f>市场分析!$F$17:$F$19</c:f>
              <c:numCache>
                <c:formatCode>General</c:formatCode>
                <c:ptCount val="3"/>
                <c:pt idx="0">
                  <c:v>79598</c:v>
                </c:pt>
                <c:pt idx="1">
                  <c:v>79598</c:v>
                </c:pt>
                <c:pt idx="2">
                  <c:v>79598</c:v>
                </c:pt>
              </c:numCache>
            </c:numRef>
          </c:val>
          <c:smooth val="0"/>
          <c:extLst>
            <c:ext xmlns:c16="http://schemas.microsoft.com/office/drawing/2014/chart" uri="{C3380CC4-5D6E-409C-BE32-E72D297353CC}">
              <c16:uniqueId val="{00000006-E980-4AD4-91B6-05B1F4B542E7}"/>
            </c:ext>
          </c:extLst>
        </c:ser>
        <c:dLbls>
          <c:showLegendKey val="0"/>
          <c:showVal val="1"/>
          <c:showCatName val="0"/>
          <c:showSerName val="0"/>
          <c:showPercent val="0"/>
          <c:showBubbleSize val="0"/>
        </c:dLbls>
        <c:marker val="1"/>
        <c:smooth val="0"/>
        <c:axId val="240260224"/>
        <c:axId val="240271360"/>
      </c:lineChart>
      <c:catAx>
        <c:axId val="240260224"/>
        <c:scaling>
          <c:orientation val="minMax"/>
        </c:scaling>
        <c:delete val="0"/>
        <c:axPos val="b"/>
        <c:numFmt formatCode="General" sourceLinked="0"/>
        <c:majorTickMark val="none"/>
        <c:minorTickMark val="none"/>
        <c:tickLblPos val="nextTo"/>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crossAx val="240260224"/>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D6-4361-8BE4-DE13CF92C0DD}"/>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D6-4361-8BE4-DE13CF92C0D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市场分析!$C$8:$C$10</c:f>
              <c:numCache>
                <c:formatCode>0</c:formatCode>
                <c:ptCount val="3"/>
                <c:pt idx="0">
                  <c:v>30205.002</c:v>
                </c:pt>
                <c:pt idx="1">
                  <c:v>30792.063999999998</c:v>
                </c:pt>
                <c:pt idx="2">
                  <c:v>30423.495000000003</c:v>
                </c:pt>
              </c:numCache>
            </c:numRef>
          </c:val>
          <c:extLst>
            <c:ext xmlns:c16="http://schemas.microsoft.com/office/drawing/2014/chart" uri="{C3380CC4-5D6E-409C-BE32-E72D297353CC}">
              <c16:uniqueId val="{00000002-F2D6-4361-8BE4-DE13CF92C0DD}"/>
            </c:ext>
          </c:extLst>
        </c:ser>
        <c:ser>
          <c:idx val="1"/>
          <c:order val="1"/>
          <c:tx>
            <c:strRef>
              <c:f>市场分析!$D$7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市场分析!$D$8:$D$10</c:f>
              <c:numCache>
                <c:formatCode>General</c:formatCode>
                <c:ptCount val="3"/>
                <c:pt idx="0" formatCode="0">
                  <c:v>20293</c:v>
                </c:pt>
                <c:pt idx="1">
                  <c:v>23694</c:v>
                </c:pt>
              </c:numCache>
            </c:numRef>
          </c:val>
          <c:extLst>
            <c:ext xmlns:c16="http://schemas.microsoft.com/office/drawing/2014/chart" uri="{C3380CC4-5D6E-409C-BE32-E72D297353CC}">
              <c16:uniqueId val="{00000003-F2D6-4361-8BE4-DE13CF92C0DD}"/>
            </c:ext>
          </c:extLst>
        </c:ser>
        <c:ser>
          <c:idx val="2"/>
          <c:order val="2"/>
          <c:tx>
            <c:strRef>
              <c:f>市场分析!$E$7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市场分析!$E$8:$E$10</c:f>
              <c:numCache>
                <c:formatCode>0</c:formatCode>
                <c:ptCount val="3"/>
                <c:pt idx="1">
                  <c:v>22423</c:v>
                </c:pt>
                <c:pt idx="2">
                  <c:v>31358</c:v>
                </c:pt>
              </c:numCache>
            </c:numRef>
          </c:val>
          <c:extLst>
            <c:ext xmlns:c16="http://schemas.microsoft.com/office/drawing/2014/chart" uri="{C3380CC4-5D6E-409C-BE32-E72D297353CC}">
              <c16:uniqueId val="{00000004-F2D6-4361-8BE4-DE13CF92C0DD}"/>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市场分析!$F$7</c:f>
              <c:strCache>
                <c:ptCount val="1"/>
                <c:pt idx="0">
                  <c:v>苏州街</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D6-4361-8BE4-DE13CF92C0DD}"/>
                </c:ext>
              </c:extLst>
            </c:dLbl>
            <c:dLbl>
              <c:idx val="1"/>
              <c:delete val="1"/>
              <c:extLst>
                <c:ext xmlns:c15="http://schemas.microsoft.com/office/drawing/2012/chart" uri="{CE6537A1-D6FC-4f65-9D91-7224C49458BB}"/>
                <c:ext xmlns:c16="http://schemas.microsoft.com/office/drawing/2014/chart" uri="{C3380CC4-5D6E-409C-BE32-E72D297353CC}">
                  <c16:uniqueId val="{00000006-F2D6-4361-8BE4-DE13CF92C0DD}"/>
                </c:ext>
              </c:extLst>
            </c:dLbl>
            <c:dLbl>
              <c:idx val="2"/>
              <c:delete val="1"/>
              <c:extLst>
                <c:ext xmlns:c15="http://schemas.microsoft.com/office/drawing/2012/chart" uri="{CE6537A1-D6FC-4f65-9D91-7224C49458BB}"/>
                <c:ext xmlns:c16="http://schemas.microsoft.com/office/drawing/2014/chart" uri="{C3380CC4-5D6E-409C-BE32-E72D297353CC}">
                  <c16:uniqueId val="{00000007-F2D6-4361-8BE4-DE13CF92C0DD}"/>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市场分析!$F$8:$F$10</c:f>
              <c:numCache>
                <c:formatCode>General</c:formatCode>
                <c:ptCount val="3"/>
                <c:pt idx="0">
                  <c:v>30853</c:v>
                </c:pt>
                <c:pt idx="1">
                  <c:v>30853</c:v>
                </c:pt>
                <c:pt idx="2">
                  <c:v>30853</c:v>
                </c:pt>
              </c:numCache>
            </c:numRef>
          </c:val>
          <c:smooth val="0"/>
          <c:extLst>
            <c:ext xmlns:c16="http://schemas.microsoft.com/office/drawing/2014/chart" uri="{C3380CC4-5D6E-409C-BE32-E72D297353CC}">
              <c16:uniqueId val="{00000008-F2D6-4361-8BE4-DE13CF92C0DD}"/>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3D101-ACE8-4114-8252-7F0ECCA3C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271</Pages>
  <Words>25641</Words>
  <Characters>146154</Characters>
  <Application>Microsoft Office Word</Application>
  <DocSecurity>0</DocSecurity>
  <Lines>1217</Lines>
  <Paragraphs>342</Paragraphs>
  <ScaleCrop>false</ScaleCrop>
  <Company/>
  <LinksUpToDate>false</LinksUpToDate>
  <CharactersWithSpaces>171453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 英</dc:creator>
  <cp:keywords/>
  <dc:description/>
  <cp:lastModifiedBy>KG</cp:lastModifiedBy>
  <cp:revision>25</cp:revision>
  <cp:lastPrinted>2021-12-01T02:24:00Z</cp:lastPrinted>
  <dcterms:created xsi:type="dcterms:W3CDTF">2021-11-25T08:39:00Z</dcterms:created>
  <dcterms:modified xsi:type="dcterms:W3CDTF">2021-12-01T02:25:00Z</dcterms:modified>
</cp:coreProperties>
</file>