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Override PartName="/word/theme/themeOverride2.xml" ContentType="application/vnd.openxmlformats-officedocument.themeOverrid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6C39CDC">
      <w:pPr>
        <w:spacing w:line="300" w:lineRule="exact"/>
        <w:jc w:val="center"/>
        <w:rPr>
          <w:rFonts w:ascii="Arial" w:hAnsi="Arial" w:cs="Arial"/>
        </w:rPr>
      </w:pPr>
    </w:p>
    <w:p w14:paraId="01971C02">
      <w:pPr>
        <w:spacing w:line="300" w:lineRule="exact"/>
        <w:rPr>
          <w:rFonts w:ascii="Arial" w:hAnsi="Arial" w:cs="Arial"/>
        </w:rPr>
      </w:pPr>
    </w:p>
    <w:p w14:paraId="25E43D1A">
      <w:pPr>
        <w:spacing w:line="300" w:lineRule="exact"/>
        <w:rPr>
          <w:rFonts w:ascii="Arial" w:hAnsi="Arial" w:cs="Arial"/>
        </w:rPr>
      </w:pPr>
    </w:p>
    <w:p w14:paraId="56F8E257">
      <w:pPr>
        <w:spacing w:line="300" w:lineRule="exact"/>
        <w:rPr>
          <w:rFonts w:ascii="Arial" w:hAnsi="Arial" w:cs="Arial"/>
        </w:rPr>
      </w:pPr>
    </w:p>
    <w:p w14:paraId="16A0CB59">
      <w:pPr>
        <w:spacing w:line="300" w:lineRule="exact"/>
        <w:rPr>
          <w:rFonts w:ascii="Arial" w:hAnsi="Arial" w:cs="Arial"/>
        </w:rPr>
      </w:pPr>
    </w:p>
    <w:p w14:paraId="1343BBA2">
      <w:pPr>
        <w:snapToGrid w:val="0"/>
        <w:spacing w:line="360" w:lineRule="auto"/>
        <w:jc w:val="center"/>
        <w:rPr>
          <w:rFonts w:ascii="Arial" w:hAnsi="Arial"/>
          <w:sz w:val="52"/>
          <w:szCs w:val="52"/>
        </w:rPr>
      </w:pPr>
    </w:p>
    <w:p w14:paraId="3AD71117">
      <w:pPr>
        <w:snapToGrid w:val="0"/>
        <w:spacing w:line="360" w:lineRule="auto"/>
        <w:jc w:val="center"/>
        <w:rPr>
          <w:rFonts w:ascii="Arial" w:hAnsi="Arial"/>
          <w:sz w:val="52"/>
          <w:szCs w:val="52"/>
        </w:rPr>
      </w:pPr>
    </w:p>
    <w:p w14:paraId="330A2013">
      <w:pPr>
        <w:snapToGrid w:val="0"/>
        <w:spacing w:line="360" w:lineRule="auto"/>
        <w:jc w:val="center"/>
        <w:rPr>
          <w:rFonts w:ascii="Arial" w:hAnsi="Arial"/>
          <w:sz w:val="52"/>
          <w:szCs w:val="52"/>
        </w:rPr>
      </w:pPr>
      <w:r>
        <w:rPr>
          <w:rFonts w:ascii="Arial" w:hAnsi="Arial"/>
          <w:sz w:val="52"/>
          <w:szCs w:val="52"/>
        </w:rPr>
        <w:t>房地产估价报告</w:t>
      </w:r>
    </w:p>
    <w:p w14:paraId="19719B19">
      <w:pPr>
        <w:spacing w:line="300" w:lineRule="exact"/>
        <w:rPr>
          <w:rFonts w:ascii="Arial" w:hAnsi="Arial"/>
        </w:rPr>
      </w:pPr>
    </w:p>
    <w:p w14:paraId="67FE43A2">
      <w:pPr>
        <w:spacing w:line="300" w:lineRule="exact"/>
        <w:rPr>
          <w:rFonts w:ascii="Arial" w:hAnsi="Arial"/>
        </w:rPr>
      </w:pPr>
    </w:p>
    <w:p w14:paraId="2B58D554">
      <w:pPr>
        <w:spacing w:line="300" w:lineRule="exact"/>
        <w:rPr>
          <w:rFonts w:ascii="Arial" w:hAnsi="Arial"/>
        </w:rPr>
      </w:pPr>
    </w:p>
    <w:p w14:paraId="58352341">
      <w:pPr>
        <w:spacing w:line="300" w:lineRule="exact"/>
        <w:rPr>
          <w:rFonts w:ascii="Arial" w:hAnsi="Arial" w:cs="Arial"/>
        </w:rPr>
      </w:pPr>
    </w:p>
    <w:p w14:paraId="23DABD46">
      <w:pPr>
        <w:spacing w:line="300" w:lineRule="exact"/>
        <w:rPr>
          <w:rFonts w:ascii="Arial" w:hAnsi="Arial" w:cs="Arial"/>
        </w:rPr>
      </w:pPr>
    </w:p>
    <w:p w14:paraId="344FD93C">
      <w:pPr>
        <w:spacing w:line="300" w:lineRule="exact"/>
        <w:rPr>
          <w:rFonts w:ascii="Arial" w:hAnsi="Arial" w:cs="Arial"/>
        </w:rPr>
      </w:pPr>
    </w:p>
    <w:p w14:paraId="3AB2BCA1">
      <w:pPr>
        <w:spacing w:line="300" w:lineRule="exact"/>
        <w:rPr>
          <w:rFonts w:ascii="Arial" w:hAnsi="Arial" w:cs="Arial"/>
        </w:rPr>
      </w:pPr>
    </w:p>
    <w:p w14:paraId="6226D4F5">
      <w:pPr>
        <w:spacing w:line="300" w:lineRule="exact"/>
        <w:rPr>
          <w:rFonts w:ascii="Arial" w:hAnsi="Arial" w:cs="Arial"/>
        </w:rPr>
      </w:pPr>
    </w:p>
    <w:p w14:paraId="31A1020C">
      <w:pPr>
        <w:spacing w:line="300" w:lineRule="exact"/>
        <w:rPr>
          <w:rFonts w:ascii="Arial" w:hAnsi="Arial" w:cs="Arial"/>
        </w:rPr>
      </w:pPr>
    </w:p>
    <w:p w14:paraId="443918FA">
      <w:pPr>
        <w:spacing w:line="300" w:lineRule="exact"/>
        <w:rPr>
          <w:rFonts w:ascii="Arial" w:hAnsi="Arial" w:cs="Arial"/>
        </w:rPr>
      </w:pPr>
    </w:p>
    <w:p w14:paraId="2B41ECFB">
      <w:pPr>
        <w:spacing w:line="300" w:lineRule="exact"/>
        <w:rPr>
          <w:rFonts w:ascii="Arial" w:hAnsi="Arial" w:cs="Arial"/>
        </w:rPr>
      </w:pPr>
    </w:p>
    <w:p w14:paraId="44BF2740">
      <w:pPr>
        <w:spacing w:line="300" w:lineRule="exact"/>
        <w:rPr>
          <w:rFonts w:ascii="Arial" w:hAnsi="Arial" w:cs="Arial"/>
        </w:rPr>
      </w:pPr>
    </w:p>
    <w:p w14:paraId="5D72590D">
      <w:pPr>
        <w:spacing w:line="300" w:lineRule="exact"/>
        <w:rPr>
          <w:rFonts w:ascii="Arial" w:hAnsi="Arial" w:cs="Arial"/>
        </w:rPr>
      </w:pPr>
    </w:p>
    <w:p w14:paraId="27EDB03D">
      <w:pPr>
        <w:pStyle w:val="264"/>
        <w:numPr>
          <w:ilvl w:val="0"/>
          <w:numId w:val="4"/>
        </w:numPr>
        <w:spacing w:line="300" w:lineRule="exact"/>
        <w:ind w:right="-93"/>
        <w:jc w:val="both"/>
        <w:outlineLvl w:val="0"/>
        <w:rPr>
          <w:rFonts w:ascii="Arial" w:hAnsi="Arial" w:eastAsia="方正黑体简体" w:cs="Arial"/>
          <w:b/>
          <w:bCs/>
          <w:sz w:val="21"/>
          <w:szCs w:val="21"/>
        </w:rPr>
      </w:pPr>
      <w:r>
        <w:rPr>
          <w:rFonts w:ascii="Arial" w:hAnsi="Arial" w:eastAsia="方正黑体简体" w:cs="Arial"/>
          <w:b/>
          <w:bCs/>
          <w:sz w:val="21"/>
          <w:szCs w:val="21"/>
        </w:rPr>
        <w:t>估价项目名称：</w:t>
      </w:r>
    </w:p>
    <w:p w14:paraId="40D1DEC4">
      <w:pPr>
        <w:pStyle w:val="264"/>
        <w:spacing w:line="300" w:lineRule="exact"/>
        <w:ind w:left="360" w:firstLine="0"/>
        <w:jc w:val="both"/>
        <w:rPr>
          <w:rFonts w:ascii="Arial" w:hAnsi="Arial" w:eastAsia="方正黑体简体" w:cs="Arial"/>
          <w:sz w:val="21"/>
          <w:szCs w:val="21"/>
        </w:rPr>
      </w:pPr>
      <w:r>
        <w:rPr>
          <w:rFonts w:ascii="Arial" w:hAnsi="Arial" w:eastAsia="方正黑体简体" w:cs="Arial"/>
          <w:sz w:val="21"/>
          <w:szCs w:val="21"/>
        </w:rPr>
        <w:t>北京经济技术开发区科创十一街4号院</w:t>
      </w:r>
      <w:r>
        <w:rPr>
          <w:rFonts w:hint="eastAsia" w:ascii="Arial" w:hAnsi="Arial" w:eastAsia="方正黑体简体" w:cs="Arial"/>
          <w:sz w:val="21"/>
          <w:szCs w:val="21"/>
        </w:rPr>
        <w:t>5、</w:t>
      </w:r>
      <w:r>
        <w:rPr>
          <w:rFonts w:ascii="Arial" w:hAnsi="Arial" w:eastAsia="方正黑体简体" w:cs="Arial"/>
          <w:sz w:val="21"/>
          <w:szCs w:val="21"/>
        </w:rPr>
        <w:t>10号楼（</w:t>
      </w:r>
      <w:bookmarkStart w:id="0" w:name="_Hlk155624358"/>
      <w:r>
        <w:rPr>
          <w:rFonts w:ascii="Arial" w:hAnsi="Arial" w:eastAsia="方正黑体简体" w:cs="Arial"/>
          <w:sz w:val="21"/>
          <w:szCs w:val="21"/>
        </w:rPr>
        <w:t>E18亦城景园</w:t>
      </w:r>
      <w:r>
        <w:rPr>
          <w:rFonts w:hint="eastAsia" w:ascii="Arial" w:hAnsi="Arial" w:eastAsia="方正黑体简体" w:cs="Arial"/>
          <w:sz w:val="21"/>
          <w:szCs w:val="21"/>
        </w:rPr>
        <w:t>国际人才公寓</w:t>
      </w:r>
      <w:bookmarkEnd w:id="0"/>
      <w:r>
        <w:rPr>
          <w:rFonts w:ascii="Arial" w:hAnsi="Arial" w:eastAsia="方正黑体简体" w:cs="Arial"/>
          <w:sz w:val="21"/>
          <w:szCs w:val="21"/>
        </w:rPr>
        <w:t>）共</w:t>
      </w:r>
      <w:r>
        <w:rPr>
          <w:rFonts w:hint="eastAsia" w:ascii="Arial" w:hAnsi="Arial" w:eastAsia="方正黑体简体" w:cs="Arial"/>
          <w:sz w:val="21"/>
          <w:szCs w:val="21"/>
        </w:rPr>
        <w:t>516</w:t>
      </w:r>
      <w:r>
        <w:rPr>
          <w:rFonts w:ascii="Arial" w:hAnsi="Arial" w:eastAsia="方正黑体简体" w:cs="Arial"/>
          <w:sz w:val="21"/>
          <w:szCs w:val="21"/>
        </w:rPr>
        <w:t>套公共租赁住房</w:t>
      </w:r>
      <w:r>
        <w:rPr>
          <w:rFonts w:hint="eastAsia" w:ascii="Arial" w:hAnsi="Arial" w:eastAsia="方正黑体简体" w:cs="Arial"/>
          <w:sz w:val="21"/>
          <w:szCs w:val="21"/>
        </w:rPr>
        <w:t>项目</w:t>
      </w:r>
      <w:r>
        <w:rPr>
          <w:rFonts w:ascii="Arial" w:hAnsi="Arial" w:eastAsia="方正黑体简体" w:cs="Arial"/>
          <w:sz w:val="21"/>
          <w:szCs w:val="21"/>
        </w:rPr>
        <w:t>市场租金评估</w:t>
      </w:r>
    </w:p>
    <w:p w14:paraId="16B74B42">
      <w:pPr>
        <w:spacing w:line="300" w:lineRule="exact"/>
        <w:rPr>
          <w:rFonts w:ascii="Arial" w:hAnsi="Arial" w:eastAsia="方正黑体简体" w:cs="Arial"/>
          <w:b/>
          <w:bCs/>
          <w:sz w:val="21"/>
          <w:szCs w:val="21"/>
        </w:rPr>
      </w:pPr>
    </w:p>
    <w:p w14:paraId="5CF01AEE">
      <w:pPr>
        <w:pStyle w:val="264"/>
        <w:numPr>
          <w:ilvl w:val="0"/>
          <w:numId w:val="4"/>
        </w:numPr>
        <w:spacing w:line="300" w:lineRule="exact"/>
        <w:jc w:val="both"/>
        <w:outlineLvl w:val="0"/>
        <w:rPr>
          <w:rFonts w:ascii="Arial" w:hAnsi="Arial" w:eastAsia="方正黑体简体" w:cs="Arial"/>
          <w:b/>
          <w:sz w:val="21"/>
          <w:szCs w:val="21"/>
        </w:rPr>
      </w:pPr>
      <w:r>
        <w:rPr>
          <w:rFonts w:ascii="Arial" w:hAnsi="Arial" w:eastAsia="方正黑体简体" w:cs="Arial"/>
          <w:b/>
          <w:sz w:val="21"/>
          <w:szCs w:val="21"/>
        </w:rPr>
        <w:t>估价委托人：</w:t>
      </w:r>
    </w:p>
    <w:p w14:paraId="0A4AF9AD">
      <w:pPr>
        <w:pStyle w:val="264"/>
        <w:spacing w:line="300" w:lineRule="exact"/>
        <w:ind w:left="360" w:firstLine="0"/>
        <w:jc w:val="both"/>
        <w:rPr>
          <w:rFonts w:ascii="Arial" w:hAnsi="Arial" w:eastAsia="方正黑体简体" w:cs="Arial"/>
          <w:sz w:val="21"/>
          <w:szCs w:val="21"/>
        </w:rPr>
      </w:pPr>
      <w:r>
        <w:rPr>
          <w:rFonts w:ascii="Arial" w:hAnsi="Arial" w:eastAsia="方正黑体简体" w:cs="Arial"/>
          <w:sz w:val="21"/>
          <w:szCs w:val="21"/>
        </w:rPr>
        <w:t>北京博大新元房地产开发有限公司</w:t>
      </w:r>
    </w:p>
    <w:p w14:paraId="0526CAD1">
      <w:pPr>
        <w:pStyle w:val="264"/>
        <w:spacing w:line="300" w:lineRule="exact"/>
        <w:ind w:left="360" w:firstLine="0"/>
        <w:jc w:val="both"/>
        <w:rPr>
          <w:rFonts w:ascii="Arial" w:hAnsi="Arial" w:eastAsia="方正黑体简体" w:cs="Arial"/>
          <w:sz w:val="21"/>
          <w:szCs w:val="21"/>
        </w:rPr>
      </w:pPr>
    </w:p>
    <w:p w14:paraId="5F16E028">
      <w:pPr>
        <w:pStyle w:val="264"/>
        <w:numPr>
          <w:ilvl w:val="0"/>
          <w:numId w:val="4"/>
        </w:numPr>
        <w:spacing w:line="300" w:lineRule="exact"/>
        <w:jc w:val="both"/>
        <w:outlineLvl w:val="0"/>
        <w:rPr>
          <w:rFonts w:ascii="Arial" w:hAnsi="Arial" w:eastAsia="方正黑体简体" w:cs="Arial"/>
          <w:b/>
          <w:sz w:val="21"/>
          <w:szCs w:val="21"/>
        </w:rPr>
      </w:pPr>
      <w:r>
        <w:rPr>
          <w:rFonts w:ascii="Arial" w:hAnsi="Arial" w:eastAsia="方正黑体简体" w:cs="Arial"/>
          <w:b/>
          <w:sz w:val="21"/>
          <w:szCs w:val="21"/>
        </w:rPr>
        <w:t>房地产估价机构：</w:t>
      </w:r>
    </w:p>
    <w:p w14:paraId="51AC9D90">
      <w:pPr>
        <w:pStyle w:val="264"/>
        <w:spacing w:line="300" w:lineRule="exact"/>
        <w:ind w:left="360" w:firstLine="0"/>
        <w:jc w:val="both"/>
        <w:rPr>
          <w:rFonts w:ascii="Arial" w:hAnsi="Arial" w:eastAsia="方正黑体简体" w:cs="Arial"/>
          <w:sz w:val="21"/>
          <w:szCs w:val="21"/>
        </w:rPr>
      </w:pPr>
      <w:r>
        <w:rPr>
          <w:rFonts w:ascii="Arial" w:hAnsi="Arial" w:eastAsia="方正黑体简体" w:cs="Arial"/>
          <w:sz w:val="21"/>
          <w:szCs w:val="21"/>
        </w:rPr>
        <w:t>北京康正宏基房地产评估有限公司</w:t>
      </w:r>
    </w:p>
    <w:p w14:paraId="6B659F83">
      <w:pPr>
        <w:spacing w:line="300" w:lineRule="exact"/>
        <w:jc w:val="both"/>
        <w:rPr>
          <w:rFonts w:ascii="Arial" w:hAnsi="Arial" w:eastAsia="方正黑体简体" w:cs="Arial"/>
          <w:b/>
          <w:sz w:val="21"/>
          <w:szCs w:val="21"/>
        </w:rPr>
      </w:pPr>
    </w:p>
    <w:p w14:paraId="5FADC052">
      <w:pPr>
        <w:pStyle w:val="264"/>
        <w:numPr>
          <w:ilvl w:val="0"/>
          <w:numId w:val="4"/>
        </w:numPr>
        <w:spacing w:line="300" w:lineRule="exact"/>
        <w:jc w:val="both"/>
        <w:outlineLvl w:val="0"/>
        <w:rPr>
          <w:rFonts w:ascii="Arial" w:hAnsi="Arial" w:eastAsia="方正黑体简体" w:cs="Arial"/>
          <w:b/>
          <w:sz w:val="21"/>
          <w:szCs w:val="21"/>
        </w:rPr>
      </w:pPr>
      <w:r>
        <w:rPr>
          <w:rFonts w:ascii="Arial" w:hAnsi="Arial" w:eastAsia="方正黑体简体" w:cs="Arial"/>
          <w:b/>
          <w:sz w:val="21"/>
          <w:szCs w:val="21"/>
        </w:rPr>
        <w:t>注册房地产估价师：</w:t>
      </w:r>
    </w:p>
    <w:p w14:paraId="5CFCA5A5">
      <w:pPr>
        <w:pStyle w:val="264"/>
        <w:spacing w:line="300" w:lineRule="exact"/>
        <w:ind w:left="360" w:firstLine="0"/>
        <w:jc w:val="both"/>
        <w:rPr>
          <w:rFonts w:ascii="Arial" w:hAnsi="Arial" w:eastAsia="方正黑体简体" w:cs="Arial"/>
          <w:sz w:val="21"/>
          <w:szCs w:val="21"/>
        </w:rPr>
      </w:pPr>
      <w:r>
        <w:rPr>
          <w:rFonts w:ascii="Arial" w:hAnsi="Arial" w:eastAsia="方正黑体简体" w:cs="Arial"/>
          <w:sz w:val="21"/>
          <w:szCs w:val="21"/>
        </w:rPr>
        <w:t>高</w:t>
      </w:r>
      <w:r>
        <w:rPr>
          <w:rFonts w:ascii="Arial" w:hAnsi="Arial" w:eastAsia="Arial" w:cs="Arial"/>
          <w:sz w:val="21"/>
          <w:szCs w:val="21"/>
        </w:rPr>
        <w:t xml:space="preserve"> </w:t>
      </w:r>
      <w:r>
        <w:rPr>
          <w:rFonts w:ascii="Arial" w:hAnsi="Arial" w:eastAsia="方正黑体简体" w:cs="Arial"/>
          <w:sz w:val="21"/>
          <w:szCs w:val="21"/>
        </w:rPr>
        <w:t>鹏（注册号：1120140024）、许皓源（注册号：1119980019）</w:t>
      </w:r>
    </w:p>
    <w:p w14:paraId="19F7A3E3">
      <w:pPr>
        <w:spacing w:line="300" w:lineRule="exact"/>
        <w:jc w:val="both"/>
        <w:rPr>
          <w:rFonts w:ascii="Arial" w:hAnsi="Arial" w:eastAsia="方正黑体简体" w:cs="Arial"/>
          <w:b/>
          <w:sz w:val="21"/>
          <w:szCs w:val="21"/>
        </w:rPr>
      </w:pPr>
    </w:p>
    <w:p w14:paraId="26D3AA9B">
      <w:pPr>
        <w:pStyle w:val="264"/>
        <w:numPr>
          <w:ilvl w:val="0"/>
          <w:numId w:val="4"/>
        </w:numPr>
        <w:spacing w:line="300" w:lineRule="exact"/>
        <w:jc w:val="both"/>
        <w:outlineLvl w:val="0"/>
        <w:rPr>
          <w:rFonts w:ascii="Arial" w:hAnsi="Arial" w:eastAsia="方正黑体简体" w:cs="Arial"/>
          <w:b/>
          <w:sz w:val="21"/>
          <w:szCs w:val="21"/>
        </w:rPr>
      </w:pPr>
      <w:r>
        <w:rPr>
          <w:rFonts w:ascii="Arial" w:hAnsi="Arial" w:eastAsia="方正黑体简体" w:cs="Arial"/>
          <w:b/>
          <w:sz w:val="21"/>
          <w:szCs w:val="21"/>
        </w:rPr>
        <w:t>估价报告出具日期：</w:t>
      </w:r>
    </w:p>
    <w:p w14:paraId="29505E2D">
      <w:pPr>
        <w:pStyle w:val="264"/>
        <w:spacing w:line="300" w:lineRule="exact"/>
        <w:ind w:left="360" w:firstLine="0"/>
        <w:jc w:val="both"/>
        <w:rPr>
          <w:rFonts w:ascii="Arial" w:hAnsi="Arial" w:eastAsia="方正黑体简体" w:cs="Arial"/>
          <w:sz w:val="21"/>
          <w:szCs w:val="21"/>
        </w:rPr>
      </w:pPr>
      <w:r>
        <w:rPr>
          <w:rFonts w:ascii="Arial" w:hAnsi="Arial" w:eastAsia="方正黑体简体" w:cs="Arial"/>
          <w:sz w:val="21"/>
          <w:szCs w:val="21"/>
        </w:rPr>
        <w:t>202</w:t>
      </w:r>
      <w:r>
        <w:rPr>
          <w:rFonts w:hint="eastAsia" w:ascii="Arial" w:hAnsi="Arial" w:eastAsia="方正黑体简体" w:cs="Arial"/>
          <w:sz w:val="21"/>
          <w:szCs w:val="21"/>
        </w:rPr>
        <w:t>5</w:t>
      </w:r>
      <w:r>
        <w:rPr>
          <w:rFonts w:ascii="Arial" w:hAnsi="Arial" w:eastAsia="方正黑体简体" w:cs="Arial"/>
          <w:sz w:val="21"/>
          <w:szCs w:val="21"/>
        </w:rPr>
        <w:t>年</w:t>
      </w:r>
      <w:r>
        <w:rPr>
          <w:rFonts w:hint="eastAsia" w:ascii="Arial" w:hAnsi="Arial" w:eastAsia="方正黑体简体" w:cs="Arial"/>
          <w:sz w:val="21"/>
          <w:szCs w:val="21"/>
        </w:rPr>
        <w:t>11</w:t>
      </w:r>
      <w:r>
        <w:rPr>
          <w:rFonts w:ascii="Arial" w:hAnsi="Arial" w:eastAsia="方正黑体简体" w:cs="Arial"/>
          <w:sz w:val="21"/>
          <w:szCs w:val="21"/>
        </w:rPr>
        <w:t>月</w:t>
      </w:r>
      <w:r>
        <w:rPr>
          <w:rFonts w:hint="eastAsia" w:ascii="Arial" w:hAnsi="Arial" w:eastAsia="方正黑体简体" w:cs="Arial"/>
          <w:sz w:val="21"/>
          <w:szCs w:val="21"/>
        </w:rPr>
        <w:t>1</w:t>
      </w:r>
      <w:r>
        <w:rPr>
          <w:rFonts w:ascii="Arial" w:hAnsi="Arial" w:eastAsia="方正黑体简体" w:cs="Arial"/>
          <w:sz w:val="21"/>
          <w:szCs w:val="21"/>
        </w:rPr>
        <w:t>日</w:t>
      </w:r>
    </w:p>
    <w:p w14:paraId="4E803B3F">
      <w:pPr>
        <w:spacing w:line="300" w:lineRule="exact"/>
        <w:jc w:val="both"/>
        <w:rPr>
          <w:rFonts w:ascii="Arial" w:hAnsi="Arial" w:eastAsia="方正黑体简体" w:cs="Arial"/>
          <w:b/>
          <w:sz w:val="21"/>
          <w:szCs w:val="21"/>
        </w:rPr>
      </w:pPr>
    </w:p>
    <w:p w14:paraId="369B1BEA">
      <w:pPr>
        <w:pStyle w:val="264"/>
        <w:numPr>
          <w:ilvl w:val="0"/>
          <w:numId w:val="4"/>
        </w:numPr>
        <w:spacing w:line="300" w:lineRule="exact"/>
        <w:jc w:val="both"/>
        <w:outlineLvl w:val="0"/>
        <w:rPr>
          <w:rFonts w:ascii="Arial" w:hAnsi="Arial" w:eastAsia="方正黑体简体" w:cs="Arial"/>
          <w:sz w:val="21"/>
          <w:szCs w:val="21"/>
        </w:rPr>
      </w:pPr>
      <w:r>
        <w:rPr>
          <w:rFonts w:ascii="Arial" w:hAnsi="Arial" w:eastAsia="方正黑体简体" w:cs="Arial"/>
          <w:b/>
          <w:sz w:val="21"/>
          <w:szCs w:val="21"/>
        </w:rPr>
        <w:t>估价报告编号：</w:t>
      </w:r>
    </w:p>
    <w:p w14:paraId="6834F5D0">
      <w:pPr>
        <w:pStyle w:val="264"/>
        <w:spacing w:line="300" w:lineRule="exact"/>
        <w:ind w:left="360" w:firstLine="0"/>
        <w:jc w:val="both"/>
        <w:rPr>
          <w:rFonts w:ascii="Arial" w:hAnsi="Arial" w:eastAsia="方正黑体简体" w:cs="Arial"/>
          <w:sz w:val="21"/>
          <w:szCs w:val="21"/>
        </w:rPr>
        <w:sectPr>
          <w:headerReference r:id="rId8" w:type="first"/>
          <w:footerReference r:id="rId10" w:type="first"/>
          <w:headerReference r:id="rId7" w:type="default"/>
          <w:footerReference r:id="rId9" w:type="default"/>
          <w:pgSz w:w="11906" w:h="16838"/>
          <w:pgMar w:top="1843" w:right="1134" w:bottom="1190" w:left="1474" w:header="850" w:footer="1134" w:gutter="0"/>
          <w:cols w:space="720" w:num="1"/>
          <w:formProt w:val="0"/>
          <w:titlePg/>
          <w:docGrid w:linePitch="326" w:charSpace="0"/>
        </w:sectPr>
      </w:pPr>
      <w:r>
        <w:rPr>
          <w:rFonts w:ascii="Arial" w:hAnsi="Arial" w:eastAsia="方正黑体简体" w:cs="Arial"/>
          <w:sz w:val="21"/>
          <w:szCs w:val="21"/>
        </w:rPr>
        <w:t>康正评字</w:t>
      </w:r>
      <w:r>
        <w:rPr>
          <w:rFonts w:ascii="Arial" w:hAnsi="Arial" w:eastAsia="方正黑体简体" w:cs="Arial"/>
          <w:sz w:val="21"/>
          <w:szCs w:val="21"/>
        </w:rPr>
        <w:tab/>
      </w:r>
      <w:r>
        <w:rPr>
          <w:rFonts w:ascii="Arial" w:hAnsi="Arial" w:eastAsia="方正黑体简体" w:cs="Arial"/>
          <w:sz w:val="21"/>
          <w:szCs w:val="21"/>
        </w:rPr>
        <w:t>202</w:t>
      </w:r>
      <w:r>
        <w:rPr>
          <w:rFonts w:hint="eastAsia" w:ascii="Arial" w:hAnsi="Arial" w:eastAsia="方正黑体简体" w:cs="Arial"/>
          <w:sz w:val="21"/>
          <w:szCs w:val="21"/>
        </w:rPr>
        <w:t>5</w:t>
      </w:r>
      <w:r>
        <w:rPr>
          <w:rFonts w:ascii="Arial" w:hAnsi="Arial" w:eastAsia="方正黑体简体" w:cs="Arial"/>
          <w:sz w:val="21"/>
          <w:szCs w:val="21"/>
        </w:rPr>
        <w:t>-1-0</w:t>
      </w:r>
      <w:r>
        <w:rPr>
          <w:rFonts w:hint="eastAsia" w:ascii="Arial" w:hAnsi="Arial" w:eastAsia="方正黑体简体" w:cs="Arial"/>
          <w:sz w:val="21"/>
          <w:szCs w:val="21"/>
        </w:rPr>
        <w:t>801</w:t>
      </w:r>
      <w:r>
        <w:rPr>
          <w:rFonts w:ascii="Arial" w:hAnsi="Arial" w:eastAsia="方正黑体简体" w:cs="Arial"/>
          <w:sz w:val="21"/>
          <w:szCs w:val="21"/>
        </w:rPr>
        <w:t>-F01ZLGJ6号</w:t>
      </w:r>
    </w:p>
    <w:p w14:paraId="4898226F">
      <w:pPr>
        <w:pStyle w:val="2"/>
        <w:spacing w:line="360" w:lineRule="auto"/>
        <w:jc w:val="center"/>
        <w:rPr>
          <w:rFonts w:eastAsia="方正黑体简体"/>
          <w:b w:val="0"/>
          <w:color w:val="000000"/>
          <w:kern w:val="2"/>
          <w:sz w:val="32"/>
          <w:szCs w:val="32"/>
        </w:rPr>
      </w:pPr>
      <w:bookmarkStart w:id="1" w:name="_Toc155340478"/>
      <w:r>
        <w:rPr>
          <w:rFonts w:eastAsia="方正黑体简体"/>
          <w:b w:val="0"/>
          <w:color w:val="000000"/>
          <w:kern w:val="2"/>
          <w:sz w:val="32"/>
          <w:szCs w:val="32"/>
        </w:rPr>
        <w:t>致估价委托人函</w:t>
      </w:r>
      <w:bookmarkEnd w:id="1"/>
    </w:p>
    <w:p w14:paraId="58B79960">
      <w:pPr>
        <w:overflowPunct w:val="0"/>
        <w:spacing w:before="120" w:line="480" w:lineRule="auto"/>
        <w:jc w:val="both"/>
        <w:textAlignment w:val="auto"/>
        <w:rPr>
          <w:rFonts w:ascii="Arial" w:hAnsi="Arial" w:cs="Arial"/>
          <w:b/>
          <w:bCs/>
          <w:sz w:val="21"/>
          <w:szCs w:val="21"/>
        </w:rPr>
      </w:pPr>
      <w:r>
        <w:rPr>
          <w:rFonts w:ascii="Arial" w:hAnsi="Arial" w:cs="Arial"/>
          <w:b/>
          <w:bCs/>
          <w:sz w:val="21"/>
          <w:szCs w:val="21"/>
        </w:rPr>
        <w:t>北京博大新元房地产开发有限公司：</w:t>
      </w:r>
    </w:p>
    <w:p w14:paraId="14171C91">
      <w:pPr>
        <w:overflowPunct w:val="0"/>
        <w:spacing w:line="480" w:lineRule="auto"/>
        <w:ind w:firstLine="420"/>
        <w:jc w:val="both"/>
        <w:textAlignment w:val="auto"/>
        <w:rPr>
          <w:rFonts w:ascii="Arial" w:hAnsi="Arial" w:cs="Arial"/>
          <w:sz w:val="21"/>
          <w:szCs w:val="21"/>
        </w:rPr>
      </w:pPr>
      <w:r>
        <w:rPr>
          <w:rFonts w:ascii="Arial" w:hAnsi="Arial" w:cs="Arial"/>
          <w:kern w:val="2"/>
          <w:sz w:val="21"/>
          <w:szCs w:val="21"/>
        </w:rPr>
        <w:t>受贵单位委托，我公司对</w:t>
      </w:r>
      <w:r>
        <w:rPr>
          <w:rFonts w:hint="eastAsia" w:ascii="Arial" w:hAnsi="Arial" w:cs="Arial"/>
          <w:kern w:val="2"/>
          <w:sz w:val="21"/>
          <w:szCs w:val="21"/>
        </w:rPr>
        <w:t>北京经济技术开发区科创十一街4号院5、10号楼（E18亦城景园国际人才公寓）共516套公共租赁住房项目市场租金</w:t>
      </w:r>
      <w:r>
        <w:rPr>
          <w:rFonts w:ascii="Arial" w:hAnsi="Arial" w:cs="Arial"/>
          <w:kern w:val="2"/>
          <w:sz w:val="21"/>
          <w:szCs w:val="21"/>
        </w:rPr>
        <w:t>进行了评估。</w:t>
      </w:r>
    </w:p>
    <w:p w14:paraId="325EEE75">
      <w:pPr>
        <w:overflowPunct w:val="0"/>
        <w:spacing w:line="480" w:lineRule="auto"/>
        <w:ind w:firstLine="422" w:firstLineChars="200"/>
        <w:jc w:val="both"/>
        <w:textAlignment w:val="auto"/>
        <w:rPr>
          <w:rFonts w:ascii="Arial" w:hAnsi="Arial" w:cs="Arial"/>
          <w:sz w:val="21"/>
          <w:szCs w:val="21"/>
        </w:rPr>
      </w:pPr>
      <w:r>
        <w:rPr>
          <w:rFonts w:ascii="Arial" w:hAnsi="Arial" w:cs="Arial"/>
          <w:b/>
          <w:bCs/>
          <w:color w:val="000000"/>
          <w:sz w:val="21"/>
          <w:szCs w:val="21"/>
        </w:rPr>
        <w:t>估价目的：</w:t>
      </w:r>
      <w:r>
        <w:rPr>
          <w:rFonts w:hint="eastAsia" w:ascii="Arial" w:hAnsi="Arial" w:cs="Arial"/>
          <w:sz w:val="21"/>
          <w:szCs w:val="21"/>
        </w:rPr>
        <w:t>为估价委托人确定公共租赁住房项目市场租金提供价格参考依据</w:t>
      </w:r>
      <w:r>
        <w:rPr>
          <w:rFonts w:ascii="Arial" w:hAnsi="Arial" w:cs="Arial"/>
          <w:sz w:val="21"/>
          <w:szCs w:val="21"/>
        </w:rPr>
        <w:t>。</w:t>
      </w:r>
    </w:p>
    <w:p w14:paraId="18C1D85F">
      <w:pPr>
        <w:overflowPunct w:val="0"/>
        <w:spacing w:line="480" w:lineRule="auto"/>
        <w:ind w:firstLine="420"/>
        <w:jc w:val="both"/>
        <w:textAlignment w:val="auto"/>
        <w:rPr>
          <w:rFonts w:cs="Arial"/>
        </w:rPr>
      </w:pPr>
      <w:r>
        <w:rPr>
          <w:rFonts w:ascii="Arial" w:hAnsi="Arial" w:cs="Arial"/>
          <w:b/>
          <w:bCs/>
          <w:sz w:val="21"/>
          <w:szCs w:val="21"/>
        </w:rPr>
        <w:t>估价对象：</w:t>
      </w:r>
      <w:bookmarkStart w:id="2" w:name="_Hlk155254977"/>
      <w:r>
        <w:rPr>
          <w:rFonts w:ascii="Arial" w:hAnsi="Arial" w:cs="Arial"/>
          <w:sz w:val="21"/>
          <w:szCs w:val="21"/>
        </w:rPr>
        <w:t>根据</w:t>
      </w:r>
      <w:r>
        <w:rPr>
          <w:rFonts w:ascii="Arial" w:hAnsi="Arial" w:cs="Arial"/>
          <w:kern w:val="2"/>
          <w:sz w:val="21"/>
          <w:szCs w:val="21"/>
        </w:rPr>
        <w:t>《估价委托书》、《不动产权证书》[京（2018）开不动产权第0015356号]，估价对象为</w:t>
      </w:r>
      <w:r>
        <w:rPr>
          <w:rFonts w:hint="eastAsia" w:ascii="Arial" w:hAnsi="Arial" w:cs="Arial"/>
          <w:kern w:val="2"/>
          <w:sz w:val="21"/>
          <w:szCs w:val="21"/>
        </w:rPr>
        <w:t>北京经济技术开发区科创十一街4号院5、10号楼（E18亦城景园国际人才公寓）共516套公共租赁住房项目</w:t>
      </w:r>
      <w:r>
        <w:rPr>
          <w:rFonts w:ascii="Arial" w:hAnsi="Arial" w:cs="Arial"/>
          <w:kern w:val="2"/>
          <w:sz w:val="21"/>
          <w:szCs w:val="21"/>
        </w:rPr>
        <w:t>，现状四至为东至通惠干渠路、南至崔家窑北街、西至经海六路、北至科创十一街。估价对象所属宗地土地用途为城镇住宅用地等，权利人为北京博大新元房地产开发有限公司，权利类型为国有建设用地使用权/房屋所有权，权利性质为国有土地租赁/公共租赁住房，土地使用年限2011年12月31日至2081年12月30日，用途为居住/门卫室、住宅等16种用途。根据估价委托人提供的《E18国际人才公寓房屋明细》，本次评估的</w:t>
      </w:r>
      <w:r>
        <w:rPr>
          <w:rFonts w:hint="eastAsia" w:ascii="Arial" w:hAnsi="Arial" w:cs="Arial"/>
          <w:kern w:val="2"/>
          <w:sz w:val="21"/>
          <w:szCs w:val="21"/>
        </w:rPr>
        <w:t>516套</w:t>
      </w:r>
      <w:r>
        <w:rPr>
          <w:rFonts w:ascii="Arial" w:hAnsi="Arial" w:cs="Arial"/>
          <w:kern w:val="2"/>
          <w:sz w:val="21"/>
          <w:szCs w:val="21"/>
        </w:rPr>
        <w:t>人才公寓是由北京博大新元房地产开发有限公司开发建设、持有并经营，总建筑面积</w:t>
      </w:r>
      <w:r>
        <w:rPr>
          <w:rFonts w:hint="eastAsia" w:ascii="Arial" w:hAnsi="Arial" w:cs="Arial"/>
          <w:kern w:val="2"/>
          <w:sz w:val="21"/>
          <w:szCs w:val="21"/>
        </w:rPr>
        <w:t>44359.11</w:t>
      </w:r>
      <w:r>
        <w:rPr>
          <w:rFonts w:ascii="Arial" w:hAnsi="Arial" w:cs="Arial"/>
          <w:kern w:val="2"/>
          <w:sz w:val="21"/>
          <w:szCs w:val="21"/>
        </w:rPr>
        <w:t>平方米。房源具体户型等情况详见下表：</w:t>
      </w:r>
    </w:p>
    <w:tbl>
      <w:tblPr>
        <w:tblStyle w:val="33"/>
        <w:tblW w:w="5000" w:type="pct"/>
        <w:jc w:val="center"/>
        <w:tblLayout w:type="autofit"/>
        <w:tblCellMar>
          <w:top w:w="0" w:type="dxa"/>
          <w:left w:w="108" w:type="dxa"/>
          <w:bottom w:w="0" w:type="dxa"/>
          <w:right w:w="108" w:type="dxa"/>
        </w:tblCellMar>
      </w:tblPr>
      <w:tblGrid>
        <w:gridCol w:w="1901"/>
        <w:gridCol w:w="1242"/>
        <w:gridCol w:w="1158"/>
        <w:gridCol w:w="1056"/>
        <w:gridCol w:w="1131"/>
        <w:gridCol w:w="1604"/>
        <w:gridCol w:w="1422"/>
      </w:tblGrid>
      <w:tr w14:paraId="6C439673">
        <w:tblPrEx>
          <w:tblCellMar>
            <w:top w:w="0" w:type="dxa"/>
            <w:left w:w="108" w:type="dxa"/>
            <w:bottom w:w="0" w:type="dxa"/>
            <w:right w:w="108" w:type="dxa"/>
          </w:tblCellMar>
        </w:tblPrEx>
        <w:trPr>
          <w:trHeight w:val="285" w:hRule="atLeast"/>
          <w:jc w:val="center"/>
        </w:trPr>
        <w:tc>
          <w:tcPr>
            <w:tcW w:w="2000" w:type="dxa"/>
            <w:tcBorders>
              <w:top w:val="single" w:color="000000" w:sz="4" w:space="0"/>
              <w:left w:val="single" w:color="000000" w:sz="4" w:space="0"/>
              <w:bottom w:val="single" w:color="000000" w:sz="4" w:space="0"/>
            </w:tcBorders>
            <w:vAlign w:val="center"/>
          </w:tcPr>
          <w:p w14:paraId="54E69767">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公寓类型</w:t>
            </w:r>
          </w:p>
        </w:tc>
        <w:tc>
          <w:tcPr>
            <w:tcW w:w="1260" w:type="dxa"/>
            <w:tcBorders>
              <w:top w:val="single" w:color="000000" w:sz="4" w:space="0"/>
              <w:left w:val="single" w:color="000000" w:sz="4" w:space="0"/>
              <w:bottom w:val="single" w:color="000000" w:sz="4" w:space="0"/>
            </w:tcBorders>
            <w:vAlign w:val="center"/>
          </w:tcPr>
          <w:p w14:paraId="143879B3">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面积</w:t>
            </w:r>
            <w:r>
              <w:rPr>
                <w:rFonts w:hint="eastAsia" w:ascii="Arial" w:hAnsi="Arial" w:eastAsia="华文细黑" w:cs="Arial"/>
                <w:color w:val="000000"/>
                <w:sz w:val="18"/>
                <w:szCs w:val="18"/>
              </w:rPr>
              <w:t>（㎡）</w:t>
            </w:r>
          </w:p>
        </w:tc>
        <w:tc>
          <w:tcPr>
            <w:tcW w:w="1200" w:type="dxa"/>
            <w:tcBorders>
              <w:top w:val="single" w:color="000000" w:sz="4" w:space="0"/>
              <w:left w:val="single" w:color="000000" w:sz="4" w:space="0"/>
              <w:bottom w:val="single" w:color="000000" w:sz="4" w:space="0"/>
            </w:tcBorders>
            <w:vAlign w:val="center"/>
          </w:tcPr>
          <w:p w14:paraId="09496712">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套数</w:t>
            </w:r>
          </w:p>
        </w:tc>
        <w:tc>
          <w:tcPr>
            <w:tcW w:w="1100" w:type="dxa"/>
            <w:tcBorders>
              <w:top w:val="single" w:color="000000" w:sz="4" w:space="0"/>
              <w:left w:val="single" w:color="000000" w:sz="4" w:space="0"/>
              <w:bottom w:val="single" w:color="000000" w:sz="4" w:space="0"/>
            </w:tcBorders>
            <w:vAlign w:val="center"/>
          </w:tcPr>
          <w:p w14:paraId="3C0AB05F">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朝向</w:t>
            </w:r>
          </w:p>
        </w:tc>
        <w:tc>
          <w:tcPr>
            <w:tcW w:w="1180" w:type="dxa"/>
            <w:tcBorders>
              <w:top w:val="single" w:color="000000" w:sz="4" w:space="0"/>
              <w:left w:val="single" w:color="000000" w:sz="4" w:space="0"/>
              <w:bottom w:val="single" w:color="000000" w:sz="4" w:space="0"/>
            </w:tcBorders>
            <w:vAlign w:val="center"/>
          </w:tcPr>
          <w:p w14:paraId="622A6596">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户型</w:t>
            </w:r>
          </w:p>
        </w:tc>
        <w:tc>
          <w:tcPr>
            <w:tcW w:w="1660" w:type="dxa"/>
            <w:tcBorders>
              <w:top w:val="single" w:color="000000" w:sz="4" w:space="0"/>
              <w:left w:val="single" w:color="000000" w:sz="4" w:space="0"/>
              <w:bottom w:val="single" w:color="000000" w:sz="4" w:space="0"/>
            </w:tcBorders>
            <w:vAlign w:val="center"/>
          </w:tcPr>
          <w:p w14:paraId="0EF3E3CC">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面积范围</w:t>
            </w:r>
            <w:r>
              <w:rPr>
                <w:rFonts w:hint="eastAsia" w:ascii="Arial" w:hAnsi="Arial" w:eastAsia="华文细黑" w:cs="Arial"/>
                <w:color w:val="000000"/>
                <w:sz w:val="18"/>
                <w:szCs w:val="18"/>
              </w:rPr>
              <w:t>（㎡）</w:t>
            </w:r>
          </w:p>
        </w:tc>
        <w:tc>
          <w:tcPr>
            <w:tcW w:w="1490" w:type="dxa"/>
            <w:tcBorders>
              <w:top w:val="single" w:color="000000" w:sz="4" w:space="0"/>
              <w:left w:val="single" w:color="000000" w:sz="4" w:space="0"/>
              <w:bottom w:val="single" w:color="000000" w:sz="4" w:space="0"/>
              <w:right w:val="single" w:color="000000" w:sz="4" w:space="0"/>
            </w:tcBorders>
            <w:vAlign w:val="center"/>
          </w:tcPr>
          <w:p w14:paraId="6958FA2E">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装修</w:t>
            </w:r>
          </w:p>
        </w:tc>
      </w:tr>
      <w:tr w14:paraId="61AFDE22">
        <w:tblPrEx>
          <w:tblCellMar>
            <w:top w:w="0" w:type="dxa"/>
            <w:left w:w="108" w:type="dxa"/>
            <w:bottom w:w="0" w:type="dxa"/>
            <w:right w:w="108" w:type="dxa"/>
          </w:tblCellMar>
        </w:tblPrEx>
        <w:trPr>
          <w:trHeight w:val="285" w:hRule="atLeast"/>
          <w:jc w:val="center"/>
        </w:trPr>
        <w:tc>
          <w:tcPr>
            <w:tcW w:w="2000" w:type="dxa"/>
            <w:tcBorders>
              <w:left w:val="single" w:color="000000" w:sz="4" w:space="0"/>
              <w:bottom w:val="single" w:color="000000" w:sz="4" w:space="0"/>
            </w:tcBorders>
            <w:vAlign w:val="center"/>
          </w:tcPr>
          <w:p w14:paraId="29B0EC75">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领军人才公寓</w:t>
            </w:r>
          </w:p>
        </w:tc>
        <w:tc>
          <w:tcPr>
            <w:tcW w:w="1260" w:type="dxa"/>
            <w:tcBorders>
              <w:left w:val="single" w:color="000000" w:sz="4" w:space="0"/>
              <w:bottom w:val="single" w:color="000000" w:sz="4" w:space="0"/>
            </w:tcBorders>
            <w:vAlign w:val="center"/>
          </w:tcPr>
          <w:p w14:paraId="08A3DCFB">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3624.2</w:t>
            </w:r>
          </w:p>
        </w:tc>
        <w:tc>
          <w:tcPr>
            <w:tcW w:w="1200" w:type="dxa"/>
            <w:tcBorders>
              <w:left w:val="single" w:color="000000" w:sz="4" w:space="0"/>
              <w:bottom w:val="single" w:color="000000" w:sz="4" w:space="0"/>
            </w:tcBorders>
            <w:vAlign w:val="center"/>
          </w:tcPr>
          <w:p w14:paraId="725433AA">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52</w:t>
            </w:r>
          </w:p>
        </w:tc>
        <w:tc>
          <w:tcPr>
            <w:tcW w:w="1100" w:type="dxa"/>
            <w:tcBorders>
              <w:left w:val="single" w:color="000000" w:sz="4" w:space="0"/>
              <w:bottom w:val="single" w:color="000000" w:sz="4" w:space="0"/>
            </w:tcBorders>
            <w:vAlign w:val="center"/>
          </w:tcPr>
          <w:p w14:paraId="67D56AFA">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南</w:t>
            </w:r>
          </w:p>
        </w:tc>
        <w:tc>
          <w:tcPr>
            <w:tcW w:w="1180" w:type="dxa"/>
            <w:tcBorders>
              <w:left w:val="single" w:color="000000" w:sz="4" w:space="0"/>
              <w:bottom w:val="single" w:color="000000" w:sz="4" w:space="0"/>
            </w:tcBorders>
            <w:vAlign w:val="center"/>
          </w:tcPr>
          <w:p w14:paraId="68B1ACFC">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一居室</w:t>
            </w:r>
          </w:p>
        </w:tc>
        <w:tc>
          <w:tcPr>
            <w:tcW w:w="1660" w:type="dxa"/>
            <w:tcBorders>
              <w:left w:val="single" w:color="000000" w:sz="4" w:space="0"/>
              <w:bottom w:val="single" w:color="000000" w:sz="4" w:space="0"/>
            </w:tcBorders>
            <w:vAlign w:val="center"/>
          </w:tcPr>
          <w:p w14:paraId="6733ADA1">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69.62-69.80</w:t>
            </w:r>
          </w:p>
        </w:tc>
        <w:tc>
          <w:tcPr>
            <w:tcW w:w="1490" w:type="dxa"/>
            <w:tcBorders>
              <w:left w:val="single" w:color="000000" w:sz="4" w:space="0"/>
              <w:bottom w:val="single" w:color="000000" w:sz="4" w:space="0"/>
              <w:right w:val="single" w:color="000000" w:sz="4" w:space="0"/>
            </w:tcBorders>
            <w:vAlign w:val="center"/>
          </w:tcPr>
          <w:p w14:paraId="3EE80BC3">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简单装修</w:t>
            </w:r>
          </w:p>
        </w:tc>
      </w:tr>
      <w:tr w14:paraId="3D989AAE">
        <w:tblPrEx>
          <w:tblCellMar>
            <w:top w:w="0" w:type="dxa"/>
            <w:left w:w="108" w:type="dxa"/>
            <w:bottom w:w="0" w:type="dxa"/>
            <w:right w:w="108" w:type="dxa"/>
          </w:tblCellMar>
        </w:tblPrEx>
        <w:trPr>
          <w:trHeight w:val="285" w:hRule="atLeast"/>
          <w:jc w:val="center"/>
        </w:trPr>
        <w:tc>
          <w:tcPr>
            <w:tcW w:w="2000" w:type="dxa"/>
            <w:tcBorders>
              <w:left w:val="single" w:color="000000" w:sz="4" w:space="0"/>
              <w:bottom w:val="single" w:color="000000" w:sz="4" w:space="0"/>
            </w:tcBorders>
            <w:vAlign w:val="center"/>
          </w:tcPr>
          <w:p w14:paraId="2C2245D5">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杰出人才公寓</w:t>
            </w:r>
          </w:p>
        </w:tc>
        <w:tc>
          <w:tcPr>
            <w:tcW w:w="1260" w:type="dxa"/>
            <w:tcBorders>
              <w:left w:val="single" w:color="000000" w:sz="4" w:space="0"/>
              <w:bottom w:val="single" w:color="000000" w:sz="4" w:space="0"/>
            </w:tcBorders>
            <w:vAlign w:val="center"/>
          </w:tcPr>
          <w:p w14:paraId="3D4556D5">
            <w:pPr>
              <w:widowControl/>
              <w:spacing w:line="240" w:lineRule="auto"/>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3624.2</w:t>
            </w:r>
          </w:p>
        </w:tc>
        <w:tc>
          <w:tcPr>
            <w:tcW w:w="1200" w:type="dxa"/>
            <w:tcBorders>
              <w:left w:val="single" w:color="000000" w:sz="4" w:space="0"/>
              <w:bottom w:val="single" w:color="000000" w:sz="4" w:space="0"/>
            </w:tcBorders>
            <w:vAlign w:val="center"/>
          </w:tcPr>
          <w:p w14:paraId="1D56D43B">
            <w:pPr>
              <w:widowControl/>
              <w:spacing w:line="240" w:lineRule="auto"/>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52</w:t>
            </w:r>
          </w:p>
        </w:tc>
        <w:tc>
          <w:tcPr>
            <w:tcW w:w="1100" w:type="dxa"/>
            <w:tcBorders>
              <w:left w:val="single" w:color="000000" w:sz="4" w:space="0"/>
              <w:bottom w:val="single" w:color="000000" w:sz="4" w:space="0"/>
            </w:tcBorders>
            <w:vAlign w:val="center"/>
          </w:tcPr>
          <w:p w14:paraId="34150936">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南</w:t>
            </w:r>
          </w:p>
        </w:tc>
        <w:tc>
          <w:tcPr>
            <w:tcW w:w="1180" w:type="dxa"/>
            <w:tcBorders>
              <w:left w:val="single" w:color="000000" w:sz="4" w:space="0"/>
              <w:bottom w:val="single" w:color="000000" w:sz="4" w:space="0"/>
            </w:tcBorders>
            <w:vAlign w:val="center"/>
          </w:tcPr>
          <w:p w14:paraId="79144A7F">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一居室</w:t>
            </w:r>
          </w:p>
        </w:tc>
        <w:tc>
          <w:tcPr>
            <w:tcW w:w="1660" w:type="dxa"/>
            <w:tcBorders>
              <w:left w:val="single" w:color="000000" w:sz="4" w:space="0"/>
              <w:bottom w:val="single" w:color="000000" w:sz="4" w:space="0"/>
            </w:tcBorders>
            <w:vAlign w:val="center"/>
          </w:tcPr>
          <w:p w14:paraId="46AEF69A">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69.62-69.8</w:t>
            </w:r>
          </w:p>
        </w:tc>
        <w:tc>
          <w:tcPr>
            <w:tcW w:w="1490" w:type="dxa"/>
            <w:tcBorders>
              <w:left w:val="single" w:color="000000" w:sz="4" w:space="0"/>
              <w:bottom w:val="single" w:color="000000" w:sz="4" w:space="0"/>
              <w:right w:val="single" w:color="000000" w:sz="4" w:space="0"/>
            </w:tcBorders>
            <w:vAlign w:val="center"/>
          </w:tcPr>
          <w:p w14:paraId="0CAAA6D2">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精装修</w:t>
            </w:r>
          </w:p>
        </w:tc>
      </w:tr>
      <w:tr w14:paraId="7881C5EF">
        <w:tblPrEx>
          <w:tblCellMar>
            <w:top w:w="0" w:type="dxa"/>
            <w:left w:w="108" w:type="dxa"/>
            <w:bottom w:w="0" w:type="dxa"/>
            <w:right w:w="108" w:type="dxa"/>
          </w:tblCellMar>
        </w:tblPrEx>
        <w:trPr>
          <w:trHeight w:val="285" w:hRule="atLeast"/>
          <w:jc w:val="center"/>
        </w:trPr>
        <w:tc>
          <w:tcPr>
            <w:tcW w:w="2000" w:type="dxa"/>
            <w:tcBorders>
              <w:left w:val="single" w:color="000000" w:sz="4" w:space="0"/>
              <w:bottom w:val="single" w:color="000000" w:sz="4" w:space="0"/>
            </w:tcBorders>
            <w:vAlign w:val="center"/>
          </w:tcPr>
          <w:p w14:paraId="7A6B7861">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领军人才公寓</w:t>
            </w:r>
          </w:p>
        </w:tc>
        <w:tc>
          <w:tcPr>
            <w:tcW w:w="1260" w:type="dxa"/>
            <w:tcBorders>
              <w:left w:val="single" w:color="000000" w:sz="4" w:space="0"/>
              <w:bottom w:val="single" w:color="000000" w:sz="4" w:space="0"/>
            </w:tcBorders>
            <w:vAlign w:val="center"/>
          </w:tcPr>
          <w:p w14:paraId="5E1B86E2">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14110.48</w:t>
            </w:r>
          </w:p>
        </w:tc>
        <w:tc>
          <w:tcPr>
            <w:tcW w:w="1200" w:type="dxa"/>
            <w:tcBorders>
              <w:left w:val="single" w:color="000000" w:sz="4" w:space="0"/>
              <w:bottom w:val="single" w:color="000000" w:sz="4" w:space="0"/>
            </w:tcBorders>
            <w:vAlign w:val="center"/>
          </w:tcPr>
          <w:p w14:paraId="0C91F5B5">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156</w:t>
            </w:r>
          </w:p>
        </w:tc>
        <w:tc>
          <w:tcPr>
            <w:tcW w:w="1100" w:type="dxa"/>
            <w:tcBorders>
              <w:left w:val="single" w:color="000000" w:sz="4" w:space="0"/>
              <w:bottom w:val="single" w:color="000000" w:sz="4" w:space="0"/>
            </w:tcBorders>
            <w:vAlign w:val="center"/>
          </w:tcPr>
          <w:p w14:paraId="3BB81836">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南</w:t>
            </w:r>
          </w:p>
        </w:tc>
        <w:tc>
          <w:tcPr>
            <w:tcW w:w="1180" w:type="dxa"/>
            <w:tcBorders>
              <w:left w:val="single" w:color="000000" w:sz="4" w:space="0"/>
              <w:bottom w:val="single" w:color="000000" w:sz="4" w:space="0"/>
            </w:tcBorders>
            <w:vAlign w:val="center"/>
          </w:tcPr>
          <w:p w14:paraId="0BE2B6B9">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两居室</w:t>
            </w:r>
          </w:p>
        </w:tc>
        <w:tc>
          <w:tcPr>
            <w:tcW w:w="1660" w:type="dxa"/>
            <w:tcBorders>
              <w:left w:val="single" w:color="000000" w:sz="4" w:space="0"/>
              <w:bottom w:val="single" w:color="000000" w:sz="4" w:space="0"/>
            </w:tcBorders>
            <w:vAlign w:val="center"/>
          </w:tcPr>
          <w:p w14:paraId="77897986">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89.62-92.07</w:t>
            </w:r>
          </w:p>
        </w:tc>
        <w:tc>
          <w:tcPr>
            <w:tcW w:w="1490" w:type="dxa"/>
            <w:tcBorders>
              <w:left w:val="single" w:color="000000" w:sz="4" w:space="0"/>
              <w:bottom w:val="single" w:color="000000" w:sz="4" w:space="0"/>
              <w:right w:val="single" w:color="000000" w:sz="4" w:space="0"/>
            </w:tcBorders>
            <w:vAlign w:val="center"/>
          </w:tcPr>
          <w:p w14:paraId="27079BD4">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简单装修</w:t>
            </w:r>
          </w:p>
        </w:tc>
      </w:tr>
      <w:tr w14:paraId="19A48B4D">
        <w:tblPrEx>
          <w:tblCellMar>
            <w:top w:w="0" w:type="dxa"/>
            <w:left w:w="108" w:type="dxa"/>
            <w:bottom w:w="0" w:type="dxa"/>
            <w:right w:w="108" w:type="dxa"/>
          </w:tblCellMar>
        </w:tblPrEx>
        <w:trPr>
          <w:trHeight w:val="285" w:hRule="atLeast"/>
          <w:jc w:val="center"/>
        </w:trPr>
        <w:tc>
          <w:tcPr>
            <w:tcW w:w="2000" w:type="dxa"/>
            <w:tcBorders>
              <w:left w:val="single" w:color="000000" w:sz="4" w:space="0"/>
              <w:bottom w:val="single" w:color="000000" w:sz="4" w:space="0"/>
            </w:tcBorders>
            <w:shd w:val="clear" w:color="auto" w:fill="FFFFFF"/>
            <w:vAlign w:val="center"/>
          </w:tcPr>
          <w:p w14:paraId="21841250">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领军人才公寓</w:t>
            </w:r>
          </w:p>
        </w:tc>
        <w:tc>
          <w:tcPr>
            <w:tcW w:w="1260" w:type="dxa"/>
            <w:tcBorders>
              <w:left w:val="single" w:color="000000" w:sz="4" w:space="0"/>
              <w:bottom w:val="single" w:color="000000" w:sz="4" w:space="0"/>
            </w:tcBorders>
            <w:shd w:val="clear" w:color="auto" w:fill="FFFFFF"/>
            <w:vAlign w:val="center"/>
          </w:tcPr>
          <w:p w14:paraId="69209D11">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18469.17</w:t>
            </w:r>
          </w:p>
        </w:tc>
        <w:tc>
          <w:tcPr>
            <w:tcW w:w="1200" w:type="dxa"/>
            <w:tcBorders>
              <w:left w:val="single" w:color="000000" w:sz="4" w:space="0"/>
              <w:bottom w:val="single" w:color="000000" w:sz="4" w:space="0"/>
            </w:tcBorders>
            <w:shd w:val="clear" w:color="auto" w:fill="FFFFFF"/>
            <w:vAlign w:val="center"/>
          </w:tcPr>
          <w:p w14:paraId="35A2FBF9">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205</w:t>
            </w:r>
          </w:p>
        </w:tc>
        <w:tc>
          <w:tcPr>
            <w:tcW w:w="1100" w:type="dxa"/>
            <w:tcBorders>
              <w:left w:val="single" w:color="000000" w:sz="4" w:space="0"/>
              <w:bottom w:val="single" w:color="000000" w:sz="4" w:space="0"/>
            </w:tcBorders>
            <w:shd w:val="clear" w:color="auto" w:fill="FFFFFF"/>
            <w:vAlign w:val="center"/>
          </w:tcPr>
          <w:p w14:paraId="49DDC3C5">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南北</w:t>
            </w:r>
          </w:p>
        </w:tc>
        <w:tc>
          <w:tcPr>
            <w:tcW w:w="1180" w:type="dxa"/>
            <w:tcBorders>
              <w:left w:val="single" w:color="000000" w:sz="4" w:space="0"/>
              <w:bottom w:val="single" w:color="000000" w:sz="4" w:space="0"/>
            </w:tcBorders>
            <w:shd w:val="clear" w:color="auto" w:fill="FFFFFF"/>
            <w:vAlign w:val="center"/>
          </w:tcPr>
          <w:p w14:paraId="20040607">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两居室</w:t>
            </w:r>
          </w:p>
        </w:tc>
        <w:tc>
          <w:tcPr>
            <w:tcW w:w="1660" w:type="dxa"/>
            <w:tcBorders>
              <w:left w:val="single" w:color="000000" w:sz="4" w:space="0"/>
              <w:bottom w:val="single" w:color="000000" w:sz="4" w:space="0"/>
            </w:tcBorders>
            <w:shd w:val="clear" w:color="auto" w:fill="FFFFFF"/>
            <w:vAlign w:val="center"/>
          </w:tcPr>
          <w:p w14:paraId="66017E8F">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88.41-92.39</w:t>
            </w:r>
          </w:p>
        </w:tc>
        <w:tc>
          <w:tcPr>
            <w:tcW w:w="1490" w:type="dxa"/>
            <w:tcBorders>
              <w:left w:val="single" w:color="000000" w:sz="4" w:space="0"/>
              <w:bottom w:val="single" w:color="000000" w:sz="4" w:space="0"/>
              <w:right w:val="single" w:color="000000" w:sz="4" w:space="0"/>
            </w:tcBorders>
            <w:shd w:val="clear" w:color="auto" w:fill="FFFFFF"/>
            <w:vAlign w:val="center"/>
          </w:tcPr>
          <w:p w14:paraId="09409480">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简单装修</w:t>
            </w:r>
          </w:p>
        </w:tc>
      </w:tr>
      <w:tr w14:paraId="294EBA84">
        <w:tblPrEx>
          <w:tblCellMar>
            <w:top w:w="0" w:type="dxa"/>
            <w:left w:w="108" w:type="dxa"/>
            <w:bottom w:w="0" w:type="dxa"/>
            <w:right w:w="108" w:type="dxa"/>
          </w:tblCellMar>
        </w:tblPrEx>
        <w:trPr>
          <w:trHeight w:val="285" w:hRule="atLeast"/>
          <w:jc w:val="center"/>
        </w:trPr>
        <w:tc>
          <w:tcPr>
            <w:tcW w:w="2000" w:type="dxa"/>
            <w:tcBorders>
              <w:left w:val="single" w:color="000000" w:sz="4" w:space="0"/>
              <w:bottom w:val="single" w:color="000000" w:sz="4" w:space="0"/>
            </w:tcBorders>
            <w:shd w:val="clear" w:color="auto" w:fill="FFFFFF"/>
            <w:vAlign w:val="center"/>
          </w:tcPr>
          <w:p w14:paraId="18DC9A3C">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杰出人才公寓</w:t>
            </w:r>
          </w:p>
        </w:tc>
        <w:tc>
          <w:tcPr>
            <w:tcW w:w="1260" w:type="dxa"/>
            <w:tcBorders>
              <w:left w:val="single" w:color="000000" w:sz="4" w:space="0"/>
              <w:bottom w:val="single" w:color="000000" w:sz="4" w:space="0"/>
            </w:tcBorders>
            <w:shd w:val="clear" w:color="auto" w:fill="FFFFFF"/>
            <w:vAlign w:val="center"/>
          </w:tcPr>
          <w:p w14:paraId="614126C6">
            <w:pPr>
              <w:widowControl/>
              <w:spacing w:line="240" w:lineRule="auto"/>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4531.06</w:t>
            </w:r>
          </w:p>
        </w:tc>
        <w:tc>
          <w:tcPr>
            <w:tcW w:w="1200" w:type="dxa"/>
            <w:tcBorders>
              <w:left w:val="single" w:color="000000" w:sz="4" w:space="0"/>
              <w:bottom w:val="single" w:color="000000" w:sz="4" w:space="0"/>
            </w:tcBorders>
            <w:shd w:val="clear" w:color="auto" w:fill="FFFFFF"/>
            <w:vAlign w:val="center"/>
          </w:tcPr>
          <w:p w14:paraId="082F059C">
            <w:pPr>
              <w:widowControl/>
              <w:spacing w:line="240" w:lineRule="auto"/>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51</w:t>
            </w:r>
          </w:p>
        </w:tc>
        <w:tc>
          <w:tcPr>
            <w:tcW w:w="1100" w:type="dxa"/>
            <w:tcBorders>
              <w:left w:val="single" w:color="000000" w:sz="4" w:space="0"/>
              <w:bottom w:val="single" w:color="000000" w:sz="4" w:space="0"/>
            </w:tcBorders>
            <w:shd w:val="clear" w:color="auto" w:fill="FFFFFF"/>
            <w:vAlign w:val="center"/>
          </w:tcPr>
          <w:p w14:paraId="693206AD">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南北</w:t>
            </w:r>
          </w:p>
        </w:tc>
        <w:tc>
          <w:tcPr>
            <w:tcW w:w="1180" w:type="dxa"/>
            <w:tcBorders>
              <w:left w:val="single" w:color="000000" w:sz="4" w:space="0"/>
              <w:bottom w:val="single" w:color="000000" w:sz="4" w:space="0"/>
            </w:tcBorders>
            <w:shd w:val="clear" w:color="auto" w:fill="FFFFFF"/>
            <w:vAlign w:val="center"/>
          </w:tcPr>
          <w:p w14:paraId="7C1C073B">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两居室</w:t>
            </w:r>
          </w:p>
        </w:tc>
        <w:tc>
          <w:tcPr>
            <w:tcW w:w="1660" w:type="dxa"/>
            <w:tcBorders>
              <w:left w:val="single" w:color="000000" w:sz="4" w:space="0"/>
              <w:bottom w:val="single" w:color="000000" w:sz="4" w:space="0"/>
            </w:tcBorders>
            <w:shd w:val="clear" w:color="auto" w:fill="FFFFFF"/>
            <w:vAlign w:val="center"/>
          </w:tcPr>
          <w:p w14:paraId="42290BF0">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88.51-89.18</w:t>
            </w:r>
          </w:p>
        </w:tc>
        <w:tc>
          <w:tcPr>
            <w:tcW w:w="1490" w:type="dxa"/>
            <w:tcBorders>
              <w:left w:val="single" w:color="000000" w:sz="4" w:space="0"/>
              <w:bottom w:val="single" w:color="000000" w:sz="4" w:space="0"/>
              <w:right w:val="single" w:color="000000" w:sz="4" w:space="0"/>
            </w:tcBorders>
            <w:shd w:val="clear" w:color="auto" w:fill="FFFFFF"/>
            <w:vAlign w:val="center"/>
          </w:tcPr>
          <w:p w14:paraId="26505417">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精装修</w:t>
            </w:r>
          </w:p>
        </w:tc>
      </w:tr>
      <w:tr w14:paraId="0CE62D8D">
        <w:tblPrEx>
          <w:tblCellMar>
            <w:top w:w="0" w:type="dxa"/>
            <w:left w:w="108" w:type="dxa"/>
            <w:bottom w:w="0" w:type="dxa"/>
            <w:right w:w="108" w:type="dxa"/>
          </w:tblCellMar>
        </w:tblPrEx>
        <w:trPr>
          <w:trHeight w:val="285" w:hRule="atLeast"/>
          <w:jc w:val="center"/>
        </w:trPr>
        <w:tc>
          <w:tcPr>
            <w:tcW w:w="2000" w:type="dxa"/>
            <w:tcBorders>
              <w:left w:val="single" w:color="000000" w:sz="4" w:space="0"/>
              <w:bottom w:val="single" w:color="000000" w:sz="4" w:space="0"/>
            </w:tcBorders>
            <w:vAlign w:val="center"/>
          </w:tcPr>
          <w:p w14:paraId="0A8B2DE1">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合计</w:t>
            </w:r>
          </w:p>
        </w:tc>
        <w:tc>
          <w:tcPr>
            <w:tcW w:w="1260" w:type="dxa"/>
            <w:tcBorders>
              <w:left w:val="single" w:color="000000" w:sz="4" w:space="0"/>
              <w:bottom w:val="single" w:color="000000" w:sz="4" w:space="0"/>
            </w:tcBorders>
            <w:vAlign w:val="center"/>
          </w:tcPr>
          <w:p w14:paraId="3204E87A">
            <w:pPr>
              <w:widowControl/>
              <w:spacing w:line="240" w:lineRule="auto"/>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44359.11</w:t>
            </w:r>
          </w:p>
        </w:tc>
        <w:tc>
          <w:tcPr>
            <w:tcW w:w="1200" w:type="dxa"/>
            <w:tcBorders>
              <w:left w:val="single" w:color="000000" w:sz="4" w:space="0"/>
              <w:bottom w:val="single" w:color="000000" w:sz="4" w:space="0"/>
            </w:tcBorders>
            <w:vAlign w:val="center"/>
          </w:tcPr>
          <w:p w14:paraId="35D1B01E">
            <w:pPr>
              <w:widowControl/>
              <w:spacing w:line="240" w:lineRule="auto"/>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516</w:t>
            </w:r>
          </w:p>
        </w:tc>
        <w:tc>
          <w:tcPr>
            <w:tcW w:w="1100" w:type="dxa"/>
            <w:tcBorders>
              <w:left w:val="single" w:color="000000" w:sz="4" w:space="0"/>
              <w:bottom w:val="single" w:color="000000" w:sz="4" w:space="0"/>
            </w:tcBorders>
            <w:vAlign w:val="center"/>
          </w:tcPr>
          <w:p w14:paraId="5671B29B">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w:t>
            </w:r>
          </w:p>
        </w:tc>
        <w:tc>
          <w:tcPr>
            <w:tcW w:w="1180" w:type="dxa"/>
            <w:tcBorders>
              <w:left w:val="single" w:color="000000" w:sz="4" w:space="0"/>
              <w:bottom w:val="single" w:color="000000" w:sz="4" w:space="0"/>
            </w:tcBorders>
            <w:vAlign w:val="center"/>
          </w:tcPr>
          <w:p w14:paraId="5C104BF2">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w:t>
            </w:r>
          </w:p>
        </w:tc>
        <w:tc>
          <w:tcPr>
            <w:tcW w:w="1660" w:type="dxa"/>
            <w:tcBorders>
              <w:left w:val="single" w:color="000000" w:sz="4" w:space="0"/>
              <w:bottom w:val="single" w:color="000000" w:sz="4" w:space="0"/>
            </w:tcBorders>
            <w:vAlign w:val="center"/>
          </w:tcPr>
          <w:p w14:paraId="23FD98C7">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w:t>
            </w:r>
          </w:p>
        </w:tc>
        <w:tc>
          <w:tcPr>
            <w:tcW w:w="1490" w:type="dxa"/>
            <w:tcBorders>
              <w:left w:val="single" w:color="000000" w:sz="4" w:space="0"/>
              <w:bottom w:val="single" w:color="000000" w:sz="4" w:space="0"/>
              <w:right w:val="single" w:color="000000" w:sz="4" w:space="0"/>
            </w:tcBorders>
            <w:vAlign w:val="center"/>
          </w:tcPr>
          <w:p w14:paraId="020EC3EC">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w:t>
            </w:r>
          </w:p>
        </w:tc>
      </w:tr>
      <w:bookmarkEnd w:id="2"/>
    </w:tbl>
    <w:p w14:paraId="6B6ED667">
      <w:pPr>
        <w:overflowPunct w:val="0"/>
        <w:spacing w:before="240" w:beforeLines="100" w:line="480" w:lineRule="auto"/>
        <w:ind w:firstLine="420" w:firstLineChars="200"/>
        <w:jc w:val="both"/>
        <w:textAlignment w:val="auto"/>
        <w:rPr>
          <w:rFonts w:ascii="Arial" w:hAnsi="Arial" w:cs="Arial"/>
          <w:sz w:val="21"/>
          <w:szCs w:val="21"/>
        </w:rPr>
      </w:pPr>
      <w:r>
        <w:rPr>
          <w:rFonts w:hint="eastAsia" w:ascii="Arial" w:hAnsi="Arial" w:cs="Arial"/>
          <w:sz w:val="21"/>
          <w:szCs w:val="21"/>
        </w:rPr>
        <w:t>由于估价对象均未进行土地分摊测绘，故本次评估不列示估价对象分摊土地面积。</w:t>
      </w:r>
    </w:p>
    <w:p w14:paraId="385330D0">
      <w:pPr>
        <w:overflowPunct w:val="0"/>
        <w:spacing w:line="480" w:lineRule="auto"/>
        <w:ind w:firstLine="420"/>
        <w:jc w:val="both"/>
        <w:textAlignment w:val="auto"/>
      </w:pPr>
      <w:r>
        <w:rPr>
          <w:rFonts w:ascii="Arial" w:hAnsi="Arial" w:cs="Arial"/>
          <w:b/>
          <w:bCs/>
          <w:sz w:val="21"/>
          <w:szCs w:val="21"/>
        </w:rPr>
        <w:t>价值时点：</w:t>
      </w:r>
      <w:r>
        <w:rPr>
          <w:rFonts w:hint="eastAsia" w:ascii="Arial" w:hAnsi="Arial" w:cs="Arial"/>
          <w:sz w:val="21"/>
          <w:szCs w:val="21"/>
        </w:rPr>
        <w:t>2025年10月1日</w:t>
      </w:r>
      <w:r>
        <w:rPr>
          <w:rFonts w:ascii="Arial" w:hAnsi="Arial" w:cs="Arial"/>
          <w:sz w:val="21"/>
          <w:szCs w:val="21"/>
        </w:rPr>
        <w:t>（根据《估价委托书》确定）</w:t>
      </w:r>
    </w:p>
    <w:p w14:paraId="3CE9EDC6">
      <w:pPr>
        <w:overflowPunct w:val="0"/>
        <w:spacing w:line="480" w:lineRule="auto"/>
        <w:ind w:firstLine="420"/>
        <w:jc w:val="both"/>
        <w:textAlignment w:val="auto"/>
        <w:rPr>
          <w:rFonts w:ascii="Arial" w:hAnsi="Arial" w:cs="Arial"/>
          <w:sz w:val="21"/>
          <w:szCs w:val="21"/>
        </w:rPr>
      </w:pPr>
      <w:r>
        <w:rPr>
          <w:rFonts w:ascii="Arial" w:hAnsi="Arial" w:cs="Arial"/>
          <w:b/>
          <w:bCs/>
          <w:sz w:val="21"/>
          <w:szCs w:val="21"/>
        </w:rPr>
        <w:t>估价时段：</w:t>
      </w:r>
      <w:r>
        <w:rPr>
          <w:rFonts w:ascii="Arial" w:hAnsi="Arial" w:cs="Arial"/>
          <w:sz w:val="21"/>
          <w:szCs w:val="21"/>
        </w:rPr>
        <w:t>于价值时点</w:t>
      </w:r>
      <w:r>
        <w:rPr>
          <w:rFonts w:hint="eastAsia" w:ascii="Arial" w:hAnsi="Arial" w:cs="Arial"/>
          <w:sz w:val="21"/>
          <w:szCs w:val="21"/>
        </w:rPr>
        <w:t>2025年10月1日</w:t>
      </w:r>
      <w:r>
        <w:rPr>
          <w:rFonts w:ascii="Arial" w:hAnsi="Arial" w:cs="Arial"/>
          <w:sz w:val="21"/>
          <w:szCs w:val="21"/>
        </w:rPr>
        <w:t>前一年内（</w:t>
      </w:r>
      <w:r>
        <w:rPr>
          <w:rFonts w:hint="eastAsia" w:ascii="Arial" w:hAnsi="Arial" w:cs="Arial"/>
          <w:sz w:val="21"/>
          <w:szCs w:val="21"/>
        </w:rPr>
        <w:t>2024年10月1日至2025年9月30日</w:t>
      </w:r>
      <w:r>
        <w:rPr>
          <w:rFonts w:ascii="Arial" w:hAnsi="Arial" w:cs="Arial"/>
          <w:sz w:val="21"/>
          <w:szCs w:val="21"/>
        </w:rPr>
        <w:t>）</w:t>
      </w:r>
    </w:p>
    <w:p w14:paraId="57E1CD8A">
      <w:pPr>
        <w:overflowPunct w:val="0"/>
        <w:spacing w:line="480" w:lineRule="auto"/>
        <w:ind w:firstLine="420"/>
        <w:jc w:val="both"/>
        <w:textAlignment w:val="auto"/>
      </w:pPr>
      <w:r>
        <w:rPr>
          <w:rFonts w:ascii="Arial" w:hAnsi="Arial" w:cs="Arial"/>
          <w:b/>
          <w:bCs/>
          <w:sz w:val="21"/>
          <w:szCs w:val="21"/>
        </w:rPr>
        <w:t>价值类型：</w:t>
      </w:r>
      <w:r>
        <w:rPr>
          <w:rFonts w:ascii="Arial" w:hAnsi="Arial" w:cs="Arial"/>
          <w:sz w:val="21"/>
          <w:szCs w:val="21"/>
        </w:rPr>
        <w:t>根据房地产评估的技术规程和本次估价目的，本次估价采用的是市场价值标准。估价结果中的房地产租金价格是指估价对象在估价时段（</w:t>
      </w:r>
      <w:r>
        <w:rPr>
          <w:rFonts w:hint="eastAsia" w:ascii="Arial" w:hAnsi="Arial" w:cs="Arial"/>
          <w:sz w:val="21"/>
          <w:szCs w:val="21"/>
        </w:rPr>
        <w:t>2024年10月1日至2025年9月30日</w:t>
      </w:r>
      <w:r>
        <w:rPr>
          <w:rFonts w:ascii="Arial" w:hAnsi="Arial" w:cs="Arial"/>
          <w:sz w:val="21"/>
          <w:szCs w:val="21"/>
        </w:rPr>
        <w:t>）规划利用条件及下述设定条件下的市场平均租金价格：</w:t>
      </w:r>
      <w:r>
        <w:rPr>
          <w:rFonts w:ascii="Arial" w:hAnsi="Arial" w:eastAsia="Arial" w:cs="Arial"/>
          <w:sz w:val="21"/>
          <w:szCs w:val="21"/>
        </w:rPr>
        <w:t xml:space="preserve"> </w:t>
      </w:r>
    </w:p>
    <w:p w14:paraId="260FCBBC">
      <w:pPr>
        <w:overflowPunct w:val="0"/>
        <w:spacing w:line="480" w:lineRule="auto"/>
        <w:ind w:firstLine="420"/>
        <w:jc w:val="both"/>
      </w:pPr>
      <w:r>
        <w:rPr>
          <w:rFonts w:hint="eastAsia" w:ascii="Arial" w:hAnsi="Arial" w:eastAsia="宋体" w:cs="Arial"/>
          <w:sz w:val="21"/>
          <w:szCs w:val="21"/>
        </w:rPr>
        <w:t>项目同地段、同类型的普通住房在估价时段的市场租赁平均价格，包括地租、房屋折旧、家具及家电租赁费、设备折旧、维修费、保险费、物业费、管理费、利息、利润等；不含供暖费、水电费、天然气费、通信费、有线电视费、上网宽带费和租赁税费等。</w:t>
      </w:r>
      <w:r>
        <w:rPr>
          <w:rFonts w:ascii="Arial" w:hAnsi="Arial" w:eastAsia="Arial" w:cs="Arial"/>
          <w:sz w:val="21"/>
          <w:szCs w:val="21"/>
        </w:rPr>
        <w:t xml:space="preserve"> </w:t>
      </w:r>
    </w:p>
    <w:p w14:paraId="3094446E">
      <w:pPr>
        <w:overflowPunct w:val="0"/>
        <w:spacing w:line="480" w:lineRule="auto"/>
        <w:ind w:firstLine="420"/>
        <w:jc w:val="both"/>
      </w:pPr>
      <w:r>
        <w:rPr>
          <w:rFonts w:ascii="Arial" w:hAnsi="Arial" w:cs="Arial"/>
          <w:sz w:val="21"/>
          <w:szCs w:val="21"/>
        </w:rPr>
        <w:t>（1）同地段是指按照就近原则，能够满足租赁住房项目市场租金评估所需要的可比小区数量所形成的同质区域。</w:t>
      </w:r>
      <w:r>
        <w:rPr>
          <w:rFonts w:ascii="Arial" w:hAnsi="Arial" w:eastAsia="Arial" w:cs="Arial"/>
          <w:sz w:val="21"/>
          <w:szCs w:val="21"/>
        </w:rPr>
        <w:t xml:space="preserve"> </w:t>
      </w:r>
    </w:p>
    <w:p w14:paraId="6BA4B700">
      <w:pPr>
        <w:overflowPunct w:val="0"/>
        <w:spacing w:line="480" w:lineRule="auto"/>
        <w:ind w:firstLine="420"/>
        <w:jc w:val="both"/>
        <w:rPr>
          <w:rFonts w:ascii="Arial" w:hAnsi="Arial" w:cs="Arial"/>
          <w:sz w:val="21"/>
          <w:szCs w:val="21"/>
        </w:rPr>
      </w:pPr>
      <w:r>
        <w:rPr>
          <w:rFonts w:ascii="Arial" w:hAnsi="Arial" w:cs="Arial"/>
          <w:sz w:val="21"/>
          <w:szCs w:val="21"/>
        </w:rPr>
        <w:t>（2）同类型是指使用功能、建筑结构、面积、户型、装修、家具家电设备及周边环境与配套相同或相似的住房。</w:t>
      </w:r>
    </w:p>
    <w:p w14:paraId="77EFD678">
      <w:pPr>
        <w:overflowPunct w:val="0"/>
        <w:spacing w:line="480" w:lineRule="auto"/>
        <w:ind w:firstLine="420"/>
        <w:jc w:val="both"/>
        <w:textAlignment w:val="auto"/>
        <w:rPr>
          <w:rFonts w:ascii="Arial" w:hAnsi="Arial" w:cs="Arial"/>
          <w:sz w:val="21"/>
          <w:szCs w:val="21"/>
        </w:rPr>
      </w:pPr>
      <w:r>
        <w:rPr>
          <w:rFonts w:ascii="Arial" w:hAnsi="Arial" w:cs="Arial"/>
          <w:sz w:val="21"/>
          <w:szCs w:val="21"/>
        </w:rPr>
        <w:t>（3）估价时段是指价值时点前一年（</w:t>
      </w:r>
      <w:r>
        <w:rPr>
          <w:rFonts w:hint="eastAsia" w:ascii="Arial" w:hAnsi="Arial" w:cs="Arial"/>
          <w:sz w:val="21"/>
          <w:szCs w:val="21"/>
        </w:rPr>
        <w:t>2024年10月1日至2025年9月30日</w:t>
      </w:r>
      <w:r>
        <w:rPr>
          <w:rFonts w:ascii="Arial" w:hAnsi="Arial" w:cs="Arial"/>
          <w:sz w:val="21"/>
          <w:szCs w:val="21"/>
        </w:rPr>
        <w:t>）。</w:t>
      </w:r>
    </w:p>
    <w:p w14:paraId="05BB89C1">
      <w:pPr>
        <w:overflowPunct w:val="0"/>
        <w:spacing w:line="480" w:lineRule="auto"/>
        <w:ind w:firstLine="420"/>
        <w:jc w:val="both"/>
        <w:textAlignment w:val="auto"/>
        <w:rPr>
          <w:rFonts w:ascii="Arial" w:hAnsi="Arial" w:cs="Arial"/>
          <w:b/>
          <w:bCs/>
          <w:sz w:val="21"/>
          <w:szCs w:val="21"/>
        </w:rPr>
      </w:pPr>
      <w:r>
        <w:rPr>
          <w:rFonts w:ascii="Arial" w:hAnsi="Arial" w:cs="Arial"/>
          <w:b/>
          <w:bCs/>
          <w:sz w:val="21"/>
          <w:szCs w:val="21"/>
        </w:rPr>
        <w:t>估价方法：</w:t>
      </w:r>
      <w:r>
        <w:rPr>
          <w:rFonts w:ascii="Arial" w:hAnsi="Arial" w:cs="Arial"/>
          <w:bCs/>
          <w:color w:val="000000"/>
          <w:sz w:val="21"/>
          <w:szCs w:val="21"/>
        </w:rPr>
        <w:t>本次评估采用的估价方法为比较法</w:t>
      </w:r>
      <w:r>
        <w:rPr>
          <w:rFonts w:ascii="Arial" w:hAnsi="Arial" w:cs="Arial"/>
          <w:sz w:val="21"/>
          <w:szCs w:val="21"/>
        </w:rPr>
        <w:t>。</w:t>
      </w:r>
    </w:p>
    <w:p w14:paraId="4C1F1992">
      <w:pPr>
        <w:overflowPunct w:val="0"/>
        <w:spacing w:line="480" w:lineRule="auto"/>
        <w:ind w:firstLine="420"/>
        <w:jc w:val="both"/>
        <w:textAlignment w:val="auto"/>
        <w:rPr>
          <w:rFonts w:ascii="Arial" w:hAnsi="Arial" w:cs="Arial"/>
          <w:sz w:val="21"/>
          <w:szCs w:val="21"/>
        </w:rPr>
      </w:pPr>
      <w:r>
        <w:rPr>
          <w:rFonts w:ascii="Arial" w:hAnsi="Arial" w:cs="Arial"/>
          <w:b/>
          <w:bCs/>
          <w:sz w:val="21"/>
          <w:szCs w:val="21"/>
        </w:rPr>
        <w:t>估价结果：</w:t>
      </w:r>
      <w:r>
        <w:rPr>
          <w:rFonts w:ascii="Arial" w:hAnsi="Arial" w:cs="Arial"/>
          <w:sz w:val="21"/>
          <w:szCs w:val="21"/>
        </w:rPr>
        <w:t>评估专业人员根据估价的目的，遵循估价原则，按照估价的程序，采用科学的估价方法，在认真分析现有资料的基础上，通过仔细测算和认真分析各种影响房地产租赁价格的因素，最终确定估价对象同地块、同类型普通住宅房地产于价值时点</w:t>
      </w:r>
      <w:r>
        <w:rPr>
          <w:rFonts w:hint="eastAsia" w:ascii="Arial" w:hAnsi="Arial" w:cs="Arial"/>
          <w:sz w:val="21"/>
          <w:szCs w:val="21"/>
        </w:rPr>
        <w:t>2025年10月1日</w:t>
      </w:r>
      <w:r>
        <w:rPr>
          <w:rFonts w:ascii="Arial" w:hAnsi="Arial" w:cs="Arial"/>
          <w:sz w:val="21"/>
          <w:szCs w:val="21"/>
        </w:rPr>
        <w:t>前一年内（</w:t>
      </w:r>
      <w:r>
        <w:rPr>
          <w:rFonts w:hint="eastAsia" w:ascii="Arial" w:hAnsi="Arial" w:cs="Arial"/>
          <w:sz w:val="21"/>
          <w:szCs w:val="21"/>
        </w:rPr>
        <w:t>2024年10月1日至2025年9月30日</w:t>
      </w:r>
      <w:r>
        <w:rPr>
          <w:rFonts w:ascii="Arial" w:hAnsi="Arial" w:cs="Arial"/>
          <w:sz w:val="21"/>
          <w:szCs w:val="21"/>
        </w:rPr>
        <w:t>）</w:t>
      </w:r>
      <w:bookmarkStart w:id="3" w:name="_Hlk111638309"/>
      <w:r>
        <w:rPr>
          <w:rFonts w:ascii="Arial" w:hAnsi="Arial" w:cs="Arial"/>
          <w:sz w:val="21"/>
          <w:szCs w:val="21"/>
        </w:rPr>
        <w:t>平均市场租金</w:t>
      </w:r>
      <w:bookmarkEnd w:id="3"/>
      <w:r>
        <w:rPr>
          <w:rFonts w:ascii="Arial" w:hAnsi="Arial" w:cs="Arial"/>
          <w:sz w:val="21"/>
          <w:szCs w:val="21"/>
        </w:rPr>
        <w:t>水平为：</w:t>
      </w:r>
      <w:r>
        <w:rPr>
          <w:rFonts w:ascii="Arial" w:hAnsi="Arial" w:eastAsia="Arial" w:cs="Arial"/>
          <w:sz w:val="21"/>
          <w:szCs w:val="21"/>
        </w:rPr>
        <w:t xml:space="preserve"> </w:t>
      </w:r>
    </w:p>
    <w:p w14:paraId="5B622C3B">
      <w:pPr>
        <w:overflowPunct w:val="0"/>
        <w:spacing w:line="480" w:lineRule="auto"/>
        <w:ind w:firstLine="422" w:firstLineChars="200"/>
        <w:textAlignment w:val="auto"/>
        <w:rPr>
          <w:rFonts w:ascii="Arial" w:hAnsi="Arial" w:cs="Arial"/>
          <w:b/>
          <w:bCs/>
          <w:sz w:val="21"/>
          <w:szCs w:val="21"/>
        </w:rPr>
      </w:pPr>
      <w:r>
        <w:rPr>
          <w:rFonts w:hint="eastAsia" w:ascii="Arial" w:hAnsi="Arial" w:cs="Arial"/>
          <w:b/>
          <w:bCs/>
          <w:sz w:val="21"/>
          <w:szCs w:val="21"/>
        </w:rPr>
        <w:t>区域市场租金： 领军人才公寓：76.95元/平方米·月（货币种类：人民币）</w:t>
      </w:r>
    </w:p>
    <w:p w14:paraId="745F89E0">
      <w:pPr>
        <w:overflowPunct w:val="0"/>
        <w:spacing w:line="480" w:lineRule="auto"/>
        <w:ind w:firstLine="1897" w:firstLineChars="900"/>
        <w:textAlignment w:val="auto"/>
        <w:rPr>
          <w:rFonts w:ascii="Arial" w:hAnsi="Arial" w:cs="Arial"/>
          <w:b/>
          <w:bCs/>
          <w:sz w:val="21"/>
          <w:szCs w:val="21"/>
        </w:rPr>
      </w:pPr>
      <w:r>
        <w:rPr>
          <w:rFonts w:hint="eastAsia" w:ascii="Arial" w:hAnsi="Arial" w:cs="Arial"/>
          <w:b/>
          <w:bCs/>
          <w:sz w:val="21"/>
          <w:szCs w:val="21"/>
        </w:rPr>
        <w:t>杰出人才公寓：82.62元/平方米·月（货币种类：人民币）</w:t>
      </w:r>
    </w:p>
    <w:p w14:paraId="7C353477">
      <w:pPr>
        <w:overflowPunct w:val="0"/>
        <w:spacing w:line="480" w:lineRule="auto"/>
        <w:ind w:firstLine="360"/>
        <w:jc w:val="both"/>
        <w:textAlignment w:val="auto"/>
        <w:rPr>
          <w:rFonts w:ascii="Arial" w:hAnsi="Arial" w:cs="Arial"/>
          <w:sz w:val="18"/>
          <w:szCs w:val="18"/>
        </w:rPr>
      </w:pPr>
      <w:r>
        <w:rPr>
          <w:rFonts w:ascii="Arial" w:hAnsi="Arial" w:cs="Arial"/>
          <w:sz w:val="18"/>
          <w:szCs w:val="18"/>
        </w:rPr>
        <w:t>注：1、评估的详细结果、过程及有关说明，详见《估价结果报告》、《估价技术报告》。</w:t>
      </w:r>
    </w:p>
    <w:p w14:paraId="4C0289FA">
      <w:pPr>
        <w:overflowPunct w:val="0"/>
        <w:spacing w:line="480" w:lineRule="auto"/>
        <w:ind w:left="360"/>
        <w:jc w:val="both"/>
        <w:textAlignment w:val="auto"/>
        <w:rPr>
          <w:rFonts w:ascii="Arial" w:hAnsi="Arial" w:cs="Arial"/>
          <w:sz w:val="18"/>
          <w:szCs w:val="18"/>
        </w:rPr>
      </w:pPr>
      <w:r>
        <w:rPr>
          <w:rFonts w:ascii="Arial" w:hAnsi="Arial" w:eastAsia="Arial" w:cs="Arial"/>
          <w:sz w:val="18"/>
          <w:szCs w:val="18"/>
        </w:rPr>
        <w:t xml:space="preserve">    </w:t>
      </w:r>
      <w:r>
        <w:rPr>
          <w:rFonts w:ascii="Arial" w:hAnsi="Arial" w:cs="Arial"/>
          <w:sz w:val="18"/>
          <w:szCs w:val="18"/>
        </w:rPr>
        <w:t>2、估价结果为项目同地段、同类型普通住宅前12个月的市场平均月租金价格。</w:t>
      </w:r>
    </w:p>
    <w:p w14:paraId="01D5E1F9">
      <w:pPr>
        <w:overflowPunct w:val="0"/>
        <w:spacing w:line="480" w:lineRule="auto"/>
        <w:ind w:left="720" w:hanging="360"/>
        <w:jc w:val="both"/>
        <w:textAlignment w:val="auto"/>
      </w:pPr>
      <w:r>
        <w:rPr>
          <w:rFonts w:ascii="Arial" w:hAnsi="Arial" w:eastAsia="Arial" w:cs="Arial"/>
          <w:sz w:val="18"/>
          <w:szCs w:val="18"/>
        </w:rPr>
        <w:t xml:space="preserve">    </w:t>
      </w:r>
      <w:r>
        <w:rPr>
          <w:rFonts w:ascii="Arial" w:hAnsi="Arial" w:cs="Arial"/>
          <w:sz w:val="18"/>
          <w:szCs w:val="18"/>
        </w:rPr>
        <w:t>3、本次估价采取标准房进行评估设定，标准房是指参照被评估住宅项目的户型、面积、朝向、楼层、装修及设备等因素按照众数原则设定的房屋状况。</w:t>
      </w:r>
      <w:r>
        <w:rPr>
          <w:rFonts w:ascii="Arial" w:hAnsi="Arial" w:eastAsia="Arial" w:cs="Arial"/>
          <w:sz w:val="18"/>
          <w:szCs w:val="18"/>
        </w:rPr>
        <w:t xml:space="preserve">  </w:t>
      </w:r>
    </w:p>
    <w:p w14:paraId="74B2137A">
      <w:pPr>
        <w:overflowPunct w:val="0"/>
        <w:spacing w:line="480" w:lineRule="auto"/>
        <w:ind w:left="720" w:hanging="360"/>
        <w:jc w:val="both"/>
        <w:textAlignment w:val="auto"/>
        <w:rPr>
          <w:rFonts w:ascii="Arial" w:hAnsi="Arial" w:cs="Arial"/>
          <w:sz w:val="18"/>
          <w:szCs w:val="18"/>
        </w:rPr>
      </w:pPr>
      <w:r>
        <w:rPr>
          <w:rFonts w:ascii="Arial" w:hAnsi="Arial" w:eastAsia="Arial" w:cs="Arial"/>
          <w:sz w:val="18"/>
          <w:szCs w:val="18"/>
        </w:rPr>
        <w:t xml:space="preserve">    </w:t>
      </w:r>
      <w:r>
        <w:rPr>
          <w:rFonts w:ascii="Arial" w:hAnsi="Arial" w:cs="Arial"/>
          <w:sz w:val="18"/>
          <w:szCs w:val="18"/>
        </w:rPr>
        <w:t>4、估价结果</w:t>
      </w:r>
      <w:r>
        <w:rPr>
          <w:rFonts w:hint="eastAsia" w:ascii="Arial" w:hAnsi="Arial" w:cs="Arial"/>
          <w:sz w:val="18"/>
          <w:szCs w:val="18"/>
        </w:rPr>
        <w:t>包括地租、房屋折旧、家具及家电租赁费、设备折旧、维修费、保险费、物业费、管理费、利息、利润等；不含供暖费、水电费、天然气费、通信费、有线电视费、上网宽带费和租赁税费等</w:t>
      </w:r>
      <w:r>
        <w:rPr>
          <w:rFonts w:ascii="Arial" w:hAnsi="Arial" w:cs="Arial"/>
          <w:sz w:val="18"/>
          <w:szCs w:val="18"/>
        </w:rPr>
        <w:t>。</w:t>
      </w:r>
    </w:p>
    <w:p w14:paraId="42FE4F42">
      <w:pPr>
        <w:overflowPunct w:val="0"/>
        <w:spacing w:line="480" w:lineRule="auto"/>
        <w:ind w:left="881" w:leftChars="367" w:firstLine="525" w:firstLineChars="250"/>
        <w:jc w:val="both"/>
        <w:textAlignment w:val="auto"/>
        <w:rPr>
          <w:rFonts w:ascii="Arial" w:hAnsi="Arial" w:cs="Arial"/>
          <w:sz w:val="21"/>
          <w:szCs w:val="21"/>
        </w:rPr>
      </w:pPr>
      <w:r>
        <w:rPr>
          <w:rFonts w:ascii="Arial" w:hAnsi="Arial" w:cs="Arial"/>
          <w:sz w:val="21"/>
          <w:szCs w:val="21"/>
        </w:rPr>
        <w:t>顺致</w:t>
      </w:r>
    </w:p>
    <w:p w14:paraId="0B09B997">
      <w:pPr>
        <w:spacing w:line="480" w:lineRule="auto"/>
        <w:ind w:firstLine="420"/>
        <w:jc w:val="both"/>
        <w:rPr>
          <w:rFonts w:ascii="Arial" w:hAnsi="Arial" w:cs="Arial"/>
          <w:sz w:val="21"/>
          <w:szCs w:val="21"/>
        </w:rPr>
      </w:pPr>
      <w:r>
        <mc:AlternateContent>
          <mc:Choice Requires="wps">
            <w:drawing>
              <wp:anchor distT="0" distB="0" distL="114300" distR="0" simplePos="0" relativeHeight="251659264" behindDoc="0" locked="0" layoutInCell="1" allowOverlap="1">
                <wp:simplePos x="0" y="0"/>
                <wp:positionH relativeFrom="margin">
                  <wp:align>right</wp:align>
                </wp:positionH>
                <wp:positionV relativeFrom="paragraph">
                  <wp:posOffset>302895</wp:posOffset>
                </wp:positionV>
                <wp:extent cx="2160270" cy="1466850"/>
                <wp:effectExtent l="0" t="0" r="0" b="0"/>
                <wp:wrapSquare wrapText="bothSides"/>
                <wp:docPr id="678170259" name="文本框 2"/>
                <wp:cNvGraphicFramePr/>
                <a:graphic xmlns:a="http://schemas.openxmlformats.org/drawingml/2006/main">
                  <a:graphicData uri="http://schemas.microsoft.com/office/word/2010/wordprocessingShape">
                    <wps:wsp>
                      <wps:cNvSpPr txBox="1"/>
                      <wps:spPr>
                        <a:xfrm>
                          <a:off x="0" y="0"/>
                          <a:ext cx="2160270" cy="1466850"/>
                        </a:xfrm>
                        <a:prstGeom prst="rect">
                          <a:avLst/>
                        </a:prstGeom>
                        <a:solidFill>
                          <a:srgbClr val="FFFFFF">
                            <a:alpha val="0"/>
                          </a:srgbClr>
                        </a:solidFill>
                      </wps:spPr>
                      <wps:txbx>
                        <w:txbxContent>
                          <w:tbl>
                            <w:tblPr>
                              <w:tblStyle w:val="33"/>
                              <w:tblW w:w="3402" w:type="dxa"/>
                              <w:jc w:val="center"/>
                              <w:tblLayout w:type="autofit"/>
                              <w:tblCellMar>
                                <w:top w:w="0" w:type="dxa"/>
                                <w:left w:w="108" w:type="dxa"/>
                                <w:bottom w:w="0" w:type="dxa"/>
                                <w:right w:w="108" w:type="dxa"/>
                              </w:tblCellMar>
                            </w:tblPr>
                            <w:tblGrid>
                              <w:gridCol w:w="3402"/>
                            </w:tblGrid>
                            <w:tr w14:paraId="37CD67BA">
                              <w:tblPrEx>
                                <w:tblCellMar>
                                  <w:top w:w="0" w:type="dxa"/>
                                  <w:left w:w="108" w:type="dxa"/>
                                  <w:bottom w:w="0" w:type="dxa"/>
                                  <w:right w:w="108" w:type="dxa"/>
                                </w:tblCellMar>
                              </w:tblPrEx>
                              <w:trPr>
                                <w:trHeight w:val="268" w:hRule="atLeast"/>
                                <w:jc w:val="center"/>
                              </w:trPr>
                              <w:tc>
                                <w:tcPr>
                                  <w:tcW w:w="3402" w:type="dxa"/>
                                </w:tcPr>
                                <w:p w14:paraId="2C00EF15">
                                  <w:pPr>
                                    <w:spacing w:line="480" w:lineRule="auto"/>
                                    <w:rPr>
                                      <w:rFonts w:ascii="Arial" w:hAnsi="Arial" w:cs="Arial"/>
                                      <w:sz w:val="21"/>
                                      <w:szCs w:val="21"/>
                                    </w:rPr>
                                  </w:pPr>
                                  <w:r>
                                    <w:rPr>
                                      <w:rFonts w:ascii="Arial" w:hAnsi="Arial" w:cs="Arial"/>
                                      <w:sz w:val="21"/>
                                      <w:szCs w:val="21"/>
                                    </w:rPr>
                                    <w:t>北京康正宏基房地产评估有限公司</w:t>
                                  </w:r>
                                </w:p>
                              </w:tc>
                            </w:tr>
                            <w:tr w14:paraId="61E47498">
                              <w:tblPrEx>
                                <w:tblCellMar>
                                  <w:top w:w="0" w:type="dxa"/>
                                  <w:left w:w="108" w:type="dxa"/>
                                  <w:bottom w:w="0" w:type="dxa"/>
                                  <w:right w:w="108" w:type="dxa"/>
                                </w:tblCellMar>
                              </w:tblPrEx>
                              <w:trPr>
                                <w:trHeight w:val="1192" w:hRule="atLeast"/>
                                <w:jc w:val="center"/>
                              </w:trPr>
                              <w:tc>
                                <w:tcPr>
                                  <w:tcW w:w="3402" w:type="dxa"/>
                                </w:tcPr>
                                <w:p w14:paraId="0C1B9943">
                                  <w:pPr>
                                    <w:spacing w:line="480" w:lineRule="auto"/>
                                    <w:rPr>
                                      <w:rFonts w:ascii="Arial" w:hAnsi="Arial" w:cs="Arial"/>
                                      <w:sz w:val="21"/>
                                      <w:szCs w:val="21"/>
                                    </w:rPr>
                                  </w:pPr>
                                  <w:r>
                                    <w:rPr>
                                      <w:rFonts w:ascii="Arial" w:hAnsi="Arial" w:cs="Arial"/>
                                      <w:sz w:val="21"/>
                                      <w:szCs w:val="21"/>
                                    </w:rPr>
                                    <w:t>法定代表人：</w:t>
                                  </w:r>
                                </w:p>
                              </w:tc>
                            </w:tr>
                            <w:tr w14:paraId="6A08D4FC">
                              <w:tblPrEx>
                                <w:tblCellMar>
                                  <w:top w:w="0" w:type="dxa"/>
                                  <w:left w:w="108" w:type="dxa"/>
                                  <w:bottom w:w="0" w:type="dxa"/>
                                  <w:right w:w="108" w:type="dxa"/>
                                </w:tblCellMar>
                              </w:tblPrEx>
                              <w:trPr>
                                <w:jc w:val="center"/>
                              </w:trPr>
                              <w:tc>
                                <w:tcPr>
                                  <w:tcW w:w="3402" w:type="dxa"/>
                                </w:tcPr>
                                <w:p w14:paraId="6DCB6FC6">
                                  <w:pPr>
                                    <w:spacing w:line="480" w:lineRule="auto"/>
                                    <w:jc w:val="right"/>
                                  </w:pPr>
                                  <w:r>
                                    <w:rPr>
                                      <w:rFonts w:hint="eastAsia" w:ascii="Arial" w:hAnsi="Arial" w:cs="Arial"/>
                                      <w:sz w:val="21"/>
                                      <w:szCs w:val="21"/>
                                    </w:rPr>
                                    <w:t>二〇二五年十一月一日</w:t>
                                  </w:r>
                                </w:p>
                              </w:tc>
                            </w:tr>
                          </w:tbl>
                          <w:p w14:paraId="4CFB6688"/>
                        </w:txbxContent>
                      </wps:txbx>
                      <wps:bodyPr lIns="0" tIns="0" rIns="0" bIns="0" anchor="t">
                        <a:noAutofit/>
                      </wps:bodyPr>
                    </wps:wsp>
                  </a:graphicData>
                </a:graphic>
              </wp:anchor>
            </w:drawing>
          </mc:Choice>
          <mc:Fallback>
            <w:pict>
              <v:shape id="文本框 2" o:spid="_x0000_s1026" o:spt="202" type="#_x0000_t202" style="position:absolute;left:0pt;margin-top:23.85pt;height:115.5pt;width:170.1pt;mso-position-horizontal:right;mso-position-horizontal-relative:margin;mso-wrap-distance-bottom:0pt;mso-wrap-distance-left:9pt;mso-wrap-distance-right:0pt;mso-wrap-distance-top:0pt;z-index:251659264;mso-width-relative:page;mso-height-relative:page;" fillcolor="#FFFFFF" filled="t" stroked="f" coordsize="21600,21600" o:gfxdata="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NT165bVAAAABwEA&#10;AA8AAAAAAAAAAQAgAAAAIgAAAGRycy9kb3ducmV2LnhtbFBLAQIUABQAAAAIAIdO4kAFkXrT5AEA&#10;AMIDAAAOAAAAAAAAAAEAIAAAACQBAABkcnMvZTJvRG9jLnhtbFBLBQYAAAAABgAGAFkBAAB6BQAA&#10;AAA=&#10;">
                <v:fill on="t" opacity="0f" focussize="0,0"/>
                <v:stroke on="f"/>
                <v:imagedata o:title=""/>
                <o:lock v:ext="edit" aspectratio="f"/>
                <v:textbox inset="0mm,0mm,0mm,0mm">
                  <w:txbxContent>
                    <w:tbl>
                      <w:tblPr>
                        <w:tblStyle w:val="33"/>
                        <w:tblW w:w="3402" w:type="dxa"/>
                        <w:jc w:val="center"/>
                        <w:tblLayout w:type="autofit"/>
                        <w:tblCellMar>
                          <w:top w:w="0" w:type="dxa"/>
                          <w:left w:w="108" w:type="dxa"/>
                          <w:bottom w:w="0" w:type="dxa"/>
                          <w:right w:w="108" w:type="dxa"/>
                        </w:tblCellMar>
                      </w:tblPr>
                      <w:tblGrid>
                        <w:gridCol w:w="3402"/>
                      </w:tblGrid>
                      <w:tr w14:paraId="37CD67BA">
                        <w:trPr>
                          <w:trHeight w:val="268" w:hRule="atLeast"/>
                          <w:jc w:val="center"/>
                        </w:trPr>
                        <w:tc>
                          <w:tcPr>
                            <w:tcW w:w="3402" w:type="dxa"/>
                          </w:tcPr>
                          <w:p w14:paraId="2C00EF15">
                            <w:pPr>
                              <w:spacing w:line="480" w:lineRule="auto"/>
                              <w:rPr>
                                <w:rFonts w:ascii="Arial" w:hAnsi="Arial" w:cs="Arial"/>
                                <w:sz w:val="21"/>
                                <w:szCs w:val="21"/>
                              </w:rPr>
                            </w:pPr>
                            <w:r>
                              <w:rPr>
                                <w:rFonts w:ascii="Arial" w:hAnsi="Arial" w:cs="Arial"/>
                                <w:sz w:val="21"/>
                                <w:szCs w:val="21"/>
                              </w:rPr>
                              <w:t>北京康正宏基房地产评估有限公司</w:t>
                            </w:r>
                          </w:p>
                        </w:tc>
                      </w:tr>
                      <w:tr w14:paraId="61E47498">
                        <w:tblPrEx>
                          <w:tblCellMar>
                            <w:top w:w="0" w:type="dxa"/>
                            <w:left w:w="108" w:type="dxa"/>
                            <w:bottom w:w="0" w:type="dxa"/>
                            <w:right w:w="108" w:type="dxa"/>
                          </w:tblCellMar>
                        </w:tblPrEx>
                        <w:trPr>
                          <w:trHeight w:val="1192" w:hRule="atLeast"/>
                          <w:jc w:val="center"/>
                        </w:trPr>
                        <w:tc>
                          <w:tcPr>
                            <w:tcW w:w="3402" w:type="dxa"/>
                          </w:tcPr>
                          <w:p w14:paraId="0C1B9943">
                            <w:pPr>
                              <w:spacing w:line="480" w:lineRule="auto"/>
                              <w:rPr>
                                <w:rFonts w:ascii="Arial" w:hAnsi="Arial" w:cs="Arial"/>
                                <w:sz w:val="21"/>
                                <w:szCs w:val="21"/>
                              </w:rPr>
                            </w:pPr>
                            <w:r>
                              <w:rPr>
                                <w:rFonts w:ascii="Arial" w:hAnsi="Arial" w:cs="Arial"/>
                                <w:sz w:val="21"/>
                                <w:szCs w:val="21"/>
                              </w:rPr>
                              <w:t>法定代表人：</w:t>
                            </w:r>
                          </w:p>
                        </w:tc>
                      </w:tr>
                      <w:tr w14:paraId="6A08D4FC">
                        <w:tblPrEx>
                          <w:tblCellMar>
                            <w:top w:w="0" w:type="dxa"/>
                            <w:left w:w="108" w:type="dxa"/>
                            <w:bottom w:w="0" w:type="dxa"/>
                            <w:right w:w="108" w:type="dxa"/>
                          </w:tblCellMar>
                        </w:tblPrEx>
                        <w:trPr>
                          <w:jc w:val="center"/>
                        </w:trPr>
                        <w:tc>
                          <w:tcPr>
                            <w:tcW w:w="3402" w:type="dxa"/>
                          </w:tcPr>
                          <w:p w14:paraId="6DCB6FC6">
                            <w:pPr>
                              <w:spacing w:line="480" w:lineRule="auto"/>
                              <w:jc w:val="right"/>
                            </w:pPr>
                            <w:r>
                              <w:rPr>
                                <w:rFonts w:hint="eastAsia" w:ascii="Arial" w:hAnsi="Arial" w:cs="Arial"/>
                                <w:sz w:val="21"/>
                                <w:szCs w:val="21"/>
                              </w:rPr>
                              <w:t>二〇二五年十一月一日</w:t>
                            </w:r>
                          </w:p>
                        </w:tc>
                      </w:tr>
                    </w:tbl>
                    <w:p w14:paraId="4CFB6688"/>
                  </w:txbxContent>
                </v:textbox>
                <w10:wrap type="square"/>
              </v:shape>
            </w:pict>
          </mc:Fallback>
        </mc:AlternateContent>
      </w:r>
      <w:r>
        <w:rPr>
          <w:rFonts w:ascii="Arial" w:hAnsi="Arial" w:cs="Arial"/>
          <w:sz w:val="21"/>
          <w:szCs w:val="21"/>
        </w:rPr>
        <w:t>商祺</w:t>
      </w:r>
    </w:p>
    <w:p w14:paraId="0E10AA3F">
      <w:pPr>
        <w:spacing w:line="480" w:lineRule="auto"/>
        <w:jc w:val="both"/>
        <w:rPr>
          <w:rFonts w:ascii="Arial" w:hAnsi="Arial" w:cs="Arial"/>
          <w:sz w:val="21"/>
          <w:szCs w:val="21"/>
        </w:rPr>
      </w:pPr>
    </w:p>
    <w:p w14:paraId="067D06DD">
      <w:pPr>
        <w:spacing w:line="480" w:lineRule="auto"/>
        <w:ind w:firstLine="420"/>
        <w:jc w:val="both"/>
        <w:rPr>
          <w:rFonts w:ascii="Arial" w:hAnsi="Arial" w:cs="Arial"/>
          <w:sz w:val="21"/>
          <w:szCs w:val="21"/>
        </w:rPr>
      </w:pPr>
    </w:p>
    <w:p w14:paraId="5A88AD19">
      <w:pPr>
        <w:spacing w:line="480" w:lineRule="auto"/>
        <w:ind w:firstLine="420"/>
        <w:jc w:val="both"/>
        <w:rPr>
          <w:rFonts w:ascii="Arial" w:hAnsi="Arial" w:cs="Arial"/>
          <w:sz w:val="21"/>
          <w:szCs w:val="21"/>
        </w:rPr>
      </w:pPr>
    </w:p>
    <w:p w14:paraId="1049DB6F">
      <w:pPr>
        <w:spacing w:line="480" w:lineRule="auto"/>
        <w:ind w:firstLine="420"/>
        <w:jc w:val="both"/>
        <w:rPr>
          <w:rFonts w:ascii="Arial" w:hAnsi="Arial" w:cs="Arial"/>
          <w:sz w:val="21"/>
          <w:szCs w:val="21"/>
        </w:rPr>
      </w:pPr>
      <w:r>
        <w:rPr>
          <w:rFonts w:hint="eastAsia" w:ascii="Arial" w:hAnsi="Arial" w:cs="Arial"/>
          <w:sz w:val="21"/>
          <w:szCs w:val="21"/>
        </w:rPr>
        <w:t xml:space="preserve">                                                                                               </w:t>
      </w:r>
    </w:p>
    <w:p w14:paraId="6F67A9DE">
      <w:pPr>
        <w:spacing w:line="480" w:lineRule="auto"/>
        <w:jc w:val="both"/>
        <w:rPr>
          <w:rFonts w:ascii="Arial" w:hAnsi="Arial" w:cs="Arial"/>
          <w:sz w:val="21"/>
          <w:szCs w:val="21"/>
        </w:rPr>
      </w:pPr>
    </w:p>
    <w:p w14:paraId="7A8172A8">
      <w:pPr>
        <w:spacing w:line="480" w:lineRule="auto"/>
        <w:jc w:val="right"/>
        <w:rPr>
          <w:rFonts w:ascii="Arial" w:hAnsi="Arial" w:cs="Arial"/>
          <w:sz w:val="21"/>
          <w:szCs w:val="21"/>
        </w:rPr>
        <w:sectPr>
          <w:headerReference r:id="rId11" w:type="default"/>
          <w:footerReference r:id="rId12" w:type="default"/>
          <w:pgSz w:w="11906" w:h="16838"/>
          <w:pgMar w:top="1843" w:right="1134" w:bottom="1134" w:left="1474" w:header="1134" w:footer="907" w:gutter="0"/>
          <w:pgNumType w:start="1"/>
          <w:cols w:space="720" w:num="1"/>
          <w:formProt w:val="0"/>
          <w:docGrid w:linePitch="326" w:charSpace="0"/>
        </w:sectPr>
      </w:pPr>
    </w:p>
    <w:p w14:paraId="63F45D31">
      <w:pPr>
        <w:spacing w:line="480" w:lineRule="auto"/>
        <w:jc w:val="center"/>
        <w:outlineLvl w:val="0"/>
      </w:pPr>
      <w:r>
        <w:rPr>
          <w:rFonts w:eastAsia="方正黑体简体"/>
        </w:rPr>
        <w:t xml:space="preserve">目   </w:t>
      </w:r>
      <w:r>
        <w:t>录</w:t>
      </w:r>
    </w:p>
    <w:sdt>
      <w:sdtPr>
        <w:id w:val="1141393622"/>
        <w:docPartObj>
          <w:docPartGallery w:val="Table of Contents"/>
          <w:docPartUnique/>
        </w:docPartObj>
      </w:sdtPr>
      <w:sdtContent>
        <w:p w14:paraId="43CBE6D6">
          <w:pPr>
            <w:pStyle w:val="22"/>
            <w:rPr>
              <w:rFonts w:asciiTheme="minorHAnsi" w:hAnsiTheme="minorHAnsi" w:eastAsiaTheme="minorEastAsia" w:cstheme="minorBidi"/>
              <w:b w:val="0"/>
              <w:bCs w:val="0"/>
              <w:kern w:val="2"/>
              <w:sz w:val="24"/>
              <w:szCs w:val="24"/>
              <w:lang w:val="en-US"/>
              <w14:ligatures w14:val="standardContextual"/>
            </w:rPr>
          </w:pPr>
          <w:r>
            <w:fldChar w:fldCharType="begin"/>
          </w:r>
          <w:r>
            <w:rPr>
              <w:rFonts w:ascii="宋体;SimSun" w:hAnsi="宋体;SimSun" w:eastAsia="宋体;SimSun" w:cs="宋体;SimSun"/>
              <w:sz w:val="24"/>
              <w:szCs w:val="24"/>
            </w:rPr>
            <w:instrText xml:space="preserve">TOC \o "1-3" \h \z</w:instrText>
          </w:r>
          <w:r>
            <w:rPr>
              <w:rFonts w:ascii="宋体;SimSun" w:hAnsi="宋体;SimSun" w:eastAsia="宋体;SimSun" w:cs="宋体;SimSun"/>
              <w:sz w:val="24"/>
              <w:szCs w:val="24"/>
            </w:rPr>
            <w:fldChar w:fldCharType="separate"/>
          </w:r>
          <w:r>
            <w:fldChar w:fldCharType="begin"/>
          </w:r>
          <w:r>
            <w:instrText xml:space="preserve"> HYPERLINK \l "_Toc155340478" </w:instrText>
          </w:r>
          <w:r>
            <w:fldChar w:fldCharType="separate"/>
          </w:r>
          <w:r>
            <w:rPr>
              <w:rStyle w:val="36"/>
              <w:rFonts w:eastAsia="方正黑体简体"/>
              <w:sz w:val="24"/>
              <w:szCs w:val="24"/>
            </w:rPr>
            <w:t>致估价委托人函</w:t>
          </w:r>
          <w:r>
            <w:rPr>
              <w:sz w:val="24"/>
              <w:szCs w:val="24"/>
            </w:rPr>
            <w:tab/>
          </w:r>
          <w:r>
            <w:rPr>
              <w:sz w:val="24"/>
              <w:szCs w:val="24"/>
            </w:rPr>
            <w:fldChar w:fldCharType="begin"/>
          </w:r>
          <w:r>
            <w:rPr>
              <w:sz w:val="24"/>
              <w:szCs w:val="24"/>
            </w:rPr>
            <w:instrText xml:space="preserve"> PAGEREF _Toc155340478 \h </w:instrText>
          </w:r>
          <w:r>
            <w:rPr>
              <w:sz w:val="24"/>
              <w:szCs w:val="24"/>
            </w:rPr>
            <w:fldChar w:fldCharType="separate"/>
          </w:r>
          <w:r>
            <w:rPr>
              <w:sz w:val="24"/>
              <w:szCs w:val="24"/>
            </w:rPr>
            <w:t>1</w:t>
          </w:r>
          <w:r>
            <w:rPr>
              <w:sz w:val="24"/>
              <w:szCs w:val="24"/>
            </w:rPr>
            <w:fldChar w:fldCharType="end"/>
          </w:r>
          <w:r>
            <w:rPr>
              <w:sz w:val="24"/>
              <w:szCs w:val="24"/>
            </w:rPr>
            <w:fldChar w:fldCharType="end"/>
          </w:r>
        </w:p>
        <w:p w14:paraId="235554A6">
          <w:pPr>
            <w:pStyle w:val="22"/>
            <w:rPr>
              <w:rFonts w:asciiTheme="minorHAnsi" w:hAnsiTheme="minorHAnsi" w:eastAsiaTheme="minorEastAsia" w:cstheme="minorBidi"/>
              <w:b w:val="0"/>
              <w:bCs w:val="0"/>
              <w:kern w:val="2"/>
              <w:sz w:val="24"/>
              <w:szCs w:val="24"/>
              <w:lang w:val="en-US"/>
              <w14:ligatures w14:val="standardContextual"/>
            </w:rPr>
          </w:pPr>
          <w:r>
            <w:fldChar w:fldCharType="begin"/>
          </w:r>
          <w:r>
            <w:instrText xml:space="preserve"> HYPERLINK \l "_Toc155340479" </w:instrText>
          </w:r>
          <w:r>
            <w:fldChar w:fldCharType="separate"/>
          </w:r>
          <w:r>
            <w:rPr>
              <w:rStyle w:val="36"/>
              <w:rFonts w:eastAsia="方正黑体简体"/>
              <w:sz w:val="24"/>
              <w:szCs w:val="24"/>
            </w:rPr>
            <w:t>估价师声明</w:t>
          </w:r>
          <w:r>
            <w:rPr>
              <w:sz w:val="24"/>
              <w:szCs w:val="24"/>
            </w:rPr>
            <w:tab/>
          </w:r>
          <w:r>
            <w:rPr>
              <w:sz w:val="24"/>
              <w:szCs w:val="24"/>
            </w:rPr>
            <w:fldChar w:fldCharType="begin"/>
          </w:r>
          <w:r>
            <w:rPr>
              <w:sz w:val="24"/>
              <w:szCs w:val="24"/>
            </w:rPr>
            <w:instrText xml:space="preserve"> PAGEREF _Toc155340479 \h </w:instrText>
          </w:r>
          <w:r>
            <w:rPr>
              <w:sz w:val="24"/>
              <w:szCs w:val="24"/>
            </w:rPr>
            <w:fldChar w:fldCharType="separate"/>
          </w:r>
          <w:r>
            <w:rPr>
              <w:sz w:val="24"/>
              <w:szCs w:val="24"/>
            </w:rPr>
            <w:t>5</w:t>
          </w:r>
          <w:r>
            <w:rPr>
              <w:sz w:val="24"/>
              <w:szCs w:val="24"/>
            </w:rPr>
            <w:fldChar w:fldCharType="end"/>
          </w:r>
          <w:r>
            <w:rPr>
              <w:sz w:val="24"/>
              <w:szCs w:val="24"/>
            </w:rPr>
            <w:fldChar w:fldCharType="end"/>
          </w:r>
        </w:p>
        <w:p w14:paraId="7F6A3B6F">
          <w:pPr>
            <w:pStyle w:val="22"/>
            <w:rPr>
              <w:rFonts w:asciiTheme="minorHAnsi" w:hAnsiTheme="minorHAnsi" w:eastAsiaTheme="minorEastAsia" w:cstheme="minorBidi"/>
              <w:b w:val="0"/>
              <w:bCs w:val="0"/>
              <w:kern w:val="2"/>
              <w:sz w:val="24"/>
              <w:szCs w:val="24"/>
              <w:lang w:val="en-US"/>
              <w14:ligatures w14:val="standardContextual"/>
            </w:rPr>
          </w:pPr>
          <w:r>
            <w:fldChar w:fldCharType="begin"/>
          </w:r>
          <w:r>
            <w:instrText xml:space="preserve"> HYPERLINK \l "_Toc155340480" </w:instrText>
          </w:r>
          <w:r>
            <w:fldChar w:fldCharType="separate"/>
          </w:r>
          <w:r>
            <w:rPr>
              <w:rStyle w:val="36"/>
              <w:rFonts w:eastAsia="方正黑体简体"/>
              <w:sz w:val="24"/>
              <w:szCs w:val="24"/>
            </w:rPr>
            <w:t>估价假设和限制条件</w:t>
          </w:r>
          <w:r>
            <w:rPr>
              <w:sz w:val="24"/>
              <w:szCs w:val="24"/>
            </w:rPr>
            <w:tab/>
          </w:r>
          <w:r>
            <w:rPr>
              <w:sz w:val="24"/>
              <w:szCs w:val="24"/>
            </w:rPr>
            <w:fldChar w:fldCharType="begin"/>
          </w:r>
          <w:r>
            <w:rPr>
              <w:sz w:val="24"/>
              <w:szCs w:val="24"/>
            </w:rPr>
            <w:instrText xml:space="preserve"> PAGEREF _Toc155340480 \h </w:instrText>
          </w:r>
          <w:r>
            <w:rPr>
              <w:sz w:val="24"/>
              <w:szCs w:val="24"/>
            </w:rPr>
            <w:fldChar w:fldCharType="separate"/>
          </w:r>
          <w:r>
            <w:rPr>
              <w:sz w:val="24"/>
              <w:szCs w:val="24"/>
            </w:rPr>
            <w:t>6</w:t>
          </w:r>
          <w:r>
            <w:rPr>
              <w:sz w:val="24"/>
              <w:szCs w:val="24"/>
            </w:rPr>
            <w:fldChar w:fldCharType="end"/>
          </w:r>
          <w:r>
            <w:rPr>
              <w:sz w:val="24"/>
              <w:szCs w:val="24"/>
            </w:rPr>
            <w:fldChar w:fldCharType="end"/>
          </w:r>
        </w:p>
        <w:p w14:paraId="777820CB">
          <w:pPr>
            <w:pStyle w:val="22"/>
            <w:rPr>
              <w:rFonts w:asciiTheme="minorHAnsi" w:hAnsiTheme="minorHAnsi" w:eastAsiaTheme="minorEastAsia" w:cstheme="minorBidi"/>
              <w:b w:val="0"/>
              <w:bCs w:val="0"/>
              <w:kern w:val="2"/>
              <w:sz w:val="24"/>
              <w:szCs w:val="24"/>
              <w:lang w:val="en-US"/>
              <w14:ligatures w14:val="standardContextual"/>
            </w:rPr>
          </w:pPr>
          <w:r>
            <w:fldChar w:fldCharType="begin"/>
          </w:r>
          <w:r>
            <w:instrText xml:space="preserve"> HYPERLINK \l "_Toc155340481" </w:instrText>
          </w:r>
          <w:r>
            <w:fldChar w:fldCharType="separate"/>
          </w:r>
          <w:r>
            <w:rPr>
              <w:rStyle w:val="36"/>
              <w:rFonts w:eastAsia="方正黑体简体"/>
              <w:sz w:val="24"/>
              <w:szCs w:val="24"/>
            </w:rPr>
            <w:t>估价结果报告</w:t>
          </w:r>
          <w:r>
            <w:rPr>
              <w:sz w:val="24"/>
              <w:szCs w:val="24"/>
            </w:rPr>
            <w:tab/>
          </w:r>
          <w:r>
            <w:rPr>
              <w:sz w:val="24"/>
              <w:szCs w:val="24"/>
            </w:rPr>
            <w:fldChar w:fldCharType="begin"/>
          </w:r>
          <w:r>
            <w:rPr>
              <w:sz w:val="24"/>
              <w:szCs w:val="24"/>
            </w:rPr>
            <w:instrText xml:space="preserve"> PAGEREF _Toc155340481 \h </w:instrText>
          </w:r>
          <w:r>
            <w:rPr>
              <w:sz w:val="24"/>
              <w:szCs w:val="24"/>
            </w:rPr>
            <w:fldChar w:fldCharType="separate"/>
          </w:r>
          <w:r>
            <w:rPr>
              <w:sz w:val="24"/>
              <w:szCs w:val="24"/>
            </w:rPr>
            <w:t>9</w:t>
          </w:r>
          <w:r>
            <w:rPr>
              <w:sz w:val="24"/>
              <w:szCs w:val="24"/>
            </w:rPr>
            <w:fldChar w:fldCharType="end"/>
          </w:r>
          <w:r>
            <w:rPr>
              <w:sz w:val="24"/>
              <w:szCs w:val="24"/>
            </w:rPr>
            <w:fldChar w:fldCharType="end"/>
          </w:r>
        </w:p>
        <w:p w14:paraId="6C239F6B">
          <w:pPr>
            <w:pStyle w:val="27"/>
            <w:rPr>
              <w:rFonts w:asciiTheme="minorHAnsi" w:hAnsiTheme="minorHAnsi" w:eastAsiaTheme="minorEastAsia" w:cstheme="minorBidi"/>
              <w:kern w:val="2"/>
              <w:sz w:val="21"/>
              <w:szCs w:val="21"/>
              <w:lang w:val="en-US"/>
              <w14:ligatures w14:val="standardContextual"/>
            </w:rPr>
          </w:pPr>
          <w:r>
            <w:fldChar w:fldCharType="begin"/>
          </w:r>
          <w:r>
            <w:instrText xml:space="preserve"> HYPERLINK \l "_Toc155340482" </w:instrText>
          </w:r>
          <w:r>
            <w:fldChar w:fldCharType="separate"/>
          </w:r>
          <w:r>
            <w:rPr>
              <w:rStyle w:val="36"/>
              <w:rFonts w:eastAsia="宋体;SimSun"/>
              <w:sz w:val="21"/>
              <w:szCs w:val="21"/>
            </w:rPr>
            <w:t>一、估价委托人</w:t>
          </w:r>
          <w:r>
            <w:rPr>
              <w:sz w:val="21"/>
              <w:szCs w:val="21"/>
            </w:rPr>
            <w:tab/>
          </w:r>
          <w:r>
            <w:rPr>
              <w:sz w:val="21"/>
              <w:szCs w:val="21"/>
            </w:rPr>
            <w:fldChar w:fldCharType="begin"/>
          </w:r>
          <w:r>
            <w:rPr>
              <w:sz w:val="21"/>
              <w:szCs w:val="21"/>
            </w:rPr>
            <w:instrText xml:space="preserve"> PAGEREF _Toc155340482 \h </w:instrText>
          </w:r>
          <w:r>
            <w:rPr>
              <w:sz w:val="21"/>
              <w:szCs w:val="21"/>
            </w:rPr>
            <w:fldChar w:fldCharType="separate"/>
          </w:r>
          <w:r>
            <w:rPr>
              <w:sz w:val="21"/>
              <w:szCs w:val="21"/>
            </w:rPr>
            <w:t>9</w:t>
          </w:r>
          <w:r>
            <w:rPr>
              <w:sz w:val="21"/>
              <w:szCs w:val="21"/>
            </w:rPr>
            <w:fldChar w:fldCharType="end"/>
          </w:r>
          <w:r>
            <w:rPr>
              <w:sz w:val="21"/>
              <w:szCs w:val="21"/>
            </w:rPr>
            <w:fldChar w:fldCharType="end"/>
          </w:r>
        </w:p>
        <w:p w14:paraId="50B77CDD">
          <w:pPr>
            <w:pStyle w:val="27"/>
            <w:rPr>
              <w:rFonts w:asciiTheme="minorHAnsi" w:hAnsiTheme="minorHAnsi" w:eastAsiaTheme="minorEastAsia" w:cstheme="minorBidi"/>
              <w:kern w:val="2"/>
              <w:sz w:val="21"/>
              <w:szCs w:val="21"/>
              <w:lang w:val="en-US"/>
              <w14:ligatures w14:val="standardContextual"/>
            </w:rPr>
          </w:pPr>
          <w:r>
            <w:fldChar w:fldCharType="begin"/>
          </w:r>
          <w:r>
            <w:instrText xml:space="preserve"> HYPERLINK \l "_Toc155340483" </w:instrText>
          </w:r>
          <w:r>
            <w:fldChar w:fldCharType="separate"/>
          </w:r>
          <w:r>
            <w:rPr>
              <w:rStyle w:val="36"/>
              <w:rFonts w:eastAsia="宋体;SimSun"/>
              <w:sz w:val="21"/>
              <w:szCs w:val="21"/>
            </w:rPr>
            <w:t>二、房地产估价机构</w:t>
          </w:r>
          <w:r>
            <w:rPr>
              <w:sz w:val="21"/>
              <w:szCs w:val="21"/>
            </w:rPr>
            <w:tab/>
          </w:r>
          <w:r>
            <w:rPr>
              <w:sz w:val="21"/>
              <w:szCs w:val="21"/>
            </w:rPr>
            <w:fldChar w:fldCharType="begin"/>
          </w:r>
          <w:r>
            <w:rPr>
              <w:sz w:val="21"/>
              <w:szCs w:val="21"/>
            </w:rPr>
            <w:instrText xml:space="preserve"> PAGEREF _Toc155340483 \h </w:instrText>
          </w:r>
          <w:r>
            <w:rPr>
              <w:sz w:val="21"/>
              <w:szCs w:val="21"/>
            </w:rPr>
            <w:fldChar w:fldCharType="separate"/>
          </w:r>
          <w:r>
            <w:rPr>
              <w:sz w:val="21"/>
              <w:szCs w:val="21"/>
            </w:rPr>
            <w:t>9</w:t>
          </w:r>
          <w:r>
            <w:rPr>
              <w:sz w:val="21"/>
              <w:szCs w:val="21"/>
            </w:rPr>
            <w:fldChar w:fldCharType="end"/>
          </w:r>
          <w:r>
            <w:rPr>
              <w:sz w:val="21"/>
              <w:szCs w:val="21"/>
            </w:rPr>
            <w:fldChar w:fldCharType="end"/>
          </w:r>
        </w:p>
        <w:p w14:paraId="70688CB4">
          <w:pPr>
            <w:pStyle w:val="27"/>
            <w:rPr>
              <w:rFonts w:asciiTheme="minorHAnsi" w:hAnsiTheme="minorHAnsi" w:eastAsiaTheme="minorEastAsia" w:cstheme="minorBidi"/>
              <w:kern w:val="2"/>
              <w:sz w:val="21"/>
              <w:szCs w:val="21"/>
              <w:lang w:val="en-US"/>
              <w14:ligatures w14:val="standardContextual"/>
            </w:rPr>
          </w:pPr>
          <w:r>
            <w:fldChar w:fldCharType="begin"/>
          </w:r>
          <w:r>
            <w:instrText xml:space="preserve"> HYPERLINK \l "_Toc155340484" </w:instrText>
          </w:r>
          <w:r>
            <w:fldChar w:fldCharType="separate"/>
          </w:r>
          <w:r>
            <w:rPr>
              <w:rStyle w:val="36"/>
              <w:rFonts w:eastAsia="宋体;SimSun"/>
              <w:sz w:val="21"/>
              <w:szCs w:val="21"/>
            </w:rPr>
            <w:t>三、估价目的</w:t>
          </w:r>
          <w:r>
            <w:rPr>
              <w:sz w:val="21"/>
              <w:szCs w:val="21"/>
            </w:rPr>
            <w:tab/>
          </w:r>
          <w:r>
            <w:rPr>
              <w:sz w:val="21"/>
              <w:szCs w:val="21"/>
            </w:rPr>
            <w:fldChar w:fldCharType="begin"/>
          </w:r>
          <w:r>
            <w:rPr>
              <w:sz w:val="21"/>
              <w:szCs w:val="21"/>
            </w:rPr>
            <w:instrText xml:space="preserve"> PAGEREF _Toc155340484 \h </w:instrText>
          </w:r>
          <w:r>
            <w:rPr>
              <w:sz w:val="21"/>
              <w:szCs w:val="21"/>
            </w:rPr>
            <w:fldChar w:fldCharType="separate"/>
          </w:r>
          <w:r>
            <w:rPr>
              <w:sz w:val="21"/>
              <w:szCs w:val="21"/>
            </w:rPr>
            <w:t>9</w:t>
          </w:r>
          <w:r>
            <w:rPr>
              <w:sz w:val="21"/>
              <w:szCs w:val="21"/>
            </w:rPr>
            <w:fldChar w:fldCharType="end"/>
          </w:r>
          <w:r>
            <w:rPr>
              <w:sz w:val="21"/>
              <w:szCs w:val="21"/>
            </w:rPr>
            <w:fldChar w:fldCharType="end"/>
          </w:r>
        </w:p>
        <w:p w14:paraId="6074CD1F">
          <w:pPr>
            <w:pStyle w:val="27"/>
            <w:rPr>
              <w:rFonts w:asciiTheme="minorHAnsi" w:hAnsiTheme="minorHAnsi" w:eastAsiaTheme="minorEastAsia" w:cstheme="minorBidi"/>
              <w:kern w:val="2"/>
              <w:sz w:val="21"/>
              <w:szCs w:val="21"/>
              <w:lang w:val="en-US"/>
              <w14:ligatures w14:val="standardContextual"/>
            </w:rPr>
          </w:pPr>
          <w:r>
            <w:fldChar w:fldCharType="begin"/>
          </w:r>
          <w:r>
            <w:instrText xml:space="preserve"> HYPERLINK \l "_Toc155340485" </w:instrText>
          </w:r>
          <w:r>
            <w:fldChar w:fldCharType="separate"/>
          </w:r>
          <w:r>
            <w:rPr>
              <w:rStyle w:val="36"/>
              <w:rFonts w:eastAsia="宋体;SimSun"/>
              <w:sz w:val="21"/>
              <w:szCs w:val="21"/>
            </w:rPr>
            <w:t>四、估价对象</w:t>
          </w:r>
          <w:r>
            <w:rPr>
              <w:sz w:val="21"/>
              <w:szCs w:val="21"/>
            </w:rPr>
            <w:tab/>
          </w:r>
          <w:r>
            <w:rPr>
              <w:sz w:val="21"/>
              <w:szCs w:val="21"/>
            </w:rPr>
            <w:fldChar w:fldCharType="begin"/>
          </w:r>
          <w:r>
            <w:rPr>
              <w:sz w:val="21"/>
              <w:szCs w:val="21"/>
            </w:rPr>
            <w:instrText xml:space="preserve"> PAGEREF _Toc155340485 \h </w:instrText>
          </w:r>
          <w:r>
            <w:rPr>
              <w:sz w:val="21"/>
              <w:szCs w:val="21"/>
            </w:rPr>
            <w:fldChar w:fldCharType="separate"/>
          </w:r>
          <w:r>
            <w:rPr>
              <w:sz w:val="21"/>
              <w:szCs w:val="21"/>
            </w:rPr>
            <w:t>9</w:t>
          </w:r>
          <w:r>
            <w:rPr>
              <w:sz w:val="21"/>
              <w:szCs w:val="21"/>
            </w:rPr>
            <w:fldChar w:fldCharType="end"/>
          </w:r>
          <w:r>
            <w:rPr>
              <w:sz w:val="21"/>
              <w:szCs w:val="21"/>
            </w:rPr>
            <w:fldChar w:fldCharType="end"/>
          </w:r>
        </w:p>
        <w:p w14:paraId="3815C153">
          <w:pPr>
            <w:pStyle w:val="27"/>
            <w:rPr>
              <w:rFonts w:asciiTheme="minorHAnsi" w:hAnsiTheme="minorHAnsi" w:eastAsiaTheme="minorEastAsia" w:cstheme="minorBidi"/>
              <w:kern w:val="2"/>
              <w:sz w:val="21"/>
              <w:szCs w:val="21"/>
              <w:lang w:val="en-US"/>
              <w14:ligatures w14:val="standardContextual"/>
            </w:rPr>
          </w:pPr>
          <w:r>
            <w:fldChar w:fldCharType="begin"/>
          </w:r>
          <w:r>
            <w:instrText xml:space="preserve"> HYPERLINK \l "_Toc155340486" </w:instrText>
          </w:r>
          <w:r>
            <w:fldChar w:fldCharType="separate"/>
          </w:r>
          <w:r>
            <w:rPr>
              <w:rStyle w:val="36"/>
              <w:rFonts w:eastAsia="宋体;SimSun"/>
              <w:sz w:val="21"/>
              <w:szCs w:val="21"/>
            </w:rPr>
            <w:t>五、价值时点</w:t>
          </w:r>
          <w:r>
            <w:rPr>
              <w:sz w:val="21"/>
              <w:szCs w:val="21"/>
            </w:rPr>
            <w:tab/>
          </w:r>
          <w:r>
            <w:rPr>
              <w:sz w:val="21"/>
              <w:szCs w:val="21"/>
            </w:rPr>
            <w:fldChar w:fldCharType="begin"/>
          </w:r>
          <w:r>
            <w:rPr>
              <w:sz w:val="21"/>
              <w:szCs w:val="21"/>
            </w:rPr>
            <w:instrText xml:space="preserve"> PAGEREF _Toc155340486 \h </w:instrText>
          </w:r>
          <w:r>
            <w:rPr>
              <w:sz w:val="21"/>
              <w:szCs w:val="21"/>
            </w:rPr>
            <w:fldChar w:fldCharType="separate"/>
          </w:r>
          <w:r>
            <w:rPr>
              <w:sz w:val="21"/>
              <w:szCs w:val="21"/>
            </w:rPr>
            <w:t>12</w:t>
          </w:r>
          <w:r>
            <w:rPr>
              <w:sz w:val="21"/>
              <w:szCs w:val="21"/>
            </w:rPr>
            <w:fldChar w:fldCharType="end"/>
          </w:r>
          <w:r>
            <w:rPr>
              <w:sz w:val="21"/>
              <w:szCs w:val="21"/>
            </w:rPr>
            <w:fldChar w:fldCharType="end"/>
          </w:r>
        </w:p>
        <w:p w14:paraId="44D49B23">
          <w:pPr>
            <w:pStyle w:val="27"/>
            <w:rPr>
              <w:rFonts w:asciiTheme="minorHAnsi" w:hAnsiTheme="minorHAnsi" w:eastAsiaTheme="minorEastAsia" w:cstheme="minorBidi"/>
              <w:kern w:val="2"/>
              <w:sz w:val="21"/>
              <w:szCs w:val="21"/>
              <w:lang w:val="en-US"/>
              <w14:ligatures w14:val="standardContextual"/>
            </w:rPr>
          </w:pPr>
          <w:r>
            <w:fldChar w:fldCharType="begin"/>
          </w:r>
          <w:r>
            <w:instrText xml:space="preserve"> HYPERLINK \l "_Toc155340487" </w:instrText>
          </w:r>
          <w:r>
            <w:fldChar w:fldCharType="separate"/>
          </w:r>
          <w:r>
            <w:rPr>
              <w:rStyle w:val="36"/>
              <w:rFonts w:eastAsia="宋体;SimSun"/>
              <w:sz w:val="21"/>
              <w:szCs w:val="21"/>
            </w:rPr>
            <w:t>六、价值类型</w:t>
          </w:r>
          <w:r>
            <w:rPr>
              <w:sz w:val="21"/>
              <w:szCs w:val="21"/>
            </w:rPr>
            <w:tab/>
          </w:r>
          <w:r>
            <w:rPr>
              <w:sz w:val="21"/>
              <w:szCs w:val="21"/>
            </w:rPr>
            <w:fldChar w:fldCharType="begin"/>
          </w:r>
          <w:r>
            <w:rPr>
              <w:sz w:val="21"/>
              <w:szCs w:val="21"/>
            </w:rPr>
            <w:instrText xml:space="preserve"> PAGEREF _Toc155340487 \h </w:instrText>
          </w:r>
          <w:r>
            <w:rPr>
              <w:sz w:val="21"/>
              <w:szCs w:val="21"/>
            </w:rPr>
            <w:fldChar w:fldCharType="separate"/>
          </w:r>
          <w:r>
            <w:rPr>
              <w:sz w:val="21"/>
              <w:szCs w:val="21"/>
            </w:rPr>
            <w:t>12</w:t>
          </w:r>
          <w:r>
            <w:rPr>
              <w:sz w:val="21"/>
              <w:szCs w:val="21"/>
            </w:rPr>
            <w:fldChar w:fldCharType="end"/>
          </w:r>
          <w:r>
            <w:rPr>
              <w:sz w:val="21"/>
              <w:szCs w:val="21"/>
            </w:rPr>
            <w:fldChar w:fldCharType="end"/>
          </w:r>
        </w:p>
        <w:p w14:paraId="295E69F5">
          <w:pPr>
            <w:pStyle w:val="27"/>
            <w:rPr>
              <w:rFonts w:asciiTheme="minorHAnsi" w:hAnsiTheme="minorHAnsi" w:eastAsiaTheme="minorEastAsia" w:cstheme="minorBidi"/>
              <w:kern w:val="2"/>
              <w:sz w:val="21"/>
              <w:szCs w:val="21"/>
              <w:lang w:val="en-US"/>
              <w14:ligatures w14:val="standardContextual"/>
            </w:rPr>
          </w:pPr>
          <w:r>
            <w:fldChar w:fldCharType="begin"/>
          </w:r>
          <w:r>
            <w:instrText xml:space="preserve"> HYPERLINK \l "_Toc155340488" </w:instrText>
          </w:r>
          <w:r>
            <w:fldChar w:fldCharType="separate"/>
          </w:r>
          <w:r>
            <w:rPr>
              <w:rStyle w:val="36"/>
              <w:rFonts w:eastAsia="宋体;SimSun"/>
              <w:sz w:val="21"/>
              <w:szCs w:val="21"/>
            </w:rPr>
            <w:t>七、估价原则</w:t>
          </w:r>
          <w:r>
            <w:rPr>
              <w:sz w:val="21"/>
              <w:szCs w:val="21"/>
            </w:rPr>
            <w:tab/>
          </w:r>
          <w:r>
            <w:rPr>
              <w:sz w:val="21"/>
              <w:szCs w:val="21"/>
            </w:rPr>
            <w:fldChar w:fldCharType="begin"/>
          </w:r>
          <w:r>
            <w:rPr>
              <w:sz w:val="21"/>
              <w:szCs w:val="21"/>
            </w:rPr>
            <w:instrText xml:space="preserve"> PAGEREF _Toc155340488 \h </w:instrText>
          </w:r>
          <w:r>
            <w:rPr>
              <w:sz w:val="21"/>
              <w:szCs w:val="21"/>
            </w:rPr>
            <w:fldChar w:fldCharType="separate"/>
          </w:r>
          <w:r>
            <w:rPr>
              <w:sz w:val="21"/>
              <w:szCs w:val="21"/>
            </w:rPr>
            <w:t>13</w:t>
          </w:r>
          <w:r>
            <w:rPr>
              <w:sz w:val="21"/>
              <w:szCs w:val="21"/>
            </w:rPr>
            <w:fldChar w:fldCharType="end"/>
          </w:r>
          <w:r>
            <w:rPr>
              <w:sz w:val="21"/>
              <w:szCs w:val="21"/>
            </w:rPr>
            <w:fldChar w:fldCharType="end"/>
          </w:r>
        </w:p>
        <w:p w14:paraId="204E5505">
          <w:pPr>
            <w:pStyle w:val="27"/>
            <w:rPr>
              <w:rFonts w:asciiTheme="minorHAnsi" w:hAnsiTheme="minorHAnsi" w:eastAsiaTheme="minorEastAsia" w:cstheme="minorBidi"/>
              <w:kern w:val="2"/>
              <w:sz w:val="21"/>
              <w:szCs w:val="21"/>
              <w:lang w:val="en-US"/>
              <w14:ligatures w14:val="standardContextual"/>
            </w:rPr>
          </w:pPr>
          <w:r>
            <w:fldChar w:fldCharType="begin"/>
          </w:r>
          <w:r>
            <w:instrText xml:space="preserve"> HYPERLINK \l "_Toc155340489" </w:instrText>
          </w:r>
          <w:r>
            <w:fldChar w:fldCharType="separate"/>
          </w:r>
          <w:r>
            <w:rPr>
              <w:rStyle w:val="36"/>
              <w:rFonts w:eastAsia="宋体;SimSun"/>
              <w:sz w:val="21"/>
              <w:szCs w:val="21"/>
            </w:rPr>
            <w:t>八、估价依据</w:t>
          </w:r>
          <w:r>
            <w:rPr>
              <w:sz w:val="21"/>
              <w:szCs w:val="21"/>
            </w:rPr>
            <w:tab/>
          </w:r>
          <w:r>
            <w:rPr>
              <w:sz w:val="21"/>
              <w:szCs w:val="21"/>
            </w:rPr>
            <w:fldChar w:fldCharType="begin"/>
          </w:r>
          <w:r>
            <w:rPr>
              <w:sz w:val="21"/>
              <w:szCs w:val="21"/>
            </w:rPr>
            <w:instrText xml:space="preserve"> PAGEREF _Toc155340489 \h </w:instrText>
          </w:r>
          <w:r>
            <w:rPr>
              <w:sz w:val="21"/>
              <w:szCs w:val="21"/>
            </w:rPr>
            <w:fldChar w:fldCharType="separate"/>
          </w:r>
          <w:r>
            <w:rPr>
              <w:sz w:val="21"/>
              <w:szCs w:val="21"/>
            </w:rPr>
            <w:t>15</w:t>
          </w:r>
          <w:r>
            <w:rPr>
              <w:sz w:val="21"/>
              <w:szCs w:val="21"/>
            </w:rPr>
            <w:fldChar w:fldCharType="end"/>
          </w:r>
          <w:r>
            <w:rPr>
              <w:sz w:val="21"/>
              <w:szCs w:val="21"/>
            </w:rPr>
            <w:fldChar w:fldCharType="end"/>
          </w:r>
        </w:p>
        <w:p w14:paraId="13EB78C9">
          <w:pPr>
            <w:pStyle w:val="27"/>
            <w:tabs>
              <w:tab w:val="left" w:pos="1260"/>
            </w:tabs>
            <w:rPr>
              <w:rFonts w:asciiTheme="minorHAnsi" w:hAnsiTheme="minorHAnsi" w:eastAsiaTheme="minorEastAsia" w:cstheme="minorBidi"/>
              <w:kern w:val="2"/>
              <w:sz w:val="21"/>
              <w:szCs w:val="21"/>
              <w:lang w:val="en-US"/>
              <w14:ligatures w14:val="standardContextual"/>
            </w:rPr>
          </w:pPr>
          <w:r>
            <w:fldChar w:fldCharType="begin"/>
          </w:r>
          <w:r>
            <w:instrText xml:space="preserve"> HYPERLINK \l "_Toc155340490" </w:instrText>
          </w:r>
          <w:r>
            <w:fldChar w:fldCharType="separate"/>
          </w:r>
          <w:r>
            <w:rPr>
              <w:rStyle w:val="36"/>
              <w:rFonts w:eastAsia="宋体;SimSun"/>
              <w:sz w:val="21"/>
              <w:szCs w:val="21"/>
            </w:rPr>
            <w:t>九、</w:t>
          </w:r>
          <w:r>
            <w:rPr>
              <w:rFonts w:asciiTheme="minorHAnsi" w:hAnsiTheme="minorHAnsi" w:eastAsiaTheme="minorEastAsia" w:cstheme="minorBidi"/>
              <w:kern w:val="2"/>
              <w:sz w:val="21"/>
              <w:szCs w:val="21"/>
              <w:lang w:val="en-US"/>
              <w14:ligatures w14:val="standardContextual"/>
            </w:rPr>
            <w:tab/>
          </w:r>
          <w:r>
            <w:rPr>
              <w:rStyle w:val="36"/>
              <w:rFonts w:eastAsia="宋体;SimSun"/>
              <w:sz w:val="21"/>
              <w:szCs w:val="21"/>
            </w:rPr>
            <w:t>估价方法</w:t>
          </w:r>
          <w:r>
            <w:rPr>
              <w:sz w:val="21"/>
              <w:szCs w:val="21"/>
            </w:rPr>
            <w:tab/>
          </w:r>
          <w:r>
            <w:rPr>
              <w:sz w:val="21"/>
              <w:szCs w:val="21"/>
            </w:rPr>
            <w:fldChar w:fldCharType="begin"/>
          </w:r>
          <w:r>
            <w:rPr>
              <w:sz w:val="21"/>
              <w:szCs w:val="21"/>
            </w:rPr>
            <w:instrText xml:space="preserve"> PAGEREF _Toc155340490 \h </w:instrText>
          </w:r>
          <w:r>
            <w:rPr>
              <w:sz w:val="21"/>
              <w:szCs w:val="21"/>
            </w:rPr>
            <w:fldChar w:fldCharType="separate"/>
          </w:r>
          <w:r>
            <w:rPr>
              <w:sz w:val="21"/>
              <w:szCs w:val="21"/>
            </w:rPr>
            <w:t>17</w:t>
          </w:r>
          <w:r>
            <w:rPr>
              <w:sz w:val="21"/>
              <w:szCs w:val="21"/>
            </w:rPr>
            <w:fldChar w:fldCharType="end"/>
          </w:r>
          <w:r>
            <w:rPr>
              <w:sz w:val="21"/>
              <w:szCs w:val="21"/>
            </w:rPr>
            <w:fldChar w:fldCharType="end"/>
          </w:r>
        </w:p>
        <w:p w14:paraId="427F9CAA">
          <w:pPr>
            <w:pStyle w:val="27"/>
            <w:rPr>
              <w:rFonts w:asciiTheme="minorHAnsi" w:hAnsiTheme="minorHAnsi" w:eastAsiaTheme="minorEastAsia" w:cstheme="minorBidi"/>
              <w:kern w:val="2"/>
              <w:sz w:val="21"/>
              <w:szCs w:val="21"/>
              <w:lang w:val="en-US"/>
              <w14:ligatures w14:val="standardContextual"/>
            </w:rPr>
          </w:pPr>
          <w:r>
            <w:fldChar w:fldCharType="begin"/>
          </w:r>
          <w:r>
            <w:instrText xml:space="preserve"> HYPERLINK \l "_Toc155340491" </w:instrText>
          </w:r>
          <w:r>
            <w:fldChar w:fldCharType="separate"/>
          </w:r>
          <w:r>
            <w:rPr>
              <w:rStyle w:val="36"/>
              <w:rFonts w:eastAsia="宋体;SimSun"/>
              <w:sz w:val="21"/>
              <w:szCs w:val="21"/>
            </w:rPr>
            <w:t>十、估价结果</w:t>
          </w:r>
          <w:r>
            <w:rPr>
              <w:sz w:val="21"/>
              <w:szCs w:val="21"/>
            </w:rPr>
            <w:tab/>
          </w:r>
          <w:r>
            <w:rPr>
              <w:sz w:val="21"/>
              <w:szCs w:val="21"/>
            </w:rPr>
            <w:fldChar w:fldCharType="begin"/>
          </w:r>
          <w:r>
            <w:rPr>
              <w:sz w:val="21"/>
              <w:szCs w:val="21"/>
            </w:rPr>
            <w:instrText xml:space="preserve"> PAGEREF _Toc155340491 \h </w:instrText>
          </w:r>
          <w:r>
            <w:rPr>
              <w:sz w:val="21"/>
              <w:szCs w:val="21"/>
            </w:rPr>
            <w:fldChar w:fldCharType="separate"/>
          </w:r>
          <w:r>
            <w:rPr>
              <w:sz w:val="21"/>
              <w:szCs w:val="21"/>
            </w:rPr>
            <w:t>19</w:t>
          </w:r>
          <w:r>
            <w:rPr>
              <w:sz w:val="21"/>
              <w:szCs w:val="21"/>
            </w:rPr>
            <w:fldChar w:fldCharType="end"/>
          </w:r>
          <w:r>
            <w:rPr>
              <w:sz w:val="21"/>
              <w:szCs w:val="21"/>
            </w:rPr>
            <w:fldChar w:fldCharType="end"/>
          </w:r>
        </w:p>
        <w:p w14:paraId="5D6B4110">
          <w:pPr>
            <w:pStyle w:val="27"/>
            <w:rPr>
              <w:rFonts w:asciiTheme="minorHAnsi" w:hAnsiTheme="minorHAnsi" w:eastAsiaTheme="minorEastAsia" w:cstheme="minorBidi"/>
              <w:kern w:val="2"/>
              <w:sz w:val="21"/>
              <w:szCs w:val="21"/>
              <w:lang w:val="en-US"/>
              <w14:ligatures w14:val="standardContextual"/>
            </w:rPr>
          </w:pPr>
          <w:r>
            <w:fldChar w:fldCharType="begin"/>
          </w:r>
          <w:r>
            <w:instrText xml:space="preserve"> HYPERLINK \l "_Toc155340492" </w:instrText>
          </w:r>
          <w:r>
            <w:fldChar w:fldCharType="separate"/>
          </w:r>
          <w:r>
            <w:rPr>
              <w:rStyle w:val="36"/>
              <w:rFonts w:eastAsia="宋体;SimSun"/>
              <w:sz w:val="21"/>
              <w:szCs w:val="21"/>
            </w:rPr>
            <w:t>十一、参与本次估价工作的评估专</w:t>
          </w:r>
          <w:r>
            <w:rPr>
              <w:rStyle w:val="36"/>
              <w:rFonts w:ascii="Liberation Serif" w:hAnsi="Liberation Serif" w:eastAsia="宋体;SimSun" w:cs="Lucida Sans"/>
              <w:sz w:val="21"/>
              <w:szCs w:val="21"/>
            </w:rPr>
            <w:t>业人员</w:t>
          </w:r>
          <w:r>
            <w:rPr>
              <w:sz w:val="21"/>
              <w:szCs w:val="21"/>
            </w:rPr>
            <w:tab/>
          </w:r>
          <w:r>
            <w:rPr>
              <w:sz w:val="21"/>
              <w:szCs w:val="21"/>
            </w:rPr>
            <w:fldChar w:fldCharType="begin"/>
          </w:r>
          <w:r>
            <w:rPr>
              <w:sz w:val="21"/>
              <w:szCs w:val="21"/>
            </w:rPr>
            <w:instrText xml:space="preserve"> PAGEREF _Toc155340492 \h </w:instrText>
          </w:r>
          <w:r>
            <w:rPr>
              <w:sz w:val="21"/>
              <w:szCs w:val="21"/>
            </w:rPr>
            <w:fldChar w:fldCharType="separate"/>
          </w:r>
          <w:r>
            <w:rPr>
              <w:sz w:val="21"/>
              <w:szCs w:val="21"/>
            </w:rPr>
            <w:t>20</w:t>
          </w:r>
          <w:r>
            <w:rPr>
              <w:sz w:val="21"/>
              <w:szCs w:val="21"/>
            </w:rPr>
            <w:fldChar w:fldCharType="end"/>
          </w:r>
          <w:r>
            <w:rPr>
              <w:sz w:val="21"/>
              <w:szCs w:val="21"/>
            </w:rPr>
            <w:fldChar w:fldCharType="end"/>
          </w:r>
        </w:p>
        <w:p w14:paraId="1210E5AE">
          <w:pPr>
            <w:pStyle w:val="27"/>
            <w:rPr>
              <w:rFonts w:asciiTheme="minorHAnsi" w:hAnsiTheme="minorHAnsi" w:eastAsiaTheme="minorEastAsia" w:cstheme="minorBidi"/>
              <w:kern w:val="2"/>
              <w:sz w:val="21"/>
              <w:szCs w:val="21"/>
              <w:lang w:val="en-US"/>
              <w14:ligatures w14:val="standardContextual"/>
            </w:rPr>
          </w:pPr>
          <w:r>
            <w:fldChar w:fldCharType="begin"/>
          </w:r>
          <w:r>
            <w:instrText xml:space="preserve"> HYPERLINK \l "_Toc155340493" </w:instrText>
          </w:r>
          <w:r>
            <w:fldChar w:fldCharType="separate"/>
          </w:r>
          <w:r>
            <w:rPr>
              <w:rStyle w:val="36"/>
              <w:rFonts w:eastAsia="宋体;SimSun"/>
              <w:sz w:val="21"/>
              <w:szCs w:val="21"/>
            </w:rPr>
            <w:t>十二、实地查勘期</w:t>
          </w:r>
          <w:r>
            <w:rPr>
              <w:sz w:val="21"/>
              <w:szCs w:val="21"/>
            </w:rPr>
            <w:tab/>
          </w:r>
          <w:r>
            <w:rPr>
              <w:sz w:val="21"/>
              <w:szCs w:val="21"/>
            </w:rPr>
            <w:fldChar w:fldCharType="begin"/>
          </w:r>
          <w:r>
            <w:rPr>
              <w:sz w:val="21"/>
              <w:szCs w:val="21"/>
            </w:rPr>
            <w:instrText xml:space="preserve"> PAGEREF _Toc155340493 \h </w:instrText>
          </w:r>
          <w:r>
            <w:rPr>
              <w:sz w:val="21"/>
              <w:szCs w:val="21"/>
            </w:rPr>
            <w:fldChar w:fldCharType="separate"/>
          </w:r>
          <w:r>
            <w:rPr>
              <w:sz w:val="21"/>
              <w:szCs w:val="21"/>
            </w:rPr>
            <w:t>20</w:t>
          </w:r>
          <w:r>
            <w:rPr>
              <w:sz w:val="21"/>
              <w:szCs w:val="21"/>
            </w:rPr>
            <w:fldChar w:fldCharType="end"/>
          </w:r>
          <w:r>
            <w:rPr>
              <w:sz w:val="21"/>
              <w:szCs w:val="21"/>
            </w:rPr>
            <w:fldChar w:fldCharType="end"/>
          </w:r>
        </w:p>
        <w:p w14:paraId="3C26E07C">
          <w:pPr>
            <w:pStyle w:val="27"/>
            <w:rPr>
              <w:rFonts w:asciiTheme="minorHAnsi" w:hAnsiTheme="minorHAnsi" w:eastAsiaTheme="minorEastAsia" w:cstheme="minorBidi"/>
              <w:kern w:val="2"/>
              <w:sz w:val="21"/>
              <w:szCs w:val="21"/>
              <w:lang w:val="en-US"/>
              <w14:ligatures w14:val="standardContextual"/>
            </w:rPr>
          </w:pPr>
          <w:r>
            <w:fldChar w:fldCharType="begin"/>
          </w:r>
          <w:r>
            <w:instrText xml:space="preserve"> HYPERLINK \l "_Toc155340494" </w:instrText>
          </w:r>
          <w:r>
            <w:fldChar w:fldCharType="separate"/>
          </w:r>
          <w:r>
            <w:rPr>
              <w:rStyle w:val="36"/>
              <w:rFonts w:eastAsia="宋体;SimSun"/>
              <w:sz w:val="21"/>
              <w:szCs w:val="21"/>
            </w:rPr>
            <w:t>十三、估价作业期</w:t>
          </w:r>
          <w:r>
            <w:rPr>
              <w:sz w:val="21"/>
              <w:szCs w:val="21"/>
            </w:rPr>
            <w:tab/>
          </w:r>
          <w:r>
            <w:rPr>
              <w:sz w:val="21"/>
              <w:szCs w:val="21"/>
            </w:rPr>
            <w:fldChar w:fldCharType="begin"/>
          </w:r>
          <w:r>
            <w:rPr>
              <w:sz w:val="21"/>
              <w:szCs w:val="21"/>
            </w:rPr>
            <w:instrText xml:space="preserve"> PAGEREF _Toc155340494 \h </w:instrText>
          </w:r>
          <w:r>
            <w:rPr>
              <w:sz w:val="21"/>
              <w:szCs w:val="21"/>
            </w:rPr>
            <w:fldChar w:fldCharType="separate"/>
          </w:r>
          <w:r>
            <w:rPr>
              <w:sz w:val="21"/>
              <w:szCs w:val="21"/>
            </w:rPr>
            <w:t>20</w:t>
          </w:r>
          <w:r>
            <w:rPr>
              <w:sz w:val="21"/>
              <w:szCs w:val="21"/>
            </w:rPr>
            <w:fldChar w:fldCharType="end"/>
          </w:r>
          <w:r>
            <w:rPr>
              <w:sz w:val="21"/>
              <w:szCs w:val="21"/>
            </w:rPr>
            <w:fldChar w:fldCharType="end"/>
          </w:r>
        </w:p>
        <w:p w14:paraId="40A52CF3">
          <w:pPr>
            <w:pStyle w:val="22"/>
            <w:rPr>
              <w:rFonts w:asciiTheme="minorHAnsi" w:hAnsiTheme="minorHAnsi" w:eastAsiaTheme="minorEastAsia" w:cstheme="minorBidi"/>
              <w:b w:val="0"/>
              <w:bCs w:val="0"/>
              <w:kern w:val="2"/>
              <w:sz w:val="24"/>
              <w:szCs w:val="24"/>
              <w:lang w:val="en-US"/>
              <w14:ligatures w14:val="standardContextual"/>
            </w:rPr>
          </w:pPr>
          <w:r>
            <w:fldChar w:fldCharType="begin"/>
          </w:r>
          <w:r>
            <w:instrText xml:space="preserve"> HYPERLINK \l "_Toc155340495" </w:instrText>
          </w:r>
          <w:r>
            <w:fldChar w:fldCharType="separate"/>
          </w:r>
          <w:r>
            <w:rPr>
              <w:rStyle w:val="36"/>
              <w:rFonts w:eastAsia="方正黑体简体"/>
              <w:sz w:val="24"/>
              <w:szCs w:val="24"/>
            </w:rPr>
            <w:t>估价技术报告</w:t>
          </w:r>
          <w:r>
            <w:rPr>
              <w:sz w:val="24"/>
              <w:szCs w:val="24"/>
            </w:rPr>
            <w:tab/>
          </w:r>
          <w:r>
            <w:rPr>
              <w:sz w:val="24"/>
              <w:szCs w:val="24"/>
            </w:rPr>
            <w:fldChar w:fldCharType="begin"/>
          </w:r>
          <w:r>
            <w:rPr>
              <w:sz w:val="24"/>
              <w:szCs w:val="24"/>
            </w:rPr>
            <w:instrText xml:space="preserve"> PAGEREF _Toc155340495 \h </w:instrText>
          </w:r>
          <w:r>
            <w:rPr>
              <w:sz w:val="24"/>
              <w:szCs w:val="24"/>
            </w:rPr>
            <w:fldChar w:fldCharType="separate"/>
          </w:r>
          <w:r>
            <w:rPr>
              <w:sz w:val="24"/>
              <w:szCs w:val="24"/>
            </w:rPr>
            <w:t>21</w:t>
          </w:r>
          <w:r>
            <w:rPr>
              <w:sz w:val="24"/>
              <w:szCs w:val="24"/>
            </w:rPr>
            <w:fldChar w:fldCharType="end"/>
          </w:r>
          <w:r>
            <w:rPr>
              <w:sz w:val="24"/>
              <w:szCs w:val="24"/>
            </w:rPr>
            <w:fldChar w:fldCharType="end"/>
          </w:r>
        </w:p>
        <w:p w14:paraId="7E741C4B">
          <w:pPr>
            <w:pStyle w:val="27"/>
            <w:rPr>
              <w:rFonts w:asciiTheme="minorHAnsi" w:hAnsiTheme="minorHAnsi" w:eastAsiaTheme="minorEastAsia" w:cstheme="minorBidi"/>
              <w:kern w:val="2"/>
              <w:sz w:val="21"/>
              <w:szCs w:val="21"/>
              <w:lang w:val="en-US"/>
              <w14:ligatures w14:val="standardContextual"/>
            </w:rPr>
          </w:pPr>
          <w:r>
            <w:fldChar w:fldCharType="begin"/>
          </w:r>
          <w:r>
            <w:instrText xml:space="preserve"> HYPERLINK \l "_Toc155340496" </w:instrText>
          </w:r>
          <w:r>
            <w:fldChar w:fldCharType="separate"/>
          </w:r>
          <w:r>
            <w:rPr>
              <w:rStyle w:val="36"/>
              <w:rFonts w:eastAsia="宋体;SimSun"/>
              <w:sz w:val="21"/>
              <w:szCs w:val="21"/>
            </w:rPr>
            <w:t>一、估价对象描述与分析</w:t>
          </w:r>
          <w:r>
            <w:rPr>
              <w:sz w:val="21"/>
              <w:szCs w:val="21"/>
            </w:rPr>
            <w:tab/>
          </w:r>
          <w:r>
            <w:rPr>
              <w:sz w:val="21"/>
              <w:szCs w:val="21"/>
            </w:rPr>
            <w:fldChar w:fldCharType="begin"/>
          </w:r>
          <w:r>
            <w:rPr>
              <w:sz w:val="21"/>
              <w:szCs w:val="21"/>
            </w:rPr>
            <w:instrText xml:space="preserve"> PAGEREF _Toc155340496 \h </w:instrText>
          </w:r>
          <w:r>
            <w:rPr>
              <w:sz w:val="21"/>
              <w:szCs w:val="21"/>
            </w:rPr>
            <w:fldChar w:fldCharType="separate"/>
          </w:r>
          <w:r>
            <w:rPr>
              <w:sz w:val="21"/>
              <w:szCs w:val="21"/>
            </w:rPr>
            <w:t>21</w:t>
          </w:r>
          <w:r>
            <w:rPr>
              <w:sz w:val="21"/>
              <w:szCs w:val="21"/>
            </w:rPr>
            <w:fldChar w:fldCharType="end"/>
          </w:r>
          <w:r>
            <w:rPr>
              <w:sz w:val="21"/>
              <w:szCs w:val="21"/>
            </w:rPr>
            <w:fldChar w:fldCharType="end"/>
          </w:r>
        </w:p>
        <w:p w14:paraId="6702EF46">
          <w:pPr>
            <w:pStyle w:val="27"/>
            <w:rPr>
              <w:rFonts w:asciiTheme="minorHAnsi" w:hAnsiTheme="minorHAnsi" w:eastAsiaTheme="minorEastAsia" w:cstheme="minorBidi"/>
              <w:kern w:val="2"/>
              <w:sz w:val="21"/>
              <w:szCs w:val="21"/>
              <w:lang w:val="en-US"/>
              <w14:ligatures w14:val="standardContextual"/>
            </w:rPr>
          </w:pPr>
          <w:r>
            <w:fldChar w:fldCharType="begin"/>
          </w:r>
          <w:r>
            <w:instrText xml:space="preserve"> HYPERLINK \l "_Toc155340497" </w:instrText>
          </w:r>
          <w:r>
            <w:fldChar w:fldCharType="separate"/>
          </w:r>
          <w:r>
            <w:rPr>
              <w:rStyle w:val="36"/>
              <w:rFonts w:eastAsia="宋体;SimSun"/>
              <w:sz w:val="21"/>
              <w:szCs w:val="21"/>
            </w:rPr>
            <w:t>（一）区位状况分析</w:t>
          </w:r>
          <w:r>
            <w:rPr>
              <w:sz w:val="21"/>
              <w:szCs w:val="21"/>
            </w:rPr>
            <w:tab/>
          </w:r>
          <w:r>
            <w:rPr>
              <w:sz w:val="21"/>
              <w:szCs w:val="21"/>
            </w:rPr>
            <w:fldChar w:fldCharType="begin"/>
          </w:r>
          <w:r>
            <w:rPr>
              <w:sz w:val="21"/>
              <w:szCs w:val="21"/>
            </w:rPr>
            <w:instrText xml:space="preserve"> PAGEREF _Toc155340497 \h </w:instrText>
          </w:r>
          <w:r>
            <w:rPr>
              <w:sz w:val="21"/>
              <w:szCs w:val="21"/>
            </w:rPr>
            <w:fldChar w:fldCharType="separate"/>
          </w:r>
          <w:r>
            <w:rPr>
              <w:sz w:val="21"/>
              <w:szCs w:val="21"/>
            </w:rPr>
            <w:t>21</w:t>
          </w:r>
          <w:r>
            <w:rPr>
              <w:sz w:val="21"/>
              <w:szCs w:val="21"/>
            </w:rPr>
            <w:fldChar w:fldCharType="end"/>
          </w:r>
          <w:r>
            <w:rPr>
              <w:sz w:val="21"/>
              <w:szCs w:val="21"/>
            </w:rPr>
            <w:fldChar w:fldCharType="end"/>
          </w:r>
        </w:p>
        <w:p w14:paraId="17E53A67">
          <w:pPr>
            <w:pStyle w:val="27"/>
            <w:rPr>
              <w:rFonts w:asciiTheme="minorHAnsi" w:hAnsiTheme="minorHAnsi" w:eastAsiaTheme="minorEastAsia" w:cstheme="minorBidi"/>
              <w:kern w:val="2"/>
              <w:sz w:val="21"/>
              <w:szCs w:val="21"/>
              <w:lang w:val="en-US"/>
              <w14:ligatures w14:val="standardContextual"/>
            </w:rPr>
          </w:pPr>
          <w:r>
            <w:fldChar w:fldCharType="begin"/>
          </w:r>
          <w:r>
            <w:instrText xml:space="preserve"> HYPERLINK \l "_Toc155340498" </w:instrText>
          </w:r>
          <w:r>
            <w:fldChar w:fldCharType="separate"/>
          </w:r>
          <w:r>
            <w:rPr>
              <w:rStyle w:val="36"/>
              <w:rFonts w:eastAsia="宋体;SimSun"/>
              <w:sz w:val="21"/>
              <w:szCs w:val="21"/>
            </w:rPr>
            <w:t>（二）实物状况分析</w:t>
          </w:r>
          <w:r>
            <w:rPr>
              <w:sz w:val="21"/>
              <w:szCs w:val="21"/>
            </w:rPr>
            <w:tab/>
          </w:r>
          <w:r>
            <w:rPr>
              <w:sz w:val="21"/>
              <w:szCs w:val="21"/>
            </w:rPr>
            <w:fldChar w:fldCharType="begin"/>
          </w:r>
          <w:r>
            <w:rPr>
              <w:sz w:val="21"/>
              <w:szCs w:val="21"/>
            </w:rPr>
            <w:instrText xml:space="preserve"> PAGEREF _Toc155340498 \h </w:instrText>
          </w:r>
          <w:r>
            <w:rPr>
              <w:sz w:val="21"/>
              <w:szCs w:val="21"/>
            </w:rPr>
            <w:fldChar w:fldCharType="separate"/>
          </w:r>
          <w:r>
            <w:rPr>
              <w:sz w:val="21"/>
              <w:szCs w:val="21"/>
            </w:rPr>
            <w:t>22</w:t>
          </w:r>
          <w:r>
            <w:rPr>
              <w:sz w:val="21"/>
              <w:szCs w:val="21"/>
            </w:rPr>
            <w:fldChar w:fldCharType="end"/>
          </w:r>
          <w:r>
            <w:rPr>
              <w:sz w:val="21"/>
              <w:szCs w:val="21"/>
            </w:rPr>
            <w:fldChar w:fldCharType="end"/>
          </w:r>
        </w:p>
        <w:p w14:paraId="316A8A16">
          <w:pPr>
            <w:pStyle w:val="27"/>
            <w:rPr>
              <w:rFonts w:asciiTheme="minorHAnsi" w:hAnsiTheme="minorHAnsi" w:eastAsiaTheme="minorEastAsia" w:cstheme="minorBidi"/>
              <w:kern w:val="2"/>
              <w:sz w:val="21"/>
              <w:szCs w:val="21"/>
              <w:lang w:val="en-US"/>
              <w14:ligatures w14:val="standardContextual"/>
            </w:rPr>
          </w:pPr>
          <w:r>
            <w:fldChar w:fldCharType="begin"/>
          </w:r>
          <w:r>
            <w:instrText xml:space="preserve"> HYPERLINK \l "_Toc155340499" </w:instrText>
          </w:r>
          <w:r>
            <w:fldChar w:fldCharType="separate"/>
          </w:r>
          <w:r>
            <w:rPr>
              <w:rStyle w:val="36"/>
              <w:rFonts w:eastAsia="宋体;SimSun"/>
              <w:sz w:val="21"/>
              <w:szCs w:val="21"/>
            </w:rPr>
            <w:t>（三）权益状况分析</w:t>
          </w:r>
          <w:r>
            <w:rPr>
              <w:sz w:val="21"/>
              <w:szCs w:val="21"/>
            </w:rPr>
            <w:tab/>
          </w:r>
          <w:r>
            <w:rPr>
              <w:sz w:val="21"/>
              <w:szCs w:val="21"/>
            </w:rPr>
            <w:fldChar w:fldCharType="begin"/>
          </w:r>
          <w:r>
            <w:rPr>
              <w:sz w:val="21"/>
              <w:szCs w:val="21"/>
            </w:rPr>
            <w:instrText xml:space="preserve"> PAGEREF _Toc155340499 \h </w:instrText>
          </w:r>
          <w:r>
            <w:rPr>
              <w:sz w:val="21"/>
              <w:szCs w:val="21"/>
            </w:rPr>
            <w:fldChar w:fldCharType="separate"/>
          </w:r>
          <w:r>
            <w:rPr>
              <w:sz w:val="21"/>
              <w:szCs w:val="21"/>
            </w:rPr>
            <w:t>24</w:t>
          </w:r>
          <w:r>
            <w:rPr>
              <w:sz w:val="21"/>
              <w:szCs w:val="21"/>
            </w:rPr>
            <w:fldChar w:fldCharType="end"/>
          </w:r>
          <w:r>
            <w:rPr>
              <w:sz w:val="21"/>
              <w:szCs w:val="21"/>
            </w:rPr>
            <w:fldChar w:fldCharType="end"/>
          </w:r>
        </w:p>
        <w:p w14:paraId="5E8D0663">
          <w:pPr>
            <w:pStyle w:val="27"/>
            <w:rPr>
              <w:rFonts w:asciiTheme="minorHAnsi" w:hAnsiTheme="minorHAnsi" w:eastAsiaTheme="minorEastAsia" w:cstheme="minorBidi"/>
              <w:kern w:val="2"/>
              <w:sz w:val="21"/>
              <w:szCs w:val="21"/>
              <w:lang w:val="en-US"/>
              <w14:ligatures w14:val="standardContextual"/>
            </w:rPr>
          </w:pPr>
          <w:r>
            <w:fldChar w:fldCharType="begin"/>
          </w:r>
          <w:r>
            <w:instrText xml:space="preserve"> HYPERLINK \l "_Toc155340500" </w:instrText>
          </w:r>
          <w:r>
            <w:fldChar w:fldCharType="separate"/>
          </w:r>
          <w:r>
            <w:rPr>
              <w:rStyle w:val="36"/>
              <w:rFonts w:eastAsia="宋体;SimSun"/>
              <w:sz w:val="21"/>
              <w:szCs w:val="21"/>
            </w:rPr>
            <w:t>二、市场背景描述与分析</w:t>
          </w:r>
          <w:r>
            <w:rPr>
              <w:sz w:val="21"/>
              <w:szCs w:val="21"/>
            </w:rPr>
            <w:tab/>
          </w:r>
          <w:r>
            <w:rPr>
              <w:sz w:val="21"/>
              <w:szCs w:val="21"/>
            </w:rPr>
            <w:fldChar w:fldCharType="begin"/>
          </w:r>
          <w:r>
            <w:rPr>
              <w:sz w:val="21"/>
              <w:szCs w:val="21"/>
            </w:rPr>
            <w:instrText xml:space="preserve"> PAGEREF _Toc155340500 \h </w:instrText>
          </w:r>
          <w:r>
            <w:rPr>
              <w:sz w:val="21"/>
              <w:szCs w:val="21"/>
            </w:rPr>
            <w:fldChar w:fldCharType="separate"/>
          </w:r>
          <w:r>
            <w:rPr>
              <w:sz w:val="21"/>
              <w:szCs w:val="21"/>
            </w:rPr>
            <w:t>25</w:t>
          </w:r>
          <w:r>
            <w:rPr>
              <w:sz w:val="21"/>
              <w:szCs w:val="21"/>
            </w:rPr>
            <w:fldChar w:fldCharType="end"/>
          </w:r>
          <w:r>
            <w:rPr>
              <w:sz w:val="21"/>
              <w:szCs w:val="21"/>
            </w:rPr>
            <w:fldChar w:fldCharType="end"/>
          </w:r>
        </w:p>
        <w:p w14:paraId="5259140F">
          <w:pPr>
            <w:pStyle w:val="27"/>
            <w:rPr>
              <w:rFonts w:asciiTheme="minorHAnsi" w:hAnsiTheme="minorHAnsi" w:eastAsiaTheme="minorEastAsia" w:cstheme="minorBidi"/>
              <w:kern w:val="2"/>
              <w:sz w:val="21"/>
              <w:szCs w:val="21"/>
              <w:lang w:val="en-US"/>
              <w14:ligatures w14:val="standardContextual"/>
            </w:rPr>
          </w:pPr>
          <w:r>
            <w:fldChar w:fldCharType="begin"/>
          </w:r>
          <w:r>
            <w:instrText xml:space="preserve"> HYPERLINK \l "_Toc155340501" </w:instrText>
          </w:r>
          <w:r>
            <w:fldChar w:fldCharType="separate"/>
          </w:r>
          <w:r>
            <w:rPr>
              <w:rStyle w:val="36"/>
              <w:rFonts w:eastAsia="宋体;SimSun"/>
              <w:sz w:val="21"/>
              <w:szCs w:val="21"/>
            </w:rPr>
            <w:t>三、最高最佳利用分析</w:t>
          </w:r>
          <w:r>
            <w:rPr>
              <w:sz w:val="21"/>
              <w:szCs w:val="21"/>
            </w:rPr>
            <w:tab/>
          </w:r>
          <w:r>
            <w:rPr>
              <w:sz w:val="21"/>
              <w:szCs w:val="21"/>
            </w:rPr>
            <w:fldChar w:fldCharType="begin"/>
          </w:r>
          <w:r>
            <w:rPr>
              <w:sz w:val="21"/>
              <w:szCs w:val="21"/>
            </w:rPr>
            <w:instrText xml:space="preserve"> PAGEREF _Toc155340501 \h </w:instrText>
          </w:r>
          <w:r>
            <w:rPr>
              <w:sz w:val="21"/>
              <w:szCs w:val="21"/>
            </w:rPr>
            <w:fldChar w:fldCharType="separate"/>
          </w:r>
          <w:r>
            <w:rPr>
              <w:sz w:val="21"/>
              <w:szCs w:val="21"/>
            </w:rPr>
            <w:t>53</w:t>
          </w:r>
          <w:r>
            <w:rPr>
              <w:sz w:val="21"/>
              <w:szCs w:val="21"/>
            </w:rPr>
            <w:fldChar w:fldCharType="end"/>
          </w:r>
          <w:r>
            <w:rPr>
              <w:sz w:val="21"/>
              <w:szCs w:val="21"/>
            </w:rPr>
            <w:fldChar w:fldCharType="end"/>
          </w:r>
        </w:p>
        <w:p w14:paraId="0DA948C5">
          <w:pPr>
            <w:pStyle w:val="27"/>
            <w:rPr>
              <w:rFonts w:asciiTheme="minorHAnsi" w:hAnsiTheme="minorHAnsi" w:eastAsiaTheme="minorEastAsia" w:cstheme="minorBidi"/>
              <w:kern w:val="2"/>
              <w:sz w:val="21"/>
              <w:szCs w:val="21"/>
              <w:lang w:val="en-US"/>
              <w14:ligatures w14:val="standardContextual"/>
            </w:rPr>
          </w:pPr>
          <w:r>
            <w:fldChar w:fldCharType="begin"/>
          </w:r>
          <w:r>
            <w:instrText xml:space="preserve"> HYPERLINK \l "_Toc155340502" </w:instrText>
          </w:r>
          <w:r>
            <w:fldChar w:fldCharType="separate"/>
          </w:r>
          <w:r>
            <w:rPr>
              <w:rStyle w:val="36"/>
              <w:rFonts w:eastAsia="宋体;SimSun"/>
              <w:sz w:val="21"/>
              <w:szCs w:val="21"/>
            </w:rPr>
            <w:t>四、估价方法适用性分析</w:t>
          </w:r>
          <w:r>
            <w:rPr>
              <w:sz w:val="21"/>
              <w:szCs w:val="21"/>
            </w:rPr>
            <w:tab/>
          </w:r>
          <w:r>
            <w:rPr>
              <w:sz w:val="21"/>
              <w:szCs w:val="21"/>
            </w:rPr>
            <w:fldChar w:fldCharType="begin"/>
          </w:r>
          <w:r>
            <w:rPr>
              <w:sz w:val="21"/>
              <w:szCs w:val="21"/>
            </w:rPr>
            <w:instrText xml:space="preserve"> PAGEREF _Toc155340502 \h </w:instrText>
          </w:r>
          <w:r>
            <w:rPr>
              <w:sz w:val="21"/>
              <w:szCs w:val="21"/>
            </w:rPr>
            <w:fldChar w:fldCharType="separate"/>
          </w:r>
          <w:r>
            <w:rPr>
              <w:sz w:val="21"/>
              <w:szCs w:val="21"/>
            </w:rPr>
            <w:t>55</w:t>
          </w:r>
          <w:r>
            <w:rPr>
              <w:sz w:val="21"/>
              <w:szCs w:val="21"/>
            </w:rPr>
            <w:fldChar w:fldCharType="end"/>
          </w:r>
          <w:r>
            <w:rPr>
              <w:sz w:val="21"/>
              <w:szCs w:val="21"/>
            </w:rPr>
            <w:fldChar w:fldCharType="end"/>
          </w:r>
        </w:p>
        <w:p w14:paraId="274E90D0">
          <w:pPr>
            <w:pStyle w:val="27"/>
            <w:rPr>
              <w:rFonts w:asciiTheme="minorHAnsi" w:hAnsiTheme="minorHAnsi" w:eastAsiaTheme="minorEastAsia" w:cstheme="minorBidi"/>
              <w:kern w:val="2"/>
              <w:sz w:val="21"/>
              <w:szCs w:val="21"/>
              <w:lang w:val="en-US"/>
              <w14:ligatures w14:val="standardContextual"/>
            </w:rPr>
          </w:pPr>
          <w:r>
            <w:fldChar w:fldCharType="begin"/>
          </w:r>
          <w:r>
            <w:instrText xml:space="preserve"> HYPERLINK \l "_Toc155340503" </w:instrText>
          </w:r>
          <w:r>
            <w:fldChar w:fldCharType="separate"/>
          </w:r>
          <w:r>
            <w:rPr>
              <w:rStyle w:val="36"/>
              <w:rFonts w:eastAsia="宋体;SimSun"/>
              <w:sz w:val="21"/>
              <w:szCs w:val="21"/>
            </w:rPr>
            <w:t>五、估价测算过程</w:t>
          </w:r>
          <w:r>
            <w:rPr>
              <w:sz w:val="21"/>
              <w:szCs w:val="21"/>
            </w:rPr>
            <w:tab/>
          </w:r>
          <w:r>
            <w:rPr>
              <w:sz w:val="21"/>
              <w:szCs w:val="21"/>
            </w:rPr>
            <w:fldChar w:fldCharType="begin"/>
          </w:r>
          <w:r>
            <w:rPr>
              <w:sz w:val="21"/>
              <w:szCs w:val="21"/>
            </w:rPr>
            <w:instrText xml:space="preserve"> PAGEREF _Toc155340503 \h </w:instrText>
          </w:r>
          <w:r>
            <w:rPr>
              <w:sz w:val="21"/>
              <w:szCs w:val="21"/>
            </w:rPr>
            <w:fldChar w:fldCharType="separate"/>
          </w:r>
          <w:r>
            <w:rPr>
              <w:sz w:val="21"/>
              <w:szCs w:val="21"/>
            </w:rPr>
            <w:t>57</w:t>
          </w:r>
          <w:r>
            <w:rPr>
              <w:sz w:val="21"/>
              <w:szCs w:val="21"/>
            </w:rPr>
            <w:fldChar w:fldCharType="end"/>
          </w:r>
          <w:r>
            <w:rPr>
              <w:sz w:val="21"/>
              <w:szCs w:val="21"/>
            </w:rPr>
            <w:fldChar w:fldCharType="end"/>
          </w:r>
        </w:p>
        <w:p w14:paraId="34B17100">
          <w:pPr>
            <w:pStyle w:val="27"/>
            <w:rPr>
              <w:rFonts w:asciiTheme="minorHAnsi" w:hAnsiTheme="minorHAnsi" w:eastAsiaTheme="minorEastAsia" w:cstheme="minorBidi"/>
              <w:kern w:val="2"/>
              <w:sz w:val="21"/>
              <w:szCs w:val="21"/>
              <w:lang w:val="en-US"/>
              <w14:ligatures w14:val="standardContextual"/>
            </w:rPr>
          </w:pPr>
          <w:r>
            <w:fldChar w:fldCharType="begin"/>
          </w:r>
          <w:r>
            <w:instrText xml:space="preserve"> HYPERLINK \l "_Toc155340504" </w:instrText>
          </w:r>
          <w:r>
            <w:fldChar w:fldCharType="separate"/>
          </w:r>
          <w:r>
            <w:rPr>
              <w:rStyle w:val="36"/>
              <w:rFonts w:eastAsia="宋体;SimSun"/>
              <w:sz w:val="21"/>
              <w:szCs w:val="21"/>
            </w:rPr>
            <w:t>六、估价结果确定</w:t>
          </w:r>
          <w:r>
            <w:rPr>
              <w:sz w:val="21"/>
              <w:szCs w:val="21"/>
            </w:rPr>
            <w:tab/>
          </w:r>
          <w:r>
            <w:rPr>
              <w:sz w:val="21"/>
              <w:szCs w:val="21"/>
            </w:rPr>
            <w:fldChar w:fldCharType="begin"/>
          </w:r>
          <w:r>
            <w:rPr>
              <w:sz w:val="21"/>
              <w:szCs w:val="21"/>
            </w:rPr>
            <w:instrText xml:space="preserve"> PAGEREF _Toc155340504 \h </w:instrText>
          </w:r>
          <w:r>
            <w:rPr>
              <w:sz w:val="21"/>
              <w:szCs w:val="21"/>
            </w:rPr>
            <w:fldChar w:fldCharType="separate"/>
          </w:r>
          <w:r>
            <w:rPr>
              <w:sz w:val="21"/>
              <w:szCs w:val="21"/>
            </w:rPr>
            <w:t>74</w:t>
          </w:r>
          <w:r>
            <w:rPr>
              <w:sz w:val="21"/>
              <w:szCs w:val="21"/>
            </w:rPr>
            <w:fldChar w:fldCharType="end"/>
          </w:r>
          <w:r>
            <w:rPr>
              <w:sz w:val="21"/>
              <w:szCs w:val="21"/>
            </w:rPr>
            <w:fldChar w:fldCharType="end"/>
          </w:r>
        </w:p>
        <w:p w14:paraId="3C40320F">
          <w:pPr>
            <w:pStyle w:val="22"/>
            <w:rPr>
              <w:rFonts w:asciiTheme="minorHAnsi" w:hAnsiTheme="minorHAnsi" w:eastAsiaTheme="minorEastAsia" w:cstheme="minorBidi"/>
              <w:b w:val="0"/>
              <w:bCs w:val="0"/>
              <w:kern w:val="2"/>
              <w:sz w:val="24"/>
              <w:szCs w:val="24"/>
              <w:lang w:val="en-US"/>
              <w14:ligatures w14:val="standardContextual"/>
            </w:rPr>
          </w:pPr>
          <w:r>
            <w:fldChar w:fldCharType="begin"/>
          </w:r>
          <w:r>
            <w:instrText xml:space="preserve"> HYPERLINK \l "_Toc155340505" </w:instrText>
          </w:r>
          <w:r>
            <w:fldChar w:fldCharType="separate"/>
          </w:r>
          <w:r>
            <w:rPr>
              <w:rStyle w:val="36"/>
              <w:rFonts w:eastAsia="方正黑体简体"/>
              <w:sz w:val="24"/>
              <w:szCs w:val="24"/>
            </w:rPr>
            <w:t>附</w:t>
          </w:r>
          <w:r>
            <w:rPr>
              <w:rStyle w:val="36"/>
              <w:rFonts w:eastAsia="Arial"/>
              <w:sz w:val="24"/>
              <w:szCs w:val="24"/>
            </w:rPr>
            <w:t xml:space="preserve">   </w:t>
          </w:r>
          <w:r>
            <w:rPr>
              <w:rStyle w:val="36"/>
              <w:rFonts w:eastAsia="方正黑体简体"/>
              <w:sz w:val="24"/>
              <w:szCs w:val="24"/>
            </w:rPr>
            <w:t>件</w:t>
          </w:r>
          <w:r>
            <w:rPr>
              <w:sz w:val="24"/>
              <w:szCs w:val="24"/>
            </w:rPr>
            <w:tab/>
          </w:r>
          <w:r>
            <w:rPr>
              <w:sz w:val="24"/>
              <w:szCs w:val="24"/>
            </w:rPr>
            <w:fldChar w:fldCharType="begin"/>
          </w:r>
          <w:r>
            <w:rPr>
              <w:sz w:val="24"/>
              <w:szCs w:val="24"/>
            </w:rPr>
            <w:instrText xml:space="preserve"> PAGEREF _Toc155340505 \h </w:instrText>
          </w:r>
          <w:r>
            <w:rPr>
              <w:sz w:val="24"/>
              <w:szCs w:val="24"/>
            </w:rPr>
            <w:fldChar w:fldCharType="separate"/>
          </w:r>
          <w:r>
            <w:rPr>
              <w:sz w:val="24"/>
              <w:szCs w:val="24"/>
            </w:rPr>
            <w:t>75</w:t>
          </w:r>
          <w:r>
            <w:rPr>
              <w:sz w:val="24"/>
              <w:szCs w:val="24"/>
            </w:rPr>
            <w:fldChar w:fldCharType="end"/>
          </w:r>
          <w:r>
            <w:rPr>
              <w:sz w:val="24"/>
              <w:szCs w:val="24"/>
            </w:rPr>
            <w:fldChar w:fldCharType="end"/>
          </w:r>
        </w:p>
        <w:p w14:paraId="54677C6D">
          <w:pPr>
            <w:pStyle w:val="22"/>
            <w:rPr>
              <w:rFonts w:ascii="宋体;SimSun" w:hAnsi="宋体;SimSun" w:eastAsia="宋体;SimSun" w:cs="宋体;SimSun"/>
              <w:kern w:val="2"/>
              <w:sz w:val="24"/>
              <w:szCs w:val="24"/>
            </w:rPr>
          </w:pPr>
          <w:r>
            <w:rPr>
              <w:rFonts w:ascii="宋体;SimSun" w:hAnsi="宋体;SimSun" w:eastAsia="宋体;SimSun" w:cs="宋体;SimSun"/>
              <w:b w:val="0"/>
              <w:bCs w:val="0"/>
              <w:sz w:val="24"/>
              <w:szCs w:val="24"/>
            </w:rPr>
            <w:fldChar w:fldCharType="end"/>
          </w:r>
        </w:p>
      </w:sdtContent>
    </w:sdt>
    <w:p w14:paraId="022B2BAB">
      <w:pPr>
        <w:numPr>
          <w:ilvl w:val="0"/>
          <w:numId w:val="5"/>
        </w:numPr>
        <w:spacing w:line="360" w:lineRule="auto"/>
        <w:jc w:val="both"/>
        <w:rPr>
          <w:rFonts w:ascii="Arial" w:hAnsi="Arial" w:cs="Arial"/>
          <w:sz w:val="21"/>
          <w:szCs w:val="21"/>
        </w:rPr>
      </w:pPr>
      <w:r>
        <w:rPr>
          <w:rFonts w:ascii="Arial" w:hAnsi="Arial" w:cs="Arial"/>
          <w:sz w:val="21"/>
          <w:szCs w:val="21"/>
        </w:rPr>
        <w:t>《估价委托书》复印件</w:t>
      </w:r>
    </w:p>
    <w:p w14:paraId="014247AF">
      <w:pPr>
        <w:numPr>
          <w:ilvl w:val="0"/>
          <w:numId w:val="5"/>
        </w:numPr>
        <w:spacing w:line="360" w:lineRule="auto"/>
        <w:jc w:val="both"/>
        <w:rPr>
          <w:rFonts w:ascii="Arial" w:hAnsi="Arial" w:cs="Arial"/>
          <w:sz w:val="21"/>
          <w:szCs w:val="21"/>
        </w:rPr>
      </w:pPr>
      <w:r>
        <w:rPr>
          <w:rFonts w:ascii="Arial" w:hAnsi="Arial" w:cs="Arial"/>
          <w:sz w:val="21"/>
          <w:szCs w:val="21"/>
        </w:rPr>
        <w:t>估价对象所在位置示意图</w:t>
      </w:r>
    </w:p>
    <w:p w14:paraId="5EB3FEB7">
      <w:pPr>
        <w:numPr>
          <w:ilvl w:val="0"/>
          <w:numId w:val="5"/>
        </w:numPr>
        <w:spacing w:line="360" w:lineRule="auto"/>
        <w:jc w:val="both"/>
        <w:rPr>
          <w:rFonts w:ascii="Arial" w:hAnsi="Arial" w:cs="Arial"/>
          <w:sz w:val="21"/>
          <w:szCs w:val="21"/>
        </w:rPr>
      </w:pPr>
      <w:r>
        <w:rPr>
          <w:rFonts w:ascii="Arial" w:hAnsi="Arial" w:cs="Arial"/>
          <w:sz w:val="21"/>
          <w:szCs w:val="21"/>
        </w:rPr>
        <w:t>估价对象现状照片</w:t>
      </w:r>
    </w:p>
    <w:p w14:paraId="162F88AE">
      <w:pPr>
        <w:numPr>
          <w:ilvl w:val="0"/>
          <w:numId w:val="5"/>
        </w:numPr>
        <w:spacing w:line="360" w:lineRule="auto"/>
        <w:jc w:val="both"/>
        <w:rPr>
          <w:rFonts w:ascii="Arial" w:hAnsi="Arial" w:cs="Arial"/>
          <w:sz w:val="21"/>
          <w:szCs w:val="21"/>
        </w:rPr>
      </w:pPr>
      <w:r>
        <w:rPr>
          <w:rFonts w:ascii="Arial" w:hAnsi="Arial" w:cs="Arial"/>
          <w:sz w:val="21"/>
          <w:szCs w:val="21"/>
        </w:rPr>
        <w:t>《不动产权证书》[京（2018）开不动产权第0015356号]复印件</w:t>
      </w:r>
    </w:p>
    <w:p w14:paraId="02BA761F">
      <w:pPr>
        <w:numPr>
          <w:ilvl w:val="0"/>
          <w:numId w:val="5"/>
        </w:numPr>
        <w:spacing w:line="360" w:lineRule="auto"/>
        <w:jc w:val="both"/>
        <w:rPr>
          <w:rFonts w:ascii="Arial" w:hAnsi="Arial" w:cs="Arial"/>
          <w:sz w:val="21"/>
          <w:szCs w:val="21"/>
        </w:rPr>
      </w:pPr>
      <w:r>
        <w:rPr>
          <w:rFonts w:ascii="Arial" w:hAnsi="Arial" w:cs="Arial"/>
          <w:kern w:val="2"/>
          <w:sz w:val="21"/>
          <w:szCs w:val="21"/>
        </w:rPr>
        <w:t>《E18国际人才公寓房屋明细》</w:t>
      </w:r>
      <w:r>
        <w:rPr>
          <w:rFonts w:ascii="Arial" w:hAnsi="Arial" w:cs="Arial"/>
          <w:sz w:val="21"/>
          <w:szCs w:val="21"/>
        </w:rPr>
        <w:t>复印件</w:t>
      </w:r>
    </w:p>
    <w:p w14:paraId="26E5B2D8">
      <w:pPr>
        <w:numPr>
          <w:ilvl w:val="0"/>
          <w:numId w:val="5"/>
        </w:numPr>
        <w:spacing w:line="360" w:lineRule="auto"/>
        <w:jc w:val="both"/>
        <w:rPr>
          <w:rFonts w:ascii="Arial" w:hAnsi="Arial" w:cs="Arial"/>
          <w:sz w:val="21"/>
          <w:szCs w:val="21"/>
        </w:rPr>
      </w:pPr>
      <w:r>
        <w:rPr>
          <w:rFonts w:ascii="Arial" w:hAnsi="Arial" w:cs="Arial"/>
          <w:sz w:val="21"/>
          <w:szCs w:val="21"/>
        </w:rPr>
        <w:t>估价委托人《营业执照（副本）》复印件</w:t>
      </w:r>
    </w:p>
    <w:p w14:paraId="58167FB4">
      <w:pPr>
        <w:numPr>
          <w:ilvl w:val="0"/>
          <w:numId w:val="5"/>
        </w:numPr>
        <w:spacing w:line="360" w:lineRule="auto"/>
        <w:jc w:val="both"/>
      </w:pPr>
      <w:r>
        <w:rPr>
          <w:rFonts w:ascii="Arial" w:hAnsi="Arial" w:cs="Arial"/>
          <w:color w:val="000000"/>
          <w:sz w:val="21"/>
          <w:szCs w:val="21"/>
        </w:rPr>
        <w:t>房地产估价机构《营业执照（副本）》</w:t>
      </w:r>
      <w:r>
        <w:rPr>
          <w:rFonts w:ascii="Arial" w:hAnsi="Arial" w:cs="Arial"/>
          <w:sz w:val="21"/>
          <w:szCs w:val="21"/>
        </w:rPr>
        <w:t>复印件</w:t>
      </w:r>
    </w:p>
    <w:p w14:paraId="70EC0EAE">
      <w:pPr>
        <w:numPr>
          <w:ilvl w:val="0"/>
          <w:numId w:val="5"/>
        </w:numPr>
        <w:spacing w:line="360" w:lineRule="auto"/>
        <w:jc w:val="both"/>
        <w:rPr>
          <w:rFonts w:ascii="Arial" w:hAnsi="Arial" w:cs="Arial"/>
          <w:sz w:val="21"/>
          <w:szCs w:val="21"/>
        </w:rPr>
      </w:pPr>
      <w:r>
        <w:rPr>
          <w:rFonts w:ascii="Arial" w:hAnsi="Arial" w:cs="Arial"/>
          <w:sz w:val="21"/>
          <w:szCs w:val="21"/>
        </w:rPr>
        <w:t>房地产估价机构资质证书复印件</w:t>
      </w:r>
    </w:p>
    <w:p w14:paraId="1AE23DFF">
      <w:pPr>
        <w:numPr>
          <w:ilvl w:val="0"/>
          <w:numId w:val="5"/>
        </w:numPr>
        <w:spacing w:line="360" w:lineRule="auto"/>
        <w:jc w:val="both"/>
        <w:sectPr>
          <w:headerReference r:id="rId13" w:type="default"/>
          <w:footerReference r:id="rId14" w:type="default"/>
          <w:pgSz w:w="11906" w:h="16838"/>
          <w:pgMar w:top="1843" w:right="1134" w:bottom="1134" w:left="1474" w:header="1134" w:footer="907" w:gutter="0"/>
          <w:cols w:space="720" w:num="1"/>
          <w:formProt w:val="0"/>
          <w:docGrid w:linePitch="326" w:charSpace="0"/>
        </w:sectPr>
      </w:pPr>
      <w:r>
        <w:rPr>
          <w:rFonts w:ascii="Arial" w:hAnsi="Arial" w:cs="Arial"/>
          <w:sz w:val="21"/>
          <w:szCs w:val="21"/>
        </w:rPr>
        <w:t>评估专业人员执业证书复印件</w:t>
      </w:r>
    </w:p>
    <w:p w14:paraId="134620BC">
      <w:pPr>
        <w:pStyle w:val="2"/>
        <w:spacing w:line="480" w:lineRule="auto"/>
        <w:jc w:val="center"/>
        <w:rPr>
          <w:rFonts w:eastAsia="方正黑体简体"/>
          <w:b w:val="0"/>
          <w:kern w:val="2"/>
          <w:sz w:val="32"/>
          <w:szCs w:val="32"/>
        </w:rPr>
      </w:pPr>
      <w:bookmarkStart w:id="4" w:name="_Toc155340479"/>
      <w:r>
        <w:rPr>
          <w:rFonts w:eastAsia="方正黑体简体"/>
          <w:b w:val="0"/>
          <w:kern w:val="2"/>
          <w:sz w:val="32"/>
          <w:szCs w:val="32"/>
        </w:rPr>
        <w:t>估价师声明</w:t>
      </w:r>
      <w:bookmarkEnd w:id="4"/>
    </w:p>
    <w:p w14:paraId="02B97460">
      <w:pPr>
        <w:spacing w:line="480" w:lineRule="auto"/>
        <w:jc w:val="both"/>
        <w:outlineLvl w:val="0"/>
        <w:rPr>
          <w:rFonts w:ascii="Arial" w:hAnsi="Arial" w:cs="Arial"/>
          <w:kern w:val="2"/>
          <w:sz w:val="21"/>
          <w:szCs w:val="21"/>
        </w:rPr>
      </w:pPr>
      <w:r>
        <w:rPr>
          <w:rFonts w:ascii="Arial" w:hAnsi="Arial" w:cs="Arial"/>
          <w:kern w:val="2"/>
          <w:sz w:val="21"/>
          <w:szCs w:val="21"/>
        </w:rPr>
        <w:t>注册房地产估价师郑重声明：</w:t>
      </w:r>
    </w:p>
    <w:p w14:paraId="77E6D04A">
      <w:pPr>
        <w:spacing w:line="480" w:lineRule="auto"/>
        <w:jc w:val="both"/>
        <w:outlineLvl w:val="0"/>
        <w:rPr>
          <w:rFonts w:ascii="Arial" w:hAnsi="Arial" w:cs="Arial"/>
          <w:kern w:val="2"/>
          <w:sz w:val="21"/>
          <w:szCs w:val="21"/>
        </w:rPr>
      </w:pPr>
      <w:r>
        <w:rPr>
          <w:rFonts w:ascii="Arial" w:hAnsi="Arial" w:cs="Arial"/>
          <w:kern w:val="2"/>
          <w:sz w:val="21"/>
          <w:szCs w:val="21"/>
        </w:rPr>
        <w:t>（一）注册房地产估价师在本估价报告中对事实的说明是真实的和准确的，没有虚假记载、误导性陈述和重大遗漏。</w:t>
      </w:r>
    </w:p>
    <w:p w14:paraId="2DCB6484">
      <w:pPr>
        <w:spacing w:line="480" w:lineRule="auto"/>
        <w:jc w:val="both"/>
        <w:outlineLvl w:val="0"/>
        <w:rPr>
          <w:rFonts w:ascii="Arial" w:hAnsi="Arial" w:cs="Arial"/>
          <w:kern w:val="2"/>
          <w:sz w:val="21"/>
          <w:szCs w:val="21"/>
        </w:rPr>
      </w:pPr>
      <w:r>
        <w:rPr>
          <w:rFonts w:ascii="Arial" w:hAnsi="Arial" w:cs="Arial"/>
          <w:kern w:val="2"/>
          <w:sz w:val="21"/>
          <w:szCs w:val="21"/>
        </w:rPr>
        <w:t>（二）本估价报告中的分析、意见和结论是注册房地产估价师独立、客观、公正的专业分析、意见和结论，但受到本估价报告中已说明的估价假设和限制条件的限制。</w:t>
      </w:r>
    </w:p>
    <w:p w14:paraId="1BD72FE7">
      <w:pPr>
        <w:spacing w:line="480" w:lineRule="auto"/>
        <w:jc w:val="both"/>
        <w:outlineLvl w:val="0"/>
        <w:rPr>
          <w:rFonts w:ascii="Arial" w:hAnsi="Arial" w:cs="Arial"/>
          <w:kern w:val="2"/>
          <w:sz w:val="21"/>
          <w:szCs w:val="21"/>
        </w:rPr>
      </w:pPr>
      <w:r>
        <w:rPr>
          <w:rFonts w:ascii="Arial" w:hAnsi="Arial" w:cs="Arial"/>
          <w:kern w:val="2"/>
          <w:sz w:val="21"/>
          <w:szCs w:val="21"/>
        </w:rPr>
        <w:t>（三）</w:t>
      </w:r>
      <w:r>
        <w:rPr>
          <w:rFonts w:hint="eastAsia" w:ascii="Arial" w:hAnsi="Arial" w:cs="Arial"/>
          <w:kern w:val="2"/>
          <w:sz w:val="21"/>
          <w:szCs w:val="21"/>
        </w:rPr>
        <w:t>注册房地产估价师已于2025年10月13日对估价对象进行了实地查勘。我们</w:t>
      </w:r>
      <w:r>
        <w:rPr>
          <w:rFonts w:ascii="Arial" w:hAnsi="Arial" w:cs="Arial"/>
          <w:kern w:val="2"/>
          <w:sz w:val="21"/>
          <w:szCs w:val="21"/>
        </w:rPr>
        <w:t>与估价报告中的估价对象没有现实或潜在的利益，与估价委托人及估价利害关系人没有利害关系，也对本估价报告中的估价对象、估价委托人及估价利害关系人没有偏见。</w:t>
      </w:r>
    </w:p>
    <w:p w14:paraId="61ABB4AF">
      <w:pPr>
        <w:spacing w:line="480" w:lineRule="auto"/>
        <w:jc w:val="both"/>
        <w:outlineLvl w:val="0"/>
        <w:rPr>
          <w:rFonts w:ascii="Arial" w:hAnsi="Arial" w:cs="Arial"/>
          <w:kern w:val="2"/>
          <w:sz w:val="21"/>
          <w:szCs w:val="21"/>
        </w:rPr>
      </w:pPr>
      <w:r>
        <w:rPr>
          <w:rFonts w:ascii="Arial" w:hAnsi="Arial" w:cs="Arial"/>
          <w:kern w:val="2"/>
          <w:sz w:val="21"/>
          <w:szCs w:val="21"/>
        </w:rPr>
        <w:t>（四）注册房地产估价师依照中华人民共和国国家标准《房地产估价规范》[GB/T</w:t>
      </w:r>
      <w:r>
        <w:rPr>
          <w:rFonts w:hint="eastAsia" w:ascii="Arial" w:hAnsi="Arial" w:cs="Arial"/>
          <w:kern w:val="2"/>
          <w:sz w:val="21"/>
          <w:szCs w:val="21"/>
        </w:rPr>
        <w:t xml:space="preserve"> </w:t>
      </w:r>
      <w:r>
        <w:rPr>
          <w:rFonts w:ascii="Arial" w:hAnsi="Arial" w:cs="Arial"/>
          <w:kern w:val="2"/>
          <w:sz w:val="21"/>
          <w:szCs w:val="21"/>
        </w:rPr>
        <w:t>50291-2015]</w:t>
      </w:r>
      <w:r>
        <w:rPr>
          <w:rFonts w:hint="eastAsia" w:ascii="Arial" w:hAnsi="Arial" w:cs="Arial"/>
          <w:kern w:val="2"/>
          <w:sz w:val="21"/>
          <w:szCs w:val="21"/>
        </w:rPr>
        <w:t>、《</w:t>
      </w:r>
      <w:r>
        <w:rPr>
          <w:rFonts w:ascii="Arial" w:hAnsi="Arial" w:cs="Arial"/>
          <w:kern w:val="2"/>
          <w:sz w:val="21"/>
          <w:szCs w:val="21"/>
        </w:rPr>
        <w:t>房地产估价基本术语标</w:t>
      </w:r>
      <w:r>
        <w:rPr>
          <w:rFonts w:hint="eastAsia" w:ascii="Arial" w:hAnsi="Arial" w:cs="Arial"/>
          <w:kern w:val="2"/>
          <w:sz w:val="21"/>
          <w:szCs w:val="21"/>
        </w:rPr>
        <w:t>准》</w:t>
      </w:r>
      <w:r>
        <w:rPr>
          <w:rFonts w:ascii="Arial" w:hAnsi="Arial" w:cs="Arial"/>
          <w:kern w:val="2"/>
          <w:sz w:val="21"/>
          <w:szCs w:val="21"/>
        </w:rPr>
        <w:t>[GB/T</w:t>
      </w:r>
      <w:r>
        <w:rPr>
          <w:rFonts w:hint="eastAsia" w:ascii="Arial" w:hAnsi="Arial" w:cs="Arial"/>
          <w:kern w:val="2"/>
          <w:sz w:val="21"/>
          <w:szCs w:val="21"/>
        </w:rPr>
        <w:t xml:space="preserve"> </w:t>
      </w:r>
      <w:r>
        <w:rPr>
          <w:rFonts w:ascii="Arial" w:hAnsi="Arial" w:cs="Arial"/>
          <w:kern w:val="2"/>
          <w:sz w:val="21"/>
          <w:szCs w:val="21"/>
        </w:rPr>
        <w:t>50899-2013]以及相关房地产估价专项标准</w:t>
      </w:r>
      <w:r>
        <w:rPr>
          <w:rFonts w:hint="eastAsia" w:ascii="Arial" w:hAnsi="Arial" w:cs="Arial"/>
          <w:kern w:val="2"/>
          <w:sz w:val="21"/>
          <w:szCs w:val="21"/>
        </w:rPr>
        <w:t>，并参照</w:t>
      </w:r>
      <w:r>
        <w:rPr>
          <w:rFonts w:hint="eastAsia" w:ascii="Arial" w:hAnsi="Arial"/>
          <w:bCs/>
          <w:sz w:val="21"/>
        </w:rPr>
        <w:t>《</w:t>
      </w:r>
      <w:r>
        <w:rPr>
          <w:rFonts w:hint="eastAsia" w:ascii="Arial" w:hAnsi="Arial" w:cs="Arial"/>
          <w:kern w:val="2"/>
          <w:sz w:val="21"/>
          <w:szCs w:val="21"/>
        </w:rPr>
        <w:t>北京市公共租赁住房项目市场租金评估技术指引</w:t>
      </w:r>
      <w:r>
        <w:rPr>
          <w:rFonts w:hint="eastAsia" w:ascii="Arial" w:hAnsi="Arial"/>
          <w:bCs/>
          <w:sz w:val="21"/>
        </w:rPr>
        <w:t>》</w:t>
      </w:r>
      <w:r>
        <w:rPr>
          <w:rFonts w:ascii="Arial" w:hAnsi="Arial" w:cs="Arial"/>
          <w:kern w:val="2"/>
          <w:sz w:val="21"/>
          <w:szCs w:val="21"/>
        </w:rPr>
        <w:t>进行估价工作，撰写本估价报告。</w:t>
      </w:r>
    </w:p>
    <w:p w14:paraId="5A8A95D2">
      <w:pPr>
        <w:spacing w:line="480" w:lineRule="auto"/>
        <w:jc w:val="both"/>
        <w:outlineLvl w:val="0"/>
        <w:rPr>
          <w:rFonts w:ascii="Arial" w:hAnsi="Arial" w:cs="Arial"/>
          <w:kern w:val="2"/>
          <w:sz w:val="21"/>
          <w:szCs w:val="21"/>
        </w:rPr>
      </w:pPr>
      <w:r>
        <w:rPr>
          <w:rFonts w:ascii="Arial" w:hAnsi="Arial" w:cs="Arial"/>
          <w:kern w:val="2"/>
          <w:sz w:val="21"/>
          <w:szCs w:val="21"/>
        </w:rPr>
        <w:t>（五）本估价报告估价结果仅作为估价委托人在本次估价目的下使用，不得做其他用途。未经本估价机构书面同意，本估价报告的全部或任何一部分均不得向估价委托人、报告使用者、报告审查部门之外的单位和个人提供，也不得以任何形式公开发表。</w:t>
      </w:r>
    </w:p>
    <w:p w14:paraId="66C5A2EA">
      <w:pPr>
        <w:spacing w:line="480" w:lineRule="auto"/>
        <w:jc w:val="both"/>
        <w:outlineLvl w:val="0"/>
        <w:sectPr>
          <w:headerReference r:id="rId15" w:type="default"/>
          <w:footerReference r:id="rId16" w:type="default"/>
          <w:pgSz w:w="11906" w:h="16838"/>
          <w:pgMar w:top="1843" w:right="1134" w:bottom="1134" w:left="1474" w:header="1134" w:footer="907" w:gutter="0"/>
          <w:cols w:space="720" w:num="1"/>
          <w:formProt w:val="0"/>
          <w:docGrid w:linePitch="326" w:charSpace="0"/>
        </w:sectPr>
      </w:pPr>
      <w:r>
        <w:rPr>
          <w:rFonts w:ascii="Arial" w:hAnsi="Arial" w:cs="Arial"/>
          <w:kern w:val="2"/>
          <w:sz w:val="21"/>
          <w:szCs w:val="21"/>
        </w:rPr>
        <w:t>（</w:t>
      </w:r>
      <w:r>
        <w:rPr>
          <w:rFonts w:hint="eastAsia" w:ascii="Arial" w:hAnsi="Arial" w:cs="Arial"/>
          <w:kern w:val="2"/>
          <w:sz w:val="21"/>
          <w:szCs w:val="21"/>
        </w:rPr>
        <w:t>六</w:t>
      </w:r>
      <w:r>
        <w:rPr>
          <w:rFonts w:ascii="Arial" w:hAnsi="Arial" w:cs="Arial"/>
          <w:kern w:val="2"/>
          <w:sz w:val="21"/>
          <w:szCs w:val="21"/>
        </w:rPr>
        <w:t>）本估价报告由北京康正宏基房地产评估有限公司负责解释。</w:t>
      </w:r>
    </w:p>
    <w:p w14:paraId="42772127">
      <w:pPr>
        <w:pStyle w:val="2"/>
        <w:spacing w:line="480" w:lineRule="auto"/>
        <w:jc w:val="center"/>
        <w:rPr>
          <w:rFonts w:eastAsia="方正黑体简体"/>
          <w:b w:val="0"/>
          <w:kern w:val="2"/>
          <w:sz w:val="32"/>
          <w:szCs w:val="32"/>
        </w:rPr>
      </w:pPr>
      <w:bookmarkStart w:id="5" w:name="_Toc155340480"/>
      <w:r>
        <w:rPr>
          <w:rFonts w:eastAsia="方正黑体简体"/>
          <w:b w:val="0"/>
          <w:kern w:val="2"/>
          <w:sz w:val="32"/>
          <w:szCs w:val="32"/>
        </w:rPr>
        <w:t>估价假设和限制条件</w:t>
      </w:r>
      <w:bookmarkEnd w:id="5"/>
    </w:p>
    <w:p w14:paraId="5935D907">
      <w:pPr>
        <w:spacing w:line="480" w:lineRule="auto"/>
        <w:jc w:val="both"/>
        <w:outlineLvl w:val="0"/>
        <w:rPr>
          <w:rFonts w:ascii="Arial" w:hAnsi="Arial" w:cs="Arial"/>
          <w:b/>
          <w:kern w:val="2"/>
          <w:sz w:val="21"/>
          <w:szCs w:val="21"/>
        </w:rPr>
      </w:pPr>
      <w:r>
        <w:rPr>
          <w:rFonts w:ascii="Arial" w:hAnsi="Arial" w:cs="Arial"/>
          <w:b/>
          <w:kern w:val="2"/>
          <w:sz w:val="21"/>
          <w:szCs w:val="21"/>
        </w:rPr>
        <w:t>（一）本次估价的一般假设</w:t>
      </w:r>
    </w:p>
    <w:p w14:paraId="4C2F9A3F">
      <w:pPr>
        <w:spacing w:line="480" w:lineRule="auto"/>
        <w:ind w:firstLine="420" w:firstLineChars="200"/>
        <w:jc w:val="both"/>
        <w:rPr>
          <w:rFonts w:ascii="Arial" w:hAnsi="Arial" w:cs="Arial"/>
          <w:kern w:val="2"/>
          <w:sz w:val="21"/>
          <w:szCs w:val="21"/>
        </w:rPr>
      </w:pPr>
      <w:r>
        <w:rPr>
          <w:rFonts w:ascii="Arial" w:hAnsi="Arial" w:cs="Arial"/>
          <w:kern w:val="2"/>
          <w:sz w:val="21"/>
          <w:szCs w:val="21"/>
        </w:rPr>
        <w:t>1.在</w:t>
      </w:r>
      <w:r>
        <w:rPr>
          <w:rFonts w:hint="eastAsia" w:ascii="Arial" w:hAnsi="Arial" w:cs="Arial"/>
          <w:kern w:val="2"/>
          <w:sz w:val="21"/>
          <w:szCs w:val="21"/>
        </w:rPr>
        <w:t>估价时段</w:t>
      </w:r>
      <w:r>
        <w:rPr>
          <w:rFonts w:ascii="Arial" w:hAnsi="Arial" w:cs="Arial"/>
          <w:kern w:val="2"/>
          <w:sz w:val="21"/>
          <w:szCs w:val="21"/>
        </w:rPr>
        <w:t>的房地产</w:t>
      </w:r>
      <w:r>
        <w:rPr>
          <w:rFonts w:hint="eastAsia" w:ascii="Arial" w:hAnsi="Arial" w:cs="Arial"/>
          <w:kern w:val="2"/>
          <w:sz w:val="21"/>
          <w:szCs w:val="21"/>
        </w:rPr>
        <w:t>租赁</w:t>
      </w:r>
      <w:r>
        <w:rPr>
          <w:rFonts w:ascii="Arial" w:hAnsi="Arial" w:cs="Arial"/>
          <w:kern w:val="2"/>
          <w:sz w:val="21"/>
          <w:szCs w:val="21"/>
        </w:rPr>
        <w:t>市场为公开、平等、自愿的交易市场。</w:t>
      </w:r>
    </w:p>
    <w:p w14:paraId="72135EB5">
      <w:pPr>
        <w:spacing w:line="480" w:lineRule="auto"/>
        <w:ind w:firstLine="420" w:firstLineChars="200"/>
        <w:jc w:val="both"/>
        <w:rPr>
          <w:rFonts w:ascii="Arial" w:hAnsi="Arial" w:cs="Arial"/>
          <w:kern w:val="2"/>
          <w:sz w:val="21"/>
          <w:szCs w:val="21"/>
        </w:rPr>
      </w:pPr>
      <w:r>
        <w:rPr>
          <w:rFonts w:hint="eastAsia" w:ascii="Arial" w:hAnsi="Arial" w:cs="Arial"/>
          <w:kern w:val="2"/>
          <w:sz w:val="21"/>
          <w:szCs w:val="21"/>
        </w:rPr>
        <w:t>2.以估价对象符合规划设计条件，能够按规划公共租赁住房用途持续使用，对外出租为假设前提。</w:t>
      </w:r>
    </w:p>
    <w:p w14:paraId="20775AAB">
      <w:pPr>
        <w:spacing w:line="480" w:lineRule="auto"/>
        <w:ind w:firstLine="420" w:firstLineChars="200"/>
        <w:jc w:val="both"/>
        <w:rPr>
          <w:rFonts w:ascii="Arial" w:hAnsi="Arial" w:cs="Arial"/>
          <w:kern w:val="2"/>
          <w:sz w:val="21"/>
          <w:szCs w:val="21"/>
        </w:rPr>
      </w:pPr>
      <w:r>
        <w:rPr>
          <w:rFonts w:hint="eastAsia" w:ascii="Arial" w:hAnsi="Arial" w:cs="Arial"/>
          <w:kern w:val="2"/>
          <w:sz w:val="21"/>
          <w:szCs w:val="21"/>
        </w:rPr>
        <w:t>3</w:t>
      </w:r>
      <w:r>
        <w:rPr>
          <w:rFonts w:ascii="Arial" w:hAnsi="Arial" w:cs="Arial"/>
          <w:kern w:val="2"/>
          <w:sz w:val="21"/>
          <w:szCs w:val="21"/>
        </w:rPr>
        <w:t>.注册房地产估价师已对估价委托人所提供的、本估价报告所依据的估价对象的权属以及其他相关资料进行了检查，无理由怀疑其合法性、真实性、准确性和完整性。本次评估设定估价委托人提供的资料合法、属实，并且提供了与本次评估有关的所有资料，没有保留及隐瞒。</w:t>
      </w:r>
    </w:p>
    <w:p w14:paraId="4DC03288">
      <w:pPr>
        <w:spacing w:line="480" w:lineRule="auto"/>
        <w:ind w:firstLine="420"/>
        <w:jc w:val="both"/>
        <w:rPr>
          <w:rFonts w:ascii="Arial" w:hAnsi="Arial" w:cs="Arial"/>
          <w:kern w:val="2"/>
          <w:sz w:val="21"/>
          <w:szCs w:val="21"/>
        </w:rPr>
      </w:pPr>
      <w:r>
        <w:rPr>
          <w:rFonts w:ascii="Arial" w:hAnsi="Arial" w:cs="Arial"/>
          <w:kern w:val="2"/>
          <w:sz w:val="21"/>
          <w:szCs w:val="21"/>
        </w:rPr>
        <w:t>4. 本次估价结果是在满足全部假设与限制条件下，于价值时点</w:t>
      </w:r>
      <w:r>
        <w:rPr>
          <w:rFonts w:hint="eastAsia" w:ascii="Arial" w:hAnsi="Arial" w:cs="Arial"/>
          <w:kern w:val="2"/>
          <w:sz w:val="21"/>
          <w:szCs w:val="21"/>
        </w:rPr>
        <w:t>2025年10月1日</w:t>
      </w:r>
      <w:r>
        <w:rPr>
          <w:rFonts w:ascii="Arial" w:hAnsi="Arial" w:cs="Arial"/>
          <w:kern w:val="2"/>
          <w:sz w:val="21"/>
          <w:szCs w:val="21"/>
        </w:rPr>
        <w:t>前一年内（</w:t>
      </w:r>
      <w:r>
        <w:rPr>
          <w:rFonts w:hint="eastAsia" w:ascii="Arial" w:hAnsi="Arial" w:cs="Arial"/>
          <w:kern w:val="2"/>
          <w:sz w:val="21"/>
          <w:szCs w:val="21"/>
        </w:rPr>
        <w:t>2024年10月1日至2025年9月30日</w:t>
      </w:r>
      <w:r>
        <w:rPr>
          <w:rFonts w:ascii="Arial" w:hAnsi="Arial" w:cs="Arial"/>
          <w:kern w:val="2"/>
          <w:sz w:val="21"/>
          <w:szCs w:val="21"/>
        </w:rPr>
        <w:t>）估价对象所在区域同类型商品住房的市场平均租金价格水平，估价结果</w:t>
      </w:r>
      <w:r>
        <w:rPr>
          <w:rFonts w:hint="eastAsia" w:ascii="Arial" w:hAnsi="Arial" w:cs="Arial"/>
          <w:kern w:val="2"/>
          <w:sz w:val="21"/>
          <w:szCs w:val="21"/>
        </w:rPr>
        <w:t>包括地租、房屋折旧、家具及家电租赁费、设备折旧、维修费、保险费、物业费、管理费、利息、利润等；不含供暖费、水电费、天然气费、通信费、有线电视费、上网宽带费和租赁税费等</w:t>
      </w:r>
      <w:r>
        <w:rPr>
          <w:rFonts w:ascii="Arial" w:hAnsi="Arial" w:cs="Arial"/>
          <w:kern w:val="2"/>
          <w:sz w:val="21"/>
          <w:szCs w:val="21"/>
        </w:rPr>
        <w:t>。</w:t>
      </w:r>
    </w:p>
    <w:p w14:paraId="3DEB9E11">
      <w:pPr>
        <w:spacing w:line="480" w:lineRule="auto"/>
        <w:ind w:firstLine="420"/>
        <w:jc w:val="both"/>
        <w:rPr>
          <w:rFonts w:ascii="Arial" w:hAnsi="Arial" w:cs="Arial"/>
          <w:kern w:val="2"/>
          <w:sz w:val="21"/>
          <w:szCs w:val="21"/>
        </w:rPr>
      </w:pPr>
      <w:r>
        <w:rPr>
          <w:rFonts w:ascii="Arial" w:hAnsi="Arial" w:cs="Arial"/>
          <w:kern w:val="2"/>
          <w:sz w:val="21"/>
          <w:szCs w:val="21"/>
        </w:rPr>
        <w:t>5.估价对象户型、建筑面积、套数等情况均以估价委托人提供的《估价委托书》、</w:t>
      </w:r>
      <w:r>
        <w:rPr>
          <w:rFonts w:ascii="Arial" w:hAnsi="Arial" w:cs="Arial"/>
          <w:sz w:val="21"/>
          <w:szCs w:val="21"/>
        </w:rPr>
        <w:t>《不动产权证书》[京（2018）开不动产权第0015356号]</w:t>
      </w:r>
      <w:r>
        <w:rPr>
          <w:rFonts w:ascii="Arial" w:hAnsi="Arial" w:cs="Arial"/>
          <w:kern w:val="2"/>
          <w:sz w:val="21"/>
          <w:szCs w:val="21"/>
        </w:rPr>
        <w:t>、《E18国际人才公寓房屋明细》为</w:t>
      </w:r>
      <w:r>
        <w:rPr>
          <w:rFonts w:ascii="Arial" w:hAnsi="Arial" w:cs="Arial"/>
          <w:sz w:val="21"/>
          <w:szCs w:val="21"/>
        </w:rPr>
        <w:t>依据。</w:t>
      </w:r>
    </w:p>
    <w:p w14:paraId="63BFF78D">
      <w:pPr>
        <w:spacing w:line="480" w:lineRule="auto"/>
        <w:ind w:firstLine="420"/>
        <w:jc w:val="both"/>
        <w:rPr>
          <w:rFonts w:ascii="Arial" w:hAnsi="Arial" w:cs="Arial"/>
          <w:color w:val="000000"/>
          <w:kern w:val="2"/>
          <w:sz w:val="21"/>
          <w:szCs w:val="21"/>
        </w:rPr>
      </w:pPr>
      <w:r>
        <w:rPr>
          <w:rFonts w:ascii="Arial" w:hAnsi="Arial" w:cs="Arial"/>
          <w:sz w:val="21"/>
          <w:szCs w:val="21"/>
        </w:rPr>
        <w:t>6.</w:t>
      </w:r>
      <w:r>
        <w:rPr>
          <w:rFonts w:ascii="Arial" w:hAnsi="Arial" w:cs="Arial"/>
          <w:kern w:val="2"/>
          <w:sz w:val="21"/>
          <w:szCs w:val="21"/>
        </w:rPr>
        <w:t>评估专业人员未能进入全部房屋内部进行勘察，</w:t>
      </w:r>
      <w:r>
        <w:rPr>
          <w:rFonts w:ascii="Arial" w:hAnsi="Arial" w:cs="Arial"/>
          <w:color w:val="000000"/>
          <w:kern w:val="2"/>
          <w:sz w:val="21"/>
          <w:szCs w:val="21"/>
        </w:rPr>
        <w:t>评估专业人员</w:t>
      </w:r>
      <w:r>
        <w:rPr>
          <w:rFonts w:ascii="Arial" w:hAnsi="Arial" w:cs="Arial"/>
          <w:kern w:val="2"/>
          <w:sz w:val="21"/>
          <w:szCs w:val="21"/>
        </w:rPr>
        <w:t>仅</w:t>
      </w:r>
      <w:r>
        <w:rPr>
          <w:rFonts w:ascii="Arial" w:hAnsi="Arial" w:cs="Arial"/>
          <w:color w:val="000000"/>
          <w:kern w:val="2"/>
          <w:sz w:val="21"/>
          <w:szCs w:val="21"/>
        </w:rPr>
        <w:t>对估价对象部分及其周边环境进行了一般性查勘，并对房屋安全以及环境污染等影响估价对象价值的重大因素给予了关注，在无理由怀疑估价对象存在隐患且无相应的专业机构进行鉴定、检测的情况下，设定估价对象能够正常安全使用。</w:t>
      </w:r>
    </w:p>
    <w:p w14:paraId="3A248C0B">
      <w:pPr>
        <w:spacing w:line="480" w:lineRule="auto"/>
        <w:ind w:firstLine="420" w:firstLineChars="200"/>
        <w:jc w:val="both"/>
        <w:rPr>
          <w:rFonts w:ascii="Arial" w:hAnsi="Arial" w:cs="Arial"/>
          <w:kern w:val="2"/>
          <w:sz w:val="21"/>
          <w:szCs w:val="21"/>
        </w:rPr>
      </w:pPr>
      <w:r>
        <w:rPr>
          <w:rFonts w:hint="eastAsia" w:ascii="Arial" w:hAnsi="Arial" w:cs="Arial"/>
          <w:kern w:val="2"/>
          <w:sz w:val="21"/>
          <w:szCs w:val="21"/>
        </w:rPr>
        <w:t>7</w:t>
      </w:r>
      <w:r>
        <w:rPr>
          <w:rFonts w:ascii="Arial" w:hAnsi="Arial" w:cs="Arial"/>
          <w:kern w:val="2"/>
          <w:sz w:val="21"/>
          <w:szCs w:val="21"/>
        </w:rPr>
        <w:t>.任何有关估价对象的运作方式、程序符合国家、地方的有关法律、法规。</w:t>
      </w:r>
    </w:p>
    <w:p w14:paraId="7A0B4505">
      <w:pPr>
        <w:spacing w:line="480" w:lineRule="auto"/>
        <w:ind w:firstLine="420" w:firstLineChars="200"/>
        <w:jc w:val="both"/>
        <w:rPr>
          <w:rFonts w:ascii="Arial" w:hAnsi="Arial" w:cs="Arial"/>
          <w:kern w:val="2"/>
          <w:sz w:val="21"/>
          <w:szCs w:val="21"/>
        </w:rPr>
      </w:pPr>
      <w:r>
        <w:rPr>
          <w:rFonts w:hint="eastAsia" w:ascii="Arial" w:hAnsi="Arial" w:cs="Arial"/>
          <w:kern w:val="2"/>
          <w:sz w:val="21"/>
          <w:szCs w:val="21"/>
        </w:rPr>
        <w:t>8</w:t>
      </w:r>
      <w:r>
        <w:rPr>
          <w:rFonts w:ascii="Arial" w:hAnsi="Arial" w:cs="Arial"/>
          <w:kern w:val="2"/>
          <w:sz w:val="21"/>
          <w:szCs w:val="21"/>
        </w:rPr>
        <w:t>.本次估价结果未考虑国家宏观政策发生重大变化以及遇有自然力和其他不可抗力对估价结果的影响。</w:t>
      </w:r>
    </w:p>
    <w:p w14:paraId="0497A831">
      <w:pPr>
        <w:spacing w:line="480" w:lineRule="auto"/>
        <w:ind w:firstLine="420" w:firstLineChars="200"/>
        <w:jc w:val="both"/>
        <w:rPr>
          <w:rFonts w:ascii="Arial" w:hAnsi="Arial" w:cs="Arial"/>
          <w:kern w:val="2"/>
          <w:sz w:val="21"/>
          <w:szCs w:val="21"/>
        </w:rPr>
      </w:pPr>
      <w:r>
        <w:rPr>
          <w:rFonts w:hint="eastAsia" w:ascii="Arial" w:hAnsi="Arial" w:cs="Arial"/>
          <w:kern w:val="2"/>
          <w:sz w:val="21"/>
          <w:szCs w:val="21"/>
        </w:rPr>
        <w:t>9.</w:t>
      </w:r>
      <w:r>
        <w:rPr>
          <w:rFonts w:ascii="Arial" w:hAnsi="Arial" w:cs="Arial"/>
          <w:kern w:val="2"/>
          <w:sz w:val="21"/>
          <w:szCs w:val="21"/>
        </w:rPr>
        <w:t>估价结果未考虑估价对象及其运营企业已承担的债务、或有债务及经营决策失误或市场运作失当对其</w:t>
      </w:r>
      <w:r>
        <w:rPr>
          <w:rFonts w:hint="eastAsia" w:ascii="Arial" w:hAnsi="Arial" w:cs="Arial"/>
          <w:kern w:val="2"/>
          <w:sz w:val="21"/>
          <w:szCs w:val="21"/>
        </w:rPr>
        <w:t>租赁价格水平</w:t>
      </w:r>
      <w:r>
        <w:rPr>
          <w:rFonts w:ascii="Arial" w:hAnsi="Arial" w:cs="Arial"/>
          <w:kern w:val="2"/>
          <w:sz w:val="21"/>
          <w:szCs w:val="21"/>
        </w:rPr>
        <w:t>的影响。</w:t>
      </w:r>
    </w:p>
    <w:p w14:paraId="4585D7E8">
      <w:pPr>
        <w:spacing w:line="480" w:lineRule="auto"/>
        <w:ind w:firstLine="420" w:firstLineChars="200"/>
        <w:jc w:val="both"/>
        <w:rPr>
          <w:rFonts w:ascii="Arial" w:hAnsi="Arial" w:cs="Arial"/>
          <w:kern w:val="2"/>
          <w:sz w:val="21"/>
          <w:szCs w:val="21"/>
        </w:rPr>
      </w:pPr>
      <w:r>
        <w:rPr>
          <w:rFonts w:hint="eastAsia" w:ascii="Arial" w:hAnsi="Arial" w:cs="Arial"/>
          <w:kern w:val="2"/>
          <w:sz w:val="21"/>
          <w:szCs w:val="21"/>
        </w:rPr>
        <w:t>10.注册房地产估价师于</w:t>
      </w:r>
      <w:r>
        <w:rPr>
          <w:rFonts w:ascii="Arial" w:hAnsi="Arial" w:cs="Arial"/>
          <w:sz w:val="21"/>
          <w:szCs w:val="21"/>
        </w:rPr>
        <w:t>2025年</w:t>
      </w:r>
      <w:r>
        <w:rPr>
          <w:rFonts w:hint="eastAsia" w:ascii="Arial" w:hAnsi="Arial" w:cs="Arial"/>
          <w:sz w:val="21"/>
          <w:szCs w:val="21"/>
        </w:rPr>
        <w:t>10</w:t>
      </w:r>
      <w:r>
        <w:rPr>
          <w:rFonts w:ascii="Arial" w:hAnsi="Arial" w:cs="Arial"/>
          <w:sz w:val="21"/>
          <w:szCs w:val="21"/>
        </w:rPr>
        <w:t>月1</w:t>
      </w:r>
      <w:r>
        <w:rPr>
          <w:rFonts w:hint="eastAsia" w:ascii="Arial" w:hAnsi="Arial" w:cs="Arial"/>
          <w:sz w:val="21"/>
          <w:szCs w:val="21"/>
        </w:rPr>
        <w:t>3</w:t>
      </w:r>
      <w:r>
        <w:rPr>
          <w:rFonts w:ascii="Arial" w:hAnsi="Arial" w:cs="Arial"/>
          <w:sz w:val="21"/>
          <w:szCs w:val="21"/>
        </w:rPr>
        <w:t>日</w:t>
      </w:r>
      <w:r>
        <w:rPr>
          <w:rFonts w:hint="eastAsia" w:ascii="Arial" w:hAnsi="Arial" w:cs="Arial"/>
          <w:kern w:val="2"/>
          <w:sz w:val="21"/>
          <w:szCs w:val="21"/>
        </w:rPr>
        <w:t>对估价对象现状利用状况进行了实地查勘。</w:t>
      </w:r>
    </w:p>
    <w:p w14:paraId="00ABE7FD">
      <w:pPr>
        <w:spacing w:line="480" w:lineRule="auto"/>
        <w:ind w:firstLine="420"/>
        <w:jc w:val="both"/>
        <w:rPr>
          <w:rFonts w:ascii="Arial" w:hAnsi="Arial" w:cs="Arial"/>
          <w:kern w:val="2"/>
          <w:sz w:val="21"/>
          <w:szCs w:val="21"/>
        </w:rPr>
      </w:pPr>
      <w:r>
        <w:rPr>
          <w:rFonts w:hint="eastAsia" w:ascii="Arial" w:hAnsi="Arial" w:cs="Arial"/>
          <w:kern w:val="2"/>
          <w:sz w:val="21"/>
          <w:szCs w:val="21"/>
        </w:rPr>
        <w:t>11.根据估价目的，本次估价未考虑抵押、租赁、地役、查封等他项权利影响，故设定估价对象于价值时点不存在抵押、租赁、地役、查封等他项权利限制。</w:t>
      </w:r>
    </w:p>
    <w:p w14:paraId="34B24281">
      <w:pPr>
        <w:spacing w:line="480" w:lineRule="auto"/>
        <w:jc w:val="both"/>
        <w:outlineLvl w:val="0"/>
        <w:rPr>
          <w:rFonts w:ascii="Arial" w:hAnsi="Arial" w:cs="Arial"/>
          <w:b/>
          <w:kern w:val="2"/>
          <w:sz w:val="21"/>
          <w:szCs w:val="21"/>
        </w:rPr>
      </w:pPr>
      <w:r>
        <w:rPr>
          <w:rFonts w:ascii="Arial" w:hAnsi="Arial" w:cs="Arial"/>
          <w:b/>
          <w:kern w:val="2"/>
          <w:sz w:val="21"/>
          <w:szCs w:val="21"/>
        </w:rPr>
        <w:t>（二）本次估价的未定事项假设</w:t>
      </w:r>
    </w:p>
    <w:p w14:paraId="25D19516">
      <w:pPr>
        <w:spacing w:line="480" w:lineRule="auto"/>
        <w:ind w:firstLine="420"/>
        <w:jc w:val="both"/>
        <w:rPr>
          <w:rFonts w:ascii="Arial" w:hAnsi="Arial" w:cs="Arial"/>
          <w:color w:val="000000"/>
          <w:sz w:val="21"/>
          <w:szCs w:val="21"/>
        </w:rPr>
      </w:pPr>
      <w:r>
        <w:rPr>
          <w:rFonts w:ascii="Arial" w:hAnsi="Arial" w:cs="Arial"/>
          <w:color w:val="000000"/>
          <w:sz w:val="21"/>
          <w:szCs w:val="21"/>
        </w:rPr>
        <w:t>无未定事项假设。</w:t>
      </w:r>
    </w:p>
    <w:p w14:paraId="7A1E088A">
      <w:pPr>
        <w:spacing w:line="480" w:lineRule="auto"/>
        <w:jc w:val="both"/>
        <w:outlineLvl w:val="0"/>
        <w:rPr>
          <w:rFonts w:ascii="Arial" w:hAnsi="Arial" w:cs="Arial"/>
          <w:b/>
          <w:kern w:val="2"/>
          <w:sz w:val="21"/>
          <w:szCs w:val="21"/>
        </w:rPr>
      </w:pPr>
      <w:r>
        <w:rPr>
          <w:rFonts w:ascii="Arial" w:hAnsi="Arial" w:cs="Arial"/>
          <w:b/>
          <w:kern w:val="2"/>
          <w:sz w:val="21"/>
          <w:szCs w:val="21"/>
        </w:rPr>
        <w:t>（三）本次估价的</w:t>
      </w:r>
      <w:bookmarkStart w:id="6" w:name="_Hlk118391731"/>
      <w:r>
        <w:rPr>
          <w:rFonts w:ascii="Arial" w:hAnsi="Arial" w:cs="Arial"/>
          <w:b/>
          <w:kern w:val="2"/>
          <w:sz w:val="21"/>
          <w:szCs w:val="21"/>
        </w:rPr>
        <w:t>背离事实假设</w:t>
      </w:r>
      <w:bookmarkEnd w:id="6"/>
    </w:p>
    <w:p w14:paraId="3E8BFCA3">
      <w:pPr>
        <w:spacing w:line="480" w:lineRule="auto"/>
        <w:ind w:firstLine="420"/>
        <w:jc w:val="both"/>
        <w:rPr>
          <w:rFonts w:ascii="Arial" w:hAnsi="Arial" w:cs="Arial"/>
          <w:kern w:val="2"/>
          <w:sz w:val="21"/>
          <w:szCs w:val="21"/>
        </w:rPr>
      </w:pPr>
      <w:r>
        <w:rPr>
          <w:rFonts w:hint="eastAsia" w:ascii="Arial" w:hAnsi="Arial" w:cs="Arial"/>
          <w:sz w:val="21"/>
          <w:szCs w:val="21"/>
        </w:rPr>
        <w:t>根据注册房地产估价师实地查勘及领勘人介绍，于价值时点，估价对象部分已公开配租，结合本次估价目的，未考虑现有租约对估价结果的影响</w:t>
      </w:r>
      <w:r>
        <w:rPr>
          <w:rFonts w:ascii="Arial" w:hAnsi="Arial" w:cs="Arial"/>
          <w:kern w:val="2"/>
          <w:sz w:val="21"/>
          <w:szCs w:val="21"/>
        </w:rPr>
        <w:t>。</w:t>
      </w:r>
    </w:p>
    <w:p w14:paraId="09E0A24F">
      <w:pPr>
        <w:spacing w:line="480" w:lineRule="auto"/>
        <w:jc w:val="both"/>
        <w:outlineLvl w:val="0"/>
        <w:rPr>
          <w:rFonts w:ascii="Arial" w:hAnsi="Arial" w:cs="Arial"/>
          <w:b/>
          <w:kern w:val="2"/>
          <w:sz w:val="21"/>
          <w:szCs w:val="21"/>
        </w:rPr>
      </w:pPr>
      <w:r>
        <w:rPr>
          <w:rFonts w:ascii="Arial" w:hAnsi="Arial" w:cs="Arial"/>
          <w:b/>
          <w:kern w:val="2"/>
          <w:sz w:val="21"/>
          <w:szCs w:val="21"/>
        </w:rPr>
        <w:t>（四）本次估价的不相一致假设</w:t>
      </w:r>
    </w:p>
    <w:p w14:paraId="0A06054E">
      <w:pPr>
        <w:spacing w:line="480" w:lineRule="auto"/>
        <w:ind w:firstLine="420"/>
        <w:jc w:val="both"/>
        <w:rPr>
          <w:rFonts w:ascii="Arial" w:hAnsi="Arial" w:cs="Arial"/>
          <w:kern w:val="2"/>
          <w:sz w:val="21"/>
          <w:szCs w:val="21"/>
        </w:rPr>
      </w:pPr>
      <w:r>
        <w:rPr>
          <w:rFonts w:hint="eastAsia" w:ascii="Arial" w:hAnsi="Arial" w:cs="Arial"/>
          <w:kern w:val="2"/>
          <w:sz w:val="21"/>
          <w:szCs w:val="21"/>
        </w:rPr>
        <w:t>本次评估</w:t>
      </w:r>
      <w:r>
        <w:rPr>
          <w:rFonts w:hint="eastAsia" w:ascii="Arial" w:hAnsi="Arial" w:cs="Arial"/>
          <w:sz w:val="21"/>
          <w:szCs w:val="21"/>
        </w:rPr>
        <w:t>注册房地产估价师</w:t>
      </w:r>
      <w:r>
        <w:rPr>
          <w:rFonts w:hint="eastAsia" w:ascii="Arial" w:hAnsi="Arial" w:cs="Arial"/>
          <w:kern w:val="2"/>
          <w:sz w:val="21"/>
          <w:szCs w:val="21"/>
        </w:rPr>
        <w:t>实地查勘日为202</w:t>
      </w:r>
      <w:r>
        <w:rPr>
          <w:rFonts w:ascii="Arial" w:hAnsi="Arial" w:cs="Arial"/>
          <w:kern w:val="2"/>
          <w:sz w:val="21"/>
          <w:szCs w:val="21"/>
        </w:rPr>
        <w:t>5</w:t>
      </w:r>
      <w:r>
        <w:rPr>
          <w:rFonts w:hint="eastAsia" w:ascii="Arial" w:hAnsi="Arial" w:cs="Arial"/>
          <w:kern w:val="2"/>
          <w:sz w:val="21"/>
          <w:szCs w:val="21"/>
        </w:rPr>
        <w:t>年10月</w:t>
      </w:r>
      <w:r>
        <w:rPr>
          <w:rFonts w:ascii="Arial" w:hAnsi="Arial" w:cs="Arial"/>
          <w:kern w:val="2"/>
          <w:sz w:val="21"/>
          <w:szCs w:val="21"/>
        </w:rPr>
        <w:t>1</w:t>
      </w:r>
      <w:r>
        <w:rPr>
          <w:rFonts w:hint="eastAsia" w:ascii="Arial" w:hAnsi="Arial" w:cs="Arial"/>
          <w:kern w:val="2"/>
          <w:sz w:val="21"/>
          <w:szCs w:val="21"/>
        </w:rPr>
        <w:t>3日，与价值时点202</w:t>
      </w:r>
      <w:r>
        <w:rPr>
          <w:rFonts w:ascii="Arial" w:hAnsi="Arial" w:cs="Arial"/>
          <w:kern w:val="2"/>
          <w:sz w:val="21"/>
          <w:szCs w:val="21"/>
        </w:rPr>
        <w:t>5</w:t>
      </w:r>
      <w:r>
        <w:rPr>
          <w:rFonts w:hint="eastAsia" w:ascii="Arial" w:hAnsi="Arial" w:cs="Arial"/>
          <w:kern w:val="2"/>
          <w:sz w:val="21"/>
          <w:szCs w:val="21"/>
        </w:rPr>
        <w:t>年10月1日不一致，本次评估假设估价对象于价值时点的实物状况与实地查勘之日一致。在此提请报告使用者注意</w:t>
      </w:r>
      <w:r>
        <w:rPr>
          <w:rFonts w:ascii="Arial" w:hAnsi="Arial" w:cs="Arial"/>
          <w:kern w:val="2"/>
          <w:sz w:val="21"/>
          <w:szCs w:val="21"/>
        </w:rPr>
        <w:t>。</w:t>
      </w:r>
    </w:p>
    <w:p w14:paraId="474859CB">
      <w:pPr>
        <w:spacing w:line="480" w:lineRule="auto"/>
        <w:jc w:val="both"/>
        <w:outlineLvl w:val="0"/>
        <w:rPr>
          <w:rFonts w:ascii="Arial" w:hAnsi="Arial" w:cs="Arial"/>
          <w:b/>
          <w:kern w:val="2"/>
          <w:sz w:val="21"/>
          <w:szCs w:val="21"/>
        </w:rPr>
      </w:pPr>
      <w:r>
        <w:rPr>
          <w:rFonts w:ascii="Arial" w:hAnsi="Arial" w:cs="Arial"/>
          <w:b/>
          <w:kern w:val="2"/>
          <w:sz w:val="21"/>
          <w:szCs w:val="21"/>
        </w:rPr>
        <w:t>（五）本次估价的依据不足假设</w:t>
      </w:r>
    </w:p>
    <w:p w14:paraId="016FFFB2">
      <w:pPr>
        <w:spacing w:line="480" w:lineRule="auto"/>
        <w:ind w:firstLine="420"/>
        <w:jc w:val="both"/>
        <w:rPr>
          <w:rFonts w:ascii="Arial" w:hAnsi="Arial" w:cs="Arial"/>
          <w:kern w:val="2"/>
          <w:sz w:val="21"/>
          <w:szCs w:val="21"/>
        </w:rPr>
      </w:pPr>
      <w:r>
        <w:rPr>
          <w:rFonts w:hint="eastAsia" w:ascii="Arial" w:hAnsi="Arial" w:cs="Arial"/>
          <w:sz w:val="21"/>
          <w:szCs w:val="21"/>
        </w:rPr>
        <w:t>关于发布&lt;北京市公共租赁住房项目市场租金评估技术指引&gt;的通知》[北估秘[2019]02</w:t>
      </w:r>
      <w:r>
        <w:rPr>
          <w:rFonts w:ascii="Arial" w:hAnsi="Arial" w:cs="Arial"/>
          <w:sz w:val="21"/>
          <w:szCs w:val="21"/>
        </w:rPr>
        <w:t>0</w:t>
      </w:r>
      <w:r>
        <w:rPr>
          <w:rFonts w:hint="eastAsia" w:ascii="Arial" w:hAnsi="Arial" w:cs="Arial"/>
          <w:sz w:val="21"/>
          <w:szCs w:val="21"/>
        </w:rPr>
        <w:t>号]</w:t>
      </w:r>
      <w:r>
        <w:rPr>
          <w:rFonts w:hint="eastAsia" w:ascii="Arial" w:hAnsi="Arial" w:cs="Arial"/>
          <w:kern w:val="2"/>
          <w:sz w:val="21"/>
          <w:szCs w:val="21"/>
        </w:rPr>
        <w:t>自2020年1月1日起施行，有效期为三年，截至价值时点，评估技术指引已过有效期。考虑到新版技术指引尚未发布，且目前北京市公共租赁住房市场租金评估相关标准仍按技术指引执行，故本次评估参照</w:t>
      </w:r>
      <w:r>
        <w:rPr>
          <w:rFonts w:hint="eastAsia" w:ascii="Arial" w:hAnsi="Arial" w:cs="Arial"/>
          <w:sz w:val="21"/>
          <w:szCs w:val="21"/>
        </w:rPr>
        <w:t>《关于发布&lt;北京市公共租赁住房项目市场租金评估技术指引&gt;的通知》[北估秘[2019]02</w:t>
      </w:r>
      <w:r>
        <w:rPr>
          <w:rFonts w:ascii="Arial" w:hAnsi="Arial" w:cs="Arial"/>
          <w:sz w:val="21"/>
          <w:szCs w:val="21"/>
        </w:rPr>
        <w:t>0</w:t>
      </w:r>
      <w:r>
        <w:rPr>
          <w:rFonts w:hint="eastAsia" w:ascii="Arial" w:hAnsi="Arial" w:cs="Arial"/>
          <w:sz w:val="21"/>
          <w:szCs w:val="21"/>
        </w:rPr>
        <w:t>号]</w:t>
      </w:r>
      <w:r>
        <w:rPr>
          <w:rFonts w:hint="eastAsia" w:ascii="Arial" w:hAnsi="Arial" w:cs="Arial"/>
          <w:kern w:val="2"/>
          <w:sz w:val="21"/>
          <w:szCs w:val="21"/>
        </w:rPr>
        <w:t>进行评估，在此提请报告使用者注意</w:t>
      </w:r>
      <w:r>
        <w:rPr>
          <w:rFonts w:ascii="Arial" w:hAnsi="Arial" w:cs="Arial"/>
          <w:kern w:val="2"/>
          <w:sz w:val="21"/>
          <w:szCs w:val="21"/>
        </w:rPr>
        <w:t>。</w:t>
      </w:r>
    </w:p>
    <w:p w14:paraId="1BC25B73">
      <w:pPr>
        <w:spacing w:line="480" w:lineRule="auto"/>
        <w:jc w:val="both"/>
        <w:outlineLvl w:val="0"/>
        <w:rPr>
          <w:rFonts w:ascii="Arial" w:hAnsi="Arial" w:cs="Arial"/>
          <w:b/>
          <w:kern w:val="2"/>
          <w:sz w:val="21"/>
          <w:szCs w:val="21"/>
        </w:rPr>
      </w:pPr>
      <w:r>
        <w:rPr>
          <w:rFonts w:ascii="Arial" w:hAnsi="Arial" w:cs="Arial"/>
          <w:b/>
          <w:kern w:val="2"/>
          <w:sz w:val="21"/>
          <w:szCs w:val="21"/>
        </w:rPr>
        <w:t>（六）估价报告使用限制</w:t>
      </w:r>
    </w:p>
    <w:p w14:paraId="556F5D39">
      <w:pPr>
        <w:spacing w:line="480" w:lineRule="auto"/>
        <w:ind w:firstLine="420" w:firstLineChars="200"/>
        <w:jc w:val="both"/>
        <w:rPr>
          <w:rFonts w:ascii="Arial" w:hAnsi="Arial" w:cs="Arial"/>
          <w:kern w:val="2"/>
          <w:sz w:val="21"/>
          <w:szCs w:val="21"/>
        </w:rPr>
      </w:pPr>
      <w:r>
        <w:rPr>
          <w:rFonts w:hint="eastAsia" w:ascii="Arial" w:hAnsi="Arial" w:cs="Arial"/>
          <w:kern w:val="2"/>
          <w:sz w:val="21"/>
          <w:szCs w:val="21"/>
        </w:rPr>
        <w:t>1.使用范围：本估价报告只能由估价报告载明的报告使用者使用，且只能用于本报告载明的唯一估价目的和用途。</w:t>
      </w:r>
    </w:p>
    <w:p w14:paraId="66763EFF">
      <w:pPr>
        <w:spacing w:line="480" w:lineRule="auto"/>
        <w:ind w:firstLine="420" w:firstLineChars="200"/>
        <w:jc w:val="both"/>
        <w:rPr>
          <w:rFonts w:ascii="Arial" w:hAnsi="Arial" w:cs="Arial"/>
          <w:kern w:val="2"/>
          <w:sz w:val="21"/>
          <w:szCs w:val="21"/>
        </w:rPr>
      </w:pPr>
      <w:r>
        <w:rPr>
          <w:rFonts w:hint="eastAsia" w:ascii="Arial" w:hAnsi="Arial" w:cs="Arial"/>
          <w:kern w:val="2"/>
          <w:sz w:val="21"/>
          <w:szCs w:val="21"/>
        </w:rPr>
        <w:t>2.估价委托人或者本估价报告使用人应按照法律规定和估价报告载明的使用范围使用本估价报告。估价委托人或者估价报告使用人违反前述规定使用本估价报告的，估价机构和注册房地产估价师不承担责任。</w:t>
      </w:r>
    </w:p>
    <w:p w14:paraId="63681A71">
      <w:pPr>
        <w:spacing w:line="480" w:lineRule="auto"/>
        <w:ind w:firstLine="420" w:firstLineChars="200"/>
        <w:jc w:val="both"/>
        <w:rPr>
          <w:rFonts w:ascii="Arial" w:hAnsi="Arial" w:cs="Arial"/>
          <w:kern w:val="2"/>
          <w:sz w:val="21"/>
          <w:szCs w:val="21"/>
        </w:rPr>
      </w:pPr>
      <w:r>
        <w:rPr>
          <w:rFonts w:hint="eastAsia" w:ascii="Arial" w:hAnsi="Arial" w:cs="Arial"/>
          <w:kern w:val="2"/>
          <w:sz w:val="21"/>
          <w:szCs w:val="21"/>
        </w:rPr>
        <w:t>3.除估价委托人、估价委托合同中约定的其他估价报告使用人和法律、行政法规规定的估价报告使用人之外，其他任何机构和个人不能成为估价报告的使用人。</w:t>
      </w:r>
    </w:p>
    <w:p w14:paraId="43C188B8">
      <w:pPr>
        <w:spacing w:line="480" w:lineRule="auto"/>
        <w:ind w:firstLine="420" w:firstLineChars="200"/>
        <w:jc w:val="both"/>
        <w:rPr>
          <w:rFonts w:ascii="Arial" w:hAnsi="Arial" w:cs="Arial"/>
          <w:kern w:val="2"/>
          <w:sz w:val="21"/>
          <w:szCs w:val="21"/>
        </w:rPr>
      </w:pPr>
      <w:r>
        <w:rPr>
          <w:rFonts w:hint="eastAsia" w:ascii="Arial" w:hAnsi="Arial" w:cs="Arial"/>
          <w:kern w:val="2"/>
          <w:sz w:val="21"/>
          <w:szCs w:val="21"/>
        </w:rPr>
        <w:t>4.估价报告使用人应当正确理解估价结论。估价结论不等同于估价对象可实现价格，估价结论不应当被认为是对估价对象可实现价格的保证。</w:t>
      </w:r>
    </w:p>
    <w:p w14:paraId="3239CA77">
      <w:pPr>
        <w:spacing w:line="480" w:lineRule="auto"/>
        <w:ind w:firstLine="420" w:firstLineChars="200"/>
        <w:jc w:val="both"/>
        <w:rPr>
          <w:rFonts w:ascii="Arial" w:hAnsi="Arial" w:cs="Arial"/>
          <w:kern w:val="2"/>
          <w:sz w:val="21"/>
          <w:szCs w:val="21"/>
        </w:rPr>
      </w:pPr>
      <w:r>
        <w:rPr>
          <w:rFonts w:hint="eastAsia" w:ascii="Arial" w:hAnsi="Arial" w:cs="Arial"/>
          <w:kern w:val="2"/>
          <w:sz w:val="21"/>
          <w:szCs w:val="21"/>
        </w:rPr>
        <w:t>5.</w:t>
      </w:r>
      <w:r>
        <w:rPr>
          <w:rFonts w:ascii="Arial" w:hAnsi="Arial" w:cs="Arial"/>
          <w:kern w:val="2"/>
          <w:sz w:val="21"/>
          <w:szCs w:val="21"/>
        </w:rPr>
        <w:t>本</w:t>
      </w:r>
      <w:r>
        <w:rPr>
          <w:rFonts w:ascii="Arial" w:hAnsi="Arial" w:cs="Arial"/>
          <w:sz w:val="21"/>
          <w:szCs w:val="21"/>
        </w:rPr>
        <w:t>估价报告</w:t>
      </w:r>
      <w:r>
        <w:rPr>
          <w:rFonts w:ascii="Arial" w:hAnsi="Arial" w:cs="Arial"/>
          <w:kern w:val="2"/>
          <w:sz w:val="21"/>
          <w:szCs w:val="21"/>
        </w:rPr>
        <w:t>评估目的是</w:t>
      </w:r>
      <w:r>
        <w:rPr>
          <w:rFonts w:hint="eastAsia" w:ascii="Arial" w:hAnsi="Arial" w:cs="Arial"/>
          <w:sz w:val="21"/>
          <w:szCs w:val="21"/>
        </w:rPr>
        <w:t>为估价委托人确定公共租赁住房项目市场租金提供价格参考依据</w:t>
      </w:r>
      <w:r>
        <w:rPr>
          <w:rFonts w:ascii="Arial" w:hAnsi="Arial" w:cs="Arial"/>
          <w:kern w:val="2"/>
          <w:sz w:val="21"/>
          <w:szCs w:val="21"/>
        </w:rPr>
        <w:t>，不做其他评估目的之用。如果估价对象的评估条件或目的发生变化，需重新进行评估。</w:t>
      </w:r>
    </w:p>
    <w:p w14:paraId="68D5A482">
      <w:pPr>
        <w:spacing w:line="480" w:lineRule="auto"/>
        <w:ind w:firstLine="420" w:firstLineChars="200"/>
        <w:jc w:val="both"/>
        <w:rPr>
          <w:rFonts w:ascii="Arial" w:hAnsi="Arial" w:cs="Arial"/>
          <w:kern w:val="2"/>
          <w:sz w:val="21"/>
          <w:szCs w:val="21"/>
        </w:rPr>
      </w:pPr>
      <w:r>
        <w:rPr>
          <w:rFonts w:hint="eastAsia" w:ascii="Arial" w:hAnsi="Arial" w:cs="Arial"/>
          <w:sz w:val="21"/>
          <w:szCs w:val="21"/>
        </w:rPr>
        <w:t>6</w:t>
      </w:r>
      <w:r>
        <w:rPr>
          <w:rFonts w:ascii="Arial" w:hAnsi="Arial" w:cs="Arial"/>
          <w:sz w:val="21"/>
          <w:szCs w:val="21"/>
        </w:rPr>
        <w:t>.</w:t>
      </w:r>
      <w:r>
        <w:rPr>
          <w:rFonts w:hint="eastAsia" w:ascii="Arial" w:hAnsi="Arial" w:cs="Arial"/>
          <w:kern w:val="2"/>
          <w:sz w:val="21"/>
          <w:szCs w:val="21"/>
        </w:rPr>
        <w:t>估价委托人应对其提供的权属证明以及其他资料的真实性、完整性和合法性负责</w:t>
      </w:r>
      <w:r>
        <w:rPr>
          <w:rFonts w:ascii="Arial" w:hAnsi="Arial" w:cs="Arial"/>
          <w:kern w:val="2"/>
          <w:sz w:val="21"/>
          <w:szCs w:val="21"/>
        </w:rPr>
        <w:t>。如因资料失实或资料提供人有所隐匿而导致估价结果失真，估价机构不承担相应的责任。</w:t>
      </w:r>
    </w:p>
    <w:p w14:paraId="5C30C409">
      <w:pPr>
        <w:spacing w:line="480" w:lineRule="auto"/>
        <w:ind w:firstLine="420" w:firstLineChars="200"/>
        <w:jc w:val="both"/>
        <w:rPr>
          <w:rFonts w:ascii="Arial" w:hAnsi="Arial" w:cs="Arial"/>
          <w:kern w:val="2"/>
          <w:sz w:val="21"/>
          <w:szCs w:val="21"/>
        </w:rPr>
      </w:pPr>
      <w:r>
        <w:rPr>
          <w:rFonts w:hint="eastAsia" w:ascii="Arial" w:hAnsi="Arial" w:cs="Arial"/>
          <w:kern w:val="2"/>
          <w:sz w:val="21"/>
          <w:szCs w:val="21"/>
        </w:rPr>
        <w:t>7.本次评估估价结果是</w:t>
      </w:r>
      <w:r>
        <w:rPr>
          <w:rFonts w:hint="eastAsia" w:ascii="Arial" w:hAnsi="Arial" w:cs="Arial"/>
          <w:kern w:val="2"/>
          <w:sz w:val="21"/>
          <w:szCs w:val="21"/>
          <w:lang w:val="en-US" w:eastAsia="zh-CN"/>
        </w:rPr>
        <w:t>反映</w:t>
      </w:r>
      <w:r>
        <w:rPr>
          <w:rFonts w:hint="eastAsia" w:ascii="Arial" w:hAnsi="Arial" w:cs="Arial"/>
          <w:kern w:val="2"/>
          <w:sz w:val="21"/>
          <w:szCs w:val="21"/>
        </w:rPr>
        <w:t>在本次估价目的下，根据公开市场原则确定的估价对象现行的租赁市场价格，未考虑国家宏观经济政策发生变化等不可预见因素以及遇有自然力和其他不可抗力对估价对象租赁价格的影响。原则上公共租赁住房租金水平，由市、县人民政府统筹考虑住房市场租金水平和供应对象的支付能力等因素合理确定，并按年度实行动态调整。调整之前应委托评估机构再行评估。</w:t>
      </w:r>
    </w:p>
    <w:p w14:paraId="5FB04C43">
      <w:pPr>
        <w:spacing w:line="480" w:lineRule="auto"/>
        <w:ind w:firstLine="420" w:firstLineChars="200"/>
        <w:jc w:val="both"/>
        <w:rPr>
          <w:rFonts w:ascii="Arial" w:hAnsi="Arial" w:cs="Arial"/>
          <w:sz w:val="21"/>
          <w:szCs w:val="21"/>
        </w:rPr>
      </w:pPr>
      <w:r>
        <w:rPr>
          <w:rFonts w:hint="eastAsia" w:ascii="Arial" w:hAnsi="Arial" w:cs="Arial"/>
          <w:sz w:val="21"/>
          <w:szCs w:val="21"/>
        </w:rPr>
        <w:t>8</w:t>
      </w:r>
      <w:r>
        <w:rPr>
          <w:rFonts w:ascii="Arial" w:hAnsi="Arial" w:cs="Arial"/>
          <w:sz w:val="21"/>
          <w:szCs w:val="21"/>
        </w:rPr>
        <w:t>.本估价报告中数据全部采用电算化连续计算得出，由于在报告中计算的数据均按四舍五入保留两位小数或取整，故可能出现个别等式左右不完全相等的情况，但不影响计算结果及最终评估结论的准确性。</w:t>
      </w:r>
    </w:p>
    <w:p w14:paraId="66740B65">
      <w:pPr>
        <w:spacing w:line="480" w:lineRule="auto"/>
        <w:ind w:firstLine="420" w:firstLineChars="200"/>
        <w:jc w:val="both"/>
        <w:rPr>
          <w:rFonts w:ascii="Arial" w:hAnsi="Arial" w:cs="Arial"/>
          <w:sz w:val="21"/>
          <w:szCs w:val="21"/>
        </w:rPr>
      </w:pPr>
      <w:r>
        <w:rPr>
          <w:rFonts w:hint="eastAsia" w:ascii="Arial" w:hAnsi="Arial" w:cs="Arial"/>
          <w:sz w:val="21"/>
          <w:szCs w:val="21"/>
        </w:rPr>
        <w:t>9</w:t>
      </w:r>
      <w:r>
        <w:rPr>
          <w:rFonts w:ascii="Arial" w:hAnsi="Arial" w:cs="Arial"/>
          <w:sz w:val="21"/>
          <w:szCs w:val="21"/>
        </w:rPr>
        <w:t>.本估价报告在估价机构盖章和注册房地产估价师签字的条件下有效。</w:t>
      </w:r>
    </w:p>
    <w:p w14:paraId="1E1E6EDC">
      <w:pPr>
        <w:spacing w:line="480" w:lineRule="auto"/>
        <w:ind w:firstLine="420" w:firstLineChars="200"/>
        <w:jc w:val="both"/>
        <w:rPr>
          <w:rFonts w:ascii="Arial" w:hAnsi="Arial" w:cs="Arial"/>
          <w:sz w:val="21"/>
          <w:szCs w:val="21"/>
        </w:rPr>
      </w:pPr>
      <w:r>
        <w:rPr>
          <w:rFonts w:hint="eastAsia" w:ascii="Arial" w:hAnsi="Arial" w:cs="Arial"/>
          <w:kern w:val="2"/>
          <w:sz w:val="21"/>
          <w:szCs w:val="21"/>
        </w:rPr>
        <w:t>10</w:t>
      </w:r>
      <w:r>
        <w:rPr>
          <w:rFonts w:ascii="Arial" w:hAnsi="Arial" w:cs="Arial"/>
          <w:kern w:val="2"/>
          <w:sz w:val="21"/>
          <w:szCs w:val="21"/>
        </w:rPr>
        <w:t>.</w:t>
      </w:r>
      <w:r>
        <w:rPr>
          <w:rFonts w:ascii="Arial" w:hAnsi="Arial" w:cs="Arial"/>
          <w:sz w:val="21"/>
          <w:szCs w:val="21"/>
        </w:rPr>
        <w:t>价值时点后，估价报告有效期内估价对象的质量及价格标准发生变化，并对估价对象租赁价值产生明显影响时，不能直接使用本次估价结论</w:t>
      </w:r>
      <w:r>
        <w:rPr>
          <w:rFonts w:hint="eastAsia" w:ascii="Arial" w:hAnsi="Arial" w:cs="Arial"/>
          <w:sz w:val="21"/>
          <w:szCs w:val="21"/>
        </w:rPr>
        <w:t>。</w:t>
      </w:r>
    </w:p>
    <w:p w14:paraId="06734B2E">
      <w:pPr>
        <w:spacing w:line="480" w:lineRule="auto"/>
        <w:ind w:firstLine="420" w:firstLineChars="200"/>
        <w:jc w:val="both"/>
        <w:rPr>
          <w:rFonts w:ascii="Arial" w:hAnsi="Arial" w:cs="Arial"/>
          <w:sz w:val="21"/>
          <w:szCs w:val="21"/>
        </w:rPr>
      </w:pPr>
      <w:r>
        <w:rPr>
          <w:rFonts w:hint="eastAsia" w:ascii="Arial" w:hAnsi="Arial" w:cs="Arial"/>
          <w:sz w:val="21"/>
          <w:szCs w:val="21"/>
        </w:rPr>
        <w:t>11.</w:t>
      </w:r>
      <w:r>
        <w:rPr>
          <w:rFonts w:ascii="Arial" w:hAnsi="Arial" w:cs="Arial"/>
          <w:sz w:val="21"/>
          <w:szCs w:val="21"/>
        </w:rPr>
        <w:t>本次估价未考虑特殊交易方式对估价结果的影响。</w:t>
      </w:r>
    </w:p>
    <w:p w14:paraId="23C2B75C">
      <w:pPr>
        <w:spacing w:line="480" w:lineRule="auto"/>
        <w:ind w:firstLine="420" w:firstLineChars="200"/>
        <w:jc w:val="both"/>
        <w:rPr>
          <w:rFonts w:ascii="Arial" w:hAnsi="Arial" w:cs="Arial"/>
          <w:sz w:val="21"/>
          <w:szCs w:val="21"/>
        </w:rPr>
      </w:pPr>
      <w:r>
        <w:rPr>
          <w:rFonts w:hint="eastAsia" w:ascii="Arial" w:hAnsi="Arial" w:cs="Arial"/>
          <w:sz w:val="21"/>
          <w:szCs w:val="21"/>
        </w:rPr>
        <w:t>12.</w:t>
      </w:r>
      <w:r>
        <w:rPr>
          <w:rFonts w:ascii="Arial" w:hAnsi="Arial" w:cs="Arial"/>
          <w:sz w:val="21"/>
          <w:szCs w:val="21"/>
        </w:rPr>
        <w:t>根据</w:t>
      </w:r>
      <w:r>
        <w:rPr>
          <w:rFonts w:hint="eastAsia" w:ascii="Arial" w:hAnsi="Arial" w:cs="Arial"/>
          <w:sz w:val="21"/>
          <w:szCs w:val="21"/>
        </w:rPr>
        <w:t>估价委托人</w:t>
      </w:r>
      <w:r>
        <w:rPr>
          <w:rFonts w:ascii="Arial" w:hAnsi="Arial" w:cs="Arial"/>
          <w:sz w:val="21"/>
          <w:szCs w:val="21"/>
        </w:rPr>
        <w:t>提供的资料，估价对象不存在抵押、担保等他项权利登记，本次估价不考虑抵押等他项权利及现利用状况对估价对象租金价格产生的影响。</w:t>
      </w:r>
    </w:p>
    <w:p w14:paraId="00281CD8">
      <w:pPr>
        <w:spacing w:line="480" w:lineRule="auto"/>
        <w:ind w:firstLine="420" w:firstLineChars="200"/>
        <w:jc w:val="both"/>
        <w:rPr>
          <w:rFonts w:ascii="Arial" w:hAnsi="Arial" w:cs="Arial"/>
          <w:color w:val="0070C0"/>
          <w:sz w:val="21"/>
          <w:szCs w:val="21"/>
        </w:rPr>
        <w:sectPr>
          <w:headerReference r:id="rId17" w:type="default"/>
          <w:footerReference r:id="rId18" w:type="default"/>
          <w:pgSz w:w="11906" w:h="16838"/>
          <w:pgMar w:top="1843" w:right="1134" w:bottom="1134" w:left="1474" w:header="1134" w:footer="907" w:gutter="0"/>
          <w:cols w:space="720" w:num="1"/>
          <w:formProt w:val="0"/>
          <w:docGrid w:linePitch="326" w:charSpace="0"/>
        </w:sectPr>
      </w:pPr>
      <w:r>
        <w:rPr>
          <w:rFonts w:hint="eastAsia" w:ascii="Arial" w:hAnsi="Arial" w:cs="Arial"/>
          <w:kern w:val="2"/>
          <w:sz w:val="21"/>
          <w:szCs w:val="21"/>
        </w:rPr>
        <w:t>13</w:t>
      </w:r>
      <w:r>
        <w:rPr>
          <w:rFonts w:ascii="Arial" w:hAnsi="Arial" w:cs="Arial"/>
          <w:kern w:val="2"/>
          <w:sz w:val="21"/>
          <w:szCs w:val="21"/>
        </w:rPr>
        <w:t>.本估价报告</w:t>
      </w:r>
      <w:r>
        <w:rPr>
          <w:rFonts w:hint="eastAsia" w:ascii="Arial" w:hAnsi="Arial" w:cs="Arial"/>
          <w:kern w:val="2"/>
          <w:sz w:val="21"/>
          <w:szCs w:val="21"/>
        </w:rPr>
        <w:t>自报告出具日起计算，自</w:t>
      </w:r>
      <w:r>
        <w:rPr>
          <w:rFonts w:ascii="Arial" w:hAnsi="Arial" w:cs="Arial"/>
          <w:kern w:val="2"/>
          <w:sz w:val="21"/>
          <w:szCs w:val="21"/>
        </w:rPr>
        <w:t>2025年</w:t>
      </w:r>
      <w:r>
        <w:rPr>
          <w:rFonts w:hint="eastAsia" w:ascii="Arial" w:hAnsi="Arial" w:cs="Arial"/>
          <w:kern w:val="2"/>
          <w:sz w:val="21"/>
          <w:szCs w:val="21"/>
        </w:rPr>
        <w:t>11</w:t>
      </w:r>
      <w:r>
        <w:rPr>
          <w:rFonts w:ascii="Arial" w:hAnsi="Arial" w:cs="Arial"/>
          <w:kern w:val="2"/>
          <w:sz w:val="21"/>
          <w:szCs w:val="21"/>
        </w:rPr>
        <w:t>月</w:t>
      </w:r>
      <w:r>
        <w:rPr>
          <w:rFonts w:hint="eastAsia" w:ascii="Arial" w:hAnsi="Arial" w:cs="Arial"/>
          <w:kern w:val="2"/>
          <w:sz w:val="21"/>
          <w:szCs w:val="21"/>
        </w:rPr>
        <w:t>1</w:t>
      </w:r>
      <w:r>
        <w:rPr>
          <w:rFonts w:ascii="Arial" w:hAnsi="Arial" w:cs="Arial"/>
          <w:kern w:val="2"/>
          <w:sz w:val="21"/>
          <w:szCs w:val="21"/>
        </w:rPr>
        <w:t>日</w:t>
      </w:r>
      <w:r>
        <w:rPr>
          <w:rFonts w:hint="eastAsia" w:ascii="Arial" w:hAnsi="Arial" w:cs="Arial"/>
          <w:kern w:val="2"/>
          <w:sz w:val="21"/>
          <w:szCs w:val="21"/>
        </w:rPr>
        <w:t>至</w:t>
      </w:r>
      <w:r>
        <w:rPr>
          <w:rFonts w:ascii="Arial" w:hAnsi="Arial" w:cs="Arial"/>
          <w:kern w:val="2"/>
          <w:sz w:val="21"/>
          <w:szCs w:val="21"/>
        </w:rPr>
        <w:t>202</w:t>
      </w:r>
      <w:r>
        <w:rPr>
          <w:rFonts w:hint="eastAsia" w:ascii="Arial" w:hAnsi="Arial" w:cs="Arial"/>
          <w:kern w:val="2"/>
          <w:sz w:val="21"/>
          <w:szCs w:val="21"/>
        </w:rPr>
        <w:t>6</w:t>
      </w:r>
      <w:r>
        <w:rPr>
          <w:rFonts w:ascii="Arial" w:hAnsi="Arial" w:cs="Arial"/>
          <w:kern w:val="2"/>
          <w:sz w:val="21"/>
          <w:szCs w:val="21"/>
        </w:rPr>
        <w:t>年</w:t>
      </w:r>
      <w:r>
        <w:rPr>
          <w:rFonts w:hint="eastAsia" w:ascii="Arial" w:hAnsi="Arial" w:cs="Arial"/>
          <w:kern w:val="2"/>
          <w:sz w:val="21"/>
          <w:szCs w:val="21"/>
        </w:rPr>
        <w:t>10</w:t>
      </w:r>
      <w:r>
        <w:rPr>
          <w:rFonts w:ascii="Arial" w:hAnsi="Arial" w:cs="Arial"/>
          <w:kern w:val="2"/>
          <w:sz w:val="21"/>
          <w:szCs w:val="21"/>
        </w:rPr>
        <w:t>月</w:t>
      </w:r>
      <w:r>
        <w:rPr>
          <w:rFonts w:hint="eastAsia" w:ascii="Arial" w:hAnsi="Arial" w:cs="Arial"/>
          <w:kern w:val="2"/>
          <w:sz w:val="21"/>
          <w:szCs w:val="21"/>
        </w:rPr>
        <w:t>31</w:t>
      </w:r>
      <w:r>
        <w:rPr>
          <w:rFonts w:ascii="Arial" w:hAnsi="Arial" w:cs="Arial"/>
          <w:kern w:val="2"/>
          <w:sz w:val="21"/>
          <w:szCs w:val="21"/>
        </w:rPr>
        <w:t>日</w:t>
      </w:r>
      <w:r>
        <w:rPr>
          <w:rFonts w:hint="eastAsia" w:ascii="Arial" w:hAnsi="Arial" w:cs="Arial"/>
          <w:kern w:val="2"/>
          <w:sz w:val="21"/>
          <w:szCs w:val="21"/>
        </w:rPr>
        <w:t>有效</w:t>
      </w:r>
      <w:r>
        <w:rPr>
          <w:rFonts w:ascii="Arial" w:hAnsi="Arial" w:cs="Arial"/>
          <w:kern w:val="2"/>
          <w:sz w:val="21"/>
          <w:szCs w:val="21"/>
        </w:rPr>
        <w:t>。</w:t>
      </w:r>
    </w:p>
    <w:p w14:paraId="4FDA3149">
      <w:pPr>
        <w:pStyle w:val="2"/>
        <w:spacing w:line="360" w:lineRule="auto"/>
        <w:jc w:val="center"/>
        <w:rPr>
          <w:rFonts w:eastAsia="方正黑体简体"/>
          <w:b w:val="0"/>
          <w:kern w:val="2"/>
          <w:sz w:val="32"/>
          <w:szCs w:val="32"/>
        </w:rPr>
      </w:pPr>
      <w:bookmarkStart w:id="7" w:name="_Toc155340481"/>
      <w:r>
        <w:rPr>
          <w:rFonts w:eastAsia="方正黑体简体"/>
          <w:b w:val="0"/>
          <w:kern w:val="2"/>
          <w:sz w:val="32"/>
          <w:szCs w:val="32"/>
        </w:rPr>
        <w:t>估价结果报告</w:t>
      </w:r>
      <w:bookmarkEnd w:id="7"/>
    </w:p>
    <w:p w14:paraId="44CC4446">
      <w:pPr>
        <w:pStyle w:val="3"/>
        <w:numPr>
          <w:ilvl w:val="0"/>
          <w:numId w:val="0"/>
        </w:numPr>
        <w:overflowPunct w:val="0"/>
        <w:spacing w:line="480" w:lineRule="auto"/>
        <w:ind w:left="357" w:hanging="357"/>
        <w:jc w:val="both"/>
        <w:textAlignment w:val="auto"/>
        <w:rPr>
          <w:rFonts w:eastAsia="宋体;SimSun"/>
          <w:b w:val="0"/>
          <w:kern w:val="2"/>
          <w:sz w:val="21"/>
          <w:szCs w:val="21"/>
        </w:rPr>
      </w:pPr>
      <w:bookmarkStart w:id="8" w:name="_Toc155340482"/>
      <w:r>
        <w:rPr>
          <w:rFonts w:eastAsia="宋体;SimSun"/>
          <w:kern w:val="2"/>
          <w:sz w:val="21"/>
          <w:szCs w:val="21"/>
        </w:rPr>
        <w:t>一、估价委托人</w:t>
      </w:r>
      <w:bookmarkEnd w:id="8"/>
    </w:p>
    <w:p w14:paraId="725E9F1B">
      <w:pPr>
        <w:overflowPunct w:val="0"/>
        <w:spacing w:line="480" w:lineRule="auto"/>
        <w:ind w:firstLine="420"/>
        <w:jc w:val="both"/>
        <w:textAlignment w:val="auto"/>
      </w:pPr>
      <w:r>
        <w:rPr>
          <w:rFonts w:ascii="Arial" w:hAnsi="Arial" w:cs="Arial"/>
          <w:sz w:val="21"/>
          <w:szCs w:val="21"/>
        </w:rPr>
        <w:t>估价委托人为北京博大新元房地产开发有限公司。</w:t>
      </w:r>
    </w:p>
    <w:p w14:paraId="5ED4389C">
      <w:pPr>
        <w:overflowPunct w:val="0"/>
        <w:spacing w:line="480" w:lineRule="auto"/>
        <w:ind w:firstLine="420"/>
        <w:jc w:val="both"/>
        <w:textAlignment w:val="auto"/>
        <w:rPr>
          <w:rFonts w:ascii="Arial" w:hAnsi="Arial" w:cs="Arial"/>
          <w:color w:val="E36C0A"/>
          <w:sz w:val="21"/>
          <w:szCs w:val="21"/>
        </w:rPr>
      </w:pPr>
      <w:r>
        <w:rPr>
          <w:rFonts w:ascii="Arial" w:hAnsi="Arial" w:cs="Arial"/>
          <w:sz w:val="21"/>
          <w:szCs w:val="21"/>
        </w:rPr>
        <w:t>单位名称：北京博大新元房地产开发有限公司</w:t>
      </w:r>
    </w:p>
    <w:p w14:paraId="283768B5">
      <w:pPr>
        <w:overflowPunct w:val="0"/>
        <w:spacing w:line="480" w:lineRule="auto"/>
        <w:ind w:firstLine="420"/>
        <w:jc w:val="both"/>
        <w:textAlignment w:val="auto"/>
        <w:rPr>
          <w:rFonts w:ascii="Arial" w:hAnsi="Arial" w:cs="Arial"/>
          <w:sz w:val="21"/>
          <w:szCs w:val="21"/>
        </w:rPr>
      </w:pPr>
      <w:r>
        <w:rPr>
          <w:rFonts w:ascii="Arial" w:hAnsi="Arial" w:cs="Arial"/>
          <w:sz w:val="21"/>
          <w:szCs w:val="21"/>
        </w:rPr>
        <w:t>地</w:t>
      </w:r>
      <w:r>
        <w:rPr>
          <w:rFonts w:ascii="Arial" w:hAnsi="Arial" w:eastAsia="Arial" w:cs="Arial"/>
          <w:sz w:val="21"/>
          <w:szCs w:val="21"/>
        </w:rPr>
        <w:t xml:space="preserve">    </w:t>
      </w:r>
      <w:r>
        <w:rPr>
          <w:rFonts w:ascii="Arial" w:hAnsi="Arial" w:cs="Arial"/>
          <w:sz w:val="21"/>
          <w:szCs w:val="21"/>
        </w:rPr>
        <w:t>址：</w:t>
      </w:r>
      <w:r>
        <w:rPr>
          <w:rFonts w:hint="eastAsia" w:ascii="Arial" w:hAnsi="Arial" w:cs="Arial"/>
          <w:sz w:val="21"/>
          <w:szCs w:val="21"/>
        </w:rPr>
        <w:t>北京市北京经济技术开发区荣华南路13号院7号楼7层701室</w:t>
      </w:r>
    </w:p>
    <w:p w14:paraId="3819B010">
      <w:pPr>
        <w:overflowPunct w:val="0"/>
        <w:spacing w:line="480" w:lineRule="auto"/>
        <w:ind w:firstLine="420"/>
        <w:jc w:val="both"/>
        <w:textAlignment w:val="auto"/>
        <w:rPr>
          <w:rFonts w:ascii="Arial" w:hAnsi="Arial" w:cs="Arial"/>
          <w:sz w:val="21"/>
          <w:szCs w:val="21"/>
        </w:rPr>
      </w:pPr>
      <w:r>
        <w:rPr>
          <w:rFonts w:ascii="Arial" w:hAnsi="Arial" w:cs="Arial"/>
          <w:sz w:val="21"/>
          <w:szCs w:val="21"/>
        </w:rPr>
        <w:t>联</w:t>
      </w:r>
      <w:r>
        <w:rPr>
          <w:rFonts w:ascii="Arial" w:hAnsi="Arial" w:eastAsia="Arial" w:cs="Arial"/>
          <w:sz w:val="21"/>
          <w:szCs w:val="21"/>
        </w:rPr>
        <w:t xml:space="preserve"> </w:t>
      </w:r>
      <w:r>
        <w:rPr>
          <w:rFonts w:ascii="Arial" w:hAnsi="Arial" w:cs="Arial"/>
          <w:sz w:val="21"/>
          <w:szCs w:val="21"/>
        </w:rPr>
        <w:t>系</w:t>
      </w:r>
      <w:r>
        <w:rPr>
          <w:rFonts w:ascii="Arial" w:hAnsi="Arial" w:eastAsia="Arial" w:cs="Arial"/>
          <w:sz w:val="21"/>
          <w:szCs w:val="21"/>
        </w:rPr>
        <w:t xml:space="preserve"> </w:t>
      </w:r>
      <w:r>
        <w:rPr>
          <w:rFonts w:ascii="Arial" w:hAnsi="Arial" w:cs="Arial"/>
          <w:sz w:val="21"/>
          <w:szCs w:val="21"/>
        </w:rPr>
        <w:t>人：陈莉萍</w:t>
      </w:r>
    </w:p>
    <w:p w14:paraId="3667A3AB">
      <w:pPr>
        <w:overflowPunct w:val="0"/>
        <w:spacing w:line="480" w:lineRule="auto"/>
        <w:ind w:firstLine="420"/>
        <w:jc w:val="both"/>
        <w:textAlignment w:val="auto"/>
        <w:rPr>
          <w:rFonts w:ascii="Arial" w:hAnsi="Arial" w:cs="Arial"/>
          <w:sz w:val="21"/>
          <w:szCs w:val="21"/>
        </w:rPr>
      </w:pPr>
    </w:p>
    <w:p w14:paraId="094E39A6">
      <w:pPr>
        <w:pStyle w:val="3"/>
        <w:numPr>
          <w:ilvl w:val="0"/>
          <w:numId w:val="0"/>
        </w:numPr>
        <w:overflowPunct w:val="0"/>
        <w:spacing w:line="480" w:lineRule="auto"/>
        <w:ind w:left="357" w:hanging="357"/>
        <w:jc w:val="both"/>
        <w:textAlignment w:val="auto"/>
        <w:rPr>
          <w:rFonts w:eastAsia="宋体;SimSun"/>
          <w:kern w:val="2"/>
          <w:sz w:val="21"/>
          <w:szCs w:val="21"/>
        </w:rPr>
      </w:pPr>
      <w:bookmarkStart w:id="9" w:name="_Toc155340483"/>
      <w:r>
        <w:rPr>
          <w:rFonts w:eastAsia="宋体;SimSun"/>
          <w:kern w:val="2"/>
          <w:sz w:val="21"/>
          <w:szCs w:val="21"/>
        </w:rPr>
        <w:t>二、房地产估价机构</w:t>
      </w:r>
      <w:bookmarkEnd w:id="9"/>
    </w:p>
    <w:p w14:paraId="425B5F63">
      <w:pPr>
        <w:wordWrap w:val="0"/>
        <w:overflowPunct w:val="0"/>
        <w:spacing w:line="480" w:lineRule="auto"/>
        <w:ind w:firstLine="420" w:firstLineChars="200"/>
        <w:jc w:val="both"/>
        <w:rPr>
          <w:rFonts w:ascii="Arial" w:hAnsi="Arial" w:cs="Arial"/>
          <w:sz w:val="21"/>
          <w:szCs w:val="21"/>
        </w:rPr>
      </w:pPr>
      <w:r>
        <w:rPr>
          <w:rFonts w:hint="eastAsia" w:ascii="Arial" w:hAnsi="Arial" w:cs="Arial"/>
          <w:sz w:val="21"/>
          <w:szCs w:val="21"/>
        </w:rPr>
        <w:t>受托机构：北京康正宏基房地产评估有限公司</w:t>
      </w:r>
    </w:p>
    <w:p w14:paraId="5E541F24">
      <w:pPr>
        <w:wordWrap w:val="0"/>
        <w:overflowPunct w:val="0"/>
        <w:spacing w:line="480" w:lineRule="auto"/>
        <w:ind w:firstLine="420" w:firstLineChars="200"/>
        <w:jc w:val="both"/>
        <w:rPr>
          <w:rFonts w:ascii="Arial" w:hAnsi="Arial" w:cs="Arial"/>
          <w:sz w:val="21"/>
          <w:szCs w:val="21"/>
        </w:rPr>
      </w:pPr>
      <w:r>
        <w:rPr>
          <w:rFonts w:hint="eastAsia" w:ascii="Arial" w:hAnsi="Arial" w:cs="Arial"/>
          <w:sz w:val="21"/>
          <w:szCs w:val="21"/>
        </w:rPr>
        <w:t>资质级别：壹级</w:t>
      </w:r>
    </w:p>
    <w:p w14:paraId="339D94B3">
      <w:pPr>
        <w:wordWrap w:val="0"/>
        <w:overflowPunct w:val="0"/>
        <w:spacing w:line="480" w:lineRule="auto"/>
        <w:ind w:firstLine="420" w:firstLineChars="200"/>
        <w:jc w:val="both"/>
        <w:rPr>
          <w:rFonts w:ascii="Arial" w:hAnsi="Arial" w:cs="Arial"/>
          <w:sz w:val="21"/>
          <w:szCs w:val="21"/>
        </w:rPr>
      </w:pPr>
      <w:r>
        <w:rPr>
          <w:rFonts w:hint="eastAsia" w:ascii="Arial" w:hAnsi="Arial" w:cs="Arial"/>
          <w:sz w:val="21"/>
          <w:szCs w:val="21"/>
        </w:rPr>
        <w:t>资格证书号：建房估备字</w:t>
      </w:r>
      <w:r>
        <w:rPr>
          <w:rFonts w:ascii="Arial" w:hAnsi="Arial" w:cs="Arial"/>
          <w:sz w:val="21"/>
          <w:szCs w:val="21"/>
        </w:rPr>
        <w:t>[2013]081</w:t>
      </w:r>
      <w:r>
        <w:rPr>
          <w:rFonts w:hint="eastAsia" w:ascii="Arial" w:hAnsi="Arial" w:cs="Arial"/>
          <w:sz w:val="21"/>
          <w:szCs w:val="21"/>
        </w:rPr>
        <w:t>号</w:t>
      </w:r>
    </w:p>
    <w:p w14:paraId="414CAF95">
      <w:pPr>
        <w:wordWrap w:val="0"/>
        <w:overflowPunct w:val="0"/>
        <w:spacing w:line="480" w:lineRule="auto"/>
        <w:ind w:firstLine="420" w:firstLineChars="200"/>
        <w:jc w:val="both"/>
        <w:rPr>
          <w:rFonts w:ascii="Arial" w:hAnsi="Arial" w:cs="Arial"/>
          <w:sz w:val="21"/>
          <w:szCs w:val="21"/>
        </w:rPr>
      </w:pPr>
      <w:r>
        <w:rPr>
          <w:rFonts w:hint="eastAsia" w:ascii="Arial" w:hAnsi="Arial" w:cs="Arial"/>
          <w:sz w:val="21"/>
          <w:szCs w:val="21"/>
        </w:rPr>
        <w:t>有效期限：</w:t>
      </w:r>
      <w:r>
        <w:rPr>
          <w:rFonts w:ascii="Arial" w:hAnsi="Arial"/>
          <w:sz w:val="21"/>
          <w:szCs w:val="21"/>
        </w:rPr>
        <w:t>20</w:t>
      </w:r>
      <w:r>
        <w:rPr>
          <w:rFonts w:hint="eastAsia" w:ascii="Arial" w:hAnsi="Arial"/>
          <w:sz w:val="21"/>
          <w:szCs w:val="21"/>
        </w:rPr>
        <w:t>2</w:t>
      </w:r>
      <w:r>
        <w:rPr>
          <w:rFonts w:ascii="Arial" w:hAnsi="Arial"/>
          <w:sz w:val="21"/>
          <w:szCs w:val="21"/>
        </w:rPr>
        <w:t>5</w:t>
      </w:r>
      <w:r>
        <w:rPr>
          <w:rFonts w:hint="eastAsia" w:ascii="Arial" w:hAnsi="Arial"/>
          <w:sz w:val="21"/>
          <w:szCs w:val="21"/>
        </w:rPr>
        <w:t>年0</w:t>
      </w:r>
      <w:r>
        <w:rPr>
          <w:rFonts w:ascii="Arial" w:hAnsi="Arial"/>
          <w:sz w:val="21"/>
          <w:szCs w:val="21"/>
        </w:rPr>
        <w:t>7</w:t>
      </w:r>
      <w:r>
        <w:rPr>
          <w:rFonts w:hint="eastAsia" w:ascii="Arial" w:hAnsi="Arial"/>
          <w:sz w:val="21"/>
          <w:szCs w:val="21"/>
        </w:rPr>
        <w:t>月</w:t>
      </w:r>
      <w:r>
        <w:rPr>
          <w:rFonts w:ascii="Arial" w:hAnsi="Arial"/>
          <w:sz w:val="21"/>
          <w:szCs w:val="21"/>
        </w:rPr>
        <w:t>01</w:t>
      </w:r>
      <w:r>
        <w:rPr>
          <w:rFonts w:hint="eastAsia" w:ascii="Arial" w:hAnsi="Arial"/>
          <w:sz w:val="21"/>
          <w:szCs w:val="21"/>
        </w:rPr>
        <w:t>日至</w:t>
      </w:r>
      <w:r>
        <w:rPr>
          <w:rFonts w:ascii="Arial" w:hAnsi="Arial"/>
          <w:sz w:val="21"/>
          <w:szCs w:val="21"/>
        </w:rPr>
        <w:t>2028</w:t>
      </w:r>
      <w:r>
        <w:rPr>
          <w:rFonts w:hint="eastAsia" w:ascii="Arial" w:hAnsi="Arial"/>
          <w:sz w:val="21"/>
          <w:szCs w:val="21"/>
        </w:rPr>
        <w:t>年0</w:t>
      </w:r>
      <w:r>
        <w:rPr>
          <w:rFonts w:ascii="Arial" w:hAnsi="Arial"/>
          <w:sz w:val="21"/>
          <w:szCs w:val="21"/>
        </w:rPr>
        <w:t>6</w:t>
      </w:r>
      <w:r>
        <w:rPr>
          <w:rFonts w:hint="eastAsia" w:ascii="Arial" w:hAnsi="Arial"/>
          <w:sz w:val="21"/>
          <w:szCs w:val="21"/>
        </w:rPr>
        <w:t>月</w:t>
      </w:r>
      <w:r>
        <w:rPr>
          <w:rFonts w:ascii="Arial" w:hAnsi="Arial"/>
          <w:sz w:val="21"/>
          <w:szCs w:val="21"/>
        </w:rPr>
        <w:t>30</w:t>
      </w:r>
      <w:r>
        <w:rPr>
          <w:rFonts w:hint="eastAsia" w:ascii="Arial" w:hAnsi="Arial"/>
          <w:sz w:val="21"/>
          <w:szCs w:val="21"/>
        </w:rPr>
        <w:t>日</w:t>
      </w:r>
    </w:p>
    <w:p w14:paraId="33C88121">
      <w:pPr>
        <w:wordWrap w:val="0"/>
        <w:overflowPunct w:val="0"/>
        <w:spacing w:line="480" w:lineRule="auto"/>
        <w:ind w:firstLine="420" w:firstLineChars="200"/>
        <w:jc w:val="both"/>
        <w:rPr>
          <w:rFonts w:ascii="Arial" w:hAnsi="Arial" w:cs="Arial"/>
          <w:sz w:val="21"/>
          <w:szCs w:val="21"/>
        </w:rPr>
      </w:pPr>
      <w:r>
        <w:rPr>
          <w:rFonts w:hint="eastAsia" w:ascii="Arial" w:hAnsi="Arial" w:cs="Arial"/>
          <w:sz w:val="21"/>
          <w:szCs w:val="21"/>
        </w:rPr>
        <w:t xml:space="preserve">地 </w:t>
      </w:r>
      <w:r>
        <w:rPr>
          <w:rFonts w:ascii="Arial" w:hAnsi="Arial" w:cs="Arial"/>
          <w:sz w:val="21"/>
          <w:szCs w:val="21"/>
        </w:rPr>
        <w:t xml:space="preserve">   </w:t>
      </w:r>
      <w:r>
        <w:rPr>
          <w:rFonts w:hint="eastAsia" w:ascii="Arial" w:hAnsi="Arial" w:cs="Arial"/>
          <w:sz w:val="21"/>
          <w:szCs w:val="21"/>
        </w:rPr>
        <w:t>址：北京市朝阳区裕民路1</w:t>
      </w:r>
      <w:r>
        <w:rPr>
          <w:rFonts w:ascii="Arial" w:hAnsi="Arial" w:cs="Arial"/>
          <w:sz w:val="21"/>
          <w:szCs w:val="21"/>
        </w:rPr>
        <w:t>2号中国国际科技会展中心B座</w:t>
      </w:r>
      <w:r>
        <w:rPr>
          <w:rFonts w:hint="eastAsia" w:ascii="Arial" w:hAnsi="Arial" w:cs="Arial"/>
          <w:sz w:val="21"/>
          <w:szCs w:val="21"/>
        </w:rPr>
        <w:t>1</w:t>
      </w:r>
      <w:r>
        <w:rPr>
          <w:rFonts w:ascii="Arial" w:hAnsi="Arial" w:cs="Arial"/>
          <w:sz w:val="21"/>
          <w:szCs w:val="21"/>
        </w:rPr>
        <w:t>003</w:t>
      </w:r>
    </w:p>
    <w:p w14:paraId="4C7E3D94">
      <w:pPr>
        <w:overflowPunct w:val="0"/>
        <w:spacing w:line="480" w:lineRule="auto"/>
        <w:ind w:firstLine="420"/>
        <w:jc w:val="both"/>
        <w:rPr>
          <w:rFonts w:ascii="Arial" w:hAnsi="Arial" w:cs="Arial"/>
          <w:sz w:val="21"/>
          <w:szCs w:val="21"/>
        </w:rPr>
      </w:pPr>
      <w:r>
        <w:rPr>
          <w:rFonts w:hint="eastAsia" w:ascii="Arial" w:hAnsi="Arial" w:cs="Arial"/>
          <w:sz w:val="21"/>
          <w:szCs w:val="21"/>
        </w:rPr>
        <w:t>法定代表人：齐宏</w:t>
      </w:r>
    </w:p>
    <w:p w14:paraId="30C37B9F">
      <w:pPr>
        <w:overflowPunct w:val="0"/>
        <w:spacing w:line="480" w:lineRule="auto"/>
        <w:ind w:firstLine="420"/>
        <w:jc w:val="both"/>
        <w:textAlignment w:val="auto"/>
        <w:rPr>
          <w:rFonts w:ascii="Arial" w:hAnsi="Arial" w:cs="Arial"/>
          <w:sz w:val="21"/>
          <w:szCs w:val="21"/>
        </w:rPr>
      </w:pPr>
      <w:r>
        <w:rPr>
          <w:rFonts w:ascii="Arial" w:hAnsi="Arial" w:cs="Arial"/>
          <w:sz w:val="21"/>
          <w:szCs w:val="21"/>
        </w:rPr>
        <w:t>联</w:t>
      </w:r>
      <w:r>
        <w:rPr>
          <w:rFonts w:ascii="Arial" w:hAnsi="Arial" w:eastAsia="Arial" w:cs="Arial"/>
          <w:sz w:val="21"/>
          <w:szCs w:val="21"/>
        </w:rPr>
        <w:t xml:space="preserve"> </w:t>
      </w:r>
      <w:r>
        <w:rPr>
          <w:rFonts w:ascii="Arial" w:hAnsi="Arial" w:cs="Arial"/>
          <w:sz w:val="21"/>
          <w:szCs w:val="21"/>
        </w:rPr>
        <w:t>系</w:t>
      </w:r>
      <w:r>
        <w:rPr>
          <w:rFonts w:ascii="Arial" w:hAnsi="Arial" w:eastAsia="Arial" w:cs="Arial"/>
          <w:sz w:val="21"/>
          <w:szCs w:val="21"/>
        </w:rPr>
        <w:t xml:space="preserve"> </w:t>
      </w:r>
      <w:r>
        <w:rPr>
          <w:rFonts w:ascii="Arial" w:hAnsi="Arial" w:cs="Arial"/>
          <w:sz w:val="21"/>
          <w:szCs w:val="21"/>
        </w:rPr>
        <w:t>人：常畅</w:t>
      </w:r>
    </w:p>
    <w:p w14:paraId="41DB3E2E">
      <w:pPr>
        <w:overflowPunct w:val="0"/>
        <w:spacing w:line="480" w:lineRule="auto"/>
        <w:ind w:firstLine="420"/>
        <w:jc w:val="both"/>
        <w:textAlignment w:val="auto"/>
        <w:rPr>
          <w:rFonts w:ascii="Arial" w:hAnsi="Arial" w:cs="Arial"/>
          <w:sz w:val="21"/>
          <w:szCs w:val="21"/>
        </w:rPr>
      </w:pPr>
      <w:r>
        <w:rPr>
          <w:rFonts w:ascii="Arial" w:hAnsi="Arial" w:cs="Arial"/>
          <w:sz w:val="21"/>
          <w:szCs w:val="21"/>
        </w:rPr>
        <w:t>联系电话：010-82253558</w:t>
      </w:r>
    </w:p>
    <w:p w14:paraId="24A21B51">
      <w:pPr>
        <w:overflowPunct w:val="0"/>
        <w:spacing w:line="480" w:lineRule="auto"/>
        <w:ind w:firstLine="420"/>
        <w:jc w:val="both"/>
        <w:textAlignment w:val="auto"/>
        <w:rPr>
          <w:rFonts w:ascii="Arial" w:hAnsi="Arial" w:cs="Arial"/>
          <w:kern w:val="2"/>
          <w:sz w:val="21"/>
          <w:szCs w:val="21"/>
        </w:rPr>
      </w:pPr>
    </w:p>
    <w:p w14:paraId="0163C697">
      <w:pPr>
        <w:pStyle w:val="3"/>
        <w:numPr>
          <w:ilvl w:val="0"/>
          <w:numId w:val="0"/>
        </w:numPr>
        <w:overflowPunct w:val="0"/>
        <w:spacing w:line="480" w:lineRule="auto"/>
        <w:ind w:left="357" w:hanging="357"/>
        <w:jc w:val="both"/>
        <w:textAlignment w:val="auto"/>
        <w:rPr>
          <w:rFonts w:eastAsia="宋体;SimSun"/>
          <w:kern w:val="2"/>
          <w:sz w:val="21"/>
          <w:szCs w:val="21"/>
        </w:rPr>
      </w:pPr>
      <w:bookmarkStart w:id="10" w:name="_Toc155340484"/>
      <w:r>
        <w:rPr>
          <w:rFonts w:eastAsia="宋体;SimSun"/>
          <w:kern w:val="2"/>
          <w:sz w:val="21"/>
          <w:szCs w:val="21"/>
        </w:rPr>
        <w:t>三、估价目的</w:t>
      </w:r>
      <w:bookmarkEnd w:id="10"/>
    </w:p>
    <w:p w14:paraId="7840A624">
      <w:pPr>
        <w:overflowPunct w:val="0"/>
        <w:spacing w:line="480" w:lineRule="auto"/>
        <w:ind w:firstLine="420"/>
        <w:jc w:val="both"/>
        <w:textAlignment w:val="auto"/>
      </w:pPr>
      <w:r>
        <w:rPr>
          <w:rFonts w:hint="eastAsia" w:ascii="Arial" w:hAnsi="Arial" w:cs="Arial"/>
          <w:sz w:val="21"/>
          <w:szCs w:val="21"/>
        </w:rPr>
        <w:t>为估价委托人确定公共租赁住房项目市场租金提供价格参考依据</w:t>
      </w:r>
      <w:r>
        <w:rPr>
          <w:rFonts w:ascii="Arial" w:hAnsi="Arial" w:cs="Arial"/>
          <w:kern w:val="2"/>
          <w:sz w:val="21"/>
          <w:szCs w:val="21"/>
        </w:rPr>
        <w:t>。</w:t>
      </w:r>
      <w:r>
        <w:rPr>
          <w:rFonts w:ascii="Arial" w:hAnsi="Arial" w:eastAsia="Arial" w:cs="Arial"/>
          <w:kern w:val="2"/>
          <w:sz w:val="21"/>
          <w:szCs w:val="21"/>
        </w:rPr>
        <w:t xml:space="preserve"> </w:t>
      </w:r>
    </w:p>
    <w:p w14:paraId="308316C4">
      <w:pPr>
        <w:overflowPunct w:val="0"/>
        <w:spacing w:line="480" w:lineRule="auto"/>
        <w:ind w:firstLine="420"/>
        <w:jc w:val="both"/>
        <w:textAlignment w:val="auto"/>
        <w:rPr>
          <w:rFonts w:ascii="Arial" w:hAnsi="Arial" w:cs="Arial"/>
          <w:kern w:val="2"/>
          <w:sz w:val="21"/>
          <w:szCs w:val="21"/>
        </w:rPr>
      </w:pPr>
    </w:p>
    <w:p w14:paraId="023D6986">
      <w:pPr>
        <w:pStyle w:val="3"/>
        <w:numPr>
          <w:ilvl w:val="0"/>
          <w:numId w:val="0"/>
        </w:numPr>
        <w:overflowPunct w:val="0"/>
        <w:spacing w:line="480" w:lineRule="auto"/>
        <w:ind w:left="357" w:hanging="357"/>
        <w:jc w:val="both"/>
        <w:textAlignment w:val="auto"/>
        <w:rPr>
          <w:rFonts w:eastAsia="宋体;SimSun"/>
          <w:kern w:val="2"/>
          <w:sz w:val="21"/>
          <w:szCs w:val="21"/>
        </w:rPr>
      </w:pPr>
      <w:bookmarkStart w:id="11" w:name="_Toc155340485"/>
      <w:r>
        <w:rPr>
          <w:rFonts w:eastAsia="宋体;SimSun"/>
          <w:kern w:val="2"/>
          <w:sz w:val="21"/>
          <w:szCs w:val="21"/>
        </w:rPr>
        <w:t>四、估价对象</w:t>
      </w:r>
      <w:bookmarkEnd w:id="11"/>
    </w:p>
    <w:p w14:paraId="6B5F984A">
      <w:pPr>
        <w:overflowPunct w:val="0"/>
        <w:spacing w:line="480" w:lineRule="auto"/>
        <w:jc w:val="both"/>
        <w:textAlignment w:val="auto"/>
        <w:rPr>
          <w:rFonts w:ascii="Arial" w:hAnsi="Arial" w:cs="Arial"/>
          <w:b/>
          <w:kern w:val="2"/>
          <w:sz w:val="21"/>
          <w:szCs w:val="21"/>
        </w:rPr>
      </w:pPr>
      <w:r>
        <w:rPr>
          <w:rFonts w:ascii="Arial" w:hAnsi="Arial" w:cs="Arial"/>
          <w:b/>
          <w:kern w:val="2"/>
          <w:sz w:val="21"/>
          <w:szCs w:val="21"/>
        </w:rPr>
        <w:t>（一）估价对象范围</w:t>
      </w:r>
    </w:p>
    <w:p w14:paraId="34A1D925">
      <w:pPr>
        <w:overflowPunct w:val="0"/>
        <w:spacing w:line="480" w:lineRule="auto"/>
        <w:ind w:firstLine="420"/>
        <w:jc w:val="both"/>
        <w:textAlignment w:val="auto"/>
        <w:rPr>
          <w:rFonts w:cs="Arial"/>
        </w:rPr>
      </w:pPr>
      <w:r>
        <w:rPr>
          <w:rFonts w:ascii="Arial" w:hAnsi="Arial" w:cs="Arial"/>
          <w:kern w:val="2"/>
          <w:sz w:val="21"/>
          <w:szCs w:val="21"/>
        </w:rPr>
        <w:t>估价对象为</w:t>
      </w:r>
      <w:r>
        <w:rPr>
          <w:rFonts w:hint="eastAsia" w:ascii="Arial" w:hAnsi="Arial" w:cs="Arial"/>
          <w:kern w:val="2"/>
          <w:sz w:val="21"/>
          <w:szCs w:val="21"/>
        </w:rPr>
        <w:t>北京经济技术开发区科创十一街4号院5、10号楼（E18亦城景园国际人才公寓）共516套公共租赁住房项目</w:t>
      </w:r>
      <w:r>
        <w:rPr>
          <w:rFonts w:ascii="Arial" w:hAnsi="Arial" w:cs="Arial"/>
          <w:kern w:val="2"/>
          <w:sz w:val="21"/>
          <w:szCs w:val="21"/>
        </w:rPr>
        <w:t>，根据估价委托人提供的《E18国际人才公寓房屋明细》，本次评估的</w:t>
      </w:r>
      <w:r>
        <w:rPr>
          <w:rFonts w:hint="eastAsia" w:ascii="Arial" w:hAnsi="Arial" w:cs="Arial"/>
          <w:kern w:val="2"/>
          <w:sz w:val="21"/>
          <w:szCs w:val="21"/>
        </w:rPr>
        <w:t>516套</w:t>
      </w:r>
      <w:r>
        <w:rPr>
          <w:rFonts w:ascii="Arial" w:hAnsi="Arial" w:cs="Arial"/>
          <w:kern w:val="2"/>
          <w:sz w:val="21"/>
          <w:szCs w:val="21"/>
        </w:rPr>
        <w:t>人才公寓总建筑面积</w:t>
      </w:r>
      <w:r>
        <w:rPr>
          <w:rFonts w:hint="eastAsia" w:ascii="Arial" w:hAnsi="Arial" w:cs="Arial"/>
          <w:kern w:val="2"/>
          <w:sz w:val="21"/>
          <w:szCs w:val="21"/>
        </w:rPr>
        <w:t>44359.11</w:t>
      </w:r>
      <w:r>
        <w:rPr>
          <w:rFonts w:ascii="Arial" w:hAnsi="Arial" w:cs="Arial"/>
          <w:kern w:val="2"/>
          <w:sz w:val="21"/>
          <w:szCs w:val="21"/>
        </w:rPr>
        <w:t>平方米。房源具体户型等情况详见下表：</w:t>
      </w:r>
    </w:p>
    <w:tbl>
      <w:tblPr>
        <w:tblStyle w:val="33"/>
        <w:tblW w:w="9890" w:type="dxa"/>
        <w:tblInd w:w="0" w:type="dxa"/>
        <w:tblLayout w:type="autofit"/>
        <w:tblCellMar>
          <w:top w:w="0" w:type="dxa"/>
          <w:left w:w="108" w:type="dxa"/>
          <w:bottom w:w="0" w:type="dxa"/>
          <w:right w:w="108" w:type="dxa"/>
        </w:tblCellMar>
      </w:tblPr>
      <w:tblGrid>
        <w:gridCol w:w="2000"/>
        <w:gridCol w:w="1260"/>
        <w:gridCol w:w="1200"/>
        <w:gridCol w:w="1100"/>
        <w:gridCol w:w="1180"/>
        <w:gridCol w:w="1660"/>
        <w:gridCol w:w="1490"/>
      </w:tblGrid>
      <w:tr w14:paraId="3016D05B">
        <w:tblPrEx>
          <w:tblCellMar>
            <w:top w:w="0" w:type="dxa"/>
            <w:left w:w="108" w:type="dxa"/>
            <w:bottom w:w="0" w:type="dxa"/>
            <w:right w:w="108" w:type="dxa"/>
          </w:tblCellMar>
        </w:tblPrEx>
        <w:trPr>
          <w:trHeight w:val="285" w:hRule="atLeast"/>
        </w:trPr>
        <w:tc>
          <w:tcPr>
            <w:tcW w:w="2000" w:type="dxa"/>
            <w:tcBorders>
              <w:top w:val="single" w:color="000000" w:sz="4" w:space="0"/>
              <w:left w:val="single" w:color="000000" w:sz="4" w:space="0"/>
              <w:bottom w:val="single" w:color="000000" w:sz="4" w:space="0"/>
            </w:tcBorders>
            <w:vAlign w:val="center"/>
          </w:tcPr>
          <w:p w14:paraId="4FACF1E6">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公寓类型</w:t>
            </w:r>
          </w:p>
        </w:tc>
        <w:tc>
          <w:tcPr>
            <w:tcW w:w="1260" w:type="dxa"/>
            <w:tcBorders>
              <w:top w:val="single" w:color="000000" w:sz="4" w:space="0"/>
              <w:left w:val="single" w:color="000000" w:sz="4" w:space="0"/>
              <w:bottom w:val="single" w:color="000000" w:sz="4" w:space="0"/>
            </w:tcBorders>
            <w:vAlign w:val="center"/>
          </w:tcPr>
          <w:p w14:paraId="587EEE40">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面积</w:t>
            </w:r>
            <w:r>
              <w:rPr>
                <w:rFonts w:hint="eastAsia" w:ascii="Arial" w:hAnsi="Arial" w:eastAsia="华文细黑" w:cs="Arial"/>
                <w:color w:val="000000"/>
                <w:sz w:val="18"/>
                <w:szCs w:val="18"/>
              </w:rPr>
              <w:t>（㎡）</w:t>
            </w:r>
          </w:p>
        </w:tc>
        <w:tc>
          <w:tcPr>
            <w:tcW w:w="1200" w:type="dxa"/>
            <w:tcBorders>
              <w:top w:val="single" w:color="000000" w:sz="4" w:space="0"/>
              <w:left w:val="single" w:color="000000" w:sz="4" w:space="0"/>
              <w:bottom w:val="single" w:color="000000" w:sz="4" w:space="0"/>
            </w:tcBorders>
            <w:vAlign w:val="center"/>
          </w:tcPr>
          <w:p w14:paraId="015C4CFB">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套数</w:t>
            </w:r>
          </w:p>
        </w:tc>
        <w:tc>
          <w:tcPr>
            <w:tcW w:w="1100" w:type="dxa"/>
            <w:tcBorders>
              <w:top w:val="single" w:color="000000" w:sz="4" w:space="0"/>
              <w:left w:val="single" w:color="000000" w:sz="4" w:space="0"/>
              <w:bottom w:val="single" w:color="000000" w:sz="4" w:space="0"/>
            </w:tcBorders>
            <w:vAlign w:val="center"/>
          </w:tcPr>
          <w:p w14:paraId="0F3F11DD">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朝向</w:t>
            </w:r>
          </w:p>
        </w:tc>
        <w:tc>
          <w:tcPr>
            <w:tcW w:w="1180" w:type="dxa"/>
            <w:tcBorders>
              <w:top w:val="single" w:color="000000" w:sz="4" w:space="0"/>
              <w:left w:val="single" w:color="000000" w:sz="4" w:space="0"/>
              <w:bottom w:val="single" w:color="000000" w:sz="4" w:space="0"/>
            </w:tcBorders>
            <w:vAlign w:val="center"/>
          </w:tcPr>
          <w:p w14:paraId="3C2459C4">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户型</w:t>
            </w:r>
          </w:p>
        </w:tc>
        <w:tc>
          <w:tcPr>
            <w:tcW w:w="1660" w:type="dxa"/>
            <w:tcBorders>
              <w:top w:val="single" w:color="000000" w:sz="4" w:space="0"/>
              <w:left w:val="single" w:color="000000" w:sz="4" w:space="0"/>
              <w:bottom w:val="single" w:color="000000" w:sz="4" w:space="0"/>
            </w:tcBorders>
            <w:vAlign w:val="center"/>
          </w:tcPr>
          <w:p w14:paraId="74F51E06">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面积范围</w:t>
            </w:r>
            <w:r>
              <w:rPr>
                <w:rFonts w:hint="eastAsia" w:ascii="Arial" w:hAnsi="Arial" w:eastAsia="华文细黑" w:cs="Arial"/>
                <w:color w:val="000000"/>
                <w:sz w:val="18"/>
                <w:szCs w:val="18"/>
              </w:rPr>
              <w:t>（㎡）</w:t>
            </w:r>
          </w:p>
        </w:tc>
        <w:tc>
          <w:tcPr>
            <w:tcW w:w="1490" w:type="dxa"/>
            <w:tcBorders>
              <w:top w:val="single" w:color="000000" w:sz="4" w:space="0"/>
              <w:left w:val="single" w:color="000000" w:sz="4" w:space="0"/>
              <w:bottom w:val="single" w:color="000000" w:sz="4" w:space="0"/>
              <w:right w:val="single" w:color="000000" w:sz="4" w:space="0"/>
            </w:tcBorders>
            <w:vAlign w:val="center"/>
          </w:tcPr>
          <w:p w14:paraId="4724F86B">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装修</w:t>
            </w:r>
          </w:p>
        </w:tc>
      </w:tr>
      <w:tr w14:paraId="4B7427EC">
        <w:tblPrEx>
          <w:tblCellMar>
            <w:top w:w="0" w:type="dxa"/>
            <w:left w:w="108" w:type="dxa"/>
            <w:bottom w:w="0" w:type="dxa"/>
            <w:right w:w="108" w:type="dxa"/>
          </w:tblCellMar>
        </w:tblPrEx>
        <w:trPr>
          <w:trHeight w:val="285" w:hRule="atLeast"/>
        </w:trPr>
        <w:tc>
          <w:tcPr>
            <w:tcW w:w="2000" w:type="dxa"/>
            <w:tcBorders>
              <w:left w:val="single" w:color="000000" w:sz="4" w:space="0"/>
              <w:bottom w:val="single" w:color="000000" w:sz="4" w:space="0"/>
            </w:tcBorders>
            <w:vAlign w:val="center"/>
          </w:tcPr>
          <w:p w14:paraId="2845A03A">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领军人才公寓</w:t>
            </w:r>
          </w:p>
        </w:tc>
        <w:tc>
          <w:tcPr>
            <w:tcW w:w="1260" w:type="dxa"/>
            <w:tcBorders>
              <w:left w:val="single" w:color="000000" w:sz="4" w:space="0"/>
              <w:bottom w:val="single" w:color="000000" w:sz="4" w:space="0"/>
            </w:tcBorders>
            <w:vAlign w:val="center"/>
          </w:tcPr>
          <w:p w14:paraId="35A14975">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3624.2</w:t>
            </w:r>
          </w:p>
        </w:tc>
        <w:tc>
          <w:tcPr>
            <w:tcW w:w="1200" w:type="dxa"/>
            <w:tcBorders>
              <w:left w:val="single" w:color="000000" w:sz="4" w:space="0"/>
              <w:bottom w:val="single" w:color="000000" w:sz="4" w:space="0"/>
            </w:tcBorders>
            <w:vAlign w:val="center"/>
          </w:tcPr>
          <w:p w14:paraId="5CF7803E">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52</w:t>
            </w:r>
          </w:p>
        </w:tc>
        <w:tc>
          <w:tcPr>
            <w:tcW w:w="1100" w:type="dxa"/>
            <w:tcBorders>
              <w:left w:val="single" w:color="000000" w:sz="4" w:space="0"/>
              <w:bottom w:val="single" w:color="000000" w:sz="4" w:space="0"/>
            </w:tcBorders>
            <w:vAlign w:val="center"/>
          </w:tcPr>
          <w:p w14:paraId="251EEBFC">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南</w:t>
            </w:r>
          </w:p>
        </w:tc>
        <w:tc>
          <w:tcPr>
            <w:tcW w:w="1180" w:type="dxa"/>
            <w:tcBorders>
              <w:left w:val="single" w:color="000000" w:sz="4" w:space="0"/>
              <w:bottom w:val="single" w:color="000000" w:sz="4" w:space="0"/>
            </w:tcBorders>
            <w:vAlign w:val="center"/>
          </w:tcPr>
          <w:p w14:paraId="610C985E">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一居室</w:t>
            </w:r>
          </w:p>
        </w:tc>
        <w:tc>
          <w:tcPr>
            <w:tcW w:w="1660" w:type="dxa"/>
            <w:tcBorders>
              <w:left w:val="single" w:color="000000" w:sz="4" w:space="0"/>
              <w:bottom w:val="single" w:color="000000" w:sz="4" w:space="0"/>
            </w:tcBorders>
            <w:vAlign w:val="center"/>
          </w:tcPr>
          <w:p w14:paraId="43A6D524">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69.62-69.80</w:t>
            </w:r>
          </w:p>
        </w:tc>
        <w:tc>
          <w:tcPr>
            <w:tcW w:w="1490" w:type="dxa"/>
            <w:tcBorders>
              <w:left w:val="single" w:color="000000" w:sz="4" w:space="0"/>
              <w:bottom w:val="single" w:color="000000" w:sz="4" w:space="0"/>
              <w:right w:val="single" w:color="000000" w:sz="4" w:space="0"/>
            </w:tcBorders>
            <w:vAlign w:val="center"/>
          </w:tcPr>
          <w:p w14:paraId="5584489E">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简单装修</w:t>
            </w:r>
          </w:p>
        </w:tc>
      </w:tr>
      <w:tr w14:paraId="47FD34A6">
        <w:tblPrEx>
          <w:tblCellMar>
            <w:top w:w="0" w:type="dxa"/>
            <w:left w:w="108" w:type="dxa"/>
            <w:bottom w:w="0" w:type="dxa"/>
            <w:right w:w="108" w:type="dxa"/>
          </w:tblCellMar>
        </w:tblPrEx>
        <w:trPr>
          <w:trHeight w:val="285" w:hRule="atLeast"/>
        </w:trPr>
        <w:tc>
          <w:tcPr>
            <w:tcW w:w="2000" w:type="dxa"/>
            <w:tcBorders>
              <w:left w:val="single" w:color="000000" w:sz="4" w:space="0"/>
              <w:bottom w:val="single" w:color="000000" w:sz="4" w:space="0"/>
            </w:tcBorders>
            <w:vAlign w:val="center"/>
          </w:tcPr>
          <w:p w14:paraId="528A26D9">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杰出人才公寓</w:t>
            </w:r>
          </w:p>
        </w:tc>
        <w:tc>
          <w:tcPr>
            <w:tcW w:w="1260" w:type="dxa"/>
            <w:tcBorders>
              <w:left w:val="single" w:color="000000" w:sz="4" w:space="0"/>
              <w:bottom w:val="single" w:color="000000" w:sz="4" w:space="0"/>
            </w:tcBorders>
            <w:vAlign w:val="center"/>
          </w:tcPr>
          <w:p w14:paraId="41DAF253">
            <w:pPr>
              <w:widowControl/>
              <w:spacing w:line="240" w:lineRule="auto"/>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3624.2</w:t>
            </w:r>
          </w:p>
        </w:tc>
        <w:tc>
          <w:tcPr>
            <w:tcW w:w="1200" w:type="dxa"/>
            <w:tcBorders>
              <w:left w:val="single" w:color="000000" w:sz="4" w:space="0"/>
              <w:bottom w:val="single" w:color="000000" w:sz="4" w:space="0"/>
            </w:tcBorders>
            <w:vAlign w:val="center"/>
          </w:tcPr>
          <w:p w14:paraId="76B70AE4">
            <w:pPr>
              <w:widowControl/>
              <w:spacing w:line="240" w:lineRule="auto"/>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52</w:t>
            </w:r>
          </w:p>
        </w:tc>
        <w:tc>
          <w:tcPr>
            <w:tcW w:w="1100" w:type="dxa"/>
            <w:tcBorders>
              <w:left w:val="single" w:color="000000" w:sz="4" w:space="0"/>
              <w:bottom w:val="single" w:color="000000" w:sz="4" w:space="0"/>
            </w:tcBorders>
            <w:vAlign w:val="center"/>
          </w:tcPr>
          <w:p w14:paraId="1186755D">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南</w:t>
            </w:r>
          </w:p>
        </w:tc>
        <w:tc>
          <w:tcPr>
            <w:tcW w:w="1180" w:type="dxa"/>
            <w:tcBorders>
              <w:left w:val="single" w:color="000000" w:sz="4" w:space="0"/>
              <w:bottom w:val="single" w:color="000000" w:sz="4" w:space="0"/>
            </w:tcBorders>
            <w:vAlign w:val="center"/>
          </w:tcPr>
          <w:p w14:paraId="605AB2E5">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一居室</w:t>
            </w:r>
          </w:p>
        </w:tc>
        <w:tc>
          <w:tcPr>
            <w:tcW w:w="1660" w:type="dxa"/>
            <w:tcBorders>
              <w:left w:val="single" w:color="000000" w:sz="4" w:space="0"/>
              <w:bottom w:val="single" w:color="000000" w:sz="4" w:space="0"/>
            </w:tcBorders>
            <w:vAlign w:val="center"/>
          </w:tcPr>
          <w:p w14:paraId="2DE102CA">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69.62-69.8</w:t>
            </w:r>
          </w:p>
        </w:tc>
        <w:tc>
          <w:tcPr>
            <w:tcW w:w="1490" w:type="dxa"/>
            <w:tcBorders>
              <w:left w:val="single" w:color="000000" w:sz="4" w:space="0"/>
              <w:bottom w:val="single" w:color="000000" w:sz="4" w:space="0"/>
              <w:right w:val="single" w:color="000000" w:sz="4" w:space="0"/>
            </w:tcBorders>
            <w:vAlign w:val="center"/>
          </w:tcPr>
          <w:p w14:paraId="60511D11">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精装修</w:t>
            </w:r>
          </w:p>
        </w:tc>
      </w:tr>
      <w:tr w14:paraId="2041A2A5">
        <w:tblPrEx>
          <w:tblCellMar>
            <w:top w:w="0" w:type="dxa"/>
            <w:left w:w="108" w:type="dxa"/>
            <w:bottom w:w="0" w:type="dxa"/>
            <w:right w:w="108" w:type="dxa"/>
          </w:tblCellMar>
        </w:tblPrEx>
        <w:trPr>
          <w:trHeight w:val="285" w:hRule="atLeast"/>
        </w:trPr>
        <w:tc>
          <w:tcPr>
            <w:tcW w:w="2000" w:type="dxa"/>
            <w:tcBorders>
              <w:left w:val="single" w:color="000000" w:sz="4" w:space="0"/>
              <w:bottom w:val="single" w:color="000000" w:sz="4" w:space="0"/>
            </w:tcBorders>
            <w:vAlign w:val="center"/>
          </w:tcPr>
          <w:p w14:paraId="36B31276">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领军人才公寓</w:t>
            </w:r>
          </w:p>
        </w:tc>
        <w:tc>
          <w:tcPr>
            <w:tcW w:w="1260" w:type="dxa"/>
            <w:tcBorders>
              <w:left w:val="single" w:color="000000" w:sz="4" w:space="0"/>
              <w:bottom w:val="single" w:color="000000" w:sz="4" w:space="0"/>
            </w:tcBorders>
            <w:vAlign w:val="center"/>
          </w:tcPr>
          <w:p w14:paraId="5A2F1761">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14110.48</w:t>
            </w:r>
          </w:p>
        </w:tc>
        <w:tc>
          <w:tcPr>
            <w:tcW w:w="1200" w:type="dxa"/>
            <w:tcBorders>
              <w:left w:val="single" w:color="000000" w:sz="4" w:space="0"/>
              <w:bottom w:val="single" w:color="000000" w:sz="4" w:space="0"/>
            </w:tcBorders>
            <w:vAlign w:val="center"/>
          </w:tcPr>
          <w:p w14:paraId="4D08CDC4">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156</w:t>
            </w:r>
          </w:p>
        </w:tc>
        <w:tc>
          <w:tcPr>
            <w:tcW w:w="1100" w:type="dxa"/>
            <w:tcBorders>
              <w:left w:val="single" w:color="000000" w:sz="4" w:space="0"/>
              <w:bottom w:val="single" w:color="000000" w:sz="4" w:space="0"/>
            </w:tcBorders>
            <w:vAlign w:val="center"/>
          </w:tcPr>
          <w:p w14:paraId="5CB3A078">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南</w:t>
            </w:r>
          </w:p>
        </w:tc>
        <w:tc>
          <w:tcPr>
            <w:tcW w:w="1180" w:type="dxa"/>
            <w:tcBorders>
              <w:left w:val="single" w:color="000000" w:sz="4" w:space="0"/>
              <w:bottom w:val="single" w:color="000000" w:sz="4" w:space="0"/>
            </w:tcBorders>
            <w:vAlign w:val="center"/>
          </w:tcPr>
          <w:p w14:paraId="09FA154C">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两居室</w:t>
            </w:r>
          </w:p>
        </w:tc>
        <w:tc>
          <w:tcPr>
            <w:tcW w:w="1660" w:type="dxa"/>
            <w:tcBorders>
              <w:left w:val="single" w:color="000000" w:sz="4" w:space="0"/>
              <w:bottom w:val="single" w:color="000000" w:sz="4" w:space="0"/>
            </w:tcBorders>
            <w:vAlign w:val="center"/>
          </w:tcPr>
          <w:p w14:paraId="24353F92">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89.62-92.07</w:t>
            </w:r>
          </w:p>
        </w:tc>
        <w:tc>
          <w:tcPr>
            <w:tcW w:w="1490" w:type="dxa"/>
            <w:tcBorders>
              <w:left w:val="single" w:color="000000" w:sz="4" w:space="0"/>
              <w:bottom w:val="single" w:color="000000" w:sz="4" w:space="0"/>
              <w:right w:val="single" w:color="000000" w:sz="4" w:space="0"/>
            </w:tcBorders>
            <w:vAlign w:val="center"/>
          </w:tcPr>
          <w:p w14:paraId="5A036021">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简单装修</w:t>
            </w:r>
          </w:p>
        </w:tc>
      </w:tr>
      <w:tr w14:paraId="7A16473F">
        <w:tblPrEx>
          <w:tblCellMar>
            <w:top w:w="0" w:type="dxa"/>
            <w:left w:w="108" w:type="dxa"/>
            <w:bottom w:w="0" w:type="dxa"/>
            <w:right w:w="108" w:type="dxa"/>
          </w:tblCellMar>
        </w:tblPrEx>
        <w:trPr>
          <w:trHeight w:val="285" w:hRule="atLeast"/>
        </w:trPr>
        <w:tc>
          <w:tcPr>
            <w:tcW w:w="2000" w:type="dxa"/>
            <w:tcBorders>
              <w:left w:val="single" w:color="000000" w:sz="4" w:space="0"/>
              <w:bottom w:val="single" w:color="000000" w:sz="4" w:space="0"/>
            </w:tcBorders>
            <w:shd w:val="clear" w:color="auto" w:fill="FFFFFF"/>
            <w:vAlign w:val="center"/>
          </w:tcPr>
          <w:p w14:paraId="2D600458">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领军人才公寓</w:t>
            </w:r>
          </w:p>
        </w:tc>
        <w:tc>
          <w:tcPr>
            <w:tcW w:w="1260" w:type="dxa"/>
            <w:tcBorders>
              <w:left w:val="single" w:color="000000" w:sz="4" w:space="0"/>
              <w:bottom w:val="single" w:color="000000" w:sz="4" w:space="0"/>
            </w:tcBorders>
            <w:shd w:val="clear" w:color="auto" w:fill="FFFFFF"/>
            <w:vAlign w:val="center"/>
          </w:tcPr>
          <w:p w14:paraId="235B4846">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18469.17</w:t>
            </w:r>
          </w:p>
        </w:tc>
        <w:tc>
          <w:tcPr>
            <w:tcW w:w="1200" w:type="dxa"/>
            <w:tcBorders>
              <w:left w:val="single" w:color="000000" w:sz="4" w:space="0"/>
              <w:bottom w:val="single" w:color="000000" w:sz="4" w:space="0"/>
            </w:tcBorders>
            <w:shd w:val="clear" w:color="auto" w:fill="FFFFFF"/>
            <w:vAlign w:val="center"/>
          </w:tcPr>
          <w:p w14:paraId="0E419473">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205</w:t>
            </w:r>
          </w:p>
        </w:tc>
        <w:tc>
          <w:tcPr>
            <w:tcW w:w="1100" w:type="dxa"/>
            <w:tcBorders>
              <w:left w:val="single" w:color="000000" w:sz="4" w:space="0"/>
              <w:bottom w:val="single" w:color="000000" w:sz="4" w:space="0"/>
            </w:tcBorders>
            <w:shd w:val="clear" w:color="auto" w:fill="FFFFFF"/>
            <w:vAlign w:val="center"/>
          </w:tcPr>
          <w:p w14:paraId="1410F86A">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南北</w:t>
            </w:r>
          </w:p>
        </w:tc>
        <w:tc>
          <w:tcPr>
            <w:tcW w:w="1180" w:type="dxa"/>
            <w:tcBorders>
              <w:left w:val="single" w:color="000000" w:sz="4" w:space="0"/>
              <w:bottom w:val="single" w:color="000000" w:sz="4" w:space="0"/>
            </w:tcBorders>
            <w:shd w:val="clear" w:color="auto" w:fill="FFFFFF"/>
            <w:vAlign w:val="center"/>
          </w:tcPr>
          <w:p w14:paraId="3AD51CDA">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两居室</w:t>
            </w:r>
          </w:p>
        </w:tc>
        <w:tc>
          <w:tcPr>
            <w:tcW w:w="1660" w:type="dxa"/>
            <w:tcBorders>
              <w:left w:val="single" w:color="000000" w:sz="4" w:space="0"/>
              <w:bottom w:val="single" w:color="000000" w:sz="4" w:space="0"/>
            </w:tcBorders>
            <w:shd w:val="clear" w:color="auto" w:fill="FFFFFF"/>
            <w:vAlign w:val="center"/>
          </w:tcPr>
          <w:p w14:paraId="53C7DAC8">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88.41-92.39</w:t>
            </w:r>
          </w:p>
        </w:tc>
        <w:tc>
          <w:tcPr>
            <w:tcW w:w="1490" w:type="dxa"/>
            <w:tcBorders>
              <w:left w:val="single" w:color="000000" w:sz="4" w:space="0"/>
              <w:bottom w:val="single" w:color="000000" w:sz="4" w:space="0"/>
              <w:right w:val="single" w:color="000000" w:sz="4" w:space="0"/>
            </w:tcBorders>
            <w:shd w:val="clear" w:color="auto" w:fill="FFFFFF"/>
            <w:vAlign w:val="center"/>
          </w:tcPr>
          <w:p w14:paraId="4417772F">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简单装修</w:t>
            </w:r>
          </w:p>
        </w:tc>
      </w:tr>
      <w:tr w14:paraId="733633D2">
        <w:tblPrEx>
          <w:tblCellMar>
            <w:top w:w="0" w:type="dxa"/>
            <w:left w:w="108" w:type="dxa"/>
            <w:bottom w:w="0" w:type="dxa"/>
            <w:right w:w="108" w:type="dxa"/>
          </w:tblCellMar>
        </w:tblPrEx>
        <w:trPr>
          <w:trHeight w:val="285" w:hRule="atLeast"/>
        </w:trPr>
        <w:tc>
          <w:tcPr>
            <w:tcW w:w="2000" w:type="dxa"/>
            <w:tcBorders>
              <w:left w:val="single" w:color="000000" w:sz="4" w:space="0"/>
              <w:bottom w:val="single" w:color="000000" w:sz="4" w:space="0"/>
            </w:tcBorders>
            <w:shd w:val="clear" w:color="auto" w:fill="FFFFFF"/>
            <w:vAlign w:val="center"/>
          </w:tcPr>
          <w:p w14:paraId="4BF753C1">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杰出人才公寓</w:t>
            </w:r>
          </w:p>
        </w:tc>
        <w:tc>
          <w:tcPr>
            <w:tcW w:w="1260" w:type="dxa"/>
            <w:tcBorders>
              <w:left w:val="single" w:color="000000" w:sz="4" w:space="0"/>
              <w:bottom w:val="single" w:color="000000" w:sz="4" w:space="0"/>
            </w:tcBorders>
            <w:shd w:val="clear" w:color="auto" w:fill="FFFFFF"/>
            <w:vAlign w:val="center"/>
          </w:tcPr>
          <w:p w14:paraId="534D01FC">
            <w:pPr>
              <w:widowControl/>
              <w:spacing w:line="240" w:lineRule="auto"/>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4531.06</w:t>
            </w:r>
          </w:p>
        </w:tc>
        <w:tc>
          <w:tcPr>
            <w:tcW w:w="1200" w:type="dxa"/>
            <w:tcBorders>
              <w:left w:val="single" w:color="000000" w:sz="4" w:space="0"/>
              <w:bottom w:val="single" w:color="000000" w:sz="4" w:space="0"/>
            </w:tcBorders>
            <w:shd w:val="clear" w:color="auto" w:fill="FFFFFF"/>
            <w:vAlign w:val="center"/>
          </w:tcPr>
          <w:p w14:paraId="1EFF545C">
            <w:pPr>
              <w:widowControl/>
              <w:spacing w:line="240" w:lineRule="auto"/>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51</w:t>
            </w:r>
          </w:p>
        </w:tc>
        <w:tc>
          <w:tcPr>
            <w:tcW w:w="1100" w:type="dxa"/>
            <w:tcBorders>
              <w:left w:val="single" w:color="000000" w:sz="4" w:space="0"/>
              <w:bottom w:val="single" w:color="000000" w:sz="4" w:space="0"/>
            </w:tcBorders>
            <w:shd w:val="clear" w:color="auto" w:fill="FFFFFF"/>
            <w:vAlign w:val="center"/>
          </w:tcPr>
          <w:p w14:paraId="2E9F63A8">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南北</w:t>
            </w:r>
          </w:p>
        </w:tc>
        <w:tc>
          <w:tcPr>
            <w:tcW w:w="1180" w:type="dxa"/>
            <w:tcBorders>
              <w:left w:val="single" w:color="000000" w:sz="4" w:space="0"/>
              <w:bottom w:val="single" w:color="000000" w:sz="4" w:space="0"/>
            </w:tcBorders>
            <w:shd w:val="clear" w:color="auto" w:fill="FFFFFF"/>
            <w:vAlign w:val="center"/>
          </w:tcPr>
          <w:p w14:paraId="2B60B48F">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两居室</w:t>
            </w:r>
          </w:p>
        </w:tc>
        <w:tc>
          <w:tcPr>
            <w:tcW w:w="1660" w:type="dxa"/>
            <w:tcBorders>
              <w:left w:val="single" w:color="000000" w:sz="4" w:space="0"/>
              <w:bottom w:val="single" w:color="000000" w:sz="4" w:space="0"/>
            </w:tcBorders>
            <w:shd w:val="clear" w:color="auto" w:fill="FFFFFF"/>
            <w:vAlign w:val="center"/>
          </w:tcPr>
          <w:p w14:paraId="2DE67D6E">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88.51-89.18</w:t>
            </w:r>
          </w:p>
        </w:tc>
        <w:tc>
          <w:tcPr>
            <w:tcW w:w="1490" w:type="dxa"/>
            <w:tcBorders>
              <w:left w:val="single" w:color="000000" w:sz="4" w:space="0"/>
              <w:bottom w:val="single" w:color="000000" w:sz="4" w:space="0"/>
              <w:right w:val="single" w:color="000000" w:sz="4" w:space="0"/>
            </w:tcBorders>
            <w:shd w:val="clear" w:color="auto" w:fill="FFFFFF"/>
            <w:vAlign w:val="center"/>
          </w:tcPr>
          <w:p w14:paraId="1D9729D4">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精装修</w:t>
            </w:r>
          </w:p>
        </w:tc>
      </w:tr>
      <w:tr w14:paraId="61885FE1">
        <w:tblPrEx>
          <w:tblCellMar>
            <w:top w:w="0" w:type="dxa"/>
            <w:left w:w="108" w:type="dxa"/>
            <w:bottom w:w="0" w:type="dxa"/>
            <w:right w:w="108" w:type="dxa"/>
          </w:tblCellMar>
        </w:tblPrEx>
        <w:trPr>
          <w:trHeight w:val="285" w:hRule="atLeast"/>
        </w:trPr>
        <w:tc>
          <w:tcPr>
            <w:tcW w:w="2000" w:type="dxa"/>
            <w:tcBorders>
              <w:left w:val="single" w:color="000000" w:sz="4" w:space="0"/>
              <w:bottom w:val="single" w:color="000000" w:sz="4" w:space="0"/>
            </w:tcBorders>
            <w:vAlign w:val="center"/>
          </w:tcPr>
          <w:p w14:paraId="5E35AF13">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合计</w:t>
            </w:r>
          </w:p>
        </w:tc>
        <w:tc>
          <w:tcPr>
            <w:tcW w:w="1260" w:type="dxa"/>
            <w:tcBorders>
              <w:left w:val="single" w:color="000000" w:sz="4" w:space="0"/>
              <w:bottom w:val="single" w:color="000000" w:sz="4" w:space="0"/>
            </w:tcBorders>
            <w:vAlign w:val="center"/>
          </w:tcPr>
          <w:p w14:paraId="4FC80B26">
            <w:pPr>
              <w:widowControl/>
              <w:spacing w:line="240" w:lineRule="auto"/>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44359.11</w:t>
            </w:r>
          </w:p>
        </w:tc>
        <w:tc>
          <w:tcPr>
            <w:tcW w:w="1200" w:type="dxa"/>
            <w:tcBorders>
              <w:left w:val="single" w:color="000000" w:sz="4" w:space="0"/>
              <w:bottom w:val="single" w:color="000000" w:sz="4" w:space="0"/>
            </w:tcBorders>
            <w:vAlign w:val="center"/>
          </w:tcPr>
          <w:p w14:paraId="23498710">
            <w:pPr>
              <w:widowControl/>
              <w:spacing w:line="240" w:lineRule="auto"/>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516</w:t>
            </w:r>
          </w:p>
        </w:tc>
        <w:tc>
          <w:tcPr>
            <w:tcW w:w="1100" w:type="dxa"/>
            <w:tcBorders>
              <w:left w:val="single" w:color="000000" w:sz="4" w:space="0"/>
              <w:bottom w:val="single" w:color="000000" w:sz="4" w:space="0"/>
            </w:tcBorders>
            <w:vAlign w:val="center"/>
          </w:tcPr>
          <w:p w14:paraId="65BA5768">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w:t>
            </w:r>
          </w:p>
        </w:tc>
        <w:tc>
          <w:tcPr>
            <w:tcW w:w="1180" w:type="dxa"/>
            <w:tcBorders>
              <w:left w:val="single" w:color="000000" w:sz="4" w:space="0"/>
              <w:bottom w:val="single" w:color="000000" w:sz="4" w:space="0"/>
            </w:tcBorders>
            <w:vAlign w:val="center"/>
          </w:tcPr>
          <w:p w14:paraId="6185D926">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w:t>
            </w:r>
          </w:p>
        </w:tc>
        <w:tc>
          <w:tcPr>
            <w:tcW w:w="1660" w:type="dxa"/>
            <w:tcBorders>
              <w:left w:val="single" w:color="000000" w:sz="4" w:space="0"/>
              <w:bottom w:val="single" w:color="000000" w:sz="4" w:space="0"/>
            </w:tcBorders>
            <w:vAlign w:val="center"/>
          </w:tcPr>
          <w:p w14:paraId="53331079">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w:t>
            </w:r>
          </w:p>
        </w:tc>
        <w:tc>
          <w:tcPr>
            <w:tcW w:w="1490" w:type="dxa"/>
            <w:tcBorders>
              <w:left w:val="single" w:color="000000" w:sz="4" w:space="0"/>
              <w:bottom w:val="single" w:color="000000" w:sz="4" w:space="0"/>
              <w:right w:val="single" w:color="000000" w:sz="4" w:space="0"/>
            </w:tcBorders>
            <w:vAlign w:val="center"/>
          </w:tcPr>
          <w:p w14:paraId="4C99CFED">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w:t>
            </w:r>
          </w:p>
        </w:tc>
      </w:tr>
    </w:tbl>
    <w:p w14:paraId="5183FC10">
      <w:pPr>
        <w:overflowPunct w:val="0"/>
        <w:spacing w:before="240" w:beforeLines="100" w:line="480" w:lineRule="auto"/>
        <w:ind w:firstLine="420"/>
        <w:jc w:val="both"/>
        <w:textAlignment w:val="auto"/>
        <w:rPr>
          <w:rFonts w:ascii="Arial" w:hAnsi="Arial" w:cs="Arial"/>
          <w:color w:val="FF0000"/>
          <w:kern w:val="2"/>
          <w:sz w:val="21"/>
          <w:szCs w:val="21"/>
        </w:rPr>
      </w:pPr>
      <w:r>
        <w:rPr>
          <w:rFonts w:ascii="Arial" w:hAnsi="Arial" w:cs="Arial"/>
          <w:kern w:val="2"/>
          <w:sz w:val="21"/>
          <w:szCs w:val="21"/>
        </w:rPr>
        <w:t>于价值时点，估价对象均已竣工，室内装修情况杰出人才公寓为精装修、领军人才公寓为简单装修。</w:t>
      </w:r>
    </w:p>
    <w:p w14:paraId="398E55F4">
      <w:pPr>
        <w:overflowPunct w:val="0"/>
        <w:spacing w:line="480" w:lineRule="auto"/>
        <w:jc w:val="center"/>
        <w:textAlignment w:val="auto"/>
        <w:rPr>
          <w:rFonts w:ascii="Arial" w:hAnsi="Arial" w:cs="Arial"/>
          <w:kern w:val="2"/>
          <w:sz w:val="21"/>
          <w:szCs w:val="21"/>
        </w:rPr>
      </w:pPr>
      <w:r>
        <w:rPr>
          <w:rFonts w:ascii="Arial" w:hAnsi="Arial" w:cs="Arial"/>
          <w:kern w:val="2"/>
          <w:sz w:val="21"/>
          <w:szCs w:val="21"/>
        </w:rPr>
        <w:t>估价对象位置示意图</w:t>
      </w:r>
    </w:p>
    <w:p w14:paraId="7FE46030">
      <w:pPr>
        <w:overflowPunct w:val="0"/>
        <w:spacing w:line="480" w:lineRule="auto"/>
        <w:jc w:val="center"/>
        <w:textAlignment w:val="auto"/>
        <w:rPr>
          <w:rFonts w:ascii="Arial" w:hAnsi="Arial" w:cs="Arial"/>
          <w:kern w:val="2"/>
          <w:sz w:val="21"/>
          <w:szCs w:val="21"/>
        </w:rPr>
      </w:pPr>
      <w:r>
        <w:drawing>
          <wp:inline distT="0" distB="0" distL="0" distR="0">
            <wp:extent cx="5906135" cy="3733800"/>
            <wp:effectExtent l="0" t="0" r="0" b="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noChangeArrowheads="1"/>
                    </pic:cNvPicPr>
                  </pic:nvPicPr>
                  <pic:blipFill>
                    <a:blip r:embed="rId26"/>
                    <a:srcRect l="-4" t="-6" r="-4" b="-6"/>
                    <a:stretch>
                      <a:fillRect/>
                    </a:stretch>
                  </pic:blipFill>
                  <pic:spPr>
                    <a:xfrm>
                      <a:off x="0" y="0"/>
                      <a:ext cx="5906135" cy="3733800"/>
                    </a:xfrm>
                    <a:prstGeom prst="rect">
                      <a:avLst/>
                    </a:prstGeom>
                  </pic:spPr>
                </pic:pic>
              </a:graphicData>
            </a:graphic>
          </wp:inline>
        </w:drawing>
      </w:r>
      <w:r>
        <mc:AlternateContent>
          <mc:Choice Requires="wps">
            <w:drawing>
              <wp:anchor distT="0" distB="0" distL="114935" distR="114935" simplePos="0" relativeHeight="251660288" behindDoc="0" locked="0" layoutInCell="1" allowOverlap="1">
                <wp:simplePos x="0" y="0"/>
                <wp:positionH relativeFrom="column">
                  <wp:posOffset>3740785</wp:posOffset>
                </wp:positionH>
                <wp:positionV relativeFrom="paragraph">
                  <wp:posOffset>1224915</wp:posOffset>
                </wp:positionV>
                <wp:extent cx="1143635" cy="610235"/>
                <wp:effectExtent l="0" t="0" r="0" b="94615"/>
                <wp:wrapNone/>
                <wp:docPr id="890938993" name="对话气泡: 椭圆形 1"/>
                <wp:cNvGraphicFramePr/>
                <a:graphic xmlns:a="http://schemas.openxmlformats.org/drawingml/2006/main">
                  <a:graphicData uri="http://schemas.microsoft.com/office/word/2010/wordprocessingShape">
                    <wps:wsp>
                      <wps:cNvSpPr/>
                      <wps:spPr>
                        <a:xfrm>
                          <a:off x="0" y="0"/>
                          <a:ext cx="1143635" cy="610235"/>
                        </a:xfrm>
                        <a:prstGeom prst="wedgeEllipseCallout">
                          <a:avLst>
                            <a:gd name="adj1" fmla="val -43333"/>
                            <a:gd name="adj2" fmla="val 68439"/>
                          </a:avLst>
                        </a:prstGeom>
                        <a:solidFill>
                          <a:srgbClr val="FF0000"/>
                        </a:solidFill>
                        <a:ln>
                          <a:noFill/>
                        </a:ln>
                      </wps:spPr>
                      <wps:style>
                        <a:lnRef idx="0">
                          <a:scrgbClr r="0" g="0" b="0"/>
                        </a:lnRef>
                        <a:fillRef idx="0">
                          <a:scrgbClr r="0" g="0" b="0"/>
                        </a:fillRef>
                        <a:effectRef idx="0">
                          <a:scrgbClr r="0" g="0" b="0"/>
                        </a:effectRef>
                        <a:fontRef idx="minor"/>
                      </wps:style>
                      <wps:txbx>
                        <w:txbxContent>
                          <w:p w14:paraId="300D1E8A">
                            <w:pPr>
                              <w:overflowPunct w:val="0"/>
                            </w:pPr>
                            <w:r>
                              <w:rPr>
                                <w:color w:val="FFFFFF"/>
                                <w:kern w:val="2"/>
                              </w:rPr>
                              <w:t>估价对象</w:t>
                            </w:r>
                          </w:p>
                        </w:txbxContent>
                      </wps:txbx>
                      <wps:bodyPr>
                        <a:noAutofit/>
                      </wps:bodyPr>
                    </wps:wsp>
                  </a:graphicData>
                </a:graphic>
              </wp:anchor>
            </w:drawing>
          </mc:Choice>
          <mc:Fallback>
            <w:pict>
              <v:shape id="对话气泡: 椭圆形 1" o:spid="_x0000_s1026" o:spt="63" type="#_x0000_t63" style="position:absolute;left:0pt;margin-left:294.55pt;margin-top:96.45pt;height:48.05pt;width:90.05pt;z-index:251660288;mso-width-relative:page;mso-height-relative:page;" fillcolor="#FF0000" filled="t" stroked="f" coordsize="21600,21600" o:gfxdata="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e+92m2AAAAAsBAAAPAAAAAAAAAAEAIAAA&#10;ACIAAABkcnMvZG93bnJldi54bWxQSwECFAAUAAAACACHTuJA9U5CpAwCAADyAwAADgAAAAAAAAAB&#10;ACAAAAAnAQAAZHJzL2Uyb0RvYy54bWxQSwUGAAAAAAYABgBZAQAApQUAAAAA&#10;" adj="1440,25583">
                <v:fill on="t" focussize="0,0"/>
                <v:stroke on="f"/>
                <v:imagedata o:title=""/>
                <o:lock v:ext="edit" aspectratio="f"/>
                <v:textbox>
                  <w:txbxContent>
                    <w:p w14:paraId="300D1E8A">
                      <w:pPr>
                        <w:overflowPunct w:val="0"/>
                      </w:pPr>
                      <w:r>
                        <w:rPr>
                          <w:color w:val="FFFFFF"/>
                          <w:kern w:val="2"/>
                        </w:rPr>
                        <w:t>估价对象</w:t>
                      </w:r>
                    </w:p>
                  </w:txbxContent>
                </v:textbox>
              </v:shape>
            </w:pict>
          </mc:Fallback>
        </mc:AlternateContent>
      </w:r>
    </w:p>
    <w:p w14:paraId="243E79E0">
      <w:pPr>
        <w:overflowPunct w:val="0"/>
        <w:spacing w:line="480" w:lineRule="auto"/>
        <w:jc w:val="both"/>
        <w:textAlignment w:val="auto"/>
        <w:rPr>
          <w:rFonts w:ascii="Arial" w:hAnsi="Arial" w:cs="Arial"/>
          <w:b/>
          <w:kern w:val="2"/>
          <w:sz w:val="21"/>
          <w:szCs w:val="21"/>
        </w:rPr>
      </w:pPr>
      <w:r>
        <w:rPr>
          <w:rFonts w:ascii="Arial" w:hAnsi="Arial" w:cs="Arial"/>
          <w:b/>
          <w:kern w:val="2"/>
          <w:sz w:val="21"/>
          <w:szCs w:val="21"/>
        </w:rPr>
        <w:t>（二）土地基本状况</w:t>
      </w:r>
    </w:p>
    <w:p w14:paraId="035557D3">
      <w:pPr>
        <w:overflowPunct w:val="0"/>
        <w:spacing w:line="480" w:lineRule="auto"/>
        <w:ind w:firstLine="420"/>
        <w:jc w:val="both"/>
        <w:textAlignment w:val="auto"/>
        <w:rPr>
          <w:rFonts w:ascii="Arial" w:hAnsi="Arial" w:cs="Arial"/>
          <w:kern w:val="2"/>
          <w:sz w:val="21"/>
          <w:szCs w:val="21"/>
        </w:rPr>
      </w:pPr>
      <w:r>
        <w:rPr>
          <w:rFonts w:ascii="Arial" w:hAnsi="Arial" w:cs="Arial"/>
          <w:sz w:val="21"/>
          <w:szCs w:val="21"/>
        </w:rPr>
        <w:t>1.</w:t>
      </w:r>
      <w:r>
        <w:rPr>
          <w:rFonts w:ascii="Arial" w:hAnsi="Arial" w:cs="Arial"/>
          <w:kern w:val="2"/>
          <w:sz w:val="21"/>
          <w:szCs w:val="21"/>
        </w:rPr>
        <w:t>根据估价委托人提供的《不动产权证书》[京（2018）开不动产权第0015356号]及其</w:t>
      </w:r>
      <w:r>
        <w:rPr>
          <w:rFonts w:ascii="Arial" w:hAnsi="Arial" w:cs="Arial"/>
          <w:sz w:val="21"/>
          <w:szCs w:val="21"/>
        </w:rPr>
        <w:t>介绍，</w:t>
      </w:r>
      <w:r>
        <w:rPr>
          <w:rFonts w:ascii="Arial" w:hAnsi="Arial" w:cs="Arial"/>
          <w:kern w:val="2"/>
          <w:sz w:val="21"/>
          <w:szCs w:val="21"/>
        </w:rPr>
        <w:t>估价对象所属宗地权利类型为国有建设用地使用权，权利性质为国有土地租赁/公共租赁住房，土地使用年限2011年12月31日至2081年12月30日，</w:t>
      </w:r>
      <w:r>
        <w:rPr>
          <w:rFonts w:ascii="Arial" w:hAnsi="Arial" w:cs="Arial"/>
          <w:sz w:val="21"/>
          <w:szCs w:val="21"/>
        </w:rPr>
        <w:t>用途为居住/门卫室、住宅等16种用途，共有宗地面积为76607.9平方米</w:t>
      </w:r>
      <w:r>
        <w:rPr>
          <w:rFonts w:ascii="Arial" w:hAnsi="Arial" w:cs="Arial"/>
          <w:kern w:val="2"/>
          <w:sz w:val="21"/>
          <w:szCs w:val="21"/>
        </w:rPr>
        <w:t>。</w:t>
      </w:r>
      <w:r>
        <w:rPr>
          <w:rFonts w:ascii="Arial" w:hAnsi="Arial" w:eastAsia="Arial" w:cs="Arial"/>
          <w:sz w:val="21"/>
          <w:szCs w:val="21"/>
        </w:rPr>
        <w:t xml:space="preserve"> </w:t>
      </w:r>
    </w:p>
    <w:p w14:paraId="62AE2D36">
      <w:pPr>
        <w:overflowPunct w:val="0"/>
        <w:spacing w:line="480" w:lineRule="auto"/>
        <w:ind w:firstLine="420"/>
        <w:jc w:val="both"/>
        <w:textAlignment w:val="auto"/>
      </w:pPr>
      <w:r>
        <w:rPr>
          <w:rFonts w:ascii="Arial" w:hAnsi="Arial" w:cs="Arial"/>
          <w:sz w:val="21"/>
          <w:szCs w:val="21"/>
        </w:rPr>
        <w:t>2.估价对象所属项目现状四至：</w:t>
      </w:r>
    </w:p>
    <w:p w14:paraId="0293EE7F">
      <w:pPr>
        <w:overflowPunct w:val="0"/>
        <w:spacing w:line="480" w:lineRule="auto"/>
        <w:ind w:firstLine="420"/>
        <w:jc w:val="both"/>
        <w:textAlignment w:val="auto"/>
        <w:rPr>
          <w:rFonts w:ascii="Arial" w:hAnsi="Arial" w:cs="Arial"/>
          <w:kern w:val="2"/>
          <w:sz w:val="21"/>
          <w:szCs w:val="21"/>
        </w:rPr>
      </w:pPr>
      <w:r>
        <w:rPr>
          <w:rFonts w:ascii="Arial" w:hAnsi="Arial" w:cs="Arial"/>
          <w:kern w:val="2"/>
          <w:sz w:val="21"/>
          <w:szCs w:val="21"/>
        </w:rPr>
        <w:t>现状四至为东至通惠干渠路、南至崔家窑北街、西至经海六路、北至科创十一街。</w:t>
      </w:r>
    </w:p>
    <w:p w14:paraId="0C80957C">
      <w:pPr>
        <w:overflowPunct w:val="0"/>
        <w:spacing w:line="480" w:lineRule="auto"/>
        <w:ind w:firstLine="420"/>
        <w:jc w:val="both"/>
        <w:textAlignment w:val="auto"/>
        <w:rPr>
          <w:rFonts w:ascii="Arial" w:hAnsi="Arial" w:cs="Arial"/>
          <w:sz w:val="21"/>
          <w:szCs w:val="21"/>
        </w:rPr>
      </w:pPr>
      <w:r>
        <w:rPr>
          <w:rFonts w:ascii="Arial" w:hAnsi="Arial" w:cs="Arial"/>
          <w:sz w:val="21"/>
          <w:szCs w:val="21"/>
        </w:rPr>
        <w:t>3.估价对象所属项目用地呈较规则形状，对利用无不良影响，场地呈较平坦地势，工程地质条件良好，无不良地质现象。估价对象现状已完成开发建设，土地利用程度高。</w:t>
      </w:r>
    </w:p>
    <w:p w14:paraId="2DE2DFBD">
      <w:pPr>
        <w:overflowPunct w:val="0"/>
        <w:spacing w:line="480" w:lineRule="auto"/>
        <w:ind w:firstLine="420"/>
        <w:jc w:val="both"/>
        <w:textAlignment w:val="auto"/>
      </w:pPr>
      <w:r>
        <w:rPr>
          <w:rFonts w:ascii="Arial" w:hAnsi="Arial" w:cs="Arial"/>
          <w:sz w:val="21"/>
          <w:szCs w:val="21"/>
        </w:rPr>
        <w:t>4.开发程度：</w:t>
      </w:r>
    </w:p>
    <w:p w14:paraId="1ED156E0">
      <w:pPr>
        <w:overflowPunct w:val="0"/>
        <w:spacing w:line="480" w:lineRule="auto"/>
        <w:ind w:firstLine="420"/>
        <w:jc w:val="both"/>
        <w:textAlignment w:val="auto"/>
        <w:rPr>
          <w:rFonts w:ascii="Arial" w:hAnsi="Arial" w:cs="Arial"/>
          <w:kern w:val="2"/>
          <w:sz w:val="21"/>
          <w:szCs w:val="21"/>
        </w:rPr>
      </w:pPr>
      <w:r>
        <w:rPr>
          <w:rFonts w:ascii="Arial" w:hAnsi="Arial" w:cs="Arial"/>
          <w:kern w:val="2"/>
          <w:sz w:val="21"/>
          <w:szCs w:val="21"/>
        </w:rPr>
        <w:t>估价对象所在区域市政基础设施完备，为“七通”（即通路、通电、通讯、通上水、通下水、通燃气、通热力），且保证程度高。</w:t>
      </w:r>
    </w:p>
    <w:p w14:paraId="08C51243">
      <w:pPr>
        <w:overflowPunct w:val="0"/>
        <w:spacing w:line="480" w:lineRule="auto"/>
        <w:ind w:firstLine="420"/>
        <w:jc w:val="both"/>
        <w:textAlignment w:val="auto"/>
        <w:rPr>
          <w:rFonts w:ascii="Arial" w:hAnsi="Arial" w:cs="Arial"/>
          <w:color w:val="E36C0A"/>
          <w:sz w:val="21"/>
          <w:szCs w:val="21"/>
        </w:rPr>
      </w:pPr>
      <w:r>
        <w:rPr>
          <w:rFonts w:ascii="Arial" w:hAnsi="Arial" w:cs="Arial"/>
          <w:kern w:val="2"/>
          <w:sz w:val="21"/>
          <w:szCs w:val="21"/>
        </w:rPr>
        <w:t>综上所述，估价对象所在区域土地实物状况较好，场地地势平坦，地质条件良好，基础设施完备，宗地条件有利于估价对象利用，对估价对象租赁价格无不良影响</w:t>
      </w:r>
      <w:r>
        <w:rPr>
          <w:rFonts w:ascii="Arial" w:hAnsi="Arial" w:cs="Arial"/>
          <w:sz w:val="21"/>
          <w:szCs w:val="21"/>
        </w:rPr>
        <w:t>。</w:t>
      </w:r>
    </w:p>
    <w:p w14:paraId="2E619D82">
      <w:pPr>
        <w:overflowPunct w:val="0"/>
        <w:spacing w:line="480" w:lineRule="auto"/>
        <w:jc w:val="both"/>
        <w:textAlignment w:val="auto"/>
        <w:rPr>
          <w:rFonts w:ascii="Arial" w:hAnsi="Arial" w:cs="Arial"/>
          <w:b/>
          <w:kern w:val="2"/>
          <w:sz w:val="21"/>
          <w:szCs w:val="21"/>
        </w:rPr>
      </w:pPr>
      <w:r>
        <w:rPr>
          <w:rFonts w:ascii="Arial" w:hAnsi="Arial" w:cs="Arial"/>
          <w:b/>
          <w:kern w:val="2"/>
          <w:sz w:val="21"/>
          <w:szCs w:val="21"/>
        </w:rPr>
        <w:t>（三）建筑物基本状况</w:t>
      </w:r>
    </w:p>
    <w:p w14:paraId="36835C18">
      <w:pPr>
        <w:overflowPunct w:val="0"/>
        <w:spacing w:line="480" w:lineRule="auto"/>
        <w:ind w:firstLine="420"/>
        <w:jc w:val="both"/>
        <w:textAlignment w:val="auto"/>
        <w:rPr>
          <w:rFonts w:cs="Arial"/>
        </w:rPr>
      </w:pPr>
      <w:r>
        <w:rPr>
          <w:rFonts w:ascii="Arial" w:hAnsi="Arial" w:cs="Arial"/>
          <w:kern w:val="2"/>
          <w:sz w:val="21"/>
          <w:szCs w:val="21"/>
        </w:rPr>
        <w:t>1．建设规模：根据估价委托人提供的《估价委托书》及《E18国际人才公寓房屋明细》，确定本次估价范围为</w:t>
      </w:r>
      <w:r>
        <w:rPr>
          <w:rFonts w:hint="eastAsia" w:ascii="Arial" w:hAnsi="Arial" w:cs="Arial"/>
          <w:kern w:val="2"/>
          <w:sz w:val="21"/>
          <w:szCs w:val="21"/>
        </w:rPr>
        <w:t>北京经济技术开发区科创十一街4号院5、10号楼（E18亦城景园国际人才公寓）共516套</w:t>
      </w:r>
      <w:r>
        <w:rPr>
          <w:rFonts w:ascii="Arial" w:hAnsi="Arial" w:cs="Arial"/>
          <w:kern w:val="2"/>
          <w:sz w:val="21"/>
          <w:szCs w:val="21"/>
        </w:rPr>
        <w:t>，建筑类型为高层板楼，楼宇主体建筑结构为钢混。建筑面积</w:t>
      </w:r>
      <w:r>
        <w:rPr>
          <w:rFonts w:hint="eastAsia" w:ascii="Arial" w:hAnsi="Arial" w:cs="Arial"/>
          <w:kern w:val="2"/>
          <w:sz w:val="21"/>
          <w:szCs w:val="21"/>
        </w:rPr>
        <w:t>44359.11</w:t>
      </w:r>
      <w:r>
        <w:rPr>
          <w:rFonts w:ascii="Arial" w:hAnsi="Arial" w:cs="Arial"/>
          <w:kern w:val="2"/>
          <w:sz w:val="21"/>
          <w:szCs w:val="21"/>
        </w:rPr>
        <w:t>平方米。房源具体户型等情况详见下表：</w:t>
      </w:r>
    </w:p>
    <w:tbl>
      <w:tblPr>
        <w:tblStyle w:val="33"/>
        <w:tblW w:w="5000" w:type="pct"/>
        <w:jc w:val="center"/>
        <w:tblLayout w:type="autofit"/>
        <w:tblCellMar>
          <w:top w:w="0" w:type="dxa"/>
          <w:left w:w="108" w:type="dxa"/>
          <w:bottom w:w="0" w:type="dxa"/>
          <w:right w:w="108" w:type="dxa"/>
        </w:tblCellMar>
      </w:tblPr>
      <w:tblGrid>
        <w:gridCol w:w="1901"/>
        <w:gridCol w:w="1242"/>
        <w:gridCol w:w="1158"/>
        <w:gridCol w:w="1056"/>
        <w:gridCol w:w="1131"/>
        <w:gridCol w:w="1604"/>
        <w:gridCol w:w="1422"/>
      </w:tblGrid>
      <w:tr w14:paraId="2B80F93C">
        <w:tblPrEx>
          <w:tblCellMar>
            <w:top w:w="0" w:type="dxa"/>
            <w:left w:w="108" w:type="dxa"/>
            <w:bottom w:w="0" w:type="dxa"/>
            <w:right w:w="108" w:type="dxa"/>
          </w:tblCellMar>
        </w:tblPrEx>
        <w:trPr>
          <w:trHeight w:val="285" w:hRule="atLeast"/>
          <w:jc w:val="center"/>
        </w:trPr>
        <w:tc>
          <w:tcPr>
            <w:tcW w:w="2000" w:type="dxa"/>
            <w:tcBorders>
              <w:top w:val="single" w:color="000000" w:sz="4" w:space="0"/>
              <w:left w:val="single" w:color="000000" w:sz="4" w:space="0"/>
              <w:bottom w:val="single" w:color="000000" w:sz="4" w:space="0"/>
            </w:tcBorders>
            <w:vAlign w:val="center"/>
          </w:tcPr>
          <w:p w14:paraId="311D1E1F">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公寓类型</w:t>
            </w:r>
          </w:p>
        </w:tc>
        <w:tc>
          <w:tcPr>
            <w:tcW w:w="1260" w:type="dxa"/>
            <w:tcBorders>
              <w:top w:val="single" w:color="000000" w:sz="4" w:space="0"/>
              <w:left w:val="single" w:color="000000" w:sz="4" w:space="0"/>
              <w:bottom w:val="single" w:color="000000" w:sz="4" w:space="0"/>
            </w:tcBorders>
            <w:vAlign w:val="center"/>
          </w:tcPr>
          <w:p w14:paraId="20A40C62">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面积</w:t>
            </w:r>
            <w:r>
              <w:rPr>
                <w:rFonts w:hint="eastAsia" w:ascii="Arial" w:hAnsi="Arial" w:eastAsia="华文细黑" w:cs="Arial"/>
                <w:color w:val="000000"/>
                <w:sz w:val="18"/>
                <w:szCs w:val="18"/>
              </w:rPr>
              <w:t>（㎡）</w:t>
            </w:r>
          </w:p>
        </w:tc>
        <w:tc>
          <w:tcPr>
            <w:tcW w:w="1200" w:type="dxa"/>
            <w:tcBorders>
              <w:top w:val="single" w:color="000000" w:sz="4" w:space="0"/>
              <w:left w:val="single" w:color="000000" w:sz="4" w:space="0"/>
              <w:bottom w:val="single" w:color="000000" w:sz="4" w:space="0"/>
            </w:tcBorders>
            <w:vAlign w:val="center"/>
          </w:tcPr>
          <w:p w14:paraId="70DAE0D4">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套数</w:t>
            </w:r>
          </w:p>
        </w:tc>
        <w:tc>
          <w:tcPr>
            <w:tcW w:w="1100" w:type="dxa"/>
            <w:tcBorders>
              <w:top w:val="single" w:color="000000" w:sz="4" w:space="0"/>
              <w:left w:val="single" w:color="000000" w:sz="4" w:space="0"/>
              <w:bottom w:val="single" w:color="000000" w:sz="4" w:space="0"/>
            </w:tcBorders>
            <w:vAlign w:val="center"/>
          </w:tcPr>
          <w:p w14:paraId="7CC98425">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朝向</w:t>
            </w:r>
          </w:p>
        </w:tc>
        <w:tc>
          <w:tcPr>
            <w:tcW w:w="1180" w:type="dxa"/>
            <w:tcBorders>
              <w:top w:val="single" w:color="000000" w:sz="4" w:space="0"/>
              <w:left w:val="single" w:color="000000" w:sz="4" w:space="0"/>
              <w:bottom w:val="single" w:color="000000" w:sz="4" w:space="0"/>
            </w:tcBorders>
            <w:vAlign w:val="center"/>
          </w:tcPr>
          <w:p w14:paraId="73190EB5">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户型</w:t>
            </w:r>
          </w:p>
        </w:tc>
        <w:tc>
          <w:tcPr>
            <w:tcW w:w="1660" w:type="dxa"/>
            <w:tcBorders>
              <w:top w:val="single" w:color="000000" w:sz="4" w:space="0"/>
              <w:left w:val="single" w:color="000000" w:sz="4" w:space="0"/>
              <w:bottom w:val="single" w:color="000000" w:sz="4" w:space="0"/>
            </w:tcBorders>
            <w:vAlign w:val="center"/>
          </w:tcPr>
          <w:p w14:paraId="5E74DC9B">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面积范围</w:t>
            </w:r>
            <w:r>
              <w:rPr>
                <w:rFonts w:hint="eastAsia" w:ascii="Arial" w:hAnsi="Arial" w:eastAsia="华文细黑" w:cs="Arial"/>
                <w:color w:val="000000"/>
                <w:sz w:val="18"/>
                <w:szCs w:val="18"/>
              </w:rPr>
              <w:t>（㎡）</w:t>
            </w:r>
          </w:p>
        </w:tc>
        <w:tc>
          <w:tcPr>
            <w:tcW w:w="1490" w:type="dxa"/>
            <w:tcBorders>
              <w:top w:val="single" w:color="000000" w:sz="4" w:space="0"/>
              <w:left w:val="single" w:color="000000" w:sz="4" w:space="0"/>
              <w:bottom w:val="single" w:color="000000" w:sz="4" w:space="0"/>
              <w:right w:val="single" w:color="000000" w:sz="4" w:space="0"/>
            </w:tcBorders>
            <w:vAlign w:val="center"/>
          </w:tcPr>
          <w:p w14:paraId="1B9F9D0A">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装修</w:t>
            </w:r>
          </w:p>
        </w:tc>
      </w:tr>
      <w:tr w14:paraId="54BD820D">
        <w:tblPrEx>
          <w:tblCellMar>
            <w:top w:w="0" w:type="dxa"/>
            <w:left w:w="108" w:type="dxa"/>
            <w:bottom w:w="0" w:type="dxa"/>
            <w:right w:w="108" w:type="dxa"/>
          </w:tblCellMar>
        </w:tblPrEx>
        <w:trPr>
          <w:trHeight w:val="285" w:hRule="atLeast"/>
          <w:jc w:val="center"/>
        </w:trPr>
        <w:tc>
          <w:tcPr>
            <w:tcW w:w="2000" w:type="dxa"/>
            <w:tcBorders>
              <w:left w:val="single" w:color="000000" w:sz="4" w:space="0"/>
              <w:bottom w:val="single" w:color="000000" w:sz="4" w:space="0"/>
            </w:tcBorders>
            <w:vAlign w:val="center"/>
          </w:tcPr>
          <w:p w14:paraId="5C23B9A7">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领军人才公寓</w:t>
            </w:r>
          </w:p>
        </w:tc>
        <w:tc>
          <w:tcPr>
            <w:tcW w:w="1260" w:type="dxa"/>
            <w:tcBorders>
              <w:left w:val="single" w:color="000000" w:sz="4" w:space="0"/>
              <w:bottom w:val="single" w:color="000000" w:sz="4" w:space="0"/>
            </w:tcBorders>
            <w:vAlign w:val="center"/>
          </w:tcPr>
          <w:p w14:paraId="4454D263">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3624.2</w:t>
            </w:r>
          </w:p>
        </w:tc>
        <w:tc>
          <w:tcPr>
            <w:tcW w:w="1200" w:type="dxa"/>
            <w:tcBorders>
              <w:left w:val="single" w:color="000000" w:sz="4" w:space="0"/>
              <w:bottom w:val="single" w:color="000000" w:sz="4" w:space="0"/>
            </w:tcBorders>
            <w:vAlign w:val="center"/>
          </w:tcPr>
          <w:p w14:paraId="0E319EE9">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52</w:t>
            </w:r>
          </w:p>
        </w:tc>
        <w:tc>
          <w:tcPr>
            <w:tcW w:w="1100" w:type="dxa"/>
            <w:tcBorders>
              <w:left w:val="single" w:color="000000" w:sz="4" w:space="0"/>
              <w:bottom w:val="single" w:color="000000" w:sz="4" w:space="0"/>
            </w:tcBorders>
            <w:vAlign w:val="center"/>
          </w:tcPr>
          <w:p w14:paraId="614030D0">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南</w:t>
            </w:r>
          </w:p>
        </w:tc>
        <w:tc>
          <w:tcPr>
            <w:tcW w:w="1180" w:type="dxa"/>
            <w:tcBorders>
              <w:left w:val="single" w:color="000000" w:sz="4" w:space="0"/>
              <w:bottom w:val="single" w:color="000000" w:sz="4" w:space="0"/>
            </w:tcBorders>
            <w:vAlign w:val="center"/>
          </w:tcPr>
          <w:p w14:paraId="2F8BD826">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一居室</w:t>
            </w:r>
          </w:p>
        </w:tc>
        <w:tc>
          <w:tcPr>
            <w:tcW w:w="1660" w:type="dxa"/>
            <w:tcBorders>
              <w:left w:val="single" w:color="000000" w:sz="4" w:space="0"/>
              <w:bottom w:val="single" w:color="000000" w:sz="4" w:space="0"/>
            </w:tcBorders>
            <w:vAlign w:val="center"/>
          </w:tcPr>
          <w:p w14:paraId="6A707751">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69.62-69.80</w:t>
            </w:r>
          </w:p>
        </w:tc>
        <w:tc>
          <w:tcPr>
            <w:tcW w:w="1490" w:type="dxa"/>
            <w:tcBorders>
              <w:left w:val="single" w:color="000000" w:sz="4" w:space="0"/>
              <w:bottom w:val="single" w:color="000000" w:sz="4" w:space="0"/>
              <w:right w:val="single" w:color="000000" w:sz="4" w:space="0"/>
            </w:tcBorders>
            <w:vAlign w:val="center"/>
          </w:tcPr>
          <w:p w14:paraId="769080BA">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简单装修</w:t>
            </w:r>
          </w:p>
        </w:tc>
      </w:tr>
      <w:tr w14:paraId="742C9497">
        <w:tblPrEx>
          <w:tblCellMar>
            <w:top w:w="0" w:type="dxa"/>
            <w:left w:w="108" w:type="dxa"/>
            <w:bottom w:w="0" w:type="dxa"/>
            <w:right w:w="108" w:type="dxa"/>
          </w:tblCellMar>
        </w:tblPrEx>
        <w:trPr>
          <w:trHeight w:val="285" w:hRule="atLeast"/>
          <w:jc w:val="center"/>
        </w:trPr>
        <w:tc>
          <w:tcPr>
            <w:tcW w:w="2000" w:type="dxa"/>
            <w:tcBorders>
              <w:left w:val="single" w:color="000000" w:sz="4" w:space="0"/>
              <w:bottom w:val="single" w:color="000000" w:sz="4" w:space="0"/>
            </w:tcBorders>
            <w:vAlign w:val="center"/>
          </w:tcPr>
          <w:p w14:paraId="027EBD93">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杰出人才公寓</w:t>
            </w:r>
          </w:p>
        </w:tc>
        <w:tc>
          <w:tcPr>
            <w:tcW w:w="1260" w:type="dxa"/>
            <w:tcBorders>
              <w:left w:val="single" w:color="000000" w:sz="4" w:space="0"/>
              <w:bottom w:val="single" w:color="000000" w:sz="4" w:space="0"/>
            </w:tcBorders>
            <w:vAlign w:val="center"/>
          </w:tcPr>
          <w:p w14:paraId="295454BC">
            <w:pPr>
              <w:widowControl/>
              <w:spacing w:line="240" w:lineRule="auto"/>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3624.2</w:t>
            </w:r>
          </w:p>
        </w:tc>
        <w:tc>
          <w:tcPr>
            <w:tcW w:w="1200" w:type="dxa"/>
            <w:tcBorders>
              <w:left w:val="single" w:color="000000" w:sz="4" w:space="0"/>
              <w:bottom w:val="single" w:color="000000" w:sz="4" w:space="0"/>
            </w:tcBorders>
            <w:vAlign w:val="center"/>
          </w:tcPr>
          <w:p w14:paraId="1EE94680">
            <w:pPr>
              <w:widowControl/>
              <w:spacing w:line="240" w:lineRule="auto"/>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52</w:t>
            </w:r>
          </w:p>
        </w:tc>
        <w:tc>
          <w:tcPr>
            <w:tcW w:w="1100" w:type="dxa"/>
            <w:tcBorders>
              <w:left w:val="single" w:color="000000" w:sz="4" w:space="0"/>
              <w:bottom w:val="single" w:color="000000" w:sz="4" w:space="0"/>
            </w:tcBorders>
            <w:vAlign w:val="center"/>
          </w:tcPr>
          <w:p w14:paraId="4408B96F">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南</w:t>
            </w:r>
          </w:p>
        </w:tc>
        <w:tc>
          <w:tcPr>
            <w:tcW w:w="1180" w:type="dxa"/>
            <w:tcBorders>
              <w:left w:val="single" w:color="000000" w:sz="4" w:space="0"/>
              <w:bottom w:val="single" w:color="000000" w:sz="4" w:space="0"/>
            </w:tcBorders>
            <w:vAlign w:val="center"/>
          </w:tcPr>
          <w:p w14:paraId="7C531694">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一居室</w:t>
            </w:r>
          </w:p>
        </w:tc>
        <w:tc>
          <w:tcPr>
            <w:tcW w:w="1660" w:type="dxa"/>
            <w:tcBorders>
              <w:left w:val="single" w:color="000000" w:sz="4" w:space="0"/>
              <w:bottom w:val="single" w:color="000000" w:sz="4" w:space="0"/>
            </w:tcBorders>
            <w:vAlign w:val="center"/>
          </w:tcPr>
          <w:p w14:paraId="2F00158E">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69.62-69.8</w:t>
            </w:r>
          </w:p>
        </w:tc>
        <w:tc>
          <w:tcPr>
            <w:tcW w:w="1490" w:type="dxa"/>
            <w:tcBorders>
              <w:left w:val="single" w:color="000000" w:sz="4" w:space="0"/>
              <w:bottom w:val="single" w:color="000000" w:sz="4" w:space="0"/>
              <w:right w:val="single" w:color="000000" w:sz="4" w:space="0"/>
            </w:tcBorders>
            <w:vAlign w:val="center"/>
          </w:tcPr>
          <w:p w14:paraId="78479C48">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精装修</w:t>
            </w:r>
          </w:p>
        </w:tc>
      </w:tr>
      <w:tr w14:paraId="160BFBCF">
        <w:tblPrEx>
          <w:tblCellMar>
            <w:top w:w="0" w:type="dxa"/>
            <w:left w:w="108" w:type="dxa"/>
            <w:bottom w:w="0" w:type="dxa"/>
            <w:right w:w="108" w:type="dxa"/>
          </w:tblCellMar>
        </w:tblPrEx>
        <w:trPr>
          <w:trHeight w:val="285" w:hRule="atLeast"/>
          <w:jc w:val="center"/>
        </w:trPr>
        <w:tc>
          <w:tcPr>
            <w:tcW w:w="2000" w:type="dxa"/>
            <w:tcBorders>
              <w:left w:val="single" w:color="000000" w:sz="4" w:space="0"/>
              <w:bottom w:val="single" w:color="000000" w:sz="4" w:space="0"/>
            </w:tcBorders>
            <w:vAlign w:val="center"/>
          </w:tcPr>
          <w:p w14:paraId="29F50AAD">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领军人才公寓</w:t>
            </w:r>
          </w:p>
        </w:tc>
        <w:tc>
          <w:tcPr>
            <w:tcW w:w="1260" w:type="dxa"/>
            <w:tcBorders>
              <w:left w:val="single" w:color="000000" w:sz="4" w:space="0"/>
              <w:bottom w:val="single" w:color="000000" w:sz="4" w:space="0"/>
            </w:tcBorders>
            <w:vAlign w:val="center"/>
          </w:tcPr>
          <w:p w14:paraId="6F7D59E2">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14110.48</w:t>
            </w:r>
          </w:p>
        </w:tc>
        <w:tc>
          <w:tcPr>
            <w:tcW w:w="1200" w:type="dxa"/>
            <w:tcBorders>
              <w:left w:val="single" w:color="000000" w:sz="4" w:space="0"/>
              <w:bottom w:val="single" w:color="000000" w:sz="4" w:space="0"/>
            </w:tcBorders>
            <w:vAlign w:val="center"/>
          </w:tcPr>
          <w:p w14:paraId="7D006270">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156</w:t>
            </w:r>
          </w:p>
        </w:tc>
        <w:tc>
          <w:tcPr>
            <w:tcW w:w="1100" w:type="dxa"/>
            <w:tcBorders>
              <w:left w:val="single" w:color="000000" w:sz="4" w:space="0"/>
              <w:bottom w:val="single" w:color="000000" w:sz="4" w:space="0"/>
            </w:tcBorders>
            <w:vAlign w:val="center"/>
          </w:tcPr>
          <w:p w14:paraId="0383375C">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南</w:t>
            </w:r>
          </w:p>
        </w:tc>
        <w:tc>
          <w:tcPr>
            <w:tcW w:w="1180" w:type="dxa"/>
            <w:tcBorders>
              <w:left w:val="single" w:color="000000" w:sz="4" w:space="0"/>
              <w:bottom w:val="single" w:color="000000" w:sz="4" w:space="0"/>
            </w:tcBorders>
            <w:vAlign w:val="center"/>
          </w:tcPr>
          <w:p w14:paraId="6CF4AB72">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两居室</w:t>
            </w:r>
          </w:p>
        </w:tc>
        <w:tc>
          <w:tcPr>
            <w:tcW w:w="1660" w:type="dxa"/>
            <w:tcBorders>
              <w:left w:val="single" w:color="000000" w:sz="4" w:space="0"/>
              <w:bottom w:val="single" w:color="000000" w:sz="4" w:space="0"/>
            </w:tcBorders>
            <w:vAlign w:val="center"/>
          </w:tcPr>
          <w:p w14:paraId="26E9B83B">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89.62-92.07</w:t>
            </w:r>
          </w:p>
        </w:tc>
        <w:tc>
          <w:tcPr>
            <w:tcW w:w="1490" w:type="dxa"/>
            <w:tcBorders>
              <w:left w:val="single" w:color="000000" w:sz="4" w:space="0"/>
              <w:bottom w:val="single" w:color="000000" w:sz="4" w:space="0"/>
              <w:right w:val="single" w:color="000000" w:sz="4" w:space="0"/>
            </w:tcBorders>
            <w:vAlign w:val="center"/>
          </w:tcPr>
          <w:p w14:paraId="14C63423">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简单装修</w:t>
            </w:r>
          </w:p>
        </w:tc>
      </w:tr>
      <w:tr w14:paraId="7748F24C">
        <w:tblPrEx>
          <w:tblCellMar>
            <w:top w:w="0" w:type="dxa"/>
            <w:left w:w="108" w:type="dxa"/>
            <w:bottom w:w="0" w:type="dxa"/>
            <w:right w:w="108" w:type="dxa"/>
          </w:tblCellMar>
        </w:tblPrEx>
        <w:trPr>
          <w:trHeight w:val="285" w:hRule="atLeast"/>
          <w:jc w:val="center"/>
        </w:trPr>
        <w:tc>
          <w:tcPr>
            <w:tcW w:w="2000" w:type="dxa"/>
            <w:tcBorders>
              <w:left w:val="single" w:color="000000" w:sz="4" w:space="0"/>
              <w:bottom w:val="single" w:color="000000" w:sz="4" w:space="0"/>
            </w:tcBorders>
            <w:shd w:val="clear" w:color="auto" w:fill="FFFFFF"/>
            <w:vAlign w:val="center"/>
          </w:tcPr>
          <w:p w14:paraId="535F00F3">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领军人才公寓</w:t>
            </w:r>
          </w:p>
        </w:tc>
        <w:tc>
          <w:tcPr>
            <w:tcW w:w="1260" w:type="dxa"/>
            <w:tcBorders>
              <w:left w:val="single" w:color="000000" w:sz="4" w:space="0"/>
              <w:bottom w:val="single" w:color="000000" w:sz="4" w:space="0"/>
            </w:tcBorders>
            <w:shd w:val="clear" w:color="auto" w:fill="FFFFFF"/>
            <w:vAlign w:val="center"/>
          </w:tcPr>
          <w:p w14:paraId="1C04498F">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18469.17</w:t>
            </w:r>
          </w:p>
        </w:tc>
        <w:tc>
          <w:tcPr>
            <w:tcW w:w="1200" w:type="dxa"/>
            <w:tcBorders>
              <w:left w:val="single" w:color="000000" w:sz="4" w:space="0"/>
              <w:bottom w:val="single" w:color="000000" w:sz="4" w:space="0"/>
            </w:tcBorders>
            <w:shd w:val="clear" w:color="auto" w:fill="FFFFFF"/>
            <w:vAlign w:val="center"/>
          </w:tcPr>
          <w:p w14:paraId="24553C78">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205</w:t>
            </w:r>
          </w:p>
        </w:tc>
        <w:tc>
          <w:tcPr>
            <w:tcW w:w="1100" w:type="dxa"/>
            <w:tcBorders>
              <w:left w:val="single" w:color="000000" w:sz="4" w:space="0"/>
              <w:bottom w:val="single" w:color="000000" w:sz="4" w:space="0"/>
            </w:tcBorders>
            <w:shd w:val="clear" w:color="auto" w:fill="FFFFFF"/>
            <w:vAlign w:val="center"/>
          </w:tcPr>
          <w:p w14:paraId="017040D8">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南北</w:t>
            </w:r>
          </w:p>
        </w:tc>
        <w:tc>
          <w:tcPr>
            <w:tcW w:w="1180" w:type="dxa"/>
            <w:tcBorders>
              <w:left w:val="single" w:color="000000" w:sz="4" w:space="0"/>
              <w:bottom w:val="single" w:color="000000" w:sz="4" w:space="0"/>
            </w:tcBorders>
            <w:shd w:val="clear" w:color="auto" w:fill="FFFFFF"/>
            <w:vAlign w:val="center"/>
          </w:tcPr>
          <w:p w14:paraId="449C5834">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两居室</w:t>
            </w:r>
          </w:p>
        </w:tc>
        <w:tc>
          <w:tcPr>
            <w:tcW w:w="1660" w:type="dxa"/>
            <w:tcBorders>
              <w:left w:val="single" w:color="000000" w:sz="4" w:space="0"/>
              <w:bottom w:val="single" w:color="000000" w:sz="4" w:space="0"/>
            </w:tcBorders>
            <w:shd w:val="clear" w:color="auto" w:fill="FFFFFF"/>
            <w:vAlign w:val="center"/>
          </w:tcPr>
          <w:p w14:paraId="3EE36830">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88.41-92.39</w:t>
            </w:r>
          </w:p>
        </w:tc>
        <w:tc>
          <w:tcPr>
            <w:tcW w:w="1490" w:type="dxa"/>
            <w:tcBorders>
              <w:left w:val="single" w:color="000000" w:sz="4" w:space="0"/>
              <w:bottom w:val="single" w:color="000000" w:sz="4" w:space="0"/>
              <w:right w:val="single" w:color="000000" w:sz="4" w:space="0"/>
            </w:tcBorders>
            <w:shd w:val="clear" w:color="auto" w:fill="FFFFFF"/>
            <w:vAlign w:val="center"/>
          </w:tcPr>
          <w:p w14:paraId="6BE9A55D">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简单装修</w:t>
            </w:r>
          </w:p>
        </w:tc>
      </w:tr>
      <w:tr w14:paraId="57C9999E">
        <w:tblPrEx>
          <w:tblCellMar>
            <w:top w:w="0" w:type="dxa"/>
            <w:left w:w="108" w:type="dxa"/>
            <w:bottom w:w="0" w:type="dxa"/>
            <w:right w:w="108" w:type="dxa"/>
          </w:tblCellMar>
        </w:tblPrEx>
        <w:trPr>
          <w:trHeight w:val="285" w:hRule="atLeast"/>
          <w:jc w:val="center"/>
        </w:trPr>
        <w:tc>
          <w:tcPr>
            <w:tcW w:w="2000" w:type="dxa"/>
            <w:tcBorders>
              <w:left w:val="single" w:color="000000" w:sz="4" w:space="0"/>
              <w:bottom w:val="single" w:color="000000" w:sz="4" w:space="0"/>
            </w:tcBorders>
            <w:shd w:val="clear" w:color="auto" w:fill="FFFFFF"/>
            <w:vAlign w:val="center"/>
          </w:tcPr>
          <w:p w14:paraId="0E4F6CBB">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杰出人才公寓</w:t>
            </w:r>
          </w:p>
        </w:tc>
        <w:tc>
          <w:tcPr>
            <w:tcW w:w="1260" w:type="dxa"/>
            <w:tcBorders>
              <w:left w:val="single" w:color="000000" w:sz="4" w:space="0"/>
              <w:bottom w:val="single" w:color="000000" w:sz="4" w:space="0"/>
            </w:tcBorders>
            <w:shd w:val="clear" w:color="auto" w:fill="FFFFFF"/>
            <w:vAlign w:val="center"/>
          </w:tcPr>
          <w:p w14:paraId="616DD869">
            <w:pPr>
              <w:widowControl/>
              <w:spacing w:line="240" w:lineRule="auto"/>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4531.06</w:t>
            </w:r>
          </w:p>
        </w:tc>
        <w:tc>
          <w:tcPr>
            <w:tcW w:w="1200" w:type="dxa"/>
            <w:tcBorders>
              <w:left w:val="single" w:color="000000" w:sz="4" w:space="0"/>
              <w:bottom w:val="single" w:color="000000" w:sz="4" w:space="0"/>
            </w:tcBorders>
            <w:shd w:val="clear" w:color="auto" w:fill="FFFFFF"/>
            <w:vAlign w:val="center"/>
          </w:tcPr>
          <w:p w14:paraId="0B571057">
            <w:pPr>
              <w:widowControl/>
              <w:spacing w:line="240" w:lineRule="auto"/>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51</w:t>
            </w:r>
          </w:p>
        </w:tc>
        <w:tc>
          <w:tcPr>
            <w:tcW w:w="1100" w:type="dxa"/>
            <w:tcBorders>
              <w:left w:val="single" w:color="000000" w:sz="4" w:space="0"/>
              <w:bottom w:val="single" w:color="000000" w:sz="4" w:space="0"/>
            </w:tcBorders>
            <w:shd w:val="clear" w:color="auto" w:fill="FFFFFF"/>
            <w:vAlign w:val="center"/>
          </w:tcPr>
          <w:p w14:paraId="3B010DC6">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南北</w:t>
            </w:r>
          </w:p>
        </w:tc>
        <w:tc>
          <w:tcPr>
            <w:tcW w:w="1180" w:type="dxa"/>
            <w:tcBorders>
              <w:left w:val="single" w:color="000000" w:sz="4" w:space="0"/>
              <w:bottom w:val="single" w:color="000000" w:sz="4" w:space="0"/>
            </w:tcBorders>
            <w:shd w:val="clear" w:color="auto" w:fill="FFFFFF"/>
            <w:vAlign w:val="center"/>
          </w:tcPr>
          <w:p w14:paraId="7E90CD46">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两居室</w:t>
            </w:r>
          </w:p>
        </w:tc>
        <w:tc>
          <w:tcPr>
            <w:tcW w:w="1660" w:type="dxa"/>
            <w:tcBorders>
              <w:left w:val="single" w:color="000000" w:sz="4" w:space="0"/>
              <w:bottom w:val="single" w:color="000000" w:sz="4" w:space="0"/>
            </w:tcBorders>
            <w:shd w:val="clear" w:color="auto" w:fill="FFFFFF"/>
            <w:vAlign w:val="center"/>
          </w:tcPr>
          <w:p w14:paraId="0495CFA3">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88.51-89.18</w:t>
            </w:r>
          </w:p>
        </w:tc>
        <w:tc>
          <w:tcPr>
            <w:tcW w:w="1490" w:type="dxa"/>
            <w:tcBorders>
              <w:left w:val="single" w:color="000000" w:sz="4" w:space="0"/>
              <w:bottom w:val="single" w:color="000000" w:sz="4" w:space="0"/>
              <w:right w:val="single" w:color="000000" w:sz="4" w:space="0"/>
            </w:tcBorders>
            <w:shd w:val="clear" w:color="auto" w:fill="FFFFFF"/>
            <w:vAlign w:val="center"/>
          </w:tcPr>
          <w:p w14:paraId="046D92EB">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精装修</w:t>
            </w:r>
          </w:p>
        </w:tc>
      </w:tr>
      <w:tr w14:paraId="28BE9D05">
        <w:tblPrEx>
          <w:tblCellMar>
            <w:top w:w="0" w:type="dxa"/>
            <w:left w:w="108" w:type="dxa"/>
            <w:bottom w:w="0" w:type="dxa"/>
            <w:right w:w="108" w:type="dxa"/>
          </w:tblCellMar>
        </w:tblPrEx>
        <w:trPr>
          <w:trHeight w:val="285" w:hRule="atLeast"/>
          <w:jc w:val="center"/>
        </w:trPr>
        <w:tc>
          <w:tcPr>
            <w:tcW w:w="2000" w:type="dxa"/>
            <w:tcBorders>
              <w:left w:val="single" w:color="000000" w:sz="4" w:space="0"/>
              <w:bottom w:val="single" w:color="000000" w:sz="4" w:space="0"/>
            </w:tcBorders>
            <w:vAlign w:val="center"/>
          </w:tcPr>
          <w:p w14:paraId="1512662E">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合计</w:t>
            </w:r>
          </w:p>
        </w:tc>
        <w:tc>
          <w:tcPr>
            <w:tcW w:w="1260" w:type="dxa"/>
            <w:tcBorders>
              <w:left w:val="single" w:color="000000" w:sz="4" w:space="0"/>
              <w:bottom w:val="single" w:color="000000" w:sz="4" w:space="0"/>
            </w:tcBorders>
            <w:vAlign w:val="center"/>
          </w:tcPr>
          <w:p w14:paraId="3A462588">
            <w:pPr>
              <w:widowControl/>
              <w:spacing w:line="240" w:lineRule="auto"/>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44359.11</w:t>
            </w:r>
          </w:p>
        </w:tc>
        <w:tc>
          <w:tcPr>
            <w:tcW w:w="1200" w:type="dxa"/>
            <w:tcBorders>
              <w:left w:val="single" w:color="000000" w:sz="4" w:space="0"/>
              <w:bottom w:val="single" w:color="000000" w:sz="4" w:space="0"/>
            </w:tcBorders>
            <w:vAlign w:val="center"/>
          </w:tcPr>
          <w:p w14:paraId="68F539FB">
            <w:pPr>
              <w:widowControl/>
              <w:spacing w:line="240" w:lineRule="auto"/>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516</w:t>
            </w:r>
          </w:p>
        </w:tc>
        <w:tc>
          <w:tcPr>
            <w:tcW w:w="1100" w:type="dxa"/>
            <w:tcBorders>
              <w:left w:val="single" w:color="000000" w:sz="4" w:space="0"/>
              <w:bottom w:val="single" w:color="000000" w:sz="4" w:space="0"/>
            </w:tcBorders>
            <w:vAlign w:val="center"/>
          </w:tcPr>
          <w:p w14:paraId="1C42BD30">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w:t>
            </w:r>
          </w:p>
        </w:tc>
        <w:tc>
          <w:tcPr>
            <w:tcW w:w="1180" w:type="dxa"/>
            <w:tcBorders>
              <w:left w:val="single" w:color="000000" w:sz="4" w:space="0"/>
              <w:bottom w:val="single" w:color="000000" w:sz="4" w:space="0"/>
            </w:tcBorders>
            <w:vAlign w:val="center"/>
          </w:tcPr>
          <w:p w14:paraId="370E51F7">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w:t>
            </w:r>
          </w:p>
        </w:tc>
        <w:tc>
          <w:tcPr>
            <w:tcW w:w="1660" w:type="dxa"/>
            <w:tcBorders>
              <w:left w:val="single" w:color="000000" w:sz="4" w:space="0"/>
              <w:bottom w:val="single" w:color="000000" w:sz="4" w:space="0"/>
            </w:tcBorders>
            <w:vAlign w:val="center"/>
          </w:tcPr>
          <w:p w14:paraId="44E94C52">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w:t>
            </w:r>
          </w:p>
        </w:tc>
        <w:tc>
          <w:tcPr>
            <w:tcW w:w="1490" w:type="dxa"/>
            <w:tcBorders>
              <w:left w:val="single" w:color="000000" w:sz="4" w:space="0"/>
              <w:bottom w:val="single" w:color="000000" w:sz="4" w:space="0"/>
              <w:right w:val="single" w:color="000000" w:sz="4" w:space="0"/>
            </w:tcBorders>
            <w:vAlign w:val="center"/>
          </w:tcPr>
          <w:p w14:paraId="66C03459">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w:t>
            </w:r>
          </w:p>
        </w:tc>
      </w:tr>
    </w:tbl>
    <w:p w14:paraId="33B54DE2">
      <w:pPr>
        <w:overflowPunct w:val="0"/>
        <w:spacing w:before="240" w:beforeLines="100" w:line="480" w:lineRule="auto"/>
        <w:ind w:firstLine="420"/>
        <w:jc w:val="both"/>
        <w:textAlignment w:val="auto"/>
      </w:pPr>
      <w:r>
        <w:rPr>
          <w:rFonts w:ascii="Arial" w:hAnsi="Arial" w:cs="Arial"/>
          <w:sz w:val="21"/>
          <w:szCs w:val="21"/>
        </w:rPr>
        <w:t>2.建筑结构：估价对象所属楼宇建筑结构为</w:t>
      </w:r>
      <w:r>
        <w:rPr>
          <w:rFonts w:ascii="Arial" w:hAnsi="Arial" w:cs="Arial"/>
          <w:kern w:val="2"/>
          <w:sz w:val="21"/>
          <w:szCs w:val="21"/>
        </w:rPr>
        <w:t>钢混</w:t>
      </w:r>
      <w:r>
        <w:rPr>
          <w:rFonts w:ascii="Arial" w:hAnsi="Arial" w:cs="Arial"/>
          <w:sz w:val="21"/>
          <w:szCs w:val="21"/>
        </w:rPr>
        <w:t>结构。</w:t>
      </w:r>
      <w:bookmarkStart w:id="12" w:name="OLE_LINK2"/>
      <w:bookmarkStart w:id="13" w:name="OLE_LINK3"/>
    </w:p>
    <w:p w14:paraId="6F8DB1C2">
      <w:pPr>
        <w:overflowPunct w:val="0"/>
        <w:spacing w:line="480" w:lineRule="auto"/>
        <w:ind w:firstLine="420"/>
        <w:jc w:val="both"/>
        <w:textAlignment w:val="auto"/>
        <w:rPr>
          <w:rFonts w:ascii="Arial" w:hAnsi="Arial" w:cs="Arial"/>
          <w:sz w:val="21"/>
          <w:szCs w:val="21"/>
        </w:rPr>
      </w:pPr>
      <w:r>
        <w:rPr>
          <w:rFonts w:ascii="Arial" w:hAnsi="Arial" w:cs="Arial"/>
          <w:sz w:val="21"/>
          <w:szCs w:val="21"/>
        </w:rPr>
        <w:t>3.建筑外观：</w:t>
      </w:r>
      <w:r>
        <w:rPr>
          <w:rFonts w:ascii="Arial" w:hAnsi="Arial" w:cs="Arial"/>
          <w:kern w:val="2"/>
          <w:sz w:val="21"/>
          <w:szCs w:val="21"/>
        </w:rPr>
        <w:t>亦城景园楼型</w:t>
      </w:r>
      <w:r>
        <w:rPr>
          <w:rFonts w:ascii="Arial" w:hAnsi="Arial" w:cs="Arial"/>
          <w:sz w:val="21"/>
          <w:szCs w:val="21"/>
        </w:rPr>
        <w:t>为高层板楼。</w:t>
      </w:r>
    </w:p>
    <w:p w14:paraId="5D6031B4">
      <w:pPr>
        <w:overflowPunct w:val="0"/>
        <w:spacing w:line="480" w:lineRule="auto"/>
        <w:ind w:firstLine="420"/>
        <w:jc w:val="both"/>
        <w:textAlignment w:val="auto"/>
      </w:pPr>
      <w:r>
        <w:rPr>
          <w:rFonts w:ascii="Arial" w:hAnsi="Arial" w:cs="Arial"/>
          <w:sz w:val="21"/>
          <w:szCs w:val="21"/>
        </w:rPr>
        <w:t>4.设施设备：估价对象所在项目配套设施完备，给排水、电力、电讯、暖通等齐全；防火栓、安防系统等设备齐全；配备家具家电。</w:t>
      </w:r>
    </w:p>
    <w:p w14:paraId="381E009C">
      <w:pPr>
        <w:overflowPunct w:val="0"/>
        <w:spacing w:line="480" w:lineRule="auto"/>
        <w:ind w:firstLine="420"/>
        <w:jc w:val="both"/>
        <w:textAlignment w:val="auto"/>
        <w:rPr>
          <w:rFonts w:ascii="Arial" w:hAnsi="Arial" w:cs="Arial"/>
          <w:sz w:val="21"/>
          <w:szCs w:val="21"/>
        </w:rPr>
      </w:pPr>
      <w:r>
        <w:rPr>
          <w:rFonts w:ascii="Arial" w:hAnsi="Arial" w:cs="Arial"/>
          <w:sz w:val="21"/>
          <w:szCs w:val="21"/>
        </w:rPr>
        <w:t>5.装饰装修：根据估价委托人介绍及估价人员实地查勘，估价对象</w:t>
      </w:r>
      <w:r>
        <w:rPr>
          <w:rFonts w:ascii="Arial" w:hAnsi="Arial" w:cs="Arial"/>
          <w:kern w:val="2"/>
          <w:sz w:val="21"/>
          <w:szCs w:val="21"/>
        </w:rPr>
        <w:t>杰出人才公寓为精装修、领军人才公寓为简单装修</w:t>
      </w:r>
      <w:r>
        <w:rPr>
          <w:rFonts w:ascii="Arial" w:hAnsi="Arial" w:cs="Arial"/>
          <w:sz w:val="21"/>
          <w:szCs w:val="21"/>
        </w:rPr>
        <w:t>，外立面喷涂料，公共部分首层地面贴砖，顶棚、墙面刷涂料。室内装修杰出人才公寓为：室内地面地砖，墙面刷涂料、墙纸、电视墙，顶棚石膏吊顶；厨房地面地砖，墙面为墙砖，顶棚为铝扣板，配整体橱柜；卫生间地面地砖，墙面为墙砖，顶棚为铝扣板，配淋浴间，室内装修领军人才公寓为：室内地面地砖，墙面刷涂料，顶棚刷涂料；厨房地面地砖，墙面为墙砖，顶棚为铝扣板，配简易橱柜；卫生间地面地砖，墙面为墙砖，顶棚为铝扣板。</w:t>
      </w:r>
    </w:p>
    <w:p w14:paraId="2078C6C3">
      <w:pPr>
        <w:spacing w:line="480" w:lineRule="auto"/>
        <w:ind w:firstLine="420"/>
        <w:rPr>
          <w:rFonts w:ascii="Arial" w:hAnsi="Arial" w:cs="Arial"/>
          <w:sz w:val="21"/>
          <w:szCs w:val="21"/>
        </w:rPr>
      </w:pPr>
      <w:r>
        <w:rPr>
          <w:rFonts w:ascii="Arial" w:hAnsi="Arial" w:cs="Arial"/>
          <w:sz w:val="21"/>
          <w:szCs w:val="21"/>
        </w:rPr>
        <w:t>6.新旧程度：估价对象观察成新度较高，建成年代较近，成新度较高。</w:t>
      </w:r>
    </w:p>
    <w:p w14:paraId="1C74B0B2">
      <w:pPr>
        <w:spacing w:line="480" w:lineRule="auto"/>
        <w:ind w:firstLine="420"/>
        <w:rPr>
          <w:rFonts w:ascii="Arial" w:hAnsi="Arial" w:cs="Arial"/>
          <w:sz w:val="21"/>
          <w:szCs w:val="21"/>
        </w:rPr>
      </w:pPr>
      <w:r>
        <w:rPr>
          <w:rFonts w:ascii="Arial" w:hAnsi="Arial" w:cs="Arial"/>
          <w:sz w:val="21"/>
          <w:szCs w:val="21"/>
        </w:rPr>
        <w:t>7.户型设计：E18</w:t>
      </w:r>
      <w:r>
        <w:rPr>
          <w:rFonts w:hint="eastAsia" w:ascii="Arial" w:hAnsi="Arial" w:cs="Arial"/>
          <w:sz w:val="21"/>
          <w:szCs w:val="21"/>
        </w:rPr>
        <w:t>亦城景园国际人才公寓</w:t>
      </w:r>
      <w:r>
        <w:rPr>
          <w:rFonts w:ascii="Arial" w:hAnsi="Arial" w:cs="Arial"/>
          <w:sz w:val="21"/>
          <w:szCs w:val="21"/>
        </w:rPr>
        <w:t>有两种户型，分别为一居室、两居室。其中，一居室共</w:t>
      </w:r>
      <w:r>
        <w:rPr>
          <w:rFonts w:hint="eastAsia" w:ascii="Arial" w:hAnsi="Arial" w:cs="Arial"/>
          <w:sz w:val="21"/>
          <w:szCs w:val="21"/>
        </w:rPr>
        <w:t>104</w:t>
      </w:r>
      <w:r>
        <w:rPr>
          <w:rFonts w:ascii="Arial" w:hAnsi="Arial" w:cs="Arial"/>
          <w:sz w:val="21"/>
          <w:szCs w:val="21"/>
        </w:rPr>
        <w:t>套，面积控制在69</w:t>
      </w:r>
      <w:r>
        <w:rPr>
          <w:rFonts w:hint="eastAsia" w:ascii="Arial" w:hAnsi="Arial" w:cs="Arial"/>
          <w:sz w:val="21"/>
          <w:szCs w:val="21"/>
        </w:rPr>
        <w:t>.62</w:t>
      </w:r>
      <w:r>
        <w:rPr>
          <w:rFonts w:ascii="Arial" w:hAnsi="Arial" w:cs="Arial"/>
          <w:sz w:val="21"/>
          <w:szCs w:val="21"/>
        </w:rPr>
        <w:t>-</w:t>
      </w:r>
      <w:r>
        <w:rPr>
          <w:rFonts w:hint="eastAsia" w:ascii="Arial" w:hAnsi="Arial" w:cs="Arial"/>
          <w:sz w:val="21"/>
          <w:szCs w:val="21"/>
        </w:rPr>
        <w:t>69.80</w:t>
      </w:r>
      <w:r>
        <w:rPr>
          <w:rFonts w:ascii="Arial" w:hAnsi="Arial" w:cs="Arial"/>
          <w:sz w:val="21"/>
          <w:szCs w:val="21"/>
        </w:rPr>
        <w:t>平方米；</w:t>
      </w:r>
      <w:r>
        <w:rPr>
          <w:rFonts w:hint="eastAsia" w:ascii="Arial" w:hAnsi="Arial" w:cs="Arial"/>
          <w:sz w:val="21"/>
          <w:szCs w:val="21"/>
        </w:rPr>
        <w:t>两居室</w:t>
      </w:r>
      <w:r>
        <w:rPr>
          <w:rFonts w:ascii="Arial" w:hAnsi="Arial" w:cs="Arial"/>
          <w:sz w:val="21"/>
          <w:szCs w:val="21"/>
        </w:rPr>
        <w:t>共41</w:t>
      </w:r>
      <w:r>
        <w:rPr>
          <w:rFonts w:hint="eastAsia" w:ascii="Arial" w:hAnsi="Arial" w:cs="Arial"/>
          <w:sz w:val="21"/>
          <w:szCs w:val="21"/>
        </w:rPr>
        <w:t>2</w:t>
      </w:r>
      <w:r>
        <w:rPr>
          <w:rFonts w:ascii="Arial" w:hAnsi="Arial" w:cs="Arial"/>
          <w:sz w:val="21"/>
          <w:szCs w:val="21"/>
        </w:rPr>
        <w:t>套，面积控制在</w:t>
      </w:r>
      <w:r>
        <w:rPr>
          <w:rFonts w:hint="eastAsia" w:ascii="Arial" w:hAnsi="Arial" w:cs="Arial"/>
          <w:sz w:val="21"/>
          <w:szCs w:val="21"/>
        </w:rPr>
        <w:t>88.41</w:t>
      </w:r>
      <w:r>
        <w:rPr>
          <w:rFonts w:ascii="Arial" w:hAnsi="Arial" w:cs="Arial"/>
          <w:sz w:val="21"/>
          <w:szCs w:val="21"/>
        </w:rPr>
        <w:t>-</w:t>
      </w:r>
      <w:r>
        <w:rPr>
          <w:rFonts w:hint="eastAsia" w:ascii="Arial" w:hAnsi="Arial" w:cs="Arial"/>
          <w:sz w:val="21"/>
          <w:szCs w:val="21"/>
        </w:rPr>
        <w:t>92.39</w:t>
      </w:r>
      <w:r>
        <w:rPr>
          <w:rFonts w:ascii="Arial" w:hAnsi="Arial" w:cs="Arial"/>
          <w:sz w:val="21"/>
          <w:szCs w:val="21"/>
        </w:rPr>
        <w:t>平方米。</w:t>
      </w:r>
    </w:p>
    <w:p w14:paraId="05CC0979">
      <w:pPr>
        <w:spacing w:line="480" w:lineRule="auto"/>
        <w:ind w:firstLine="420"/>
      </w:pPr>
      <w:r>
        <w:rPr>
          <w:rFonts w:ascii="Arial" w:hAnsi="Arial" w:cs="Arial"/>
          <w:sz w:val="21"/>
          <w:szCs w:val="21"/>
        </w:rPr>
        <w:t>8.朝向：朝向为南北、南，以朝南为主。</w:t>
      </w:r>
    </w:p>
    <w:bookmarkEnd w:id="12"/>
    <w:bookmarkEnd w:id="13"/>
    <w:p w14:paraId="51FD08C3">
      <w:pPr>
        <w:spacing w:line="480" w:lineRule="auto"/>
      </w:pPr>
      <w:r>
        <w:rPr>
          <w:rFonts w:ascii="Arial" w:hAnsi="Arial" w:cs="Arial"/>
          <w:b/>
          <w:kern w:val="2"/>
          <w:sz w:val="21"/>
          <w:szCs w:val="21"/>
        </w:rPr>
        <w:t>（四）对价格影响的分析</w:t>
      </w:r>
    </w:p>
    <w:p w14:paraId="57EEEEEA">
      <w:pPr>
        <w:spacing w:line="480" w:lineRule="auto"/>
        <w:ind w:firstLine="420"/>
        <w:rPr>
          <w:rFonts w:ascii="Arial" w:hAnsi="Arial" w:cs="Arial"/>
          <w:sz w:val="21"/>
          <w:szCs w:val="21"/>
        </w:rPr>
      </w:pPr>
      <w:r>
        <w:rPr>
          <w:rFonts w:ascii="Arial" w:hAnsi="Arial" w:cs="Arial"/>
          <w:sz w:val="21"/>
          <w:szCs w:val="21"/>
        </w:rPr>
        <w:t>估价对象作为住宅使用，通用性相对较好，能完全满足大部分</w:t>
      </w:r>
      <w:r>
        <w:rPr>
          <w:rFonts w:hint="eastAsia" w:ascii="Arial" w:hAnsi="Arial" w:cs="Arial"/>
          <w:sz w:val="21"/>
          <w:szCs w:val="21"/>
        </w:rPr>
        <w:t>承</w:t>
      </w:r>
      <w:r>
        <w:rPr>
          <w:rFonts w:ascii="Arial" w:hAnsi="Arial" w:cs="Arial"/>
          <w:sz w:val="21"/>
          <w:szCs w:val="21"/>
        </w:rPr>
        <w:t>租者的需求，</w:t>
      </w:r>
      <w:r>
        <w:rPr>
          <w:rFonts w:hint="eastAsia" w:ascii="Arial" w:hAnsi="Arial" w:cs="Arial"/>
          <w:sz w:val="21"/>
          <w:szCs w:val="21"/>
        </w:rPr>
        <w:t>基本不</w:t>
      </w:r>
      <w:r>
        <w:rPr>
          <w:rFonts w:ascii="Arial" w:hAnsi="Arial" w:cs="Arial"/>
          <w:sz w:val="21"/>
          <w:szCs w:val="21"/>
        </w:rPr>
        <w:t>影响其租金价格水平。</w:t>
      </w:r>
    </w:p>
    <w:p w14:paraId="7DE3F277">
      <w:pPr>
        <w:spacing w:line="480" w:lineRule="auto"/>
        <w:rPr>
          <w:rFonts w:ascii="Arial" w:hAnsi="Arial" w:cs="Arial"/>
          <w:b/>
          <w:kern w:val="2"/>
          <w:sz w:val="21"/>
          <w:szCs w:val="21"/>
        </w:rPr>
      </w:pPr>
      <w:r>
        <w:rPr>
          <w:rFonts w:ascii="Arial" w:hAnsi="Arial" w:cs="Arial"/>
          <w:b/>
          <w:kern w:val="2"/>
          <w:sz w:val="21"/>
          <w:szCs w:val="21"/>
        </w:rPr>
        <w:t>（五）他项权利状况</w:t>
      </w:r>
    </w:p>
    <w:p w14:paraId="3726188E">
      <w:pPr>
        <w:spacing w:line="480" w:lineRule="auto"/>
        <w:ind w:firstLine="420"/>
        <w:rPr>
          <w:rFonts w:ascii="Arial" w:hAnsi="Arial" w:cs="Arial"/>
          <w:sz w:val="21"/>
          <w:szCs w:val="21"/>
        </w:rPr>
      </w:pPr>
      <w:r>
        <w:rPr>
          <w:rFonts w:hint="eastAsia" w:ascii="Arial" w:hAnsi="Arial" w:cs="Arial"/>
          <w:sz w:val="21"/>
          <w:szCs w:val="21"/>
        </w:rPr>
        <w:t>1.根据注册房地产估价师实地查勘及领勘人介绍，于价值时点，估价对象部分已公开配租，结合本次估价目的，未考虑现有租约对估价结果的影响。</w:t>
      </w:r>
    </w:p>
    <w:p w14:paraId="60E1BADD">
      <w:pPr>
        <w:spacing w:line="480" w:lineRule="auto"/>
        <w:ind w:firstLine="420"/>
        <w:rPr>
          <w:rFonts w:ascii="Arial" w:hAnsi="Arial" w:cs="Arial"/>
          <w:sz w:val="21"/>
          <w:szCs w:val="21"/>
        </w:rPr>
      </w:pPr>
      <w:r>
        <w:rPr>
          <w:rFonts w:hint="eastAsia" w:ascii="Arial" w:hAnsi="Arial" w:cs="Arial"/>
          <w:sz w:val="21"/>
          <w:szCs w:val="21"/>
        </w:rPr>
        <w:t>2.经建设单位介绍，估价对象于价值时点不存在抵押权、地役权、查封等他项权利，根据估价目的，本次评估设定估价对象于价值时点不存在抵押权、地役权、查封等他项权利。</w:t>
      </w:r>
    </w:p>
    <w:p w14:paraId="2ECC7A94">
      <w:pPr>
        <w:spacing w:line="480" w:lineRule="auto"/>
        <w:rPr>
          <w:rFonts w:ascii="Arial" w:hAnsi="Arial" w:cs="Arial"/>
          <w:sz w:val="21"/>
          <w:szCs w:val="21"/>
        </w:rPr>
      </w:pPr>
    </w:p>
    <w:p w14:paraId="28AE4F88">
      <w:pPr>
        <w:pStyle w:val="3"/>
        <w:numPr>
          <w:ilvl w:val="0"/>
          <w:numId w:val="0"/>
        </w:numPr>
        <w:overflowPunct w:val="0"/>
        <w:spacing w:line="480" w:lineRule="auto"/>
        <w:ind w:left="357" w:hanging="357"/>
        <w:jc w:val="both"/>
        <w:textAlignment w:val="auto"/>
        <w:rPr>
          <w:rFonts w:eastAsia="宋体;SimSun"/>
          <w:kern w:val="2"/>
          <w:sz w:val="21"/>
          <w:szCs w:val="21"/>
        </w:rPr>
      </w:pPr>
      <w:bookmarkStart w:id="14" w:name="_Toc155340486"/>
      <w:r>
        <w:rPr>
          <w:rFonts w:eastAsia="宋体;SimSun"/>
          <w:kern w:val="2"/>
          <w:sz w:val="21"/>
          <w:szCs w:val="21"/>
        </w:rPr>
        <w:t>五、价值时点</w:t>
      </w:r>
      <w:bookmarkEnd w:id="14"/>
    </w:p>
    <w:p w14:paraId="37F22370">
      <w:pPr>
        <w:overflowPunct w:val="0"/>
        <w:spacing w:line="480" w:lineRule="auto"/>
        <w:ind w:firstLine="420"/>
        <w:jc w:val="both"/>
        <w:textAlignment w:val="auto"/>
        <w:rPr>
          <w:rFonts w:ascii="Arial" w:hAnsi="Arial" w:cs="Arial"/>
          <w:sz w:val="21"/>
          <w:szCs w:val="21"/>
        </w:rPr>
      </w:pPr>
      <w:r>
        <w:rPr>
          <w:rFonts w:hint="eastAsia" w:ascii="Arial" w:hAnsi="Arial" w:cs="Arial"/>
          <w:sz w:val="21"/>
          <w:szCs w:val="21"/>
        </w:rPr>
        <w:t>2025年10月1日</w:t>
      </w:r>
      <w:r>
        <w:rPr>
          <w:rFonts w:ascii="Arial" w:hAnsi="Arial" w:cs="Arial"/>
          <w:sz w:val="21"/>
          <w:szCs w:val="21"/>
        </w:rPr>
        <w:t>（根据《估价委托书》确定）</w:t>
      </w:r>
    </w:p>
    <w:p w14:paraId="06E3DF36">
      <w:pPr>
        <w:overflowPunct w:val="0"/>
        <w:spacing w:line="480" w:lineRule="auto"/>
        <w:ind w:firstLine="420"/>
        <w:jc w:val="both"/>
        <w:textAlignment w:val="auto"/>
        <w:rPr>
          <w:rFonts w:ascii="Arial" w:hAnsi="Arial" w:cs="Arial"/>
          <w:sz w:val="21"/>
          <w:szCs w:val="21"/>
        </w:rPr>
      </w:pPr>
    </w:p>
    <w:p w14:paraId="7D447BBA">
      <w:pPr>
        <w:pStyle w:val="3"/>
        <w:numPr>
          <w:ilvl w:val="0"/>
          <w:numId w:val="0"/>
        </w:numPr>
        <w:overflowPunct w:val="0"/>
        <w:spacing w:line="480" w:lineRule="auto"/>
        <w:ind w:left="357" w:hanging="357"/>
        <w:jc w:val="both"/>
        <w:textAlignment w:val="auto"/>
        <w:rPr>
          <w:rFonts w:eastAsia="宋体;SimSun"/>
          <w:kern w:val="2"/>
          <w:sz w:val="21"/>
          <w:szCs w:val="21"/>
        </w:rPr>
      </w:pPr>
      <w:bookmarkStart w:id="15" w:name="_Toc155340487"/>
      <w:r>
        <w:rPr>
          <w:rFonts w:eastAsia="宋体;SimSun"/>
          <w:kern w:val="2"/>
          <w:sz w:val="21"/>
          <w:szCs w:val="21"/>
        </w:rPr>
        <w:t>六、价值类型</w:t>
      </w:r>
      <w:bookmarkEnd w:id="15"/>
    </w:p>
    <w:p w14:paraId="745801A2">
      <w:pPr>
        <w:spacing w:line="480" w:lineRule="auto"/>
        <w:rPr>
          <w:rFonts w:ascii="Arial" w:hAnsi="Arial" w:cs="Arial"/>
          <w:b/>
          <w:kern w:val="2"/>
          <w:sz w:val="21"/>
          <w:szCs w:val="21"/>
        </w:rPr>
      </w:pPr>
      <w:r>
        <w:rPr>
          <w:rFonts w:ascii="Arial" w:hAnsi="Arial" w:cs="Arial"/>
          <w:b/>
          <w:kern w:val="2"/>
          <w:sz w:val="21"/>
          <w:szCs w:val="21"/>
        </w:rPr>
        <w:t>（一）价值类型</w:t>
      </w:r>
    </w:p>
    <w:p w14:paraId="4C463131">
      <w:pPr>
        <w:overflowPunct w:val="0"/>
        <w:spacing w:line="480" w:lineRule="auto"/>
        <w:ind w:firstLine="420"/>
        <w:jc w:val="both"/>
        <w:textAlignment w:val="auto"/>
      </w:pPr>
      <w:r>
        <w:rPr>
          <w:rFonts w:ascii="Arial" w:hAnsi="Arial" w:cs="Arial"/>
          <w:sz w:val="21"/>
          <w:szCs w:val="21"/>
        </w:rPr>
        <w:t>根据房地产评估的技术规程和本次估价目的，本次估价采用的是市场价值标准。估价结果中的房地产租金价格是指估价对象在估价时段（</w:t>
      </w:r>
      <w:r>
        <w:rPr>
          <w:rFonts w:hint="eastAsia" w:ascii="Arial" w:hAnsi="Arial" w:cs="Arial"/>
          <w:sz w:val="21"/>
          <w:szCs w:val="21"/>
        </w:rPr>
        <w:t>2024年10月1日至2025年9月30日</w:t>
      </w:r>
      <w:r>
        <w:rPr>
          <w:rFonts w:ascii="Arial" w:hAnsi="Arial" w:cs="Arial"/>
          <w:sz w:val="21"/>
          <w:szCs w:val="21"/>
        </w:rPr>
        <w:t>）规划利用条件及下述设定条件下的市场平均租金价格：</w:t>
      </w:r>
      <w:r>
        <w:rPr>
          <w:rFonts w:ascii="Arial" w:hAnsi="Arial" w:eastAsia="Arial" w:cs="Arial"/>
          <w:sz w:val="21"/>
          <w:szCs w:val="21"/>
        </w:rPr>
        <w:t xml:space="preserve"> </w:t>
      </w:r>
    </w:p>
    <w:p w14:paraId="300BFA5B">
      <w:pPr>
        <w:overflowPunct w:val="0"/>
        <w:spacing w:line="480" w:lineRule="auto"/>
        <w:ind w:firstLine="420"/>
        <w:jc w:val="both"/>
      </w:pPr>
      <w:r>
        <w:rPr>
          <w:rFonts w:hint="eastAsia" w:ascii="Arial" w:hAnsi="Arial" w:eastAsia="宋体" w:cs="Arial"/>
          <w:sz w:val="21"/>
          <w:szCs w:val="21"/>
        </w:rPr>
        <w:t>项目同地段、同类型的普通住房在估价时段的市场租赁平均价格，包括地租、房屋折旧、家具及家电租赁费、设备折旧、维修费、保险费、物业费、管理费、利息、利润等；不含供暖费、水电费、天然气费、通信费、有线电视费、上网宽带费和租赁税费等。</w:t>
      </w:r>
      <w:r>
        <w:rPr>
          <w:rFonts w:ascii="Arial" w:hAnsi="Arial" w:eastAsia="Arial" w:cs="Arial"/>
          <w:sz w:val="21"/>
          <w:szCs w:val="21"/>
        </w:rPr>
        <w:t xml:space="preserve"> </w:t>
      </w:r>
    </w:p>
    <w:p w14:paraId="7C46D5FD">
      <w:pPr>
        <w:overflowPunct w:val="0"/>
        <w:spacing w:line="480" w:lineRule="auto"/>
        <w:ind w:firstLine="420"/>
        <w:jc w:val="both"/>
      </w:pPr>
      <w:r>
        <w:rPr>
          <w:rFonts w:ascii="Arial" w:hAnsi="Arial" w:cs="Arial"/>
          <w:sz w:val="21"/>
          <w:szCs w:val="21"/>
        </w:rPr>
        <w:t>（1）同地段是指按照就近原则，能够满足租赁住房项目市场租金评估所需要的可比小区数量所形成的同质区域。</w:t>
      </w:r>
      <w:r>
        <w:rPr>
          <w:rFonts w:ascii="Arial" w:hAnsi="Arial" w:eastAsia="Arial" w:cs="Arial"/>
          <w:sz w:val="21"/>
          <w:szCs w:val="21"/>
        </w:rPr>
        <w:t xml:space="preserve"> </w:t>
      </w:r>
    </w:p>
    <w:p w14:paraId="4AC9245D">
      <w:pPr>
        <w:overflowPunct w:val="0"/>
        <w:spacing w:line="480" w:lineRule="auto"/>
        <w:ind w:firstLine="420"/>
        <w:jc w:val="both"/>
        <w:rPr>
          <w:rFonts w:ascii="Arial" w:hAnsi="Arial" w:cs="Arial"/>
          <w:sz w:val="21"/>
          <w:szCs w:val="21"/>
        </w:rPr>
      </w:pPr>
      <w:r>
        <w:rPr>
          <w:rFonts w:ascii="Arial" w:hAnsi="Arial" w:cs="Arial"/>
          <w:sz w:val="21"/>
          <w:szCs w:val="21"/>
        </w:rPr>
        <w:t>（2）同类型是指使用功能、建筑结构、面积、户型、装修、家具家电设备及周边环境与配套相同或相似的住房。</w:t>
      </w:r>
    </w:p>
    <w:p w14:paraId="6BB544FC">
      <w:pPr>
        <w:overflowPunct w:val="0"/>
        <w:spacing w:line="480" w:lineRule="auto"/>
        <w:ind w:firstLine="420"/>
        <w:jc w:val="both"/>
        <w:textAlignment w:val="auto"/>
        <w:rPr>
          <w:rFonts w:ascii="Arial" w:hAnsi="Arial" w:cs="Arial"/>
          <w:sz w:val="21"/>
          <w:szCs w:val="21"/>
        </w:rPr>
      </w:pPr>
      <w:r>
        <w:rPr>
          <w:rFonts w:ascii="Arial" w:hAnsi="Arial" w:cs="Arial"/>
          <w:sz w:val="21"/>
          <w:szCs w:val="21"/>
        </w:rPr>
        <w:t>（3）估价时段是指价值时点前一年（</w:t>
      </w:r>
      <w:r>
        <w:rPr>
          <w:rFonts w:hint="eastAsia" w:ascii="Arial" w:hAnsi="Arial" w:cs="Arial"/>
          <w:sz w:val="21"/>
          <w:szCs w:val="21"/>
        </w:rPr>
        <w:t>2024年10月1日至2025年9月30日</w:t>
      </w:r>
      <w:r>
        <w:rPr>
          <w:rFonts w:ascii="Arial" w:hAnsi="Arial" w:cs="Arial"/>
          <w:sz w:val="21"/>
          <w:szCs w:val="21"/>
        </w:rPr>
        <w:t>）。</w:t>
      </w:r>
    </w:p>
    <w:p w14:paraId="29541FC5">
      <w:pPr>
        <w:spacing w:line="480" w:lineRule="auto"/>
        <w:rPr>
          <w:rFonts w:ascii="Arial" w:hAnsi="Arial" w:cs="Arial"/>
          <w:b/>
          <w:kern w:val="2"/>
          <w:sz w:val="21"/>
          <w:szCs w:val="21"/>
        </w:rPr>
      </w:pPr>
      <w:r>
        <w:rPr>
          <w:rFonts w:ascii="Arial" w:hAnsi="Arial" w:cs="Arial"/>
          <w:b/>
          <w:kern w:val="2"/>
          <w:sz w:val="21"/>
          <w:szCs w:val="21"/>
        </w:rPr>
        <w:t>（二）设定条件</w:t>
      </w:r>
    </w:p>
    <w:p w14:paraId="53900620">
      <w:pPr>
        <w:spacing w:line="480" w:lineRule="auto"/>
        <w:ind w:firstLine="420"/>
        <w:rPr>
          <w:rFonts w:ascii="Arial" w:hAnsi="Arial" w:cs="Arial"/>
          <w:sz w:val="21"/>
          <w:szCs w:val="21"/>
        </w:rPr>
      </w:pPr>
      <w:r>
        <w:rPr>
          <w:rFonts w:ascii="Arial" w:hAnsi="Arial" w:cs="Arial"/>
          <w:sz w:val="21"/>
          <w:szCs w:val="21"/>
        </w:rPr>
        <w:t>估价结果中的房地产租金价格是指估价对象</w:t>
      </w:r>
      <w:r>
        <w:rPr>
          <w:rFonts w:hint="eastAsia" w:ascii="Arial" w:hAnsi="Arial" w:cs="Arial"/>
          <w:sz w:val="21"/>
          <w:szCs w:val="21"/>
        </w:rPr>
        <w:t>房地产于价值时点2025年10月1日前一年内（2024年10月1日至2025年9月30日）的估价时段内，</w:t>
      </w:r>
      <w:r>
        <w:rPr>
          <w:rFonts w:ascii="Arial" w:hAnsi="Arial" w:cs="Arial"/>
          <w:sz w:val="21"/>
          <w:szCs w:val="21"/>
        </w:rPr>
        <w:t>估价对象在规划利用条件及下述设定条件下的市场平均租金价格：</w:t>
      </w:r>
    </w:p>
    <w:p w14:paraId="1A582463">
      <w:pPr>
        <w:spacing w:line="480" w:lineRule="auto"/>
        <w:ind w:firstLine="420"/>
        <w:rPr>
          <w:rFonts w:ascii="Arial" w:hAnsi="Arial" w:cs="Arial"/>
          <w:sz w:val="21"/>
          <w:szCs w:val="21"/>
        </w:rPr>
      </w:pPr>
      <w:r>
        <w:rPr>
          <w:rFonts w:ascii="Arial" w:hAnsi="Arial" w:cs="Arial"/>
          <w:sz w:val="21"/>
          <w:szCs w:val="21"/>
        </w:rPr>
        <w:t>1. 估价结果为项目同地段、同类型普通住宅前12个月（</w:t>
      </w:r>
      <w:r>
        <w:rPr>
          <w:rFonts w:hint="eastAsia" w:ascii="Arial" w:hAnsi="Arial" w:cs="Arial"/>
          <w:sz w:val="21"/>
          <w:szCs w:val="21"/>
        </w:rPr>
        <w:t>2024年10月1日至2025年9月30日</w:t>
      </w:r>
      <w:r>
        <w:rPr>
          <w:rFonts w:ascii="Arial" w:hAnsi="Arial" w:cs="Arial"/>
          <w:sz w:val="21"/>
          <w:szCs w:val="21"/>
        </w:rPr>
        <w:t>）的市场平均月租金价格；</w:t>
      </w:r>
    </w:p>
    <w:p w14:paraId="397EBFB5">
      <w:pPr>
        <w:spacing w:line="480" w:lineRule="auto"/>
        <w:ind w:firstLine="420"/>
        <w:rPr>
          <w:rFonts w:ascii="Arial" w:hAnsi="Arial" w:cs="Arial"/>
          <w:sz w:val="21"/>
          <w:szCs w:val="21"/>
        </w:rPr>
      </w:pPr>
      <w:r>
        <w:rPr>
          <w:rFonts w:ascii="Arial" w:hAnsi="Arial" w:cs="Arial"/>
          <w:sz w:val="21"/>
          <w:szCs w:val="21"/>
        </w:rPr>
        <w:t>2.估价对象所在区域是指与估价对象地理位置比较接近或者一致，基础设施、环境条件、规划条件、配套服务设施等情况基本相同的区域；</w:t>
      </w:r>
    </w:p>
    <w:p w14:paraId="59B3F141">
      <w:pPr>
        <w:spacing w:line="480" w:lineRule="auto"/>
        <w:ind w:firstLine="420"/>
        <w:rPr>
          <w:rFonts w:ascii="Arial" w:hAnsi="Arial" w:cs="Arial"/>
          <w:sz w:val="21"/>
          <w:szCs w:val="21"/>
        </w:rPr>
      </w:pPr>
      <w:r>
        <w:rPr>
          <w:rFonts w:ascii="Arial" w:hAnsi="Arial" w:cs="Arial"/>
          <w:sz w:val="21"/>
          <w:szCs w:val="21"/>
        </w:rPr>
        <w:t>3.同地段、同类型住房是指普通住宅，含普通商品住宅、限价商品住房等；</w:t>
      </w:r>
    </w:p>
    <w:p w14:paraId="6B3D34FE">
      <w:pPr>
        <w:spacing w:line="480" w:lineRule="auto"/>
        <w:ind w:firstLine="420"/>
        <w:rPr>
          <w:rFonts w:ascii="Arial" w:hAnsi="Arial" w:cs="Arial"/>
          <w:kern w:val="2"/>
          <w:sz w:val="21"/>
          <w:szCs w:val="21"/>
        </w:rPr>
      </w:pPr>
      <w:r>
        <w:rPr>
          <w:rFonts w:ascii="Arial" w:hAnsi="Arial" w:cs="Arial"/>
          <w:sz w:val="21"/>
          <w:szCs w:val="21"/>
        </w:rPr>
        <w:t>4.</w:t>
      </w:r>
      <w:r>
        <w:rPr>
          <w:rFonts w:hint="eastAsia" w:ascii="Arial" w:hAnsi="Arial" w:eastAsia="宋体" w:cs="Arial"/>
          <w:sz w:val="21"/>
          <w:szCs w:val="21"/>
        </w:rPr>
        <w:t>本次估价采取标准房进行评估设定，标准房是指参照被评估公共租赁住房项目的户型、面积、</w:t>
      </w:r>
      <w:r>
        <w:rPr>
          <w:rFonts w:hint="eastAsia" w:ascii="Arial" w:hAnsi="Arial" w:cs="Arial"/>
          <w:sz w:val="21"/>
          <w:szCs w:val="21"/>
        </w:rPr>
        <w:t>朝向、楼层、装修及设备等因素按照众数原则设定的房屋状况。</w:t>
      </w:r>
      <w:r>
        <w:rPr>
          <w:rFonts w:ascii="Arial" w:hAnsi="Arial" w:cs="Arial"/>
          <w:kern w:val="2"/>
          <w:sz w:val="21"/>
          <w:szCs w:val="21"/>
        </w:rPr>
        <w:t>估价对象</w:t>
      </w:r>
      <w:r>
        <w:rPr>
          <w:rFonts w:hint="eastAsia" w:ascii="Arial" w:hAnsi="Arial" w:cs="Arial"/>
          <w:kern w:val="2"/>
          <w:sz w:val="21"/>
          <w:szCs w:val="21"/>
        </w:rPr>
        <w:t>标准房设定为</w:t>
      </w:r>
      <w:r>
        <w:rPr>
          <w:rFonts w:ascii="Arial" w:hAnsi="Arial" w:cs="Arial"/>
          <w:kern w:val="2"/>
          <w:sz w:val="21"/>
          <w:szCs w:val="21"/>
        </w:rPr>
        <w:t>户型为</w:t>
      </w:r>
      <w:r>
        <w:rPr>
          <w:rFonts w:hint="eastAsia" w:ascii="Arial" w:hAnsi="Arial" w:cs="Arial"/>
          <w:kern w:val="2"/>
          <w:sz w:val="21"/>
          <w:szCs w:val="21"/>
        </w:rPr>
        <w:t>两居室</w:t>
      </w:r>
      <w:r>
        <w:rPr>
          <w:rFonts w:ascii="Arial" w:hAnsi="Arial" w:cs="Arial"/>
          <w:kern w:val="2"/>
          <w:sz w:val="21"/>
          <w:szCs w:val="21"/>
        </w:rPr>
        <w:t>，面积为</w:t>
      </w:r>
      <w:r>
        <w:rPr>
          <w:rFonts w:hint="eastAsia" w:ascii="Arial" w:hAnsi="Arial" w:cs="Arial"/>
          <w:kern w:val="2"/>
          <w:sz w:val="21"/>
          <w:szCs w:val="21"/>
        </w:rPr>
        <w:t>89.62</w:t>
      </w:r>
      <w:r>
        <w:rPr>
          <w:rFonts w:ascii="Arial" w:hAnsi="Arial" w:cs="Arial"/>
          <w:kern w:val="2"/>
          <w:sz w:val="21"/>
          <w:szCs w:val="21"/>
        </w:rPr>
        <w:t>平方米，朝向为南，装修情况为</w:t>
      </w:r>
      <w:r>
        <w:rPr>
          <w:rFonts w:hint="eastAsia" w:ascii="Arial" w:hAnsi="Arial" w:cs="Arial"/>
          <w:kern w:val="2"/>
          <w:sz w:val="21"/>
          <w:szCs w:val="21"/>
        </w:rPr>
        <w:t>简单装修</w:t>
      </w:r>
      <w:r>
        <w:rPr>
          <w:rFonts w:ascii="Arial" w:hAnsi="Arial" w:cs="Arial"/>
          <w:kern w:val="2"/>
          <w:sz w:val="21"/>
          <w:szCs w:val="21"/>
        </w:rPr>
        <w:t>的普通商品住宅房地产。</w:t>
      </w:r>
    </w:p>
    <w:p w14:paraId="18F773DC">
      <w:pPr>
        <w:spacing w:line="480" w:lineRule="auto"/>
        <w:ind w:firstLine="420"/>
        <w:rPr>
          <w:rFonts w:ascii="Arial" w:hAnsi="Arial" w:cs="Arial"/>
          <w:sz w:val="21"/>
          <w:szCs w:val="21"/>
        </w:rPr>
      </w:pPr>
      <w:r>
        <w:rPr>
          <w:rFonts w:ascii="Arial" w:hAnsi="Arial" w:cs="Arial"/>
          <w:sz w:val="21"/>
          <w:szCs w:val="21"/>
        </w:rPr>
        <w:t>5.租金估价结果</w:t>
      </w:r>
      <w:r>
        <w:rPr>
          <w:rFonts w:hint="eastAsia" w:ascii="Arial" w:hAnsi="Arial" w:cs="Arial"/>
          <w:sz w:val="21"/>
          <w:szCs w:val="21"/>
        </w:rPr>
        <w:t>包括地租、房屋折旧、家具及家电租赁费、设备折旧、维修费、保险费、物业费、管理费、利息、利润等；不含供暖费、水电费、天然气费、通信费、有线电视费、上网宽带费和租赁税费等</w:t>
      </w:r>
      <w:r>
        <w:rPr>
          <w:rFonts w:ascii="Arial" w:hAnsi="Arial" w:cs="Arial"/>
          <w:sz w:val="21"/>
          <w:szCs w:val="21"/>
        </w:rPr>
        <w:t>。</w:t>
      </w:r>
    </w:p>
    <w:p w14:paraId="6D41DDC4">
      <w:pPr>
        <w:spacing w:line="480" w:lineRule="auto"/>
        <w:ind w:firstLine="420"/>
        <w:rPr>
          <w:rFonts w:ascii="Arial" w:hAnsi="Arial" w:cs="Arial"/>
          <w:sz w:val="21"/>
          <w:szCs w:val="21"/>
        </w:rPr>
      </w:pPr>
    </w:p>
    <w:p w14:paraId="670E1200">
      <w:pPr>
        <w:pStyle w:val="3"/>
        <w:numPr>
          <w:ilvl w:val="0"/>
          <w:numId w:val="0"/>
        </w:numPr>
        <w:overflowPunct w:val="0"/>
        <w:spacing w:line="480" w:lineRule="auto"/>
        <w:ind w:left="357" w:hanging="357"/>
        <w:jc w:val="both"/>
        <w:textAlignment w:val="auto"/>
        <w:rPr>
          <w:rFonts w:eastAsia="宋体;SimSun"/>
          <w:kern w:val="2"/>
          <w:sz w:val="21"/>
          <w:szCs w:val="21"/>
        </w:rPr>
      </w:pPr>
      <w:bookmarkStart w:id="16" w:name="_Toc155340488"/>
      <w:r>
        <w:rPr>
          <w:rFonts w:eastAsia="宋体;SimSun"/>
          <w:kern w:val="2"/>
          <w:sz w:val="21"/>
          <w:szCs w:val="21"/>
        </w:rPr>
        <w:t>七、估价原则</w:t>
      </w:r>
      <w:bookmarkEnd w:id="16"/>
    </w:p>
    <w:p w14:paraId="1CA475B6">
      <w:pPr>
        <w:overflowPunct w:val="0"/>
        <w:spacing w:line="480" w:lineRule="auto"/>
        <w:ind w:firstLine="424"/>
        <w:jc w:val="both"/>
        <w:textAlignment w:val="auto"/>
      </w:pPr>
      <w:r>
        <w:rPr>
          <w:rFonts w:ascii="Arial" w:hAnsi="Arial" w:cs="Arial"/>
          <w:sz w:val="21"/>
          <w:szCs w:val="21"/>
        </w:rPr>
        <w:t>我们在本次估价时遵循了以下原则：</w:t>
      </w:r>
      <w:r>
        <w:rPr>
          <w:rFonts w:ascii="Arial" w:hAnsi="Arial" w:eastAsia="Arial" w:cs="Arial"/>
          <w:sz w:val="21"/>
          <w:szCs w:val="21"/>
        </w:rPr>
        <w:t xml:space="preserve"> </w:t>
      </w:r>
    </w:p>
    <w:p w14:paraId="0B43EDAF">
      <w:pPr>
        <w:overflowPunct w:val="0"/>
        <w:spacing w:line="480" w:lineRule="auto"/>
        <w:jc w:val="both"/>
        <w:textAlignment w:val="auto"/>
        <w:rPr>
          <w:rFonts w:ascii="Arial" w:hAnsi="Arial" w:cs="Arial"/>
          <w:b/>
          <w:sz w:val="21"/>
          <w:szCs w:val="21"/>
        </w:rPr>
      </w:pPr>
      <w:r>
        <w:rPr>
          <w:rFonts w:ascii="Arial" w:hAnsi="Arial" w:cs="Arial"/>
          <w:b/>
          <w:sz w:val="21"/>
          <w:szCs w:val="21"/>
        </w:rPr>
        <w:t>（一）独立、客观、公正原则</w:t>
      </w:r>
    </w:p>
    <w:p w14:paraId="66A6CD95">
      <w:pPr>
        <w:overflowPunct w:val="0"/>
        <w:spacing w:line="480" w:lineRule="auto"/>
        <w:ind w:firstLine="420"/>
        <w:jc w:val="both"/>
        <w:textAlignment w:val="auto"/>
        <w:rPr>
          <w:rFonts w:ascii="Arial" w:hAnsi="Arial" w:cs="Arial"/>
          <w:sz w:val="21"/>
          <w:szCs w:val="21"/>
        </w:rPr>
      </w:pPr>
      <w:r>
        <w:rPr>
          <w:rFonts w:ascii="Arial" w:hAnsi="Arial" w:cs="Arial"/>
          <w:sz w:val="21"/>
          <w:szCs w:val="21"/>
        </w:rPr>
        <w:t>独立、客观、公正原则要求</w:t>
      </w:r>
      <w:r>
        <w:rPr>
          <w:rFonts w:hint="eastAsia" w:ascii="Arial" w:hAnsi="Arial" w:cs="Arial"/>
          <w:sz w:val="21"/>
          <w:szCs w:val="21"/>
        </w:rPr>
        <w:t>注册房地产估价师</w:t>
      </w:r>
      <w:r>
        <w:rPr>
          <w:rFonts w:ascii="Arial" w:hAnsi="Arial" w:cs="Arial"/>
          <w:sz w:val="21"/>
          <w:szCs w:val="21"/>
        </w:rPr>
        <w:t>站在中立的立场上，评估出对各方当事人来说均是公平合理的价格。独立、客观、公正原则是房地产估价的基本原则，也是房地产估价中的最高行为准则。</w:t>
      </w:r>
    </w:p>
    <w:p w14:paraId="5CE29C6B">
      <w:pPr>
        <w:wordWrap w:val="0"/>
        <w:overflowPunct w:val="0"/>
        <w:spacing w:line="480" w:lineRule="auto"/>
        <w:jc w:val="both"/>
        <w:textAlignment w:val="auto"/>
        <w:rPr>
          <w:rFonts w:ascii="Arial" w:hAnsi="Arial" w:cs="Arial"/>
          <w:b/>
          <w:sz w:val="21"/>
          <w:szCs w:val="21"/>
        </w:rPr>
      </w:pPr>
      <w:r>
        <w:rPr>
          <w:rFonts w:ascii="Arial" w:hAnsi="Arial" w:cs="Arial"/>
          <w:b/>
          <w:sz w:val="21"/>
          <w:szCs w:val="21"/>
        </w:rPr>
        <w:t>（二）合法原则</w:t>
      </w:r>
    </w:p>
    <w:p w14:paraId="6925081B">
      <w:pPr>
        <w:wordWrap w:val="0"/>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要求估价结果是在依法判定的估价对象状况下的价值或价格的原则。遵循合法原则，首先要求房地产估价应以估价对象的合法权益为前提进行。合法权益包括合法产权、合法使用、合法处分等方面。遵循合法原则，具体来说有下列几个方面：在合法产权方面，应以房地产权属证书和有关证件为依据；在合法使用方面，应以城市规划、土地用途管制等为依据；在合法处分方面，应以法律、法规或合同等允许的处分方式为依据；在其他方面，如评估出的价格必须符合国家的价格政策</w:t>
      </w:r>
      <w:r>
        <w:rPr>
          <w:rFonts w:ascii="Arial" w:hAnsi="Arial" w:cs="Arial"/>
          <w:sz w:val="21"/>
          <w:szCs w:val="21"/>
        </w:rPr>
        <w:t>。</w:t>
      </w:r>
    </w:p>
    <w:p w14:paraId="2DE0D780">
      <w:pPr>
        <w:wordWrap w:val="0"/>
        <w:overflowPunct w:val="0"/>
        <w:spacing w:line="480" w:lineRule="auto"/>
        <w:jc w:val="both"/>
        <w:textAlignment w:val="auto"/>
        <w:rPr>
          <w:rFonts w:ascii="Arial" w:hAnsi="Arial" w:cs="Arial"/>
          <w:b/>
          <w:sz w:val="21"/>
          <w:szCs w:val="21"/>
        </w:rPr>
      </w:pPr>
      <w:r>
        <w:rPr>
          <w:rFonts w:ascii="Arial" w:hAnsi="Arial" w:cs="Arial"/>
          <w:b/>
          <w:sz w:val="21"/>
          <w:szCs w:val="21"/>
        </w:rPr>
        <w:t>（三）最高最佳利用原则</w:t>
      </w:r>
    </w:p>
    <w:p w14:paraId="1568D6D9">
      <w:pPr>
        <w:wordWrap w:val="0"/>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由于房地产具有用途的多样性，不同的利用方式能为权利人带来不同的收益，且房地产权利人都期望从其占有的房地产上获得更多的收益，并以能满足这一目的为确定房地产利用方式的依据。所以，最高最佳利用是在法律上可行、技术上可能、经济上可行，经过充分合理的论证，能使估价对象价值达到最大、最可能的使用。</w:t>
      </w:r>
    </w:p>
    <w:p w14:paraId="20E74194">
      <w:pPr>
        <w:wordWrap w:val="0"/>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本次估价对象位于北京市大兴</w:t>
      </w:r>
      <w:r>
        <w:rPr>
          <w:rFonts w:hint="eastAsia" w:ascii="Arial" w:hAnsi="Arial" w:cs="Arial"/>
          <w:kern w:val="2"/>
          <w:sz w:val="21"/>
          <w:szCs w:val="21"/>
        </w:rPr>
        <w:t>区</w:t>
      </w:r>
      <w:r>
        <w:rPr>
          <w:rFonts w:ascii="Arial" w:hAnsi="Arial" w:cs="Arial"/>
          <w:sz w:val="21"/>
          <w:szCs w:val="21"/>
        </w:rPr>
        <w:t>，估价对象</w:t>
      </w:r>
      <w:r>
        <w:rPr>
          <w:rFonts w:hint="eastAsia" w:ascii="Arial" w:hAnsi="Arial" w:cs="Arial"/>
          <w:sz w:val="21"/>
          <w:szCs w:val="21"/>
        </w:rPr>
        <w:t>现作为公共租赁住房使用</w:t>
      </w:r>
      <w:r>
        <w:rPr>
          <w:rFonts w:ascii="Arial" w:hAnsi="Arial" w:cs="Arial"/>
          <w:sz w:val="21"/>
          <w:szCs w:val="21"/>
        </w:rPr>
        <w:t>，程序上合规；其土地用途为住宅，符合城市规划限制的要求；估价对象依据相关政策及批复进行建设，其建筑结构及布局在技术上能满足</w:t>
      </w:r>
      <w:r>
        <w:rPr>
          <w:rFonts w:hint="eastAsia" w:ascii="Arial" w:hAnsi="Arial" w:cs="Arial"/>
          <w:sz w:val="21"/>
          <w:szCs w:val="21"/>
        </w:rPr>
        <w:t>公共租赁</w:t>
      </w:r>
      <w:r>
        <w:rPr>
          <w:rFonts w:ascii="Arial" w:hAnsi="Arial" w:cs="Arial"/>
          <w:sz w:val="21"/>
          <w:szCs w:val="21"/>
        </w:rPr>
        <w:t>住房的要求，按照不高于市场租金水平进行配租，经济效益较普通商品住宅低，作为政策性住房，其主要目的是为满足</w:t>
      </w:r>
      <w:r>
        <w:rPr>
          <w:rFonts w:hint="eastAsia" w:ascii="Arial" w:hAnsi="Arial" w:cs="Arial"/>
          <w:sz w:val="21"/>
          <w:szCs w:val="21"/>
        </w:rPr>
        <w:t>各类人才对</w:t>
      </w:r>
      <w:r>
        <w:rPr>
          <w:rFonts w:ascii="Arial" w:hAnsi="Arial" w:cs="Arial"/>
          <w:sz w:val="21"/>
          <w:szCs w:val="21"/>
        </w:rPr>
        <w:t>住房</w:t>
      </w:r>
      <w:r>
        <w:rPr>
          <w:rFonts w:hint="eastAsia" w:ascii="Arial" w:hAnsi="Arial" w:cs="Arial"/>
          <w:sz w:val="21"/>
          <w:szCs w:val="21"/>
        </w:rPr>
        <w:t>的实际</w:t>
      </w:r>
      <w:r>
        <w:rPr>
          <w:rFonts w:ascii="Arial" w:hAnsi="Arial" w:cs="Arial"/>
          <w:sz w:val="21"/>
          <w:szCs w:val="21"/>
        </w:rPr>
        <w:t>需求，因此，建设</w:t>
      </w:r>
      <w:r>
        <w:rPr>
          <w:rFonts w:hint="eastAsia" w:ascii="Arial" w:hAnsi="Arial" w:cs="Arial"/>
          <w:sz w:val="21"/>
          <w:szCs w:val="21"/>
        </w:rPr>
        <w:t>公共租赁</w:t>
      </w:r>
      <w:r>
        <w:rPr>
          <w:rFonts w:ascii="Arial" w:hAnsi="Arial" w:cs="Arial"/>
          <w:sz w:val="21"/>
          <w:szCs w:val="21"/>
        </w:rPr>
        <w:t>住房具有很大的社会效益。故估价对象符合最高最佳利用原则。</w:t>
      </w:r>
    </w:p>
    <w:p w14:paraId="6781C3E4">
      <w:pPr>
        <w:wordWrap w:val="0"/>
        <w:overflowPunct w:val="0"/>
        <w:spacing w:line="480" w:lineRule="auto"/>
        <w:jc w:val="both"/>
        <w:textAlignment w:val="auto"/>
        <w:rPr>
          <w:rFonts w:ascii="Arial" w:hAnsi="Arial" w:cs="Arial"/>
          <w:b/>
          <w:sz w:val="21"/>
          <w:szCs w:val="21"/>
        </w:rPr>
      </w:pPr>
      <w:r>
        <w:rPr>
          <w:rFonts w:ascii="Arial" w:hAnsi="Arial" w:cs="Arial"/>
          <w:b/>
          <w:sz w:val="21"/>
          <w:szCs w:val="21"/>
        </w:rPr>
        <w:t>（四）替代原则</w:t>
      </w:r>
    </w:p>
    <w:p w14:paraId="722E46F2">
      <w:pPr>
        <w:wordWrap w:val="0"/>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替代原则的理论依据是同一市场上相同物品具有相同市场价值的经济学原理。替代原则是保证房地产估价能够通过运用市场资料进行和完成的重要理论前提：只有承认同一市场上相同物品具有相同的市场价值，才有可能根据市场资料对估价对象进行估价。</w:t>
      </w:r>
    </w:p>
    <w:p w14:paraId="4371E171">
      <w:pPr>
        <w:wordWrap w:val="0"/>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替代原则也反映了房地产估价的基本原理和最一般的估价过程：房地产估价所要确定的估价结论是估价对象的客观合理价值。对于房地产交易目的而言，该客观合理价值应当是在公开市场上最可能形成或者成立的价格，房地产估价就是参照公开市场上足够数量的类似房地产的近期成交价格来确定估价对象的客观合理价值的。</w:t>
      </w:r>
    </w:p>
    <w:p w14:paraId="51BF5EE2">
      <w:pPr>
        <w:wordWrap w:val="0"/>
        <w:overflowPunct w:val="0"/>
        <w:spacing w:line="480" w:lineRule="auto"/>
        <w:jc w:val="both"/>
        <w:textAlignment w:val="auto"/>
        <w:rPr>
          <w:rFonts w:ascii="Arial" w:hAnsi="Arial" w:cs="Arial"/>
          <w:b/>
          <w:sz w:val="21"/>
          <w:szCs w:val="21"/>
        </w:rPr>
      </w:pPr>
      <w:r>
        <w:rPr>
          <w:rFonts w:ascii="Arial" w:hAnsi="Arial" w:cs="Arial"/>
          <w:b/>
          <w:sz w:val="21"/>
          <w:szCs w:val="21"/>
        </w:rPr>
        <w:t>（五）价值时点原则</w:t>
      </w:r>
    </w:p>
    <w:p w14:paraId="5FF89111">
      <w:pPr>
        <w:wordWrap w:val="0"/>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估价结论首先具有很强的时间相关性，这主要是考虑到资金的时间价值，在不同的时间点上发生的现金流量对其价值影响是不同的。所以，在房地产估价时统一规定：如果一些款项的发生时点与价值时点不一致，应当折算为价值时点的现值。</w:t>
      </w:r>
    </w:p>
    <w:p w14:paraId="720D1AFF">
      <w:pPr>
        <w:wordWrap w:val="0"/>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估价结论同时具有很强的时效性，这主要是考虑到房地产市场价格的波动性，同一估价对象在不同时点会具有不同的市场价格。所以强调：估价结果是估价对象在价值时点的价值体现，不能将估价结果作为估价对象在其他时点的价值。</w:t>
      </w:r>
    </w:p>
    <w:p w14:paraId="7024FDD9">
      <w:pPr>
        <w:wordWrap w:val="0"/>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由于房屋租金价格与房屋销售价格有一定的区别，房屋租金价格一经合同签约确定后，合同租赁期内不能随意变动。通常房屋租赁合同期为一年以上。故本报告在评估中选取的市场案例租金价格为价值时点前12个月的</w:t>
      </w:r>
      <w:r>
        <w:rPr>
          <w:rFonts w:hint="eastAsia" w:ascii="Arial" w:hAnsi="Arial" w:cs="Arial"/>
          <w:sz w:val="21"/>
          <w:szCs w:val="21"/>
        </w:rPr>
        <w:t>市场</w:t>
      </w:r>
      <w:r>
        <w:rPr>
          <w:rFonts w:ascii="Arial" w:hAnsi="Arial" w:cs="Arial"/>
          <w:sz w:val="21"/>
          <w:szCs w:val="21"/>
        </w:rPr>
        <w:t>租金水平，这样可以避免季节性波动带来的时点差异，并在此基础上评估价值时点前一年内的市场平均租金水平，更好地满足估价委托人估价的目的</w:t>
      </w:r>
      <w:r>
        <w:rPr>
          <w:rFonts w:hint="eastAsia" w:ascii="Arial" w:hAnsi="Arial" w:cs="Arial"/>
          <w:sz w:val="21"/>
          <w:szCs w:val="21"/>
        </w:rPr>
        <w:t>。</w:t>
      </w:r>
    </w:p>
    <w:p w14:paraId="6878794A">
      <w:pPr>
        <w:wordWrap w:val="0"/>
        <w:overflowPunct w:val="0"/>
        <w:spacing w:line="480" w:lineRule="auto"/>
        <w:jc w:val="both"/>
        <w:textAlignment w:val="auto"/>
        <w:rPr>
          <w:rFonts w:ascii="Arial" w:hAnsi="Arial" w:cs="Arial"/>
          <w:b/>
          <w:sz w:val="21"/>
          <w:szCs w:val="21"/>
        </w:rPr>
      </w:pPr>
      <w:r>
        <w:rPr>
          <w:rFonts w:ascii="Arial" w:hAnsi="Arial" w:cs="Arial"/>
          <w:b/>
          <w:sz w:val="21"/>
          <w:szCs w:val="21"/>
        </w:rPr>
        <w:t>（</w:t>
      </w:r>
      <w:r>
        <w:rPr>
          <w:rFonts w:hint="eastAsia" w:ascii="Arial" w:hAnsi="Arial" w:cs="Arial"/>
          <w:b/>
          <w:sz w:val="21"/>
          <w:szCs w:val="21"/>
        </w:rPr>
        <w:t>六</w:t>
      </w:r>
      <w:r>
        <w:rPr>
          <w:rFonts w:ascii="Arial" w:hAnsi="Arial" w:cs="Arial"/>
          <w:b/>
          <w:sz w:val="21"/>
          <w:szCs w:val="21"/>
        </w:rPr>
        <w:t>）</w:t>
      </w:r>
      <w:r>
        <w:rPr>
          <w:rFonts w:hint="eastAsia" w:ascii="Arial" w:hAnsi="Arial" w:cs="Arial"/>
          <w:b/>
          <w:sz w:val="21"/>
          <w:szCs w:val="21"/>
        </w:rPr>
        <w:t>固定用途使用原则</w:t>
      </w:r>
    </w:p>
    <w:p w14:paraId="2289270B">
      <w:pPr>
        <w:overflowPunct w:val="0"/>
        <w:spacing w:line="480" w:lineRule="auto"/>
        <w:ind w:firstLine="420"/>
        <w:jc w:val="both"/>
        <w:textAlignment w:val="auto"/>
      </w:pPr>
      <w:r>
        <w:rPr>
          <w:rFonts w:hint="eastAsia" w:ascii="Arial" w:hAnsi="Arial" w:cs="Arial"/>
          <w:sz w:val="21"/>
          <w:szCs w:val="21"/>
        </w:rPr>
        <w:t>公共租赁住房是由国家提供政策支持、限定建设标准和租金水平，面向符合规定条件的城镇中等偏下收入住房困难家庭、新进就业无房职工和在城镇稳定就业的外来务工人员出租的保障性住房。因此要求估价对象的市场租金评估应当遵循固定用途使用原则。</w:t>
      </w:r>
    </w:p>
    <w:p w14:paraId="3C4F4878">
      <w:pPr>
        <w:overflowPunct w:val="0"/>
        <w:spacing w:line="480" w:lineRule="auto"/>
        <w:ind w:firstLine="420"/>
        <w:jc w:val="both"/>
        <w:textAlignment w:val="auto"/>
        <w:rPr>
          <w:rFonts w:ascii="Arial" w:hAnsi="Arial" w:cs="Arial"/>
          <w:sz w:val="21"/>
          <w:szCs w:val="21"/>
        </w:rPr>
      </w:pPr>
    </w:p>
    <w:p w14:paraId="6055F022">
      <w:pPr>
        <w:pStyle w:val="3"/>
        <w:numPr>
          <w:ilvl w:val="0"/>
          <w:numId w:val="0"/>
        </w:numPr>
        <w:overflowPunct w:val="0"/>
        <w:spacing w:line="480" w:lineRule="auto"/>
        <w:ind w:left="357" w:hanging="357"/>
        <w:jc w:val="both"/>
        <w:textAlignment w:val="auto"/>
        <w:rPr>
          <w:rFonts w:eastAsia="宋体;SimSun"/>
          <w:kern w:val="2"/>
          <w:sz w:val="21"/>
          <w:szCs w:val="21"/>
        </w:rPr>
      </w:pPr>
      <w:bookmarkStart w:id="17" w:name="_Toc155340489"/>
      <w:r>
        <w:rPr>
          <w:rFonts w:eastAsia="宋体;SimSun"/>
          <w:kern w:val="2"/>
          <w:sz w:val="21"/>
          <w:szCs w:val="21"/>
        </w:rPr>
        <w:t>八、估价依据</w:t>
      </w:r>
      <w:bookmarkEnd w:id="17"/>
    </w:p>
    <w:p w14:paraId="1B79E48E">
      <w:pPr>
        <w:wordWrap w:val="0"/>
        <w:overflowPunct w:val="0"/>
        <w:spacing w:line="480" w:lineRule="auto"/>
        <w:jc w:val="both"/>
        <w:textAlignment w:val="auto"/>
        <w:rPr>
          <w:rFonts w:ascii="Arial" w:hAnsi="Arial" w:cs="Arial"/>
          <w:b/>
          <w:sz w:val="21"/>
          <w:szCs w:val="21"/>
        </w:rPr>
      </w:pPr>
      <w:r>
        <w:rPr>
          <w:rFonts w:ascii="Arial" w:hAnsi="Arial" w:cs="Arial"/>
          <w:b/>
          <w:sz w:val="21"/>
          <w:szCs w:val="21"/>
        </w:rPr>
        <w:t>（一）有关的法律、法规及技术标准文件</w:t>
      </w:r>
    </w:p>
    <w:p w14:paraId="3C6187BB">
      <w:pPr>
        <w:wordWrap w:val="0"/>
        <w:overflowPunct w:val="0"/>
        <w:spacing w:line="480" w:lineRule="auto"/>
        <w:jc w:val="both"/>
        <w:textAlignment w:val="auto"/>
        <w:rPr>
          <w:rFonts w:hint="eastAsia" w:ascii="Arial" w:hAnsi="Arial" w:cs="Arial"/>
          <w:sz w:val="21"/>
          <w:szCs w:val="21"/>
        </w:rPr>
      </w:pPr>
      <w:r>
        <w:rPr>
          <w:rFonts w:hint="eastAsia" w:ascii="Arial" w:hAnsi="Arial" w:cs="Arial"/>
          <w:sz w:val="21"/>
          <w:szCs w:val="21"/>
        </w:rPr>
        <w:t>1. 《中华人民共和国民法典》（2020年5月28日第十三届全国人大三次会议表决通过，自2021年1月1日起施行）</w:t>
      </w:r>
    </w:p>
    <w:p w14:paraId="32540FEE">
      <w:pPr>
        <w:wordWrap w:val="0"/>
        <w:overflowPunct w:val="0"/>
        <w:spacing w:line="480" w:lineRule="auto"/>
        <w:jc w:val="both"/>
        <w:textAlignment w:val="auto"/>
        <w:rPr>
          <w:rFonts w:hint="eastAsia" w:ascii="Arial" w:hAnsi="Arial" w:cs="Arial"/>
          <w:sz w:val="21"/>
          <w:szCs w:val="21"/>
        </w:rPr>
      </w:pPr>
      <w:r>
        <w:rPr>
          <w:rFonts w:hint="eastAsia" w:ascii="Arial" w:hAnsi="Arial" w:cs="Arial"/>
          <w:sz w:val="21"/>
          <w:szCs w:val="21"/>
        </w:rPr>
        <w:t>2.《中华人民共和国土地管理法》（1986年6月25日第六届全国人民代表大会常务委员会第十六次会议通过，中华人民共和国主席令第41号公布，1987年1月1日起施行；1988年12月29日第七届全国人民代表大会常务委员会第五次会议第一次修正通过，自1988年12月29日起施行；1998年8月29日第九届全国人民代表大会常务委员会第四次会议修订通过，中华人民共和国主席令第8号公布，自1999年1月1日起施行；2004年8月28日第十届全国人民代表大会常务委员会第十一次会议第二次修正通过，中华人民共和国主席令第28号公布，自公布起日起施行；2019年8月26日第十三届全国人民代表大会常务委员会第十二次会议第三次修正通过，自2020年1月1日起施行）</w:t>
      </w:r>
    </w:p>
    <w:p w14:paraId="2A4CB064">
      <w:pPr>
        <w:wordWrap w:val="0"/>
        <w:overflowPunct w:val="0"/>
        <w:spacing w:line="480" w:lineRule="auto"/>
        <w:jc w:val="both"/>
        <w:textAlignment w:val="auto"/>
        <w:rPr>
          <w:rFonts w:hint="eastAsia" w:ascii="Arial" w:hAnsi="Arial" w:cs="Arial"/>
          <w:sz w:val="21"/>
          <w:szCs w:val="21"/>
        </w:rPr>
      </w:pPr>
      <w:r>
        <w:rPr>
          <w:rFonts w:hint="eastAsia" w:ascii="Arial" w:hAnsi="Arial" w:cs="Arial"/>
          <w:sz w:val="21"/>
          <w:szCs w:val="21"/>
        </w:rPr>
        <w:t>3.《中华人民共和国资产评估法》（2016年7月2日第十二届全国人民代表大会常务委员会第二十一次会议通过 2016年3月16日中华人民共和国主席令第46号公布 自2016年12月1日起施行）</w:t>
      </w:r>
    </w:p>
    <w:p w14:paraId="75083398">
      <w:pPr>
        <w:wordWrap w:val="0"/>
        <w:overflowPunct w:val="0"/>
        <w:spacing w:line="480" w:lineRule="auto"/>
        <w:jc w:val="both"/>
        <w:textAlignment w:val="auto"/>
        <w:rPr>
          <w:rFonts w:hint="eastAsia" w:ascii="Arial" w:hAnsi="Arial" w:cs="Arial"/>
          <w:sz w:val="21"/>
          <w:szCs w:val="21"/>
        </w:rPr>
      </w:pPr>
      <w:r>
        <w:rPr>
          <w:rFonts w:hint="eastAsia" w:ascii="Arial" w:hAnsi="Arial" w:cs="Arial"/>
          <w:sz w:val="21"/>
          <w:szCs w:val="21"/>
        </w:rPr>
        <w:t>4.《中华人民共和国城镇国有土地使用权出让和转让暂行条例》（1990年5月19日中华人民共和国国务院令第55号发布 根据2020年11月29日《国务院关于修改和废止部分行政法规的决定》修订）</w:t>
      </w:r>
    </w:p>
    <w:p w14:paraId="1B789F1D">
      <w:pPr>
        <w:wordWrap w:val="0"/>
        <w:overflowPunct w:val="0"/>
        <w:spacing w:line="480" w:lineRule="auto"/>
        <w:jc w:val="both"/>
        <w:textAlignment w:val="auto"/>
        <w:rPr>
          <w:rFonts w:hint="eastAsia" w:ascii="Arial" w:hAnsi="Arial" w:cs="Arial"/>
          <w:sz w:val="21"/>
          <w:szCs w:val="21"/>
        </w:rPr>
      </w:pPr>
      <w:r>
        <w:rPr>
          <w:rFonts w:hint="eastAsia" w:ascii="Arial" w:hAnsi="Arial" w:cs="Arial"/>
          <w:sz w:val="21"/>
          <w:szCs w:val="21"/>
        </w:rPr>
        <w:t>5.《中华人民共和国城市房地产管理法》（1994年7月5日第八届全国人民代表大会常务委员会第八次会议通过，中华人民共和国主席令第29号公布，自1995年1月1日起施行；2007年8月30日第十届全国人民代表大会常务委员会第二十九次会议通过第一次修正通过，中华人民共和国主席令第72号公布，自公布之日起施行；2009年8月27日第十一届全国人民代表大会常务委员会第十次会议第二次修正通过，中华人民共和国主席令第18号公布，自公布之日起施行；2019年8月26日第十三届全国人大常委会第十二次会议通过第三次修正，自2020年1月1日起施行）</w:t>
      </w:r>
    </w:p>
    <w:p w14:paraId="59542D7B">
      <w:pPr>
        <w:wordWrap w:val="0"/>
        <w:overflowPunct w:val="0"/>
        <w:spacing w:line="480" w:lineRule="auto"/>
        <w:jc w:val="both"/>
        <w:textAlignment w:val="auto"/>
        <w:rPr>
          <w:rFonts w:hint="eastAsia" w:ascii="Arial" w:hAnsi="Arial" w:cs="Arial"/>
          <w:sz w:val="21"/>
          <w:szCs w:val="21"/>
        </w:rPr>
      </w:pPr>
      <w:r>
        <w:rPr>
          <w:rFonts w:hint="eastAsia" w:ascii="Arial" w:hAnsi="Arial" w:cs="Arial"/>
          <w:sz w:val="21"/>
          <w:szCs w:val="21"/>
        </w:rPr>
        <w:t>6.《住房租赁条例》（2025年7月16日中华人民共和国国务院令第812号公布，自2025年9月15日起施行）</w:t>
      </w:r>
    </w:p>
    <w:p w14:paraId="56B6EE42">
      <w:pPr>
        <w:wordWrap w:val="0"/>
        <w:overflowPunct w:val="0"/>
        <w:spacing w:line="480" w:lineRule="auto"/>
        <w:jc w:val="both"/>
        <w:textAlignment w:val="auto"/>
        <w:rPr>
          <w:rFonts w:hint="eastAsia" w:ascii="Arial" w:hAnsi="Arial" w:cs="Arial"/>
          <w:sz w:val="21"/>
          <w:szCs w:val="21"/>
        </w:rPr>
      </w:pPr>
      <w:r>
        <w:rPr>
          <w:rFonts w:hint="eastAsia" w:ascii="Arial" w:hAnsi="Arial" w:cs="Arial"/>
          <w:sz w:val="21"/>
          <w:szCs w:val="21"/>
        </w:rPr>
        <w:t>7.《关于运用政府和社会资本合作模式推进公共租赁住房投资建设和运营管理的通知》[财综[2015]15号]</w:t>
      </w:r>
    </w:p>
    <w:p w14:paraId="19C6E194">
      <w:pPr>
        <w:wordWrap w:val="0"/>
        <w:overflowPunct w:val="0"/>
        <w:spacing w:line="480" w:lineRule="auto"/>
        <w:jc w:val="both"/>
        <w:textAlignment w:val="auto"/>
        <w:rPr>
          <w:rFonts w:hint="eastAsia" w:ascii="Arial" w:hAnsi="Arial" w:cs="Arial"/>
          <w:sz w:val="21"/>
          <w:szCs w:val="21"/>
        </w:rPr>
      </w:pPr>
      <w:r>
        <w:rPr>
          <w:rFonts w:hint="eastAsia" w:ascii="Arial" w:hAnsi="Arial" w:cs="Arial"/>
          <w:sz w:val="21"/>
          <w:szCs w:val="21"/>
        </w:rPr>
        <w:t>8.《公共租赁住房管理办法》[住房和城乡建设部令第11号]</w:t>
      </w:r>
    </w:p>
    <w:p w14:paraId="34F79C4E">
      <w:pPr>
        <w:wordWrap w:val="0"/>
        <w:overflowPunct w:val="0"/>
        <w:spacing w:line="480" w:lineRule="auto"/>
        <w:jc w:val="both"/>
        <w:textAlignment w:val="auto"/>
        <w:rPr>
          <w:rFonts w:hint="eastAsia" w:ascii="Arial" w:hAnsi="Arial" w:cs="Arial"/>
          <w:sz w:val="21"/>
          <w:szCs w:val="21"/>
        </w:rPr>
      </w:pPr>
      <w:r>
        <w:rPr>
          <w:rFonts w:hint="eastAsia" w:ascii="Arial" w:hAnsi="Arial" w:cs="Arial"/>
          <w:sz w:val="21"/>
          <w:szCs w:val="21"/>
        </w:rPr>
        <w:t>9.《关于加快发展公共租赁住房的指导意见》[建保[2010]87号]</w:t>
      </w:r>
    </w:p>
    <w:p w14:paraId="3FAAD6B0">
      <w:pPr>
        <w:wordWrap w:val="0"/>
        <w:overflowPunct w:val="0"/>
        <w:spacing w:line="480" w:lineRule="auto"/>
        <w:jc w:val="both"/>
        <w:textAlignment w:val="auto"/>
        <w:rPr>
          <w:rFonts w:hint="eastAsia" w:ascii="Arial" w:hAnsi="Arial" w:cs="Arial"/>
          <w:sz w:val="21"/>
          <w:szCs w:val="21"/>
        </w:rPr>
      </w:pPr>
      <w:r>
        <w:rPr>
          <w:rFonts w:hint="eastAsia" w:ascii="Arial" w:hAnsi="Arial" w:cs="Arial"/>
          <w:sz w:val="21"/>
          <w:szCs w:val="21"/>
        </w:rPr>
        <w:t>10.《住房城乡建设部财政部国家发展改革委关于公共租赁住房和廉租住房并轨运行的通知》[建保[2013]178号]</w:t>
      </w:r>
    </w:p>
    <w:p w14:paraId="7091457F">
      <w:pPr>
        <w:wordWrap w:val="0"/>
        <w:overflowPunct w:val="0"/>
        <w:spacing w:line="480" w:lineRule="auto"/>
        <w:jc w:val="both"/>
        <w:textAlignment w:val="auto"/>
        <w:rPr>
          <w:rFonts w:hint="eastAsia" w:ascii="Arial" w:hAnsi="Arial" w:cs="Arial"/>
          <w:sz w:val="21"/>
          <w:szCs w:val="21"/>
        </w:rPr>
      </w:pPr>
      <w:r>
        <w:rPr>
          <w:rFonts w:hint="eastAsia" w:ascii="Arial" w:hAnsi="Arial" w:cs="Arial"/>
          <w:sz w:val="21"/>
          <w:szCs w:val="21"/>
        </w:rPr>
        <w:t>11.《北京市人民政府关于加强本市公共租赁住房建设和管理的通知》[京政发〔2011〕61号]</w:t>
      </w:r>
    </w:p>
    <w:p w14:paraId="1719C326">
      <w:pPr>
        <w:wordWrap w:val="0"/>
        <w:overflowPunct w:val="0"/>
        <w:spacing w:line="480" w:lineRule="auto"/>
        <w:jc w:val="both"/>
        <w:textAlignment w:val="auto"/>
        <w:rPr>
          <w:rFonts w:hint="eastAsia" w:ascii="Arial" w:hAnsi="Arial" w:cs="Arial"/>
          <w:sz w:val="21"/>
          <w:szCs w:val="21"/>
        </w:rPr>
      </w:pPr>
      <w:r>
        <w:rPr>
          <w:rFonts w:hint="eastAsia" w:ascii="Arial" w:hAnsi="Arial" w:cs="Arial"/>
          <w:sz w:val="21"/>
          <w:szCs w:val="21"/>
        </w:rPr>
        <w:t>12.《北京市住房和城乡建设委员会关于印发&lt;北京市公共租赁住房申请、审核及配租管理办法&gt;的通知》[京建法[2011]25号]</w:t>
      </w:r>
    </w:p>
    <w:p w14:paraId="30495ACC">
      <w:pPr>
        <w:wordWrap w:val="0"/>
        <w:overflowPunct w:val="0"/>
        <w:spacing w:line="480" w:lineRule="auto"/>
        <w:jc w:val="both"/>
        <w:textAlignment w:val="auto"/>
        <w:rPr>
          <w:rFonts w:hint="eastAsia" w:ascii="Arial" w:hAnsi="Arial" w:cs="Arial"/>
          <w:sz w:val="21"/>
          <w:szCs w:val="21"/>
        </w:rPr>
      </w:pPr>
      <w:r>
        <w:rPr>
          <w:rFonts w:hint="eastAsia" w:ascii="Arial" w:hAnsi="Arial" w:cs="Arial"/>
          <w:sz w:val="21"/>
          <w:szCs w:val="21"/>
        </w:rPr>
        <w:t>13.《关于贯彻落实公共租赁住房税收优惠政策有关问题的通知》[京建发[2011]227号]</w:t>
      </w:r>
    </w:p>
    <w:p w14:paraId="33F91610">
      <w:pPr>
        <w:wordWrap w:val="0"/>
        <w:overflowPunct w:val="0"/>
        <w:spacing w:line="480" w:lineRule="auto"/>
        <w:jc w:val="both"/>
        <w:textAlignment w:val="auto"/>
        <w:rPr>
          <w:rFonts w:hint="eastAsia" w:ascii="Arial" w:hAnsi="Arial" w:cs="Arial"/>
          <w:sz w:val="21"/>
          <w:szCs w:val="21"/>
        </w:rPr>
      </w:pPr>
      <w:r>
        <w:rPr>
          <w:rFonts w:hint="eastAsia" w:ascii="Arial" w:hAnsi="Arial" w:cs="Arial"/>
          <w:sz w:val="21"/>
          <w:szCs w:val="21"/>
        </w:rPr>
        <w:t>14.《关于印发&lt;北京市公共租赁住房管理办法（试行）&gt;的通知》[京建住[2009]525号]</w:t>
      </w:r>
    </w:p>
    <w:p w14:paraId="349904BA">
      <w:pPr>
        <w:wordWrap w:val="0"/>
        <w:overflowPunct w:val="0"/>
        <w:spacing w:line="480" w:lineRule="auto"/>
        <w:jc w:val="both"/>
        <w:textAlignment w:val="auto"/>
        <w:rPr>
          <w:rFonts w:hint="eastAsia" w:ascii="Arial" w:hAnsi="Arial" w:cs="Arial"/>
          <w:sz w:val="21"/>
          <w:szCs w:val="21"/>
        </w:rPr>
      </w:pPr>
      <w:r>
        <w:rPr>
          <w:rFonts w:hint="eastAsia" w:ascii="Arial" w:hAnsi="Arial" w:cs="Arial"/>
          <w:sz w:val="21"/>
          <w:szCs w:val="21"/>
        </w:rPr>
        <w:t>15.《北京市公共租赁住房建设技术导则（试行）》[京建发（2010）413号]</w:t>
      </w:r>
    </w:p>
    <w:p w14:paraId="100734C1">
      <w:pPr>
        <w:wordWrap w:val="0"/>
        <w:overflowPunct w:val="0"/>
        <w:spacing w:line="480" w:lineRule="auto"/>
        <w:jc w:val="both"/>
        <w:textAlignment w:val="auto"/>
        <w:rPr>
          <w:rFonts w:hint="eastAsia" w:ascii="Arial" w:hAnsi="Arial" w:cs="Arial"/>
          <w:sz w:val="21"/>
          <w:szCs w:val="21"/>
        </w:rPr>
      </w:pPr>
      <w:r>
        <w:rPr>
          <w:rFonts w:hint="eastAsia" w:ascii="Arial" w:hAnsi="Arial" w:cs="Arial"/>
          <w:sz w:val="21"/>
          <w:szCs w:val="21"/>
        </w:rPr>
        <w:t>16.《北京市公共租赁住房后期管理暂行办法》（京建法〔2013〕15号）</w:t>
      </w:r>
    </w:p>
    <w:p w14:paraId="3709113C">
      <w:pPr>
        <w:wordWrap w:val="0"/>
        <w:overflowPunct w:val="0"/>
        <w:spacing w:line="480" w:lineRule="auto"/>
        <w:jc w:val="both"/>
        <w:textAlignment w:val="auto"/>
        <w:rPr>
          <w:rFonts w:hint="eastAsia" w:ascii="Arial" w:hAnsi="Arial" w:cs="Arial"/>
          <w:sz w:val="21"/>
          <w:szCs w:val="21"/>
        </w:rPr>
      </w:pPr>
      <w:r>
        <w:rPr>
          <w:rFonts w:hint="eastAsia" w:ascii="Arial" w:hAnsi="Arial" w:cs="Arial"/>
          <w:sz w:val="21"/>
          <w:szCs w:val="21"/>
        </w:rPr>
        <w:t>17.《关于公共租赁住房税收优惠政策的公告》（财政部 税务总局公告2019年第61号）</w:t>
      </w:r>
    </w:p>
    <w:p w14:paraId="4D0C5A73">
      <w:pPr>
        <w:wordWrap w:val="0"/>
        <w:overflowPunct w:val="0"/>
        <w:spacing w:line="480" w:lineRule="auto"/>
        <w:jc w:val="both"/>
        <w:textAlignment w:val="auto"/>
        <w:rPr>
          <w:rFonts w:hint="eastAsia" w:ascii="Arial" w:hAnsi="Arial" w:cs="Arial"/>
          <w:sz w:val="21"/>
          <w:szCs w:val="21"/>
        </w:rPr>
      </w:pPr>
      <w:r>
        <w:rPr>
          <w:rFonts w:hint="eastAsia" w:ascii="Arial" w:hAnsi="Arial" w:cs="Arial"/>
          <w:sz w:val="21"/>
          <w:szCs w:val="21"/>
        </w:rPr>
        <w:t>18.《关于加强公共租赁住房资格复核及分配管理的通知》[京建法〔2021〕8号]</w:t>
      </w:r>
    </w:p>
    <w:p w14:paraId="7608635F">
      <w:pPr>
        <w:wordWrap w:val="0"/>
        <w:overflowPunct w:val="0"/>
        <w:spacing w:line="480" w:lineRule="auto"/>
        <w:jc w:val="both"/>
        <w:textAlignment w:val="auto"/>
        <w:rPr>
          <w:rFonts w:hint="eastAsia" w:ascii="Arial" w:hAnsi="Arial" w:cs="Arial"/>
          <w:sz w:val="21"/>
          <w:szCs w:val="21"/>
        </w:rPr>
      </w:pPr>
      <w:r>
        <w:rPr>
          <w:rFonts w:hint="eastAsia" w:ascii="Arial" w:hAnsi="Arial" w:cs="Arial"/>
          <w:sz w:val="21"/>
          <w:szCs w:val="21"/>
        </w:rPr>
        <w:t>19.《关于进一步加强公共租赁住房转租转借行为监督管理工作的通知》[京建法〔2018〕23号]</w:t>
      </w:r>
    </w:p>
    <w:p w14:paraId="3F8BBF12">
      <w:pPr>
        <w:wordWrap w:val="0"/>
        <w:overflowPunct w:val="0"/>
        <w:spacing w:line="480" w:lineRule="auto"/>
        <w:jc w:val="both"/>
        <w:textAlignment w:val="auto"/>
        <w:rPr>
          <w:rFonts w:hint="eastAsia" w:ascii="Arial" w:hAnsi="Arial" w:cs="Arial"/>
          <w:sz w:val="21"/>
          <w:szCs w:val="21"/>
        </w:rPr>
      </w:pPr>
      <w:r>
        <w:rPr>
          <w:rFonts w:hint="eastAsia" w:ascii="Arial" w:hAnsi="Arial" w:cs="Arial"/>
          <w:sz w:val="21"/>
          <w:szCs w:val="21"/>
        </w:rPr>
        <w:t>20.《关于加强本市公共租赁住房社会管理和服务的意见》[京建法〔2013〕19号]</w:t>
      </w:r>
    </w:p>
    <w:p w14:paraId="631213BF">
      <w:pPr>
        <w:wordWrap w:val="0"/>
        <w:overflowPunct w:val="0"/>
        <w:spacing w:line="480" w:lineRule="auto"/>
        <w:jc w:val="both"/>
        <w:textAlignment w:val="auto"/>
        <w:rPr>
          <w:rFonts w:hint="eastAsia" w:ascii="Arial" w:hAnsi="Arial" w:cs="Arial"/>
          <w:sz w:val="21"/>
          <w:szCs w:val="21"/>
        </w:rPr>
      </w:pPr>
      <w:r>
        <w:rPr>
          <w:rFonts w:hint="eastAsia" w:ascii="Arial" w:hAnsi="Arial" w:cs="Arial"/>
          <w:sz w:val="21"/>
          <w:szCs w:val="21"/>
        </w:rPr>
        <w:t>21.《关于进一步加强公共租赁住房分配管理的通知》[京建法〔2014〕21号]</w:t>
      </w:r>
    </w:p>
    <w:p w14:paraId="1A90E804">
      <w:pPr>
        <w:wordWrap w:val="0"/>
        <w:overflowPunct w:val="0"/>
        <w:spacing w:line="480" w:lineRule="auto"/>
        <w:jc w:val="both"/>
        <w:textAlignment w:val="auto"/>
        <w:rPr>
          <w:rFonts w:ascii="Arial" w:hAnsi="Arial" w:cs="Arial"/>
          <w:sz w:val="21"/>
          <w:szCs w:val="21"/>
        </w:rPr>
      </w:pPr>
      <w:r>
        <w:rPr>
          <w:rFonts w:hint="eastAsia" w:ascii="Arial" w:hAnsi="Arial" w:cs="Arial"/>
          <w:sz w:val="21"/>
          <w:szCs w:val="21"/>
        </w:rPr>
        <w:t>22.《关于公共租赁住房租金补贴对象及租金补贴标准有关问题的通知》[京建法〔2012〕11号]</w:t>
      </w:r>
    </w:p>
    <w:p w14:paraId="61494A64">
      <w:pPr>
        <w:pStyle w:val="264"/>
        <w:numPr>
          <w:ilvl w:val="0"/>
          <w:numId w:val="6"/>
        </w:numPr>
        <w:wordWrap w:val="0"/>
        <w:overflowPunct w:val="0"/>
        <w:spacing w:line="480" w:lineRule="auto"/>
        <w:jc w:val="both"/>
        <w:textAlignment w:val="auto"/>
        <w:rPr>
          <w:rFonts w:ascii="Arial" w:hAnsi="Arial" w:cs="Arial"/>
          <w:sz w:val="21"/>
          <w:szCs w:val="21"/>
        </w:rPr>
      </w:pPr>
      <w:r>
        <w:rPr>
          <w:rFonts w:hint="eastAsia" w:ascii="Arial" w:hAnsi="Arial" w:cs="Arial"/>
          <w:b/>
          <w:sz w:val="21"/>
          <w:szCs w:val="21"/>
        </w:rPr>
        <w:t>技术标准</w:t>
      </w:r>
    </w:p>
    <w:p w14:paraId="708994A4">
      <w:pPr>
        <w:wordWrap w:val="0"/>
        <w:overflowPunct w:val="0"/>
        <w:spacing w:line="480" w:lineRule="auto"/>
        <w:jc w:val="both"/>
        <w:textAlignment w:val="auto"/>
        <w:rPr>
          <w:rFonts w:ascii="Arial" w:hAnsi="Arial" w:cs="Arial"/>
          <w:sz w:val="21"/>
          <w:szCs w:val="21"/>
        </w:rPr>
      </w:pPr>
      <w:r>
        <w:rPr>
          <w:rFonts w:hint="eastAsia" w:ascii="Arial" w:hAnsi="Arial" w:cs="Arial"/>
          <w:sz w:val="21"/>
          <w:szCs w:val="21"/>
        </w:rPr>
        <w:t>1</w:t>
      </w:r>
      <w:r>
        <w:rPr>
          <w:rFonts w:ascii="Arial" w:hAnsi="Arial" w:cs="Arial"/>
          <w:sz w:val="21"/>
          <w:szCs w:val="21"/>
        </w:rPr>
        <w:t>.《房地产估价规范》[GB/T</w:t>
      </w:r>
      <w:r>
        <w:rPr>
          <w:rFonts w:hint="eastAsia" w:ascii="Arial" w:hAnsi="Arial" w:cs="Arial"/>
          <w:sz w:val="21"/>
          <w:szCs w:val="21"/>
        </w:rPr>
        <w:t xml:space="preserve"> </w:t>
      </w:r>
      <w:r>
        <w:rPr>
          <w:rFonts w:ascii="Arial" w:hAnsi="Arial" w:cs="Arial"/>
          <w:sz w:val="21"/>
          <w:szCs w:val="21"/>
        </w:rPr>
        <w:t>50291-2015]</w:t>
      </w:r>
    </w:p>
    <w:p w14:paraId="50DBF044">
      <w:pPr>
        <w:wordWrap w:val="0"/>
        <w:overflowPunct w:val="0"/>
        <w:spacing w:line="480" w:lineRule="auto"/>
        <w:jc w:val="both"/>
        <w:textAlignment w:val="auto"/>
        <w:rPr>
          <w:rFonts w:ascii="Arial" w:hAnsi="Arial" w:cs="Arial"/>
          <w:sz w:val="21"/>
          <w:szCs w:val="21"/>
        </w:rPr>
      </w:pPr>
      <w:r>
        <w:rPr>
          <w:rFonts w:hint="eastAsia" w:ascii="Arial" w:hAnsi="Arial" w:cs="Arial"/>
          <w:sz w:val="21"/>
          <w:szCs w:val="21"/>
        </w:rPr>
        <w:t>2</w:t>
      </w:r>
      <w:r>
        <w:rPr>
          <w:rFonts w:ascii="Arial" w:hAnsi="Arial" w:cs="Arial"/>
          <w:sz w:val="21"/>
          <w:szCs w:val="21"/>
        </w:rPr>
        <w:t>.</w:t>
      </w:r>
      <w:r>
        <w:rPr>
          <w:rFonts w:hint="eastAsia" w:ascii="Arial" w:hAnsi="Arial" w:cs="Arial"/>
          <w:sz w:val="21"/>
          <w:szCs w:val="21"/>
        </w:rPr>
        <w:t>《</w:t>
      </w:r>
      <w:r>
        <w:rPr>
          <w:rFonts w:ascii="Arial" w:hAnsi="Arial" w:cs="Arial"/>
          <w:sz w:val="21"/>
          <w:szCs w:val="21"/>
        </w:rPr>
        <w:t>房地产估价基本术语标</w:t>
      </w:r>
      <w:r>
        <w:rPr>
          <w:rFonts w:hint="eastAsia" w:ascii="Arial" w:hAnsi="Arial" w:cs="Arial"/>
          <w:sz w:val="21"/>
          <w:szCs w:val="21"/>
        </w:rPr>
        <w:t>准》</w:t>
      </w:r>
      <w:r>
        <w:rPr>
          <w:rFonts w:ascii="Arial" w:hAnsi="Arial" w:cs="Arial"/>
          <w:sz w:val="21"/>
          <w:szCs w:val="21"/>
        </w:rPr>
        <w:t>[GB/T</w:t>
      </w:r>
      <w:r>
        <w:rPr>
          <w:rFonts w:hint="eastAsia" w:ascii="Arial" w:hAnsi="Arial" w:cs="Arial"/>
          <w:sz w:val="21"/>
          <w:szCs w:val="21"/>
        </w:rPr>
        <w:t xml:space="preserve"> </w:t>
      </w:r>
      <w:r>
        <w:rPr>
          <w:rFonts w:ascii="Arial" w:hAnsi="Arial" w:cs="Arial"/>
          <w:sz w:val="21"/>
          <w:szCs w:val="21"/>
        </w:rPr>
        <w:t>50899-2013]</w:t>
      </w:r>
    </w:p>
    <w:p w14:paraId="2443CDC9">
      <w:pPr>
        <w:wordWrap w:val="0"/>
        <w:overflowPunct w:val="0"/>
        <w:spacing w:line="480" w:lineRule="auto"/>
        <w:jc w:val="both"/>
        <w:textAlignment w:val="auto"/>
        <w:rPr>
          <w:rFonts w:ascii="Arial" w:hAnsi="Arial" w:cs="Arial"/>
          <w:sz w:val="21"/>
          <w:szCs w:val="21"/>
        </w:rPr>
      </w:pPr>
      <w:r>
        <w:rPr>
          <w:rFonts w:hint="eastAsia" w:ascii="Arial" w:hAnsi="Arial" w:cs="Arial"/>
          <w:sz w:val="21"/>
          <w:szCs w:val="21"/>
        </w:rPr>
        <w:t>3</w:t>
      </w:r>
      <w:r>
        <w:rPr>
          <w:rFonts w:ascii="Arial" w:hAnsi="Arial" w:cs="Arial"/>
          <w:sz w:val="21"/>
          <w:szCs w:val="21"/>
        </w:rPr>
        <w:t>.</w:t>
      </w:r>
      <w:r>
        <w:rPr>
          <w:rFonts w:hint="eastAsia" w:ascii="Arial" w:hAnsi="Arial" w:cs="Arial"/>
          <w:sz w:val="21"/>
          <w:szCs w:val="21"/>
        </w:rPr>
        <w:t>《关于发布&lt;北京市公共租赁住房项目市场租金评估技术指引&gt;的通知》[北估秘[2019]020号]（自2020年1月1日起施行，有效期为三年，至价值时点，已过有效期。考虑到新版技术指引尚未发布，且目前北京市公共租赁住房市场租金评估相关标准仍按技术指引执行，故本次评估仅参照）</w:t>
      </w:r>
    </w:p>
    <w:p w14:paraId="128D4DF8">
      <w:pPr>
        <w:overflowPunct w:val="0"/>
        <w:spacing w:line="480" w:lineRule="auto"/>
        <w:jc w:val="both"/>
        <w:textAlignment w:val="auto"/>
        <w:rPr>
          <w:rFonts w:ascii="Arial" w:hAnsi="Arial" w:cs="Arial"/>
          <w:b/>
          <w:sz w:val="21"/>
          <w:szCs w:val="21"/>
        </w:rPr>
      </w:pPr>
      <w:r>
        <w:rPr>
          <w:rFonts w:ascii="Arial" w:hAnsi="Arial" w:cs="Arial"/>
          <w:b/>
          <w:sz w:val="21"/>
          <w:szCs w:val="21"/>
        </w:rPr>
        <w:t>（三）估价委托人提供的资料</w:t>
      </w:r>
    </w:p>
    <w:p w14:paraId="7BFBC300">
      <w:pPr>
        <w:numPr>
          <w:ilvl w:val="0"/>
          <w:numId w:val="7"/>
        </w:numPr>
        <w:overflowPunct w:val="0"/>
        <w:spacing w:line="480" w:lineRule="auto"/>
        <w:ind w:left="0" w:firstLine="0"/>
        <w:jc w:val="both"/>
        <w:textAlignment w:val="auto"/>
        <w:rPr>
          <w:rFonts w:ascii="Arial" w:hAnsi="Arial" w:cs="Arial"/>
          <w:sz w:val="21"/>
          <w:szCs w:val="21"/>
        </w:rPr>
      </w:pPr>
      <w:r>
        <w:rPr>
          <w:rFonts w:ascii="Arial" w:hAnsi="Arial" w:cs="Arial"/>
          <w:sz w:val="21"/>
          <w:szCs w:val="21"/>
        </w:rPr>
        <w:t>《估价委托书》</w:t>
      </w:r>
    </w:p>
    <w:p w14:paraId="4987BC96">
      <w:pPr>
        <w:numPr>
          <w:ilvl w:val="0"/>
          <w:numId w:val="7"/>
        </w:numPr>
        <w:overflowPunct w:val="0"/>
        <w:spacing w:line="480" w:lineRule="auto"/>
        <w:ind w:left="0" w:firstLine="0"/>
        <w:jc w:val="both"/>
        <w:textAlignment w:val="auto"/>
        <w:rPr>
          <w:rFonts w:ascii="Arial" w:hAnsi="Arial" w:cs="Arial"/>
          <w:sz w:val="21"/>
          <w:szCs w:val="21"/>
        </w:rPr>
      </w:pPr>
      <w:r>
        <w:rPr>
          <w:rFonts w:ascii="Arial" w:hAnsi="Arial" w:cs="Arial"/>
          <w:sz w:val="21"/>
          <w:szCs w:val="21"/>
        </w:rPr>
        <w:t>《不动产权证书》[京（2018）开不动产权第0015356号]复印件</w:t>
      </w:r>
    </w:p>
    <w:p w14:paraId="770C48ED">
      <w:pPr>
        <w:numPr>
          <w:ilvl w:val="0"/>
          <w:numId w:val="7"/>
        </w:numPr>
        <w:overflowPunct w:val="0"/>
        <w:spacing w:line="480" w:lineRule="auto"/>
        <w:ind w:left="0" w:firstLine="0"/>
        <w:jc w:val="both"/>
        <w:textAlignment w:val="auto"/>
        <w:rPr>
          <w:rFonts w:ascii="Arial" w:hAnsi="Arial" w:cs="Arial"/>
          <w:sz w:val="21"/>
          <w:szCs w:val="21"/>
        </w:rPr>
      </w:pPr>
      <w:r>
        <w:rPr>
          <w:rFonts w:ascii="Arial" w:hAnsi="Arial" w:cs="Arial"/>
          <w:sz w:val="21"/>
          <w:szCs w:val="21"/>
        </w:rPr>
        <w:t>《E18国际人才公寓房屋明细》复印件</w:t>
      </w:r>
    </w:p>
    <w:p w14:paraId="49C9302C">
      <w:pPr>
        <w:numPr>
          <w:ilvl w:val="0"/>
          <w:numId w:val="7"/>
        </w:numPr>
        <w:overflowPunct w:val="0"/>
        <w:spacing w:line="480" w:lineRule="auto"/>
        <w:ind w:left="0" w:firstLine="0"/>
        <w:jc w:val="both"/>
        <w:textAlignment w:val="auto"/>
        <w:rPr>
          <w:rFonts w:ascii="Arial" w:hAnsi="Arial" w:cs="Arial"/>
          <w:sz w:val="21"/>
          <w:szCs w:val="21"/>
        </w:rPr>
      </w:pPr>
      <w:r>
        <w:rPr>
          <w:rFonts w:ascii="Arial" w:hAnsi="Arial" w:cs="Arial"/>
          <w:sz w:val="21"/>
          <w:szCs w:val="21"/>
        </w:rPr>
        <w:t>估价委托人《营业执照（副本）》复印件</w:t>
      </w:r>
    </w:p>
    <w:p w14:paraId="2393C76D">
      <w:pPr>
        <w:overflowPunct w:val="0"/>
        <w:spacing w:line="480" w:lineRule="auto"/>
        <w:jc w:val="both"/>
        <w:textAlignment w:val="auto"/>
        <w:rPr>
          <w:rFonts w:ascii="Arial" w:hAnsi="Arial" w:cs="Arial"/>
          <w:b/>
          <w:sz w:val="21"/>
          <w:szCs w:val="21"/>
        </w:rPr>
      </w:pPr>
      <w:r>
        <w:rPr>
          <w:rFonts w:ascii="Arial" w:hAnsi="Arial" w:cs="Arial"/>
          <w:b/>
          <w:sz w:val="21"/>
          <w:szCs w:val="21"/>
        </w:rPr>
        <w:t>（四）评估专业人员实地查勘的有关资料</w:t>
      </w:r>
    </w:p>
    <w:p w14:paraId="047A65D6">
      <w:pPr>
        <w:overflowPunct w:val="0"/>
        <w:spacing w:line="480" w:lineRule="auto"/>
        <w:jc w:val="both"/>
        <w:textAlignment w:val="auto"/>
      </w:pPr>
      <w:r>
        <w:rPr>
          <w:rFonts w:ascii="Arial" w:hAnsi="Arial" w:cs="Arial"/>
          <w:b/>
          <w:color w:val="000000"/>
          <w:sz w:val="21"/>
          <w:szCs w:val="21"/>
        </w:rPr>
        <w:t>（五）房地产估价机构资质证书</w:t>
      </w:r>
    </w:p>
    <w:p w14:paraId="04B75862">
      <w:pPr>
        <w:overflowPunct w:val="0"/>
        <w:spacing w:line="480" w:lineRule="auto"/>
        <w:ind w:firstLine="420"/>
        <w:jc w:val="both"/>
        <w:textAlignment w:val="auto"/>
        <w:rPr>
          <w:rFonts w:ascii="Arial" w:hAnsi="Arial" w:cs="Arial"/>
          <w:b/>
          <w:color w:val="000000"/>
          <w:sz w:val="21"/>
          <w:szCs w:val="21"/>
        </w:rPr>
      </w:pPr>
    </w:p>
    <w:p w14:paraId="52C5FCCA">
      <w:pPr>
        <w:pStyle w:val="3"/>
        <w:numPr>
          <w:ilvl w:val="0"/>
          <w:numId w:val="8"/>
        </w:numPr>
        <w:overflowPunct w:val="0"/>
        <w:spacing w:line="480" w:lineRule="auto"/>
        <w:ind w:left="358" w:hanging="358"/>
        <w:jc w:val="both"/>
        <w:textAlignment w:val="auto"/>
        <w:rPr>
          <w:rFonts w:eastAsia="宋体;SimSun"/>
          <w:kern w:val="2"/>
          <w:sz w:val="21"/>
          <w:szCs w:val="21"/>
        </w:rPr>
      </w:pPr>
      <w:bookmarkStart w:id="18" w:name="_Toc155340490"/>
      <w:r>
        <w:rPr>
          <w:rFonts w:eastAsia="宋体;SimSun"/>
          <w:kern w:val="2"/>
          <w:sz w:val="21"/>
          <w:szCs w:val="21"/>
        </w:rPr>
        <w:t>估价方法</w:t>
      </w:r>
      <w:bookmarkEnd w:id="18"/>
    </w:p>
    <w:p w14:paraId="57C375DA">
      <w:pPr>
        <w:overflowPunct w:val="0"/>
        <w:autoSpaceDE w:val="0"/>
        <w:spacing w:line="480" w:lineRule="auto"/>
        <w:ind w:right="140" w:firstLine="420"/>
        <w:jc w:val="both"/>
        <w:textAlignment w:val="auto"/>
        <w:rPr>
          <w:rFonts w:ascii="Arial" w:hAnsi="Arial" w:cs="Arial"/>
          <w:sz w:val="21"/>
          <w:szCs w:val="21"/>
        </w:rPr>
      </w:pPr>
      <w:r>
        <w:rPr>
          <w:rFonts w:ascii="Arial" w:hAnsi="Arial" w:cs="Arial"/>
          <w:sz w:val="21"/>
          <w:szCs w:val="21"/>
        </w:rPr>
        <w:t>由于本次评估是</w:t>
      </w:r>
      <w:r>
        <w:rPr>
          <w:rFonts w:hint="eastAsia" w:ascii="Arial" w:hAnsi="Arial" w:cs="Arial"/>
          <w:sz w:val="21"/>
          <w:szCs w:val="21"/>
        </w:rPr>
        <w:t>为估价委托人确定公共租赁住房项目市场租金提供价格参考依据</w:t>
      </w:r>
      <w:r>
        <w:rPr>
          <w:rFonts w:ascii="Arial" w:hAnsi="Arial" w:cs="Arial"/>
          <w:sz w:val="21"/>
          <w:szCs w:val="21"/>
        </w:rPr>
        <w:t>，因此我们在认真分析研究估价对象的相关资料，并通过对邻近地区同类物业调查的基础上，根据《房地产估价规范》</w:t>
      </w:r>
      <w:r>
        <w:rPr>
          <w:rFonts w:hint="eastAsia" w:ascii="Arial" w:hAnsi="Arial" w:cs="Arial"/>
          <w:sz w:val="21"/>
          <w:szCs w:val="21"/>
        </w:rPr>
        <w:t>（</w:t>
      </w:r>
      <w:r>
        <w:rPr>
          <w:rFonts w:ascii="Arial" w:hAnsi="Arial" w:cs="Arial"/>
          <w:sz w:val="21"/>
          <w:szCs w:val="21"/>
        </w:rPr>
        <w:t>GB/T</w:t>
      </w:r>
      <w:r>
        <w:rPr>
          <w:rFonts w:hint="eastAsia" w:ascii="Arial" w:hAnsi="Arial" w:cs="Arial"/>
          <w:sz w:val="21"/>
          <w:szCs w:val="21"/>
        </w:rPr>
        <w:t xml:space="preserve"> </w:t>
      </w:r>
      <w:r>
        <w:rPr>
          <w:rFonts w:ascii="Arial" w:hAnsi="Arial" w:cs="Arial"/>
          <w:sz w:val="21"/>
          <w:szCs w:val="21"/>
        </w:rPr>
        <w:t>50291-2015</w:t>
      </w:r>
      <w:r>
        <w:rPr>
          <w:rFonts w:hint="eastAsia" w:ascii="Arial" w:hAnsi="Arial" w:cs="Arial"/>
          <w:sz w:val="21"/>
          <w:szCs w:val="21"/>
        </w:rPr>
        <w:t>），参照《关于发布&lt;北京市公共租赁住房项目市场租金评估技术指引&gt;的通知》[北估秘[2019]020号]</w:t>
      </w:r>
      <w:r>
        <w:rPr>
          <w:rFonts w:ascii="Arial" w:hAnsi="Arial" w:cs="Arial"/>
          <w:sz w:val="21"/>
          <w:szCs w:val="21"/>
        </w:rPr>
        <w:t>的估价程序，选用比较法为主方法进行估价，进而确定估价对象市场平均租金价格水平。</w:t>
      </w:r>
    </w:p>
    <w:p w14:paraId="111F9D76">
      <w:pPr>
        <w:pStyle w:val="270"/>
        <w:overflowPunct w:val="0"/>
        <w:autoSpaceDE w:val="0"/>
        <w:spacing w:line="480" w:lineRule="auto"/>
        <w:ind w:right="140"/>
        <w:jc w:val="both"/>
        <w:textAlignment w:val="auto"/>
      </w:pPr>
      <w:r>
        <w:rPr>
          <w:rFonts w:ascii="Arial" w:hAnsi="Arial" w:cs="Arial"/>
          <w:b/>
          <w:color w:val="000000"/>
          <w:sz w:val="21"/>
          <w:szCs w:val="21"/>
        </w:rPr>
        <w:t>（一）估价思路</w:t>
      </w:r>
      <w:r>
        <w:rPr>
          <w:rFonts w:ascii="Arial" w:hAnsi="Arial" w:eastAsia="Arial" w:cs="Arial"/>
          <w:b/>
          <w:color w:val="000000"/>
          <w:sz w:val="21"/>
          <w:szCs w:val="21"/>
        </w:rPr>
        <w:t xml:space="preserve"> </w:t>
      </w:r>
    </w:p>
    <w:p w14:paraId="419B9021">
      <w:pPr>
        <w:pStyle w:val="270"/>
        <w:overflowPunct w:val="0"/>
        <w:autoSpaceDE w:val="0"/>
        <w:spacing w:line="480" w:lineRule="auto"/>
        <w:ind w:right="140" w:firstLine="420"/>
        <w:jc w:val="both"/>
        <w:textAlignment w:val="auto"/>
      </w:pPr>
      <w:r>
        <w:rPr>
          <w:rFonts w:ascii="Arial" w:hAnsi="Arial" w:cs="Arial"/>
          <w:color w:val="000000"/>
          <w:sz w:val="21"/>
          <w:szCs w:val="21"/>
        </w:rPr>
        <w:t>本次选用比较法对估价对象的市场租金水平进行测算，具体测算思路如下：</w:t>
      </w:r>
    </w:p>
    <w:p w14:paraId="1162A740">
      <w:pPr>
        <w:pStyle w:val="270"/>
        <w:overflowPunct w:val="0"/>
        <w:autoSpaceDE w:val="0"/>
        <w:spacing w:line="480" w:lineRule="auto"/>
        <w:ind w:right="140" w:firstLine="420"/>
        <w:jc w:val="both"/>
        <w:textAlignment w:val="auto"/>
        <w:rPr>
          <w:rFonts w:ascii="Arial" w:hAnsi="Arial" w:cs="Arial"/>
          <w:color w:val="000000"/>
          <w:sz w:val="21"/>
          <w:szCs w:val="21"/>
        </w:rPr>
      </w:pPr>
      <w:r>
        <w:rPr>
          <w:rFonts w:ascii="Arial" w:hAnsi="Arial" w:cs="Arial"/>
          <w:color w:val="000000"/>
          <w:sz w:val="21"/>
          <w:szCs w:val="21"/>
        </w:rPr>
        <w:t>1.首先确认估价对象标准房。标准房设定如下：</w:t>
      </w:r>
    </w:p>
    <w:p w14:paraId="66A05C11">
      <w:pPr>
        <w:pStyle w:val="270"/>
        <w:overflowPunct w:val="0"/>
        <w:autoSpaceDE w:val="0"/>
        <w:spacing w:line="480" w:lineRule="auto"/>
        <w:ind w:right="140" w:firstLine="420"/>
        <w:jc w:val="both"/>
        <w:textAlignment w:val="auto"/>
        <w:rPr>
          <w:rFonts w:ascii="Arial" w:hAnsi="Arial" w:cs="Arial"/>
          <w:kern w:val="2"/>
          <w:sz w:val="21"/>
          <w:szCs w:val="21"/>
        </w:rPr>
      </w:pPr>
      <w:r>
        <w:rPr>
          <w:rFonts w:ascii="Arial" w:hAnsi="Arial" w:cs="Arial"/>
          <w:bCs/>
          <w:color w:val="000000"/>
          <w:sz w:val="21"/>
          <w:szCs w:val="21"/>
        </w:rPr>
        <w:t>估价对象</w:t>
      </w:r>
      <w:r>
        <w:rPr>
          <w:rFonts w:ascii="Arial" w:hAnsi="Arial" w:cs="Arial"/>
          <w:sz w:val="21"/>
          <w:szCs w:val="21"/>
        </w:rPr>
        <w:t>有两种户型，分别为一居室、两居室。其中，一居室</w:t>
      </w:r>
      <w:r>
        <w:rPr>
          <w:rFonts w:hint="eastAsia" w:ascii="Arial" w:hAnsi="Arial" w:cs="Arial"/>
          <w:sz w:val="21"/>
          <w:szCs w:val="21"/>
        </w:rPr>
        <w:t>共103套</w:t>
      </w:r>
      <w:r>
        <w:rPr>
          <w:rFonts w:ascii="Arial" w:hAnsi="Arial" w:cs="Arial"/>
          <w:sz w:val="21"/>
          <w:szCs w:val="21"/>
        </w:rPr>
        <w:t>，面积控制在</w:t>
      </w:r>
      <w:r>
        <w:rPr>
          <w:rFonts w:hint="eastAsia" w:ascii="Arial" w:hAnsi="Arial" w:cs="Arial"/>
          <w:sz w:val="21"/>
          <w:szCs w:val="21"/>
        </w:rPr>
        <w:t>69.62-69.8</w:t>
      </w:r>
      <w:r>
        <w:rPr>
          <w:rFonts w:ascii="Arial" w:hAnsi="Arial" w:cs="Arial"/>
          <w:sz w:val="21"/>
          <w:szCs w:val="21"/>
        </w:rPr>
        <w:t>平方米；</w:t>
      </w:r>
      <w:r>
        <w:rPr>
          <w:rFonts w:hint="eastAsia" w:ascii="Arial" w:hAnsi="Arial" w:cs="Arial"/>
          <w:sz w:val="21"/>
          <w:szCs w:val="21"/>
        </w:rPr>
        <w:t>两居室共412套</w:t>
      </w:r>
      <w:r>
        <w:rPr>
          <w:rFonts w:ascii="Arial" w:hAnsi="Arial" w:cs="Arial"/>
          <w:sz w:val="21"/>
          <w:szCs w:val="21"/>
        </w:rPr>
        <w:t>，面积控制在</w:t>
      </w:r>
      <w:r>
        <w:rPr>
          <w:rFonts w:hint="eastAsia" w:ascii="Arial" w:hAnsi="Arial" w:cs="Arial"/>
          <w:sz w:val="21"/>
          <w:szCs w:val="21"/>
        </w:rPr>
        <w:t>88.41-92.39</w:t>
      </w:r>
      <w:r>
        <w:rPr>
          <w:rFonts w:ascii="Arial" w:hAnsi="Arial" w:cs="Arial"/>
          <w:sz w:val="21"/>
          <w:szCs w:val="21"/>
        </w:rPr>
        <w:t>平方米。依据众数原则，</w:t>
      </w:r>
      <w:r>
        <w:rPr>
          <w:rFonts w:ascii="Arial" w:hAnsi="Arial" w:cs="Arial"/>
          <w:color w:val="000000"/>
          <w:sz w:val="21"/>
          <w:szCs w:val="21"/>
        </w:rPr>
        <w:t>选取</w:t>
      </w:r>
      <w:r>
        <w:rPr>
          <w:rFonts w:ascii="Arial" w:hAnsi="Arial" w:cs="Arial"/>
          <w:kern w:val="2"/>
          <w:sz w:val="21"/>
          <w:szCs w:val="21"/>
        </w:rPr>
        <w:t>标准房户型为</w:t>
      </w:r>
      <w:r>
        <w:rPr>
          <w:rFonts w:hint="eastAsia" w:ascii="Arial" w:hAnsi="Arial" w:cs="Arial"/>
          <w:kern w:val="2"/>
          <w:sz w:val="21"/>
          <w:szCs w:val="21"/>
        </w:rPr>
        <w:t>两居室</w:t>
      </w:r>
      <w:r>
        <w:rPr>
          <w:rFonts w:ascii="Arial" w:hAnsi="Arial" w:cs="Arial"/>
          <w:kern w:val="2"/>
          <w:sz w:val="21"/>
          <w:szCs w:val="21"/>
        </w:rPr>
        <w:t>，面积为</w:t>
      </w:r>
      <w:r>
        <w:rPr>
          <w:rFonts w:hint="eastAsia" w:ascii="Arial" w:hAnsi="Arial" w:cs="Arial"/>
          <w:kern w:val="2"/>
          <w:sz w:val="21"/>
          <w:szCs w:val="21"/>
        </w:rPr>
        <w:t>89.62</w:t>
      </w:r>
      <w:r>
        <w:rPr>
          <w:rFonts w:ascii="Arial" w:hAnsi="Arial" w:cs="Arial"/>
          <w:kern w:val="2"/>
          <w:sz w:val="21"/>
          <w:szCs w:val="21"/>
        </w:rPr>
        <w:t>平方米，朝向为南，装修情况为简单装修。</w:t>
      </w:r>
    </w:p>
    <w:p w14:paraId="5E7EA7FB">
      <w:pPr>
        <w:pStyle w:val="278"/>
        <w:wordWrap w:val="0"/>
        <w:overflowPunct w:val="0"/>
        <w:autoSpaceDE w:val="0"/>
        <w:autoSpaceDN w:val="0"/>
        <w:spacing w:line="480" w:lineRule="auto"/>
        <w:ind w:right="140" w:firstLine="420" w:firstLineChars="200"/>
        <w:jc w:val="both"/>
        <w:textAlignment w:val="auto"/>
        <w:rPr>
          <w:rFonts w:ascii="Arial" w:hAnsi="Arial" w:cs="Arial"/>
          <w:color w:val="000000"/>
          <w:sz w:val="21"/>
          <w:szCs w:val="21"/>
        </w:rPr>
      </w:pPr>
      <w:r>
        <w:rPr>
          <w:rFonts w:ascii="Arial" w:hAnsi="Arial" w:cs="Arial"/>
          <w:color w:val="000000"/>
          <w:sz w:val="21"/>
          <w:szCs w:val="21"/>
        </w:rPr>
        <w:t>2.在估价对象周边区域选取适当数量住宅小区，结合估价机构监测数据、行业主管部门（北京市房地产市场管理事务中心）监测数据和估价机构市场调查三个方面的批量数据，选取可比小区。</w:t>
      </w:r>
    </w:p>
    <w:p w14:paraId="0241C1A7">
      <w:pPr>
        <w:pStyle w:val="278"/>
        <w:wordWrap w:val="0"/>
        <w:overflowPunct w:val="0"/>
        <w:autoSpaceDE w:val="0"/>
        <w:autoSpaceDN w:val="0"/>
        <w:spacing w:line="480" w:lineRule="auto"/>
        <w:ind w:right="140" w:firstLine="420" w:firstLineChars="200"/>
        <w:jc w:val="both"/>
        <w:textAlignment w:val="auto"/>
        <w:rPr>
          <w:rFonts w:ascii="Arial" w:hAnsi="Arial" w:cs="Arial"/>
          <w:color w:val="000000"/>
          <w:sz w:val="21"/>
          <w:szCs w:val="21"/>
        </w:rPr>
      </w:pPr>
      <w:r>
        <w:rPr>
          <w:rFonts w:ascii="Arial" w:hAnsi="Arial" w:cs="Arial"/>
          <w:color w:val="000000"/>
          <w:sz w:val="21"/>
          <w:szCs w:val="21"/>
        </w:rPr>
        <w:t>3.将所选可比小区与评估对象公共租赁住房</w:t>
      </w:r>
      <w:r>
        <w:rPr>
          <w:rFonts w:hint="eastAsia" w:ascii="Arial" w:hAnsi="Arial" w:cs="Arial"/>
          <w:color w:val="000000"/>
          <w:sz w:val="21"/>
          <w:szCs w:val="21"/>
        </w:rPr>
        <w:t>（ 领军人才公寓）</w:t>
      </w:r>
      <w:r>
        <w:rPr>
          <w:rFonts w:ascii="Arial" w:hAnsi="Arial" w:cs="Arial"/>
          <w:color w:val="000000"/>
          <w:sz w:val="21"/>
          <w:szCs w:val="21"/>
        </w:rPr>
        <w:t>标准房进行比较，进行区位状况调整和实物状况调整，计算各可比实例比准租金，得到</w:t>
      </w:r>
      <w:r>
        <w:rPr>
          <w:rFonts w:hint="eastAsia" w:ascii="Arial" w:hAnsi="Arial" w:cs="Arial"/>
          <w:color w:val="000000"/>
          <w:sz w:val="21"/>
          <w:szCs w:val="21"/>
        </w:rPr>
        <w:t>标准小区（领军人才公寓）</w:t>
      </w:r>
      <w:r>
        <w:rPr>
          <w:rFonts w:ascii="Arial" w:hAnsi="Arial" w:cs="Arial"/>
          <w:color w:val="000000"/>
          <w:sz w:val="21"/>
          <w:szCs w:val="21"/>
        </w:rPr>
        <w:t>标准房租金水平。</w:t>
      </w:r>
    </w:p>
    <w:p w14:paraId="066A7174">
      <w:pPr>
        <w:pStyle w:val="270"/>
        <w:overflowPunct w:val="0"/>
        <w:autoSpaceDE w:val="0"/>
        <w:spacing w:line="480" w:lineRule="auto"/>
        <w:ind w:right="140" w:firstLine="420"/>
        <w:jc w:val="both"/>
        <w:textAlignment w:val="auto"/>
      </w:pPr>
      <w:r>
        <w:rPr>
          <w:rFonts w:ascii="Arial" w:hAnsi="Arial" w:cs="Arial"/>
          <w:color w:val="000000"/>
          <w:sz w:val="21"/>
          <w:szCs w:val="21"/>
        </w:rPr>
        <w:t>4.将估价对象</w:t>
      </w:r>
      <w:r>
        <w:rPr>
          <w:rFonts w:hint="eastAsia" w:ascii="Arial" w:hAnsi="Arial" w:cs="Arial"/>
          <w:color w:val="000000"/>
          <w:sz w:val="21"/>
          <w:szCs w:val="21"/>
        </w:rPr>
        <w:t>杰出人才公寓标准房</w:t>
      </w:r>
      <w:r>
        <w:rPr>
          <w:rFonts w:ascii="Arial" w:hAnsi="Arial" w:cs="Arial"/>
          <w:color w:val="000000"/>
          <w:sz w:val="21"/>
          <w:szCs w:val="21"/>
        </w:rPr>
        <w:t>与</w:t>
      </w:r>
      <w:r>
        <w:rPr>
          <w:rFonts w:hint="eastAsia" w:ascii="Arial" w:hAnsi="Arial" w:cs="Arial"/>
          <w:color w:val="000000"/>
          <w:sz w:val="21"/>
          <w:szCs w:val="21"/>
        </w:rPr>
        <w:t>领军人才公寓</w:t>
      </w:r>
      <w:r>
        <w:rPr>
          <w:rFonts w:ascii="Arial" w:hAnsi="Arial" w:cs="Arial"/>
          <w:color w:val="000000"/>
          <w:sz w:val="21"/>
          <w:szCs w:val="21"/>
        </w:rPr>
        <w:t>标准房进行比较，得到</w:t>
      </w:r>
      <w:r>
        <w:rPr>
          <w:rFonts w:hint="eastAsia" w:ascii="Arial" w:hAnsi="Arial" w:cs="Arial"/>
          <w:color w:val="000000"/>
          <w:sz w:val="21"/>
          <w:szCs w:val="21"/>
        </w:rPr>
        <w:t>杰出人才公寓标准房</w:t>
      </w:r>
      <w:r>
        <w:rPr>
          <w:rFonts w:ascii="Arial" w:hAnsi="Arial" w:cs="Arial"/>
          <w:color w:val="000000"/>
          <w:sz w:val="21"/>
          <w:szCs w:val="21"/>
        </w:rPr>
        <w:t>租金水平。</w:t>
      </w:r>
    </w:p>
    <w:p w14:paraId="2CB87A9B">
      <w:pPr>
        <w:pStyle w:val="270"/>
        <w:overflowPunct w:val="0"/>
        <w:autoSpaceDE w:val="0"/>
        <w:spacing w:line="480" w:lineRule="auto"/>
        <w:ind w:right="140"/>
        <w:jc w:val="both"/>
        <w:textAlignment w:val="auto"/>
      </w:pPr>
      <w:r>
        <w:rPr>
          <w:rFonts w:ascii="Arial" w:hAnsi="Arial" w:cs="Arial"/>
          <w:b/>
          <w:color w:val="000000"/>
          <w:sz w:val="21"/>
          <w:szCs w:val="21"/>
        </w:rPr>
        <w:t>（二）估价方法</w:t>
      </w:r>
      <w:r>
        <w:rPr>
          <w:rFonts w:ascii="Arial" w:hAnsi="Arial" w:eastAsia="Arial" w:cs="Arial"/>
          <w:b/>
          <w:color w:val="000000"/>
          <w:sz w:val="21"/>
          <w:szCs w:val="21"/>
        </w:rPr>
        <w:t xml:space="preserve"> </w:t>
      </w:r>
    </w:p>
    <w:p w14:paraId="0FD996BE">
      <w:pPr>
        <w:pStyle w:val="279"/>
        <w:wordWrap w:val="0"/>
        <w:overflowPunct w:val="0"/>
        <w:autoSpaceDE w:val="0"/>
        <w:autoSpaceDN w:val="0"/>
        <w:spacing w:line="480" w:lineRule="auto"/>
        <w:ind w:right="140" w:firstLine="420" w:firstLineChars="200"/>
        <w:jc w:val="both"/>
        <w:textAlignment w:val="auto"/>
        <w:rPr>
          <w:rFonts w:ascii="Arial" w:hAnsi="Arial" w:cs="Arial"/>
          <w:color w:val="000000"/>
          <w:sz w:val="21"/>
          <w:szCs w:val="21"/>
        </w:rPr>
      </w:pPr>
      <w:r>
        <w:rPr>
          <w:rFonts w:ascii="Arial" w:hAnsi="Arial" w:cs="Arial"/>
          <w:sz w:val="21"/>
          <w:szCs w:val="21"/>
        </w:rPr>
        <w:t>比较法，是在求取估价对象房地产价值时，根据替代原则，将估价对象与在较近时期内已发生交易的类似房地产交易实例进行对照比较，并依据后者已知的价格，参照该房地产的交易情况、期日、区域及实物状况的差别，修正得出估价对象房地产市场价值的方法。本次估价采用比较法思路评估租金价格水平。</w:t>
      </w:r>
    </w:p>
    <w:p w14:paraId="6B344D85">
      <w:pPr>
        <w:pStyle w:val="270"/>
        <w:overflowPunct w:val="0"/>
        <w:autoSpaceDE w:val="0"/>
        <w:spacing w:line="480" w:lineRule="auto"/>
        <w:ind w:right="140" w:firstLine="420"/>
        <w:jc w:val="both"/>
        <w:textAlignment w:val="auto"/>
      </w:pPr>
      <w:r>
        <w:rPr>
          <w:rFonts w:ascii="Arial" w:hAnsi="Arial" w:cs="Arial"/>
          <w:color w:val="000000"/>
          <w:sz w:val="21"/>
          <w:szCs w:val="21"/>
        </w:rPr>
        <w:t>1.采用比较法的理由：</w:t>
      </w:r>
    </w:p>
    <w:p w14:paraId="60C638A3">
      <w:pPr>
        <w:pStyle w:val="270"/>
        <w:overflowPunct w:val="0"/>
        <w:autoSpaceDE w:val="0"/>
        <w:spacing w:line="480" w:lineRule="auto"/>
        <w:ind w:right="140" w:firstLine="420"/>
        <w:jc w:val="both"/>
        <w:textAlignment w:val="auto"/>
        <w:rPr>
          <w:rFonts w:ascii="Arial" w:hAnsi="Arial" w:cs="Arial"/>
          <w:color w:val="000000"/>
          <w:sz w:val="21"/>
          <w:szCs w:val="21"/>
        </w:rPr>
      </w:pPr>
      <w:r>
        <w:rPr>
          <w:rFonts w:ascii="Arial" w:hAnsi="Arial" w:cs="Arial"/>
          <w:sz w:val="21"/>
          <w:szCs w:val="21"/>
        </w:rPr>
        <w:t>估价对象所处区域近期有较多的相同用途物业的出租案例，且交易时间与价值时点接近，故适宜采用比较法进行租赁价格评估；同时有所在区域住宅出租的公开信息，可通过因素修正得出估价对象所在区域住宅租赁价格水平</w:t>
      </w:r>
      <w:r>
        <w:rPr>
          <w:rFonts w:hint="eastAsia" w:ascii="Arial" w:hAnsi="Arial" w:cs="Arial"/>
          <w:sz w:val="21"/>
          <w:szCs w:val="21"/>
        </w:rPr>
        <w:t>。</w:t>
      </w:r>
    </w:p>
    <w:p w14:paraId="401B9D4D">
      <w:pPr>
        <w:pStyle w:val="270"/>
        <w:overflowPunct w:val="0"/>
        <w:autoSpaceDE w:val="0"/>
        <w:spacing w:line="480" w:lineRule="auto"/>
        <w:ind w:right="140" w:firstLine="420"/>
        <w:jc w:val="both"/>
        <w:textAlignment w:val="auto"/>
      </w:pPr>
      <w:r>
        <w:rPr>
          <w:rFonts w:ascii="Arial" w:hAnsi="Arial" w:cs="Arial"/>
          <w:color w:val="000000"/>
          <w:sz w:val="21"/>
          <w:szCs w:val="21"/>
        </w:rPr>
        <w:t>2.不采用成本法、假设开发法、收益法的理由：</w:t>
      </w:r>
    </w:p>
    <w:p w14:paraId="6DBDCB80">
      <w:pPr>
        <w:pStyle w:val="270"/>
        <w:overflowPunct w:val="0"/>
        <w:autoSpaceDE w:val="0"/>
        <w:spacing w:line="480" w:lineRule="auto"/>
        <w:ind w:right="140" w:firstLine="420"/>
        <w:jc w:val="both"/>
        <w:textAlignment w:val="auto"/>
        <w:rPr>
          <w:rFonts w:cs="Arial"/>
          <w:sz w:val="21"/>
          <w:szCs w:val="21"/>
        </w:rPr>
      </w:pPr>
      <w:r>
        <w:rPr>
          <w:rFonts w:cs="Arial"/>
          <w:sz w:val="21"/>
          <w:szCs w:val="21"/>
        </w:rPr>
        <w:t>（1）估价对象适用比较法，且已优先采用比较法进行评估，故不再采用成本法进行测算。</w:t>
      </w:r>
    </w:p>
    <w:p w14:paraId="17ED555A">
      <w:pPr>
        <w:pStyle w:val="270"/>
        <w:overflowPunct w:val="0"/>
        <w:autoSpaceDE w:val="0"/>
        <w:spacing w:line="480" w:lineRule="auto"/>
        <w:ind w:right="140" w:firstLine="420"/>
        <w:jc w:val="both"/>
        <w:textAlignment w:val="auto"/>
      </w:pPr>
      <w:r>
        <w:rPr>
          <w:rFonts w:cs="Arial"/>
          <w:sz w:val="21"/>
          <w:szCs w:val="21"/>
        </w:rPr>
        <w:t>（2）</w:t>
      </w:r>
      <w:r>
        <w:rPr>
          <w:rFonts w:hint="eastAsia" w:ascii="Arial" w:hAnsi="Arial" w:cs="Arial"/>
          <w:sz w:val="21"/>
          <w:szCs w:val="21"/>
        </w:rPr>
        <w:t>假设开发法可评估房地产市场价值，但不适于租赁价格的评估。</w:t>
      </w:r>
    </w:p>
    <w:p w14:paraId="5B799187">
      <w:pPr>
        <w:pStyle w:val="270"/>
        <w:overflowPunct w:val="0"/>
        <w:autoSpaceDE w:val="0"/>
        <w:spacing w:line="480" w:lineRule="auto"/>
        <w:ind w:right="140" w:firstLine="420"/>
        <w:jc w:val="both"/>
        <w:textAlignment w:val="auto"/>
      </w:pPr>
      <w:r>
        <w:rPr>
          <w:rFonts w:cs="Arial"/>
          <w:sz w:val="21"/>
          <w:szCs w:val="21"/>
        </w:rPr>
        <w:t>（3）</w:t>
      </w:r>
      <w:r>
        <w:rPr>
          <w:rFonts w:hint="eastAsia" w:ascii="Arial" w:hAnsi="Arial" w:cs="Arial"/>
          <w:sz w:val="21"/>
          <w:szCs w:val="21"/>
        </w:rPr>
        <w:t>收益法适用于有现实收益或潜在收益的土地或房地产估价。估价对象用途为公共租赁住房，能对外出租，为收益性物业，估价对象虽具有潜在租金收益，租金水平也相对稳定，而由于受到国人传统的购房理念以及固定资产投资、保值需求等的影响，目前估价对象同类商品房住宅业态租售比差距较大，采用房屋交易价格测算出的房屋租金不能反映正常的市场租金水平，故未采用收益法。</w:t>
      </w:r>
      <w:r>
        <w:rPr>
          <w:rFonts w:ascii="Arial" w:hAnsi="Arial" w:eastAsia="Arial" w:cs="Arial"/>
          <w:sz w:val="21"/>
          <w:szCs w:val="21"/>
        </w:rPr>
        <w:t xml:space="preserve"> </w:t>
      </w:r>
    </w:p>
    <w:p w14:paraId="25B02104">
      <w:pPr>
        <w:pStyle w:val="270"/>
        <w:overflowPunct w:val="0"/>
        <w:autoSpaceDE w:val="0"/>
        <w:spacing w:line="480" w:lineRule="auto"/>
        <w:ind w:right="140" w:firstLine="420"/>
        <w:jc w:val="both"/>
        <w:textAlignment w:val="auto"/>
        <w:rPr>
          <w:rFonts w:ascii="Arial" w:hAnsi="Arial" w:cs="Arial"/>
          <w:sz w:val="21"/>
          <w:szCs w:val="21"/>
        </w:rPr>
      </w:pPr>
    </w:p>
    <w:p w14:paraId="27EE6AC0">
      <w:pPr>
        <w:pStyle w:val="3"/>
        <w:numPr>
          <w:ilvl w:val="0"/>
          <w:numId w:val="0"/>
        </w:numPr>
        <w:overflowPunct w:val="0"/>
        <w:spacing w:line="480" w:lineRule="auto"/>
        <w:ind w:left="357" w:hanging="357"/>
        <w:jc w:val="both"/>
        <w:textAlignment w:val="auto"/>
        <w:rPr>
          <w:rFonts w:eastAsia="宋体;SimSun"/>
          <w:kern w:val="2"/>
          <w:sz w:val="21"/>
          <w:szCs w:val="21"/>
        </w:rPr>
      </w:pPr>
      <w:bookmarkStart w:id="19" w:name="_Toc155340491"/>
      <w:r>
        <w:rPr>
          <w:rFonts w:eastAsia="宋体;SimSun"/>
          <w:kern w:val="2"/>
          <w:sz w:val="21"/>
          <w:szCs w:val="21"/>
        </w:rPr>
        <w:t>十、估价结果</w:t>
      </w:r>
      <w:bookmarkEnd w:id="19"/>
    </w:p>
    <w:p w14:paraId="4EDA9908">
      <w:pPr>
        <w:overflowPunct w:val="0"/>
        <w:spacing w:line="480" w:lineRule="auto"/>
        <w:ind w:firstLine="420"/>
        <w:jc w:val="both"/>
        <w:textAlignment w:val="auto"/>
        <w:rPr>
          <w:rFonts w:ascii="Arial" w:hAnsi="Arial" w:cs="Arial"/>
          <w:sz w:val="21"/>
          <w:szCs w:val="21"/>
        </w:rPr>
      </w:pPr>
      <w:r>
        <w:rPr>
          <w:rFonts w:ascii="Arial" w:hAnsi="Arial" w:cs="Arial"/>
          <w:sz w:val="21"/>
          <w:szCs w:val="21"/>
        </w:rPr>
        <w:t>评估专业人员根据估价的目的，遵循估价原则，按照估价的程序，采用科学的估价方法，在认真分析现有资料的基础上，通过仔细测算和认真分析各种影响房地产租赁价格的因素，最终确定估价对象同地块、同类型普通住宅房地产于价值时点</w:t>
      </w:r>
      <w:r>
        <w:rPr>
          <w:rFonts w:hint="eastAsia" w:ascii="Arial" w:hAnsi="Arial" w:cs="Arial"/>
          <w:sz w:val="21"/>
          <w:szCs w:val="21"/>
        </w:rPr>
        <w:t>2025年10月1日</w:t>
      </w:r>
      <w:r>
        <w:rPr>
          <w:rFonts w:ascii="Arial" w:hAnsi="Arial" w:cs="Arial"/>
          <w:sz w:val="21"/>
          <w:szCs w:val="21"/>
        </w:rPr>
        <w:t>前一年内（</w:t>
      </w:r>
      <w:r>
        <w:rPr>
          <w:rFonts w:hint="eastAsia" w:ascii="Arial" w:hAnsi="Arial" w:cs="Arial"/>
          <w:sz w:val="21"/>
          <w:szCs w:val="21"/>
        </w:rPr>
        <w:t>2024年10月1日至2025年9月30日</w:t>
      </w:r>
      <w:r>
        <w:rPr>
          <w:rFonts w:ascii="Arial" w:hAnsi="Arial" w:cs="Arial"/>
          <w:sz w:val="21"/>
          <w:szCs w:val="21"/>
        </w:rPr>
        <w:t>）平均市场租金水平为：</w:t>
      </w:r>
      <w:r>
        <w:rPr>
          <w:rFonts w:ascii="Arial" w:hAnsi="Arial" w:eastAsia="Arial" w:cs="Arial"/>
          <w:sz w:val="21"/>
          <w:szCs w:val="21"/>
        </w:rPr>
        <w:t xml:space="preserve"> </w:t>
      </w:r>
    </w:p>
    <w:p w14:paraId="0CF63AAF">
      <w:pPr>
        <w:overflowPunct w:val="0"/>
        <w:spacing w:line="480" w:lineRule="auto"/>
        <w:ind w:firstLine="422" w:firstLineChars="200"/>
        <w:textAlignment w:val="auto"/>
        <w:rPr>
          <w:rFonts w:ascii="Arial" w:hAnsi="Arial" w:cs="Arial"/>
          <w:b/>
          <w:bCs/>
          <w:sz w:val="21"/>
          <w:szCs w:val="21"/>
        </w:rPr>
      </w:pPr>
      <w:r>
        <w:rPr>
          <w:rFonts w:hint="eastAsia" w:ascii="Arial" w:hAnsi="Arial" w:cs="Arial"/>
          <w:b/>
          <w:bCs/>
          <w:sz w:val="21"/>
          <w:szCs w:val="21"/>
        </w:rPr>
        <w:t>区域租金单价： 领军人才公寓：76.95元/平方米·月（货币种类：人民币）</w:t>
      </w:r>
    </w:p>
    <w:p w14:paraId="5A1A4709">
      <w:pPr>
        <w:overflowPunct w:val="0"/>
        <w:spacing w:line="480" w:lineRule="auto"/>
        <w:ind w:firstLine="1897" w:firstLineChars="900"/>
        <w:textAlignment w:val="auto"/>
        <w:rPr>
          <w:rFonts w:ascii="Arial" w:hAnsi="Arial" w:cs="Arial"/>
          <w:b/>
          <w:bCs/>
          <w:sz w:val="21"/>
          <w:szCs w:val="21"/>
        </w:rPr>
      </w:pPr>
      <w:r>
        <w:rPr>
          <w:rFonts w:hint="eastAsia" w:ascii="Arial" w:hAnsi="Arial" w:cs="Arial"/>
          <w:b/>
          <w:bCs/>
          <w:sz w:val="21"/>
          <w:szCs w:val="21"/>
        </w:rPr>
        <w:t>杰出人才公寓：82.62元/平方米·月（货币种类：人民币）</w:t>
      </w:r>
    </w:p>
    <w:p w14:paraId="2EA5CC04">
      <w:pPr>
        <w:overflowPunct w:val="0"/>
        <w:spacing w:line="480" w:lineRule="auto"/>
        <w:ind w:firstLine="360"/>
        <w:jc w:val="both"/>
        <w:textAlignment w:val="auto"/>
        <w:rPr>
          <w:rFonts w:ascii="Arial" w:hAnsi="Arial" w:cs="Arial"/>
          <w:sz w:val="18"/>
          <w:szCs w:val="18"/>
        </w:rPr>
      </w:pPr>
      <w:r>
        <w:rPr>
          <w:rFonts w:ascii="Arial" w:hAnsi="Arial" w:cs="Arial"/>
          <w:sz w:val="18"/>
          <w:szCs w:val="18"/>
        </w:rPr>
        <w:t>注：1、评估的详细结果、过程及有关说明，详见《估价结果报告》、《估价技术报告》。</w:t>
      </w:r>
    </w:p>
    <w:p w14:paraId="513C9CD8">
      <w:pPr>
        <w:overflowPunct w:val="0"/>
        <w:spacing w:line="480" w:lineRule="auto"/>
        <w:ind w:left="360"/>
        <w:jc w:val="both"/>
        <w:textAlignment w:val="auto"/>
        <w:rPr>
          <w:rFonts w:ascii="Arial" w:hAnsi="Arial" w:cs="Arial"/>
          <w:sz w:val="18"/>
          <w:szCs w:val="18"/>
        </w:rPr>
      </w:pPr>
      <w:r>
        <w:rPr>
          <w:rFonts w:ascii="Arial" w:hAnsi="Arial" w:eastAsia="Arial" w:cs="Arial"/>
          <w:sz w:val="18"/>
          <w:szCs w:val="18"/>
        </w:rPr>
        <w:t xml:space="preserve">    </w:t>
      </w:r>
      <w:r>
        <w:rPr>
          <w:rFonts w:ascii="Arial" w:hAnsi="Arial" w:cs="Arial"/>
          <w:sz w:val="18"/>
          <w:szCs w:val="18"/>
        </w:rPr>
        <w:t>2、估价结果为项目同地段、同类型普通住宅前12个月的市场平均月租金价格。</w:t>
      </w:r>
    </w:p>
    <w:p w14:paraId="1C022515">
      <w:pPr>
        <w:overflowPunct w:val="0"/>
        <w:spacing w:line="480" w:lineRule="auto"/>
        <w:ind w:left="720" w:hanging="360"/>
        <w:jc w:val="both"/>
        <w:textAlignment w:val="auto"/>
      </w:pPr>
      <w:r>
        <w:rPr>
          <w:rFonts w:ascii="Arial" w:hAnsi="Arial" w:eastAsia="Arial" w:cs="Arial"/>
          <w:sz w:val="18"/>
          <w:szCs w:val="18"/>
        </w:rPr>
        <w:t xml:space="preserve">    </w:t>
      </w:r>
      <w:r>
        <w:rPr>
          <w:rFonts w:ascii="Arial" w:hAnsi="Arial" w:cs="Arial"/>
          <w:sz w:val="18"/>
          <w:szCs w:val="18"/>
        </w:rPr>
        <w:t>3、本次估价采取标准房进行评估设定，标准房是指参照被评估住宅项目的户型、面积、朝向、楼层、装修及设备等因素按照众数原则设定的房屋状况。</w:t>
      </w:r>
      <w:r>
        <w:rPr>
          <w:rFonts w:ascii="Arial" w:hAnsi="Arial" w:eastAsia="Arial" w:cs="Arial"/>
          <w:sz w:val="18"/>
          <w:szCs w:val="18"/>
        </w:rPr>
        <w:t xml:space="preserve">  </w:t>
      </w:r>
    </w:p>
    <w:p w14:paraId="0399C477">
      <w:pPr>
        <w:overflowPunct w:val="0"/>
        <w:spacing w:line="480" w:lineRule="auto"/>
        <w:ind w:left="720" w:hanging="360"/>
        <w:jc w:val="both"/>
        <w:textAlignment w:val="auto"/>
        <w:rPr>
          <w:rFonts w:ascii="Arial" w:hAnsi="Arial" w:cs="Arial"/>
          <w:sz w:val="18"/>
          <w:szCs w:val="18"/>
        </w:rPr>
      </w:pPr>
      <w:r>
        <w:rPr>
          <w:rFonts w:ascii="Arial" w:hAnsi="Arial" w:eastAsia="Arial" w:cs="Arial"/>
          <w:sz w:val="18"/>
          <w:szCs w:val="18"/>
        </w:rPr>
        <w:t xml:space="preserve">    </w:t>
      </w:r>
      <w:r>
        <w:rPr>
          <w:rFonts w:ascii="Arial" w:hAnsi="Arial" w:cs="Arial"/>
          <w:sz w:val="18"/>
          <w:szCs w:val="18"/>
        </w:rPr>
        <w:t>4、估价结果</w:t>
      </w:r>
      <w:r>
        <w:rPr>
          <w:rFonts w:hint="eastAsia" w:ascii="Arial" w:hAnsi="Arial" w:cs="Arial"/>
          <w:sz w:val="18"/>
          <w:szCs w:val="18"/>
        </w:rPr>
        <w:t>包括地租、房屋折旧、家具及家电租赁费、设备折旧、维修费、保险费、物业费、管理费、利息、利润等；不含供暖费、水电费、天然气费、通信费、有线电视费、上网宽带费和租赁税费等</w:t>
      </w:r>
      <w:r>
        <w:rPr>
          <w:rFonts w:ascii="Arial" w:hAnsi="Arial" w:cs="Arial"/>
          <w:sz w:val="18"/>
          <w:szCs w:val="18"/>
        </w:rPr>
        <w:t>。</w:t>
      </w:r>
    </w:p>
    <w:p w14:paraId="2A064FC4">
      <w:pPr>
        <w:overflowPunct w:val="0"/>
        <w:spacing w:line="480" w:lineRule="auto"/>
        <w:ind w:left="707" w:hanging="347"/>
        <w:jc w:val="both"/>
        <w:textAlignment w:val="auto"/>
        <w:rPr>
          <w:rFonts w:ascii="Arial" w:hAnsi="Arial" w:cs="Arial"/>
          <w:sz w:val="18"/>
          <w:szCs w:val="18"/>
        </w:rPr>
      </w:pPr>
    </w:p>
    <w:p w14:paraId="64BFEA3B">
      <w:pPr>
        <w:rPr>
          <w:kern w:val="2"/>
          <w:sz w:val="21"/>
          <w:szCs w:val="21"/>
        </w:rPr>
      </w:pPr>
      <w:bookmarkStart w:id="20" w:name="_Toc155340492"/>
      <w:r>
        <w:rPr>
          <w:kern w:val="2"/>
          <w:sz w:val="21"/>
          <w:szCs w:val="21"/>
        </w:rPr>
        <w:br w:type="page"/>
      </w:r>
    </w:p>
    <w:p w14:paraId="38C2D3F4">
      <w:pPr>
        <w:pStyle w:val="3"/>
        <w:numPr>
          <w:ilvl w:val="0"/>
          <w:numId w:val="0"/>
        </w:numPr>
        <w:overflowPunct w:val="0"/>
        <w:spacing w:line="480" w:lineRule="auto"/>
        <w:jc w:val="both"/>
        <w:textAlignment w:val="auto"/>
      </w:pPr>
      <w:r>
        <w:rPr>
          <w:rFonts w:eastAsia="宋体;SimSun"/>
          <w:kern w:val="2"/>
          <w:sz w:val="21"/>
          <w:szCs w:val="21"/>
        </w:rPr>
        <w:t>十一、参与本次估价工作的评估专业</w:t>
      </w:r>
      <w:r>
        <w:t>人员</w:t>
      </w:r>
      <w:bookmarkEnd w:id="20"/>
    </w:p>
    <w:tbl>
      <w:tblPr>
        <w:tblStyle w:val="33"/>
        <w:tblW w:w="9304" w:type="dxa"/>
        <w:jc w:val="center"/>
        <w:tblLayout w:type="autofit"/>
        <w:tblCellMar>
          <w:top w:w="85" w:type="dxa"/>
          <w:left w:w="28" w:type="dxa"/>
          <w:bottom w:w="85" w:type="dxa"/>
          <w:right w:w="28" w:type="dxa"/>
        </w:tblCellMar>
      </w:tblPr>
      <w:tblGrid>
        <w:gridCol w:w="1746"/>
        <w:gridCol w:w="2197"/>
        <w:gridCol w:w="2774"/>
        <w:gridCol w:w="2587"/>
      </w:tblGrid>
      <w:tr w14:paraId="4B9B1758">
        <w:tblPrEx>
          <w:tblCellMar>
            <w:top w:w="85" w:type="dxa"/>
            <w:left w:w="28" w:type="dxa"/>
            <w:bottom w:w="85" w:type="dxa"/>
            <w:right w:w="28" w:type="dxa"/>
          </w:tblCellMar>
        </w:tblPrEx>
        <w:trPr>
          <w:cantSplit/>
          <w:trHeight w:val="454" w:hRule="exact"/>
          <w:jc w:val="center"/>
        </w:trPr>
        <w:tc>
          <w:tcPr>
            <w:tcW w:w="9304" w:type="dxa"/>
            <w:gridSpan w:val="4"/>
            <w:tcBorders>
              <w:top w:val="single" w:color="404040" w:sz="2" w:space="0"/>
              <w:left w:val="single" w:color="404040" w:sz="2" w:space="0"/>
              <w:bottom w:val="single" w:color="404040" w:sz="2" w:space="0"/>
              <w:right w:val="single" w:color="404040" w:sz="2" w:space="0"/>
            </w:tcBorders>
            <w:vAlign w:val="center"/>
          </w:tcPr>
          <w:p w14:paraId="0FFCA44F">
            <w:pPr>
              <w:tabs>
                <w:tab w:val="left" w:pos="5160"/>
              </w:tabs>
              <w:overflowPunct w:val="0"/>
              <w:spacing w:line="240" w:lineRule="auto"/>
              <w:rPr>
                <w:rFonts w:ascii="Arial" w:hAnsi="Arial" w:cs="Arial"/>
                <w:b/>
                <w:color w:val="000000"/>
                <w:sz w:val="21"/>
                <w:szCs w:val="21"/>
              </w:rPr>
            </w:pPr>
            <w:r>
              <w:rPr>
                <w:rFonts w:ascii="Arial" w:hAnsi="Arial" w:cs="Arial"/>
                <w:b/>
                <w:kern w:val="2"/>
                <w:sz w:val="21"/>
                <w:szCs w:val="21"/>
              </w:rPr>
              <w:t>注册房地产估价师</w:t>
            </w:r>
          </w:p>
        </w:tc>
      </w:tr>
      <w:tr w14:paraId="2AC12019">
        <w:tblPrEx>
          <w:tblCellMar>
            <w:top w:w="85" w:type="dxa"/>
            <w:left w:w="28" w:type="dxa"/>
            <w:bottom w:w="85" w:type="dxa"/>
            <w:right w:w="28" w:type="dxa"/>
          </w:tblCellMar>
        </w:tblPrEx>
        <w:trPr>
          <w:cantSplit/>
          <w:trHeight w:val="454" w:hRule="exact"/>
          <w:jc w:val="center"/>
        </w:trPr>
        <w:tc>
          <w:tcPr>
            <w:tcW w:w="1746" w:type="dxa"/>
            <w:tcBorders>
              <w:top w:val="single" w:color="404040" w:sz="2" w:space="0"/>
              <w:left w:val="single" w:color="404040" w:sz="2" w:space="0"/>
              <w:bottom w:val="single" w:color="404040" w:sz="2" w:space="0"/>
            </w:tcBorders>
            <w:vAlign w:val="center"/>
          </w:tcPr>
          <w:p w14:paraId="5D442283">
            <w:pPr>
              <w:tabs>
                <w:tab w:val="left" w:pos="5160"/>
              </w:tabs>
              <w:overflowPunct w:val="0"/>
              <w:spacing w:line="240" w:lineRule="auto"/>
            </w:pPr>
            <w:r>
              <w:rPr>
                <w:rFonts w:ascii="Arial" w:hAnsi="Arial" w:cs="Arial"/>
                <w:color w:val="000000"/>
                <w:sz w:val="21"/>
                <w:szCs w:val="21"/>
              </w:rPr>
              <w:t>姓</w:t>
            </w:r>
            <w:r>
              <w:rPr>
                <w:rFonts w:ascii="Arial" w:hAnsi="Arial" w:eastAsia="Arial" w:cs="Arial"/>
                <w:color w:val="000000"/>
                <w:sz w:val="21"/>
                <w:szCs w:val="21"/>
              </w:rPr>
              <w:t xml:space="preserve">  </w:t>
            </w:r>
            <w:r>
              <w:rPr>
                <w:rFonts w:ascii="Arial" w:hAnsi="Arial" w:cs="Arial"/>
                <w:color w:val="000000"/>
                <w:sz w:val="21"/>
                <w:szCs w:val="21"/>
              </w:rPr>
              <w:t>名</w:t>
            </w:r>
          </w:p>
        </w:tc>
        <w:tc>
          <w:tcPr>
            <w:tcW w:w="2197" w:type="dxa"/>
            <w:tcBorders>
              <w:top w:val="single" w:color="404040" w:sz="2" w:space="0"/>
              <w:left w:val="single" w:color="404040" w:sz="2" w:space="0"/>
              <w:bottom w:val="single" w:color="404040" w:sz="2" w:space="0"/>
            </w:tcBorders>
            <w:vAlign w:val="center"/>
          </w:tcPr>
          <w:p w14:paraId="21725E22">
            <w:pPr>
              <w:tabs>
                <w:tab w:val="left" w:pos="5160"/>
              </w:tabs>
              <w:overflowPunct w:val="0"/>
              <w:spacing w:line="240" w:lineRule="auto"/>
              <w:rPr>
                <w:rFonts w:ascii="Arial" w:hAnsi="Arial" w:cs="Arial"/>
                <w:color w:val="000000"/>
                <w:sz w:val="21"/>
                <w:szCs w:val="21"/>
              </w:rPr>
            </w:pPr>
            <w:r>
              <w:rPr>
                <w:rFonts w:ascii="Arial" w:hAnsi="Arial" w:cs="Arial"/>
                <w:color w:val="000000"/>
                <w:sz w:val="21"/>
                <w:szCs w:val="21"/>
              </w:rPr>
              <w:t>注册号</w:t>
            </w:r>
          </w:p>
        </w:tc>
        <w:tc>
          <w:tcPr>
            <w:tcW w:w="2774" w:type="dxa"/>
            <w:tcBorders>
              <w:top w:val="single" w:color="404040" w:sz="2" w:space="0"/>
              <w:left w:val="single" w:color="404040" w:sz="2" w:space="0"/>
              <w:bottom w:val="single" w:color="404040" w:sz="2" w:space="0"/>
            </w:tcBorders>
            <w:vAlign w:val="center"/>
          </w:tcPr>
          <w:p w14:paraId="1D60B235">
            <w:pPr>
              <w:tabs>
                <w:tab w:val="left" w:pos="5160"/>
              </w:tabs>
              <w:overflowPunct w:val="0"/>
              <w:spacing w:line="240" w:lineRule="auto"/>
              <w:rPr>
                <w:rFonts w:ascii="Arial" w:hAnsi="Arial" w:cs="Arial"/>
                <w:color w:val="000000"/>
                <w:sz w:val="21"/>
                <w:szCs w:val="21"/>
              </w:rPr>
            </w:pPr>
            <w:r>
              <w:rPr>
                <w:rFonts w:ascii="Arial" w:hAnsi="Arial" w:cs="Arial"/>
                <w:color w:val="000000"/>
                <w:sz w:val="21"/>
                <w:szCs w:val="21"/>
              </w:rPr>
              <w:t>签名</w:t>
            </w:r>
          </w:p>
        </w:tc>
        <w:tc>
          <w:tcPr>
            <w:tcW w:w="2587" w:type="dxa"/>
            <w:tcBorders>
              <w:top w:val="single" w:color="404040" w:sz="2" w:space="0"/>
              <w:left w:val="single" w:color="404040" w:sz="2" w:space="0"/>
              <w:bottom w:val="single" w:color="404040" w:sz="2" w:space="0"/>
              <w:right w:val="single" w:color="404040" w:sz="2" w:space="0"/>
            </w:tcBorders>
            <w:vAlign w:val="center"/>
          </w:tcPr>
          <w:p w14:paraId="73BB247C">
            <w:pPr>
              <w:tabs>
                <w:tab w:val="left" w:pos="5160"/>
              </w:tabs>
              <w:overflowPunct w:val="0"/>
              <w:spacing w:line="240" w:lineRule="auto"/>
              <w:rPr>
                <w:rFonts w:ascii="Arial" w:hAnsi="Arial" w:cs="Arial"/>
                <w:color w:val="000000"/>
                <w:sz w:val="21"/>
                <w:szCs w:val="21"/>
              </w:rPr>
            </w:pPr>
            <w:r>
              <w:rPr>
                <w:rFonts w:ascii="Arial" w:hAnsi="Arial" w:cs="Arial"/>
                <w:color w:val="000000"/>
                <w:sz w:val="21"/>
                <w:szCs w:val="21"/>
              </w:rPr>
              <w:t>签名日期</w:t>
            </w:r>
          </w:p>
        </w:tc>
      </w:tr>
      <w:tr w14:paraId="5CC5ACF3">
        <w:tblPrEx>
          <w:tblCellMar>
            <w:top w:w="85" w:type="dxa"/>
            <w:left w:w="28" w:type="dxa"/>
            <w:bottom w:w="85" w:type="dxa"/>
            <w:right w:w="28" w:type="dxa"/>
          </w:tblCellMar>
        </w:tblPrEx>
        <w:trPr>
          <w:cantSplit/>
          <w:trHeight w:val="1134" w:hRule="exact"/>
          <w:jc w:val="center"/>
        </w:trPr>
        <w:tc>
          <w:tcPr>
            <w:tcW w:w="1746" w:type="dxa"/>
            <w:tcBorders>
              <w:top w:val="single" w:color="404040" w:sz="2" w:space="0"/>
              <w:left w:val="single" w:color="404040" w:sz="2" w:space="0"/>
              <w:bottom w:val="single" w:color="404040" w:sz="2" w:space="0"/>
            </w:tcBorders>
            <w:vAlign w:val="center"/>
          </w:tcPr>
          <w:p w14:paraId="38A56A13">
            <w:pPr>
              <w:tabs>
                <w:tab w:val="left" w:pos="5160"/>
              </w:tabs>
              <w:overflowPunct w:val="0"/>
              <w:spacing w:line="240" w:lineRule="auto"/>
              <w:rPr>
                <w:rFonts w:ascii="Arial" w:hAnsi="Arial" w:cs="Arial"/>
                <w:color w:val="000000"/>
                <w:sz w:val="21"/>
                <w:szCs w:val="21"/>
              </w:rPr>
            </w:pPr>
            <w:r>
              <w:rPr>
                <w:rFonts w:ascii="Arial" w:hAnsi="Arial" w:cs="Arial"/>
                <w:color w:val="000000"/>
                <w:sz w:val="21"/>
                <w:szCs w:val="21"/>
              </w:rPr>
              <w:t>高</w:t>
            </w:r>
            <w:r>
              <w:rPr>
                <w:rFonts w:ascii="Arial" w:hAnsi="Arial" w:eastAsia="Arial" w:cs="Arial"/>
                <w:color w:val="000000"/>
                <w:sz w:val="21"/>
                <w:szCs w:val="21"/>
              </w:rPr>
              <w:t xml:space="preserve">  </w:t>
            </w:r>
            <w:r>
              <w:rPr>
                <w:rFonts w:ascii="Arial" w:hAnsi="Arial" w:cs="Arial"/>
                <w:color w:val="000000"/>
                <w:sz w:val="21"/>
                <w:szCs w:val="21"/>
              </w:rPr>
              <w:t>鹏</w:t>
            </w:r>
          </w:p>
        </w:tc>
        <w:tc>
          <w:tcPr>
            <w:tcW w:w="2197" w:type="dxa"/>
            <w:tcBorders>
              <w:top w:val="single" w:color="404040" w:sz="2" w:space="0"/>
              <w:left w:val="single" w:color="404040" w:sz="2" w:space="0"/>
              <w:bottom w:val="single" w:color="404040" w:sz="2" w:space="0"/>
            </w:tcBorders>
            <w:vAlign w:val="center"/>
          </w:tcPr>
          <w:p w14:paraId="5951D793">
            <w:pPr>
              <w:tabs>
                <w:tab w:val="left" w:pos="5160"/>
              </w:tabs>
              <w:overflowPunct w:val="0"/>
              <w:spacing w:line="240" w:lineRule="auto"/>
              <w:rPr>
                <w:rFonts w:ascii="Arial" w:hAnsi="Arial" w:cs="Arial"/>
                <w:color w:val="000000"/>
                <w:sz w:val="21"/>
                <w:szCs w:val="21"/>
              </w:rPr>
            </w:pPr>
            <w:r>
              <w:rPr>
                <w:rFonts w:ascii="Arial" w:hAnsi="Arial" w:cs="Arial"/>
                <w:color w:val="000000"/>
                <w:sz w:val="21"/>
                <w:szCs w:val="21"/>
              </w:rPr>
              <w:t>1120140024</w:t>
            </w:r>
          </w:p>
        </w:tc>
        <w:tc>
          <w:tcPr>
            <w:tcW w:w="2774" w:type="dxa"/>
            <w:tcBorders>
              <w:top w:val="single" w:color="404040" w:sz="2" w:space="0"/>
              <w:left w:val="single" w:color="404040" w:sz="2" w:space="0"/>
              <w:bottom w:val="single" w:color="404040" w:sz="2" w:space="0"/>
            </w:tcBorders>
            <w:vAlign w:val="center"/>
          </w:tcPr>
          <w:p w14:paraId="6EE37C34">
            <w:pPr>
              <w:tabs>
                <w:tab w:val="left" w:pos="5160"/>
              </w:tabs>
              <w:overflowPunct w:val="0"/>
              <w:snapToGrid w:val="0"/>
              <w:spacing w:line="240" w:lineRule="auto"/>
              <w:rPr>
                <w:rFonts w:ascii="Arial" w:hAnsi="Arial" w:cs="Arial"/>
                <w:color w:val="000000"/>
                <w:sz w:val="21"/>
                <w:szCs w:val="21"/>
              </w:rPr>
            </w:pPr>
          </w:p>
        </w:tc>
        <w:tc>
          <w:tcPr>
            <w:tcW w:w="2587" w:type="dxa"/>
            <w:tcBorders>
              <w:top w:val="single" w:color="404040" w:sz="2" w:space="0"/>
              <w:left w:val="single" w:color="404040" w:sz="2" w:space="0"/>
              <w:bottom w:val="single" w:color="404040" w:sz="2" w:space="0"/>
              <w:right w:val="single" w:color="404040" w:sz="2" w:space="0"/>
            </w:tcBorders>
            <w:vAlign w:val="center"/>
          </w:tcPr>
          <w:p w14:paraId="29E285EB">
            <w:pPr>
              <w:tabs>
                <w:tab w:val="left" w:pos="5160"/>
              </w:tabs>
              <w:overflowPunct w:val="0"/>
              <w:spacing w:line="240" w:lineRule="auto"/>
              <w:ind w:firstLine="420"/>
              <w:jc w:val="right"/>
            </w:pPr>
            <w:r>
              <w:rPr>
                <w:rFonts w:ascii="Arial" w:hAnsi="Arial" w:cs="Arial"/>
                <w:color w:val="000000"/>
                <w:sz w:val="21"/>
                <w:szCs w:val="21"/>
              </w:rPr>
              <w:t>年</w:t>
            </w:r>
            <w:r>
              <w:rPr>
                <w:rFonts w:ascii="Arial" w:hAnsi="Arial" w:eastAsia="Arial" w:cs="Arial"/>
                <w:color w:val="000000"/>
                <w:sz w:val="21"/>
                <w:szCs w:val="21"/>
              </w:rPr>
              <w:t xml:space="preserve">    </w:t>
            </w:r>
            <w:r>
              <w:rPr>
                <w:rFonts w:ascii="Arial" w:hAnsi="Arial" w:cs="Arial"/>
                <w:color w:val="000000"/>
                <w:sz w:val="21"/>
                <w:szCs w:val="21"/>
              </w:rPr>
              <w:t>月</w:t>
            </w:r>
            <w:r>
              <w:rPr>
                <w:rFonts w:ascii="Arial" w:hAnsi="Arial" w:eastAsia="Arial" w:cs="Arial"/>
                <w:color w:val="000000"/>
                <w:sz w:val="21"/>
                <w:szCs w:val="21"/>
              </w:rPr>
              <w:t xml:space="preserve">    </w:t>
            </w:r>
            <w:r>
              <w:rPr>
                <w:rFonts w:ascii="Arial" w:hAnsi="Arial" w:cs="Arial"/>
                <w:color w:val="000000"/>
                <w:sz w:val="21"/>
                <w:szCs w:val="21"/>
              </w:rPr>
              <w:t>日</w:t>
            </w:r>
          </w:p>
        </w:tc>
      </w:tr>
      <w:tr w14:paraId="0BBB9664">
        <w:tblPrEx>
          <w:tblCellMar>
            <w:top w:w="85" w:type="dxa"/>
            <w:left w:w="28" w:type="dxa"/>
            <w:bottom w:w="85" w:type="dxa"/>
            <w:right w:w="28" w:type="dxa"/>
          </w:tblCellMar>
        </w:tblPrEx>
        <w:trPr>
          <w:cantSplit/>
          <w:trHeight w:val="1134" w:hRule="exact"/>
          <w:jc w:val="center"/>
        </w:trPr>
        <w:tc>
          <w:tcPr>
            <w:tcW w:w="1746" w:type="dxa"/>
            <w:tcBorders>
              <w:top w:val="single" w:color="404040" w:sz="2" w:space="0"/>
              <w:left w:val="single" w:color="404040" w:sz="2" w:space="0"/>
              <w:bottom w:val="single" w:color="404040" w:sz="2" w:space="0"/>
            </w:tcBorders>
            <w:vAlign w:val="center"/>
          </w:tcPr>
          <w:p w14:paraId="67DBDE92">
            <w:pPr>
              <w:tabs>
                <w:tab w:val="left" w:pos="5160"/>
              </w:tabs>
              <w:overflowPunct w:val="0"/>
              <w:spacing w:line="240" w:lineRule="auto"/>
              <w:rPr>
                <w:rFonts w:ascii="Arial" w:hAnsi="Arial" w:cs="Arial"/>
                <w:color w:val="000000"/>
                <w:sz w:val="21"/>
                <w:szCs w:val="21"/>
              </w:rPr>
            </w:pPr>
            <w:r>
              <w:rPr>
                <w:rFonts w:ascii="Arial" w:hAnsi="Arial" w:cs="Arial"/>
                <w:color w:val="000000"/>
                <w:sz w:val="21"/>
                <w:szCs w:val="21"/>
              </w:rPr>
              <w:t>许皓源</w:t>
            </w:r>
          </w:p>
        </w:tc>
        <w:tc>
          <w:tcPr>
            <w:tcW w:w="2197" w:type="dxa"/>
            <w:tcBorders>
              <w:top w:val="single" w:color="404040" w:sz="2" w:space="0"/>
              <w:left w:val="single" w:color="404040" w:sz="2" w:space="0"/>
              <w:bottom w:val="single" w:color="404040" w:sz="2" w:space="0"/>
            </w:tcBorders>
            <w:vAlign w:val="center"/>
          </w:tcPr>
          <w:p w14:paraId="4F71705F">
            <w:pPr>
              <w:tabs>
                <w:tab w:val="left" w:pos="5160"/>
              </w:tabs>
              <w:overflowPunct w:val="0"/>
              <w:spacing w:line="240" w:lineRule="auto"/>
              <w:rPr>
                <w:rFonts w:ascii="Arial" w:hAnsi="Arial" w:cs="Arial"/>
                <w:color w:val="000000"/>
                <w:sz w:val="21"/>
                <w:szCs w:val="21"/>
              </w:rPr>
            </w:pPr>
            <w:r>
              <w:rPr>
                <w:rFonts w:ascii="Arial" w:hAnsi="Arial" w:eastAsia="方正黑体简体" w:cs="Arial"/>
                <w:sz w:val="21"/>
                <w:szCs w:val="21"/>
              </w:rPr>
              <w:t>1119980019</w:t>
            </w:r>
          </w:p>
        </w:tc>
        <w:tc>
          <w:tcPr>
            <w:tcW w:w="2774" w:type="dxa"/>
            <w:tcBorders>
              <w:top w:val="single" w:color="404040" w:sz="2" w:space="0"/>
              <w:left w:val="single" w:color="404040" w:sz="2" w:space="0"/>
              <w:bottom w:val="single" w:color="404040" w:sz="2" w:space="0"/>
            </w:tcBorders>
            <w:vAlign w:val="center"/>
          </w:tcPr>
          <w:p w14:paraId="5F392826">
            <w:pPr>
              <w:tabs>
                <w:tab w:val="left" w:pos="5160"/>
              </w:tabs>
              <w:overflowPunct w:val="0"/>
              <w:snapToGrid w:val="0"/>
              <w:spacing w:line="240" w:lineRule="auto"/>
              <w:rPr>
                <w:rFonts w:ascii="Arial" w:hAnsi="Arial" w:cs="Arial"/>
                <w:color w:val="000000"/>
                <w:sz w:val="21"/>
                <w:szCs w:val="21"/>
              </w:rPr>
            </w:pPr>
          </w:p>
        </w:tc>
        <w:tc>
          <w:tcPr>
            <w:tcW w:w="2587" w:type="dxa"/>
            <w:tcBorders>
              <w:top w:val="single" w:color="404040" w:sz="2" w:space="0"/>
              <w:left w:val="single" w:color="404040" w:sz="2" w:space="0"/>
              <w:bottom w:val="single" w:color="404040" w:sz="2" w:space="0"/>
              <w:right w:val="single" w:color="404040" w:sz="2" w:space="0"/>
            </w:tcBorders>
            <w:vAlign w:val="center"/>
          </w:tcPr>
          <w:p w14:paraId="41C3FCCB">
            <w:pPr>
              <w:tabs>
                <w:tab w:val="left" w:pos="5160"/>
              </w:tabs>
              <w:overflowPunct w:val="0"/>
              <w:spacing w:line="240" w:lineRule="auto"/>
              <w:ind w:firstLine="420"/>
              <w:jc w:val="right"/>
            </w:pPr>
            <w:r>
              <w:rPr>
                <w:rFonts w:ascii="Arial" w:hAnsi="Arial" w:cs="Arial"/>
                <w:color w:val="000000"/>
                <w:sz w:val="21"/>
                <w:szCs w:val="21"/>
              </w:rPr>
              <w:t>年</w:t>
            </w:r>
            <w:r>
              <w:rPr>
                <w:rFonts w:ascii="Arial" w:hAnsi="Arial" w:eastAsia="Arial" w:cs="Arial"/>
                <w:color w:val="000000"/>
                <w:sz w:val="21"/>
                <w:szCs w:val="21"/>
              </w:rPr>
              <w:t xml:space="preserve">    </w:t>
            </w:r>
            <w:r>
              <w:rPr>
                <w:rFonts w:ascii="Arial" w:hAnsi="Arial" w:cs="Arial"/>
                <w:color w:val="000000"/>
                <w:sz w:val="21"/>
                <w:szCs w:val="21"/>
              </w:rPr>
              <w:t>月</w:t>
            </w:r>
            <w:r>
              <w:rPr>
                <w:rFonts w:ascii="Arial" w:hAnsi="Arial" w:eastAsia="Arial" w:cs="Arial"/>
                <w:color w:val="000000"/>
                <w:sz w:val="21"/>
                <w:szCs w:val="21"/>
              </w:rPr>
              <w:t xml:space="preserve">    </w:t>
            </w:r>
            <w:r>
              <w:rPr>
                <w:rFonts w:ascii="Arial" w:hAnsi="Arial" w:cs="Arial"/>
                <w:color w:val="000000"/>
                <w:sz w:val="21"/>
                <w:szCs w:val="21"/>
              </w:rPr>
              <w:t>日</w:t>
            </w:r>
          </w:p>
        </w:tc>
      </w:tr>
      <w:tr w14:paraId="10D92A57">
        <w:tblPrEx>
          <w:tblCellMar>
            <w:top w:w="85" w:type="dxa"/>
            <w:left w:w="28" w:type="dxa"/>
            <w:bottom w:w="85" w:type="dxa"/>
            <w:right w:w="28" w:type="dxa"/>
          </w:tblCellMar>
        </w:tblPrEx>
        <w:trPr>
          <w:cantSplit/>
          <w:trHeight w:val="454" w:hRule="exact"/>
          <w:jc w:val="center"/>
        </w:trPr>
        <w:tc>
          <w:tcPr>
            <w:tcW w:w="9304" w:type="dxa"/>
            <w:gridSpan w:val="4"/>
            <w:tcBorders>
              <w:top w:val="single" w:color="404040" w:sz="2" w:space="0"/>
              <w:left w:val="single" w:color="404040" w:sz="2" w:space="0"/>
              <w:bottom w:val="single" w:color="404040" w:sz="2" w:space="0"/>
              <w:right w:val="single" w:color="404040" w:sz="2" w:space="0"/>
            </w:tcBorders>
            <w:vAlign w:val="center"/>
          </w:tcPr>
          <w:p w14:paraId="1738EF7B">
            <w:pPr>
              <w:tabs>
                <w:tab w:val="left" w:pos="5160"/>
              </w:tabs>
              <w:overflowPunct w:val="0"/>
              <w:spacing w:line="240" w:lineRule="auto"/>
              <w:rPr>
                <w:rFonts w:ascii="Arial" w:hAnsi="Arial" w:cs="Arial"/>
                <w:b/>
                <w:color w:val="000000"/>
                <w:kern w:val="2"/>
                <w:sz w:val="21"/>
                <w:szCs w:val="21"/>
              </w:rPr>
            </w:pPr>
            <w:r>
              <w:rPr>
                <w:rFonts w:ascii="Arial" w:hAnsi="Arial" w:cs="Arial"/>
                <w:b/>
                <w:color w:val="000000"/>
                <w:kern w:val="2"/>
                <w:sz w:val="21"/>
                <w:szCs w:val="21"/>
              </w:rPr>
              <w:t>其他评估专业人员</w:t>
            </w:r>
            <w:r>
              <w:rPr>
                <w:rFonts w:ascii="Arial" w:hAnsi="Arial" w:eastAsia="Arial" w:cs="Arial"/>
                <w:b/>
                <w:color w:val="000000"/>
                <w:kern w:val="2"/>
                <w:sz w:val="21"/>
                <w:szCs w:val="21"/>
              </w:rPr>
              <w:t xml:space="preserve"> </w:t>
            </w:r>
          </w:p>
        </w:tc>
      </w:tr>
      <w:tr w14:paraId="47C265A6">
        <w:tblPrEx>
          <w:tblCellMar>
            <w:top w:w="85" w:type="dxa"/>
            <w:left w:w="28" w:type="dxa"/>
            <w:bottom w:w="85" w:type="dxa"/>
            <w:right w:w="28" w:type="dxa"/>
          </w:tblCellMar>
        </w:tblPrEx>
        <w:trPr>
          <w:cantSplit/>
          <w:trHeight w:val="454" w:hRule="exact"/>
          <w:jc w:val="center"/>
        </w:trPr>
        <w:tc>
          <w:tcPr>
            <w:tcW w:w="1746" w:type="dxa"/>
            <w:tcBorders>
              <w:top w:val="single" w:color="404040" w:sz="2" w:space="0"/>
              <w:left w:val="single" w:color="404040" w:sz="2" w:space="0"/>
              <w:bottom w:val="single" w:color="404040" w:sz="2" w:space="0"/>
            </w:tcBorders>
            <w:vAlign w:val="center"/>
          </w:tcPr>
          <w:p w14:paraId="2F9408DF">
            <w:pPr>
              <w:tabs>
                <w:tab w:val="left" w:pos="5160"/>
              </w:tabs>
              <w:overflowPunct w:val="0"/>
              <w:spacing w:line="240" w:lineRule="auto"/>
            </w:pPr>
            <w:r>
              <w:rPr>
                <w:rFonts w:ascii="Arial" w:hAnsi="Arial" w:cs="Arial"/>
                <w:color w:val="000000"/>
                <w:sz w:val="21"/>
                <w:szCs w:val="21"/>
              </w:rPr>
              <w:t>姓</w:t>
            </w:r>
            <w:r>
              <w:rPr>
                <w:rFonts w:ascii="Arial" w:hAnsi="Arial" w:eastAsia="Arial" w:cs="Arial"/>
                <w:color w:val="000000"/>
                <w:sz w:val="21"/>
                <w:szCs w:val="21"/>
              </w:rPr>
              <w:t xml:space="preserve">  </w:t>
            </w:r>
            <w:r>
              <w:rPr>
                <w:rFonts w:ascii="Arial" w:hAnsi="Arial" w:cs="Arial"/>
                <w:color w:val="000000"/>
                <w:sz w:val="21"/>
                <w:szCs w:val="21"/>
              </w:rPr>
              <w:t>名</w:t>
            </w:r>
          </w:p>
        </w:tc>
        <w:tc>
          <w:tcPr>
            <w:tcW w:w="2197" w:type="dxa"/>
            <w:tcBorders>
              <w:top w:val="single" w:color="404040" w:sz="2" w:space="0"/>
              <w:left w:val="single" w:color="404040" w:sz="2" w:space="0"/>
              <w:bottom w:val="single" w:color="404040" w:sz="2" w:space="0"/>
            </w:tcBorders>
            <w:vAlign w:val="center"/>
          </w:tcPr>
          <w:p w14:paraId="6A762F4B">
            <w:pPr>
              <w:tabs>
                <w:tab w:val="left" w:pos="5160"/>
              </w:tabs>
              <w:overflowPunct w:val="0"/>
              <w:spacing w:line="240" w:lineRule="auto"/>
              <w:rPr>
                <w:rFonts w:ascii="Arial" w:hAnsi="Arial" w:cs="Arial"/>
                <w:color w:val="000000"/>
                <w:sz w:val="21"/>
                <w:szCs w:val="21"/>
              </w:rPr>
            </w:pPr>
            <w:r>
              <w:rPr>
                <w:rFonts w:ascii="Arial" w:hAnsi="Arial" w:cs="Arial"/>
                <w:color w:val="000000"/>
                <w:kern w:val="2"/>
                <w:sz w:val="21"/>
                <w:szCs w:val="21"/>
              </w:rPr>
              <w:t>相关资格或职称</w:t>
            </w:r>
          </w:p>
        </w:tc>
        <w:tc>
          <w:tcPr>
            <w:tcW w:w="2774" w:type="dxa"/>
            <w:tcBorders>
              <w:top w:val="single" w:color="404040" w:sz="2" w:space="0"/>
              <w:left w:val="single" w:color="404040" w:sz="2" w:space="0"/>
              <w:bottom w:val="single" w:color="404040" w:sz="2" w:space="0"/>
            </w:tcBorders>
            <w:vAlign w:val="center"/>
          </w:tcPr>
          <w:p w14:paraId="3206EC0C">
            <w:pPr>
              <w:tabs>
                <w:tab w:val="left" w:pos="5160"/>
              </w:tabs>
              <w:overflowPunct w:val="0"/>
              <w:spacing w:line="240" w:lineRule="auto"/>
              <w:rPr>
                <w:rFonts w:ascii="Arial" w:hAnsi="Arial" w:cs="Arial"/>
                <w:color w:val="000000"/>
                <w:sz w:val="21"/>
                <w:szCs w:val="21"/>
              </w:rPr>
            </w:pPr>
            <w:r>
              <w:rPr>
                <w:rFonts w:ascii="Arial" w:hAnsi="Arial" w:cs="Arial"/>
                <w:color w:val="000000"/>
                <w:sz w:val="21"/>
                <w:szCs w:val="21"/>
              </w:rPr>
              <w:t>签名</w:t>
            </w:r>
          </w:p>
        </w:tc>
        <w:tc>
          <w:tcPr>
            <w:tcW w:w="2587" w:type="dxa"/>
            <w:tcBorders>
              <w:top w:val="single" w:color="404040" w:sz="2" w:space="0"/>
              <w:left w:val="single" w:color="404040" w:sz="2" w:space="0"/>
              <w:bottom w:val="single" w:color="404040" w:sz="2" w:space="0"/>
              <w:right w:val="single" w:color="404040" w:sz="2" w:space="0"/>
            </w:tcBorders>
            <w:vAlign w:val="center"/>
          </w:tcPr>
          <w:p w14:paraId="4281EED2">
            <w:pPr>
              <w:tabs>
                <w:tab w:val="left" w:pos="5160"/>
              </w:tabs>
              <w:overflowPunct w:val="0"/>
              <w:spacing w:line="240" w:lineRule="auto"/>
              <w:rPr>
                <w:rFonts w:ascii="Arial" w:hAnsi="Arial" w:cs="Arial"/>
                <w:color w:val="000000"/>
                <w:sz w:val="21"/>
                <w:szCs w:val="21"/>
              </w:rPr>
            </w:pPr>
            <w:r>
              <w:rPr>
                <w:rFonts w:ascii="Arial" w:hAnsi="Arial" w:cs="Arial"/>
                <w:color w:val="000000"/>
                <w:sz w:val="21"/>
                <w:szCs w:val="21"/>
              </w:rPr>
              <w:t>签名日期</w:t>
            </w:r>
          </w:p>
        </w:tc>
      </w:tr>
      <w:tr w14:paraId="3EE3A9E6">
        <w:tblPrEx>
          <w:tblCellMar>
            <w:top w:w="85" w:type="dxa"/>
            <w:left w:w="28" w:type="dxa"/>
            <w:bottom w:w="85" w:type="dxa"/>
            <w:right w:w="28" w:type="dxa"/>
          </w:tblCellMar>
        </w:tblPrEx>
        <w:trPr>
          <w:cantSplit/>
          <w:trHeight w:val="1134" w:hRule="exact"/>
          <w:jc w:val="center"/>
        </w:trPr>
        <w:tc>
          <w:tcPr>
            <w:tcW w:w="1746" w:type="dxa"/>
            <w:tcBorders>
              <w:top w:val="single" w:color="404040" w:sz="2" w:space="0"/>
              <w:left w:val="single" w:color="404040" w:sz="2" w:space="0"/>
              <w:bottom w:val="single" w:color="404040" w:sz="2" w:space="0"/>
            </w:tcBorders>
            <w:vAlign w:val="center"/>
          </w:tcPr>
          <w:p w14:paraId="019FEEA3">
            <w:pPr>
              <w:tabs>
                <w:tab w:val="left" w:pos="5160"/>
              </w:tabs>
              <w:overflowPunct w:val="0"/>
              <w:spacing w:line="240" w:lineRule="auto"/>
            </w:pPr>
            <w:r>
              <w:rPr>
                <w:rFonts w:hint="eastAsia" w:ascii="Arial" w:hAnsi="Arial" w:cs="Arial"/>
                <w:color w:val="000000"/>
                <w:sz w:val="21"/>
                <w:szCs w:val="21"/>
              </w:rPr>
              <w:t>李诗霖</w:t>
            </w:r>
          </w:p>
        </w:tc>
        <w:tc>
          <w:tcPr>
            <w:tcW w:w="2197" w:type="dxa"/>
            <w:tcBorders>
              <w:top w:val="single" w:color="404040" w:sz="2" w:space="0"/>
              <w:left w:val="single" w:color="404040" w:sz="2" w:space="0"/>
              <w:bottom w:val="single" w:color="404040" w:sz="2" w:space="0"/>
            </w:tcBorders>
            <w:vAlign w:val="center"/>
          </w:tcPr>
          <w:p w14:paraId="40311AE2">
            <w:pPr>
              <w:tabs>
                <w:tab w:val="left" w:pos="5160"/>
              </w:tabs>
              <w:overflowPunct w:val="0"/>
              <w:spacing w:line="240" w:lineRule="auto"/>
              <w:rPr>
                <w:rFonts w:ascii="Arial" w:hAnsi="Arial" w:cs="Arial"/>
              </w:rPr>
            </w:pPr>
            <w:r>
              <w:rPr>
                <w:rFonts w:ascii="宋体;SimSun" w:hAnsi="宋体;SimSun" w:cs="宋体;SimSun"/>
                <w:color w:val="000000"/>
                <w:sz w:val="21"/>
                <w:szCs w:val="21"/>
              </w:rPr>
              <w:t>——</w:t>
            </w:r>
          </w:p>
        </w:tc>
        <w:tc>
          <w:tcPr>
            <w:tcW w:w="2774" w:type="dxa"/>
            <w:tcBorders>
              <w:top w:val="single" w:color="404040" w:sz="2" w:space="0"/>
              <w:left w:val="single" w:color="404040" w:sz="2" w:space="0"/>
              <w:bottom w:val="single" w:color="404040" w:sz="2" w:space="0"/>
            </w:tcBorders>
            <w:vAlign w:val="center"/>
          </w:tcPr>
          <w:p w14:paraId="30B25F77">
            <w:pPr>
              <w:tabs>
                <w:tab w:val="left" w:pos="5160"/>
              </w:tabs>
              <w:overflowPunct w:val="0"/>
              <w:snapToGrid w:val="0"/>
              <w:spacing w:line="240" w:lineRule="auto"/>
              <w:rPr>
                <w:rFonts w:ascii="Arial" w:hAnsi="Arial" w:cs="Arial"/>
                <w:color w:val="000000"/>
                <w:sz w:val="21"/>
                <w:szCs w:val="21"/>
              </w:rPr>
            </w:pPr>
          </w:p>
        </w:tc>
        <w:tc>
          <w:tcPr>
            <w:tcW w:w="2587" w:type="dxa"/>
            <w:tcBorders>
              <w:top w:val="single" w:color="404040" w:sz="2" w:space="0"/>
              <w:left w:val="single" w:color="404040" w:sz="2" w:space="0"/>
              <w:bottom w:val="single" w:color="404040" w:sz="2" w:space="0"/>
              <w:right w:val="single" w:color="404040" w:sz="2" w:space="0"/>
            </w:tcBorders>
            <w:vAlign w:val="center"/>
          </w:tcPr>
          <w:p w14:paraId="54A68C1B">
            <w:pPr>
              <w:tabs>
                <w:tab w:val="left" w:pos="5160"/>
              </w:tabs>
              <w:overflowPunct w:val="0"/>
              <w:spacing w:line="240" w:lineRule="auto"/>
              <w:ind w:firstLine="420"/>
              <w:jc w:val="right"/>
            </w:pPr>
            <w:r>
              <w:rPr>
                <w:rFonts w:ascii="Arial" w:hAnsi="Arial" w:cs="Arial"/>
                <w:color w:val="000000"/>
                <w:sz w:val="21"/>
                <w:szCs w:val="21"/>
              </w:rPr>
              <w:t>年</w:t>
            </w:r>
            <w:r>
              <w:rPr>
                <w:rFonts w:ascii="Arial" w:hAnsi="Arial" w:eastAsia="Arial" w:cs="Arial"/>
                <w:color w:val="000000"/>
                <w:sz w:val="21"/>
                <w:szCs w:val="21"/>
              </w:rPr>
              <w:t xml:space="preserve">    </w:t>
            </w:r>
            <w:r>
              <w:rPr>
                <w:rFonts w:ascii="Arial" w:hAnsi="Arial" w:cs="Arial"/>
                <w:color w:val="000000"/>
                <w:sz w:val="21"/>
                <w:szCs w:val="21"/>
              </w:rPr>
              <w:t>月</w:t>
            </w:r>
            <w:r>
              <w:rPr>
                <w:rFonts w:ascii="Arial" w:hAnsi="Arial" w:eastAsia="Arial" w:cs="Arial"/>
                <w:color w:val="000000"/>
                <w:sz w:val="21"/>
                <w:szCs w:val="21"/>
              </w:rPr>
              <w:t xml:space="preserve">    </w:t>
            </w:r>
            <w:r>
              <w:rPr>
                <w:rFonts w:ascii="Arial" w:hAnsi="Arial" w:cs="Arial"/>
                <w:color w:val="000000"/>
                <w:sz w:val="21"/>
                <w:szCs w:val="21"/>
              </w:rPr>
              <w:t>日</w:t>
            </w:r>
          </w:p>
        </w:tc>
      </w:tr>
    </w:tbl>
    <w:p w14:paraId="49AED202">
      <w:pPr>
        <w:overflowPunct w:val="0"/>
        <w:spacing w:line="480" w:lineRule="auto"/>
        <w:jc w:val="both"/>
        <w:textAlignment w:val="auto"/>
        <w:rPr>
          <w:rFonts w:ascii="Arial" w:hAnsi="Arial" w:cs="Arial"/>
          <w:kern w:val="2"/>
          <w:sz w:val="21"/>
          <w:szCs w:val="21"/>
        </w:rPr>
      </w:pPr>
    </w:p>
    <w:p w14:paraId="5CF004D3">
      <w:pPr>
        <w:pStyle w:val="3"/>
        <w:numPr>
          <w:ilvl w:val="0"/>
          <w:numId w:val="0"/>
        </w:numPr>
        <w:overflowPunct w:val="0"/>
        <w:spacing w:line="480" w:lineRule="auto"/>
        <w:jc w:val="both"/>
        <w:textAlignment w:val="auto"/>
        <w:rPr>
          <w:rFonts w:eastAsia="宋体;SimSun"/>
          <w:kern w:val="2"/>
          <w:sz w:val="21"/>
          <w:szCs w:val="21"/>
        </w:rPr>
      </w:pPr>
      <w:bookmarkStart w:id="21" w:name="_Toc155340493"/>
      <w:r>
        <w:rPr>
          <w:rFonts w:eastAsia="宋体;SimSun"/>
          <w:kern w:val="2"/>
          <w:sz w:val="21"/>
          <w:szCs w:val="21"/>
        </w:rPr>
        <w:t>十二、实地查勘期</w:t>
      </w:r>
      <w:bookmarkEnd w:id="21"/>
    </w:p>
    <w:p w14:paraId="4C75F58D">
      <w:pPr>
        <w:overflowPunct w:val="0"/>
        <w:spacing w:line="480" w:lineRule="auto"/>
        <w:ind w:firstLine="420"/>
        <w:jc w:val="both"/>
        <w:textAlignment w:val="auto"/>
        <w:rPr>
          <w:rFonts w:ascii="Arial" w:hAnsi="Arial" w:cs="Arial"/>
          <w:sz w:val="21"/>
          <w:szCs w:val="21"/>
        </w:rPr>
      </w:pPr>
      <w:r>
        <w:rPr>
          <w:rFonts w:hint="eastAsia" w:ascii="Arial" w:hAnsi="Arial" w:cs="Arial"/>
          <w:sz w:val="21"/>
          <w:szCs w:val="21"/>
        </w:rPr>
        <w:t>2025年10月13日</w:t>
      </w:r>
    </w:p>
    <w:p w14:paraId="5EA0CF29">
      <w:pPr>
        <w:overflowPunct w:val="0"/>
        <w:spacing w:line="480" w:lineRule="auto"/>
        <w:jc w:val="both"/>
        <w:textAlignment w:val="auto"/>
        <w:rPr>
          <w:rFonts w:ascii="Arial" w:hAnsi="Arial" w:cs="Arial"/>
          <w:kern w:val="2"/>
          <w:sz w:val="21"/>
          <w:szCs w:val="21"/>
        </w:rPr>
      </w:pPr>
    </w:p>
    <w:p w14:paraId="2610CCBA">
      <w:pPr>
        <w:pStyle w:val="3"/>
        <w:numPr>
          <w:ilvl w:val="0"/>
          <w:numId w:val="0"/>
        </w:numPr>
        <w:overflowPunct w:val="0"/>
        <w:spacing w:line="480" w:lineRule="auto"/>
        <w:jc w:val="both"/>
        <w:textAlignment w:val="auto"/>
        <w:rPr>
          <w:rFonts w:eastAsia="宋体;SimSun"/>
          <w:kern w:val="2"/>
          <w:sz w:val="21"/>
          <w:szCs w:val="21"/>
        </w:rPr>
      </w:pPr>
      <w:bookmarkStart w:id="22" w:name="_Toc155340494"/>
      <w:r>
        <w:rPr>
          <w:rFonts w:eastAsia="宋体;SimSun"/>
          <w:kern w:val="2"/>
          <w:sz w:val="21"/>
          <w:szCs w:val="21"/>
        </w:rPr>
        <w:t>十三、估价作业期</w:t>
      </w:r>
      <w:bookmarkEnd w:id="22"/>
      <w:r>
        <w:rPr>
          <w:rFonts w:eastAsia="Arial"/>
          <w:kern w:val="2"/>
          <w:sz w:val="21"/>
          <w:szCs w:val="21"/>
        </w:rPr>
        <w:t xml:space="preserve">  </w:t>
      </w:r>
    </w:p>
    <w:p w14:paraId="3F3346C5">
      <w:pPr>
        <w:overflowPunct w:val="0"/>
        <w:spacing w:line="480" w:lineRule="auto"/>
        <w:ind w:firstLine="420"/>
        <w:jc w:val="both"/>
        <w:textAlignment w:val="auto"/>
        <w:rPr>
          <w:rFonts w:ascii="Arial" w:hAnsi="Arial" w:cs="Arial"/>
          <w:color w:val="E36C0A"/>
          <w:sz w:val="21"/>
          <w:szCs w:val="21"/>
        </w:rPr>
        <w:sectPr>
          <w:headerReference r:id="rId19" w:type="default"/>
          <w:footerReference r:id="rId20" w:type="default"/>
          <w:pgSz w:w="11906" w:h="16838"/>
          <w:pgMar w:top="1843" w:right="1134" w:bottom="1134" w:left="1474" w:header="1134" w:footer="907" w:gutter="0"/>
          <w:cols w:space="720" w:num="1"/>
          <w:formProt w:val="0"/>
          <w:docGrid w:linePitch="326" w:charSpace="0"/>
        </w:sectPr>
      </w:pPr>
      <w:r>
        <w:rPr>
          <w:rFonts w:hint="eastAsia" w:ascii="Arial" w:hAnsi="Arial" w:cs="Arial"/>
          <w:sz w:val="21"/>
          <w:szCs w:val="21"/>
        </w:rPr>
        <w:t>2025年10月13日</w:t>
      </w:r>
      <w:r>
        <w:rPr>
          <w:rFonts w:ascii="Arial" w:hAnsi="Arial" w:cs="Arial"/>
          <w:sz w:val="21"/>
          <w:szCs w:val="21"/>
        </w:rPr>
        <w:t>至202</w:t>
      </w:r>
      <w:r>
        <w:rPr>
          <w:rFonts w:hint="eastAsia" w:ascii="Arial" w:hAnsi="Arial" w:cs="Arial"/>
          <w:sz w:val="21"/>
          <w:szCs w:val="21"/>
        </w:rPr>
        <w:t>5</w:t>
      </w:r>
      <w:r>
        <w:rPr>
          <w:rFonts w:ascii="Arial" w:hAnsi="Arial" w:cs="Arial"/>
          <w:sz w:val="21"/>
          <w:szCs w:val="21"/>
        </w:rPr>
        <w:t>年</w:t>
      </w:r>
      <w:r>
        <w:rPr>
          <w:rFonts w:hint="eastAsia" w:ascii="Arial" w:hAnsi="Arial" w:cs="Arial"/>
          <w:sz w:val="21"/>
          <w:szCs w:val="21"/>
        </w:rPr>
        <w:t>11</w:t>
      </w:r>
      <w:r>
        <w:rPr>
          <w:rFonts w:ascii="Arial" w:hAnsi="Arial" w:cs="Arial"/>
          <w:sz w:val="21"/>
          <w:szCs w:val="21"/>
        </w:rPr>
        <w:t>月</w:t>
      </w:r>
      <w:r>
        <w:rPr>
          <w:rFonts w:hint="eastAsia" w:ascii="Arial" w:hAnsi="Arial" w:cs="Arial"/>
          <w:sz w:val="21"/>
          <w:szCs w:val="21"/>
        </w:rPr>
        <w:t>1</w:t>
      </w:r>
      <w:r>
        <w:rPr>
          <w:rFonts w:ascii="Arial" w:hAnsi="Arial" w:cs="Arial"/>
          <w:sz w:val="21"/>
          <w:szCs w:val="21"/>
        </w:rPr>
        <w:t>日</w:t>
      </w:r>
    </w:p>
    <w:p w14:paraId="11F761A1">
      <w:pPr>
        <w:pStyle w:val="2"/>
        <w:spacing w:line="480" w:lineRule="auto"/>
        <w:jc w:val="center"/>
        <w:rPr>
          <w:rFonts w:eastAsia="方正黑体简体"/>
          <w:b w:val="0"/>
          <w:kern w:val="2"/>
          <w:sz w:val="32"/>
          <w:szCs w:val="32"/>
        </w:rPr>
      </w:pPr>
      <w:bookmarkStart w:id="23" w:name="_Toc155340495"/>
      <w:r>
        <w:rPr>
          <w:rFonts w:eastAsia="方正黑体简体"/>
          <w:b w:val="0"/>
          <w:kern w:val="2"/>
          <w:sz w:val="32"/>
          <w:szCs w:val="32"/>
        </w:rPr>
        <w:t>估价技术报告</w:t>
      </w:r>
      <w:bookmarkEnd w:id="23"/>
    </w:p>
    <w:p w14:paraId="6B6160E2">
      <w:pPr>
        <w:pStyle w:val="3"/>
        <w:numPr>
          <w:ilvl w:val="0"/>
          <w:numId w:val="0"/>
        </w:numPr>
        <w:spacing w:line="480" w:lineRule="auto"/>
        <w:ind w:left="357" w:hanging="357"/>
        <w:jc w:val="both"/>
      </w:pPr>
      <w:bookmarkStart w:id="24" w:name="_Toc155340496"/>
      <w:r>
        <w:rPr>
          <w:rFonts w:eastAsia="宋体;SimSun"/>
          <w:kern w:val="2"/>
          <w:sz w:val="21"/>
          <w:szCs w:val="21"/>
        </w:rPr>
        <w:t>一、估价对象描述与分析</w:t>
      </w:r>
      <w:bookmarkEnd w:id="24"/>
    </w:p>
    <w:p w14:paraId="011EDBDF">
      <w:pPr>
        <w:pStyle w:val="3"/>
        <w:numPr>
          <w:ilvl w:val="0"/>
          <w:numId w:val="0"/>
        </w:numPr>
        <w:spacing w:line="480" w:lineRule="auto"/>
        <w:ind w:left="359" w:hanging="359"/>
        <w:jc w:val="both"/>
      </w:pPr>
      <w:bookmarkStart w:id="25" w:name="_Toc155340497"/>
      <w:r>
        <w:rPr>
          <w:rFonts w:eastAsia="宋体;SimSun"/>
          <w:kern w:val="2"/>
          <w:sz w:val="21"/>
          <w:szCs w:val="21"/>
        </w:rPr>
        <w:t>（一）区位状况分析</w:t>
      </w:r>
      <w:bookmarkEnd w:id="25"/>
    </w:p>
    <w:p w14:paraId="05A3B21E">
      <w:pPr>
        <w:spacing w:line="480" w:lineRule="auto"/>
        <w:ind w:firstLine="420"/>
        <w:jc w:val="both"/>
      </w:pPr>
      <w:r>
        <w:rPr>
          <w:rFonts w:ascii="Arial" w:hAnsi="Arial" w:cs="Arial"/>
          <w:sz w:val="21"/>
          <w:szCs w:val="21"/>
        </w:rPr>
        <w:t>1.位置状况</w:t>
      </w:r>
      <w:r>
        <w:rPr>
          <w:rFonts w:ascii="Arial" w:hAnsi="Arial" w:eastAsia="Arial" w:cs="Arial"/>
          <w:sz w:val="21"/>
          <w:szCs w:val="21"/>
        </w:rPr>
        <w:t xml:space="preserve">  </w:t>
      </w:r>
      <w:r>
        <w:rPr>
          <w:rFonts w:ascii="Arial" w:hAnsi="Arial" w:eastAsia="Arial" w:cs="Arial"/>
          <w:kern w:val="2"/>
          <w:sz w:val="21"/>
          <w:szCs w:val="21"/>
        </w:rPr>
        <w:t xml:space="preserve">  </w:t>
      </w:r>
    </w:p>
    <w:p w14:paraId="3DDD0961">
      <w:pPr>
        <w:spacing w:line="480" w:lineRule="auto"/>
        <w:ind w:firstLine="420"/>
        <w:jc w:val="both"/>
        <w:rPr>
          <w:rFonts w:ascii="Arial" w:hAnsi="Arial" w:cs="Arial"/>
          <w:kern w:val="2"/>
          <w:sz w:val="21"/>
          <w:szCs w:val="21"/>
        </w:rPr>
      </w:pPr>
      <w:r>
        <w:rPr>
          <w:rFonts w:ascii="Arial" w:hAnsi="Arial" w:cs="Arial"/>
          <w:kern w:val="2"/>
          <w:sz w:val="21"/>
          <w:szCs w:val="21"/>
        </w:rPr>
        <w:t>估价对象位于北京经济技术开发区科创十一街4号院，其所属项目北侧邻科创十一街，土地级别属于北京市基准地价居住类六级，VI-亦4区片，地理位置状况较好。</w:t>
      </w:r>
    </w:p>
    <w:p w14:paraId="599378B9">
      <w:pPr>
        <w:spacing w:line="480" w:lineRule="auto"/>
        <w:ind w:firstLine="420"/>
        <w:jc w:val="both"/>
      </w:pPr>
      <w:r>
        <w:rPr>
          <w:rFonts w:ascii="Arial" w:hAnsi="Arial" w:cs="Arial"/>
          <w:color w:val="0D0D0D"/>
          <w:sz w:val="21"/>
          <w:szCs w:val="21"/>
        </w:rPr>
        <w:t>2.</w:t>
      </w:r>
      <w:r>
        <w:rPr>
          <w:rFonts w:ascii="Arial" w:hAnsi="Arial" w:cs="Arial"/>
          <w:sz w:val="21"/>
          <w:szCs w:val="21"/>
        </w:rPr>
        <w:t>居住社区成熟度</w:t>
      </w:r>
    </w:p>
    <w:p w14:paraId="5F6CD3C0">
      <w:pPr>
        <w:spacing w:line="480" w:lineRule="auto"/>
        <w:ind w:firstLine="420"/>
        <w:jc w:val="both"/>
        <w:rPr>
          <w:rFonts w:ascii="Arial" w:hAnsi="Arial" w:cs="Arial"/>
          <w:kern w:val="2"/>
          <w:sz w:val="21"/>
          <w:szCs w:val="21"/>
        </w:rPr>
      </w:pPr>
      <w:r>
        <w:rPr>
          <w:rFonts w:ascii="Arial" w:hAnsi="Arial" w:cs="Arial"/>
          <w:kern w:val="2"/>
          <w:sz w:val="21"/>
          <w:szCs w:val="21"/>
        </w:rPr>
        <w:t>估价对象</w:t>
      </w:r>
      <w:r>
        <w:rPr>
          <w:rFonts w:ascii="Arial" w:hAnsi="Arial" w:cs="Arial"/>
          <w:sz w:val="21"/>
          <w:szCs w:val="21"/>
        </w:rPr>
        <w:t>周边有禧瑞天著、次渠家园、玉江佳园、定海园等居住小区，居住小区规模较大，入住率较高，综合评价居住社区成熟度较好</w:t>
      </w:r>
      <w:r>
        <w:rPr>
          <w:rFonts w:ascii="Arial" w:hAnsi="Arial" w:cs="Arial"/>
          <w:kern w:val="2"/>
          <w:sz w:val="21"/>
          <w:szCs w:val="21"/>
        </w:rPr>
        <w:t>。</w:t>
      </w:r>
    </w:p>
    <w:p w14:paraId="0F47FA1E">
      <w:pPr>
        <w:spacing w:line="480" w:lineRule="auto"/>
        <w:ind w:firstLine="420"/>
        <w:jc w:val="both"/>
        <w:rPr>
          <w:rFonts w:ascii="Arial" w:hAnsi="Arial" w:cs="Arial"/>
          <w:sz w:val="21"/>
          <w:szCs w:val="21"/>
        </w:rPr>
      </w:pPr>
      <w:r>
        <w:rPr>
          <w:rFonts w:ascii="Arial" w:hAnsi="Arial" w:cs="Arial"/>
          <w:sz w:val="21"/>
          <w:szCs w:val="21"/>
        </w:rPr>
        <w:t>3.交通状况</w:t>
      </w:r>
    </w:p>
    <w:p w14:paraId="4CCF75C0">
      <w:pPr>
        <w:spacing w:line="480" w:lineRule="auto"/>
        <w:ind w:firstLine="420"/>
        <w:jc w:val="both"/>
        <w:rPr>
          <w:rFonts w:ascii="Arial" w:hAnsi="Arial" w:cs="Arial"/>
          <w:kern w:val="2"/>
          <w:sz w:val="21"/>
          <w:szCs w:val="21"/>
        </w:rPr>
      </w:pPr>
      <w:r>
        <w:rPr>
          <w:rFonts w:ascii="Arial" w:hAnsi="Arial" w:cs="Arial"/>
          <w:kern w:val="2"/>
          <w:sz w:val="21"/>
          <w:szCs w:val="21"/>
        </w:rPr>
        <w:t>估价对象所属项目紧邻城市次干道——经海六路，附近有公交车站亦城景园、经海七路南口等，停靠线路有通68路、专159路、专184路、专232路、523路等多条线路及亦庄新城现代有轨电车T1线，周边段道路情况良好，道路通达度较好，综合评价交通便捷度较好。</w:t>
      </w:r>
    </w:p>
    <w:p w14:paraId="6A8638FA">
      <w:pPr>
        <w:spacing w:line="480" w:lineRule="auto"/>
        <w:ind w:firstLine="420"/>
        <w:jc w:val="both"/>
      </w:pPr>
      <w:r>
        <w:rPr>
          <w:rFonts w:ascii="Arial" w:hAnsi="Arial" w:cs="Arial"/>
          <w:sz w:val="21"/>
          <w:szCs w:val="21"/>
        </w:rPr>
        <w:t>4.商业</w:t>
      </w:r>
      <w:r>
        <w:rPr>
          <w:rFonts w:hint="eastAsia" w:ascii="Arial" w:hAnsi="Arial" w:cs="Arial"/>
          <w:sz w:val="21"/>
          <w:szCs w:val="21"/>
        </w:rPr>
        <w:t>繁华度</w:t>
      </w:r>
    </w:p>
    <w:p w14:paraId="2911854D">
      <w:pPr>
        <w:spacing w:line="480" w:lineRule="auto"/>
        <w:ind w:firstLine="420"/>
        <w:jc w:val="both"/>
        <w:rPr>
          <w:rFonts w:ascii="Arial" w:hAnsi="Arial" w:cs="Arial"/>
          <w:kern w:val="2"/>
          <w:sz w:val="21"/>
          <w:szCs w:val="21"/>
        </w:rPr>
      </w:pPr>
      <w:r>
        <w:rPr>
          <w:rFonts w:hint="eastAsia" w:ascii="Arial" w:hAnsi="Arial" w:cs="Arial"/>
          <w:kern w:val="2"/>
          <w:sz w:val="21"/>
          <w:szCs w:val="21"/>
        </w:rPr>
        <w:t>估价对象位于北京经济技术开发区，周边百发隆购物中心、中福购物中心、百尚家居建材市场等商业设施，综合评价商业设施较好</w:t>
      </w:r>
      <w:r>
        <w:rPr>
          <w:rFonts w:ascii="Arial" w:hAnsi="Arial" w:cs="Arial"/>
          <w:kern w:val="2"/>
          <w:sz w:val="21"/>
          <w:szCs w:val="21"/>
        </w:rPr>
        <w:t>。</w:t>
      </w:r>
    </w:p>
    <w:p w14:paraId="33ED54DD">
      <w:pPr>
        <w:spacing w:line="480" w:lineRule="auto"/>
        <w:ind w:firstLine="420"/>
        <w:jc w:val="both"/>
        <w:rPr>
          <w:rFonts w:ascii="Arial" w:hAnsi="Arial" w:cs="Arial"/>
          <w:color w:val="000000"/>
          <w:sz w:val="21"/>
          <w:szCs w:val="21"/>
        </w:rPr>
      </w:pPr>
      <w:r>
        <w:rPr>
          <w:rFonts w:ascii="Arial" w:hAnsi="Arial" w:cs="Arial"/>
          <w:sz w:val="21"/>
          <w:szCs w:val="21"/>
        </w:rPr>
        <w:t>5.</w:t>
      </w:r>
      <w:r>
        <w:rPr>
          <w:rFonts w:ascii="Arial" w:hAnsi="Arial" w:cs="Arial"/>
          <w:color w:val="000000"/>
          <w:sz w:val="21"/>
          <w:szCs w:val="21"/>
        </w:rPr>
        <w:t>环境状况</w:t>
      </w:r>
    </w:p>
    <w:p w14:paraId="57975731">
      <w:pPr>
        <w:spacing w:line="480" w:lineRule="auto"/>
        <w:ind w:firstLine="420"/>
        <w:jc w:val="both"/>
        <w:rPr>
          <w:rFonts w:ascii="Arial" w:hAnsi="Arial" w:cs="Arial"/>
          <w:kern w:val="2"/>
          <w:sz w:val="21"/>
          <w:szCs w:val="21"/>
        </w:rPr>
      </w:pPr>
      <w:r>
        <w:rPr>
          <w:rFonts w:ascii="Arial" w:hAnsi="Arial" w:cs="Arial"/>
          <w:kern w:val="2"/>
          <w:sz w:val="21"/>
          <w:szCs w:val="21"/>
        </w:rPr>
        <w:t>估价对象</w:t>
      </w:r>
      <w:r>
        <w:rPr>
          <w:rFonts w:ascii="Arial" w:hAnsi="Arial" w:cs="Arial"/>
          <w:sz w:val="21"/>
          <w:szCs w:val="21"/>
        </w:rPr>
        <w:t>东侧临近通惠北灌渠河、南侧临近通明湖公园，周边无高等教育学校或博物馆等人文场所，综合评价环境状况一般。</w:t>
      </w:r>
    </w:p>
    <w:p w14:paraId="1D7D7698">
      <w:pPr>
        <w:spacing w:line="480" w:lineRule="auto"/>
        <w:ind w:firstLine="420"/>
        <w:jc w:val="both"/>
        <w:rPr>
          <w:rFonts w:ascii="Arial" w:hAnsi="Arial" w:cs="Arial"/>
          <w:i/>
          <w:color w:val="548DD4"/>
          <w:sz w:val="21"/>
          <w:szCs w:val="21"/>
        </w:rPr>
      </w:pPr>
      <w:r>
        <w:rPr>
          <w:rFonts w:ascii="Arial" w:hAnsi="Arial" w:cs="Arial"/>
          <w:sz w:val="21"/>
          <w:szCs w:val="21"/>
        </w:rPr>
        <w:t>6.外部配套设施状况</w:t>
      </w:r>
    </w:p>
    <w:p w14:paraId="30081BF8">
      <w:pPr>
        <w:spacing w:line="480" w:lineRule="auto"/>
        <w:ind w:firstLine="420"/>
        <w:jc w:val="both"/>
      </w:pPr>
      <w:r>
        <w:rPr>
          <w:rFonts w:ascii="Arial" w:hAnsi="Arial" w:cs="Arial"/>
          <w:kern w:val="2"/>
          <w:sz w:val="21"/>
          <w:szCs w:val="21"/>
        </w:rPr>
        <w:t>估价对象</w:t>
      </w:r>
      <w:r>
        <w:rPr>
          <w:rFonts w:ascii="Arial" w:hAnsi="Arial" w:cs="Arial"/>
          <w:sz w:val="21"/>
          <w:szCs w:val="21"/>
        </w:rPr>
        <w:t>所处区域目前已拥有完善的基础设施配套保障，区内基础设施配套可达到“七通”（通路、通电、通讯、供水、排水、通暖、通燃气）条件，且保证程度高。</w:t>
      </w:r>
    </w:p>
    <w:p w14:paraId="79163D20">
      <w:pPr>
        <w:spacing w:line="480" w:lineRule="auto"/>
        <w:ind w:firstLine="420"/>
        <w:jc w:val="both"/>
        <w:rPr>
          <w:rFonts w:ascii="Arial" w:hAnsi="Arial" w:cs="Arial"/>
          <w:sz w:val="21"/>
          <w:szCs w:val="21"/>
        </w:rPr>
      </w:pPr>
      <w:r>
        <w:rPr>
          <w:rFonts w:ascii="Arial" w:hAnsi="Arial" w:cs="Arial"/>
          <w:kern w:val="2"/>
          <w:sz w:val="21"/>
          <w:szCs w:val="21"/>
        </w:rPr>
        <w:t>估价对象所在区域周边2公里范围内有北京银行、北京农商银行、中国农业银行等金融机构；家和新天地商业中心等商服机构；周边有北京市建华实验亦庄学校、亦庄小学、定海园幼儿园等教育机构；有通州区第三医院、次渠北里社区卫生服务站等医疗机构设施。公共配套设施较齐全</w:t>
      </w:r>
      <w:r>
        <w:rPr>
          <w:rFonts w:ascii="Arial" w:hAnsi="Arial" w:cs="Arial"/>
          <w:sz w:val="21"/>
          <w:szCs w:val="21"/>
        </w:rPr>
        <w:t>。</w:t>
      </w:r>
    </w:p>
    <w:p w14:paraId="4DF8DF7A">
      <w:pPr>
        <w:spacing w:line="480" w:lineRule="auto"/>
        <w:ind w:firstLine="420"/>
        <w:jc w:val="both"/>
        <w:rPr>
          <w:rFonts w:ascii="Arial" w:hAnsi="Arial" w:cs="Arial"/>
          <w:sz w:val="21"/>
          <w:szCs w:val="21"/>
        </w:rPr>
      </w:pPr>
      <w:r>
        <w:rPr>
          <w:rFonts w:ascii="Arial" w:hAnsi="Arial" w:cs="Arial"/>
          <w:sz w:val="21"/>
          <w:szCs w:val="21"/>
        </w:rPr>
        <w:t>6.总体评价</w:t>
      </w:r>
    </w:p>
    <w:p w14:paraId="05BA8CBC">
      <w:pPr>
        <w:spacing w:line="480" w:lineRule="auto"/>
        <w:ind w:firstLine="420"/>
        <w:jc w:val="both"/>
        <w:rPr>
          <w:rFonts w:ascii="Arial" w:hAnsi="Arial" w:cs="Arial"/>
          <w:kern w:val="2"/>
          <w:sz w:val="21"/>
          <w:szCs w:val="21"/>
        </w:rPr>
      </w:pPr>
      <w:r>
        <w:rPr>
          <w:rFonts w:ascii="Arial" w:hAnsi="Arial" w:cs="Arial"/>
          <w:sz w:val="21"/>
          <w:szCs w:val="21"/>
        </w:rPr>
        <w:t>估价对象地理位置状况较好，居住社区成熟度较好，交通便捷度较好，商业</w:t>
      </w:r>
      <w:r>
        <w:rPr>
          <w:rFonts w:hint="eastAsia" w:ascii="Arial" w:hAnsi="Arial" w:cs="Arial"/>
          <w:sz w:val="21"/>
          <w:szCs w:val="21"/>
        </w:rPr>
        <w:t>繁华度</w:t>
      </w:r>
      <w:r>
        <w:rPr>
          <w:rFonts w:ascii="Arial" w:hAnsi="Arial" w:cs="Arial"/>
          <w:sz w:val="21"/>
          <w:szCs w:val="21"/>
        </w:rPr>
        <w:t>一般，环境状况一般</w:t>
      </w:r>
      <w:commentRangeStart w:id="0"/>
      <w:r>
        <w:rPr>
          <w:rFonts w:ascii="Arial" w:hAnsi="Arial" w:cs="Arial"/>
          <w:sz w:val="21"/>
          <w:szCs w:val="21"/>
        </w:rPr>
        <w:t>，区内基础设施配套可达“七通”，</w:t>
      </w:r>
      <w:commentRangeEnd w:id="0"/>
      <w:r>
        <w:rPr>
          <w:rStyle w:val="37"/>
        </w:rPr>
        <w:commentReference w:id="0"/>
      </w:r>
      <w:r>
        <w:rPr>
          <w:rFonts w:ascii="Arial" w:hAnsi="Arial" w:cs="Arial"/>
          <w:sz w:val="21"/>
          <w:szCs w:val="21"/>
        </w:rPr>
        <w:t>公共配套设施状况较齐全。区域规划无特殊限制。总体评价影响估价对象的区位条件较好。</w:t>
      </w:r>
    </w:p>
    <w:p w14:paraId="55D52A37">
      <w:pPr>
        <w:pStyle w:val="3"/>
        <w:numPr>
          <w:ilvl w:val="0"/>
          <w:numId w:val="0"/>
        </w:numPr>
        <w:spacing w:line="480" w:lineRule="auto"/>
        <w:ind w:left="359" w:hanging="359"/>
        <w:jc w:val="both"/>
      </w:pPr>
      <w:bookmarkStart w:id="26" w:name="_Toc155340498"/>
      <w:r>
        <w:rPr>
          <w:rFonts w:eastAsia="宋体;SimSun"/>
          <w:kern w:val="2"/>
          <w:sz w:val="21"/>
          <w:szCs w:val="21"/>
        </w:rPr>
        <w:t>（二）实物状况分析</w:t>
      </w:r>
      <w:bookmarkEnd w:id="26"/>
    </w:p>
    <w:p w14:paraId="1FB7DFFF">
      <w:pPr>
        <w:overflowPunct w:val="0"/>
        <w:spacing w:line="480" w:lineRule="auto"/>
        <w:ind w:firstLine="420"/>
        <w:jc w:val="both"/>
        <w:textAlignment w:val="auto"/>
        <w:rPr>
          <w:rFonts w:cs="Arial"/>
        </w:rPr>
      </w:pPr>
      <w:r>
        <w:rPr>
          <w:rFonts w:ascii="Arial" w:hAnsi="Arial" w:cs="Arial"/>
          <w:kern w:val="2"/>
          <w:sz w:val="21"/>
          <w:szCs w:val="21"/>
        </w:rPr>
        <w:t>估价对象为</w:t>
      </w:r>
      <w:r>
        <w:rPr>
          <w:rFonts w:hint="eastAsia" w:ascii="Arial" w:hAnsi="Arial" w:cs="Arial"/>
          <w:kern w:val="2"/>
          <w:sz w:val="21"/>
          <w:szCs w:val="21"/>
        </w:rPr>
        <w:t>北京经济技术开发区科创十一街4号院5、10号楼（E18亦城景园国际人才公寓）共516套公共租赁住房项目</w:t>
      </w:r>
      <w:r>
        <w:rPr>
          <w:rFonts w:ascii="Arial" w:hAnsi="Arial" w:cs="Arial"/>
          <w:kern w:val="2"/>
          <w:sz w:val="21"/>
          <w:szCs w:val="21"/>
        </w:rPr>
        <w:t>，总建筑面积</w:t>
      </w:r>
      <w:r>
        <w:rPr>
          <w:rFonts w:hint="eastAsia" w:ascii="Arial" w:hAnsi="Arial" w:cs="Arial"/>
          <w:kern w:val="2"/>
          <w:sz w:val="21"/>
          <w:szCs w:val="21"/>
        </w:rPr>
        <w:t>44359.11</w:t>
      </w:r>
      <w:r>
        <w:rPr>
          <w:rFonts w:ascii="Arial" w:hAnsi="Arial" w:cs="Arial"/>
          <w:kern w:val="2"/>
          <w:sz w:val="21"/>
          <w:szCs w:val="21"/>
        </w:rPr>
        <w:t>平方米。详见下表：</w:t>
      </w:r>
    </w:p>
    <w:tbl>
      <w:tblPr>
        <w:tblStyle w:val="33"/>
        <w:tblW w:w="9890" w:type="dxa"/>
        <w:tblInd w:w="0" w:type="dxa"/>
        <w:tblLayout w:type="autofit"/>
        <w:tblCellMar>
          <w:top w:w="0" w:type="dxa"/>
          <w:left w:w="108" w:type="dxa"/>
          <w:bottom w:w="0" w:type="dxa"/>
          <w:right w:w="108" w:type="dxa"/>
        </w:tblCellMar>
      </w:tblPr>
      <w:tblGrid>
        <w:gridCol w:w="2000"/>
        <w:gridCol w:w="1260"/>
        <w:gridCol w:w="1200"/>
        <w:gridCol w:w="1100"/>
        <w:gridCol w:w="1180"/>
        <w:gridCol w:w="1660"/>
        <w:gridCol w:w="1490"/>
      </w:tblGrid>
      <w:tr w14:paraId="604AB543">
        <w:tblPrEx>
          <w:tblCellMar>
            <w:top w:w="0" w:type="dxa"/>
            <w:left w:w="108" w:type="dxa"/>
            <w:bottom w:w="0" w:type="dxa"/>
            <w:right w:w="108" w:type="dxa"/>
          </w:tblCellMar>
        </w:tblPrEx>
        <w:trPr>
          <w:trHeight w:val="285" w:hRule="atLeast"/>
        </w:trPr>
        <w:tc>
          <w:tcPr>
            <w:tcW w:w="2000" w:type="dxa"/>
            <w:tcBorders>
              <w:top w:val="single" w:color="000000" w:sz="4" w:space="0"/>
              <w:left w:val="single" w:color="000000" w:sz="4" w:space="0"/>
              <w:bottom w:val="single" w:color="000000" w:sz="4" w:space="0"/>
            </w:tcBorders>
            <w:vAlign w:val="center"/>
          </w:tcPr>
          <w:p w14:paraId="12E312B7">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公寓类型</w:t>
            </w:r>
          </w:p>
        </w:tc>
        <w:tc>
          <w:tcPr>
            <w:tcW w:w="1260" w:type="dxa"/>
            <w:tcBorders>
              <w:top w:val="single" w:color="000000" w:sz="4" w:space="0"/>
              <w:left w:val="single" w:color="000000" w:sz="4" w:space="0"/>
              <w:bottom w:val="single" w:color="000000" w:sz="4" w:space="0"/>
            </w:tcBorders>
            <w:vAlign w:val="center"/>
          </w:tcPr>
          <w:p w14:paraId="1171D405">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面积</w:t>
            </w:r>
            <w:r>
              <w:rPr>
                <w:rFonts w:hint="eastAsia" w:ascii="Arial" w:hAnsi="Arial" w:eastAsia="华文细黑" w:cs="Arial"/>
                <w:color w:val="000000"/>
                <w:sz w:val="18"/>
                <w:szCs w:val="18"/>
              </w:rPr>
              <w:t>（㎡）</w:t>
            </w:r>
          </w:p>
        </w:tc>
        <w:tc>
          <w:tcPr>
            <w:tcW w:w="1200" w:type="dxa"/>
            <w:tcBorders>
              <w:top w:val="single" w:color="000000" w:sz="4" w:space="0"/>
              <w:left w:val="single" w:color="000000" w:sz="4" w:space="0"/>
              <w:bottom w:val="single" w:color="000000" w:sz="4" w:space="0"/>
            </w:tcBorders>
            <w:vAlign w:val="center"/>
          </w:tcPr>
          <w:p w14:paraId="46BD1838">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套数</w:t>
            </w:r>
          </w:p>
        </w:tc>
        <w:tc>
          <w:tcPr>
            <w:tcW w:w="1100" w:type="dxa"/>
            <w:tcBorders>
              <w:top w:val="single" w:color="000000" w:sz="4" w:space="0"/>
              <w:left w:val="single" w:color="000000" w:sz="4" w:space="0"/>
              <w:bottom w:val="single" w:color="000000" w:sz="4" w:space="0"/>
            </w:tcBorders>
            <w:vAlign w:val="center"/>
          </w:tcPr>
          <w:p w14:paraId="29E056FC">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朝向</w:t>
            </w:r>
          </w:p>
        </w:tc>
        <w:tc>
          <w:tcPr>
            <w:tcW w:w="1180" w:type="dxa"/>
            <w:tcBorders>
              <w:top w:val="single" w:color="000000" w:sz="4" w:space="0"/>
              <w:left w:val="single" w:color="000000" w:sz="4" w:space="0"/>
              <w:bottom w:val="single" w:color="000000" w:sz="4" w:space="0"/>
            </w:tcBorders>
            <w:vAlign w:val="center"/>
          </w:tcPr>
          <w:p w14:paraId="23156A64">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户型</w:t>
            </w:r>
          </w:p>
        </w:tc>
        <w:tc>
          <w:tcPr>
            <w:tcW w:w="1660" w:type="dxa"/>
            <w:tcBorders>
              <w:top w:val="single" w:color="000000" w:sz="4" w:space="0"/>
              <w:left w:val="single" w:color="000000" w:sz="4" w:space="0"/>
              <w:bottom w:val="single" w:color="000000" w:sz="4" w:space="0"/>
            </w:tcBorders>
            <w:vAlign w:val="center"/>
          </w:tcPr>
          <w:p w14:paraId="5CA1CD91">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面积范围</w:t>
            </w:r>
            <w:r>
              <w:rPr>
                <w:rFonts w:hint="eastAsia" w:ascii="Arial" w:hAnsi="Arial" w:eastAsia="华文细黑" w:cs="Arial"/>
                <w:color w:val="000000"/>
                <w:sz w:val="18"/>
                <w:szCs w:val="18"/>
              </w:rPr>
              <w:t>（㎡）</w:t>
            </w:r>
          </w:p>
        </w:tc>
        <w:tc>
          <w:tcPr>
            <w:tcW w:w="1490" w:type="dxa"/>
            <w:tcBorders>
              <w:top w:val="single" w:color="000000" w:sz="4" w:space="0"/>
              <w:left w:val="single" w:color="000000" w:sz="4" w:space="0"/>
              <w:bottom w:val="single" w:color="000000" w:sz="4" w:space="0"/>
              <w:right w:val="single" w:color="000000" w:sz="4" w:space="0"/>
            </w:tcBorders>
            <w:vAlign w:val="center"/>
          </w:tcPr>
          <w:p w14:paraId="5F07D1AE">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装修</w:t>
            </w:r>
          </w:p>
        </w:tc>
      </w:tr>
      <w:tr w14:paraId="13951D40">
        <w:tblPrEx>
          <w:tblCellMar>
            <w:top w:w="0" w:type="dxa"/>
            <w:left w:w="108" w:type="dxa"/>
            <w:bottom w:w="0" w:type="dxa"/>
            <w:right w:w="108" w:type="dxa"/>
          </w:tblCellMar>
        </w:tblPrEx>
        <w:trPr>
          <w:trHeight w:val="285" w:hRule="atLeast"/>
        </w:trPr>
        <w:tc>
          <w:tcPr>
            <w:tcW w:w="2000" w:type="dxa"/>
            <w:tcBorders>
              <w:left w:val="single" w:color="000000" w:sz="4" w:space="0"/>
              <w:bottom w:val="single" w:color="000000" w:sz="4" w:space="0"/>
            </w:tcBorders>
            <w:vAlign w:val="center"/>
          </w:tcPr>
          <w:p w14:paraId="3B1E5AB8">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领军人才公寓</w:t>
            </w:r>
          </w:p>
        </w:tc>
        <w:tc>
          <w:tcPr>
            <w:tcW w:w="1260" w:type="dxa"/>
            <w:tcBorders>
              <w:left w:val="single" w:color="000000" w:sz="4" w:space="0"/>
              <w:bottom w:val="single" w:color="000000" w:sz="4" w:space="0"/>
            </w:tcBorders>
            <w:vAlign w:val="center"/>
          </w:tcPr>
          <w:p w14:paraId="0389DBA8">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3624.2</w:t>
            </w:r>
          </w:p>
        </w:tc>
        <w:tc>
          <w:tcPr>
            <w:tcW w:w="1200" w:type="dxa"/>
            <w:tcBorders>
              <w:left w:val="single" w:color="000000" w:sz="4" w:space="0"/>
              <w:bottom w:val="single" w:color="000000" w:sz="4" w:space="0"/>
            </w:tcBorders>
            <w:vAlign w:val="center"/>
          </w:tcPr>
          <w:p w14:paraId="5749D00E">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52</w:t>
            </w:r>
          </w:p>
        </w:tc>
        <w:tc>
          <w:tcPr>
            <w:tcW w:w="1100" w:type="dxa"/>
            <w:tcBorders>
              <w:left w:val="single" w:color="000000" w:sz="4" w:space="0"/>
              <w:bottom w:val="single" w:color="000000" w:sz="4" w:space="0"/>
            </w:tcBorders>
            <w:vAlign w:val="center"/>
          </w:tcPr>
          <w:p w14:paraId="5A2828B5">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南</w:t>
            </w:r>
          </w:p>
        </w:tc>
        <w:tc>
          <w:tcPr>
            <w:tcW w:w="1180" w:type="dxa"/>
            <w:tcBorders>
              <w:left w:val="single" w:color="000000" w:sz="4" w:space="0"/>
              <w:bottom w:val="single" w:color="000000" w:sz="4" w:space="0"/>
            </w:tcBorders>
            <w:vAlign w:val="center"/>
          </w:tcPr>
          <w:p w14:paraId="2C32BF6F">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一居室</w:t>
            </w:r>
          </w:p>
        </w:tc>
        <w:tc>
          <w:tcPr>
            <w:tcW w:w="1660" w:type="dxa"/>
            <w:tcBorders>
              <w:left w:val="single" w:color="000000" w:sz="4" w:space="0"/>
              <w:bottom w:val="single" w:color="000000" w:sz="4" w:space="0"/>
            </w:tcBorders>
            <w:vAlign w:val="center"/>
          </w:tcPr>
          <w:p w14:paraId="0766F343">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69.62-69.80</w:t>
            </w:r>
          </w:p>
        </w:tc>
        <w:tc>
          <w:tcPr>
            <w:tcW w:w="1490" w:type="dxa"/>
            <w:tcBorders>
              <w:left w:val="single" w:color="000000" w:sz="4" w:space="0"/>
              <w:bottom w:val="single" w:color="000000" w:sz="4" w:space="0"/>
              <w:right w:val="single" w:color="000000" w:sz="4" w:space="0"/>
            </w:tcBorders>
            <w:vAlign w:val="center"/>
          </w:tcPr>
          <w:p w14:paraId="4AC72B79">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简单装修</w:t>
            </w:r>
          </w:p>
        </w:tc>
      </w:tr>
      <w:tr w14:paraId="37D3B82C">
        <w:tblPrEx>
          <w:tblCellMar>
            <w:top w:w="0" w:type="dxa"/>
            <w:left w:w="108" w:type="dxa"/>
            <w:bottom w:w="0" w:type="dxa"/>
            <w:right w:w="108" w:type="dxa"/>
          </w:tblCellMar>
        </w:tblPrEx>
        <w:trPr>
          <w:trHeight w:val="285" w:hRule="atLeast"/>
        </w:trPr>
        <w:tc>
          <w:tcPr>
            <w:tcW w:w="2000" w:type="dxa"/>
            <w:tcBorders>
              <w:left w:val="single" w:color="000000" w:sz="4" w:space="0"/>
              <w:bottom w:val="single" w:color="000000" w:sz="4" w:space="0"/>
            </w:tcBorders>
            <w:vAlign w:val="center"/>
          </w:tcPr>
          <w:p w14:paraId="609F6E5B">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杰出人才公寓</w:t>
            </w:r>
          </w:p>
        </w:tc>
        <w:tc>
          <w:tcPr>
            <w:tcW w:w="1260" w:type="dxa"/>
            <w:tcBorders>
              <w:left w:val="single" w:color="000000" w:sz="4" w:space="0"/>
              <w:bottom w:val="single" w:color="000000" w:sz="4" w:space="0"/>
            </w:tcBorders>
            <w:vAlign w:val="center"/>
          </w:tcPr>
          <w:p w14:paraId="05899E2F">
            <w:pPr>
              <w:widowControl/>
              <w:spacing w:line="240" w:lineRule="auto"/>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3624.2</w:t>
            </w:r>
          </w:p>
        </w:tc>
        <w:tc>
          <w:tcPr>
            <w:tcW w:w="1200" w:type="dxa"/>
            <w:tcBorders>
              <w:left w:val="single" w:color="000000" w:sz="4" w:space="0"/>
              <w:bottom w:val="single" w:color="000000" w:sz="4" w:space="0"/>
            </w:tcBorders>
            <w:vAlign w:val="center"/>
          </w:tcPr>
          <w:p w14:paraId="05EEC146">
            <w:pPr>
              <w:widowControl/>
              <w:spacing w:line="240" w:lineRule="auto"/>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52</w:t>
            </w:r>
          </w:p>
        </w:tc>
        <w:tc>
          <w:tcPr>
            <w:tcW w:w="1100" w:type="dxa"/>
            <w:tcBorders>
              <w:left w:val="single" w:color="000000" w:sz="4" w:space="0"/>
              <w:bottom w:val="single" w:color="000000" w:sz="4" w:space="0"/>
            </w:tcBorders>
            <w:vAlign w:val="center"/>
          </w:tcPr>
          <w:p w14:paraId="4A176816">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南</w:t>
            </w:r>
          </w:p>
        </w:tc>
        <w:tc>
          <w:tcPr>
            <w:tcW w:w="1180" w:type="dxa"/>
            <w:tcBorders>
              <w:left w:val="single" w:color="000000" w:sz="4" w:space="0"/>
              <w:bottom w:val="single" w:color="000000" w:sz="4" w:space="0"/>
            </w:tcBorders>
            <w:vAlign w:val="center"/>
          </w:tcPr>
          <w:p w14:paraId="65D4AA97">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一居室</w:t>
            </w:r>
          </w:p>
        </w:tc>
        <w:tc>
          <w:tcPr>
            <w:tcW w:w="1660" w:type="dxa"/>
            <w:tcBorders>
              <w:left w:val="single" w:color="000000" w:sz="4" w:space="0"/>
              <w:bottom w:val="single" w:color="000000" w:sz="4" w:space="0"/>
            </w:tcBorders>
            <w:vAlign w:val="center"/>
          </w:tcPr>
          <w:p w14:paraId="52D253F0">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69.62-69.8</w:t>
            </w:r>
          </w:p>
        </w:tc>
        <w:tc>
          <w:tcPr>
            <w:tcW w:w="1490" w:type="dxa"/>
            <w:tcBorders>
              <w:left w:val="single" w:color="000000" w:sz="4" w:space="0"/>
              <w:bottom w:val="single" w:color="000000" w:sz="4" w:space="0"/>
              <w:right w:val="single" w:color="000000" w:sz="4" w:space="0"/>
            </w:tcBorders>
            <w:vAlign w:val="center"/>
          </w:tcPr>
          <w:p w14:paraId="33334BAF">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精装修</w:t>
            </w:r>
          </w:p>
        </w:tc>
      </w:tr>
      <w:tr w14:paraId="11608091">
        <w:tblPrEx>
          <w:tblCellMar>
            <w:top w:w="0" w:type="dxa"/>
            <w:left w:w="108" w:type="dxa"/>
            <w:bottom w:w="0" w:type="dxa"/>
            <w:right w:w="108" w:type="dxa"/>
          </w:tblCellMar>
        </w:tblPrEx>
        <w:trPr>
          <w:trHeight w:val="285" w:hRule="atLeast"/>
        </w:trPr>
        <w:tc>
          <w:tcPr>
            <w:tcW w:w="2000" w:type="dxa"/>
            <w:tcBorders>
              <w:left w:val="single" w:color="000000" w:sz="4" w:space="0"/>
              <w:bottom w:val="single" w:color="000000" w:sz="4" w:space="0"/>
            </w:tcBorders>
            <w:vAlign w:val="center"/>
          </w:tcPr>
          <w:p w14:paraId="4EED81FC">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领军人才公寓</w:t>
            </w:r>
          </w:p>
        </w:tc>
        <w:tc>
          <w:tcPr>
            <w:tcW w:w="1260" w:type="dxa"/>
            <w:tcBorders>
              <w:left w:val="single" w:color="000000" w:sz="4" w:space="0"/>
              <w:bottom w:val="single" w:color="000000" w:sz="4" w:space="0"/>
            </w:tcBorders>
            <w:vAlign w:val="center"/>
          </w:tcPr>
          <w:p w14:paraId="64132AB2">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14110.48</w:t>
            </w:r>
          </w:p>
        </w:tc>
        <w:tc>
          <w:tcPr>
            <w:tcW w:w="1200" w:type="dxa"/>
            <w:tcBorders>
              <w:left w:val="single" w:color="000000" w:sz="4" w:space="0"/>
              <w:bottom w:val="single" w:color="000000" w:sz="4" w:space="0"/>
            </w:tcBorders>
            <w:vAlign w:val="center"/>
          </w:tcPr>
          <w:p w14:paraId="225DB98E">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156</w:t>
            </w:r>
          </w:p>
        </w:tc>
        <w:tc>
          <w:tcPr>
            <w:tcW w:w="1100" w:type="dxa"/>
            <w:tcBorders>
              <w:left w:val="single" w:color="000000" w:sz="4" w:space="0"/>
              <w:bottom w:val="single" w:color="000000" w:sz="4" w:space="0"/>
            </w:tcBorders>
            <w:vAlign w:val="center"/>
          </w:tcPr>
          <w:p w14:paraId="49BD5D6A">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南</w:t>
            </w:r>
          </w:p>
        </w:tc>
        <w:tc>
          <w:tcPr>
            <w:tcW w:w="1180" w:type="dxa"/>
            <w:tcBorders>
              <w:left w:val="single" w:color="000000" w:sz="4" w:space="0"/>
              <w:bottom w:val="single" w:color="000000" w:sz="4" w:space="0"/>
            </w:tcBorders>
            <w:vAlign w:val="center"/>
          </w:tcPr>
          <w:p w14:paraId="25031849">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两居室</w:t>
            </w:r>
          </w:p>
        </w:tc>
        <w:tc>
          <w:tcPr>
            <w:tcW w:w="1660" w:type="dxa"/>
            <w:tcBorders>
              <w:left w:val="single" w:color="000000" w:sz="4" w:space="0"/>
              <w:bottom w:val="single" w:color="000000" w:sz="4" w:space="0"/>
            </w:tcBorders>
            <w:vAlign w:val="center"/>
          </w:tcPr>
          <w:p w14:paraId="0FC7CE6D">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89.62-92.07</w:t>
            </w:r>
          </w:p>
        </w:tc>
        <w:tc>
          <w:tcPr>
            <w:tcW w:w="1490" w:type="dxa"/>
            <w:tcBorders>
              <w:left w:val="single" w:color="000000" w:sz="4" w:space="0"/>
              <w:bottom w:val="single" w:color="000000" w:sz="4" w:space="0"/>
              <w:right w:val="single" w:color="000000" w:sz="4" w:space="0"/>
            </w:tcBorders>
            <w:vAlign w:val="center"/>
          </w:tcPr>
          <w:p w14:paraId="7FEFE403">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简单装修</w:t>
            </w:r>
          </w:p>
        </w:tc>
      </w:tr>
      <w:tr w14:paraId="0F8683C3">
        <w:tblPrEx>
          <w:tblCellMar>
            <w:top w:w="0" w:type="dxa"/>
            <w:left w:w="108" w:type="dxa"/>
            <w:bottom w:w="0" w:type="dxa"/>
            <w:right w:w="108" w:type="dxa"/>
          </w:tblCellMar>
        </w:tblPrEx>
        <w:trPr>
          <w:trHeight w:val="285" w:hRule="atLeast"/>
        </w:trPr>
        <w:tc>
          <w:tcPr>
            <w:tcW w:w="2000" w:type="dxa"/>
            <w:tcBorders>
              <w:left w:val="single" w:color="000000" w:sz="4" w:space="0"/>
              <w:bottom w:val="single" w:color="000000" w:sz="4" w:space="0"/>
            </w:tcBorders>
            <w:shd w:val="clear" w:color="auto" w:fill="FFFFFF"/>
            <w:vAlign w:val="center"/>
          </w:tcPr>
          <w:p w14:paraId="318E3C9C">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领军人才公寓</w:t>
            </w:r>
          </w:p>
        </w:tc>
        <w:tc>
          <w:tcPr>
            <w:tcW w:w="1260" w:type="dxa"/>
            <w:tcBorders>
              <w:left w:val="single" w:color="000000" w:sz="4" w:space="0"/>
              <w:bottom w:val="single" w:color="000000" w:sz="4" w:space="0"/>
            </w:tcBorders>
            <w:shd w:val="clear" w:color="auto" w:fill="FFFFFF"/>
            <w:vAlign w:val="center"/>
          </w:tcPr>
          <w:p w14:paraId="146FD04E">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18469.17</w:t>
            </w:r>
          </w:p>
        </w:tc>
        <w:tc>
          <w:tcPr>
            <w:tcW w:w="1200" w:type="dxa"/>
            <w:tcBorders>
              <w:left w:val="single" w:color="000000" w:sz="4" w:space="0"/>
              <w:bottom w:val="single" w:color="000000" w:sz="4" w:space="0"/>
            </w:tcBorders>
            <w:shd w:val="clear" w:color="auto" w:fill="FFFFFF"/>
            <w:vAlign w:val="center"/>
          </w:tcPr>
          <w:p w14:paraId="32A11C4C">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205</w:t>
            </w:r>
          </w:p>
        </w:tc>
        <w:tc>
          <w:tcPr>
            <w:tcW w:w="1100" w:type="dxa"/>
            <w:tcBorders>
              <w:left w:val="single" w:color="000000" w:sz="4" w:space="0"/>
              <w:bottom w:val="single" w:color="000000" w:sz="4" w:space="0"/>
            </w:tcBorders>
            <w:shd w:val="clear" w:color="auto" w:fill="FFFFFF"/>
            <w:vAlign w:val="center"/>
          </w:tcPr>
          <w:p w14:paraId="751A5DDB">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南北</w:t>
            </w:r>
          </w:p>
        </w:tc>
        <w:tc>
          <w:tcPr>
            <w:tcW w:w="1180" w:type="dxa"/>
            <w:tcBorders>
              <w:left w:val="single" w:color="000000" w:sz="4" w:space="0"/>
              <w:bottom w:val="single" w:color="000000" w:sz="4" w:space="0"/>
            </w:tcBorders>
            <w:shd w:val="clear" w:color="auto" w:fill="FFFFFF"/>
            <w:vAlign w:val="center"/>
          </w:tcPr>
          <w:p w14:paraId="7D2CA64B">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两居室</w:t>
            </w:r>
          </w:p>
        </w:tc>
        <w:tc>
          <w:tcPr>
            <w:tcW w:w="1660" w:type="dxa"/>
            <w:tcBorders>
              <w:left w:val="single" w:color="000000" w:sz="4" w:space="0"/>
              <w:bottom w:val="single" w:color="000000" w:sz="4" w:space="0"/>
            </w:tcBorders>
            <w:shd w:val="clear" w:color="auto" w:fill="FFFFFF"/>
            <w:vAlign w:val="center"/>
          </w:tcPr>
          <w:p w14:paraId="64B55E6F">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88.41-92.39</w:t>
            </w:r>
          </w:p>
        </w:tc>
        <w:tc>
          <w:tcPr>
            <w:tcW w:w="1490" w:type="dxa"/>
            <w:tcBorders>
              <w:left w:val="single" w:color="000000" w:sz="4" w:space="0"/>
              <w:bottom w:val="single" w:color="000000" w:sz="4" w:space="0"/>
              <w:right w:val="single" w:color="000000" w:sz="4" w:space="0"/>
            </w:tcBorders>
            <w:shd w:val="clear" w:color="auto" w:fill="FFFFFF"/>
            <w:vAlign w:val="center"/>
          </w:tcPr>
          <w:p w14:paraId="0CA517FE">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简单装修</w:t>
            </w:r>
          </w:p>
        </w:tc>
      </w:tr>
      <w:tr w14:paraId="6B65C221">
        <w:tblPrEx>
          <w:tblCellMar>
            <w:top w:w="0" w:type="dxa"/>
            <w:left w:w="108" w:type="dxa"/>
            <w:bottom w:w="0" w:type="dxa"/>
            <w:right w:w="108" w:type="dxa"/>
          </w:tblCellMar>
        </w:tblPrEx>
        <w:trPr>
          <w:trHeight w:val="285" w:hRule="atLeast"/>
        </w:trPr>
        <w:tc>
          <w:tcPr>
            <w:tcW w:w="2000" w:type="dxa"/>
            <w:tcBorders>
              <w:left w:val="single" w:color="000000" w:sz="4" w:space="0"/>
              <w:bottom w:val="single" w:color="000000" w:sz="4" w:space="0"/>
            </w:tcBorders>
            <w:shd w:val="clear" w:color="auto" w:fill="FFFFFF"/>
            <w:vAlign w:val="center"/>
          </w:tcPr>
          <w:p w14:paraId="6088261E">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杰出人才公寓</w:t>
            </w:r>
          </w:p>
        </w:tc>
        <w:tc>
          <w:tcPr>
            <w:tcW w:w="1260" w:type="dxa"/>
            <w:tcBorders>
              <w:left w:val="single" w:color="000000" w:sz="4" w:space="0"/>
              <w:bottom w:val="single" w:color="000000" w:sz="4" w:space="0"/>
            </w:tcBorders>
            <w:shd w:val="clear" w:color="auto" w:fill="FFFFFF"/>
            <w:vAlign w:val="center"/>
          </w:tcPr>
          <w:p w14:paraId="7CF2A71A">
            <w:pPr>
              <w:widowControl/>
              <w:spacing w:line="240" w:lineRule="auto"/>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4531.06</w:t>
            </w:r>
          </w:p>
        </w:tc>
        <w:tc>
          <w:tcPr>
            <w:tcW w:w="1200" w:type="dxa"/>
            <w:tcBorders>
              <w:left w:val="single" w:color="000000" w:sz="4" w:space="0"/>
              <w:bottom w:val="single" w:color="000000" w:sz="4" w:space="0"/>
            </w:tcBorders>
            <w:shd w:val="clear" w:color="auto" w:fill="FFFFFF"/>
            <w:vAlign w:val="center"/>
          </w:tcPr>
          <w:p w14:paraId="00A55B50">
            <w:pPr>
              <w:widowControl/>
              <w:spacing w:line="240" w:lineRule="auto"/>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51</w:t>
            </w:r>
          </w:p>
        </w:tc>
        <w:tc>
          <w:tcPr>
            <w:tcW w:w="1100" w:type="dxa"/>
            <w:tcBorders>
              <w:left w:val="single" w:color="000000" w:sz="4" w:space="0"/>
              <w:bottom w:val="single" w:color="000000" w:sz="4" w:space="0"/>
            </w:tcBorders>
            <w:shd w:val="clear" w:color="auto" w:fill="FFFFFF"/>
            <w:vAlign w:val="center"/>
          </w:tcPr>
          <w:p w14:paraId="7DD5C450">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南北</w:t>
            </w:r>
          </w:p>
        </w:tc>
        <w:tc>
          <w:tcPr>
            <w:tcW w:w="1180" w:type="dxa"/>
            <w:tcBorders>
              <w:left w:val="single" w:color="000000" w:sz="4" w:space="0"/>
              <w:bottom w:val="single" w:color="000000" w:sz="4" w:space="0"/>
            </w:tcBorders>
            <w:shd w:val="clear" w:color="auto" w:fill="FFFFFF"/>
            <w:vAlign w:val="center"/>
          </w:tcPr>
          <w:p w14:paraId="35A02AB7">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两居室</w:t>
            </w:r>
          </w:p>
        </w:tc>
        <w:tc>
          <w:tcPr>
            <w:tcW w:w="1660" w:type="dxa"/>
            <w:tcBorders>
              <w:left w:val="single" w:color="000000" w:sz="4" w:space="0"/>
              <w:bottom w:val="single" w:color="000000" w:sz="4" w:space="0"/>
            </w:tcBorders>
            <w:shd w:val="clear" w:color="auto" w:fill="FFFFFF"/>
            <w:vAlign w:val="center"/>
          </w:tcPr>
          <w:p w14:paraId="72AF6C23">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88.51-89.18</w:t>
            </w:r>
          </w:p>
        </w:tc>
        <w:tc>
          <w:tcPr>
            <w:tcW w:w="1490" w:type="dxa"/>
            <w:tcBorders>
              <w:left w:val="single" w:color="000000" w:sz="4" w:space="0"/>
              <w:bottom w:val="single" w:color="000000" w:sz="4" w:space="0"/>
              <w:right w:val="single" w:color="000000" w:sz="4" w:space="0"/>
            </w:tcBorders>
            <w:shd w:val="clear" w:color="auto" w:fill="FFFFFF"/>
            <w:vAlign w:val="center"/>
          </w:tcPr>
          <w:p w14:paraId="545D86B9">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精装修</w:t>
            </w:r>
          </w:p>
        </w:tc>
      </w:tr>
      <w:tr w14:paraId="743CF3DD">
        <w:tblPrEx>
          <w:tblCellMar>
            <w:top w:w="0" w:type="dxa"/>
            <w:left w:w="108" w:type="dxa"/>
            <w:bottom w:w="0" w:type="dxa"/>
            <w:right w:w="108" w:type="dxa"/>
          </w:tblCellMar>
        </w:tblPrEx>
        <w:trPr>
          <w:trHeight w:val="285" w:hRule="atLeast"/>
        </w:trPr>
        <w:tc>
          <w:tcPr>
            <w:tcW w:w="2000" w:type="dxa"/>
            <w:tcBorders>
              <w:left w:val="single" w:color="000000" w:sz="4" w:space="0"/>
              <w:bottom w:val="single" w:color="000000" w:sz="4" w:space="0"/>
            </w:tcBorders>
            <w:vAlign w:val="center"/>
          </w:tcPr>
          <w:p w14:paraId="53C1A838">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合计</w:t>
            </w:r>
          </w:p>
        </w:tc>
        <w:tc>
          <w:tcPr>
            <w:tcW w:w="1260" w:type="dxa"/>
            <w:tcBorders>
              <w:left w:val="single" w:color="000000" w:sz="4" w:space="0"/>
              <w:bottom w:val="single" w:color="000000" w:sz="4" w:space="0"/>
            </w:tcBorders>
            <w:vAlign w:val="center"/>
          </w:tcPr>
          <w:p w14:paraId="14D21220">
            <w:pPr>
              <w:widowControl/>
              <w:spacing w:line="240" w:lineRule="auto"/>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44359.11</w:t>
            </w:r>
          </w:p>
        </w:tc>
        <w:tc>
          <w:tcPr>
            <w:tcW w:w="1200" w:type="dxa"/>
            <w:tcBorders>
              <w:left w:val="single" w:color="000000" w:sz="4" w:space="0"/>
              <w:bottom w:val="single" w:color="000000" w:sz="4" w:space="0"/>
            </w:tcBorders>
            <w:vAlign w:val="center"/>
          </w:tcPr>
          <w:p w14:paraId="22AA1D59">
            <w:pPr>
              <w:widowControl/>
              <w:spacing w:line="240" w:lineRule="auto"/>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516</w:t>
            </w:r>
          </w:p>
        </w:tc>
        <w:tc>
          <w:tcPr>
            <w:tcW w:w="1100" w:type="dxa"/>
            <w:tcBorders>
              <w:left w:val="single" w:color="000000" w:sz="4" w:space="0"/>
              <w:bottom w:val="single" w:color="000000" w:sz="4" w:space="0"/>
            </w:tcBorders>
            <w:vAlign w:val="center"/>
          </w:tcPr>
          <w:p w14:paraId="568C5FAF">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w:t>
            </w:r>
          </w:p>
        </w:tc>
        <w:tc>
          <w:tcPr>
            <w:tcW w:w="1180" w:type="dxa"/>
            <w:tcBorders>
              <w:left w:val="single" w:color="000000" w:sz="4" w:space="0"/>
              <w:bottom w:val="single" w:color="000000" w:sz="4" w:space="0"/>
            </w:tcBorders>
            <w:vAlign w:val="center"/>
          </w:tcPr>
          <w:p w14:paraId="6FC61E28">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w:t>
            </w:r>
          </w:p>
        </w:tc>
        <w:tc>
          <w:tcPr>
            <w:tcW w:w="1660" w:type="dxa"/>
            <w:tcBorders>
              <w:left w:val="single" w:color="000000" w:sz="4" w:space="0"/>
              <w:bottom w:val="single" w:color="000000" w:sz="4" w:space="0"/>
            </w:tcBorders>
            <w:vAlign w:val="center"/>
          </w:tcPr>
          <w:p w14:paraId="5ED81761">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w:t>
            </w:r>
          </w:p>
        </w:tc>
        <w:tc>
          <w:tcPr>
            <w:tcW w:w="1490" w:type="dxa"/>
            <w:tcBorders>
              <w:left w:val="single" w:color="000000" w:sz="4" w:space="0"/>
              <w:bottom w:val="single" w:color="000000" w:sz="4" w:space="0"/>
              <w:right w:val="single" w:color="000000" w:sz="4" w:space="0"/>
            </w:tcBorders>
            <w:vAlign w:val="center"/>
          </w:tcPr>
          <w:p w14:paraId="22A460E9">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w:t>
            </w:r>
          </w:p>
        </w:tc>
      </w:tr>
    </w:tbl>
    <w:p w14:paraId="3377DE40">
      <w:pPr>
        <w:overflowPunct w:val="0"/>
        <w:spacing w:before="240" w:beforeLines="100" w:line="480" w:lineRule="auto"/>
        <w:ind w:firstLine="420"/>
        <w:jc w:val="both"/>
        <w:textAlignment w:val="auto"/>
        <w:rPr>
          <w:rFonts w:ascii="Arial" w:hAnsi="Arial" w:cs="Arial"/>
          <w:color w:val="FF0000"/>
          <w:kern w:val="2"/>
          <w:sz w:val="21"/>
          <w:szCs w:val="21"/>
        </w:rPr>
      </w:pPr>
      <w:r>
        <w:rPr>
          <w:rFonts w:ascii="Arial" w:hAnsi="Arial" w:cs="Arial"/>
          <w:kern w:val="2"/>
          <w:sz w:val="21"/>
          <w:szCs w:val="21"/>
        </w:rPr>
        <w:t>于价值时点，估价对象均已竣工，室内装修情况杰出人才公寓为精装修、领军人才公寓为简单装修。</w:t>
      </w:r>
    </w:p>
    <w:p w14:paraId="7371BD72">
      <w:pPr>
        <w:spacing w:line="480" w:lineRule="auto"/>
        <w:ind w:firstLine="420"/>
        <w:jc w:val="both"/>
      </w:pPr>
      <w:r>
        <w:rPr>
          <w:rFonts w:ascii="Arial" w:hAnsi="Arial" w:cs="Arial"/>
          <w:sz w:val="21"/>
          <w:szCs w:val="21"/>
        </w:rPr>
        <w:t>1.土地实物状况</w:t>
      </w:r>
    </w:p>
    <w:p w14:paraId="4CC002D3">
      <w:pPr>
        <w:overflowPunct w:val="0"/>
        <w:spacing w:line="480" w:lineRule="auto"/>
        <w:ind w:firstLine="420"/>
        <w:jc w:val="both"/>
        <w:textAlignment w:val="auto"/>
        <w:rPr>
          <w:rFonts w:ascii="Arial" w:hAnsi="Arial" w:cs="Arial"/>
          <w:kern w:val="2"/>
          <w:sz w:val="21"/>
          <w:szCs w:val="21"/>
        </w:rPr>
      </w:pPr>
      <w:r>
        <w:rPr>
          <w:rFonts w:ascii="Arial" w:hAnsi="Arial" w:cs="Arial"/>
          <w:kern w:val="2"/>
          <w:sz w:val="21"/>
          <w:szCs w:val="21"/>
        </w:rPr>
        <w:t>根据估价委托人提供的《不动产权证书》[京（2018）开不动产权第0015356号]及其</w:t>
      </w:r>
      <w:r>
        <w:rPr>
          <w:rFonts w:ascii="Arial" w:hAnsi="Arial" w:cs="Arial"/>
          <w:sz w:val="21"/>
          <w:szCs w:val="21"/>
        </w:rPr>
        <w:t>介绍，</w:t>
      </w:r>
      <w:r>
        <w:rPr>
          <w:rFonts w:ascii="Arial" w:hAnsi="Arial" w:cs="Arial"/>
          <w:kern w:val="2"/>
          <w:sz w:val="21"/>
          <w:szCs w:val="21"/>
        </w:rPr>
        <w:t>估价对象所属宗地权利类型为国有建设用地使用权，权利性质为国有土地租赁/公共租赁住房，土地使用年限2011年12月31日至2081年12月30日，</w:t>
      </w:r>
      <w:r>
        <w:rPr>
          <w:rFonts w:ascii="Arial" w:hAnsi="Arial" w:cs="Arial"/>
          <w:sz w:val="21"/>
          <w:szCs w:val="21"/>
        </w:rPr>
        <w:t>用途为居住/门卫室、住宅等16种用途，共有宗地面积为76607.9平方米</w:t>
      </w:r>
      <w:r>
        <w:rPr>
          <w:rFonts w:ascii="Arial" w:hAnsi="Arial" w:cs="Arial"/>
          <w:kern w:val="2"/>
          <w:sz w:val="21"/>
          <w:szCs w:val="21"/>
        </w:rPr>
        <w:t>。</w:t>
      </w:r>
      <w:r>
        <w:rPr>
          <w:rFonts w:ascii="Arial" w:hAnsi="Arial" w:eastAsia="Arial" w:cs="Arial"/>
          <w:sz w:val="21"/>
          <w:szCs w:val="21"/>
        </w:rPr>
        <w:t xml:space="preserve"> </w:t>
      </w:r>
    </w:p>
    <w:p w14:paraId="625696E3">
      <w:pPr>
        <w:overflowPunct w:val="0"/>
        <w:spacing w:line="480" w:lineRule="auto"/>
        <w:ind w:firstLine="420"/>
        <w:jc w:val="both"/>
        <w:textAlignment w:val="auto"/>
      </w:pPr>
      <w:r>
        <w:rPr>
          <w:rFonts w:ascii="Arial" w:hAnsi="Arial" w:cs="Arial"/>
          <w:sz w:val="21"/>
          <w:szCs w:val="21"/>
        </w:rPr>
        <w:t>（2）估价对象所属项目用地四至：</w:t>
      </w:r>
    </w:p>
    <w:p w14:paraId="0CECFF5F">
      <w:pPr>
        <w:overflowPunct w:val="0"/>
        <w:spacing w:line="480" w:lineRule="auto"/>
        <w:ind w:firstLine="420"/>
        <w:jc w:val="both"/>
        <w:textAlignment w:val="auto"/>
        <w:rPr>
          <w:rFonts w:ascii="Arial" w:hAnsi="Arial" w:cs="Arial"/>
          <w:kern w:val="2"/>
          <w:sz w:val="21"/>
          <w:szCs w:val="21"/>
        </w:rPr>
      </w:pPr>
      <w:r>
        <w:rPr>
          <w:rFonts w:ascii="Arial" w:hAnsi="Arial" w:cs="Arial"/>
          <w:kern w:val="2"/>
          <w:sz w:val="21"/>
          <w:szCs w:val="21"/>
        </w:rPr>
        <w:t>现状四至为东至通惠干渠路、南至崔家窑北街、西至经海六路、北至科创十一街。</w:t>
      </w:r>
    </w:p>
    <w:p w14:paraId="567276B3">
      <w:pPr>
        <w:overflowPunct w:val="0"/>
        <w:spacing w:line="480" w:lineRule="auto"/>
        <w:ind w:firstLine="420"/>
        <w:jc w:val="both"/>
        <w:textAlignment w:val="auto"/>
        <w:rPr>
          <w:rFonts w:ascii="Arial" w:hAnsi="Arial" w:cs="Arial"/>
          <w:sz w:val="21"/>
          <w:szCs w:val="21"/>
        </w:rPr>
      </w:pPr>
      <w:r>
        <w:rPr>
          <w:rFonts w:ascii="Arial" w:hAnsi="Arial" w:cs="Arial"/>
          <w:sz w:val="21"/>
          <w:szCs w:val="21"/>
        </w:rPr>
        <w:t>（3）估价对象所属项目用地呈较规则形状，对利用无不良影响，场地呈较平坦地势，工程地质条件良好，无不良地质现象。估价对象现状已完成开发建设，土地利用程度高。</w:t>
      </w:r>
    </w:p>
    <w:p w14:paraId="16852787">
      <w:pPr>
        <w:overflowPunct w:val="0"/>
        <w:spacing w:line="480" w:lineRule="auto"/>
        <w:ind w:firstLine="420"/>
        <w:jc w:val="both"/>
        <w:textAlignment w:val="auto"/>
      </w:pPr>
      <w:r>
        <w:rPr>
          <w:rFonts w:ascii="Arial" w:hAnsi="Arial" w:cs="Arial"/>
          <w:sz w:val="21"/>
          <w:szCs w:val="21"/>
        </w:rPr>
        <w:t>（4）开发程度：</w:t>
      </w:r>
    </w:p>
    <w:p w14:paraId="2856442E">
      <w:pPr>
        <w:overflowPunct w:val="0"/>
        <w:spacing w:line="480" w:lineRule="auto"/>
        <w:ind w:firstLine="420"/>
        <w:jc w:val="both"/>
        <w:textAlignment w:val="auto"/>
        <w:rPr>
          <w:rFonts w:ascii="Arial" w:hAnsi="Arial" w:cs="Arial"/>
          <w:kern w:val="2"/>
          <w:sz w:val="21"/>
          <w:szCs w:val="21"/>
        </w:rPr>
      </w:pPr>
      <w:r>
        <w:rPr>
          <w:rFonts w:ascii="Arial" w:hAnsi="Arial" w:cs="Arial"/>
          <w:kern w:val="2"/>
          <w:sz w:val="21"/>
          <w:szCs w:val="21"/>
        </w:rPr>
        <w:t>估价对象所在区域市政基础设施完备，为“七通”（即通路、通电、通讯、通上水、通下水、通燃气、通热力），且保证程度高。</w:t>
      </w:r>
    </w:p>
    <w:p w14:paraId="4778DB8E">
      <w:pPr>
        <w:overflowPunct w:val="0"/>
        <w:spacing w:line="480" w:lineRule="auto"/>
        <w:ind w:firstLine="420"/>
        <w:jc w:val="both"/>
        <w:textAlignment w:val="auto"/>
        <w:rPr>
          <w:rFonts w:ascii="Arial" w:hAnsi="Arial" w:cs="Arial"/>
          <w:color w:val="E36C0A"/>
          <w:sz w:val="21"/>
          <w:szCs w:val="21"/>
        </w:rPr>
      </w:pPr>
      <w:r>
        <w:rPr>
          <w:rFonts w:ascii="Arial" w:hAnsi="Arial" w:cs="Arial"/>
          <w:kern w:val="2"/>
          <w:sz w:val="21"/>
          <w:szCs w:val="21"/>
        </w:rPr>
        <w:t>综上所述，估价对象所在区域土地实物状况较好，场地地势平坦，地质条件良好，基础设施完备，宗地条件有利于估价对象利用，对估价对象租赁价格无不良影响</w:t>
      </w:r>
      <w:r>
        <w:rPr>
          <w:rFonts w:ascii="Arial" w:hAnsi="Arial" w:cs="Arial"/>
          <w:sz w:val="21"/>
          <w:szCs w:val="21"/>
        </w:rPr>
        <w:t>。</w:t>
      </w:r>
    </w:p>
    <w:p w14:paraId="0C959ECA">
      <w:pPr>
        <w:spacing w:line="480" w:lineRule="auto"/>
        <w:ind w:firstLine="420"/>
        <w:jc w:val="both"/>
        <w:rPr>
          <w:rFonts w:ascii="Arial" w:hAnsi="Arial" w:cs="Arial"/>
          <w:sz w:val="21"/>
          <w:szCs w:val="21"/>
        </w:rPr>
      </w:pPr>
      <w:r>
        <w:rPr>
          <w:rFonts w:ascii="Arial" w:hAnsi="Arial" w:cs="Arial"/>
          <w:sz w:val="21"/>
          <w:szCs w:val="21"/>
        </w:rPr>
        <w:t>2.建筑物实物状况</w:t>
      </w:r>
    </w:p>
    <w:p w14:paraId="57CD2939">
      <w:pPr>
        <w:overflowPunct w:val="0"/>
        <w:spacing w:line="480" w:lineRule="auto"/>
        <w:ind w:firstLine="420"/>
        <w:jc w:val="both"/>
        <w:textAlignment w:val="auto"/>
        <w:rPr>
          <w:rFonts w:cs="Arial"/>
        </w:rPr>
      </w:pPr>
      <w:r>
        <w:rPr>
          <w:rFonts w:ascii="Arial" w:hAnsi="Arial" w:cs="Arial"/>
          <w:kern w:val="2"/>
          <w:sz w:val="21"/>
          <w:szCs w:val="21"/>
        </w:rPr>
        <w:t>（1）建设规模：根据估价委托人提供的《估价委托书》及《E18国际人才公寓房屋明细》，确定本次估价范围为</w:t>
      </w:r>
      <w:r>
        <w:rPr>
          <w:rFonts w:ascii="Arial" w:hAnsi="Arial" w:cs="Arial"/>
          <w:bCs/>
          <w:color w:val="000000"/>
          <w:kern w:val="2"/>
          <w:sz w:val="21"/>
          <w:szCs w:val="21"/>
        </w:rPr>
        <w:t>北京经济技术开发区科创十一街4号院10号楼1层1单元102等</w:t>
      </w:r>
      <w:r>
        <w:rPr>
          <w:rFonts w:hint="eastAsia" w:ascii="Arial" w:hAnsi="Arial" w:cs="Arial"/>
          <w:bCs/>
          <w:color w:val="000000"/>
          <w:kern w:val="2"/>
          <w:sz w:val="21"/>
          <w:szCs w:val="21"/>
        </w:rPr>
        <w:t>516套</w:t>
      </w:r>
      <w:r>
        <w:rPr>
          <w:rFonts w:ascii="Arial" w:hAnsi="Arial" w:cs="Arial"/>
          <w:bCs/>
          <w:color w:val="000000"/>
          <w:kern w:val="2"/>
          <w:sz w:val="21"/>
          <w:szCs w:val="21"/>
        </w:rPr>
        <w:t>（E18</w:t>
      </w:r>
      <w:r>
        <w:rPr>
          <w:rFonts w:hint="eastAsia" w:ascii="Arial" w:hAnsi="Arial" w:cs="Arial"/>
          <w:bCs/>
          <w:color w:val="000000"/>
          <w:kern w:val="2"/>
          <w:sz w:val="21"/>
          <w:szCs w:val="21"/>
        </w:rPr>
        <w:t>亦城景园国际人才公寓</w:t>
      </w:r>
      <w:r>
        <w:rPr>
          <w:rFonts w:ascii="Arial" w:hAnsi="Arial" w:cs="Arial"/>
          <w:bCs/>
          <w:color w:val="000000"/>
          <w:kern w:val="2"/>
          <w:sz w:val="21"/>
          <w:szCs w:val="21"/>
        </w:rPr>
        <w:t>）</w:t>
      </w:r>
      <w:r>
        <w:rPr>
          <w:rFonts w:ascii="Arial" w:hAnsi="Arial" w:cs="Arial"/>
          <w:kern w:val="2"/>
          <w:sz w:val="21"/>
          <w:szCs w:val="21"/>
        </w:rPr>
        <w:t>，建筑类型为高层板楼，楼宇主体建筑结构为钢混。建筑面积</w:t>
      </w:r>
      <w:r>
        <w:rPr>
          <w:rFonts w:hint="eastAsia" w:ascii="Arial" w:hAnsi="Arial" w:cs="Arial"/>
          <w:kern w:val="2"/>
          <w:sz w:val="21"/>
          <w:szCs w:val="21"/>
        </w:rPr>
        <w:t>44359.11</w:t>
      </w:r>
      <w:r>
        <w:rPr>
          <w:rFonts w:ascii="Arial" w:hAnsi="Arial" w:cs="Arial"/>
          <w:kern w:val="2"/>
          <w:sz w:val="21"/>
          <w:szCs w:val="21"/>
        </w:rPr>
        <w:t>平方米。房源具体户型等情况详见下表：</w:t>
      </w:r>
    </w:p>
    <w:tbl>
      <w:tblPr>
        <w:tblStyle w:val="33"/>
        <w:tblW w:w="9890" w:type="dxa"/>
        <w:tblInd w:w="0" w:type="dxa"/>
        <w:tblLayout w:type="autofit"/>
        <w:tblCellMar>
          <w:top w:w="0" w:type="dxa"/>
          <w:left w:w="108" w:type="dxa"/>
          <w:bottom w:w="0" w:type="dxa"/>
          <w:right w:w="108" w:type="dxa"/>
        </w:tblCellMar>
      </w:tblPr>
      <w:tblGrid>
        <w:gridCol w:w="2000"/>
        <w:gridCol w:w="1260"/>
        <w:gridCol w:w="1200"/>
        <w:gridCol w:w="1100"/>
        <w:gridCol w:w="1180"/>
        <w:gridCol w:w="1660"/>
        <w:gridCol w:w="1490"/>
      </w:tblGrid>
      <w:tr w14:paraId="284799F2">
        <w:tblPrEx>
          <w:tblCellMar>
            <w:top w:w="0" w:type="dxa"/>
            <w:left w:w="108" w:type="dxa"/>
            <w:bottom w:w="0" w:type="dxa"/>
            <w:right w:w="108" w:type="dxa"/>
          </w:tblCellMar>
        </w:tblPrEx>
        <w:trPr>
          <w:trHeight w:val="285" w:hRule="atLeast"/>
        </w:trPr>
        <w:tc>
          <w:tcPr>
            <w:tcW w:w="2000" w:type="dxa"/>
            <w:tcBorders>
              <w:top w:val="single" w:color="000000" w:sz="4" w:space="0"/>
              <w:left w:val="single" w:color="000000" w:sz="4" w:space="0"/>
              <w:bottom w:val="single" w:color="000000" w:sz="4" w:space="0"/>
            </w:tcBorders>
            <w:vAlign w:val="center"/>
          </w:tcPr>
          <w:p w14:paraId="602BAA19">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公寓类型</w:t>
            </w:r>
          </w:p>
        </w:tc>
        <w:tc>
          <w:tcPr>
            <w:tcW w:w="1260" w:type="dxa"/>
            <w:tcBorders>
              <w:top w:val="single" w:color="000000" w:sz="4" w:space="0"/>
              <w:left w:val="single" w:color="000000" w:sz="4" w:space="0"/>
              <w:bottom w:val="single" w:color="000000" w:sz="4" w:space="0"/>
            </w:tcBorders>
            <w:vAlign w:val="center"/>
          </w:tcPr>
          <w:p w14:paraId="2EFC6FC1">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面积</w:t>
            </w:r>
            <w:r>
              <w:rPr>
                <w:rFonts w:hint="eastAsia" w:ascii="Arial" w:hAnsi="Arial" w:eastAsia="华文细黑" w:cs="Arial"/>
                <w:color w:val="000000"/>
                <w:sz w:val="18"/>
                <w:szCs w:val="18"/>
              </w:rPr>
              <w:t>（㎡）</w:t>
            </w:r>
          </w:p>
        </w:tc>
        <w:tc>
          <w:tcPr>
            <w:tcW w:w="1200" w:type="dxa"/>
            <w:tcBorders>
              <w:top w:val="single" w:color="000000" w:sz="4" w:space="0"/>
              <w:left w:val="single" w:color="000000" w:sz="4" w:space="0"/>
              <w:bottom w:val="single" w:color="000000" w:sz="4" w:space="0"/>
            </w:tcBorders>
            <w:vAlign w:val="center"/>
          </w:tcPr>
          <w:p w14:paraId="46ADF0B2">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套数</w:t>
            </w:r>
          </w:p>
        </w:tc>
        <w:tc>
          <w:tcPr>
            <w:tcW w:w="1100" w:type="dxa"/>
            <w:tcBorders>
              <w:top w:val="single" w:color="000000" w:sz="4" w:space="0"/>
              <w:left w:val="single" w:color="000000" w:sz="4" w:space="0"/>
              <w:bottom w:val="single" w:color="000000" w:sz="4" w:space="0"/>
            </w:tcBorders>
            <w:vAlign w:val="center"/>
          </w:tcPr>
          <w:p w14:paraId="3FCD355D">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朝向</w:t>
            </w:r>
          </w:p>
        </w:tc>
        <w:tc>
          <w:tcPr>
            <w:tcW w:w="1180" w:type="dxa"/>
            <w:tcBorders>
              <w:top w:val="single" w:color="000000" w:sz="4" w:space="0"/>
              <w:left w:val="single" w:color="000000" w:sz="4" w:space="0"/>
              <w:bottom w:val="single" w:color="000000" w:sz="4" w:space="0"/>
            </w:tcBorders>
            <w:vAlign w:val="center"/>
          </w:tcPr>
          <w:p w14:paraId="0FAFDEEE">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户型</w:t>
            </w:r>
          </w:p>
        </w:tc>
        <w:tc>
          <w:tcPr>
            <w:tcW w:w="1660" w:type="dxa"/>
            <w:tcBorders>
              <w:top w:val="single" w:color="000000" w:sz="4" w:space="0"/>
              <w:left w:val="single" w:color="000000" w:sz="4" w:space="0"/>
              <w:bottom w:val="single" w:color="000000" w:sz="4" w:space="0"/>
            </w:tcBorders>
            <w:vAlign w:val="center"/>
          </w:tcPr>
          <w:p w14:paraId="4B06932A">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面积范围</w:t>
            </w:r>
            <w:r>
              <w:rPr>
                <w:rFonts w:hint="eastAsia" w:ascii="Arial" w:hAnsi="Arial" w:eastAsia="华文细黑" w:cs="Arial"/>
                <w:color w:val="000000"/>
                <w:sz w:val="18"/>
                <w:szCs w:val="18"/>
              </w:rPr>
              <w:t>（㎡）</w:t>
            </w:r>
          </w:p>
        </w:tc>
        <w:tc>
          <w:tcPr>
            <w:tcW w:w="1490" w:type="dxa"/>
            <w:tcBorders>
              <w:top w:val="single" w:color="000000" w:sz="4" w:space="0"/>
              <w:left w:val="single" w:color="000000" w:sz="4" w:space="0"/>
              <w:bottom w:val="single" w:color="000000" w:sz="4" w:space="0"/>
              <w:right w:val="single" w:color="000000" w:sz="4" w:space="0"/>
            </w:tcBorders>
            <w:vAlign w:val="center"/>
          </w:tcPr>
          <w:p w14:paraId="214E717C">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装修</w:t>
            </w:r>
          </w:p>
        </w:tc>
      </w:tr>
      <w:tr w14:paraId="042018E1">
        <w:tblPrEx>
          <w:tblCellMar>
            <w:top w:w="0" w:type="dxa"/>
            <w:left w:w="108" w:type="dxa"/>
            <w:bottom w:w="0" w:type="dxa"/>
            <w:right w:w="108" w:type="dxa"/>
          </w:tblCellMar>
        </w:tblPrEx>
        <w:trPr>
          <w:trHeight w:val="285" w:hRule="atLeast"/>
        </w:trPr>
        <w:tc>
          <w:tcPr>
            <w:tcW w:w="2000" w:type="dxa"/>
            <w:tcBorders>
              <w:left w:val="single" w:color="000000" w:sz="4" w:space="0"/>
              <w:bottom w:val="single" w:color="000000" w:sz="4" w:space="0"/>
            </w:tcBorders>
            <w:vAlign w:val="center"/>
          </w:tcPr>
          <w:p w14:paraId="46B55C53">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领军人才公寓</w:t>
            </w:r>
          </w:p>
        </w:tc>
        <w:tc>
          <w:tcPr>
            <w:tcW w:w="1260" w:type="dxa"/>
            <w:tcBorders>
              <w:left w:val="single" w:color="000000" w:sz="4" w:space="0"/>
              <w:bottom w:val="single" w:color="000000" w:sz="4" w:space="0"/>
            </w:tcBorders>
            <w:vAlign w:val="center"/>
          </w:tcPr>
          <w:p w14:paraId="176C5F84">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3624.2</w:t>
            </w:r>
          </w:p>
        </w:tc>
        <w:tc>
          <w:tcPr>
            <w:tcW w:w="1200" w:type="dxa"/>
            <w:tcBorders>
              <w:left w:val="single" w:color="000000" w:sz="4" w:space="0"/>
              <w:bottom w:val="single" w:color="000000" w:sz="4" w:space="0"/>
            </w:tcBorders>
            <w:vAlign w:val="center"/>
          </w:tcPr>
          <w:p w14:paraId="05681D7D">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52</w:t>
            </w:r>
          </w:p>
        </w:tc>
        <w:tc>
          <w:tcPr>
            <w:tcW w:w="1100" w:type="dxa"/>
            <w:tcBorders>
              <w:left w:val="single" w:color="000000" w:sz="4" w:space="0"/>
              <w:bottom w:val="single" w:color="000000" w:sz="4" w:space="0"/>
            </w:tcBorders>
            <w:vAlign w:val="center"/>
          </w:tcPr>
          <w:p w14:paraId="09E11165">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南</w:t>
            </w:r>
          </w:p>
        </w:tc>
        <w:tc>
          <w:tcPr>
            <w:tcW w:w="1180" w:type="dxa"/>
            <w:tcBorders>
              <w:left w:val="single" w:color="000000" w:sz="4" w:space="0"/>
              <w:bottom w:val="single" w:color="000000" w:sz="4" w:space="0"/>
            </w:tcBorders>
            <w:vAlign w:val="center"/>
          </w:tcPr>
          <w:p w14:paraId="26FF6D58">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一居室</w:t>
            </w:r>
          </w:p>
        </w:tc>
        <w:tc>
          <w:tcPr>
            <w:tcW w:w="1660" w:type="dxa"/>
            <w:tcBorders>
              <w:left w:val="single" w:color="000000" w:sz="4" w:space="0"/>
              <w:bottom w:val="single" w:color="000000" w:sz="4" w:space="0"/>
            </w:tcBorders>
            <w:vAlign w:val="center"/>
          </w:tcPr>
          <w:p w14:paraId="34AD0075">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69.62-69.80</w:t>
            </w:r>
          </w:p>
        </w:tc>
        <w:tc>
          <w:tcPr>
            <w:tcW w:w="1490" w:type="dxa"/>
            <w:tcBorders>
              <w:left w:val="single" w:color="000000" w:sz="4" w:space="0"/>
              <w:bottom w:val="single" w:color="000000" w:sz="4" w:space="0"/>
              <w:right w:val="single" w:color="000000" w:sz="4" w:space="0"/>
            </w:tcBorders>
            <w:vAlign w:val="center"/>
          </w:tcPr>
          <w:p w14:paraId="2ABD0D26">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简单装修</w:t>
            </w:r>
          </w:p>
        </w:tc>
      </w:tr>
      <w:tr w14:paraId="75B33FCC">
        <w:tblPrEx>
          <w:tblCellMar>
            <w:top w:w="0" w:type="dxa"/>
            <w:left w:w="108" w:type="dxa"/>
            <w:bottom w:w="0" w:type="dxa"/>
            <w:right w:w="108" w:type="dxa"/>
          </w:tblCellMar>
        </w:tblPrEx>
        <w:trPr>
          <w:trHeight w:val="285" w:hRule="atLeast"/>
        </w:trPr>
        <w:tc>
          <w:tcPr>
            <w:tcW w:w="2000" w:type="dxa"/>
            <w:tcBorders>
              <w:left w:val="single" w:color="000000" w:sz="4" w:space="0"/>
              <w:bottom w:val="single" w:color="000000" w:sz="4" w:space="0"/>
            </w:tcBorders>
            <w:vAlign w:val="center"/>
          </w:tcPr>
          <w:p w14:paraId="3F1A7C30">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杰出人才公寓</w:t>
            </w:r>
          </w:p>
        </w:tc>
        <w:tc>
          <w:tcPr>
            <w:tcW w:w="1260" w:type="dxa"/>
            <w:tcBorders>
              <w:left w:val="single" w:color="000000" w:sz="4" w:space="0"/>
              <w:bottom w:val="single" w:color="000000" w:sz="4" w:space="0"/>
            </w:tcBorders>
            <w:vAlign w:val="center"/>
          </w:tcPr>
          <w:p w14:paraId="158781C1">
            <w:pPr>
              <w:widowControl/>
              <w:spacing w:line="240" w:lineRule="auto"/>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3624.2</w:t>
            </w:r>
          </w:p>
        </w:tc>
        <w:tc>
          <w:tcPr>
            <w:tcW w:w="1200" w:type="dxa"/>
            <w:tcBorders>
              <w:left w:val="single" w:color="000000" w:sz="4" w:space="0"/>
              <w:bottom w:val="single" w:color="000000" w:sz="4" w:space="0"/>
            </w:tcBorders>
            <w:vAlign w:val="center"/>
          </w:tcPr>
          <w:p w14:paraId="72F5B85D">
            <w:pPr>
              <w:widowControl/>
              <w:spacing w:line="240" w:lineRule="auto"/>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52</w:t>
            </w:r>
          </w:p>
        </w:tc>
        <w:tc>
          <w:tcPr>
            <w:tcW w:w="1100" w:type="dxa"/>
            <w:tcBorders>
              <w:left w:val="single" w:color="000000" w:sz="4" w:space="0"/>
              <w:bottom w:val="single" w:color="000000" w:sz="4" w:space="0"/>
            </w:tcBorders>
            <w:vAlign w:val="center"/>
          </w:tcPr>
          <w:p w14:paraId="26BF9FEA">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南</w:t>
            </w:r>
          </w:p>
        </w:tc>
        <w:tc>
          <w:tcPr>
            <w:tcW w:w="1180" w:type="dxa"/>
            <w:tcBorders>
              <w:left w:val="single" w:color="000000" w:sz="4" w:space="0"/>
              <w:bottom w:val="single" w:color="000000" w:sz="4" w:space="0"/>
            </w:tcBorders>
            <w:vAlign w:val="center"/>
          </w:tcPr>
          <w:p w14:paraId="66A9FAF7">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一居室</w:t>
            </w:r>
          </w:p>
        </w:tc>
        <w:tc>
          <w:tcPr>
            <w:tcW w:w="1660" w:type="dxa"/>
            <w:tcBorders>
              <w:left w:val="single" w:color="000000" w:sz="4" w:space="0"/>
              <w:bottom w:val="single" w:color="000000" w:sz="4" w:space="0"/>
            </w:tcBorders>
            <w:vAlign w:val="center"/>
          </w:tcPr>
          <w:p w14:paraId="6AE45C4E">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69.62-69.8</w:t>
            </w:r>
          </w:p>
        </w:tc>
        <w:tc>
          <w:tcPr>
            <w:tcW w:w="1490" w:type="dxa"/>
            <w:tcBorders>
              <w:left w:val="single" w:color="000000" w:sz="4" w:space="0"/>
              <w:bottom w:val="single" w:color="000000" w:sz="4" w:space="0"/>
              <w:right w:val="single" w:color="000000" w:sz="4" w:space="0"/>
            </w:tcBorders>
            <w:vAlign w:val="center"/>
          </w:tcPr>
          <w:p w14:paraId="0954B51C">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精装修</w:t>
            </w:r>
          </w:p>
        </w:tc>
      </w:tr>
      <w:tr w14:paraId="273017DA">
        <w:tblPrEx>
          <w:tblCellMar>
            <w:top w:w="0" w:type="dxa"/>
            <w:left w:w="108" w:type="dxa"/>
            <w:bottom w:w="0" w:type="dxa"/>
            <w:right w:w="108" w:type="dxa"/>
          </w:tblCellMar>
        </w:tblPrEx>
        <w:trPr>
          <w:trHeight w:val="285" w:hRule="atLeast"/>
        </w:trPr>
        <w:tc>
          <w:tcPr>
            <w:tcW w:w="2000" w:type="dxa"/>
            <w:tcBorders>
              <w:left w:val="single" w:color="000000" w:sz="4" w:space="0"/>
              <w:bottom w:val="single" w:color="000000" w:sz="4" w:space="0"/>
            </w:tcBorders>
            <w:vAlign w:val="center"/>
          </w:tcPr>
          <w:p w14:paraId="3E167A2B">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领军人才公寓</w:t>
            </w:r>
          </w:p>
        </w:tc>
        <w:tc>
          <w:tcPr>
            <w:tcW w:w="1260" w:type="dxa"/>
            <w:tcBorders>
              <w:left w:val="single" w:color="000000" w:sz="4" w:space="0"/>
              <w:bottom w:val="single" w:color="000000" w:sz="4" w:space="0"/>
            </w:tcBorders>
            <w:vAlign w:val="center"/>
          </w:tcPr>
          <w:p w14:paraId="30272B1D">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14110.48</w:t>
            </w:r>
          </w:p>
        </w:tc>
        <w:tc>
          <w:tcPr>
            <w:tcW w:w="1200" w:type="dxa"/>
            <w:tcBorders>
              <w:left w:val="single" w:color="000000" w:sz="4" w:space="0"/>
              <w:bottom w:val="single" w:color="000000" w:sz="4" w:space="0"/>
            </w:tcBorders>
            <w:vAlign w:val="center"/>
          </w:tcPr>
          <w:p w14:paraId="1430AA85">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156</w:t>
            </w:r>
          </w:p>
        </w:tc>
        <w:tc>
          <w:tcPr>
            <w:tcW w:w="1100" w:type="dxa"/>
            <w:tcBorders>
              <w:left w:val="single" w:color="000000" w:sz="4" w:space="0"/>
              <w:bottom w:val="single" w:color="000000" w:sz="4" w:space="0"/>
            </w:tcBorders>
            <w:vAlign w:val="center"/>
          </w:tcPr>
          <w:p w14:paraId="79ED069D">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南</w:t>
            </w:r>
          </w:p>
        </w:tc>
        <w:tc>
          <w:tcPr>
            <w:tcW w:w="1180" w:type="dxa"/>
            <w:tcBorders>
              <w:left w:val="single" w:color="000000" w:sz="4" w:space="0"/>
              <w:bottom w:val="single" w:color="000000" w:sz="4" w:space="0"/>
            </w:tcBorders>
            <w:vAlign w:val="center"/>
          </w:tcPr>
          <w:p w14:paraId="380E28DF">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两居室</w:t>
            </w:r>
          </w:p>
        </w:tc>
        <w:tc>
          <w:tcPr>
            <w:tcW w:w="1660" w:type="dxa"/>
            <w:tcBorders>
              <w:left w:val="single" w:color="000000" w:sz="4" w:space="0"/>
              <w:bottom w:val="single" w:color="000000" w:sz="4" w:space="0"/>
            </w:tcBorders>
            <w:vAlign w:val="center"/>
          </w:tcPr>
          <w:p w14:paraId="46F30873">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89.62-92.07</w:t>
            </w:r>
          </w:p>
        </w:tc>
        <w:tc>
          <w:tcPr>
            <w:tcW w:w="1490" w:type="dxa"/>
            <w:tcBorders>
              <w:left w:val="single" w:color="000000" w:sz="4" w:space="0"/>
              <w:bottom w:val="single" w:color="000000" w:sz="4" w:space="0"/>
              <w:right w:val="single" w:color="000000" w:sz="4" w:space="0"/>
            </w:tcBorders>
            <w:vAlign w:val="center"/>
          </w:tcPr>
          <w:p w14:paraId="76BB6317">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简单装修</w:t>
            </w:r>
          </w:p>
        </w:tc>
      </w:tr>
      <w:tr w14:paraId="239586C8">
        <w:tblPrEx>
          <w:tblCellMar>
            <w:top w:w="0" w:type="dxa"/>
            <w:left w:w="108" w:type="dxa"/>
            <w:bottom w:w="0" w:type="dxa"/>
            <w:right w:w="108" w:type="dxa"/>
          </w:tblCellMar>
        </w:tblPrEx>
        <w:trPr>
          <w:trHeight w:val="285" w:hRule="atLeast"/>
        </w:trPr>
        <w:tc>
          <w:tcPr>
            <w:tcW w:w="2000" w:type="dxa"/>
            <w:tcBorders>
              <w:left w:val="single" w:color="000000" w:sz="4" w:space="0"/>
              <w:bottom w:val="single" w:color="000000" w:sz="4" w:space="0"/>
            </w:tcBorders>
            <w:shd w:val="clear" w:color="auto" w:fill="FFFFFF"/>
            <w:vAlign w:val="center"/>
          </w:tcPr>
          <w:p w14:paraId="396C4A76">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领军人才公寓</w:t>
            </w:r>
          </w:p>
        </w:tc>
        <w:tc>
          <w:tcPr>
            <w:tcW w:w="1260" w:type="dxa"/>
            <w:tcBorders>
              <w:left w:val="single" w:color="000000" w:sz="4" w:space="0"/>
              <w:bottom w:val="single" w:color="000000" w:sz="4" w:space="0"/>
            </w:tcBorders>
            <w:shd w:val="clear" w:color="auto" w:fill="FFFFFF"/>
            <w:vAlign w:val="center"/>
          </w:tcPr>
          <w:p w14:paraId="2747E1AB">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18469.17</w:t>
            </w:r>
          </w:p>
        </w:tc>
        <w:tc>
          <w:tcPr>
            <w:tcW w:w="1200" w:type="dxa"/>
            <w:tcBorders>
              <w:left w:val="single" w:color="000000" w:sz="4" w:space="0"/>
              <w:bottom w:val="single" w:color="000000" w:sz="4" w:space="0"/>
            </w:tcBorders>
            <w:shd w:val="clear" w:color="auto" w:fill="FFFFFF"/>
            <w:vAlign w:val="center"/>
          </w:tcPr>
          <w:p w14:paraId="3A076E26">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205</w:t>
            </w:r>
          </w:p>
        </w:tc>
        <w:tc>
          <w:tcPr>
            <w:tcW w:w="1100" w:type="dxa"/>
            <w:tcBorders>
              <w:left w:val="single" w:color="000000" w:sz="4" w:space="0"/>
              <w:bottom w:val="single" w:color="000000" w:sz="4" w:space="0"/>
            </w:tcBorders>
            <w:shd w:val="clear" w:color="auto" w:fill="FFFFFF"/>
            <w:vAlign w:val="center"/>
          </w:tcPr>
          <w:p w14:paraId="62D29361">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南北</w:t>
            </w:r>
          </w:p>
        </w:tc>
        <w:tc>
          <w:tcPr>
            <w:tcW w:w="1180" w:type="dxa"/>
            <w:tcBorders>
              <w:left w:val="single" w:color="000000" w:sz="4" w:space="0"/>
              <w:bottom w:val="single" w:color="000000" w:sz="4" w:space="0"/>
            </w:tcBorders>
            <w:shd w:val="clear" w:color="auto" w:fill="FFFFFF"/>
            <w:vAlign w:val="center"/>
          </w:tcPr>
          <w:p w14:paraId="4268483F">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两居室</w:t>
            </w:r>
          </w:p>
        </w:tc>
        <w:tc>
          <w:tcPr>
            <w:tcW w:w="1660" w:type="dxa"/>
            <w:tcBorders>
              <w:left w:val="single" w:color="000000" w:sz="4" w:space="0"/>
              <w:bottom w:val="single" w:color="000000" w:sz="4" w:space="0"/>
            </w:tcBorders>
            <w:shd w:val="clear" w:color="auto" w:fill="FFFFFF"/>
            <w:vAlign w:val="center"/>
          </w:tcPr>
          <w:p w14:paraId="45D9B96A">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88.41-92.39</w:t>
            </w:r>
          </w:p>
        </w:tc>
        <w:tc>
          <w:tcPr>
            <w:tcW w:w="1490" w:type="dxa"/>
            <w:tcBorders>
              <w:left w:val="single" w:color="000000" w:sz="4" w:space="0"/>
              <w:bottom w:val="single" w:color="000000" w:sz="4" w:space="0"/>
              <w:right w:val="single" w:color="000000" w:sz="4" w:space="0"/>
            </w:tcBorders>
            <w:shd w:val="clear" w:color="auto" w:fill="FFFFFF"/>
            <w:vAlign w:val="center"/>
          </w:tcPr>
          <w:p w14:paraId="30973EEC">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简单装修</w:t>
            </w:r>
          </w:p>
        </w:tc>
      </w:tr>
      <w:tr w14:paraId="14CD9D4B">
        <w:tblPrEx>
          <w:tblCellMar>
            <w:top w:w="0" w:type="dxa"/>
            <w:left w:w="108" w:type="dxa"/>
            <w:bottom w:w="0" w:type="dxa"/>
            <w:right w:w="108" w:type="dxa"/>
          </w:tblCellMar>
        </w:tblPrEx>
        <w:trPr>
          <w:trHeight w:val="285" w:hRule="atLeast"/>
        </w:trPr>
        <w:tc>
          <w:tcPr>
            <w:tcW w:w="2000" w:type="dxa"/>
            <w:tcBorders>
              <w:left w:val="single" w:color="000000" w:sz="4" w:space="0"/>
              <w:bottom w:val="single" w:color="000000" w:sz="4" w:space="0"/>
            </w:tcBorders>
            <w:shd w:val="clear" w:color="auto" w:fill="FFFFFF"/>
            <w:vAlign w:val="center"/>
          </w:tcPr>
          <w:p w14:paraId="25AF4085">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杰出人才公寓</w:t>
            </w:r>
          </w:p>
        </w:tc>
        <w:tc>
          <w:tcPr>
            <w:tcW w:w="1260" w:type="dxa"/>
            <w:tcBorders>
              <w:left w:val="single" w:color="000000" w:sz="4" w:space="0"/>
              <w:bottom w:val="single" w:color="000000" w:sz="4" w:space="0"/>
            </w:tcBorders>
            <w:shd w:val="clear" w:color="auto" w:fill="FFFFFF"/>
            <w:vAlign w:val="center"/>
          </w:tcPr>
          <w:p w14:paraId="30D88399">
            <w:pPr>
              <w:widowControl/>
              <w:spacing w:line="240" w:lineRule="auto"/>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4531.06</w:t>
            </w:r>
          </w:p>
        </w:tc>
        <w:tc>
          <w:tcPr>
            <w:tcW w:w="1200" w:type="dxa"/>
            <w:tcBorders>
              <w:left w:val="single" w:color="000000" w:sz="4" w:space="0"/>
              <w:bottom w:val="single" w:color="000000" w:sz="4" w:space="0"/>
            </w:tcBorders>
            <w:shd w:val="clear" w:color="auto" w:fill="FFFFFF"/>
            <w:vAlign w:val="center"/>
          </w:tcPr>
          <w:p w14:paraId="3E3598D5">
            <w:pPr>
              <w:widowControl/>
              <w:spacing w:line="240" w:lineRule="auto"/>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51</w:t>
            </w:r>
          </w:p>
        </w:tc>
        <w:tc>
          <w:tcPr>
            <w:tcW w:w="1100" w:type="dxa"/>
            <w:tcBorders>
              <w:left w:val="single" w:color="000000" w:sz="4" w:space="0"/>
              <w:bottom w:val="single" w:color="000000" w:sz="4" w:space="0"/>
            </w:tcBorders>
            <w:shd w:val="clear" w:color="auto" w:fill="FFFFFF"/>
            <w:vAlign w:val="center"/>
          </w:tcPr>
          <w:p w14:paraId="47BB698B">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南北</w:t>
            </w:r>
          </w:p>
        </w:tc>
        <w:tc>
          <w:tcPr>
            <w:tcW w:w="1180" w:type="dxa"/>
            <w:tcBorders>
              <w:left w:val="single" w:color="000000" w:sz="4" w:space="0"/>
              <w:bottom w:val="single" w:color="000000" w:sz="4" w:space="0"/>
            </w:tcBorders>
            <w:shd w:val="clear" w:color="auto" w:fill="FFFFFF"/>
            <w:vAlign w:val="center"/>
          </w:tcPr>
          <w:p w14:paraId="0FEDF147">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两居室</w:t>
            </w:r>
          </w:p>
        </w:tc>
        <w:tc>
          <w:tcPr>
            <w:tcW w:w="1660" w:type="dxa"/>
            <w:tcBorders>
              <w:left w:val="single" w:color="000000" w:sz="4" w:space="0"/>
              <w:bottom w:val="single" w:color="000000" w:sz="4" w:space="0"/>
            </w:tcBorders>
            <w:shd w:val="clear" w:color="auto" w:fill="FFFFFF"/>
            <w:vAlign w:val="center"/>
          </w:tcPr>
          <w:p w14:paraId="66250EF7">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88.51-89.18</w:t>
            </w:r>
          </w:p>
        </w:tc>
        <w:tc>
          <w:tcPr>
            <w:tcW w:w="1490" w:type="dxa"/>
            <w:tcBorders>
              <w:left w:val="single" w:color="000000" w:sz="4" w:space="0"/>
              <w:bottom w:val="single" w:color="000000" w:sz="4" w:space="0"/>
              <w:right w:val="single" w:color="000000" w:sz="4" w:space="0"/>
            </w:tcBorders>
            <w:shd w:val="clear" w:color="auto" w:fill="FFFFFF"/>
            <w:vAlign w:val="center"/>
          </w:tcPr>
          <w:p w14:paraId="38FB896D">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精装修</w:t>
            </w:r>
          </w:p>
        </w:tc>
      </w:tr>
      <w:tr w14:paraId="5EE68DF4">
        <w:tblPrEx>
          <w:tblCellMar>
            <w:top w:w="0" w:type="dxa"/>
            <w:left w:w="108" w:type="dxa"/>
            <w:bottom w:w="0" w:type="dxa"/>
            <w:right w:w="108" w:type="dxa"/>
          </w:tblCellMar>
        </w:tblPrEx>
        <w:trPr>
          <w:trHeight w:val="285" w:hRule="atLeast"/>
        </w:trPr>
        <w:tc>
          <w:tcPr>
            <w:tcW w:w="2000" w:type="dxa"/>
            <w:tcBorders>
              <w:left w:val="single" w:color="000000" w:sz="4" w:space="0"/>
              <w:bottom w:val="single" w:color="000000" w:sz="4" w:space="0"/>
            </w:tcBorders>
            <w:vAlign w:val="center"/>
          </w:tcPr>
          <w:p w14:paraId="53B11876">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合计</w:t>
            </w:r>
          </w:p>
        </w:tc>
        <w:tc>
          <w:tcPr>
            <w:tcW w:w="1260" w:type="dxa"/>
            <w:tcBorders>
              <w:left w:val="single" w:color="000000" w:sz="4" w:space="0"/>
              <w:bottom w:val="single" w:color="000000" w:sz="4" w:space="0"/>
            </w:tcBorders>
            <w:vAlign w:val="center"/>
          </w:tcPr>
          <w:p w14:paraId="2E46B213">
            <w:pPr>
              <w:widowControl/>
              <w:spacing w:line="240" w:lineRule="auto"/>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44359.11</w:t>
            </w:r>
          </w:p>
        </w:tc>
        <w:tc>
          <w:tcPr>
            <w:tcW w:w="1200" w:type="dxa"/>
            <w:tcBorders>
              <w:left w:val="single" w:color="000000" w:sz="4" w:space="0"/>
              <w:bottom w:val="single" w:color="000000" w:sz="4" w:space="0"/>
            </w:tcBorders>
            <w:vAlign w:val="center"/>
          </w:tcPr>
          <w:p w14:paraId="27108574">
            <w:pPr>
              <w:widowControl/>
              <w:spacing w:line="240" w:lineRule="auto"/>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516</w:t>
            </w:r>
          </w:p>
        </w:tc>
        <w:tc>
          <w:tcPr>
            <w:tcW w:w="1100" w:type="dxa"/>
            <w:tcBorders>
              <w:left w:val="single" w:color="000000" w:sz="4" w:space="0"/>
              <w:bottom w:val="single" w:color="000000" w:sz="4" w:space="0"/>
            </w:tcBorders>
            <w:vAlign w:val="center"/>
          </w:tcPr>
          <w:p w14:paraId="2CD8B35B">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w:t>
            </w:r>
          </w:p>
        </w:tc>
        <w:tc>
          <w:tcPr>
            <w:tcW w:w="1180" w:type="dxa"/>
            <w:tcBorders>
              <w:left w:val="single" w:color="000000" w:sz="4" w:space="0"/>
              <w:bottom w:val="single" w:color="000000" w:sz="4" w:space="0"/>
            </w:tcBorders>
            <w:vAlign w:val="center"/>
          </w:tcPr>
          <w:p w14:paraId="4FEBB0E6">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w:t>
            </w:r>
          </w:p>
        </w:tc>
        <w:tc>
          <w:tcPr>
            <w:tcW w:w="1660" w:type="dxa"/>
            <w:tcBorders>
              <w:left w:val="single" w:color="000000" w:sz="4" w:space="0"/>
              <w:bottom w:val="single" w:color="000000" w:sz="4" w:space="0"/>
            </w:tcBorders>
            <w:vAlign w:val="center"/>
          </w:tcPr>
          <w:p w14:paraId="59A451D1">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w:t>
            </w:r>
          </w:p>
        </w:tc>
        <w:tc>
          <w:tcPr>
            <w:tcW w:w="1490" w:type="dxa"/>
            <w:tcBorders>
              <w:left w:val="single" w:color="000000" w:sz="4" w:space="0"/>
              <w:bottom w:val="single" w:color="000000" w:sz="4" w:space="0"/>
              <w:right w:val="single" w:color="000000" w:sz="4" w:space="0"/>
            </w:tcBorders>
            <w:vAlign w:val="center"/>
          </w:tcPr>
          <w:p w14:paraId="6290C7F2">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w:t>
            </w:r>
          </w:p>
        </w:tc>
      </w:tr>
    </w:tbl>
    <w:p w14:paraId="36CB285A">
      <w:pPr>
        <w:overflowPunct w:val="0"/>
        <w:spacing w:before="120" w:beforeLines="50" w:line="480" w:lineRule="auto"/>
        <w:ind w:firstLine="420"/>
        <w:jc w:val="both"/>
        <w:textAlignment w:val="auto"/>
        <w:rPr>
          <w:rFonts w:ascii="Arial" w:hAnsi="Arial" w:cs="Arial"/>
          <w:sz w:val="21"/>
          <w:szCs w:val="21"/>
        </w:rPr>
      </w:pPr>
      <w:r>
        <w:rPr>
          <w:rFonts w:ascii="Arial" w:hAnsi="Arial" w:cs="Arial"/>
          <w:sz w:val="21"/>
          <w:szCs w:val="21"/>
        </w:rPr>
        <w:t>（2）建筑结构：估价对象所属楼宇建筑结构均为</w:t>
      </w:r>
      <w:r>
        <w:rPr>
          <w:rFonts w:ascii="Arial" w:hAnsi="Arial" w:cs="Arial"/>
          <w:kern w:val="2"/>
          <w:sz w:val="21"/>
          <w:szCs w:val="21"/>
        </w:rPr>
        <w:t>钢混</w:t>
      </w:r>
      <w:r>
        <w:rPr>
          <w:rFonts w:ascii="Arial" w:hAnsi="Arial" w:cs="Arial"/>
          <w:sz w:val="21"/>
          <w:szCs w:val="21"/>
        </w:rPr>
        <w:t>结构。</w:t>
      </w:r>
    </w:p>
    <w:p w14:paraId="4A6E374E">
      <w:pPr>
        <w:overflowPunct w:val="0"/>
        <w:spacing w:line="480" w:lineRule="auto"/>
        <w:ind w:firstLine="420"/>
        <w:jc w:val="both"/>
        <w:textAlignment w:val="auto"/>
        <w:rPr>
          <w:rFonts w:ascii="Arial" w:hAnsi="Arial" w:cs="Arial"/>
          <w:sz w:val="21"/>
          <w:szCs w:val="21"/>
        </w:rPr>
      </w:pPr>
      <w:r>
        <w:rPr>
          <w:rFonts w:ascii="Arial" w:hAnsi="Arial" w:cs="Arial"/>
          <w:sz w:val="21"/>
          <w:szCs w:val="21"/>
        </w:rPr>
        <w:t>（3）建筑外观：</w:t>
      </w:r>
      <w:r>
        <w:rPr>
          <w:rFonts w:ascii="Arial" w:hAnsi="Arial" w:cs="Arial"/>
          <w:kern w:val="2"/>
          <w:sz w:val="21"/>
          <w:szCs w:val="21"/>
        </w:rPr>
        <w:t>亦城景园楼型</w:t>
      </w:r>
      <w:r>
        <w:rPr>
          <w:rFonts w:ascii="Arial" w:hAnsi="Arial" w:cs="Arial"/>
          <w:sz w:val="21"/>
          <w:szCs w:val="21"/>
        </w:rPr>
        <w:t>为高层板楼。</w:t>
      </w:r>
    </w:p>
    <w:p w14:paraId="1434470B">
      <w:pPr>
        <w:overflowPunct w:val="0"/>
        <w:spacing w:line="480" w:lineRule="auto"/>
        <w:ind w:firstLine="420"/>
        <w:jc w:val="both"/>
        <w:textAlignment w:val="auto"/>
        <w:rPr>
          <w:rFonts w:ascii="Arial" w:hAnsi="Arial" w:cs="Arial"/>
          <w:sz w:val="21"/>
          <w:szCs w:val="21"/>
        </w:rPr>
      </w:pPr>
      <w:r>
        <w:rPr>
          <w:rFonts w:ascii="Arial" w:hAnsi="Arial" w:cs="Arial"/>
          <w:sz w:val="21"/>
          <w:szCs w:val="21"/>
        </w:rPr>
        <w:t>（4）设施设备：估价对象所在项目配套设施完备，给排水、电力、电讯、暖通等齐全；防火栓、安防系统等设备齐全；配备家具家电。</w:t>
      </w:r>
    </w:p>
    <w:p w14:paraId="182C9EF1">
      <w:pPr>
        <w:overflowPunct w:val="0"/>
        <w:spacing w:line="480" w:lineRule="auto"/>
        <w:ind w:firstLine="420"/>
        <w:jc w:val="both"/>
        <w:textAlignment w:val="auto"/>
        <w:rPr>
          <w:rFonts w:ascii="Arial" w:hAnsi="Arial" w:cs="Arial"/>
          <w:sz w:val="21"/>
          <w:szCs w:val="21"/>
        </w:rPr>
      </w:pPr>
      <w:r>
        <w:rPr>
          <w:rFonts w:ascii="Arial" w:hAnsi="Arial" w:cs="Arial"/>
          <w:sz w:val="21"/>
          <w:szCs w:val="21"/>
        </w:rPr>
        <w:t>（5）装饰装修：根据估价委托人介绍及估价人员实地查勘，估价对象</w:t>
      </w:r>
      <w:r>
        <w:rPr>
          <w:rFonts w:ascii="Arial" w:hAnsi="Arial" w:cs="Arial"/>
          <w:kern w:val="2"/>
          <w:sz w:val="21"/>
          <w:szCs w:val="21"/>
        </w:rPr>
        <w:t>杰出人才公寓为精装修、领军人才公寓为简单装修</w:t>
      </w:r>
      <w:r>
        <w:rPr>
          <w:rFonts w:ascii="Arial" w:hAnsi="Arial" w:cs="Arial"/>
          <w:sz w:val="21"/>
          <w:szCs w:val="21"/>
        </w:rPr>
        <w:t>，外立面喷涂料，公共部分首层地面贴砖，顶棚、墙面刷涂料。室内装修杰出人才公寓为：室内地面地砖，墙面刷涂料、墙纸、电视墙，顶棚石膏吊顶；厨房地面地砖，墙面为墙砖，顶棚为铝扣板，配整体橱柜；卫生间地面地砖，墙面为墙砖，顶棚为铝扣板，配淋浴间，室内装修领军人才公寓为：室内地面地砖，墙面刷涂料，顶棚刷涂料；厨房地面地砖，墙面为墙砖，顶棚为铝扣板，配简易橱柜；卫生间地面地砖，墙面为墙砖，顶棚为铝扣板。</w:t>
      </w:r>
    </w:p>
    <w:p w14:paraId="0BF66876">
      <w:pPr>
        <w:overflowPunct w:val="0"/>
        <w:spacing w:line="480" w:lineRule="auto"/>
        <w:ind w:firstLine="420"/>
        <w:jc w:val="both"/>
        <w:textAlignment w:val="auto"/>
        <w:rPr>
          <w:rFonts w:ascii="Arial" w:hAnsi="Arial" w:cs="Arial"/>
          <w:sz w:val="21"/>
          <w:szCs w:val="21"/>
        </w:rPr>
      </w:pPr>
      <w:r>
        <w:rPr>
          <w:rFonts w:ascii="Arial" w:hAnsi="Arial" w:cs="Arial"/>
          <w:sz w:val="21"/>
          <w:szCs w:val="21"/>
        </w:rPr>
        <w:t>（6）新旧程度：估价对象观察成新度较高，建成年代较近，成新度较高。</w:t>
      </w:r>
    </w:p>
    <w:p w14:paraId="2B66F4A0">
      <w:pPr>
        <w:overflowPunct w:val="0"/>
        <w:spacing w:line="480" w:lineRule="auto"/>
        <w:ind w:firstLine="420"/>
        <w:jc w:val="both"/>
        <w:textAlignment w:val="auto"/>
        <w:rPr>
          <w:rFonts w:ascii="Arial" w:hAnsi="Arial" w:cs="Arial"/>
          <w:sz w:val="21"/>
          <w:szCs w:val="21"/>
        </w:rPr>
      </w:pPr>
      <w:r>
        <w:rPr>
          <w:rFonts w:ascii="Arial" w:hAnsi="Arial" w:cs="Arial"/>
          <w:sz w:val="21"/>
          <w:szCs w:val="21"/>
        </w:rPr>
        <w:t>（7）户型设计</w:t>
      </w:r>
      <w:r>
        <w:rPr>
          <w:rFonts w:hint="eastAsia" w:ascii="Arial" w:hAnsi="Arial" w:cs="Arial"/>
          <w:sz w:val="21"/>
          <w:szCs w:val="21"/>
        </w:rPr>
        <w:t>：</w:t>
      </w:r>
      <w:r>
        <w:rPr>
          <w:rFonts w:ascii="Arial" w:hAnsi="Arial" w:cs="Arial"/>
          <w:sz w:val="21"/>
          <w:szCs w:val="21"/>
        </w:rPr>
        <w:t>E18</w:t>
      </w:r>
      <w:r>
        <w:rPr>
          <w:rFonts w:hint="eastAsia" w:ascii="Arial" w:hAnsi="Arial" w:cs="Arial"/>
          <w:sz w:val="21"/>
          <w:szCs w:val="21"/>
        </w:rPr>
        <w:t>亦城景园国际人才公寓</w:t>
      </w:r>
      <w:r>
        <w:rPr>
          <w:rFonts w:ascii="Arial" w:hAnsi="Arial" w:cs="Arial"/>
          <w:sz w:val="21"/>
          <w:szCs w:val="21"/>
        </w:rPr>
        <w:t>有两种户型，分别为一居室、两居室。其中，一居室</w:t>
      </w:r>
      <w:r>
        <w:rPr>
          <w:rFonts w:hint="eastAsia" w:ascii="Arial" w:hAnsi="Arial" w:cs="Arial"/>
          <w:sz w:val="21"/>
          <w:szCs w:val="21"/>
        </w:rPr>
        <w:t>共104套</w:t>
      </w:r>
      <w:r>
        <w:rPr>
          <w:rFonts w:ascii="Arial" w:hAnsi="Arial" w:cs="Arial"/>
          <w:sz w:val="21"/>
          <w:szCs w:val="21"/>
        </w:rPr>
        <w:t>，面积控制在</w:t>
      </w:r>
      <w:r>
        <w:rPr>
          <w:rFonts w:hint="eastAsia" w:ascii="Arial" w:hAnsi="Arial" w:cs="Arial"/>
          <w:sz w:val="21"/>
          <w:szCs w:val="21"/>
        </w:rPr>
        <w:t>69.62-69.8</w:t>
      </w:r>
      <w:r>
        <w:rPr>
          <w:rFonts w:ascii="Arial" w:hAnsi="Arial" w:cs="Arial"/>
          <w:sz w:val="21"/>
          <w:szCs w:val="21"/>
        </w:rPr>
        <w:t>平方米；</w:t>
      </w:r>
      <w:r>
        <w:rPr>
          <w:rFonts w:hint="eastAsia" w:ascii="Arial" w:hAnsi="Arial" w:cs="Arial"/>
          <w:sz w:val="21"/>
          <w:szCs w:val="21"/>
        </w:rPr>
        <w:t>两居室共412套</w:t>
      </w:r>
      <w:r>
        <w:rPr>
          <w:rFonts w:ascii="Arial" w:hAnsi="Arial" w:cs="Arial"/>
          <w:sz w:val="21"/>
          <w:szCs w:val="21"/>
        </w:rPr>
        <w:t>，面积控制在</w:t>
      </w:r>
      <w:r>
        <w:rPr>
          <w:rFonts w:hint="eastAsia" w:ascii="Arial" w:hAnsi="Arial" w:cs="Arial"/>
          <w:sz w:val="21"/>
          <w:szCs w:val="21"/>
        </w:rPr>
        <w:t>88.41-92.39</w:t>
      </w:r>
      <w:r>
        <w:rPr>
          <w:rFonts w:ascii="Arial" w:hAnsi="Arial" w:cs="Arial"/>
          <w:sz w:val="21"/>
          <w:szCs w:val="21"/>
        </w:rPr>
        <w:t>平方米。</w:t>
      </w:r>
    </w:p>
    <w:p w14:paraId="68467963">
      <w:pPr>
        <w:spacing w:line="480" w:lineRule="auto"/>
        <w:ind w:firstLine="420"/>
      </w:pPr>
      <w:r>
        <w:rPr>
          <w:rFonts w:ascii="Arial" w:hAnsi="Arial" w:cs="Arial"/>
          <w:sz w:val="21"/>
          <w:szCs w:val="21"/>
        </w:rPr>
        <w:t>（8）朝向：朝向为南北、南，以朝南为主。</w:t>
      </w:r>
    </w:p>
    <w:p w14:paraId="5EB9FB6E">
      <w:pPr>
        <w:spacing w:line="480" w:lineRule="auto"/>
        <w:ind w:firstLine="420"/>
        <w:rPr>
          <w:rFonts w:ascii="Arial" w:hAnsi="Arial" w:cs="Arial"/>
          <w:sz w:val="21"/>
          <w:szCs w:val="21"/>
        </w:rPr>
      </w:pPr>
      <w:r>
        <w:rPr>
          <w:rFonts w:ascii="Arial" w:hAnsi="Arial" w:cs="Arial"/>
          <w:sz w:val="21"/>
          <w:szCs w:val="21"/>
        </w:rPr>
        <w:t>3.对价格影响的分析</w:t>
      </w:r>
    </w:p>
    <w:p w14:paraId="11474FEB">
      <w:pPr>
        <w:spacing w:line="480" w:lineRule="auto"/>
        <w:ind w:firstLine="420"/>
      </w:pPr>
      <w:r>
        <w:rPr>
          <w:rFonts w:ascii="Arial" w:hAnsi="Arial" w:cs="Arial"/>
          <w:sz w:val="21"/>
          <w:szCs w:val="21"/>
        </w:rPr>
        <w:t>估价对象作为住宅使用，通用性相对较好，能完全满足大部分</w:t>
      </w:r>
      <w:r>
        <w:rPr>
          <w:rFonts w:hint="eastAsia" w:ascii="Arial" w:hAnsi="Arial" w:cs="Arial"/>
          <w:sz w:val="21"/>
          <w:szCs w:val="21"/>
        </w:rPr>
        <w:t>承</w:t>
      </w:r>
      <w:r>
        <w:rPr>
          <w:rFonts w:ascii="Arial" w:hAnsi="Arial" w:cs="Arial"/>
          <w:sz w:val="21"/>
          <w:szCs w:val="21"/>
        </w:rPr>
        <w:t>租者的需求，因此不会影响其租金价格水平。</w:t>
      </w:r>
    </w:p>
    <w:p w14:paraId="4854ED76">
      <w:pPr>
        <w:pStyle w:val="3"/>
        <w:numPr>
          <w:ilvl w:val="0"/>
          <w:numId w:val="0"/>
        </w:numPr>
        <w:spacing w:line="480" w:lineRule="auto"/>
        <w:ind w:left="359" w:hanging="359"/>
        <w:jc w:val="both"/>
      </w:pPr>
      <w:bookmarkStart w:id="27" w:name="_Toc155340499"/>
      <w:r>
        <w:rPr>
          <w:rFonts w:eastAsia="宋体;SimSun"/>
          <w:kern w:val="2"/>
          <w:sz w:val="21"/>
          <w:szCs w:val="21"/>
        </w:rPr>
        <w:t>（三）权益状况分析</w:t>
      </w:r>
      <w:bookmarkEnd w:id="27"/>
    </w:p>
    <w:p w14:paraId="6AB5A7B7">
      <w:pPr>
        <w:spacing w:line="480" w:lineRule="auto"/>
        <w:ind w:firstLine="420" w:firstLineChars="200"/>
        <w:rPr>
          <w:rFonts w:ascii="Arial" w:hAnsi="Arial" w:cs="Arial"/>
          <w:sz w:val="21"/>
          <w:szCs w:val="21"/>
        </w:rPr>
      </w:pPr>
      <w:r>
        <w:rPr>
          <w:rFonts w:hint="eastAsia" w:ascii="Arial" w:hAnsi="Arial" w:cs="Arial"/>
          <w:sz w:val="21"/>
          <w:szCs w:val="21"/>
        </w:rPr>
        <w:t>1.根据注册房地产估价师实地查勘及领勘人介绍，于价值时点，估价对象部分已公开配租，结合本次估价目的，未考虑现有租约对估价结果的影响。</w:t>
      </w:r>
    </w:p>
    <w:p w14:paraId="5C0E48D2">
      <w:pPr>
        <w:spacing w:line="480" w:lineRule="auto"/>
        <w:ind w:firstLine="420"/>
        <w:rPr>
          <w:rFonts w:ascii="Arial" w:hAnsi="Arial" w:cs="Arial"/>
          <w:kern w:val="2"/>
          <w:sz w:val="21"/>
          <w:szCs w:val="21"/>
        </w:rPr>
      </w:pPr>
      <w:r>
        <w:rPr>
          <w:rFonts w:hint="eastAsia" w:ascii="Arial" w:hAnsi="Arial" w:cs="Arial"/>
          <w:sz w:val="21"/>
          <w:szCs w:val="21"/>
        </w:rPr>
        <w:t>2.经估价委托人介绍，估价对象于价值时点不存在抵押权、地役权、查封等他项权利，根据估价目的，本次评估设定估价对象于价值时点不存在抵押权、地役权、查封等他项权利。</w:t>
      </w:r>
    </w:p>
    <w:p w14:paraId="026AAE9F">
      <w:pPr>
        <w:pStyle w:val="3"/>
        <w:numPr>
          <w:ilvl w:val="0"/>
          <w:numId w:val="0"/>
        </w:numPr>
        <w:spacing w:line="480" w:lineRule="auto"/>
        <w:ind w:left="357" w:hanging="357"/>
        <w:jc w:val="both"/>
        <w:rPr>
          <w:rFonts w:eastAsia="宋体;SimSun"/>
          <w:kern w:val="2"/>
          <w:sz w:val="21"/>
          <w:szCs w:val="21"/>
        </w:rPr>
      </w:pPr>
    </w:p>
    <w:p w14:paraId="7B2A470B">
      <w:pPr>
        <w:rPr>
          <w:kern w:val="2"/>
          <w:sz w:val="21"/>
          <w:szCs w:val="21"/>
        </w:rPr>
      </w:pPr>
      <w:bookmarkStart w:id="28" w:name="_Toc155340500"/>
      <w:r>
        <w:rPr>
          <w:kern w:val="2"/>
          <w:sz w:val="21"/>
          <w:szCs w:val="21"/>
        </w:rPr>
        <w:br w:type="page"/>
      </w:r>
    </w:p>
    <w:p w14:paraId="4B3A3E9E">
      <w:pPr>
        <w:pStyle w:val="3"/>
        <w:numPr>
          <w:ilvl w:val="0"/>
          <w:numId w:val="0"/>
        </w:numPr>
        <w:spacing w:line="480" w:lineRule="auto"/>
        <w:ind w:left="357" w:hanging="357"/>
        <w:jc w:val="both"/>
        <w:rPr>
          <w:rFonts w:eastAsia="宋体;SimSun"/>
          <w:kern w:val="2"/>
          <w:sz w:val="21"/>
          <w:szCs w:val="21"/>
        </w:rPr>
      </w:pPr>
      <w:r>
        <w:rPr>
          <w:rFonts w:eastAsia="宋体;SimSun"/>
          <w:kern w:val="2"/>
          <w:sz w:val="21"/>
          <w:szCs w:val="21"/>
        </w:rPr>
        <w:t>二、市场背景描述与分析</w:t>
      </w:r>
      <w:bookmarkEnd w:id="28"/>
    </w:p>
    <w:p w14:paraId="30E2F523">
      <w:pPr>
        <w:overflowPunct w:val="0"/>
        <w:spacing w:line="480" w:lineRule="auto"/>
        <w:ind w:right="205"/>
        <w:jc w:val="both"/>
        <w:textAlignment w:val="auto"/>
        <w:rPr>
          <w:rFonts w:ascii="Arial" w:hAnsi="Arial"/>
          <w:b/>
          <w:bCs/>
          <w:sz w:val="21"/>
          <w:szCs w:val="21"/>
        </w:rPr>
      </w:pPr>
      <w:r>
        <w:rPr>
          <w:rFonts w:hint="eastAsia" w:ascii="Arial" w:hAnsi="Arial"/>
          <w:b/>
          <w:bCs/>
          <w:sz w:val="21"/>
          <w:szCs w:val="21"/>
        </w:rPr>
        <w:t>（一）类似房地产市场状况</w:t>
      </w:r>
    </w:p>
    <w:p w14:paraId="2A2B2A4F">
      <w:pPr>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1.宏观环境</w:t>
      </w:r>
    </w:p>
    <w:p w14:paraId="095D8623">
      <w:pPr>
        <w:widowControl/>
        <w:spacing w:line="480" w:lineRule="auto"/>
        <w:ind w:firstLine="525" w:firstLineChars="250"/>
        <w:jc w:val="both"/>
        <w:textAlignment w:val="auto"/>
        <w:rPr>
          <w:rFonts w:ascii="Arial" w:hAnsi="Arial"/>
          <w:color w:val="000000"/>
          <w:sz w:val="21"/>
          <w:szCs w:val="21"/>
        </w:rPr>
      </w:pPr>
      <w:bookmarkStart w:id="29" w:name="OLE_LINK33"/>
      <w:bookmarkStart w:id="30" w:name="OLE_LINK34"/>
      <w:r>
        <w:rPr>
          <w:rFonts w:hint="eastAsia" w:ascii="Arial" w:hAnsi="Arial"/>
          <w:color w:val="000000"/>
          <w:sz w:val="21"/>
          <w:szCs w:val="21"/>
        </w:rPr>
        <w:t>北京市位于北纬39度56分，东经116度20分，地处华北大平原的北部，北京市土地面积16410.54平方公里。北京地势西北高耸，东南低缓。西部、北部和东北部是连绵不断的群山，东南是一片缓缓向渤海倾斜的平原。北京市东部与天津市毗邻，其余均与河北省交界。北京市目前为16区格局，即东城、西城、海淀、朝阳、丰台、顺义、昌平、通州、门头沟、石景山、房山、大兴、怀柔、平谷、密云、延庆。</w:t>
      </w:r>
    </w:p>
    <w:p w14:paraId="56244E40">
      <w:pPr>
        <w:widowControl/>
        <w:spacing w:line="480" w:lineRule="auto"/>
        <w:ind w:firstLine="525" w:firstLineChars="250"/>
        <w:jc w:val="both"/>
        <w:textAlignment w:val="auto"/>
        <w:rPr>
          <w:rFonts w:ascii="Arial" w:hAnsi="Arial"/>
          <w:color w:val="000000"/>
          <w:sz w:val="21"/>
          <w:szCs w:val="21"/>
        </w:rPr>
      </w:pPr>
      <w:r>
        <w:rPr>
          <w:rFonts w:ascii="Arial" w:hAnsi="Arial"/>
          <w:sz w:val="21"/>
          <w:szCs w:val="21"/>
        </w:rPr>
        <w:t>截至2024年年末，北京市常住人口为2183.2万人，从年龄构成看，0-14岁常住人口261.2万人，占全市常住人口的比重为12.0%；15-59岁常住人口1408.0万人，占64.5%；60岁及以上常住人口514.0万人，占23.5%</w:t>
      </w:r>
      <w:r>
        <w:rPr>
          <w:rFonts w:hint="eastAsia" w:ascii="Arial" w:hAnsi="Arial"/>
          <w:color w:val="000000"/>
          <w:sz w:val="21"/>
          <w:szCs w:val="21"/>
        </w:rPr>
        <w:t>。</w:t>
      </w:r>
    </w:p>
    <w:p w14:paraId="3C194C66">
      <w:pPr>
        <w:overflowPunct w:val="0"/>
        <w:spacing w:line="240" w:lineRule="auto"/>
        <w:jc w:val="center"/>
        <w:rPr>
          <w:rFonts w:ascii="Arial" w:hAnsi="Arial" w:eastAsia="方正黑体简体"/>
          <w:bCs/>
          <w:color w:val="000000"/>
          <w:szCs w:val="24"/>
        </w:rPr>
      </w:pPr>
      <w:r>
        <w:rPr>
          <w:rFonts w:ascii="Arial" w:hAnsi="Arial" w:eastAsia="方正黑体简体"/>
          <w:bCs/>
          <w:color w:val="000000"/>
          <w:szCs w:val="24"/>
        </w:rPr>
        <w:t>20</w:t>
      </w:r>
      <w:r>
        <w:rPr>
          <w:rFonts w:hint="eastAsia" w:ascii="Arial" w:hAnsi="Arial" w:eastAsia="方正黑体简体"/>
          <w:bCs/>
          <w:color w:val="000000"/>
          <w:szCs w:val="24"/>
        </w:rPr>
        <w:t>20</w:t>
      </w:r>
      <w:r>
        <w:rPr>
          <w:rFonts w:ascii="Arial" w:hAnsi="Arial" w:eastAsia="方正黑体简体"/>
          <w:bCs/>
          <w:color w:val="000000"/>
          <w:szCs w:val="24"/>
        </w:rPr>
        <w:t>-202</w:t>
      </w:r>
      <w:r>
        <w:rPr>
          <w:rFonts w:hint="eastAsia" w:ascii="Arial" w:hAnsi="Arial" w:eastAsia="方正黑体简体"/>
          <w:bCs/>
          <w:color w:val="000000"/>
          <w:szCs w:val="24"/>
        </w:rPr>
        <w:t>4年常住人口增量及增长速度</w:t>
      </w:r>
    </w:p>
    <w:p w14:paraId="47DC486F">
      <w:pPr>
        <w:widowControl/>
        <w:spacing w:line="480" w:lineRule="auto"/>
        <w:jc w:val="center"/>
        <w:textAlignment w:val="auto"/>
        <w:rPr>
          <w:rFonts w:ascii="Arial" w:hAnsi="Arial"/>
          <w:color w:val="000000"/>
          <w:sz w:val="21"/>
          <w:szCs w:val="21"/>
        </w:rPr>
      </w:pPr>
      <w:r>
        <w:rPr>
          <w:rFonts w:ascii="Arial" w:hAnsi="Arial" w:eastAsia="仿宋" w:cs="Arial"/>
          <w:sz w:val="28"/>
          <w:szCs w:val="28"/>
        </w:rPr>
        <w:drawing>
          <wp:inline distT="0" distB="0" distL="114300" distR="114300">
            <wp:extent cx="5905500" cy="2171700"/>
            <wp:effectExtent l="4445" t="4445" r="18415" b="18415"/>
            <wp:docPr id="22" name="图表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bookmarkEnd w:id="29"/>
    <w:bookmarkEnd w:id="30"/>
    <w:p w14:paraId="4C5CA9CA">
      <w:pPr>
        <w:widowControl/>
        <w:spacing w:line="480" w:lineRule="auto"/>
        <w:ind w:firstLine="525" w:firstLineChars="250"/>
        <w:jc w:val="both"/>
        <w:textAlignment w:val="auto"/>
        <w:rPr>
          <w:rFonts w:ascii="Arial" w:hAnsi="Arial"/>
          <w:color w:val="000000"/>
          <w:sz w:val="21"/>
          <w:szCs w:val="21"/>
        </w:rPr>
      </w:pPr>
      <w:r>
        <w:rPr>
          <w:rFonts w:hint="eastAsia" w:ascii="Arial" w:hAnsi="Arial"/>
          <w:color w:val="000000"/>
          <w:sz w:val="21"/>
          <w:szCs w:val="21"/>
        </w:rPr>
        <w:t>根据北京市统计局地区生产总值统一核算结果，2025年前三季度，北京市实现地区生产总值38415.9亿元，按不变价格计算，同比增长5.6%。分产业看，第一产业实现增加值77.9亿元，下降1.1%；第二产业实现增加值5055.9亿元，增长4.0%；第三产业实现增加值33282.0亿元，增长5.8%。</w:t>
      </w:r>
    </w:p>
    <w:p w14:paraId="573278DB">
      <w:pPr>
        <w:widowControl/>
        <w:spacing w:line="480" w:lineRule="auto"/>
        <w:ind w:firstLine="525" w:firstLineChars="250"/>
        <w:jc w:val="both"/>
        <w:textAlignment w:val="auto"/>
        <w:rPr>
          <w:rFonts w:ascii="Arial" w:hAnsi="Arial"/>
          <w:color w:val="000000"/>
          <w:sz w:val="21"/>
          <w:szCs w:val="21"/>
        </w:rPr>
      </w:pPr>
      <w:r>
        <w:rPr>
          <w:rFonts w:hint="eastAsia" w:ascii="Arial" w:hAnsi="Arial"/>
          <w:color w:val="000000"/>
          <w:sz w:val="21"/>
          <w:szCs w:val="21"/>
        </w:rPr>
        <w:t>2025年前三季度，北京市固定资产投资（不含农户）同比增长9.0%。其中，反映企业扩大生产能力的设备购置投资增长83.1%，占全市固定资产投资的比重进一步提升至29.3%。分领域看，基础设施投资增长2.3%，制造业投资增长5.4%，房地产开发投资下降13.7%。分产业看，第一产业投资增长23.8%，第二产业投资增长10.4%，第三产业投资增长8.8%。在信息传输、软件和信息技术服务业带动下，高技术产业投资保持活跃，增长51.7%。</w:t>
      </w:r>
    </w:p>
    <w:p w14:paraId="31DF5776">
      <w:pPr>
        <w:widowControl/>
        <w:spacing w:line="480" w:lineRule="auto"/>
        <w:ind w:firstLine="525" w:firstLineChars="250"/>
        <w:jc w:val="both"/>
        <w:textAlignment w:val="auto"/>
        <w:rPr>
          <w:rFonts w:ascii="Arial" w:hAnsi="Arial"/>
          <w:color w:val="000000"/>
          <w:sz w:val="21"/>
          <w:szCs w:val="21"/>
        </w:rPr>
      </w:pPr>
      <w:r>
        <w:rPr>
          <w:rFonts w:hint="eastAsia" w:ascii="Arial" w:hAnsi="Arial"/>
          <w:color w:val="000000"/>
          <w:sz w:val="21"/>
          <w:szCs w:val="21"/>
        </w:rPr>
        <w:t>2025年前三季度，北京市房屋施工面积10150.0万平方米，同比下降7.8%，其中住宅施工面积5050.5万平方米，下降8.5%。全市新建商品房销售面积739.6万平方米，同比下降3.5%，其中住宅销售面积491.7万平方米，下降8.2%，住宅中的纯商品住宅销售面积增长20.1%。</w:t>
      </w:r>
    </w:p>
    <w:p w14:paraId="6E938A59">
      <w:pPr>
        <w:widowControl/>
        <w:spacing w:line="480" w:lineRule="auto"/>
        <w:ind w:firstLine="525" w:firstLineChars="250"/>
        <w:jc w:val="both"/>
        <w:textAlignment w:val="auto"/>
        <w:rPr>
          <w:rFonts w:ascii="Arial" w:hAnsi="Arial"/>
          <w:color w:val="000000"/>
          <w:sz w:val="21"/>
          <w:szCs w:val="21"/>
        </w:rPr>
      </w:pPr>
      <w:r>
        <w:rPr>
          <w:rFonts w:hint="eastAsia" w:ascii="Arial" w:hAnsi="Arial"/>
          <w:color w:val="000000"/>
          <w:sz w:val="21"/>
          <w:szCs w:val="21"/>
        </w:rPr>
        <w:t>2025年前三季度，北京市房地产开发投资同比下降13.7%，房屋新开工面积912万平方米，同比下降7.4%。其中，住宅新开工面积576.6万平方米，下降6%；办公楼26.7万平方米，增长39%；商业营业用房45.7万平方米，增长0.3%。</w:t>
      </w:r>
    </w:p>
    <w:p w14:paraId="6954DB0C">
      <w:pPr>
        <w:widowControl/>
        <w:spacing w:line="480" w:lineRule="auto"/>
        <w:ind w:firstLine="525" w:firstLineChars="250"/>
        <w:jc w:val="both"/>
        <w:textAlignment w:val="auto"/>
        <w:rPr>
          <w:rFonts w:ascii="Arial" w:hAnsi="Arial"/>
          <w:color w:val="000000"/>
          <w:sz w:val="21"/>
          <w:szCs w:val="21"/>
        </w:rPr>
      </w:pPr>
      <w:r>
        <w:rPr>
          <w:rFonts w:hint="eastAsia" w:ascii="Arial" w:hAnsi="Arial"/>
          <w:color w:val="000000"/>
          <w:sz w:val="21"/>
          <w:szCs w:val="21"/>
        </w:rPr>
        <w:t>北京市房屋竣工面积787.8万平方米，同比增长6.1%。其中，住宅竣工面积403.3万平方米，下降1.5%；办公楼23.2万平方米，下降33%；商业营业用房78.7万平方米，增长1.2倍。</w:t>
      </w:r>
      <w:bookmarkStart w:id="41" w:name="_GoBack"/>
      <w:bookmarkEnd w:id="41"/>
    </w:p>
    <w:p w14:paraId="4A9AAC1D">
      <w:pPr>
        <w:widowControl/>
        <w:spacing w:line="480" w:lineRule="auto"/>
        <w:ind w:firstLine="525" w:firstLineChars="250"/>
        <w:jc w:val="both"/>
        <w:textAlignment w:val="auto"/>
        <w:rPr>
          <w:rFonts w:ascii="Arial" w:hAnsi="Arial"/>
          <w:color w:val="000000"/>
          <w:sz w:val="21"/>
          <w:szCs w:val="21"/>
        </w:rPr>
      </w:pPr>
      <w:r>
        <w:rPr>
          <w:rFonts w:hint="eastAsia" w:ascii="Arial" w:hAnsi="Arial"/>
          <w:color w:val="000000"/>
          <w:sz w:val="21"/>
          <w:szCs w:val="21"/>
        </w:rPr>
        <w:t>总的来看，2025年前三季度北京市经济运行稳中向好，新兴动能培育壮大，高质量发展扎实推进。北京市总体经济呈现“一季度开局良好，二、三季度增势稳定”特征。主要领域中，工业、投资较快增长，服务业重点行业增速提高，就业物价保持稳定，居民收入稳步增加，新质生产力不断培育壮大，高质量发展迈出坚实步伐。</w:t>
      </w:r>
    </w:p>
    <w:p w14:paraId="150FA5DE">
      <w:pPr>
        <w:widowControl/>
        <w:overflowPunct w:val="0"/>
        <w:spacing w:line="480" w:lineRule="auto"/>
        <w:ind w:firstLine="420" w:firstLineChars="200"/>
        <w:jc w:val="both"/>
        <w:textAlignment w:val="auto"/>
        <w:rPr>
          <w:rFonts w:ascii="Arial" w:hAnsi="Arial"/>
          <w:color w:val="000000"/>
          <w:sz w:val="21"/>
          <w:szCs w:val="21"/>
        </w:rPr>
      </w:pPr>
      <w:r>
        <w:rPr>
          <w:rFonts w:ascii="Arial" w:hAnsi="Arial"/>
          <w:color w:val="000000"/>
          <w:sz w:val="21"/>
          <w:szCs w:val="21"/>
        </w:rPr>
        <w:t>2.</w:t>
      </w:r>
      <w:r>
        <w:rPr>
          <w:rFonts w:hint="eastAsia" w:ascii="Arial" w:hAnsi="Arial"/>
          <w:color w:val="000000"/>
          <w:sz w:val="21"/>
          <w:szCs w:val="21"/>
        </w:rPr>
        <w:t>土地市场</w:t>
      </w:r>
    </w:p>
    <w:p w14:paraId="0E3B58BC">
      <w:pPr>
        <w:widowControl/>
        <w:overflowPunct w:val="0"/>
        <w:spacing w:line="480" w:lineRule="auto"/>
        <w:ind w:firstLine="420" w:firstLineChars="200"/>
        <w:jc w:val="both"/>
        <w:textAlignment w:val="auto"/>
        <w:rPr>
          <w:rFonts w:ascii="Arial" w:hAnsi="Arial"/>
          <w:color w:val="000000"/>
          <w:sz w:val="21"/>
          <w:szCs w:val="21"/>
        </w:rPr>
      </w:pPr>
      <w:r>
        <w:rPr>
          <w:rFonts w:hint="eastAsia" w:ascii="Arial" w:hAnsi="Arial"/>
          <w:color w:val="000000"/>
          <w:sz w:val="21"/>
          <w:szCs w:val="21"/>
        </w:rPr>
        <w:t>（1）土地供求情况</w:t>
      </w:r>
    </w:p>
    <w:p w14:paraId="25C7421B">
      <w:pPr>
        <w:widowControl/>
        <w:spacing w:line="480" w:lineRule="auto"/>
        <w:ind w:firstLine="525" w:firstLineChars="250"/>
        <w:jc w:val="both"/>
        <w:textAlignment w:val="auto"/>
        <w:rPr>
          <w:rFonts w:ascii="Arial" w:hAnsi="Arial"/>
          <w:color w:val="000000"/>
          <w:sz w:val="21"/>
          <w:szCs w:val="21"/>
        </w:rPr>
      </w:pPr>
      <w:r>
        <w:rPr>
          <w:rFonts w:ascii="Arial" w:hAnsi="Arial"/>
          <w:color w:val="000000"/>
          <w:sz w:val="21"/>
          <w:szCs w:val="21"/>
        </w:rPr>
        <w:t>202</w:t>
      </w:r>
      <w:r>
        <w:rPr>
          <w:rFonts w:hint="eastAsia" w:ascii="Arial" w:hAnsi="Arial"/>
          <w:color w:val="000000"/>
          <w:sz w:val="21"/>
          <w:szCs w:val="21"/>
        </w:rPr>
        <w:t>5</w:t>
      </w:r>
      <w:r>
        <w:rPr>
          <w:rFonts w:ascii="Arial" w:hAnsi="Arial"/>
          <w:color w:val="000000"/>
          <w:sz w:val="21"/>
          <w:szCs w:val="21"/>
        </w:rPr>
        <w:t>年</w:t>
      </w:r>
      <w:r>
        <w:rPr>
          <w:rFonts w:hint="eastAsia" w:ascii="Arial" w:hAnsi="Arial"/>
          <w:color w:val="000000"/>
          <w:sz w:val="21"/>
          <w:szCs w:val="21"/>
        </w:rPr>
        <w:t>三季度</w:t>
      </w:r>
      <w:r>
        <w:rPr>
          <w:rFonts w:ascii="Arial" w:hAnsi="Arial"/>
          <w:color w:val="000000"/>
          <w:sz w:val="21"/>
          <w:szCs w:val="21"/>
        </w:rPr>
        <w:t>北京商品住宅用地共推出</w:t>
      </w:r>
      <w:r>
        <w:rPr>
          <w:rFonts w:hint="eastAsia" w:ascii="Arial" w:hAnsi="Arial"/>
          <w:color w:val="000000"/>
          <w:sz w:val="21"/>
          <w:szCs w:val="21"/>
        </w:rPr>
        <w:t>8</w:t>
      </w:r>
      <w:r>
        <w:rPr>
          <w:rFonts w:ascii="Arial" w:hAnsi="Arial"/>
          <w:color w:val="000000"/>
          <w:sz w:val="21"/>
          <w:szCs w:val="21"/>
        </w:rPr>
        <w:t>宗，累计供应规划建面</w:t>
      </w:r>
      <w:r>
        <w:rPr>
          <w:rFonts w:hint="eastAsia" w:ascii="Arial" w:hAnsi="Arial"/>
          <w:color w:val="000000"/>
          <w:sz w:val="21"/>
          <w:szCs w:val="21"/>
        </w:rPr>
        <w:t>44.96</w:t>
      </w:r>
      <w:r>
        <w:rPr>
          <w:rFonts w:ascii="Arial" w:hAnsi="Arial"/>
          <w:color w:val="000000"/>
          <w:sz w:val="21"/>
          <w:szCs w:val="21"/>
        </w:rPr>
        <w:t>万</w:t>
      </w:r>
      <w:r>
        <w:rPr>
          <w:rFonts w:hint="eastAsia" w:ascii="Arial" w:hAnsi="Arial"/>
          <w:color w:val="000000"/>
          <w:sz w:val="21"/>
          <w:szCs w:val="21"/>
        </w:rPr>
        <w:t>平方米</w:t>
      </w:r>
      <w:r>
        <w:rPr>
          <w:rFonts w:ascii="Arial" w:hAnsi="Arial"/>
          <w:color w:val="000000"/>
          <w:sz w:val="21"/>
          <w:szCs w:val="21"/>
        </w:rPr>
        <w:t>，同比</w:t>
      </w:r>
      <w:r>
        <w:rPr>
          <w:rFonts w:hint="eastAsia" w:ascii="Arial" w:hAnsi="Arial"/>
          <w:color w:val="000000"/>
          <w:sz w:val="21"/>
          <w:szCs w:val="21"/>
        </w:rPr>
        <w:t>下降57.1</w:t>
      </w:r>
      <w:r>
        <w:rPr>
          <w:rFonts w:ascii="Arial" w:hAnsi="Arial"/>
          <w:color w:val="000000"/>
          <w:sz w:val="21"/>
          <w:szCs w:val="21"/>
        </w:rPr>
        <w:t>%；202</w:t>
      </w:r>
      <w:r>
        <w:rPr>
          <w:rFonts w:hint="eastAsia" w:ascii="Arial" w:hAnsi="Arial"/>
          <w:color w:val="000000"/>
          <w:sz w:val="21"/>
          <w:szCs w:val="21"/>
        </w:rPr>
        <w:t>5</w:t>
      </w:r>
      <w:r>
        <w:rPr>
          <w:rFonts w:ascii="Arial" w:hAnsi="Arial"/>
          <w:color w:val="000000"/>
          <w:sz w:val="21"/>
          <w:szCs w:val="21"/>
        </w:rPr>
        <w:t>年</w:t>
      </w:r>
      <w:r>
        <w:rPr>
          <w:rFonts w:hint="eastAsia" w:ascii="Arial" w:hAnsi="Arial"/>
          <w:color w:val="000000"/>
          <w:sz w:val="21"/>
          <w:szCs w:val="21"/>
        </w:rPr>
        <w:t>三季度</w:t>
      </w:r>
      <w:r>
        <w:rPr>
          <w:rFonts w:ascii="Arial" w:hAnsi="Arial"/>
          <w:color w:val="000000"/>
          <w:sz w:val="21"/>
          <w:szCs w:val="21"/>
        </w:rPr>
        <w:t>北京商品住宅用地</w:t>
      </w:r>
      <w:r>
        <w:rPr>
          <w:rFonts w:hint="eastAsia" w:ascii="Arial" w:hAnsi="Arial"/>
          <w:color w:val="000000"/>
          <w:sz w:val="21"/>
          <w:szCs w:val="21"/>
        </w:rPr>
        <w:t>共</w:t>
      </w:r>
      <w:r>
        <w:rPr>
          <w:rFonts w:ascii="Arial" w:hAnsi="Arial"/>
          <w:color w:val="000000"/>
          <w:sz w:val="21"/>
          <w:szCs w:val="21"/>
        </w:rPr>
        <w:t>成交</w:t>
      </w:r>
      <w:r>
        <w:rPr>
          <w:rFonts w:hint="eastAsia" w:ascii="Arial" w:hAnsi="Arial"/>
          <w:color w:val="000000"/>
          <w:sz w:val="21"/>
          <w:szCs w:val="21"/>
        </w:rPr>
        <w:t>7</w:t>
      </w:r>
      <w:r>
        <w:rPr>
          <w:rFonts w:ascii="Arial" w:hAnsi="Arial"/>
          <w:color w:val="000000"/>
          <w:sz w:val="21"/>
          <w:szCs w:val="21"/>
        </w:rPr>
        <w:t>宗，成交规划建面</w:t>
      </w:r>
      <w:r>
        <w:rPr>
          <w:rFonts w:hint="eastAsia" w:ascii="Arial" w:hAnsi="Arial"/>
          <w:color w:val="000000"/>
          <w:sz w:val="21"/>
          <w:szCs w:val="21"/>
        </w:rPr>
        <w:t>32.01</w:t>
      </w:r>
      <w:r>
        <w:rPr>
          <w:rFonts w:ascii="Arial" w:hAnsi="Arial"/>
          <w:color w:val="000000"/>
          <w:sz w:val="21"/>
          <w:szCs w:val="21"/>
        </w:rPr>
        <w:t>万</w:t>
      </w:r>
      <w:r>
        <w:rPr>
          <w:rFonts w:hint="eastAsia" w:ascii="Arial" w:hAnsi="Arial"/>
          <w:color w:val="000000"/>
          <w:sz w:val="21"/>
          <w:szCs w:val="21"/>
        </w:rPr>
        <w:t>平方米</w:t>
      </w:r>
      <w:r>
        <w:rPr>
          <w:rFonts w:ascii="Arial" w:hAnsi="Arial"/>
          <w:color w:val="000000"/>
          <w:sz w:val="21"/>
          <w:szCs w:val="21"/>
        </w:rPr>
        <w:t>，同比下降</w:t>
      </w:r>
      <w:r>
        <w:rPr>
          <w:rFonts w:hint="eastAsia" w:ascii="Arial" w:hAnsi="Arial"/>
          <w:color w:val="000000"/>
          <w:sz w:val="21"/>
          <w:szCs w:val="21"/>
        </w:rPr>
        <w:t>70.8</w:t>
      </w:r>
      <w:r>
        <w:rPr>
          <w:rFonts w:ascii="Arial" w:hAnsi="Arial"/>
          <w:color w:val="000000"/>
          <w:sz w:val="21"/>
          <w:szCs w:val="21"/>
        </w:rPr>
        <w:t>%；</w:t>
      </w:r>
      <w:r>
        <w:rPr>
          <w:rFonts w:hint="eastAsia" w:ascii="Arial" w:hAnsi="Arial"/>
          <w:color w:val="000000"/>
          <w:sz w:val="21"/>
          <w:szCs w:val="21"/>
        </w:rPr>
        <w:t>土地成交价款合计115.77亿元，同比下降58.7%。与上半年相比，三季度土地市场明显转冷，住宅用地供求规模显著下降，除太阳宫地块外，均底价成交。</w:t>
      </w:r>
    </w:p>
    <w:p w14:paraId="7DF432D5">
      <w:pPr>
        <w:overflowPunct w:val="0"/>
        <w:spacing w:line="360" w:lineRule="auto"/>
        <w:jc w:val="center"/>
        <w:rPr>
          <w:rFonts w:ascii="Arial" w:hAnsi="Arial" w:eastAsia="仿宋_GB2312"/>
          <w:b/>
          <w:bCs/>
          <w:color w:val="000000"/>
          <w:szCs w:val="24"/>
        </w:rPr>
      </w:pPr>
      <w:r>
        <w:drawing>
          <wp:inline distT="0" distB="0" distL="114300" distR="114300">
            <wp:extent cx="4533265" cy="2438400"/>
            <wp:effectExtent l="0" t="0" r="8255" b="0"/>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28"/>
                    <a:stretch>
                      <a:fillRect/>
                    </a:stretch>
                  </pic:blipFill>
                  <pic:spPr>
                    <a:xfrm>
                      <a:off x="0" y="0"/>
                      <a:ext cx="4533265" cy="2438400"/>
                    </a:xfrm>
                    <a:prstGeom prst="rect">
                      <a:avLst/>
                    </a:prstGeom>
                    <a:noFill/>
                    <a:ln>
                      <a:noFill/>
                    </a:ln>
                  </pic:spPr>
                </pic:pic>
              </a:graphicData>
            </a:graphic>
          </wp:inline>
        </w:drawing>
      </w:r>
    </w:p>
    <w:p w14:paraId="611D4B2D">
      <w:pPr>
        <w:widowControl/>
        <w:overflowPunct w:val="0"/>
        <w:spacing w:line="480" w:lineRule="auto"/>
        <w:ind w:firstLine="420" w:firstLineChars="200"/>
        <w:jc w:val="both"/>
        <w:textAlignment w:val="auto"/>
        <w:rPr>
          <w:rFonts w:ascii="Arial" w:hAnsi="Arial"/>
          <w:sz w:val="21"/>
          <w:szCs w:val="21"/>
        </w:rPr>
      </w:pPr>
      <w:r>
        <w:rPr>
          <w:rFonts w:hint="eastAsia" w:ascii="Arial" w:hAnsi="Arial"/>
          <w:sz w:val="21"/>
          <w:szCs w:val="21"/>
        </w:rPr>
        <w:t>（2）土地成交情况</w:t>
      </w:r>
    </w:p>
    <w:p w14:paraId="74714276">
      <w:pPr>
        <w:widowControl/>
        <w:spacing w:line="480" w:lineRule="auto"/>
        <w:ind w:firstLine="525" w:firstLineChars="250"/>
        <w:jc w:val="both"/>
        <w:textAlignment w:val="auto"/>
        <w:rPr>
          <w:rFonts w:ascii="Arial" w:hAnsi="Arial"/>
          <w:color w:val="000000"/>
          <w:sz w:val="21"/>
          <w:szCs w:val="21"/>
        </w:rPr>
      </w:pPr>
      <w:r>
        <w:rPr>
          <w:rFonts w:ascii="Arial" w:hAnsi="Arial"/>
          <w:color w:val="000000"/>
          <w:sz w:val="21"/>
          <w:szCs w:val="21"/>
        </w:rPr>
        <w:t>2025年</w:t>
      </w:r>
      <w:r>
        <w:rPr>
          <w:rFonts w:hint="eastAsia" w:ascii="Arial" w:hAnsi="Arial"/>
          <w:color w:val="000000"/>
          <w:sz w:val="21"/>
          <w:szCs w:val="21"/>
        </w:rPr>
        <w:t>三季度</w:t>
      </w:r>
      <w:r>
        <w:rPr>
          <w:rFonts w:ascii="Arial" w:hAnsi="Arial"/>
          <w:color w:val="000000"/>
          <w:sz w:val="21"/>
          <w:szCs w:val="21"/>
        </w:rPr>
        <w:t>，北京市商品住宅用地中心城区朝阳、丰台累计成交</w:t>
      </w:r>
      <w:r>
        <w:rPr>
          <w:rFonts w:hint="eastAsia" w:ascii="Arial" w:hAnsi="Arial"/>
          <w:color w:val="000000"/>
          <w:sz w:val="21"/>
          <w:szCs w:val="21"/>
        </w:rPr>
        <w:t>3</w:t>
      </w:r>
      <w:r>
        <w:rPr>
          <w:rFonts w:ascii="Arial" w:hAnsi="Arial"/>
          <w:color w:val="000000"/>
          <w:sz w:val="21"/>
          <w:szCs w:val="21"/>
        </w:rPr>
        <w:t>宗宅地，累计成交规划建面</w:t>
      </w:r>
      <w:r>
        <w:rPr>
          <w:rFonts w:hint="eastAsia" w:ascii="Arial" w:hAnsi="Arial"/>
          <w:color w:val="000000"/>
          <w:sz w:val="21"/>
          <w:szCs w:val="21"/>
        </w:rPr>
        <w:t>11.61</w:t>
      </w:r>
      <w:r>
        <w:rPr>
          <w:rFonts w:ascii="Arial" w:hAnsi="Arial"/>
          <w:color w:val="000000"/>
          <w:sz w:val="21"/>
          <w:szCs w:val="21"/>
        </w:rPr>
        <w:t>万</w:t>
      </w:r>
      <w:r>
        <w:rPr>
          <w:rFonts w:hint="eastAsia" w:ascii="Arial" w:hAnsi="Arial"/>
          <w:color w:val="000000"/>
          <w:sz w:val="21"/>
          <w:szCs w:val="21"/>
        </w:rPr>
        <w:t>平方米</w:t>
      </w:r>
      <w:r>
        <w:rPr>
          <w:rFonts w:ascii="Arial" w:hAnsi="Arial"/>
          <w:color w:val="000000"/>
          <w:sz w:val="21"/>
          <w:szCs w:val="21"/>
        </w:rPr>
        <w:t>，占比</w:t>
      </w:r>
      <w:r>
        <w:rPr>
          <w:rFonts w:hint="eastAsia" w:ascii="Arial" w:hAnsi="Arial"/>
          <w:color w:val="000000"/>
          <w:sz w:val="21"/>
          <w:szCs w:val="21"/>
        </w:rPr>
        <w:t>36</w:t>
      </w:r>
      <w:r>
        <w:rPr>
          <w:rFonts w:ascii="Arial" w:hAnsi="Arial"/>
          <w:color w:val="000000"/>
          <w:sz w:val="21"/>
          <w:szCs w:val="21"/>
        </w:rPr>
        <w:t>%，较上年同期增长</w:t>
      </w:r>
      <w:r>
        <w:rPr>
          <w:rFonts w:hint="eastAsia" w:ascii="Arial" w:hAnsi="Arial"/>
          <w:color w:val="000000"/>
          <w:sz w:val="21"/>
          <w:szCs w:val="21"/>
        </w:rPr>
        <w:t>21</w:t>
      </w:r>
      <w:r>
        <w:rPr>
          <w:rFonts w:ascii="Arial" w:hAnsi="Arial"/>
          <w:color w:val="000000"/>
          <w:sz w:val="21"/>
          <w:szCs w:val="21"/>
        </w:rPr>
        <w:t>个百分点。近郊区主要集中在</w:t>
      </w:r>
      <w:r>
        <w:rPr>
          <w:rFonts w:hint="eastAsia" w:ascii="Arial" w:hAnsi="Arial"/>
          <w:color w:val="000000"/>
          <w:sz w:val="21"/>
          <w:szCs w:val="21"/>
        </w:rPr>
        <w:t>昌平、门头沟和</w:t>
      </w:r>
      <w:r>
        <w:rPr>
          <w:rFonts w:ascii="Arial" w:hAnsi="Arial"/>
          <w:color w:val="000000"/>
          <w:sz w:val="21"/>
          <w:szCs w:val="21"/>
        </w:rPr>
        <w:t>顺义，累计成交</w:t>
      </w:r>
      <w:r>
        <w:rPr>
          <w:rFonts w:hint="eastAsia" w:ascii="Arial" w:hAnsi="Arial"/>
          <w:color w:val="000000"/>
          <w:sz w:val="21"/>
          <w:szCs w:val="21"/>
        </w:rPr>
        <w:t>16.78</w:t>
      </w:r>
      <w:r>
        <w:rPr>
          <w:rFonts w:ascii="Arial" w:hAnsi="Arial"/>
          <w:color w:val="000000"/>
          <w:sz w:val="21"/>
          <w:szCs w:val="21"/>
        </w:rPr>
        <w:t>万</w:t>
      </w:r>
      <w:r>
        <w:rPr>
          <w:rFonts w:hint="eastAsia" w:ascii="Arial" w:hAnsi="Arial"/>
          <w:color w:val="000000"/>
          <w:sz w:val="21"/>
          <w:szCs w:val="21"/>
        </w:rPr>
        <w:t>平方米</w:t>
      </w:r>
      <w:r>
        <w:rPr>
          <w:rFonts w:ascii="Arial" w:hAnsi="Arial"/>
          <w:color w:val="000000"/>
          <w:sz w:val="21"/>
          <w:szCs w:val="21"/>
        </w:rPr>
        <w:t>，占比为</w:t>
      </w:r>
      <w:r>
        <w:rPr>
          <w:rFonts w:hint="eastAsia" w:ascii="Arial" w:hAnsi="Arial"/>
          <w:color w:val="000000"/>
          <w:sz w:val="21"/>
          <w:szCs w:val="21"/>
        </w:rPr>
        <w:t>52</w:t>
      </w:r>
      <w:r>
        <w:rPr>
          <w:rFonts w:ascii="Arial" w:hAnsi="Arial"/>
          <w:color w:val="000000"/>
          <w:sz w:val="21"/>
          <w:szCs w:val="21"/>
        </w:rPr>
        <w:t>%，较去年同期下降</w:t>
      </w:r>
      <w:r>
        <w:rPr>
          <w:rFonts w:hint="eastAsia" w:ascii="Arial" w:hAnsi="Arial"/>
          <w:color w:val="000000"/>
          <w:sz w:val="21"/>
          <w:szCs w:val="21"/>
        </w:rPr>
        <w:t>33</w:t>
      </w:r>
      <w:r>
        <w:rPr>
          <w:rFonts w:ascii="Arial" w:hAnsi="Arial"/>
          <w:color w:val="000000"/>
          <w:sz w:val="21"/>
          <w:szCs w:val="21"/>
        </w:rPr>
        <w:t>个百分点；</w:t>
      </w:r>
      <w:r>
        <w:rPr>
          <w:rFonts w:hint="eastAsia" w:ascii="Arial" w:hAnsi="Arial"/>
          <w:color w:val="000000"/>
          <w:sz w:val="21"/>
          <w:szCs w:val="21"/>
        </w:rPr>
        <w:t>延庆</w:t>
      </w:r>
      <w:r>
        <w:rPr>
          <w:rFonts w:ascii="Arial" w:hAnsi="Arial"/>
          <w:color w:val="000000"/>
          <w:sz w:val="21"/>
          <w:szCs w:val="21"/>
        </w:rPr>
        <w:t>区成交</w:t>
      </w:r>
      <w:r>
        <w:rPr>
          <w:rFonts w:hint="eastAsia" w:ascii="Arial" w:hAnsi="Arial"/>
          <w:color w:val="000000"/>
          <w:sz w:val="21"/>
          <w:szCs w:val="21"/>
        </w:rPr>
        <w:t>1宗宅地，占比11%。</w:t>
      </w:r>
    </w:p>
    <w:p w14:paraId="1BA418B4">
      <w:pPr>
        <w:overflowPunct w:val="0"/>
        <w:spacing w:line="360" w:lineRule="auto"/>
        <w:jc w:val="center"/>
        <w:textAlignment w:val="auto"/>
        <w:rPr>
          <w:rFonts w:ascii="Arial" w:hAnsi="Arial" w:eastAsia="仿宋_GB2312"/>
          <w:bCs/>
          <w:color w:val="000000"/>
          <w:sz w:val="28"/>
          <w:szCs w:val="28"/>
        </w:rPr>
      </w:pPr>
      <w:r>
        <w:drawing>
          <wp:inline distT="0" distB="0" distL="114300" distR="114300">
            <wp:extent cx="5906135" cy="2948940"/>
            <wp:effectExtent l="0" t="0" r="6985" b="7620"/>
            <wp:docPr id="2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
                    <pic:cNvPicPr>
                      <a:picLocks noChangeAspect="1"/>
                    </pic:cNvPicPr>
                  </pic:nvPicPr>
                  <pic:blipFill>
                    <a:blip r:embed="rId29"/>
                    <a:stretch>
                      <a:fillRect/>
                    </a:stretch>
                  </pic:blipFill>
                  <pic:spPr>
                    <a:xfrm>
                      <a:off x="0" y="0"/>
                      <a:ext cx="5906135" cy="2948940"/>
                    </a:xfrm>
                    <a:prstGeom prst="rect">
                      <a:avLst/>
                    </a:prstGeom>
                    <a:noFill/>
                    <a:ln>
                      <a:noFill/>
                    </a:ln>
                  </pic:spPr>
                </pic:pic>
              </a:graphicData>
            </a:graphic>
          </wp:inline>
        </w:drawing>
      </w:r>
    </w:p>
    <w:p w14:paraId="445E4A8F">
      <w:pPr>
        <w:widowControl/>
        <w:overflowPunct w:val="0"/>
        <w:spacing w:line="480" w:lineRule="auto"/>
        <w:ind w:firstLine="420" w:firstLineChars="200"/>
        <w:jc w:val="both"/>
        <w:textAlignment w:val="auto"/>
        <w:rPr>
          <w:rFonts w:ascii="Arial" w:hAnsi="Arial"/>
          <w:sz w:val="21"/>
          <w:szCs w:val="28"/>
        </w:rPr>
      </w:pPr>
      <w:r>
        <w:rPr>
          <w:rFonts w:hint="eastAsia" w:ascii="Arial" w:hAnsi="Arial"/>
          <w:color w:val="000000"/>
          <w:sz w:val="21"/>
          <w:szCs w:val="21"/>
        </w:rPr>
        <w:t>从不同区域来看，中心城区成交规模同比下降31%，其中东城、海淀无成交；近郊区成交规模同比下降82%，其中大兴、房山、通州均无住宅用地成交，顺义同比下降80%，门头沟和昌平同比分别下降52%和42%</w:t>
      </w:r>
      <w:r>
        <w:rPr>
          <w:rFonts w:hint="eastAsia" w:ascii="Arial" w:hAnsi="Arial"/>
          <w:sz w:val="21"/>
          <w:szCs w:val="28"/>
        </w:rPr>
        <w:t>。</w:t>
      </w:r>
    </w:p>
    <w:p w14:paraId="1A0CA786">
      <w:pPr>
        <w:widowControl/>
        <w:overflowPunct w:val="0"/>
        <w:spacing w:line="480" w:lineRule="auto"/>
        <w:jc w:val="center"/>
        <w:textAlignment w:val="auto"/>
      </w:pPr>
      <w:r>
        <w:drawing>
          <wp:inline distT="0" distB="0" distL="114300" distR="114300">
            <wp:extent cx="4266565" cy="3685540"/>
            <wp:effectExtent l="0" t="0" r="635" b="2540"/>
            <wp:docPr id="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pic:cNvPicPr>
                      <a:picLocks noChangeAspect="1"/>
                    </pic:cNvPicPr>
                  </pic:nvPicPr>
                  <pic:blipFill>
                    <a:blip r:embed="rId30"/>
                    <a:stretch>
                      <a:fillRect/>
                    </a:stretch>
                  </pic:blipFill>
                  <pic:spPr>
                    <a:xfrm>
                      <a:off x="0" y="0"/>
                      <a:ext cx="4266565" cy="3685540"/>
                    </a:xfrm>
                    <a:prstGeom prst="rect">
                      <a:avLst/>
                    </a:prstGeom>
                    <a:noFill/>
                    <a:ln>
                      <a:noFill/>
                    </a:ln>
                  </pic:spPr>
                </pic:pic>
              </a:graphicData>
            </a:graphic>
          </wp:inline>
        </w:drawing>
      </w:r>
    </w:p>
    <w:p w14:paraId="3D32460A">
      <w:pPr>
        <w:overflowPunct w:val="0"/>
        <w:spacing w:line="480" w:lineRule="auto"/>
        <w:ind w:firstLine="420" w:firstLineChars="200"/>
        <w:jc w:val="both"/>
        <w:textAlignment w:val="auto"/>
        <w:rPr>
          <w:rFonts w:ascii="Arial" w:hAnsi="Arial" w:cs="宋体"/>
          <w:sz w:val="21"/>
          <w:szCs w:val="21"/>
        </w:rPr>
      </w:pPr>
      <w:r>
        <w:rPr>
          <w:rFonts w:hint="eastAsia" w:ascii="Arial" w:hAnsi="Arial" w:cs="宋体"/>
          <w:sz w:val="21"/>
          <w:szCs w:val="21"/>
        </w:rPr>
        <w:t>（</w:t>
      </w:r>
      <w:r>
        <w:rPr>
          <w:rFonts w:hint="eastAsia" w:ascii="Arial" w:hAnsi="Arial"/>
          <w:sz w:val="21"/>
        </w:rPr>
        <w:t>3</w:t>
      </w:r>
      <w:r>
        <w:rPr>
          <w:rFonts w:hint="eastAsia" w:ascii="Arial" w:hAnsi="Arial" w:cs="宋体"/>
          <w:sz w:val="21"/>
          <w:szCs w:val="21"/>
        </w:rPr>
        <w:t>）土地成交价格</w:t>
      </w:r>
    </w:p>
    <w:p w14:paraId="405BE1AE">
      <w:pPr>
        <w:widowControl/>
        <w:overflowPunct w:val="0"/>
        <w:spacing w:line="480" w:lineRule="auto"/>
        <w:ind w:firstLine="420" w:firstLineChars="200"/>
        <w:jc w:val="both"/>
        <w:textAlignment w:val="auto"/>
        <w:rPr>
          <w:rFonts w:ascii="Arial" w:hAnsi="Arial"/>
          <w:color w:val="000000"/>
          <w:sz w:val="21"/>
          <w:szCs w:val="21"/>
        </w:rPr>
      </w:pPr>
      <w:r>
        <w:rPr>
          <w:rFonts w:ascii="Arial" w:hAnsi="Arial"/>
          <w:color w:val="000000"/>
          <w:sz w:val="21"/>
          <w:szCs w:val="21"/>
        </w:rPr>
        <w:t>2025年</w:t>
      </w:r>
      <w:r>
        <w:rPr>
          <w:rFonts w:hint="eastAsia" w:ascii="Arial" w:hAnsi="Arial"/>
          <w:color w:val="000000"/>
          <w:sz w:val="21"/>
          <w:szCs w:val="21"/>
        </w:rPr>
        <w:t>三季度</w:t>
      </w:r>
      <w:r>
        <w:rPr>
          <w:rFonts w:ascii="Arial" w:hAnsi="Arial"/>
          <w:color w:val="000000"/>
          <w:sz w:val="21"/>
          <w:szCs w:val="21"/>
        </w:rPr>
        <w:t>，在</w:t>
      </w:r>
      <w:r>
        <w:rPr>
          <w:rFonts w:hint="eastAsia" w:ascii="Arial" w:hAnsi="Arial"/>
          <w:color w:val="000000"/>
          <w:sz w:val="21"/>
          <w:szCs w:val="21"/>
        </w:rPr>
        <w:t>朝阳太阳宫、呼家楼以及丰台岳各庄</w:t>
      </w:r>
      <w:r>
        <w:rPr>
          <w:rFonts w:ascii="Arial" w:hAnsi="Arial"/>
          <w:color w:val="000000"/>
          <w:sz w:val="21"/>
          <w:szCs w:val="21"/>
        </w:rPr>
        <w:t>地块带动下，北京宅地整体成交楼面均价</w:t>
      </w:r>
      <w:r>
        <w:rPr>
          <w:rFonts w:hint="eastAsia" w:ascii="Arial" w:hAnsi="Arial"/>
          <w:color w:val="000000"/>
          <w:sz w:val="21"/>
          <w:szCs w:val="21"/>
        </w:rPr>
        <w:t>36161</w:t>
      </w:r>
      <w:r>
        <w:rPr>
          <w:rFonts w:ascii="Arial" w:hAnsi="Arial"/>
          <w:color w:val="000000"/>
          <w:sz w:val="21"/>
          <w:szCs w:val="21"/>
        </w:rPr>
        <w:t>元/</w:t>
      </w:r>
      <w:r>
        <w:rPr>
          <w:rFonts w:hint="eastAsia" w:ascii="Arial" w:hAnsi="Arial"/>
          <w:color w:val="000000"/>
          <w:sz w:val="21"/>
          <w:szCs w:val="21"/>
        </w:rPr>
        <w:t>平方米</w:t>
      </w:r>
      <w:r>
        <w:rPr>
          <w:rFonts w:ascii="Arial" w:hAnsi="Arial"/>
          <w:color w:val="000000"/>
          <w:sz w:val="21"/>
          <w:szCs w:val="21"/>
        </w:rPr>
        <w:t>，同比增长</w:t>
      </w:r>
      <w:r>
        <w:rPr>
          <w:rFonts w:hint="eastAsia" w:ascii="Arial" w:hAnsi="Arial"/>
          <w:color w:val="000000"/>
          <w:sz w:val="21"/>
          <w:szCs w:val="21"/>
        </w:rPr>
        <w:t>41.4</w:t>
      </w:r>
      <w:r>
        <w:rPr>
          <w:rFonts w:ascii="Arial" w:hAnsi="Arial"/>
          <w:color w:val="000000"/>
          <w:sz w:val="21"/>
          <w:szCs w:val="21"/>
        </w:rPr>
        <w:t>%。溢价率方面，受</w:t>
      </w:r>
      <w:r>
        <w:rPr>
          <w:rFonts w:hint="eastAsia" w:ascii="Arial" w:hAnsi="Arial"/>
          <w:color w:val="000000"/>
          <w:sz w:val="21"/>
          <w:szCs w:val="21"/>
        </w:rPr>
        <w:t>朝阳太阳宫</w:t>
      </w:r>
      <w:r>
        <w:rPr>
          <w:rFonts w:ascii="Arial" w:hAnsi="Arial"/>
          <w:color w:val="000000"/>
          <w:sz w:val="21"/>
          <w:szCs w:val="21"/>
        </w:rPr>
        <w:t>高溢价地块的带动下，</w:t>
      </w:r>
      <w:r>
        <w:rPr>
          <w:rFonts w:hint="eastAsia" w:ascii="Arial" w:hAnsi="Arial"/>
          <w:color w:val="000000"/>
          <w:sz w:val="21"/>
          <w:szCs w:val="21"/>
        </w:rPr>
        <w:t>三季度</w:t>
      </w:r>
      <w:r>
        <w:rPr>
          <w:rFonts w:ascii="Arial" w:hAnsi="Arial"/>
          <w:color w:val="000000"/>
          <w:sz w:val="21"/>
          <w:szCs w:val="21"/>
        </w:rPr>
        <w:t>北京宅地成交溢价率</w:t>
      </w:r>
      <w:r>
        <w:rPr>
          <w:rFonts w:hint="eastAsia" w:ascii="Arial" w:hAnsi="Arial"/>
          <w:color w:val="000000"/>
          <w:sz w:val="21"/>
          <w:szCs w:val="21"/>
        </w:rPr>
        <w:t>11.7</w:t>
      </w:r>
      <w:r>
        <w:rPr>
          <w:rFonts w:ascii="Arial" w:hAnsi="Arial"/>
          <w:color w:val="000000"/>
          <w:sz w:val="21"/>
          <w:szCs w:val="21"/>
        </w:rPr>
        <w:t>%，同比提升</w:t>
      </w:r>
      <w:r>
        <w:rPr>
          <w:rFonts w:hint="eastAsia" w:ascii="Arial" w:hAnsi="Arial"/>
          <w:color w:val="000000"/>
          <w:sz w:val="21"/>
          <w:szCs w:val="21"/>
        </w:rPr>
        <w:t>10.4</w:t>
      </w:r>
      <w:r>
        <w:rPr>
          <w:rFonts w:ascii="Arial" w:hAnsi="Arial"/>
          <w:color w:val="000000"/>
          <w:sz w:val="21"/>
          <w:szCs w:val="21"/>
        </w:rPr>
        <w:t>个百分点。整体来看</w:t>
      </w:r>
      <w:r>
        <w:rPr>
          <w:rFonts w:hint="eastAsia" w:ascii="Arial" w:hAnsi="Arial"/>
          <w:color w:val="000000"/>
          <w:sz w:val="21"/>
          <w:szCs w:val="21"/>
        </w:rPr>
        <w:t>，三季度北京宅地市场热度较低，仅太阳宫地块热度较高，经过超330轮现场举牌竞价成交，溢价率39.18%</w:t>
      </w:r>
      <w:r>
        <w:rPr>
          <w:rFonts w:ascii="Arial" w:hAnsi="Arial"/>
          <w:color w:val="000000"/>
          <w:sz w:val="21"/>
          <w:szCs w:val="21"/>
        </w:rPr>
        <w:t>，</w:t>
      </w:r>
      <w:r>
        <w:rPr>
          <w:rFonts w:hint="eastAsia" w:ascii="Arial" w:hAnsi="Arial"/>
          <w:color w:val="000000"/>
          <w:sz w:val="21"/>
          <w:szCs w:val="21"/>
        </w:rPr>
        <w:t>而其余6</w:t>
      </w:r>
      <w:r>
        <w:rPr>
          <w:rFonts w:ascii="Arial" w:hAnsi="Arial"/>
          <w:color w:val="000000"/>
          <w:sz w:val="21"/>
          <w:szCs w:val="21"/>
        </w:rPr>
        <w:t>宗地块</w:t>
      </w:r>
      <w:r>
        <w:rPr>
          <w:rFonts w:hint="eastAsia" w:ascii="Arial" w:hAnsi="Arial"/>
          <w:color w:val="000000"/>
          <w:sz w:val="21"/>
          <w:szCs w:val="21"/>
        </w:rPr>
        <w:t>均</w:t>
      </w:r>
      <w:r>
        <w:rPr>
          <w:rFonts w:ascii="Arial" w:hAnsi="Arial"/>
          <w:color w:val="000000"/>
          <w:sz w:val="21"/>
          <w:szCs w:val="21"/>
        </w:rPr>
        <w:t>以底价成交。</w:t>
      </w:r>
    </w:p>
    <w:p w14:paraId="74772752">
      <w:pPr>
        <w:spacing w:line="480" w:lineRule="auto"/>
        <w:jc w:val="center"/>
        <w:rPr>
          <w:rFonts w:ascii="Arial" w:hAnsi="Arial" w:cs="Arial"/>
          <w:sz w:val="21"/>
          <w:szCs w:val="21"/>
        </w:rPr>
      </w:pPr>
      <w:r>
        <w:drawing>
          <wp:inline distT="0" distB="0" distL="114300" distR="114300">
            <wp:extent cx="5907405" cy="3313430"/>
            <wp:effectExtent l="0" t="0" r="5715" b="8890"/>
            <wp:docPr id="1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
                    <pic:cNvPicPr>
                      <a:picLocks noChangeAspect="1"/>
                    </pic:cNvPicPr>
                  </pic:nvPicPr>
                  <pic:blipFill>
                    <a:blip r:embed="rId31"/>
                    <a:stretch>
                      <a:fillRect/>
                    </a:stretch>
                  </pic:blipFill>
                  <pic:spPr>
                    <a:xfrm>
                      <a:off x="0" y="0"/>
                      <a:ext cx="5907405" cy="3313430"/>
                    </a:xfrm>
                    <a:prstGeom prst="rect">
                      <a:avLst/>
                    </a:prstGeom>
                    <a:noFill/>
                    <a:ln>
                      <a:noFill/>
                    </a:ln>
                  </pic:spPr>
                </pic:pic>
              </a:graphicData>
            </a:graphic>
          </wp:inline>
        </w:drawing>
      </w:r>
    </w:p>
    <w:p w14:paraId="0A5931B5">
      <w:pPr>
        <w:overflowPunct w:val="0"/>
        <w:spacing w:line="480" w:lineRule="auto"/>
        <w:ind w:firstLine="420" w:firstLineChars="200"/>
        <w:jc w:val="both"/>
        <w:textAlignment w:val="auto"/>
        <w:rPr>
          <w:rFonts w:ascii="Arial" w:hAnsi="Arial"/>
          <w:sz w:val="21"/>
          <w:szCs w:val="28"/>
        </w:rPr>
      </w:pPr>
      <w:r>
        <w:rPr>
          <w:rFonts w:hint="eastAsia" w:ascii="Arial" w:hAnsi="Arial"/>
          <w:sz w:val="21"/>
          <w:szCs w:val="28"/>
        </w:rPr>
        <w:t>3.商品房住宅市场</w:t>
      </w:r>
    </w:p>
    <w:p w14:paraId="6E2D6E5D">
      <w:pPr>
        <w:overflowPunct w:val="0"/>
        <w:spacing w:line="480" w:lineRule="auto"/>
        <w:ind w:firstLine="420" w:firstLineChars="200"/>
        <w:jc w:val="both"/>
        <w:textAlignment w:val="auto"/>
        <w:rPr>
          <w:rFonts w:ascii="Arial" w:hAnsi="Arial"/>
          <w:sz w:val="21"/>
          <w:szCs w:val="28"/>
        </w:rPr>
      </w:pPr>
      <w:r>
        <w:rPr>
          <w:rFonts w:hint="eastAsia" w:ascii="Arial" w:hAnsi="Arial"/>
          <w:sz w:val="21"/>
          <w:szCs w:val="28"/>
        </w:rPr>
        <w:t>（1）商品住宅供给状况</w:t>
      </w:r>
    </w:p>
    <w:p w14:paraId="143EA558">
      <w:pPr>
        <w:spacing w:line="360" w:lineRule="auto"/>
        <w:ind w:firstLine="420" w:firstLineChars="200"/>
        <w:jc w:val="both"/>
        <w:outlineLvl w:val="0"/>
        <w:rPr>
          <w:rFonts w:ascii="Arial" w:hAnsi="Arial"/>
          <w:sz w:val="21"/>
          <w:szCs w:val="28"/>
        </w:rPr>
      </w:pPr>
      <w:r>
        <w:rPr>
          <w:rFonts w:ascii="Arial" w:hAnsi="Arial"/>
          <w:color w:val="000000"/>
          <w:sz w:val="21"/>
          <w:szCs w:val="21"/>
        </w:rPr>
        <w:t>2025年</w:t>
      </w:r>
      <w:r>
        <w:rPr>
          <w:rFonts w:hint="eastAsia" w:ascii="Arial" w:hAnsi="Arial"/>
          <w:color w:val="000000"/>
          <w:sz w:val="21"/>
          <w:szCs w:val="21"/>
        </w:rPr>
        <w:t>三季度，</w:t>
      </w:r>
      <w:r>
        <w:rPr>
          <w:rFonts w:ascii="Arial" w:hAnsi="Arial"/>
          <w:color w:val="000000"/>
          <w:sz w:val="21"/>
          <w:szCs w:val="21"/>
        </w:rPr>
        <w:t>北京商品住宅（不含保障</w:t>
      </w:r>
      <w:r>
        <w:rPr>
          <w:rFonts w:hint="eastAsia" w:ascii="Arial" w:hAnsi="Arial"/>
          <w:color w:val="000000"/>
          <w:sz w:val="21"/>
          <w:szCs w:val="21"/>
        </w:rPr>
        <w:t>性住</w:t>
      </w:r>
      <w:r>
        <w:rPr>
          <w:rFonts w:ascii="Arial" w:hAnsi="Arial"/>
          <w:color w:val="000000"/>
          <w:sz w:val="21"/>
          <w:szCs w:val="21"/>
        </w:rPr>
        <w:t>房）累计供应</w:t>
      </w:r>
      <w:r>
        <w:rPr>
          <w:rFonts w:hint="eastAsia" w:ascii="Arial" w:hAnsi="Arial"/>
          <w:color w:val="000000"/>
          <w:sz w:val="21"/>
          <w:szCs w:val="21"/>
        </w:rPr>
        <w:t>100</w:t>
      </w:r>
      <w:r>
        <w:rPr>
          <w:rFonts w:ascii="Arial" w:hAnsi="Arial"/>
          <w:color w:val="000000"/>
          <w:sz w:val="21"/>
          <w:szCs w:val="21"/>
        </w:rPr>
        <w:t>万</w:t>
      </w:r>
      <w:r>
        <w:rPr>
          <w:rFonts w:hint="eastAsia" w:ascii="Arial" w:hAnsi="Arial"/>
          <w:color w:val="000000"/>
          <w:sz w:val="21"/>
          <w:szCs w:val="21"/>
        </w:rPr>
        <w:t>平方米</w:t>
      </w:r>
      <w:r>
        <w:rPr>
          <w:rFonts w:ascii="Arial" w:hAnsi="Arial"/>
          <w:color w:val="000000"/>
          <w:sz w:val="21"/>
          <w:szCs w:val="21"/>
        </w:rPr>
        <w:t>，</w:t>
      </w:r>
      <w:r>
        <w:rPr>
          <w:rFonts w:hint="eastAsia" w:ascii="Arial" w:hAnsi="Arial"/>
          <w:color w:val="000000"/>
          <w:sz w:val="21"/>
          <w:szCs w:val="21"/>
        </w:rPr>
        <w:t>月均供应量居近几年同期低位</w:t>
      </w:r>
      <w:r>
        <w:rPr>
          <w:rFonts w:ascii="Arial" w:hAnsi="Arial"/>
          <w:color w:val="000000"/>
          <w:sz w:val="21"/>
          <w:szCs w:val="21"/>
        </w:rPr>
        <w:t>。</w:t>
      </w:r>
      <w:r>
        <w:rPr>
          <w:rFonts w:hint="eastAsia" w:ascii="Arial" w:hAnsi="Arial"/>
          <w:color w:val="000000"/>
          <w:sz w:val="21"/>
          <w:szCs w:val="21"/>
        </w:rPr>
        <w:t>整体来看，伴随着存量库存的去化，房企入市积极性有所增强，但整体供应量较去年同期仍略有不足。具体来看，7月，受季节性因素的影响，房企入市积极性明显下滑，新增供应规模月18.93万平方米，环比减少51%；8月新增供应规模约18.52万平方米，环比减少2%；9月，随着“金九银十”行业传统旺季的来临，房企供应节奏有所加快，在中建·运河玖院、首钢璟悦长安、中海瑞文里、建发金茂观宸等项目积极入市带动下，新房供应量环比涨幅达239%，累计来看，三季度北京商品住宅市场累计供应规模约为100.28万平方米，同比减少约38%，环比减少9%</w:t>
      </w:r>
      <w:r>
        <w:rPr>
          <w:rFonts w:ascii="Arial" w:hAnsi="Arial"/>
          <w:sz w:val="21"/>
          <w:szCs w:val="28"/>
        </w:rPr>
        <w:t>。</w:t>
      </w:r>
    </w:p>
    <w:p w14:paraId="462F4A32">
      <w:pPr>
        <w:overflowPunct w:val="0"/>
        <w:spacing w:line="480" w:lineRule="auto"/>
        <w:jc w:val="both"/>
        <w:textAlignment w:val="auto"/>
        <w:rPr>
          <w:rFonts w:ascii="Arial" w:hAnsi="Arial"/>
          <w:sz w:val="21"/>
          <w:szCs w:val="28"/>
        </w:rPr>
      </w:pPr>
      <w:r>
        <w:drawing>
          <wp:inline distT="0" distB="0" distL="114300" distR="114300">
            <wp:extent cx="5800090" cy="3390265"/>
            <wp:effectExtent l="0" t="0" r="6350" b="8255"/>
            <wp:docPr id="1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
                    <pic:cNvPicPr>
                      <a:picLocks noChangeAspect="1"/>
                    </pic:cNvPicPr>
                  </pic:nvPicPr>
                  <pic:blipFill>
                    <a:blip r:embed="rId32"/>
                    <a:stretch>
                      <a:fillRect/>
                    </a:stretch>
                  </pic:blipFill>
                  <pic:spPr>
                    <a:xfrm>
                      <a:off x="0" y="0"/>
                      <a:ext cx="5800090" cy="3390265"/>
                    </a:xfrm>
                    <a:prstGeom prst="rect">
                      <a:avLst/>
                    </a:prstGeom>
                    <a:noFill/>
                    <a:ln>
                      <a:noFill/>
                    </a:ln>
                  </pic:spPr>
                </pic:pic>
              </a:graphicData>
            </a:graphic>
          </wp:inline>
        </w:drawing>
      </w:r>
    </w:p>
    <w:p w14:paraId="1135DE0F">
      <w:pPr>
        <w:spacing w:line="360" w:lineRule="auto"/>
        <w:ind w:firstLine="420" w:firstLineChars="200"/>
        <w:jc w:val="both"/>
        <w:outlineLvl w:val="0"/>
        <w:rPr>
          <w:rFonts w:ascii="Arial" w:hAnsi="Arial"/>
          <w:color w:val="000000"/>
          <w:sz w:val="21"/>
          <w:szCs w:val="21"/>
        </w:rPr>
      </w:pPr>
      <w:r>
        <w:rPr>
          <w:rFonts w:ascii="Arial" w:hAnsi="Arial"/>
          <w:color w:val="000000"/>
          <w:sz w:val="21"/>
          <w:szCs w:val="21"/>
        </w:rPr>
        <w:t>2025年三季度北京商品住宅（不含保障房）库存规模同比增加，但仍居近年同期低位。截至</w:t>
      </w:r>
      <w:r>
        <w:rPr>
          <w:rFonts w:hint="eastAsia" w:ascii="Arial" w:hAnsi="Arial"/>
          <w:color w:val="000000"/>
          <w:sz w:val="21"/>
          <w:szCs w:val="21"/>
        </w:rPr>
        <w:t>9</w:t>
      </w:r>
      <w:r>
        <w:rPr>
          <w:rFonts w:ascii="Arial" w:hAnsi="Arial"/>
          <w:color w:val="000000"/>
          <w:sz w:val="21"/>
          <w:szCs w:val="21"/>
        </w:rPr>
        <w:t>月底，北京商品住宅（不含保障房）库存量约为988.72万平方米，较去年同期增加2%；月度来看，近期北京商品住宅市场库存规模整体呈现出小幅回升的趋势，本月市场供求规模基本均衡，库存规模维持平稳。去年930新政后，市场平均</w:t>
      </w:r>
      <w:r>
        <w:rPr>
          <w:rFonts w:hint="eastAsia" w:ascii="Arial" w:hAnsi="Arial"/>
          <w:color w:val="000000"/>
          <w:sz w:val="21"/>
          <w:szCs w:val="21"/>
        </w:rPr>
        <w:t>去化速度明显加快，叠加库存规模的逐步回落，出清周期呈现出明显的下滑趋势；进入2025年，伴随着需求的逐步释放，市场去化速度放缓，出清周期再次波动回升，截</w:t>
      </w:r>
      <w:r>
        <w:rPr>
          <w:rFonts w:ascii="Arial" w:hAnsi="Arial"/>
          <w:color w:val="000000"/>
          <w:sz w:val="21"/>
          <w:szCs w:val="21"/>
        </w:rPr>
        <w:t>止到9月去化周期回升至23.0个月。</w:t>
      </w:r>
    </w:p>
    <w:p w14:paraId="7CDF2912">
      <w:pPr>
        <w:overflowPunct w:val="0"/>
        <w:spacing w:line="480" w:lineRule="auto"/>
        <w:jc w:val="center"/>
        <w:textAlignment w:val="auto"/>
        <w:rPr>
          <w:rFonts w:ascii="Arial" w:hAnsi="Arial"/>
          <w:sz w:val="21"/>
        </w:rPr>
      </w:pPr>
      <w:r>
        <w:drawing>
          <wp:inline distT="0" distB="0" distL="114300" distR="114300">
            <wp:extent cx="5904865" cy="1840865"/>
            <wp:effectExtent l="0" t="0" r="8255" b="3175"/>
            <wp:docPr id="2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7"/>
                    <pic:cNvPicPr>
                      <a:picLocks noChangeAspect="1"/>
                    </pic:cNvPicPr>
                  </pic:nvPicPr>
                  <pic:blipFill>
                    <a:blip r:embed="rId33"/>
                    <a:stretch>
                      <a:fillRect/>
                    </a:stretch>
                  </pic:blipFill>
                  <pic:spPr>
                    <a:xfrm>
                      <a:off x="0" y="0"/>
                      <a:ext cx="5904865" cy="1840865"/>
                    </a:xfrm>
                    <a:prstGeom prst="rect">
                      <a:avLst/>
                    </a:prstGeom>
                    <a:noFill/>
                    <a:ln>
                      <a:noFill/>
                    </a:ln>
                  </pic:spPr>
                </pic:pic>
              </a:graphicData>
            </a:graphic>
          </wp:inline>
        </w:drawing>
      </w:r>
    </w:p>
    <w:p w14:paraId="57BB65A8">
      <w:pPr>
        <w:overflowPunct w:val="0"/>
        <w:spacing w:line="480" w:lineRule="auto"/>
        <w:ind w:firstLine="420" w:firstLineChars="200"/>
        <w:jc w:val="both"/>
        <w:textAlignment w:val="auto"/>
        <w:rPr>
          <w:rFonts w:ascii="Arial" w:hAnsi="Arial"/>
          <w:bCs/>
          <w:sz w:val="21"/>
          <w:szCs w:val="28"/>
        </w:rPr>
      </w:pPr>
      <w:r>
        <w:rPr>
          <w:rFonts w:hint="eastAsia" w:ascii="Arial" w:hAnsi="Arial"/>
          <w:sz w:val="21"/>
          <w:szCs w:val="28"/>
        </w:rPr>
        <w:t>（2）商品</w:t>
      </w:r>
      <w:r>
        <w:rPr>
          <w:rFonts w:hint="eastAsia" w:ascii="Arial" w:hAnsi="Arial"/>
          <w:bCs/>
          <w:sz w:val="21"/>
          <w:szCs w:val="28"/>
        </w:rPr>
        <w:t>住宅成交情况</w:t>
      </w:r>
    </w:p>
    <w:p w14:paraId="1B94633B">
      <w:pPr>
        <w:tabs>
          <w:tab w:val="left" w:pos="426"/>
        </w:tabs>
        <w:overflowPunct w:val="0"/>
        <w:spacing w:line="480" w:lineRule="auto"/>
        <w:ind w:firstLine="420" w:firstLineChars="200"/>
        <w:jc w:val="both"/>
        <w:textAlignment w:val="auto"/>
        <w:rPr>
          <w:rFonts w:ascii="Arial" w:hAnsi="Arial"/>
          <w:sz w:val="21"/>
        </w:rPr>
      </w:pPr>
      <w:r>
        <w:rPr>
          <w:rFonts w:hint="eastAsia" w:ascii="Arial" w:hAnsi="Arial"/>
          <w:sz w:val="21"/>
        </w:rPr>
        <w:t>1）成交量</w:t>
      </w:r>
    </w:p>
    <w:p w14:paraId="05437728">
      <w:pPr>
        <w:spacing w:line="360" w:lineRule="auto"/>
        <w:ind w:firstLine="420" w:firstLineChars="200"/>
        <w:jc w:val="both"/>
        <w:outlineLvl w:val="0"/>
        <w:rPr>
          <w:rFonts w:ascii="Arial" w:hAnsi="Arial"/>
          <w:sz w:val="21"/>
          <w:szCs w:val="28"/>
        </w:rPr>
      </w:pPr>
      <w:r>
        <w:rPr>
          <w:rFonts w:ascii="Arial" w:hAnsi="Arial"/>
          <w:color w:val="000000"/>
          <w:sz w:val="21"/>
          <w:szCs w:val="21"/>
        </w:rPr>
        <w:t>2025年三季度北京市场活跃度下滑，成交规模同环比均有所减少。2025年1-9月北京新房市场累计成交规模为338.49万</w:t>
      </w:r>
      <w:r>
        <w:rPr>
          <w:rFonts w:hint="eastAsia" w:ascii="Arial" w:hAnsi="Arial"/>
          <w:color w:val="000000"/>
          <w:sz w:val="21"/>
          <w:szCs w:val="21"/>
        </w:rPr>
        <w:t>平方米</w:t>
      </w:r>
      <w:r>
        <w:rPr>
          <w:rFonts w:ascii="Arial" w:hAnsi="Arial"/>
          <w:color w:val="000000"/>
          <w:sz w:val="21"/>
          <w:szCs w:val="21"/>
        </w:rPr>
        <w:t>，同比增加12%。其中，三季度来看，北京新房市场活跃度同环比均有所回落，市场活跃度有所下滑，商品住宅累计成交规模约为105.73万</w:t>
      </w:r>
      <w:r>
        <w:rPr>
          <w:rFonts w:hint="eastAsia" w:ascii="Arial" w:hAnsi="Arial"/>
          <w:color w:val="000000"/>
          <w:sz w:val="21"/>
          <w:szCs w:val="21"/>
        </w:rPr>
        <w:t>平方米</w:t>
      </w:r>
      <w:r>
        <w:rPr>
          <w:rFonts w:ascii="Arial" w:hAnsi="Arial"/>
          <w:color w:val="000000"/>
          <w:sz w:val="21"/>
          <w:szCs w:val="21"/>
        </w:rPr>
        <w:t>，同比减少0.1%，环比减少17%。分月度来看，7月，受季节性因素的影响，成交规模环比明显下滑。8月8日，北京五环外解除限购同时优化公积金贷款政策，为楼市铺上了防滑垫，当月新房成交量环比略有增长，但鉴于政策力 度较为温和，且2024年多轮政策优化后需求已有释放，本次新政的边际效果较为有限。9月，随着“金九银十”行业旺季的到来，房企入市意愿增强，供应量环比大增，带动成交规模环比上行</w:t>
      </w:r>
      <w:r>
        <w:rPr>
          <w:rFonts w:hint="eastAsia" w:ascii="Arial" w:hAnsi="Arial"/>
          <w:sz w:val="21"/>
          <w:szCs w:val="28"/>
        </w:rPr>
        <w:t>。</w:t>
      </w:r>
    </w:p>
    <w:p w14:paraId="53B24542">
      <w:pPr>
        <w:overflowPunct w:val="0"/>
        <w:spacing w:line="480" w:lineRule="auto"/>
        <w:jc w:val="both"/>
        <w:textAlignment w:val="auto"/>
        <w:rPr>
          <w:rFonts w:ascii="Arial" w:hAnsi="Arial"/>
          <w:sz w:val="21"/>
        </w:rPr>
      </w:pPr>
      <w:r>
        <w:drawing>
          <wp:inline distT="0" distB="0" distL="114300" distR="114300">
            <wp:extent cx="5904865" cy="1668145"/>
            <wp:effectExtent l="0" t="0" r="8255" b="8255"/>
            <wp:docPr id="3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8"/>
                    <pic:cNvPicPr>
                      <a:picLocks noChangeAspect="1"/>
                    </pic:cNvPicPr>
                  </pic:nvPicPr>
                  <pic:blipFill>
                    <a:blip r:embed="rId34"/>
                    <a:stretch>
                      <a:fillRect/>
                    </a:stretch>
                  </pic:blipFill>
                  <pic:spPr>
                    <a:xfrm>
                      <a:off x="0" y="0"/>
                      <a:ext cx="5904865" cy="1668145"/>
                    </a:xfrm>
                    <a:prstGeom prst="rect">
                      <a:avLst/>
                    </a:prstGeom>
                    <a:noFill/>
                    <a:ln>
                      <a:noFill/>
                    </a:ln>
                  </pic:spPr>
                </pic:pic>
              </a:graphicData>
            </a:graphic>
          </wp:inline>
        </w:drawing>
      </w:r>
    </w:p>
    <w:p w14:paraId="5A47C94E">
      <w:pPr>
        <w:overflowPunct w:val="0"/>
        <w:spacing w:line="480" w:lineRule="auto"/>
        <w:ind w:firstLine="420" w:firstLineChars="200"/>
        <w:textAlignment w:val="auto"/>
        <w:rPr>
          <w:rFonts w:ascii="Arial" w:hAnsi="Arial"/>
          <w:sz w:val="21"/>
        </w:rPr>
      </w:pPr>
      <w:r>
        <w:rPr>
          <w:rFonts w:hint="eastAsia" w:ascii="Arial" w:hAnsi="Arial"/>
          <w:sz w:val="21"/>
        </w:rPr>
        <w:t>2）成交价格</w:t>
      </w:r>
    </w:p>
    <w:p w14:paraId="189B5B16">
      <w:pPr>
        <w:overflowPunct w:val="0"/>
        <w:spacing w:line="480" w:lineRule="auto"/>
        <w:ind w:firstLine="420" w:firstLineChars="200"/>
        <w:textAlignment w:val="auto"/>
        <w:rPr>
          <w:rFonts w:ascii="Arial" w:hAnsi="Arial"/>
          <w:sz w:val="21"/>
          <w:szCs w:val="28"/>
        </w:rPr>
      </w:pPr>
      <w:r>
        <w:rPr>
          <w:rFonts w:hint="eastAsia" w:ascii="Arial" w:hAnsi="Arial"/>
          <w:sz w:val="21"/>
          <w:szCs w:val="28"/>
        </w:rPr>
        <w:t>A.成交价格</w:t>
      </w:r>
    </w:p>
    <w:p w14:paraId="60538D90">
      <w:pPr>
        <w:spacing w:line="360" w:lineRule="auto"/>
        <w:ind w:firstLine="420" w:firstLineChars="200"/>
        <w:jc w:val="both"/>
        <w:outlineLvl w:val="0"/>
        <w:rPr>
          <w:rFonts w:ascii="Arial" w:hAnsi="Arial"/>
          <w:sz w:val="21"/>
          <w:szCs w:val="28"/>
        </w:rPr>
      </w:pPr>
      <w:r>
        <w:rPr>
          <w:rFonts w:ascii="Arial" w:hAnsi="Arial"/>
          <w:color w:val="000000"/>
          <w:sz w:val="21"/>
          <w:szCs w:val="21"/>
        </w:rPr>
        <w:t>受结构性因素的影响，三季度北京商品住宅成交均价创同期新高，累计涨幅底部回升。在房地产市场持续深度调整背景下，房企拿地策略转向理性谨慎，为激活市场活力，主城核心区域密集推出多宗配套成熟、开发潜力突出的优质地块。这些地块的入市直接带动中高端改善型产品供应量显著提升，叠加核心区资源稀缺性及改善需求崛起，推动北京楼市成交均价呈现结构性上涨趋势。2025年三季度，中建·运河玖院、华润臻云、建发·海晏、中海萬吉玖序、融创壹号院等项目热销，带动新房成交均价结构性上涨，商品住宅价格指数为46511元/平方米，同比上涨2.4%，同比涨幅居历史同期高位；累计来看，三季度商品住房价格累计上涨0.14%，较去年同期有所改善</w:t>
      </w:r>
      <w:r>
        <w:rPr>
          <w:rFonts w:ascii="Arial" w:hAnsi="Arial"/>
          <w:sz w:val="21"/>
          <w:szCs w:val="28"/>
        </w:rPr>
        <w:t>。</w:t>
      </w:r>
    </w:p>
    <w:p w14:paraId="4330F460">
      <w:pPr>
        <w:tabs>
          <w:tab w:val="left" w:pos="426"/>
        </w:tabs>
        <w:overflowPunct w:val="0"/>
        <w:spacing w:line="480" w:lineRule="auto"/>
        <w:jc w:val="center"/>
        <w:textAlignment w:val="auto"/>
        <w:rPr>
          <w:rFonts w:ascii="Arial" w:hAnsi="Arial"/>
          <w:sz w:val="21"/>
          <w:szCs w:val="28"/>
        </w:rPr>
      </w:pPr>
      <w:r>
        <w:drawing>
          <wp:inline distT="0" distB="0" distL="114300" distR="114300">
            <wp:extent cx="5904865" cy="1835785"/>
            <wp:effectExtent l="0" t="0" r="8255" b="8255"/>
            <wp:docPr id="3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9"/>
                    <pic:cNvPicPr>
                      <a:picLocks noChangeAspect="1"/>
                    </pic:cNvPicPr>
                  </pic:nvPicPr>
                  <pic:blipFill>
                    <a:blip r:embed="rId35"/>
                    <a:stretch>
                      <a:fillRect/>
                    </a:stretch>
                  </pic:blipFill>
                  <pic:spPr>
                    <a:xfrm>
                      <a:off x="0" y="0"/>
                      <a:ext cx="5904865" cy="1835785"/>
                    </a:xfrm>
                    <a:prstGeom prst="rect">
                      <a:avLst/>
                    </a:prstGeom>
                    <a:noFill/>
                    <a:ln>
                      <a:noFill/>
                    </a:ln>
                  </pic:spPr>
                </pic:pic>
              </a:graphicData>
            </a:graphic>
          </wp:inline>
        </w:drawing>
      </w:r>
    </w:p>
    <w:p w14:paraId="5F28C0EA">
      <w:pPr>
        <w:overflowPunct w:val="0"/>
        <w:spacing w:line="480" w:lineRule="auto"/>
        <w:ind w:firstLine="420" w:firstLineChars="200"/>
        <w:textAlignment w:val="auto"/>
        <w:rPr>
          <w:rFonts w:ascii="Arial" w:hAnsi="Arial"/>
          <w:sz w:val="21"/>
          <w:szCs w:val="28"/>
        </w:rPr>
      </w:pPr>
      <w:r>
        <w:rPr>
          <w:rFonts w:hint="eastAsia" w:ascii="Arial" w:hAnsi="Arial"/>
          <w:sz w:val="21"/>
          <w:szCs w:val="28"/>
        </w:rPr>
        <w:t>B.</w:t>
      </w:r>
      <w:r>
        <w:rPr>
          <w:rFonts w:hint="eastAsia"/>
        </w:rPr>
        <w:t xml:space="preserve"> </w:t>
      </w:r>
      <w:r>
        <w:rPr>
          <w:rFonts w:hint="eastAsia" w:ascii="Arial" w:hAnsi="Arial"/>
          <w:sz w:val="21"/>
          <w:szCs w:val="28"/>
        </w:rPr>
        <w:t>成交结构</w:t>
      </w:r>
    </w:p>
    <w:p w14:paraId="013F0EEB">
      <w:pPr>
        <w:overflowPunct w:val="0"/>
        <w:spacing w:line="480" w:lineRule="auto"/>
        <w:ind w:firstLine="420" w:firstLineChars="200"/>
        <w:jc w:val="both"/>
        <w:textAlignment w:val="auto"/>
        <w:rPr>
          <w:rFonts w:ascii="Arial" w:hAnsi="Arial"/>
          <w:sz w:val="21"/>
          <w:szCs w:val="28"/>
        </w:rPr>
      </w:pPr>
      <w:r>
        <w:rPr>
          <w:rFonts w:ascii="Arial" w:hAnsi="Arial"/>
          <w:sz w:val="21"/>
          <w:szCs w:val="28"/>
        </w:rPr>
        <w:t>2025年三季度，90-200</w:t>
      </w:r>
      <w:r>
        <w:rPr>
          <w:rFonts w:hint="eastAsia" w:ascii="Arial" w:hAnsi="Arial"/>
          <w:sz w:val="21"/>
          <w:szCs w:val="28"/>
        </w:rPr>
        <w:t>平方米</w:t>
      </w:r>
      <w:r>
        <w:rPr>
          <w:rFonts w:ascii="Arial" w:hAnsi="Arial"/>
          <w:sz w:val="21"/>
          <w:szCs w:val="28"/>
        </w:rPr>
        <w:t>面积段的刚改和改善型产品成交占比提升明显，成交套数占比达 71.1%，占比提升5.6个百分点，中低面积段产品成交占比下滑明显，占比为21.6%，同比减少6.6个百分点。成交总价段在500-1200万</w:t>
      </w:r>
      <w:bookmarkStart w:id="31" w:name="OLE_LINK10"/>
      <w:r>
        <w:rPr>
          <w:rFonts w:hint="eastAsia" w:ascii="Arial" w:hAnsi="Arial"/>
          <w:sz w:val="21"/>
          <w:szCs w:val="28"/>
        </w:rPr>
        <w:t>元</w:t>
      </w:r>
      <w:bookmarkEnd w:id="31"/>
      <w:r>
        <w:rPr>
          <w:rFonts w:ascii="Arial" w:hAnsi="Arial"/>
          <w:sz w:val="21"/>
          <w:szCs w:val="28"/>
        </w:rPr>
        <w:t>之间的中高价位段产品成交占比提升较多，较去年同期增加4.3个百分点，其中500-800万</w:t>
      </w:r>
      <w:r>
        <w:rPr>
          <w:rFonts w:hint="eastAsia" w:ascii="Arial" w:hAnsi="Arial"/>
          <w:sz w:val="21"/>
          <w:szCs w:val="28"/>
        </w:rPr>
        <w:t>元</w:t>
      </w:r>
      <w:r>
        <w:rPr>
          <w:rFonts w:ascii="Arial" w:hAnsi="Arial"/>
          <w:sz w:val="21"/>
          <w:szCs w:val="28"/>
        </w:rPr>
        <w:t>之间产品市场占比最高，较去年同期增加5.0个百分点；中低总价段产品成交占比下滑幅度较大，占比较去年同 期减少7.6个百分点，其中300-500万</w:t>
      </w:r>
      <w:r>
        <w:rPr>
          <w:rFonts w:hint="eastAsia" w:ascii="Arial" w:hAnsi="Arial"/>
          <w:sz w:val="21"/>
          <w:szCs w:val="28"/>
        </w:rPr>
        <w:t>元</w:t>
      </w:r>
      <w:r>
        <w:rPr>
          <w:rFonts w:ascii="Arial" w:hAnsi="Arial"/>
          <w:sz w:val="21"/>
          <w:szCs w:val="28"/>
        </w:rPr>
        <w:t>之间产品成交占比下滑明显，较去年同期减少4.2个百分点；300万</w:t>
      </w:r>
      <w:r>
        <w:rPr>
          <w:rFonts w:hint="eastAsia" w:ascii="Arial" w:hAnsi="Arial"/>
          <w:sz w:val="21"/>
          <w:szCs w:val="28"/>
        </w:rPr>
        <w:t>元</w:t>
      </w:r>
      <w:r>
        <w:rPr>
          <w:rFonts w:ascii="Arial" w:hAnsi="Arial"/>
          <w:sz w:val="21"/>
          <w:szCs w:val="28"/>
        </w:rPr>
        <w:t>以下产品成交占比下滑3.4个百分点。</w:t>
      </w:r>
    </w:p>
    <w:p w14:paraId="443CC506">
      <w:pPr>
        <w:overflowPunct w:val="0"/>
        <w:spacing w:line="480" w:lineRule="auto"/>
        <w:ind w:firstLine="420" w:firstLineChars="200"/>
        <w:jc w:val="both"/>
        <w:textAlignment w:val="auto"/>
        <w:rPr>
          <w:rFonts w:ascii="Arial" w:hAnsi="Arial"/>
          <w:sz w:val="21"/>
          <w:szCs w:val="28"/>
        </w:rPr>
      </w:pPr>
      <w:r>
        <w:rPr>
          <w:rFonts w:hint="eastAsia" w:ascii="Arial" w:hAnsi="Arial"/>
          <w:sz w:val="21"/>
          <w:szCs w:val="28"/>
        </w:rPr>
        <w:t>2025年</w:t>
      </w:r>
      <w:r>
        <w:rPr>
          <w:rFonts w:ascii="Arial" w:hAnsi="Arial"/>
          <w:sz w:val="21"/>
          <w:szCs w:val="28"/>
        </w:rPr>
        <w:t>三季度，华润臻云、建发·海晏、中海萬吉玖序、融创壹号院、金茂满曜、颐海澐颂等高端改善项目热销，均位居全市项目销售金额榜TOP10前列，带动中高面积段和高总价产品成交占比出现明显的提升。主要原因一方面是热销项目主力户型位于120-180</w:t>
      </w:r>
      <w:r>
        <w:rPr>
          <w:rFonts w:hint="eastAsia" w:ascii="Arial" w:hAnsi="Arial"/>
          <w:sz w:val="21"/>
          <w:szCs w:val="28"/>
        </w:rPr>
        <w:t>平方米</w:t>
      </w:r>
      <w:r>
        <w:rPr>
          <w:rFonts w:ascii="Arial" w:hAnsi="Arial"/>
          <w:sz w:val="21"/>
          <w:szCs w:val="28"/>
        </w:rPr>
        <w:t>之间；另一方面，入市项目区位优势较为明显，周边产业等配套资源丰富，市场需求支撑度较高，项目成交均价多数均超10万元/</w:t>
      </w:r>
      <w:r>
        <w:rPr>
          <w:rFonts w:hint="eastAsia" w:ascii="Arial" w:hAnsi="Arial"/>
          <w:sz w:val="21"/>
          <w:szCs w:val="28"/>
        </w:rPr>
        <w:t>平方米</w:t>
      </w:r>
      <w:r>
        <w:rPr>
          <w:rFonts w:ascii="Arial" w:hAnsi="Arial"/>
          <w:sz w:val="21"/>
          <w:szCs w:val="28"/>
        </w:rPr>
        <w:t>。</w:t>
      </w:r>
    </w:p>
    <w:p w14:paraId="5A503ADE">
      <w:pPr>
        <w:overflowPunct w:val="0"/>
        <w:spacing w:line="480" w:lineRule="auto"/>
        <w:jc w:val="center"/>
        <w:textAlignment w:val="auto"/>
      </w:pPr>
      <w:r>
        <w:drawing>
          <wp:inline distT="0" distB="0" distL="114300" distR="114300">
            <wp:extent cx="5899785" cy="1706880"/>
            <wp:effectExtent l="0" t="0" r="13335" b="0"/>
            <wp:docPr id="2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0"/>
                    <pic:cNvPicPr>
                      <a:picLocks noChangeAspect="1"/>
                    </pic:cNvPicPr>
                  </pic:nvPicPr>
                  <pic:blipFill>
                    <a:blip r:embed="rId36"/>
                    <a:stretch>
                      <a:fillRect/>
                    </a:stretch>
                  </pic:blipFill>
                  <pic:spPr>
                    <a:xfrm>
                      <a:off x="0" y="0"/>
                      <a:ext cx="5899785" cy="1706880"/>
                    </a:xfrm>
                    <a:prstGeom prst="rect">
                      <a:avLst/>
                    </a:prstGeom>
                    <a:noFill/>
                    <a:ln>
                      <a:noFill/>
                    </a:ln>
                  </pic:spPr>
                </pic:pic>
              </a:graphicData>
            </a:graphic>
          </wp:inline>
        </w:drawing>
      </w:r>
    </w:p>
    <w:p w14:paraId="25A17475">
      <w:pPr>
        <w:overflowPunct w:val="0"/>
        <w:spacing w:line="480" w:lineRule="auto"/>
        <w:ind w:firstLine="420" w:firstLineChars="200"/>
        <w:textAlignment w:val="auto"/>
        <w:rPr>
          <w:rFonts w:ascii="Arial" w:hAnsi="Arial"/>
          <w:sz w:val="21"/>
        </w:rPr>
      </w:pPr>
      <w:r>
        <w:rPr>
          <w:rFonts w:hint="eastAsia" w:ascii="Arial" w:hAnsi="Arial"/>
          <w:sz w:val="21"/>
        </w:rPr>
        <w:t>3）区域成交</w:t>
      </w:r>
    </w:p>
    <w:p w14:paraId="1E486EF7">
      <w:pPr>
        <w:overflowPunct w:val="0"/>
        <w:spacing w:line="480" w:lineRule="auto"/>
        <w:ind w:firstLine="420" w:firstLineChars="200"/>
        <w:jc w:val="both"/>
        <w:textAlignment w:val="auto"/>
        <w:rPr>
          <w:rFonts w:ascii="Arial" w:hAnsi="Arial"/>
          <w:sz w:val="21"/>
          <w:szCs w:val="28"/>
        </w:rPr>
      </w:pPr>
      <w:r>
        <w:rPr>
          <w:rFonts w:ascii="Arial" w:hAnsi="Arial"/>
          <w:sz w:val="21"/>
          <w:szCs w:val="28"/>
        </w:rPr>
        <w:t>从区域成交规模来看，近郊六区仍为市场成交主力区域，成交规模占比超五成。2025年三季度近郊六区成交56.17万</w:t>
      </w:r>
      <w:r>
        <w:rPr>
          <w:rFonts w:hint="eastAsia" w:ascii="Arial" w:hAnsi="Arial"/>
          <w:sz w:val="21"/>
          <w:szCs w:val="28"/>
        </w:rPr>
        <w:t>平方米</w:t>
      </w:r>
      <w:r>
        <w:rPr>
          <w:rFonts w:ascii="Arial" w:hAnsi="Arial"/>
          <w:sz w:val="21"/>
          <w:szCs w:val="28"/>
        </w:rPr>
        <w:t>，占比达53.1%；其中，通州、大兴累计成交占全市的比重均超10%。中心城区累计成交42.36万</w:t>
      </w:r>
      <w:r>
        <w:rPr>
          <w:rFonts w:hint="eastAsia" w:ascii="Arial" w:hAnsi="Arial"/>
          <w:sz w:val="21"/>
          <w:szCs w:val="28"/>
        </w:rPr>
        <w:t>平方米</w:t>
      </w:r>
      <w:r>
        <w:rPr>
          <w:rFonts w:ascii="Arial" w:hAnsi="Arial"/>
          <w:sz w:val="21"/>
          <w:szCs w:val="28"/>
        </w:rPr>
        <w:t>，成交占比为40.1%，朝阳、丰台成交规模居前列，成交规模占全市的比重均超10%。</w:t>
      </w:r>
    </w:p>
    <w:p w14:paraId="7F0CC8B3">
      <w:pPr>
        <w:overflowPunct w:val="0"/>
        <w:spacing w:line="480" w:lineRule="auto"/>
        <w:ind w:firstLine="420" w:firstLineChars="200"/>
        <w:jc w:val="both"/>
        <w:textAlignment w:val="auto"/>
        <w:rPr>
          <w:rFonts w:ascii="Arial" w:hAnsi="Arial"/>
          <w:sz w:val="21"/>
          <w:szCs w:val="28"/>
        </w:rPr>
      </w:pPr>
      <w:r>
        <w:rPr>
          <w:rFonts w:ascii="Arial" w:hAnsi="Arial"/>
          <w:sz w:val="21"/>
          <w:szCs w:val="28"/>
        </w:rPr>
        <w:t>从区域成交变化来看，中心城区、远郊区域成交规模增加，近郊区域同比下滑。其中，中心城区同比增加26%，海淀同比增幅超八成，石景山成交同比增加42%，丰台和朝阳成交同比增幅在20%左右，东城区和西城区成交规模同比明显下滑，但基数较小；近郊区域成交同比减少15%，房山和顺义同比领跌，跌幅分别为59%和38%， 昌平和大兴成交同比跌幅分别为17%和21%，通州和门头沟成交同比增加；远郊区域成交规模同比增加27%，密云和怀柔增幅明显，平谷和延庆成交同比下跌。</w:t>
      </w:r>
    </w:p>
    <w:p w14:paraId="67616032">
      <w:pPr>
        <w:tabs>
          <w:tab w:val="left" w:pos="0"/>
        </w:tabs>
        <w:overflowPunct w:val="0"/>
        <w:spacing w:line="480" w:lineRule="auto"/>
        <w:jc w:val="center"/>
        <w:textAlignment w:val="auto"/>
      </w:pPr>
      <w:r>
        <w:drawing>
          <wp:inline distT="0" distB="0" distL="114300" distR="114300">
            <wp:extent cx="5908040" cy="1941830"/>
            <wp:effectExtent l="0" t="0" r="5080" b="8890"/>
            <wp:docPr id="2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1"/>
                    <pic:cNvPicPr>
                      <a:picLocks noChangeAspect="1"/>
                    </pic:cNvPicPr>
                  </pic:nvPicPr>
                  <pic:blipFill>
                    <a:blip r:embed="rId37"/>
                    <a:stretch>
                      <a:fillRect/>
                    </a:stretch>
                  </pic:blipFill>
                  <pic:spPr>
                    <a:xfrm>
                      <a:off x="0" y="0"/>
                      <a:ext cx="5908040" cy="1941830"/>
                    </a:xfrm>
                    <a:prstGeom prst="rect">
                      <a:avLst/>
                    </a:prstGeom>
                    <a:noFill/>
                    <a:ln>
                      <a:noFill/>
                    </a:ln>
                  </pic:spPr>
                </pic:pic>
              </a:graphicData>
            </a:graphic>
          </wp:inline>
        </w:drawing>
      </w:r>
    </w:p>
    <w:p w14:paraId="24CE595E">
      <w:pPr>
        <w:overflowPunct w:val="0"/>
        <w:spacing w:line="480" w:lineRule="auto"/>
        <w:ind w:firstLine="420" w:firstLineChars="200"/>
        <w:jc w:val="both"/>
        <w:textAlignment w:val="auto"/>
        <w:rPr>
          <w:rFonts w:ascii="Arial" w:hAnsi="Arial"/>
          <w:sz w:val="21"/>
          <w:szCs w:val="28"/>
        </w:rPr>
      </w:pPr>
      <w:r>
        <w:rPr>
          <w:rFonts w:ascii="Arial" w:hAnsi="Arial"/>
          <w:sz w:val="21"/>
          <w:szCs w:val="28"/>
        </w:rPr>
        <w:t>从成交价格来看，</w:t>
      </w:r>
      <w:r>
        <w:rPr>
          <w:rFonts w:hint="eastAsia" w:ascii="Arial" w:hAnsi="Arial"/>
          <w:sz w:val="21"/>
          <w:szCs w:val="28"/>
        </w:rPr>
        <w:t>2025年三季度中心城区商品住宅（不含保障房）成交均价最高，整体均价超10万/平方米，其中东、西城成交均价均超12万元/平方米，远郊区整体成交均价最低，整体均价不足3万/平方米，其中密云区成交均价最低，上半年成交均价仅18794元/平方米</w:t>
      </w:r>
      <w:r>
        <w:rPr>
          <w:rFonts w:ascii="Arial" w:hAnsi="Arial"/>
          <w:sz w:val="21"/>
          <w:szCs w:val="28"/>
        </w:rPr>
        <w:t>。</w:t>
      </w:r>
    </w:p>
    <w:p w14:paraId="215BA777">
      <w:pPr>
        <w:overflowPunct w:val="0"/>
        <w:spacing w:line="480" w:lineRule="auto"/>
        <w:ind w:firstLine="420" w:firstLineChars="200"/>
        <w:jc w:val="both"/>
        <w:textAlignment w:val="auto"/>
        <w:rPr>
          <w:rFonts w:ascii="Arial" w:hAnsi="Arial"/>
          <w:sz w:val="21"/>
          <w:szCs w:val="28"/>
        </w:rPr>
      </w:pPr>
      <w:r>
        <w:rPr>
          <w:rFonts w:ascii="Arial" w:hAnsi="Arial"/>
          <w:sz w:val="21"/>
          <w:szCs w:val="28"/>
        </w:rPr>
        <w:t>从价格变化来看，2025年三季度中心城区结构性上涨，近郊区、远郊区房价均有所下跌。其中，中心城区商品住宅成交均价同比上涨7%，海淀区和东城区领涨，同比涨幅分别为26%和20%；近郊区域成交均价同比下跌6%，门头沟和大兴房价下跌明显，同比跌幅均超10%；远郊区域成交均价同比下跌11%，密云和平谷跌幅超20%。</w:t>
      </w:r>
    </w:p>
    <w:p w14:paraId="5F27F2DC">
      <w:pPr>
        <w:widowControl/>
        <w:spacing w:line="360" w:lineRule="auto"/>
        <w:jc w:val="center"/>
        <w:rPr>
          <w:rFonts w:ascii="Arial" w:hAnsi="Arial" w:eastAsia="仿宋_GB2312" w:cs="Arial"/>
          <w:bCs/>
          <w:color w:val="000000"/>
          <w:sz w:val="28"/>
          <w:szCs w:val="28"/>
        </w:rPr>
      </w:pPr>
      <w:r>
        <w:drawing>
          <wp:inline distT="0" distB="0" distL="114300" distR="114300">
            <wp:extent cx="5902325" cy="1985010"/>
            <wp:effectExtent l="0" t="0" r="10795" b="11430"/>
            <wp:docPr id="1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2"/>
                    <pic:cNvPicPr>
                      <a:picLocks noChangeAspect="1"/>
                    </pic:cNvPicPr>
                  </pic:nvPicPr>
                  <pic:blipFill>
                    <a:blip r:embed="rId38"/>
                    <a:stretch>
                      <a:fillRect/>
                    </a:stretch>
                  </pic:blipFill>
                  <pic:spPr>
                    <a:xfrm>
                      <a:off x="0" y="0"/>
                      <a:ext cx="5902325" cy="1985010"/>
                    </a:xfrm>
                    <a:prstGeom prst="rect">
                      <a:avLst/>
                    </a:prstGeom>
                    <a:noFill/>
                    <a:ln>
                      <a:noFill/>
                    </a:ln>
                  </pic:spPr>
                </pic:pic>
              </a:graphicData>
            </a:graphic>
          </wp:inline>
        </w:drawing>
      </w:r>
    </w:p>
    <w:p w14:paraId="457ECABC">
      <w:pPr>
        <w:widowControl/>
        <w:overflowPunct w:val="0"/>
        <w:spacing w:line="480" w:lineRule="auto"/>
        <w:ind w:firstLine="420" w:firstLineChars="200"/>
        <w:jc w:val="both"/>
        <w:textAlignment w:val="auto"/>
        <w:rPr>
          <w:rFonts w:ascii="Arial" w:hAnsi="Arial"/>
          <w:bCs/>
          <w:sz w:val="21"/>
          <w:szCs w:val="28"/>
        </w:rPr>
      </w:pPr>
      <w:r>
        <w:rPr>
          <w:rFonts w:hint="eastAsia" w:ascii="Arial" w:hAnsi="Arial"/>
          <w:bCs/>
          <w:sz w:val="21"/>
          <w:szCs w:val="28"/>
        </w:rPr>
        <w:t>（3）存量房住宅市场</w:t>
      </w:r>
    </w:p>
    <w:p w14:paraId="385AB862">
      <w:pPr>
        <w:overflowPunct w:val="0"/>
        <w:spacing w:line="480" w:lineRule="auto"/>
        <w:ind w:firstLine="420" w:firstLineChars="200"/>
        <w:jc w:val="both"/>
        <w:textAlignment w:val="auto"/>
        <w:rPr>
          <w:rFonts w:ascii="Arial" w:hAnsi="Arial"/>
          <w:sz w:val="21"/>
        </w:rPr>
      </w:pPr>
      <w:r>
        <w:rPr>
          <w:rFonts w:hint="eastAsia" w:ascii="Arial" w:hAnsi="Arial"/>
          <w:sz w:val="21"/>
        </w:rPr>
        <w:t>1）市场运行状况</w:t>
      </w:r>
    </w:p>
    <w:p w14:paraId="2901BF23">
      <w:pPr>
        <w:tabs>
          <w:tab w:val="left" w:pos="426"/>
        </w:tabs>
        <w:overflowPunct w:val="0"/>
        <w:spacing w:line="480" w:lineRule="auto"/>
        <w:ind w:firstLine="420" w:firstLineChars="200"/>
        <w:jc w:val="both"/>
        <w:textAlignment w:val="auto"/>
        <w:rPr>
          <w:rFonts w:ascii="Arial" w:hAnsi="Arial"/>
          <w:sz w:val="21"/>
          <w:szCs w:val="28"/>
        </w:rPr>
      </w:pPr>
      <w:r>
        <w:rPr>
          <w:rFonts w:hint="eastAsia" w:ascii="Arial" w:hAnsi="Arial"/>
          <w:sz w:val="21"/>
          <w:szCs w:val="28"/>
        </w:rPr>
        <w:t>2025年三季度，北京</w:t>
      </w:r>
      <w:bookmarkStart w:id="32" w:name="OLE_LINK11"/>
      <w:r>
        <w:rPr>
          <w:rFonts w:hint="eastAsia" w:ascii="Arial" w:hAnsi="Arial"/>
          <w:sz w:val="21"/>
          <w:szCs w:val="28"/>
        </w:rPr>
        <w:t>存量</w:t>
      </w:r>
      <w:bookmarkEnd w:id="32"/>
      <w:r>
        <w:rPr>
          <w:rFonts w:hint="eastAsia" w:ascii="Arial" w:hAnsi="Arial"/>
          <w:sz w:val="21"/>
          <w:szCs w:val="28"/>
        </w:rPr>
        <w:t>房市场活跃度有所下滑，累计成交5.16万套，环比下降6.7%，同比下降2.9%。从月度趋势来看，北京存量房市场热度先降后升，7/8月北京存量商品住宅成交规模降至1.3万套上下；8月下旬，受楼市新政效果刺激，成交量逐步上涨，9月累计成交15843套，创近半年月度新高。</w:t>
      </w:r>
    </w:p>
    <w:p w14:paraId="6A9E43B4">
      <w:pPr>
        <w:tabs>
          <w:tab w:val="left" w:pos="426"/>
        </w:tabs>
        <w:overflowPunct w:val="0"/>
        <w:spacing w:line="480" w:lineRule="auto"/>
        <w:ind w:firstLine="420" w:firstLineChars="200"/>
        <w:jc w:val="both"/>
        <w:textAlignment w:val="auto"/>
        <w:rPr>
          <w:rFonts w:ascii="Arial" w:hAnsi="Arial"/>
          <w:sz w:val="21"/>
          <w:szCs w:val="28"/>
        </w:rPr>
      </w:pPr>
      <w:r>
        <w:rPr>
          <w:rFonts w:hint="eastAsia" w:ascii="Arial" w:hAnsi="Arial"/>
          <w:sz w:val="21"/>
          <w:szCs w:val="28"/>
        </w:rPr>
        <w:t>2025年</w:t>
      </w:r>
      <w:r>
        <w:rPr>
          <w:rFonts w:ascii="Arial" w:hAnsi="Arial"/>
          <w:sz w:val="21"/>
          <w:szCs w:val="28"/>
        </w:rPr>
        <w:t>三季年，北京</w:t>
      </w:r>
      <w:r>
        <w:rPr>
          <w:rFonts w:hint="eastAsia" w:ascii="Arial" w:hAnsi="Arial"/>
          <w:sz w:val="21"/>
          <w:szCs w:val="28"/>
        </w:rPr>
        <w:t>存量</w:t>
      </w:r>
      <w:r>
        <w:rPr>
          <w:rFonts w:ascii="Arial" w:hAnsi="Arial"/>
          <w:sz w:val="21"/>
          <w:szCs w:val="28"/>
        </w:rPr>
        <w:t>房市场延续“以价换量”主旋律。从统计局数据来看，二季度以来，受</w:t>
      </w:r>
      <w:r>
        <w:rPr>
          <w:rFonts w:hint="eastAsia" w:ascii="Arial" w:hAnsi="Arial"/>
          <w:sz w:val="21"/>
          <w:szCs w:val="28"/>
        </w:rPr>
        <w:t>存量</w:t>
      </w:r>
      <w:r>
        <w:rPr>
          <w:rFonts w:ascii="Arial" w:hAnsi="Arial"/>
          <w:sz w:val="21"/>
          <w:szCs w:val="28"/>
        </w:rPr>
        <w:t>房挂牌增加，学区需求下滑等因素影响，北京</w:t>
      </w:r>
      <w:r>
        <w:rPr>
          <w:rFonts w:hint="eastAsia" w:ascii="Arial" w:hAnsi="Arial"/>
          <w:sz w:val="21"/>
          <w:szCs w:val="28"/>
        </w:rPr>
        <w:t>存量</w:t>
      </w:r>
      <w:r>
        <w:rPr>
          <w:rFonts w:ascii="Arial" w:hAnsi="Arial"/>
          <w:sz w:val="21"/>
          <w:szCs w:val="28"/>
        </w:rPr>
        <w:t>房价格指数环比持续下跌，三季度房价跌幅呈扩大趋势，7月跌幅1.1%，8月跌幅再次扩大至1.2%，9月跌幅缩小至0.9%。</w:t>
      </w:r>
    </w:p>
    <w:p w14:paraId="29F2CA99">
      <w:pPr>
        <w:tabs>
          <w:tab w:val="left" w:pos="0"/>
        </w:tabs>
        <w:overflowPunct w:val="0"/>
        <w:spacing w:line="480" w:lineRule="auto"/>
        <w:jc w:val="center"/>
        <w:textAlignment w:val="auto"/>
        <w:rPr>
          <w:rFonts w:ascii="Arial" w:hAnsi="Arial"/>
          <w:sz w:val="21"/>
        </w:rPr>
      </w:pPr>
      <w:r>
        <w:drawing>
          <wp:inline distT="0" distB="0" distL="114300" distR="114300">
            <wp:extent cx="5904230" cy="1635125"/>
            <wp:effectExtent l="0" t="0" r="8890" b="10795"/>
            <wp:docPr id="3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3"/>
                    <pic:cNvPicPr>
                      <a:picLocks noChangeAspect="1"/>
                    </pic:cNvPicPr>
                  </pic:nvPicPr>
                  <pic:blipFill>
                    <a:blip r:embed="rId39"/>
                    <a:stretch>
                      <a:fillRect/>
                    </a:stretch>
                  </pic:blipFill>
                  <pic:spPr>
                    <a:xfrm>
                      <a:off x="0" y="0"/>
                      <a:ext cx="5904230" cy="1635125"/>
                    </a:xfrm>
                    <a:prstGeom prst="rect">
                      <a:avLst/>
                    </a:prstGeom>
                    <a:noFill/>
                    <a:ln>
                      <a:noFill/>
                    </a:ln>
                  </pic:spPr>
                </pic:pic>
              </a:graphicData>
            </a:graphic>
          </wp:inline>
        </w:drawing>
      </w:r>
    </w:p>
    <w:p w14:paraId="3C695A6E">
      <w:pPr>
        <w:overflowPunct w:val="0"/>
        <w:spacing w:line="480" w:lineRule="auto"/>
        <w:ind w:firstLine="420" w:firstLineChars="200"/>
        <w:jc w:val="both"/>
        <w:textAlignment w:val="auto"/>
        <w:rPr>
          <w:rFonts w:ascii="Arial" w:hAnsi="Arial"/>
          <w:sz w:val="21"/>
        </w:rPr>
      </w:pPr>
      <w:r>
        <w:rPr>
          <w:rFonts w:hint="eastAsia" w:ascii="Arial" w:hAnsi="Arial"/>
          <w:sz w:val="21"/>
        </w:rPr>
        <w:t>2）各区县统计</w:t>
      </w:r>
    </w:p>
    <w:p w14:paraId="69D0F083">
      <w:pPr>
        <w:overflowPunct w:val="0"/>
        <w:spacing w:line="480" w:lineRule="auto"/>
        <w:ind w:firstLine="420"/>
        <w:jc w:val="both"/>
        <w:textAlignment w:val="auto"/>
        <w:rPr>
          <w:rFonts w:ascii="Arial" w:hAnsi="Arial"/>
          <w:color w:val="000000"/>
          <w:sz w:val="21"/>
        </w:rPr>
      </w:pPr>
      <w:bookmarkStart w:id="33" w:name="OLE_LINK8"/>
      <w:bookmarkStart w:id="34" w:name="OLE_LINK9"/>
      <w:r>
        <w:rPr>
          <w:rFonts w:ascii="Arial" w:hAnsi="Arial"/>
          <w:color w:val="000000"/>
          <w:sz w:val="21"/>
        </w:rPr>
        <w:t>分区域来看，</w:t>
      </w:r>
      <w:r>
        <w:rPr>
          <w:rFonts w:hint="eastAsia" w:ascii="Arial" w:hAnsi="Arial"/>
          <w:color w:val="000000"/>
          <w:sz w:val="21"/>
        </w:rPr>
        <w:t>2025年三季度朝阳存量房成交规模较大，成交规模达87.22万平方米，居各区第一位；海淀、丰台、昌平成交面积均超过30万平方米，成交规模居第二梯队；另外，远郊各区以及近郊的门头沟存量房市场活跃度相对较低，成交规模均不足10万平方米。</w:t>
      </w:r>
    </w:p>
    <w:p w14:paraId="3A22106C">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从同比变化来看，三季度，除门头沟、平谷、大兴、通州外，其他区域存量房成交规模均同比下跌，中心城区整体成交规模同比下跌8%，其中石景山区各同比下跌14%。成交价格方面，上半年西城区成交价格最高，达93558元/平方米；其次为东城区，为78189元/平方米</w:t>
      </w:r>
      <w:r>
        <w:rPr>
          <w:rFonts w:ascii="Arial" w:hAnsi="Arial"/>
          <w:color w:val="000000"/>
          <w:sz w:val="21"/>
        </w:rPr>
        <w:t>。</w:t>
      </w:r>
    </w:p>
    <w:p w14:paraId="171A34E9">
      <w:pPr>
        <w:widowControl/>
        <w:spacing w:line="360" w:lineRule="auto"/>
        <w:jc w:val="center"/>
        <w:rPr>
          <w:rFonts w:ascii="Arial" w:hAnsi="Arial" w:eastAsia="仿宋_GB2312" w:cs="Arial"/>
          <w:bCs/>
          <w:color w:val="000000"/>
          <w:sz w:val="28"/>
          <w:szCs w:val="28"/>
        </w:rPr>
      </w:pPr>
      <w:r>
        <w:drawing>
          <wp:inline distT="0" distB="0" distL="114300" distR="114300">
            <wp:extent cx="5908675" cy="2083435"/>
            <wp:effectExtent l="0" t="0" r="4445" b="4445"/>
            <wp:docPr id="2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4"/>
                    <pic:cNvPicPr>
                      <a:picLocks noChangeAspect="1"/>
                    </pic:cNvPicPr>
                  </pic:nvPicPr>
                  <pic:blipFill>
                    <a:blip r:embed="rId40"/>
                    <a:stretch>
                      <a:fillRect/>
                    </a:stretch>
                  </pic:blipFill>
                  <pic:spPr>
                    <a:xfrm>
                      <a:off x="0" y="0"/>
                      <a:ext cx="5908675" cy="2083435"/>
                    </a:xfrm>
                    <a:prstGeom prst="rect">
                      <a:avLst/>
                    </a:prstGeom>
                    <a:noFill/>
                    <a:ln>
                      <a:noFill/>
                    </a:ln>
                  </pic:spPr>
                </pic:pic>
              </a:graphicData>
            </a:graphic>
          </wp:inline>
        </w:drawing>
      </w:r>
    </w:p>
    <w:p w14:paraId="04D13F10">
      <w:pPr>
        <w:overflowPunct w:val="0"/>
        <w:spacing w:line="480" w:lineRule="auto"/>
        <w:ind w:firstLine="420"/>
        <w:jc w:val="both"/>
        <w:textAlignment w:val="auto"/>
        <w:rPr>
          <w:rFonts w:ascii="Arial" w:hAnsi="Arial"/>
          <w:color w:val="000000"/>
          <w:sz w:val="21"/>
        </w:rPr>
      </w:pPr>
      <w:r>
        <w:rPr>
          <w:rFonts w:ascii="Arial" w:hAnsi="Arial"/>
          <w:color w:val="000000"/>
          <w:sz w:val="21"/>
        </w:rPr>
        <w:t>整体来看，北京市</w:t>
      </w:r>
      <w:r>
        <w:rPr>
          <w:rFonts w:hint="eastAsia" w:ascii="Arial" w:hAnsi="Arial"/>
          <w:color w:val="000000"/>
          <w:sz w:val="21"/>
        </w:rPr>
        <w:t>存量</w:t>
      </w:r>
      <w:r>
        <w:rPr>
          <w:rFonts w:ascii="Arial" w:hAnsi="Arial"/>
          <w:color w:val="000000"/>
          <w:sz w:val="21"/>
        </w:rPr>
        <w:t>房对新房市场的分流效应逐步增强。2021年以来，北京市</w:t>
      </w:r>
      <w:r>
        <w:rPr>
          <w:rFonts w:hint="eastAsia" w:ascii="Arial" w:hAnsi="Arial"/>
          <w:color w:val="000000"/>
          <w:sz w:val="21"/>
        </w:rPr>
        <w:t>存量</w:t>
      </w:r>
      <w:r>
        <w:rPr>
          <w:rFonts w:ascii="Arial" w:hAnsi="Arial"/>
          <w:color w:val="000000"/>
          <w:sz w:val="21"/>
        </w:rPr>
        <w:t>房成交占比波动增加。2025年三季度，北京新房市场虽有海淀、朝阳、通州 等项目的局部高热现象，但整体市场持续承压，累计成交套数不足1万套，为近年季度低位；</w:t>
      </w:r>
      <w:r>
        <w:rPr>
          <w:rFonts w:hint="eastAsia" w:ascii="Arial" w:hAnsi="Arial"/>
          <w:color w:val="000000"/>
          <w:sz w:val="21"/>
        </w:rPr>
        <w:t>存量</w:t>
      </w:r>
      <w:r>
        <w:rPr>
          <w:rFonts w:ascii="Arial" w:hAnsi="Arial"/>
          <w:color w:val="000000"/>
          <w:sz w:val="21"/>
        </w:rPr>
        <w:t>房市场热度虽有所下降，但成交套数依然保持较高水平。2025 年三季度北京</w:t>
      </w:r>
      <w:r>
        <w:rPr>
          <w:rFonts w:hint="eastAsia" w:ascii="Arial" w:hAnsi="Arial"/>
          <w:color w:val="000000"/>
          <w:sz w:val="21"/>
        </w:rPr>
        <w:t>存量</w:t>
      </w:r>
      <w:r>
        <w:rPr>
          <w:rFonts w:ascii="Arial" w:hAnsi="Arial"/>
          <w:color w:val="000000"/>
          <w:sz w:val="21"/>
        </w:rPr>
        <w:t>商品住宅累计成交套数占比升至81%，较上年同期提高4个百分点。</w:t>
      </w:r>
    </w:p>
    <w:p w14:paraId="06BE7CE0">
      <w:pPr>
        <w:overflowPunct w:val="0"/>
        <w:spacing w:line="480" w:lineRule="auto"/>
        <w:jc w:val="both"/>
        <w:textAlignment w:val="auto"/>
        <w:rPr>
          <w:rFonts w:ascii="Arial" w:hAnsi="Arial"/>
          <w:color w:val="000000"/>
          <w:sz w:val="21"/>
        </w:rPr>
      </w:pPr>
      <w:r>
        <w:drawing>
          <wp:inline distT="0" distB="0" distL="114300" distR="114300">
            <wp:extent cx="5910580" cy="1723390"/>
            <wp:effectExtent l="0" t="0" r="2540" b="13970"/>
            <wp:docPr id="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5"/>
                    <pic:cNvPicPr>
                      <a:picLocks noChangeAspect="1"/>
                    </pic:cNvPicPr>
                  </pic:nvPicPr>
                  <pic:blipFill>
                    <a:blip r:embed="rId41"/>
                    <a:stretch>
                      <a:fillRect/>
                    </a:stretch>
                  </pic:blipFill>
                  <pic:spPr>
                    <a:xfrm>
                      <a:off x="0" y="0"/>
                      <a:ext cx="5910580" cy="1723390"/>
                    </a:xfrm>
                    <a:prstGeom prst="rect">
                      <a:avLst/>
                    </a:prstGeom>
                    <a:noFill/>
                    <a:ln>
                      <a:noFill/>
                    </a:ln>
                  </pic:spPr>
                </pic:pic>
              </a:graphicData>
            </a:graphic>
          </wp:inline>
        </w:drawing>
      </w:r>
    </w:p>
    <w:bookmarkEnd w:id="33"/>
    <w:bookmarkEnd w:id="34"/>
    <w:p w14:paraId="0068E305">
      <w:pPr>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1.宏观环境</w:t>
      </w:r>
    </w:p>
    <w:p w14:paraId="73E6B522">
      <w:pPr>
        <w:widowControl/>
        <w:spacing w:line="480" w:lineRule="auto"/>
        <w:ind w:firstLine="525" w:firstLineChars="250"/>
        <w:jc w:val="both"/>
        <w:textAlignment w:val="auto"/>
        <w:rPr>
          <w:rFonts w:ascii="Arial" w:hAnsi="Arial"/>
          <w:color w:val="000000"/>
          <w:sz w:val="21"/>
          <w:szCs w:val="21"/>
        </w:rPr>
      </w:pPr>
      <w:r>
        <w:rPr>
          <w:rFonts w:hint="eastAsia" w:ascii="Arial" w:hAnsi="Arial"/>
          <w:color w:val="000000"/>
          <w:sz w:val="21"/>
          <w:szCs w:val="21"/>
        </w:rPr>
        <w:t>北京市位于北纬39度56分，东经116度20分，地处华北大平原的北部，北京市土地面积16410.54平方公里。北京地势西北高耸，东南低缓。西部、北部和东北部是连绵不断的群山，东南是一片缓缓向渤海倾斜的平原。北京市东部与天津市毗邻，其余均与河北省交界。北京市目前为16区格局，即东城、西城、海淀、朝阳、丰台、顺义、昌平、通州、门头沟、石景山、房山、大兴、怀柔、平谷、密云、延庆。</w:t>
      </w:r>
    </w:p>
    <w:p w14:paraId="3C0B8100">
      <w:pPr>
        <w:widowControl/>
        <w:spacing w:line="480" w:lineRule="auto"/>
        <w:ind w:firstLine="525" w:firstLineChars="250"/>
        <w:jc w:val="both"/>
        <w:textAlignment w:val="auto"/>
        <w:rPr>
          <w:rFonts w:ascii="Arial" w:hAnsi="Arial"/>
          <w:color w:val="000000"/>
          <w:sz w:val="21"/>
          <w:szCs w:val="21"/>
        </w:rPr>
      </w:pPr>
      <w:r>
        <w:rPr>
          <w:rFonts w:ascii="Arial" w:hAnsi="Arial"/>
          <w:sz w:val="21"/>
          <w:szCs w:val="21"/>
        </w:rPr>
        <w:t>截至2024年年末，北京市常住人口为2183.2万人，从年龄构成看，0-14岁常住人口261.2万人，占全市常住人口的比重为12.0%；15-59岁常住人口1408.0万人，占64.5%；60岁及以上常住人口514.0万人，占23.5%</w:t>
      </w:r>
      <w:r>
        <w:rPr>
          <w:rFonts w:hint="eastAsia" w:ascii="Arial" w:hAnsi="Arial"/>
          <w:color w:val="000000"/>
          <w:sz w:val="21"/>
          <w:szCs w:val="21"/>
        </w:rPr>
        <w:t>。</w:t>
      </w:r>
    </w:p>
    <w:p w14:paraId="7BFDF836">
      <w:pPr>
        <w:overflowPunct w:val="0"/>
        <w:spacing w:line="240" w:lineRule="auto"/>
        <w:jc w:val="center"/>
        <w:rPr>
          <w:rFonts w:ascii="Arial" w:hAnsi="Arial" w:eastAsia="方正黑体简体"/>
          <w:bCs/>
          <w:color w:val="000000"/>
          <w:szCs w:val="24"/>
        </w:rPr>
      </w:pPr>
      <w:r>
        <w:rPr>
          <w:rFonts w:ascii="Arial" w:hAnsi="Arial" w:eastAsia="方正黑体简体"/>
          <w:bCs/>
          <w:color w:val="000000"/>
          <w:szCs w:val="24"/>
        </w:rPr>
        <w:t>20</w:t>
      </w:r>
      <w:r>
        <w:rPr>
          <w:rFonts w:hint="eastAsia" w:ascii="Arial" w:hAnsi="Arial" w:eastAsia="方正黑体简体"/>
          <w:bCs/>
          <w:color w:val="000000"/>
          <w:szCs w:val="24"/>
        </w:rPr>
        <w:t>20</w:t>
      </w:r>
      <w:r>
        <w:rPr>
          <w:rFonts w:ascii="Arial" w:hAnsi="Arial" w:eastAsia="方正黑体简体"/>
          <w:bCs/>
          <w:color w:val="000000"/>
          <w:szCs w:val="24"/>
        </w:rPr>
        <w:t>-202</w:t>
      </w:r>
      <w:r>
        <w:rPr>
          <w:rFonts w:hint="eastAsia" w:ascii="Arial" w:hAnsi="Arial" w:eastAsia="方正黑体简体"/>
          <w:bCs/>
          <w:color w:val="000000"/>
          <w:szCs w:val="24"/>
        </w:rPr>
        <w:t>4年常住人口增量及增长速度</w:t>
      </w:r>
    </w:p>
    <w:p w14:paraId="4FC29435">
      <w:pPr>
        <w:widowControl/>
        <w:spacing w:line="480" w:lineRule="auto"/>
        <w:jc w:val="center"/>
        <w:textAlignment w:val="auto"/>
        <w:rPr>
          <w:rFonts w:ascii="Arial" w:hAnsi="Arial"/>
          <w:color w:val="000000"/>
          <w:sz w:val="21"/>
          <w:szCs w:val="21"/>
        </w:rPr>
      </w:pPr>
      <w:r>
        <w:rPr>
          <w:rFonts w:ascii="Arial" w:hAnsi="Arial" w:eastAsia="仿宋" w:cs="Arial"/>
          <w:sz w:val="28"/>
          <w:szCs w:val="28"/>
        </w:rPr>
        <w:drawing>
          <wp:inline distT="0" distB="0" distL="114300" distR="114300">
            <wp:extent cx="5903595" cy="2172970"/>
            <wp:effectExtent l="4445" t="4445" r="5080" b="17145"/>
            <wp:docPr id="8" name="图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6E766BA6">
      <w:pPr>
        <w:widowControl/>
        <w:spacing w:line="480" w:lineRule="auto"/>
        <w:ind w:firstLine="525" w:firstLineChars="250"/>
        <w:jc w:val="both"/>
        <w:textAlignment w:val="auto"/>
        <w:rPr>
          <w:rFonts w:ascii="Arial" w:hAnsi="Arial"/>
          <w:color w:val="000000"/>
          <w:sz w:val="21"/>
          <w:szCs w:val="21"/>
        </w:rPr>
      </w:pPr>
      <w:r>
        <w:rPr>
          <w:rFonts w:hint="eastAsia" w:ascii="Arial" w:hAnsi="Arial"/>
          <w:color w:val="000000"/>
          <w:sz w:val="21"/>
          <w:szCs w:val="21"/>
        </w:rPr>
        <w:t>根据北京市统计局地区生产总值统一核算结果，2025年前三季度，北京市实现地区生产总值38415.9亿元，按不变价格计算，同比增长5.6%。分产业看，第一产业实现增加值77.9亿元，下降1.1%；第二产业实现增加值5055.9亿元，增长4.0%；第三产业实现增加值33282.0亿元，增长5.8%。</w:t>
      </w:r>
    </w:p>
    <w:p w14:paraId="07945F30">
      <w:pPr>
        <w:widowControl/>
        <w:spacing w:line="480" w:lineRule="auto"/>
        <w:ind w:firstLine="525" w:firstLineChars="250"/>
        <w:jc w:val="both"/>
        <w:textAlignment w:val="auto"/>
        <w:rPr>
          <w:rFonts w:ascii="Arial" w:hAnsi="Arial"/>
          <w:color w:val="000000"/>
          <w:sz w:val="21"/>
          <w:szCs w:val="21"/>
        </w:rPr>
      </w:pPr>
      <w:r>
        <w:rPr>
          <w:rFonts w:hint="eastAsia" w:ascii="Arial" w:hAnsi="Arial"/>
          <w:color w:val="000000"/>
          <w:sz w:val="21"/>
          <w:szCs w:val="21"/>
        </w:rPr>
        <w:t>2025年前三季度，北京市固定资产投资（不含农户）同比增长9.0%。其中，反映企业扩大生产能力的设备购置投资增长83.1%，占全市固定资产投资的比重进一步提升至29.3%。分领域看，基础设施投资增长2.3%，制造业投资增长5.4%，房地产开发投资下降13.7%。分产业看，第一产业投资增长23.8%，第二产业投资增长10.4%，第三产业投资增长8.8%。在信息传输、软件和信息技术服务业带动下，高技术产业投资保持活跃，增长51.7%。</w:t>
      </w:r>
    </w:p>
    <w:p w14:paraId="7B066076">
      <w:pPr>
        <w:widowControl/>
        <w:spacing w:line="480" w:lineRule="auto"/>
        <w:ind w:firstLine="525" w:firstLineChars="250"/>
        <w:jc w:val="both"/>
        <w:textAlignment w:val="auto"/>
        <w:rPr>
          <w:rFonts w:ascii="Arial" w:hAnsi="Arial"/>
          <w:color w:val="000000"/>
          <w:sz w:val="21"/>
          <w:szCs w:val="21"/>
        </w:rPr>
      </w:pPr>
      <w:r>
        <w:rPr>
          <w:rFonts w:hint="eastAsia" w:ascii="Arial" w:hAnsi="Arial"/>
          <w:color w:val="000000"/>
          <w:sz w:val="21"/>
          <w:szCs w:val="21"/>
        </w:rPr>
        <w:t>2025年前三季度，北京市房屋施工面积10150.0万平方米，同比下降7.8%，其中住宅施工面积5050.5万平方米，下降8.5%。全市新建商品房销售面积739.6万平方米，同比下降3.5%，其中住宅销售面积491.7万平方米，下降8.2%，住宅中的纯商品住宅销售面积增长20.1%。</w:t>
      </w:r>
    </w:p>
    <w:p w14:paraId="33E2B336">
      <w:pPr>
        <w:widowControl/>
        <w:spacing w:line="480" w:lineRule="auto"/>
        <w:ind w:firstLine="525" w:firstLineChars="250"/>
        <w:jc w:val="both"/>
        <w:textAlignment w:val="auto"/>
        <w:rPr>
          <w:rFonts w:ascii="Arial" w:hAnsi="Arial"/>
          <w:color w:val="000000"/>
          <w:sz w:val="21"/>
          <w:szCs w:val="21"/>
        </w:rPr>
      </w:pPr>
      <w:r>
        <w:rPr>
          <w:rFonts w:hint="eastAsia" w:ascii="Arial" w:hAnsi="Arial"/>
          <w:color w:val="000000"/>
          <w:sz w:val="21"/>
          <w:szCs w:val="21"/>
        </w:rPr>
        <w:t>2025年前三季度，北京市房地产开发投资同比下降13.7%，房屋新开工面积912万平方米，同比下降7.4%。其中，住宅新开工面积576.6万平方米，下降6%；办公楼26.7万平方米，增长39%；商业营业用房45.7万平方米，增长0.3%。</w:t>
      </w:r>
    </w:p>
    <w:p w14:paraId="755D9DB0">
      <w:pPr>
        <w:widowControl/>
        <w:spacing w:line="480" w:lineRule="auto"/>
        <w:ind w:firstLine="525" w:firstLineChars="250"/>
        <w:jc w:val="both"/>
        <w:textAlignment w:val="auto"/>
        <w:rPr>
          <w:rFonts w:ascii="Arial" w:hAnsi="Arial"/>
          <w:color w:val="000000"/>
          <w:sz w:val="21"/>
          <w:szCs w:val="21"/>
        </w:rPr>
      </w:pPr>
      <w:r>
        <w:rPr>
          <w:rFonts w:hint="eastAsia" w:ascii="Arial" w:hAnsi="Arial"/>
          <w:color w:val="000000"/>
          <w:sz w:val="21"/>
          <w:szCs w:val="21"/>
        </w:rPr>
        <w:t>北京市房屋竣工面积787.8万平方米，同比增长6.1%。其中，住宅竣工面积403.3万平方米，下降1.5%；办公楼23.2万平方米，下降33%；商业营业用房78.7万平方米，增长1.2倍。</w:t>
      </w:r>
    </w:p>
    <w:p w14:paraId="3FFBC97E">
      <w:pPr>
        <w:widowControl/>
        <w:spacing w:line="480" w:lineRule="auto"/>
        <w:ind w:firstLine="525" w:firstLineChars="250"/>
        <w:jc w:val="both"/>
        <w:textAlignment w:val="auto"/>
        <w:rPr>
          <w:rFonts w:ascii="Arial" w:hAnsi="Arial"/>
          <w:color w:val="000000"/>
          <w:sz w:val="21"/>
          <w:szCs w:val="21"/>
        </w:rPr>
      </w:pPr>
      <w:r>
        <w:rPr>
          <w:rFonts w:hint="eastAsia" w:ascii="Arial" w:hAnsi="Arial"/>
          <w:color w:val="000000"/>
          <w:sz w:val="21"/>
          <w:szCs w:val="21"/>
        </w:rPr>
        <w:t>总的来看，2025年前三季度北京市经济运行稳中向好，新兴动能培育壮大，高质量发展扎实推进。北京市总体经济呈现“一季度开局良好，二、三季度增势稳定”特征。主要领域中，工业、投资较快增长，服务业重点行业增速提高，就业物价保持稳定，居民收入稳步增加，新质生产力不断培育壮大，高质量发展迈出坚实步伐。</w:t>
      </w:r>
    </w:p>
    <w:p w14:paraId="7821DD13">
      <w:pPr>
        <w:widowControl/>
        <w:overflowPunct w:val="0"/>
        <w:spacing w:line="480" w:lineRule="auto"/>
        <w:ind w:firstLine="420" w:firstLineChars="200"/>
        <w:jc w:val="both"/>
        <w:textAlignment w:val="auto"/>
        <w:rPr>
          <w:rFonts w:ascii="Arial" w:hAnsi="Arial"/>
          <w:color w:val="000000"/>
          <w:sz w:val="21"/>
          <w:szCs w:val="21"/>
        </w:rPr>
      </w:pPr>
      <w:r>
        <w:rPr>
          <w:rFonts w:ascii="Arial" w:hAnsi="Arial"/>
          <w:color w:val="000000"/>
          <w:sz w:val="21"/>
          <w:szCs w:val="21"/>
        </w:rPr>
        <w:t>2.</w:t>
      </w:r>
      <w:r>
        <w:rPr>
          <w:rFonts w:hint="eastAsia" w:ascii="Arial" w:hAnsi="Arial"/>
          <w:color w:val="000000"/>
          <w:sz w:val="21"/>
          <w:szCs w:val="21"/>
        </w:rPr>
        <w:t>土地市场</w:t>
      </w:r>
    </w:p>
    <w:p w14:paraId="3743B696">
      <w:pPr>
        <w:widowControl/>
        <w:overflowPunct w:val="0"/>
        <w:spacing w:line="480" w:lineRule="auto"/>
        <w:ind w:firstLine="420" w:firstLineChars="200"/>
        <w:jc w:val="both"/>
        <w:textAlignment w:val="auto"/>
        <w:rPr>
          <w:rFonts w:ascii="Arial" w:hAnsi="Arial"/>
          <w:color w:val="000000"/>
          <w:sz w:val="21"/>
          <w:szCs w:val="21"/>
        </w:rPr>
      </w:pPr>
      <w:r>
        <w:rPr>
          <w:rFonts w:hint="eastAsia" w:ascii="Arial" w:hAnsi="Arial"/>
          <w:color w:val="000000"/>
          <w:sz w:val="21"/>
          <w:szCs w:val="21"/>
        </w:rPr>
        <w:t>（1）土地供求情况</w:t>
      </w:r>
    </w:p>
    <w:p w14:paraId="5E30A0E2">
      <w:pPr>
        <w:widowControl/>
        <w:spacing w:line="480" w:lineRule="auto"/>
        <w:ind w:firstLine="525" w:firstLineChars="250"/>
        <w:jc w:val="both"/>
        <w:textAlignment w:val="auto"/>
        <w:rPr>
          <w:rFonts w:ascii="Arial" w:hAnsi="Arial"/>
          <w:color w:val="000000"/>
          <w:sz w:val="21"/>
          <w:szCs w:val="21"/>
        </w:rPr>
      </w:pPr>
      <w:r>
        <w:rPr>
          <w:rFonts w:ascii="Arial" w:hAnsi="Arial"/>
          <w:color w:val="000000"/>
          <w:sz w:val="21"/>
          <w:szCs w:val="21"/>
        </w:rPr>
        <w:t>202</w:t>
      </w:r>
      <w:r>
        <w:rPr>
          <w:rFonts w:hint="eastAsia" w:ascii="Arial" w:hAnsi="Arial"/>
          <w:color w:val="000000"/>
          <w:sz w:val="21"/>
          <w:szCs w:val="21"/>
        </w:rPr>
        <w:t>5</w:t>
      </w:r>
      <w:r>
        <w:rPr>
          <w:rFonts w:ascii="Arial" w:hAnsi="Arial"/>
          <w:color w:val="000000"/>
          <w:sz w:val="21"/>
          <w:szCs w:val="21"/>
        </w:rPr>
        <w:t>年</w:t>
      </w:r>
      <w:r>
        <w:rPr>
          <w:rFonts w:hint="eastAsia" w:ascii="Arial" w:hAnsi="Arial"/>
          <w:color w:val="000000"/>
          <w:sz w:val="21"/>
          <w:szCs w:val="21"/>
        </w:rPr>
        <w:t>三季度</w:t>
      </w:r>
      <w:r>
        <w:rPr>
          <w:rFonts w:ascii="Arial" w:hAnsi="Arial"/>
          <w:color w:val="000000"/>
          <w:sz w:val="21"/>
          <w:szCs w:val="21"/>
        </w:rPr>
        <w:t>北京商品住宅用地共推出</w:t>
      </w:r>
      <w:r>
        <w:rPr>
          <w:rFonts w:hint="eastAsia" w:ascii="Arial" w:hAnsi="Arial"/>
          <w:color w:val="000000"/>
          <w:sz w:val="21"/>
          <w:szCs w:val="21"/>
        </w:rPr>
        <w:t>8</w:t>
      </w:r>
      <w:r>
        <w:rPr>
          <w:rFonts w:ascii="Arial" w:hAnsi="Arial"/>
          <w:color w:val="000000"/>
          <w:sz w:val="21"/>
          <w:szCs w:val="21"/>
        </w:rPr>
        <w:t>宗，累计供应规划建面</w:t>
      </w:r>
      <w:r>
        <w:rPr>
          <w:rFonts w:hint="eastAsia" w:ascii="Arial" w:hAnsi="Arial"/>
          <w:color w:val="000000"/>
          <w:sz w:val="21"/>
          <w:szCs w:val="21"/>
        </w:rPr>
        <w:t>44.96</w:t>
      </w:r>
      <w:r>
        <w:rPr>
          <w:rFonts w:ascii="Arial" w:hAnsi="Arial"/>
          <w:color w:val="000000"/>
          <w:sz w:val="21"/>
          <w:szCs w:val="21"/>
        </w:rPr>
        <w:t>万</w:t>
      </w:r>
      <w:r>
        <w:rPr>
          <w:rFonts w:hint="eastAsia" w:ascii="Arial" w:hAnsi="Arial"/>
          <w:color w:val="000000"/>
          <w:sz w:val="21"/>
          <w:szCs w:val="21"/>
        </w:rPr>
        <w:t>平方米</w:t>
      </w:r>
      <w:r>
        <w:rPr>
          <w:rFonts w:ascii="Arial" w:hAnsi="Arial"/>
          <w:color w:val="000000"/>
          <w:sz w:val="21"/>
          <w:szCs w:val="21"/>
        </w:rPr>
        <w:t>，同比</w:t>
      </w:r>
      <w:r>
        <w:rPr>
          <w:rFonts w:hint="eastAsia" w:ascii="Arial" w:hAnsi="Arial"/>
          <w:color w:val="000000"/>
          <w:sz w:val="21"/>
          <w:szCs w:val="21"/>
        </w:rPr>
        <w:t>下降57.1</w:t>
      </w:r>
      <w:r>
        <w:rPr>
          <w:rFonts w:ascii="Arial" w:hAnsi="Arial"/>
          <w:color w:val="000000"/>
          <w:sz w:val="21"/>
          <w:szCs w:val="21"/>
        </w:rPr>
        <w:t>%；202</w:t>
      </w:r>
      <w:r>
        <w:rPr>
          <w:rFonts w:hint="eastAsia" w:ascii="Arial" w:hAnsi="Arial"/>
          <w:color w:val="000000"/>
          <w:sz w:val="21"/>
          <w:szCs w:val="21"/>
        </w:rPr>
        <w:t>5</w:t>
      </w:r>
      <w:r>
        <w:rPr>
          <w:rFonts w:ascii="Arial" w:hAnsi="Arial"/>
          <w:color w:val="000000"/>
          <w:sz w:val="21"/>
          <w:szCs w:val="21"/>
        </w:rPr>
        <w:t>年</w:t>
      </w:r>
      <w:r>
        <w:rPr>
          <w:rFonts w:hint="eastAsia" w:ascii="Arial" w:hAnsi="Arial"/>
          <w:color w:val="000000"/>
          <w:sz w:val="21"/>
          <w:szCs w:val="21"/>
        </w:rPr>
        <w:t>三季度</w:t>
      </w:r>
      <w:r>
        <w:rPr>
          <w:rFonts w:ascii="Arial" w:hAnsi="Arial"/>
          <w:color w:val="000000"/>
          <w:sz w:val="21"/>
          <w:szCs w:val="21"/>
        </w:rPr>
        <w:t>北京商品住宅用地</w:t>
      </w:r>
      <w:r>
        <w:rPr>
          <w:rFonts w:hint="eastAsia" w:ascii="Arial" w:hAnsi="Arial"/>
          <w:color w:val="000000"/>
          <w:sz w:val="21"/>
          <w:szCs w:val="21"/>
        </w:rPr>
        <w:t>共</w:t>
      </w:r>
      <w:r>
        <w:rPr>
          <w:rFonts w:ascii="Arial" w:hAnsi="Arial"/>
          <w:color w:val="000000"/>
          <w:sz w:val="21"/>
          <w:szCs w:val="21"/>
        </w:rPr>
        <w:t>成交</w:t>
      </w:r>
      <w:r>
        <w:rPr>
          <w:rFonts w:hint="eastAsia" w:ascii="Arial" w:hAnsi="Arial"/>
          <w:color w:val="000000"/>
          <w:sz w:val="21"/>
          <w:szCs w:val="21"/>
        </w:rPr>
        <w:t>7</w:t>
      </w:r>
      <w:r>
        <w:rPr>
          <w:rFonts w:ascii="Arial" w:hAnsi="Arial"/>
          <w:color w:val="000000"/>
          <w:sz w:val="21"/>
          <w:szCs w:val="21"/>
        </w:rPr>
        <w:t>宗，成交规划建面</w:t>
      </w:r>
      <w:r>
        <w:rPr>
          <w:rFonts w:hint="eastAsia" w:ascii="Arial" w:hAnsi="Arial"/>
          <w:color w:val="000000"/>
          <w:sz w:val="21"/>
          <w:szCs w:val="21"/>
        </w:rPr>
        <w:t>32.01</w:t>
      </w:r>
      <w:r>
        <w:rPr>
          <w:rFonts w:ascii="Arial" w:hAnsi="Arial"/>
          <w:color w:val="000000"/>
          <w:sz w:val="21"/>
          <w:szCs w:val="21"/>
        </w:rPr>
        <w:t>万</w:t>
      </w:r>
      <w:r>
        <w:rPr>
          <w:rFonts w:hint="eastAsia" w:ascii="Arial" w:hAnsi="Arial"/>
          <w:color w:val="000000"/>
          <w:sz w:val="21"/>
          <w:szCs w:val="21"/>
        </w:rPr>
        <w:t>平方米</w:t>
      </w:r>
      <w:r>
        <w:rPr>
          <w:rFonts w:ascii="Arial" w:hAnsi="Arial"/>
          <w:color w:val="000000"/>
          <w:sz w:val="21"/>
          <w:szCs w:val="21"/>
        </w:rPr>
        <w:t>，同比下降</w:t>
      </w:r>
      <w:r>
        <w:rPr>
          <w:rFonts w:hint="eastAsia" w:ascii="Arial" w:hAnsi="Arial"/>
          <w:color w:val="000000"/>
          <w:sz w:val="21"/>
          <w:szCs w:val="21"/>
        </w:rPr>
        <w:t>70.8</w:t>
      </w:r>
      <w:r>
        <w:rPr>
          <w:rFonts w:ascii="Arial" w:hAnsi="Arial"/>
          <w:color w:val="000000"/>
          <w:sz w:val="21"/>
          <w:szCs w:val="21"/>
        </w:rPr>
        <w:t>%；</w:t>
      </w:r>
      <w:r>
        <w:rPr>
          <w:rFonts w:hint="eastAsia" w:ascii="Arial" w:hAnsi="Arial"/>
          <w:color w:val="000000"/>
          <w:sz w:val="21"/>
          <w:szCs w:val="21"/>
        </w:rPr>
        <w:t>土地成交价款合计115.77亿元，同比下降58.7%。与上半年相比，三季度土地市场明显转冷，住宅用地供求规模显著下降，除太阳宫地块外，均底价成交。</w:t>
      </w:r>
    </w:p>
    <w:p w14:paraId="691F6420">
      <w:pPr>
        <w:overflowPunct w:val="0"/>
        <w:spacing w:line="360" w:lineRule="auto"/>
        <w:jc w:val="center"/>
        <w:rPr>
          <w:rFonts w:ascii="Arial" w:hAnsi="Arial" w:eastAsia="仿宋_GB2312"/>
          <w:b/>
          <w:bCs/>
          <w:color w:val="000000"/>
          <w:szCs w:val="24"/>
        </w:rPr>
      </w:pPr>
      <w:r>
        <w:drawing>
          <wp:inline distT="0" distB="0" distL="114300" distR="114300">
            <wp:extent cx="4533265" cy="2438400"/>
            <wp:effectExtent l="0" t="0" r="8255" b="0"/>
            <wp:docPr id="3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7"/>
                    <pic:cNvPicPr>
                      <a:picLocks noChangeAspect="1"/>
                    </pic:cNvPicPr>
                  </pic:nvPicPr>
                  <pic:blipFill>
                    <a:blip r:embed="rId28"/>
                    <a:stretch>
                      <a:fillRect/>
                    </a:stretch>
                  </pic:blipFill>
                  <pic:spPr>
                    <a:xfrm>
                      <a:off x="0" y="0"/>
                      <a:ext cx="4533265" cy="2438400"/>
                    </a:xfrm>
                    <a:prstGeom prst="rect">
                      <a:avLst/>
                    </a:prstGeom>
                    <a:noFill/>
                    <a:ln>
                      <a:noFill/>
                    </a:ln>
                  </pic:spPr>
                </pic:pic>
              </a:graphicData>
            </a:graphic>
          </wp:inline>
        </w:drawing>
      </w:r>
    </w:p>
    <w:p w14:paraId="77FA4E7B">
      <w:pPr>
        <w:widowControl/>
        <w:overflowPunct w:val="0"/>
        <w:spacing w:line="480" w:lineRule="auto"/>
        <w:ind w:firstLine="420" w:firstLineChars="200"/>
        <w:jc w:val="both"/>
        <w:textAlignment w:val="auto"/>
        <w:rPr>
          <w:rFonts w:ascii="Arial" w:hAnsi="Arial"/>
          <w:sz w:val="21"/>
          <w:szCs w:val="21"/>
        </w:rPr>
      </w:pPr>
      <w:r>
        <w:rPr>
          <w:rFonts w:hint="eastAsia" w:ascii="Arial" w:hAnsi="Arial"/>
          <w:sz w:val="21"/>
          <w:szCs w:val="21"/>
        </w:rPr>
        <w:t>（2）土地成交情况</w:t>
      </w:r>
    </w:p>
    <w:p w14:paraId="5AD704B3">
      <w:pPr>
        <w:widowControl/>
        <w:spacing w:line="480" w:lineRule="auto"/>
        <w:ind w:firstLine="525" w:firstLineChars="250"/>
        <w:jc w:val="both"/>
        <w:textAlignment w:val="auto"/>
        <w:rPr>
          <w:rFonts w:ascii="Arial" w:hAnsi="Arial"/>
          <w:color w:val="000000"/>
          <w:sz w:val="21"/>
          <w:szCs w:val="21"/>
        </w:rPr>
      </w:pPr>
      <w:r>
        <w:rPr>
          <w:rFonts w:ascii="Arial" w:hAnsi="Arial"/>
          <w:color w:val="000000"/>
          <w:sz w:val="21"/>
          <w:szCs w:val="21"/>
        </w:rPr>
        <w:t>2025年</w:t>
      </w:r>
      <w:r>
        <w:rPr>
          <w:rFonts w:hint="eastAsia" w:ascii="Arial" w:hAnsi="Arial"/>
          <w:color w:val="000000"/>
          <w:sz w:val="21"/>
          <w:szCs w:val="21"/>
        </w:rPr>
        <w:t>三季度</w:t>
      </w:r>
      <w:r>
        <w:rPr>
          <w:rFonts w:ascii="Arial" w:hAnsi="Arial"/>
          <w:color w:val="000000"/>
          <w:sz w:val="21"/>
          <w:szCs w:val="21"/>
        </w:rPr>
        <w:t>，北京市商品住宅用地中心城区朝阳、丰台累计成交</w:t>
      </w:r>
      <w:r>
        <w:rPr>
          <w:rFonts w:hint="eastAsia" w:ascii="Arial" w:hAnsi="Arial"/>
          <w:color w:val="000000"/>
          <w:sz w:val="21"/>
          <w:szCs w:val="21"/>
        </w:rPr>
        <w:t>3</w:t>
      </w:r>
      <w:r>
        <w:rPr>
          <w:rFonts w:ascii="Arial" w:hAnsi="Arial"/>
          <w:color w:val="000000"/>
          <w:sz w:val="21"/>
          <w:szCs w:val="21"/>
        </w:rPr>
        <w:t>宗宅地，累计成交规划建面</w:t>
      </w:r>
      <w:r>
        <w:rPr>
          <w:rFonts w:hint="eastAsia" w:ascii="Arial" w:hAnsi="Arial"/>
          <w:color w:val="000000"/>
          <w:sz w:val="21"/>
          <w:szCs w:val="21"/>
        </w:rPr>
        <w:t>11.61</w:t>
      </w:r>
      <w:r>
        <w:rPr>
          <w:rFonts w:ascii="Arial" w:hAnsi="Arial"/>
          <w:color w:val="000000"/>
          <w:sz w:val="21"/>
          <w:szCs w:val="21"/>
        </w:rPr>
        <w:t>万</w:t>
      </w:r>
      <w:r>
        <w:rPr>
          <w:rFonts w:hint="eastAsia" w:ascii="Arial" w:hAnsi="Arial"/>
          <w:color w:val="000000"/>
          <w:sz w:val="21"/>
          <w:szCs w:val="21"/>
        </w:rPr>
        <w:t>平方米</w:t>
      </w:r>
      <w:r>
        <w:rPr>
          <w:rFonts w:ascii="Arial" w:hAnsi="Arial"/>
          <w:color w:val="000000"/>
          <w:sz w:val="21"/>
          <w:szCs w:val="21"/>
        </w:rPr>
        <w:t>，占比</w:t>
      </w:r>
      <w:r>
        <w:rPr>
          <w:rFonts w:hint="eastAsia" w:ascii="Arial" w:hAnsi="Arial"/>
          <w:color w:val="000000"/>
          <w:sz w:val="21"/>
          <w:szCs w:val="21"/>
        </w:rPr>
        <w:t>36</w:t>
      </w:r>
      <w:r>
        <w:rPr>
          <w:rFonts w:ascii="Arial" w:hAnsi="Arial"/>
          <w:color w:val="000000"/>
          <w:sz w:val="21"/>
          <w:szCs w:val="21"/>
        </w:rPr>
        <w:t>%，较上年同期增长</w:t>
      </w:r>
      <w:r>
        <w:rPr>
          <w:rFonts w:hint="eastAsia" w:ascii="Arial" w:hAnsi="Arial"/>
          <w:color w:val="000000"/>
          <w:sz w:val="21"/>
          <w:szCs w:val="21"/>
        </w:rPr>
        <w:t>21</w:t>
      </w:r>
      <w:r>
        <w:rPr>
          <w:rFonts w:ascii="Arial" w:hAnsi="Arial"/>
          <w:color w:val="000000"/>
          <w:sz w:val="21"/>
          <w:szCs w:val="21"/>
        </w:rPr>
        <w:t>个百分点。近郊区主要集中在</w:t>
      </w:r>
      <w:r>
        <w:rPr>
          <w:rFonts w:hint="eastAsia" w:ascii="Arial" w:hAnsi="Arial"/>
          <w:color w:val="000000"/>
          <w:sz w:val="21"/>
          <w:szCs w:val="21"/>
        </w:rPr>
        <w:t>昌平、门头沟和</w:t>
      </w:r>
      <w:r>
        <w:rPr>
          <w:rFonts w:ascii="Arial" w:hAnsi="Arial"/>
          <w:color w:val="000000"/>
          <w:sz w:val="21"/>
          <w:szCs w:val="21"/>
        </w:rPr>
        <w:t>顺义，累计成交</w:t>
      </w:r>
      <w:r>
        <w:rPr>
          <w:rFonts w:hint="eastAsia" w:ascii="Arial" w:hAnsi="Arial"/>
          <w:color w:val="000000"/>
          <w:sz w:val="21"/>
          <w:szCs w:val="21"/>
        </w:rPr>
        <w:t>16.78</w:t>
      </w:r>
      <w:r>
        <w:rPr>
          <w:rFonts w:ascii="Arial" w:hAnsi="Arial"/>
          <w:color w:val="000000"/>
          <w:sz w:val="21"/>
          <w:szCs w:val="21"/>
        </w:rPr>
        <w:t>万</w:t>
      </w:r>
      <w:r>
        <w:rPr>
          <w:rFonts w:hint="eastAsia" w:ascii="Arial" w:hAnsi="Arial"/>
          <w:color w:val="000000"/>
          <w:sz w:val="21"/>
          <w:szCs w:val="21"/>
        </w:rPr>
        <w:t>平方米</w:t>
      </w:r>
      <w:r>
        <w:rPr>
          <w:rFonts w:ascii="Arial" w:hAnsi="Arial"/>
          <w:color w:val="000000"/>
          <w:sz w:val="21"/>
          <w:szCs w:val="21"/>
        </w:rPr>
        <w:t>，占比为</w:t>
      </w:r>
      <w:r>
        <w:rPr>
          <w:rFonts w:hint="eastAsia" w:ascii="Arial" w:hAnsi="Arial"/>
          <w:color w:val="000000"/>
          <w:sz w:val="21"/>
          <w:szCs w:val="21"/>
        </w:rPr>
        <w:t>52</w:t>
      </w:r>
      <w:r>
        <w:rPr>
          <w:rFonts w:ascii="Arial" w:hAnsi="Arial"/>
          <w:color w:val="000000"/>
          <w:sz w:val="21"/>
          <w:szCs w:val="21"/>
        </w:rPr>
        <w:t>%，较去年同期下降</w:t>
      </w:r>
      <w:r>
        <w:rPr>
          <w:rFonts w:hint="eastAsia" w:ascii="Arial" w:hAnsi="Arial"/>
          <w:color w:val="000000"/>
          <w:sz w:val="21"/>
          <w:szCs w:val="21"/>
        </w:rPr>
        <w:t>33</w:t>
      </w:r>
      <w:r>
        <w:rPr>
          <w:rFonts w:ascii="Arial" w:hAnsi="Arial"/>
          <w:color w:val="000000"/>
          <w:sz w:val="21"/>
          <w:szCs w:val="21"/>
        </w:rPr>
        <w:t>个百分点；</w:t>
      </w:r>
      <w:r>
        <w:rPr>
          <w:rFonts w:hint="eastAsia" w:ascii="Arial" w:hAnsi="Arial"/>
          <w:color w:val="000000"/>
          <w:sz w:val="21"/>
          <w:szCs w:val="21"/>
        </w:rPr>
        <w:t>延庆</w:t>
      </w:r>
      <w:r>
        <w:rPr>
          <w:rFonts w:ascii="Arial" w:hAnsi="Arial"/>
          <w:color w:val="000000"/>
          <w:sz w:val="21"/>
          <w:szCs w:val="21"/>
        </w:rPr>
        <w:t>区成交</w:t>
      </w:r>
      <w:r>
        <w:rPr>
          <w:rFonts w:hint="eastAsia" w:ascii="Arial" w:hAnsi="Arial"/>
          <w:color w:val="000000"/>
          <w:sz w:val="21"/>
          <w:szCs w:val="21"/>
        </w:rPr>
        <w:t>1宗宅地，占比11%。</w:t>
      </w:r>
    </w:p>
    <w:p w14:paraId="63A322DB">
      <w:pPr>
        <w:overflowPunct w:val="0"/>
        <w:spacing w:line="360" w:lineRule="auto"/>
        <w:jc w:val="center"/>
        <w:textAlignment w:val="auto"/>
        <w:rPr>
          <w:rFonts w:ascii="Arial" w:hAnsi="Arial" w:eastAsia="仿宋_GB2312"/>
          <w:bCs/>
          <w:color w:val="000000"/>
          <w:sz w:val="28"/>
          <w:szCs w:val="28"/>
        </w:rPr>
      </w:pPr>
      <w:r>
        <w:drawing>
          <wp:inline distT="0" distB="0" distL="114300" distR="114300">
            <wp:extent cx="5906135" cy="2945130"/>
            <wp:effectExtent l="0" t="0" r="6985" b="11430"/>
            <wp:docPr id="1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8"/>
                    <pic:cNvPicPr>
                      <a:picLocks noChangeAspect="1"/>
                    </pic:cNvPicPr>
                  </pic:nvPicPr>
                  <pic:blipFill>
                    <a:blip r:embed="rId29"/>
                    <a:stretch>
                      <a:fillRect/>
                    </a:stretch>
                  </pic:blipFill>
                  <pic:spPr>
                    <a:xfrm>
                      <a:off x="0" y="0"/>
                      <a:ext cx="5906135" cy="2945130"/>
                    </a:xfrm>
                    <a:prstGeom prst="rect">
                      <a:avLst/>
                    </a:prstGeom>
                    <a:noFill/>
                    <a:ln>
                      <a:noFill/>
                    </a:ln>
                  </pic:spPr>
                </pic:pic>
              </a:graphicData>
            </a:graphic>
          </wp:inline>
        </w:drawing>
      </w:r>
    </w:p>
    <w:p w14:paraId="53B548F6">
      <w:pPr>
        <w:widowControl/>
        <w:overflowPunct w:val="0"/>
        <w:spacing w:line="480" w:lineRule="auto"/>
        <w:ind w:firstLine="420" w:firstLineChars="200"/>
        <w:jc w:val="both"/>
        <w:textAlignment w:val="auto"/>
        <w:rPr>
          <w:rFonts w:ascii="Arial" w:hAnsi="Arial"/>
          <w:sz w:val="21"/>
          <w:szCs w:val="28"/>
        </w:rPr>
      </w:pPr>
      <w:r>
        <w:rPr>
          <w:rFonts w:hint="eastAsia" w:ascii="Arial" w:hAnsi="Arial"/>
          <w:color w:val="000000"/>
          <w:sz w:val="21"/>
          <w:szCs w:val="21"/>
        </w:rPr>
        <w:t>从不同区域来看，中心城区成交规模同比下降31%，其中东城、海淀无成交；近郊区成交规模同比下降82%，其中大兴、房山、通州均无住宅用地成交，顺义同比下降80%，门头沟和昌平同比分别下降52%和42%</w:t>
      </w:r>
      <w:r>
        <w:rPr>
          <w:rFonts w:hint="eastAsia" w:ascii="Arial" w:hAnsi="Arial"/>
          <w:sz w:val="21"/>
          <w:szCs w:val="28"/>
        </w:rPr>
        <w:t>。</w:t>
      </w:r>
    </w:p>
    <w:p w14:paraId="1579B878">
      <w:pPr>
        <w:widowControl/>
        <w:overflowPunct w:val="0"/>
        <w:spacing w:line="480" w:lineRule="auto"/>
        <w:jc w:val="center"/>
        <w:textAlignment w:val="auto"/>
      </w:pPr>
      <w:r>
        <w:drawing>
          <wp:inline distT="0" distB="0" distL="114300" distR="114300">
            <wp:extent cx="4266565" cy="3681730"/>
            <wp:effectExtent l="0" t="0" r="635" b="6350"/>
            <wp:docPr id="3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9"/>
                    <pic:cNvPicPr>
                      <a:picLocks noChangeAspect="1"/>
                    </pic:cNvPicPr>
                  </pic:nvPicPr>
                  <pic:blipFill>
                    <a:blip r:embed="rId30"/>
                    <a:stretch>
                      <a:fillRect/>
                    </a:stretch>
                  </pic:blipFill>
                  <pic:spPr>
                    <a:xfrm>
                      <a:off x="0" y="0"/>
                      <a:ext cx="4266565" cy="3681730"/>
                    </a:xfrm>
                    <a:prstGeom prst="rect">
                      <a:avLst/>
                    </a:prstGeom>
                    <a:noFill/>
                    <a:ln>
                      <a:noFill/>
                    </a:ln>
                  </pic:spPr>
                </pic:pic>
              </a:graphicData>
            </a:graphic>
          </wp:inline>
        </w:drawing>
      </w:r>
    </w:p>
    <w:p w14:paraId="75C5C547">
      <w:pPr>
        <w:overflowPunct w:val="0"/>
        <w:spacing w:line="480" w:lineRule="auto"/>
        <w:ind w:firstLine="420" w:firstLineChars="200"/>
        <w:jc w:val="both"/>
        <w:textAlignment w:val="auto"/>
        <w:rPr>
          <w:rFonts w:ascii="Arial" w:hAnsi="Arial" w:cs="宋体"/>
          <w:sz w:val="21"/>
          <w:szCs w:val="21"/>
        </w:rPr>
      </w:pPr>
      <w:r>
        <w:rPr>
          <w:rFonts w:hint="eastAsia" w:ascii="Arial" w:hAnsi="Arial" w:cs="宋体"/>
          <w:sz w:val="21"/>
          <w:szCs w:val="21"/>
        </w:rPr>
        <w:t>（</w:t>
      </w:r>
      <w:r>
        <w:rPr>
          <w:rFonts w:hint="eastAsia" w:ascii="Arial" w:hAnsi="Arial"/>
          <w:sz w:val="21"/>
        </w:rPr>
        <w:t>3</w:t>
      </w:r>
      <w:r>
        <w:rPr>
          <w:rFonts w:hint="eastAsia" w:ascii="Arial" w:hAnsi="Arial" w:cs="宋体"/>
          <w:sz w:val="21"/>
          <w:szCs w:val="21"/>
        </w:rPr>
        <w:t>）土地成交价格</w:t>
      </w:r>
    </w:p>
    <w:p w14:paraId="34B449D2">
      <w:pPr>
        <w:widowControl/>
        <w:overflowPunct w:val="0"/>
        <w:spacing w:line="480" w:lineRule="auto"/>
        <w:ind w:firstLine="420" w:firstLineChars="200"/>
        <w:jc w:val="both"/>
        <w:textAlignment w:val="auto"/>
        <w:rPr>
          <w:rFonts w:ascii="Arial" w:hAnsi="Arial"/>
          <w:color w:val="000000"/>
          <w:sz w:val="21"/>
          <w:szCs w:val="21"/>
        </w:rPr>
      </w:pPr>
      <w:r>
        <w:rPr>
          <w:rFonts w:ascii="Arial" w:hAnsi="Arial"/>
          <w:color w:val="000000"/>
          <w:sz w:val="21"/>
          <w:szCs w:val="21"/>
        </w:rPr>
        <w:t>2025年</w:t>
      </w:r>
      <w:r>
        <w:rPr>
          <w:rFonts w:hint="eastAsia" w:ascii="Arial" w:hAnsi="Arial"/>
          <w:color w:val="000000"/>
          <w:sz w:val="21"/>
          <w:szCs w:val="21"/>
        </w:rPr>
        <w:t>三季度</w:t>
      </w:r>
      <w:r>
        <w:rPr>
          <w:rFonts w:ascii="Arial" w:hAnsi="Arial"/>
          <w:color w:val="000000"/>
          <w:sz w:val="21"/>
          <w:szCs w:val="21"/>
        </w:rPr>
        <w:t>，在</w:t>
      </w:r>
      <w:r>
        <w:rPr>
          <w:rFonts w:hint="eastAsia" w:ascii="Arial" w:hAnsi="Arial"/>
          <w:color w:val="000000"/>
          <w:sz w:val="21"/>
          <w:szCs w:val="21"/>
        </w:rPr>
        <w:t>朝阳太阳宫、呼家楼以及丰台岳各庄</w:t>
      </w:r>
      <w:r>
        <w:rPr>
          <w:rFonts w:ascii="Arial" w:hAnsi="Arial"/>
          <w:color w:val="000000"/>
          <w:sz w:val="21"/>
          <w:szCs w:val="21"/>
        </w:rPr>
        <w:t>地块带动下，北京宅地整体成交楼面均价</w:t>
      </w:r>
      <w:r>
        <w:rPr>
          <w:rFonts w:hint="eastAsia" w:ascii="Arial" w:hAnsi="Arial"/>
          <w:color w:val="000000"/>
          <w:sz w:val="21"/>
          <w:szCs w:val="21"/>
        </w:rPr>
        <w:t>36161</w:t>
      </w:r>
      <w:r>
        <w:rPr>
          <w:rFonts w:ascii="Arial" w:hAnsi="Arial"/>
          <w:color w:val="000000"/>
          <w:sz w:val="21"/>
          <w:szCs w:val="21"/>
        </w:rPr>
        <w:t>元/</w:t>
      </w:r>
      <w:r>
        <w:rPr>
          <w:rFonts w:hint="eastAsia" w:ascii="Arial" w:hAnsi="Arial"/>
          <w:color w:val="000000"/>
          <w:sz w:val="21"/>
          <w:szCs w:val="21"/>
        </w:rPr>
        <w:t>平方米</w:t>
      </w:r>
      <w:r>
        <w:rPr>
          <w:rFonts w:ascii="Arial" w:hAnsi="Arial"/>
          <w:color w:val="000000"/>
          <w:sz w:val="21"/>
          <w:szCs w:val="21"/>
        </w:rPr>
        <w:t>，同比增长</w:t>
      </w:r>
      <w:r>
        <w:rPr>
          <w:rFonts w:hint="eastAsia" w:ascii="Arial" w:hAnsi="Arial"/>
          <w:color w:val="000000"/>
          <w:sz w:val="21"/>
          <w:szCs w:val="21"/>
        </w:rPr>
        <w:t>41.4</w:t>
      </w:r>
      <w:r>
        <w:rPr>
          <w:rFonts w:ascii="Arial" w:hAnsi="Arial"/>
          <w:color w:val="000000"/>
          <w:sz w:val="21"/>
          <w:szCs w:val="21"/>
        </w:rPr>
        <w:t>%。溢价率方面，受</w:t>
      </w:r>
      <w:r>
        <w:rPr>
          <w:rFonts w:hint="eastAsia" w:ascii="Arial" w:hAnsi="Arial"/>
          <w:color w:val="000000"/>
          <w:sz w:val="21"/>
          <w:szCs w:val="21"/>
        </w:rPr>
        <w:t>朝阳太阳宫</w:t>
      </w:r>
      <w:r>
        <w:rPr>
          <w:rFonts w:ascii="Arial" w:hAnsi="Arial"/>
          <w:color w:val="000000"/>
          <w:sz w:val="21"/>
          <w:szCs w:val="21"/>
        </w:rPr>
        <w:t>高溢价地块的带动下，</w:t>
      </w:r>
      <w:r>
        <w:rPr>
          <w:rFonts w:hint="eastAsia" w:ascii="Arial" w:hAnsi="Arial"/>
          <w:color w:val="000000"/>
          <w:sz w:val="21"/>
          <w:szCs w:val="21"/>
        </w:rPr>
        <w:t>三季度</w:t>
      </w:r>
      <w:r>
        <w:rPr>
          <w:rFonts w:ascii="Arial" w:hAnsi="Arial"/>
          <w:color w:val="000000"/>
          <w:sz w:val="21"/>
          <w:szCs w:val="21"/>
        </w:rPr>
        <w:t>北京宅地成交溢价率</w:t>
      </w:r>
      <w:r>
        <w:rPr>
          <w:rFonts w:hint="eastAsia" w:ascii="Arial" w:hAnsi="Arial"/>
          <w:color w:val="000000"/>
          <w:sz w:val="21"/>
          <w:szCs w:val="21"/>
        </w:rPr>
        <w:t>11.7</w:t>
      </w:r>
      <w:r>
        <w:rPr>
          <w:rFonts w:ascii="Arial" w:hAnsi="Arial"/>
          <w:color w:val="000000"/>
          <w:sz w:val="21"/>
          <w:szCs w:val="21"/>
        </w:rPr>
        <w:t>%，同比提升</w:t>
      </w:r>
      <w:r>
        <w:rPr>
          <w:rFonts w:hint="eastAsia" w:ascii="Arial" w:hAnsi="Arial"/>
          <w:color w:val="000000"/>
          <w:sz w:val="21"/>
          <w:szCs w:val="21"/>
        </w:rPr>
        <w:t>10.4</w:t>
      </w:r>
      <w:r>
        <w:rPr>
          <w:rFonts w:ascii="Arial" w:hAnsi="Arial"/>
          <w:color w:val="000000"/>
          <w:sz w:val="21"/>
          <w:szCs w:val="21"/>
        </w:rPr>
        <w:t>个百分点。整体来看</w:t>
      </w:r>
      <w:r>
        <w:rPr>
          <w:rFonts w:hint="eastAsia" w:ascii="Arial" w:hAnsi="Arial"/>
          <w:color w:val="000000"/>
          <w:sz w:val="21"/>
          <w:szCs w:val="21"/>
        </w:rPr>
        <w:t>，三季度北京宅地市场热度较低，仅太阳宫地块热度较高，经过超330轮现场举牌竞价成交，溢价率39.18%</w:t>
      </w:r>
      <w:r>
        <w:rPr>
          <w:rFonts w:ascii="Arial" w:hAnsi="Arial"/>
          <w:color w:val="000000"/>
          <w:sz w:val="21"/>
          <w:szCs w:val="21"/>
        </w:rPr>
        <w:t>，</w:t>
      </w:r>
      <w:r>
        <w:rPr>
          <w:rFonts w:hint="eastAsia" w:ascii="Arial" w:hAnsi="Arial"/>
          <w:color w:val="000000"/>
          <w:sz w:val="21"/>
          <w:szCs w:val="21"/>
        </w:rPr>
        <w:t>而其余6</w:t>
      </w:r>
      <w:r>
        <w:rPr>
          <w:rFonts w:ascii="Arial" w:hAnsi="Arial"/>
          <w:color w:val="000000"/>
          <w:sz w:val="21"/>
          <w:szCs w:val="21"/>
        </w:rPr>
        <w:t>宗地块</w:t>
      </w:r>
      <w:r>
        <w:rPr>
          <w:rFonts w:hint="eastAsia" w:ascii="Arial" w:hAnsi="Arial"/>
          <w:color w:val="000000"/>
          <w:sz w:val="21"/>
          <w:szCs w:val="21"/>
        </w:rPr>
        <w:t>均</w:t>
      </w:r>
      <w:r>
        <w:rPr>
          <w:rFonts w:ascii="Arial" w:hAnsi="Arial"/>
          <w:color w:val="000000"/>
          <w:sz w:val="21"/>
          <w:szCs w:val="21"/>
        </w:rPr>
        <w:t>以底价成交。</w:t>
      </w:r>
    </w:p>
    <w:p w14:paraId="3C9CA4E8">
      <w:pPr>
        <w:spacing w:line="480" w:lineRule="auto"/>
        <w:jc w:val="center"/>
        <w:rPr>
          <w:rFonts w:ascii="Arial" w:hAnsi="Arial" w:cs="Arial"/>
          <w:sz w:val="21"/>
          <w:szCs w:val="21"/>
        </w:rPr>
      </w:pPr>
      <w:r>
        <w:drawing>
          <wp:inline distT="0" distB="0" distL="114300" distR="114300">
            <wp:extent cx="5907405" cy="3313430"/>
            <wp:effectExtent l="0" t="0" r="5715" b="8890"/>
            <wp:docPr id="33"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0"/>
                    <pic:cNvPicPr>
                      <a:picLocks noChangeAspect="1"/>
                    </pic:cNvPicPr>
                  </pic:nvPicPr>
                  <pic:blipFill>
                    <a:blip r:embed="rId31"/>
                    <a:stretch>
                      <a:fillRect/>
                    </a:stretch>
                  </pic:blipFill>
                  <pic:spPr>
                    <a:xfrm>
                      <a:off x="0" y="0"/>
                      <a:ext cx="5907405" cy="3313430"/>
                    </a:xfrm>
                    <a:prstGeom prst="rect">
                      <a:avLst/>
                    </a:prstGeom>
                    <a:noFill/>
                    <a:ln>
                      <a:noFill/>
                    </a:ln>
                  </pic:spPr>
                </pic:pic>
              </a:graphicData>
            </a:graphic>
          </wp:inline>
        </w:drawing>
      </w:r>
    </w:p>
    <w:p w14:paraId="53855799">
      <w:pPr>
        <w:overflowPunct w:val="0"/>
        <w:spacing w:line="480" w:lineRule="auto"/>
        <w:ind w:firstLine="420" w:firstLineChars="200"/>
        <w:jc w:val="both"/>
        <w:textAlignment w:val="auto"/>
        <w:rPr>
          <w:rFonts w:ascii="Arial" w:hAnsi="Arial"/>
          <w:sz w:val="21"/>
          <w:szCs w:val="28"/>
        </w:rPr>
      </w:pPr>
      <w:r>
        <w:rPr>
          <w:rFonts w:hint="eastAsia" w:ascii="Arial" w:hAnsi="Arial"/>
          <w:sz w:val="21"/>
          <w:szCs w:val="28"/>
        </w:rPr>
        <w:t>3.商品房住宅市场</w:t>
      </w:r>
    </w:p>
    <w:p w14:paraId="3BD97F23">
      <w:pPr>
        <w:overflowPunct w:val="0"/>
        <w:spacing w:line="480" w:lineRule="auto"/>
        <w:ind w:firstLine="420" w:firstLineChars="200"/>
        <w:jc w:val="both"/>
        <w:textAlignment w:val="auto"/>
        <w:rPr>
          <w:rFonts w:ascii="Arial" w:hAnsi="Arial"/>
          <w:sz w:val="21"/>
          <w:szCs w:val="28"/>
        </w:rPr>
      </w:pPr>
      <w:r>
        <w:rPr>
          <w:rFonts w:hint="eastAsia" w:ascii="Arial" w:hAnsi="Arial"/>
          <w:sz w:val="21"/>
          <w:szCs w:val="28"/>
        </w:rPr>
        <w:t>（1）商品住宅供给状况</w:t>
      </w:r>
    </w:p>
    <w:p w14:paraId="20A1285F">
      <w:pPr>
        <w:widowControl/>
        <w:overflowPunct w:val="0"/>
        <w:spacing w:line="480" w:lineRule="auto"/>
        <w:ind w:firstLine="420" w:firstLineChars="200"/>
        <w:jc w:val="both"/>
        <w:textAlignment w:val="auto"/>
        <w:rPr>
          <w:rFonts w:ascii="Arial" w:hAnsi="Arial"/>
          <w:color w:val="000000"/>
          <w:sz w:val="21"/>
          <w:szCs w:val="21"/>
        </w:rPr>
      </w:pPr>
      <w:r>
        <w:rPr>
          <w:rFonts w:ascii="Arial" w:hAnsi="Arial"/>
          <w:color w:val="000000"/>
          <w:sz w:val="21"/>
          <w:szCs w:val="21"/>
        </w:rPr>
        <w:t>2025年</w:t>
      </w:r>
      <w:r>
        <w:rPr>
          <w:rFonts w:hint="eastAsia" w:ascii="Arial" w:hAnsi="Arial"/>
          <w:color w:val="000000"/>
          <w:sz w:val="21"/>
          <w:szCs w:val="21"/>
        </w:rPr>
        <w:t>三季度，</w:t>
      </w:r>
      <w:r>
        <w:rPr>
          <w:rFonts w:ascii="Arial" w:hAnsi="Arial"/>
          <w:color w:val="000000"/>
          <w:sz w:val="21"/>
          <w:szCs w:val="21"/>
        </w:rPr>
        <w:t>北京商品住宅（不含保障</w:t>
      </w:r>
      <w:r>
        <w:rPr>
          <w:rFonts w:hint="eastAsia" w:ascii="Arial" w:hAnsi="Arial"/>
          <w:color w:val="000000"/>
          <w:sz w:val="21"/>
          <w:szCs w:val="21"/>
        </w:rPr>
        <w:t>性住</w:t>
      </w:r>
      <w:r>
        <w:rPr>
          <w:rFonts w:ascii="Arial" w:hAnsi="Arial"/>
          <w:color w:val="000000"/>
          <w:sz w:val="21"/>
          <w:szCs w:val="21"/>
        </w:rPr>
        <w:t>房）累计供应</w:t>
      </w:r>
      <w:r>
        <w:rPr>
          <w:rFonts w:hint="eastAsia" w:ascii="Arial" w:hAnsi="Arial"/>
          <w:color w:val="000000"/>
          <w:sz w:val="21"/>
          <w:szCs w:val="21"/>
        </w:rPr>
        <w:t>100</w:t>
      </w:r>
      <w:r>
        <w:rPr>
          <w:rFonts w:ascii="Arial" w:hAnsi="Arial"/>
          <w:color w:val="000000"/>
          <w:sz w:val="21"/>
          <w:szCs w:val="21"/>
        </w:rPr>
        <w:t>万</w:t>
      </w:r>
      <w:r>
        <w:rPr>
          <w:rFonts w:hint="eastAsia" w:ascii="Arial" w:hAnsi="Arial"/>
          <w:color w:val="000000"/>
          <w:sz w:val="21"/>
          <w:szCs w:val="21"/>
        </w:rPr>
        <w:t>平方米</w:t>
      </w:r>
      <w:r>
        <w:rPr>
          <w:rFonts w:ascii="Arial" w:hAnsi="Arial"/>
          <w:color w:val="000000"/>
          <w:sz w:val="21"/>
          <w:szCs w:val="21"/>
        </w:rPr>
        <w:t>，</w:t>
      </w:r>
      <w:r>
        <w:rPr>
          <w:rFonts w:hint="eastAsia" w:ascii="Arial" w:hAnsi="Arial"/>
          <w:color w:val="000000"/>
          <w:sz w:val="21"/>
          <w:szCs w:val="21"/>
        </w:rPr>
        <w:t>月均供应量居近几年同期低位</w:t>
      </w:r>
      <w:r>
        <w:rPr>
          <w:rFonts w:ascii="Arial" w:hAnsi="Arial"/>
          <w:color w:val="000000"/>
          <w:sz w:val="21"/>
          <w:szCs w:val="21"/>
        </w:rPr>
        <w:t>。</w:t>
      </w:r>
      <w:r>
        <w:rPr>
          <w:rFonts w:hint="eastAsia" w:ascii="Arial" w:hAnsi="Arial"/>
          <w:color w:val="000000"/>
          <w:sz w:val="21"/>
          <w:szCs w:val="21"/>
        </w:rPr>
        <w:t>整体来看，伴随着存量库存的去化，房企入市积极性有所增强，但整体供应量较去年同期仍略有不足。具体来看，7月，受季节性因素的影响，房企入市积极性明显下滑，新增供应规模月18.93万平方米，环比减少51%；8月新增供应规模约18.52万平方米，环比减少2%；9月，随着“金九银十”行业传统旺季的来临，房企供应节奏有所加快，在中建·运河玖院、首钢璟悦长安、中海瑞文里、建发金茂观宸等项目积极入市带动下，新房供应量环比涨幅达239%，累计来看，三季度北京商品住宅市场累计供应规模约为100.28万平方米，同比减少约38%，环比减少9%</w:t>
      </w:r>
      <w:r>
        <w:rPr>
          <w:rFonts w:ascii="Arial" w:hAnsi="Arial"/>
          <w:color w:val="000000"/>
          <w:sz w:val="21"/>
          <w:szCs w:val="21"/>
        </w:rPr>
        <w:t>。</w:t>
      </w:r>
    </w:p>
    <w:p w14:paraId="7F0BBE5B">
      <w:pPr>
        <w:overflowPunct w:val="0"/>
        <w:spacing w:line="480" w:lineRule="auto"/>
        <w:jc w:val="both"/>
        <w:textAlignment w:val="auto"/>
        <w:rPr>
          <w:rFonts w:ascii="Arial" w:hAnsi="Arial"/>
          <w:sz w:val="21"/>
          <w:szCs w:val="28"/>
        </w:rPr>
      </w:pPr>
      <w:r>
        <w:drawing>
          <wp:inline distT="0" distB="0" distL="114300" distR="114300">
            <wp:extent cx="5800090" cy="3390265"/>
            <wp:effectExtent l="0" t="0" r="6350" b="8255"/>
            <wp:docPr id="13"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1"/>
                    <pic:cNvPicPr>
                      <a:picLocks noChangeAspect="1"/>
                    </pic:cNvPicPr>
                  </pic:nvPicPr>
                  <pic:blipFill>
                    <a:blip r:embed="rId32"/>
                    <a:stretch>
                      <a:fillRect/>
                    </a:stretch>
                  </pic:blipFill>
                  <pic:spPr>
                    <a:xfrm>
                      <a:off x="0" y="0"/>
                      <a:ext cx="5800090" cy="3390265"/>
                    </a:xfrm>
                    <a:prstGeom prst="rect">
                      <a:avLst/>
                    </a:prstGeom>
                    <a:noFill/>
                    <a:ln>
                      <a:noFill/>
                    </a:ln>
                  </pic:spPr>
                </pic:pic>
              </a:graphicData>
            </a:graphic>
          </wp:inline>
        </w:drawing>
      </w:r>
    </w:p>
    <w:p w14:paraId="31A2CC53">
      <w:pPr>
        <w:spacing w:line="360" w:lineRule="auto"/>
        <w:ind w:firstLine="420" w:firstLineChars="200"/>
        <w:jc w:val="both"/>
        <w:outlineLvl w:val="0"/>
        <w:rPr>
          <w:rFonts w:ascii="Arial" w:hAnsi="Arial"/>
          <w:color w:val="000000"/>
          <w:sz w:val="21"/>
          <w:szCs w:val="21"/>
        </w:rPr>
      </w:pPr>
      <w:r>
        <w:rPr>
          <w:rFonts w:ascii="Arial" w:hAnsi="Arial"/>
          <w:color w:val="000000"/>
          <w:sz w:val="21"/>
          <w:szCs w:val="21"/>
        </w:rPr>
        <w:t>2025年三季度北京商品住宅（不含保障房）库存规模同比增加，但仍居近年同期低位。截至</w:t>
      </w:r>
      <w:r>
        <w:rPr>
          <w:rFonts w:hint="eastAsia" w:ascii="Arial" w:hAnsi="Arial"/>
          <w:color w:val="000000"/>
          <w:sz w:val="21"/>
          <w:szCs w:val="21"/>
        </w:rPr>
        <w:t>9</w:t>
      </w:r>
      <w:r>
        <w:rPr>
          <w:rFonts w:ascii="Arial" w:hAnsi="Arial"/>
          <w:color w:val="000000"/>
          <w:sz w:val="21"/>
          <w:szCs w:val="21"/>
        </w:rPr>
        <w:t>月底，北京商品住宅（不含保障房）库存量约为988.72万平方米，较去年同期增加2%；月度来看，近期北京商品住宅市场库存规模整体呈现出小幅回升的趋势，本月市场供求规模基本均衡，库存规模维持平稳。去年930新政后，市场平均</w:t>
      </w:r>
      <w:r>
        <w:rPr>
          <w:rFonts w:hint="eastAsia" w:ascii="Arial" w:hAnsi="Arial"/>
          <w:color w:val="000000"/>
          <w:sz w:val="21"/>
          <w:szCs w:val="21"/>
        </w:rPr>
        <w:t>去化速度明显加快，叠加库存规模的逐步回落，出清周期呈现出明显的下滑趋势；进入2025年，伴随着需求的逐步释放，市场去化速度放缓，出清周期再次波动回升，截</w:t>
      </w:r>
      <w:r>
        <w:rPr>
          <w:rFonts w:ascii="Arial" w:hAnsi="Arial"/>
          <w:color w:val="000000"/>
          <w:sz w:val="21"/>
          <w:szCs w:val="21"/>
        </w:rPr>
        <w:t>止到9月去化周期回升至23.0个月。</w:t>
      </w:r>
    </w:p>
    <w:p w14:paraId="446AC3E6">
      <w:pPr>
        <w:overflowPunct w:val="0"/>
        <w:spacing w:line="480" w:lineRule="auto"/>
        <w:jc w:val="center"/>
        <w:textAlignment w:val="auto"/>
        <w:rPr>
          <w:rFonts w:ascii="Arial" w:hAnsi="Arial"/>
          <w:sz w:val="21"/>
        </w:rPr>
      </w:pPr>
      <w:r>
        <w:drawing>
          <wp:inline distT="0" distB="0" distL="114300" distR="114300">
            <wp:extent cx="5904865" cy="1840865"/>
            <wp:effectExtent l="0" t="0" r="8255" b="3175"/>
            <wp:docPr id="3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2"/>
                    <pic:cNvPicPr>
                      <a:picLocks noChangeAspect="1"/>
                    </pic:cNvPicPr>
                  </pic:nvPicPr>
                  <pic:blipFill>
                    <a:blip r:embed="rId33"/>
                    <a:stretch>
                      <a:fillRect/>
                    </a:stretch>
                  </pic:blipFill>
                  <pic:spPr>
                    <a:xfrm>
                      <a:off x="0" y="0"/>
                      <a:ext cx="5904865" cy="1840865"/>
                    </a:xfrm>
                    <a:prstGeom prst="rect">
                      <a:avLst/>
                    </a:prstGeom>
                    <a:noFill/>
                    <a:ln>
                      <a:noFill/>
                    </a:ln>
                  </pic:spPr>
                </pic:pic>
              </a:graphicData>
            </a:graphic>
          </wp:inline>
        </w:drawing>
      </w:r>
    </w:p>
    <w:p w14:paraId="2BD34BEA">
      <w:pPr>
        <w:overflowPunct w:val="0"/>
        <w:spacing w:line="480" w:lineRule="auto"/>
        <w:ind w:firstLine="420" w:firstLineChars="200"/>
        <w:jc w:val="both"/>
        <w:textAlignment w:val="auto"/>
        <w:rPr>
          <w:rFonts w:ascii="Arial" w:hAnsi="Arial"/>
          <w:bCs/>
          <w:sz w:val="21"/>
          <w:szCs w:val="28"/>
        </w:rPr>
      </w:pPr>
      <w:r>
        <w:rPr>
          <w:rFonts w:hint="eastAsia" w:ascii="Arial" w:hAnsi="Arial"/>
          <w:sz w:val="21"/>
          <w:szCs w:val="28"/>
        </w:rPr>
        <w:t>（2）商品</w:t>
      </w:r>
      <w:r>
        <w:rPr>
          <w:rFonts w:hint="eastAsia" w:ascii="Arial" w:hAnsi="Arial"/>
          <w:bCs/>
          <w:sz w:val="21"/>
          <w:szCs w:val="28"/>
        </w:rPr>
        <w:t>住宅成交情况</w:t>
      </w:r>
    </w:p>
    <w:p w14:paraId="505C2422">
      <w:pPr>
        <w:tabs>
          <w:tab w:val="left" w:pos="426"/>
        </w:tabs>
        <w:overflowPunct w:val="0"/>
        <w:spacing w:line="480" w:lineRule="auto"/>
        <w:ind w:firstLine="420" w:firstLineChars="200"/>
        <w:jc w:val="both"/>
        <w:textAlignment w:val="auto"/>
        <w:rPr>
          <w:rFonts w:ascii="Arial" w:hAnsi="Arial"/>
          <w:sz w:val="21"/>
        </w:rPr>
      </w:pPr>
      <w:r>
        <w:rPr>
          <w:rFonts w:hint="eastAsia" w:ascii="Arial" w:hAnsi="Arial"/>
          <w:sz w:val="21"/>
        </w:rPr>
        <w:t>1）成交量</w:t>
      </w:r>
    </w:p>
    <w:p w14:paraId="69A083B2">
      <w:pPr>
        <w:spacing w:line="360" w:lineRule="auto"/>
        <w:ind w:firstLine="420" w:firstLineChars="200"/>
        <w:jc w:val="both"/>
        <w:outlineLvl w:val="0"/>
        <w:rPr>
          <w:rFonts w:ascii="Arial" w:hAnsi="Arial"/>
          <w:sz w:val="21"/>
          <w:szCs w:val="28"/>
        </w:rPr>
      </w:pPr>
      <w:r>
        <w:rPr>
          <w:rFonts w:ascii="Arial" w:hAnsi="Arial"/>
          <w:color w:val="000000"/>
          <w:sz w:val="21"/>
          <w:szCs w:val="21"/>
        </w:rPr>
        <w:t>2025年三季度北京市场活跃度下滑，成交规模同环比均有所减少。2025年1-9月北京新房市场累计成交规模为338.49万</w:t>
      </w:r>
      <w:r>
        <w:rPr>
          <w:rFonts w:hint="eastAsia" w:ascii="Arial" w:hAnsi="Arial"/>
          <w:color w:val="000000"/>
          <w:sz w:val="21"/>
          <w:szCs w:val="21"/>
        </w:rPr>
        <w:t>平方米</w:t>
      </w:r>
      <w:r>
        <w:rPr>
          <w:rFonts w:ascii="Arial" w:hAnsi="Arial"/>
          <w:color w:val="000000"/>
          <w:sz w:val="21"/>
          <w:szCs w:val="21"/>
        </w:rPr>
        <w:t>，同比增加12%。其中，三季度来看，北京新房市场活跃度同环比均有所回落，市场活跃度有所下滑，商品住宅累计成交规模约为105.73万</w:t>
      </w:r>
      <w:r>
        <w:rPr>
          <w:rFonts w:hint="eastAsia" w:ascii="Arial" w:hAnsi="Arial"/>
          <w:color w:val="000000"/>
          <w:sz w:val="21"/>
          <w:szCs w:val="21"/>
        </w:rPr>
        <w:t>平方米</w:t>
      </w:r>
      <w:r>
        <w:rPr>
          <w:rFonts w:ascii="Arial" w:hAnsi="Arial"/>
          <w:color w:val="000000"/>
          <w:sz w:val="21"/>
          <w:szCs w:val="21"/>
        </w:rPr>
        <w:t>，同比减少0.1%，环比减少17%。分月度来看，7月，受季节性因素的影响，成交规模环比明显下滑。8月8日，北京五环外解除限购同时优化公积金贷款政策，为楼市铺上了防滑垫，当月新房成交量环比略有增长，但鉴于政策力 度较为温和，且2024年多轮政策优化后需求已有释放，本次新政的边际效果较为有限。9月，随着“金九银十”行业旺季的到来，房企入市意愿增强，供应量环比大增，带动成交规模环比上行</w:t>
      </w:r>
      <w:r>
        <w:rPr>
          <w:rFonts w:hint="eastAsia" w:ascii="Arial" w:hAnsi="Arial"/>
          <w:sz w:val="21"/>
          <w:szCs w:val="28"/>
        </w:rPr>
        <w:t>。</w:t>
      </w:r>
    </w:p>
    <w:p w14:paraId="4EFB4A68">
      <w:pPr>
        <w:overflowPunct w:val="0"/>
        <w:spacing w:line="480" w:lineRule="auto"/>
        <w:jc w:val="both"/>
        <w:textAlignment w:val="auto"/>
        <w:rPr>
          <w:rFonts w:ascii="Arial" w:hAnsi="Arial"/>
          <w:sz w:val="21"/>
        </w:rPr>
      </w:pPr>
      <w:r>
        <w:drawing>
          <wp:inline distT="0" distB="0" distL="114300" distR="114300">
            <wp:extent cx="5904865" cy="1668145"/>
            <wp:effectExtent l="0" t="0" r="8255" b="8255"/>
            <wp:docPr id="35"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3"/>
                    <pic:cNvPicPr>
                      <a:picLocks noChangeAspect="1"/>
                    </pic:cNvPicPr>
                  </pic:nvPicPr>
                  <pic:blipFill>
                    <a:blip r:embed="rId34"/>
                    <a:stretch>
                      <a:fillRect/>
                    </a:stretch>
                  </pic:blipFill>
                  <pic:spPr>
                    <a:xfrm>
                      <a:off x="0" y="0"/>
                      <a:ext cx="5904865" cy="1668145"/>
                    </a:xfrm>
                    <a:prstGeom prst="rect">
                      <a:avLst/>
                    </a:prstGeom>
                    <a:noFill/>
                    <a:ln>
                      <a:noFill/>
                    </a:ln>
                  </pic:spPr>
                </pic:pic>
              </a:graphicData>
            </a:graphic>
          </wp:inline>
        </w:drawing>
      </w:r>
    </w:p>
    <w:p w14:paraId="426E7593">
      <w:pPr>
        <w:overflowPunct w:val="0"/>
        <w:spacing w:line="480" w:lineRule="auto"/>
        <w:ind w:firstLine="420" w:firstLineChars="200"/>
        <w:textAlignment w:val="auto"/>
        <w:rPr>
          <w:rFonts w:ascii="Arial" w:hAnsi="Arial"/>
          <w:sz w:val="21"/>
        </w:rPr>
      </w:pPr>
      <w:r>
        <w:rPr>
          <w:rFonts w:hint="eastAsia" w:ascii="Arial" w:hAnsi="Arial"/>
          <w:sz w:val="21"/>
        </w:rPr>
        <w:t>2）成交价格</w:t>
      </w:r>
    </w:p>
    <w:p w14:paraId="1113D45F">
      <w:pPr>
        <w:overflowPunct w:val="0"/>
        <w:spacing w:line="480" w:lineRule="auto"/>
        <w:ind w:firstLine="420" w:firstLineChars="200"/>
        <w:textAlignment w:val="auto"/>
        <w:rPr>
          <w:rFonts w:ascii="Arial" w:hAnsi="Arial"/>
          <w:sz w:val="21"/>
          <w:szCs w:val="28"/>
        </w:rPr>
      </w:pPr>
      <w:r>
        <w:rPr>
          <w:rFonts w:hint="eastAsia" w:ascii="Arial" w:hAnsi="Arial"/>
          <w:sz w:val="21"/>
          <w:szCs w:val="28"/>
        </w:rPr>
        <w:t>A.成交价格</w:t>
      </w:r>
    </w:p>
    <w:p w14:paraId="5A67F294">
      <w:pPr>
        <w:spacing w:line="360" w:lineRule="auto"/>
        <w:ind w:firstLine="420" w:firstLineChars="200"/>
        <w:jc w:val="both"/>
        <w:outlineLvl w:val="0"/>
        <w:rPr>
          <w:rFonts w:ascii="Arial" w:hAnsi="Arial"/>
          <w:sz w:val="21"/>
          <w:szCs w:val="28"/>
        </w:rPr>
      </w:pPr>
      <w:r>
        <w:rPr>
          <w:rFonts w:ascii="Arial" w:hAnsi="Arial"/>
          <w:color w:val="000000"/>
          <w:sz w:val="21"/>
          <w:szCs w:val="21"/>
        </w:rPr>
        <w:t>受结构性因素的影响，三季度北京商品住宅成交均价创同期新高，累计涨幅底部回升。在房地产市场持续深度调整背景下，房企拿地策略转向理性谨慎，为激活市场活力，主城核心区域密集推出多宗配套成熟、开发潜力突出的优质地块。这些地块的入市直接带动中高端改善型产品供应量显著提升，叠加核心区资源稀缺性及改善需求崛起，推动北京楼市成交均价呈现结构性上涨趋势。2025年三季度，中建·运河玖院、华润臻云、建发·海晏、中海萬吉玖序、融创壹号院等项目热销，带动新房成交均价结构性上涨，商品住宅价格指数为46511元/平方米，同比上涨2.4%，同比涨幅居历史同期高位；累计来看，三季度商品住房价格累计上涨0.14%，较去年同期有所改善</w:t>
      </w:r>
      <w:r>
        <w:rPr>
          <w:rFonts w:ascii="Arial" w:hAnsi="Arial"/>
          <w:sz w:val="21"/>
          <w:szCs w:val="28"/>
        </w:rPr>
        <w:t>。</w:t>
      </w:r>
    </w:p>
    <w:p w14:paraId="4DDE4815">
      <w:pPr>
        <w:tabs>
          <w:tab w:val="left" w:pos="426"/>
        </w:tabs>
        <w:overflowPunct w:val="0"/>
        <w:spacing w:line="480" w:lineRule="auto"/>
        <w:jc w:val="center"/>
        <w:textAlignment w:val="auto"/>
        <w:rPr>
          <w:rFonts w:ascii="Arial" w:hAnsi="Arial"/>
          <w:sz w:val="21"/>
          <w:szCs w:val="28"/>
        </w:rPr>
      </w:pPr>
      <w:r>
        <w:drawing>
          <wp:inline distT="0" distB="0" distL="114300" distR="114300">
            <wp:extent cx="5904865" cy="1835785"/>
            <wp:effectExtent l="0" t="0" r="8255" b="8255"/>
            <wp:docPr id="1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4"/>
                    <pic:cNvPicPr>
                      <a:picLocks noChangeAspect="1"/>
                    </pic:cNvPicPr>
                  </pic:nvPicPr>
                  <pic:blipFill>
                    <a:blip r:embed="rId35"/>
                    <a:stretch>
                      <a:fillRect/>
                    </a:stretch>
                  </pic:blipFill>
                  <pic:spPr>
                    <a:xfrm>
                      <a:off x="0" y="0"/>
                      <a:ext cx="5904865" cy="1835785"/>
                    </a:xfrm>
                    <a:prstGeom prst="rect">
                      <a:avLst/>
                    </a:prstGeom>
                    <a:noFill/>
                    <a:ln>
                      <a:noFill/>
                    </a:ln>
                  </pic:spPr>
                </pic:pic>
              </a:graphicData>
            </a:graphic>
          </wp:inline>
        </w:drawing>
      </w:r>
    </w:p>
    <w:p w14:paraId="434BB7AF">
      <w:pPr>
        <w:overflowPunct w:val="0"/>
        <w:spacing w:line="480" w:lineRule="auto"/>
        <w:ind w:firstLine="420" w:firstLineChars="200"/>
        <w:textAlignment w:val="auto"/>
        <w:rPr>
          <w:rFonts w:ascii="Arial" w:hAnsi="Arial"/>
          <w:sz w:val="21"/>
          <w:szCs w:val="28"/>
        </w:rPr>
      </w:pPr>
      <w:r>
        <w:rPr>
          <w:rFonts w:hint="eastAsia" w:ascii="Arial" w:hAnsi="Arial"/>
          <w:sz w:val="21"/>
          <w:szCs w:val="28"/>
        </w:rPr>
        <w:t>B.</w:t>
      </w:r>
      <w:r>
        <w:rPr>
          <w:rFonts w:hint="eastAsia"/>
        </w:rPr>
        <w:t xml:space="preserve"> </w:t>
      </w:r>
      <w:r>
        <w:rPr>
          <w:rFonts w:hint="eastAsia" w:ascii="Arial" w:hAnsi="Arial"/>
          <w:sz w:val="21"/>
          <w:szCs w:val="28"/>
        </w:rPr>
        <w:t>成交结构</w:t>
      </w:r>
    </w:p>
    <w:p w14:paraId="33F62972">
      <w:pPr>
        <w:overflowPunct w:val="0"/>
        <w:spacing w:line="480" w:lineRule="auto"/>
        <w:ind w:firstLine="420" w:firstLineChars="200"/>
        <w:jc w:val="both"/>
        <w:textAlignment w:val="auto"/>
        <w:rPr>
          <w:rFonts w:ascii="Arial" w:hAnsi="Arial"/>
          <w:sz w:val="21"/>
          <w:szCs w:val="28"/>
        </w:rPr>
      </w:pPr>
      <w:r>
        <w:rPr>
          <w:rFonts w:ascii="Arial" w:hAnsi="Arial"/>
          <w:sz w:val="21"/>
          <w:szCs w:val="28"/>
        </w:rPr>
        <w:t>2025年三季度，90-200</w:t>
      </w:r>
      <w:r>
        <w:rPr>
          <w:rFonts w:hint="eastAsia" w:ascii="Arial" w:hAnsi="Arial"/>
          <w:sz w:val="21"/>
          <w:szCs w:val="28"/>
        </w:rPr>
        <w:t>平方米</w:t>
      </w:r>
      <w:r>
        <w:rPr>
          <w:rFonts w:ascii="Arial" w:hAnsi="Arial"/>
          <w:sz w:val="21"/>
          <w:szCs w:val="28"/>
        </w:rPr>
        <w:t>面积段的刚改和改善型产品成交占比提升明显，成交套数占比达 71.1%，占比提升5.6个百分点，中低面积段产品成交占比下滑明显，占比为21.6%，同比减少6.6个百分点。成交总价段在500-1200万</w:t>
      </w:r>
      <w:r>
        <w:rPr>
          <w:rFonts w:hint="eastAsia" w:ascii="Arial" w:hAnsi="Arial"/>
          <w:sz w:val="21"/>
          <w:szCs w:val="28"/>
        </w:rPr>
        <w:t>元</w:t>
      </w:r>
      <w:r>
        <w:rPr>
          <w:rFonts w:ascii="Arial" w:hAnsi="Arial"/>
          <w:sz w:val="21"/>
          <w:szCs w:val="28"/>
        </w:rPr>
        <w:t>之间的中高价位段产品成交占比提升较多，较去年同期增加4.3个百分点，其中500-800万</w:t>
      </w:r>
      <w:r>
        <w:rPr>
          <w:rFonts w:hint="eastAsia" w:ascii="Arial" w:hAnsi="Arial"/>
          <w:sz w:val="21"/>
          <w:szCs w:val="28"/>
        </w:rPr>
        <w:t>元</w:t>
      </w:r>
      <w:r>
        <w:rPr>
          <w:rFonts w:ascii="Arial" w:hAnsi="Arial"/>
          <w:sz w:val="21"/>
          <w:szCs w:val="28"/>
        </w:rPr>
        <w:t>之间产品市场占比最高，较去年同期增加5.0个百分点；中低总价段产品成交占比下滑幅度较大，占比较去年同 期减少7.6个百分点，其中300-500万</w:t>
      </w:r>
      <w:r>
        <w:rPr>
          <w:rFonts w:hint="eastAsia" w:ascii="Arial" w:hAnsi="Arial"/>
          <w:sz w:val="21"/>
          <w:szCs w:val="28"/>
        </w:rPr>
        <w:t>元</w:t>
      </w:r>
      <w:r>
        <w:rPr>
          <w:rFonts w:ascii="Arial" w:hAnsi="Arial"/>
          <w:sz w:val="21"/>
          <w:szCs w:val="28"/>
        </w:rPr>
        <w:t>之间产品成交占比下滑明显，较去年同期减少4.2个百分点；300万</w:t>
      </w:r>
      <w:r>
        <w:rPr>
          <w:rFonts w:hint="eastAsia" w:ascii="Arial" w:hAnsi="Arial"/>
          <w:sz w:val="21"/>
          <w:szCs w:val="28"/>
        </w:rPr>
        <w:t>元</w:t>
      </w:r>
      <w:r>
        <w:rPr>
          <w:rFonts w:ascii="Arial" w:hAnsi="Arial"/>
          <w:sz w:val="21"/>
          <w:szCs w:val="28"/>
        </w:rPr>
        <w:t>以下产品成交占比下滑3.4个百分点。</w:t>
      </w:r>
    </w:p>
    <w:p w14:paraId="3FE4ABBE">
      <w:pPr>
        <w:overflowPunct w:val="0"/>
        <w:spacing w:line="480" w:lineRule="auto"/>
        <w:ind w:firstLine="420" w:firstLineChars="200"/>
        <w:jc w:val="both"/>
        <w:textAlignment w:val="auto"/>
        <w:rPr>
          <w:rFonts w:ascii="Arial" w:hAnsi="Arial"/>
          <w:sz w:val="21"/>
          <w:szCs w:val="28"/>
        </w:rPr>
      </w:pPr>
      <w:r>
        <w:rPr>
          <w:rFonts w:hint="eastAsia" w:ascii="Arial" w:hAnsi="Arial"/>
          <w:sz w:val="21"/>
          <w:szCs w:val="28"/>
        </w:rPr>
        <w:t>2025年</w:t>
      </w:r>
      <w:r>
        <w:rPr>
          <w:rFonts w:ascii="Arial" w:hAnsi="Arial"/>
          <w:sz w:val="21"/>
          <w:szCs w:val="28"/>
        </w:rPr>
        <w:t>三季度，华润臻云、建发·海晏、中海萬吉玖序、融创壹号院、金茂满曜、颐海澐颂等高端改善项目热销，均位居全市项目销售金额榜TOP10前列，带动中高面积段和高总价产品成交占比出现明显的提升。主要原因一方面是热销项目主力户型位于120-180</w:t>
      </w:r>
      <w:r>
        <w:rPr>
          <w:rFonts w:hint="eastAsia" w:ascii="Arial" w:hAnsi="Arial"/>
          <w:sz w:val="21"/>
          <w:szCs w:val="28"/>
        </w:rPr>
        <w:t>平方米</w:t>
      </w:r>
      <w:r>
        <w:rPr>
          <w:rFonts w:ascii="Arial" w:hAnsi="Arial"/>
          <w:sz w:val="21"/>
          <w:szCs w:val="28"/>
        </w:rPr>
        <w:t>之间；另一方面，入市项目区位优势较为明显，周边产业等配套资源丰富，市场需求支撑度较高，项目成交均价多数均超10万元/</w:t>
      </w:r>
      <w:r>
        <w:rPr>
          <w:rFonts w:hint="eastAsia" w:ascii="Arial" w:hAnsi="Arial"/>
          <w:sz w:val="21"/>
          <w:szCs w:val="28"/>
        </w:rPr>
        <w:t>平方米</w:t>
      </w:r>
      <w:r>
        <w:rPr>
          <w:rFonts w:ascii="Arial" w:hAnsi="Arial"/>
          <w:sz w:val="21"/>
          <w:szCs w:val="28"/>
        </w:rPr>
        <w:t>。</w:t>
      </w:r>
    </w:p>
    <w:p w14:paraId="36B5AD5F">
      <w:pPr>
        <w:overflowPunct w:val="0"/>
        <w:spacing w:line="480" w:lineRule="auto"/>
        <w:jc w:val="center"/>
        <w:textAlignment w:val="auto"/>
      </w:pPr>
      <w:r>
        <w:drawing>
          <wp:inline distT="0" distB="0" distL="114300" distR="114300">
            <wp:extent cx="5899785" cy="1706880"/>
            <wp:effectExtent l="0" t="0" r="13335" b="0"/>
            <wp:docPr id="1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5"/>
                    <pic:cNvPicPr>
                      <a:picLocks noChangeAspect="1"/>
                    </pic:cNvPicPr>
                  </pic:nvPicPr>
                  <pic:blipFill>
                    <a:blip r:embed="rId36"/>
                    <a:stretch>
                      <a:fillRect/>
                    </a:stretch>
                  </pic:blipFill>
                  <pic:spPr>
                    <a:xfrm>
                      <a:off x="0" y="0"/>
                      <a:ext cx="5899785" cy="1706880"/>
                    </a:xfrm>
                    <a:prstGeom prst="rect">
                      <a:avLst/>
                    </a:prstGeom>
                    <a:noFill/>
                    <a:ln>
                      <a:noFill/>
                    </a:ln>
                  </pic:spPr>
                </pic:pic>
              </a:graphicData>
            </a:graphic>
          </wp:inline>
        </w:drawing>
      </w:r>
    </w:p>
    <w:p w14:paraId="23AC7457">
      <w:pPr>
        <w:overflowPunct w:val="0"/>
        <w:spacing w:line="480" w:lineRule="auto"/>
        <w:ind w:firstLine="420" w:firstLineChars="200"/>
        <w:textAlignment w:val="auto"/>
        <w:rPr>
          <w:rFonts w:ascii="Arial" w:hAnsi="Arial"/>
          <w:sz w:val="21"/>
        </w:rPr>
      </w:pPr>
      <w:r>
        <w:rPr>
          <w:rFonts w:hint="eastAsia" w:ascii="Arial" w:hAnsi="Arial"/>
          <w:sz w:val="21"/>
        </w:rPr>
        <w:t>3）区域成交</w:t>
      </w:r>
    </w:p>
    <w:p w14:paraId="27689D9D">
      <w:pPr>
        <w:overflowPunct w:val="0"/>
        <w:spacing w:line="480" w:lineRule="auto"/>
        <w:ind w:firstLine="420" w:firstLineChars="200"/>
        <w:jc w:val="both"/>
        <w:textAlignment w:val="auto"/>
        <w:rPr>
          <w:rFonts w:ascii="Arial" w:hAnsi="Arial"/>
          <w:sz w:val="21"/>
          <w:szCs w:val="28"/>
        </w:rPr>
      </w:pPr>
      <w:r>
        <w:rPr>
          <w:rFonts w:ascii="Arial" w:hAnsi="Arial"/>
          <w:sz w:val="21"/>
          <w:szCs w:val="28"/>
        </w:rPr>
        <w:t>从区域成交规模来看，近郊六区仍为市场成交主力区域，成交规模占比超五成。2025年三季度近郊六区成交56.17万</w:t>
      </w:r>
      <w:r>
        <w:rPr>
          <w:rFonts w:hint="eastAsia" w:ascii="Arial" w:hAnsi="Arial"/>
          <w:sz w:val="21"/>
          <w:szCs w:val="28"/>
        </w:rPr>
        <w:t>平方米</w:t>
      </w:r>
      <w:r>
        <w:rPr>
          <w:rFonts w:ascii="Arial" w:hAnsi="Arial"/>
          <w:sz w:val="21"/>
          <w:szCs w:val="28"/>
        </w:rPr>
        <w:t>，占比达53.1%；其中，通州、大兴累计成交占全市的比重均超10%。中心城区累计成交42.36万</w:t>
      </w:r>
      <w:r>
        <w:rPr>
          <w:rFonts w:hint="eastAsia" w:ascii="Arial" w:hAnsi="Arial"/>
          <w:sz w:val="21"/>
          <w:szCs w:val="28"/>
        </w:rPr>
        <w:t>平方米</w:t>
      </w:r>
      <w:r>
        <w:rPr>
          <w:rFonts w:ascii="Arial" w:hAnsi="Arial"/>
          <w:sz w:val="21"/>
          <w:szCs w:val="28"/>
        </w:rPr>
        <w:t>，成交占比为40.1%，朝阳、丰台成交规模居前列，成交规模占全市的比重均超10%。</w:t>
      </w:r>
    </w:p>
    <w:p w14:paraId="08DCD51F">
      <w:pPr>
        <w:overflowPunct w:val="0"/>
        <w:spacing w:line="480" w:lineRule="auto"/>
        <w:ind w:firstLine="420" w:firstLineChars="200"/>
        <w:jc w:val="both"/>
        <w:textAlignment w:val="auto"/>
        <w:rPr>
          <w:rFonts w:ascii="Arial" w:hAnsi="Arial"/>
          <w:sz w:val="21"/>
          <w:szCs w:val="28"/>
        </w:rPr>
      </w:pPr>
      <w:r>
        <w:rPr>
          <w:rFonts w:ascii="Arial" w:hAnsi="Arial"/>
          <w:sz w:val="21"/>
          <w:szCs w:val="28"/>
        </w:rPr>
        <w:t>从区域成交变化来看，中心城区、远郊区域成交规模增加，近郊区域同比下滑。其中，中心城区同比增加26%，海淀同比增幅超八成，石景山成交同比增加42%，丰台和朝阳成交同比增幅在20%左右，东城区和西城区成交规模同比明显下滑，但基数较小；近郊区域成交同比减少15%，房山和顺义同比领跌，跌幅分别为59%和38%， 昌平和大兴成交同比跌幅分别为17%和21%，通州和门头沟成交同比增加；远郊区域成交规模同比增加27%，密云和怀柔增幅明显，平谷和延庆成交同比下跌。</w:t>
      </w:r>
    </w:p>
    <w:p w14:paraId="2D09C9CC">
      <w:pPr>
        <w:tabs>
          <w:tab w:val="left" w:pos="0"/>
        </w:tabs>
        <w:overflowPunct w:val="0"/>
        <w:spacing w:line="480" w:lineRule="auto"/>
        <w:jc w:val="center"/>
        <w:textAlignment w:val="auto"/>
      </w:pPr>
      <w:r>
        <w:drawing>
          <wp:inline distT="0" distB="0" distL="114300" distR="114300">
            <wp:extent cx="5908040" cy="1941830"/>
            <wp:effectExtent l="0" t="0" r="5080" b="8890"/>
            <wp:docPr id="2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6"/>
                    <pic:cNvPicPr>
                      <a:picLocks noChangeAspect="1"/>
                    </pic:cNvPicPr>
                  </pic:nvPicPr>
                  <pic:blipFill>
                    <a:blip r:embed="rId37"/>
                    <a:stretch>
                      <a:fillRect/>
                    </a:stretch>
                  </pic:blipFill>
                  <pic:spPr>
                    <a:xfrm>
                      <a:off x="0" y="0"/>
                      <a:ext cx="5908040" cy="1941830"/>
                    </a:xfrm>
                    <a:prstGeom prst="rect">
                      <a:avLst/>
                    </a:prstGeom>
                    <a:noFill/>
                    <a:ln>
                      <a:noFill/>
                    </a:ln>
                  </pic:spPr>
                </pic:pic>
              </a:graphicData>
            </a:graphic>
          </wp:inline>
        </w:drawing>
      </w:r>
    </w:p>
    <w:p w14:paraId="3460A179">
      <w:pPr>
        <w:overflowPunct w:val="0"/>
        <w:spacing w:line="480" w:lineRule="auto"/>
        <w:ind w:firstLine="420" w:firstLineChars="200"/>
        <w:jc w:val="both"/>
        <w:textAlignment w:val="auto"/>
        <w:rPr>
          <w:rFonts w:ascii="Arial" w:hAnsi="Arial"/>
          <w:sz w:val="21"/>
          <w:szCs w:val="28"/>
        </w:rPr>
      </w:pPr>
      <w:r>
        <w:rPr>
          <w:rFonts w:ascii="Arial" w:hAnsi="Arial"/>
          <w:sz w:val="21"/>
          <w:szCs w:val="28"/>
        </w:rPr>
        <w:t>从成交价格来看，</w:t>
      </w:r>
      <w:r>
        <w:rPr>
          <w:rFonts w:hint="eastAsia" w:ascii="Arial" w:hAnsi="Arial"/>
          <w:sz w:val="21"/>
          <w:szCs w:val="28"/>
        </w:rPr>
        <w:t>2025年三季度中心城区商品住宅（不含保障房）成交均价最高，整体均价超10万/平方米，其中东、西城成交均价均超12万元/平方米，远郊区整体成交均价最低，整体均价不足3万/平方米，其中密云区成交均价最低，上半年成交均价仅18794元/平方米</w:t>
      </w:r>
      <w:r>
        <w:rPr>
          <w:rFonts w:ascii="Arial" w:hAnsi="Arial"/>
          <w:sz w:val="21"/>
          <w:szCs w:val="28"/>
        </w:rPr>
        <w:t>。</w:t>
      </w:r>
    </w:p>
    <w:p w14:paraId="6D70C773">
      <w:pPr>
        <w:overflowPunct w:val="0"/>
        <w:spacing w:line="480" w:lineRule="auto"/>
        <w:ind w:firstLine="420" w:firstLineChars="200"/>
        <w:jc w:val="both"/>
        <w:textAlignment w:val="auto"/>
        <w:rPr>
          <w:rFonts w:ascii="Arial" w:hAnsi="Arial"/>
          <w:sz w:val="21"/>
          <w:szCs w:val="28"/>
        </w:rPr>
      </w:pPr>
      <w:r>
        <w:rPr>
          <w:rFonts w:ascii="Arial" w:hAnsi="Arial"/>
          <w:sz w:val="21"/>
          <w:szCs w:val="28"/>
        </w:rPr>
        <w:t>从价格变化来看，2025年三季度中心城区结构性上涨，近郊区、远郊区房价均有所下跌。其中，中心城区商品住宅成交均价同比上涨7%，海淀区和东城区领涨，同比涨幅分别为26%和20%；近郊区域成交均价同比下跌6%，门头沟和大兴房价下跌明显，同比跌幅均超10%；远郊区域成交均价同比下跌11%，密云和平谷跌幅超20%。</w:t>
      </w:r>
    </w:p>
    <w:p w14:paraId="052C78E9">
      <w:pPr>
        <w:widowControl/>
        <w:spacing w:line="360" w:lineRule="auto"/>
        <w:jc w:val="center"/>
        <w:rPr>
          <w:rFonts w:ascii="Arial" w:hAnsi="Arial" w:eastAsia="仿宋_GB2312" w:cs="Arial"/>
          <w:bCs/>
          <w:color w:val="000000"/>
          <w:sz w:val="28"/>
          <w:szCs w:val="28"/>
        </w:rPr>
      </w:pPr>
      <w:r>
        <w:drawing>
          <wp:inline distT="0" distB="0" distL="114300" distR="114300">
            <wp:extent cx="5902325" cy="1988820"/>
            <wp:effectExtent l="0" t="0" r="10795" b="7620"/>
            <wp:docPr id="1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7"/>
                    <pic:cNvPicPr>
                      <a:picLocks noChangeAspect="1"/>
                    </pic:cNvPicPr>
                  </pic:nvPicPr>
                  <pic:blipFill>
                    <a:blip r:embed="rId38"/>
                    <a:stretch>
                      <a:fillRect/>
                    </a:stretch>
                  </pic:blipFill>
                  <pic:spPr>
                    <a:xfrm>
                      <a:off x="0" y="0"/>
                      <a:ext cx="5902325" cy="1988820"/>
                    </a:xfrm>
                    <a:prstGeom prst="rect">
                      <a:avLst/>
                    </a:prstGeom>
                    <a:noFill/>
                    <a:ln>
                      <a:noFill/>
                    </a:ln>
                  </pic:spPr>
                </pic:pic>
              </a:graphicData>
            </a:graphic>
          </wp:inline>
        </w:drawing>
      </w:r>
    </w:p>
    <w:p w14:paraId="146E932A">
      <w:pPr>
        <w:widowControl/>
        <w:overflowPunct w:val="0"/>
        <w:spacing w:line="480" w:lineRule="auto"/>
        <w:ind w:firstLine="420" w:firstLineChars="200"/>
        <w:jc w:val="both"/>
        <w:textAlignment w:val="auto"/>
        <w:rPr>
          <w:rFonts w:ascii="Arial" w:hAnsi="Arial"/>
          <w:bCs/>
          <w:sz w:val="21"/>
          <w:szCs w:val="28"/>
        </w:rPr>
      </w:pPr>
      <w:r>
        <w:rPr>
          <w:rFonts w:hint="eastAsia" w:ascii="Arial" w:hAnsi="Arial"/>
          <w:bCs/>
          <w:sz w:val="21"/>
          <w:szCs w:val="28"/>
        </w:rPr>
        <w:t>（3）存量房住宅市场</w:t>
      </w:r>
    </w:p>
    <w:p w14:paraId="408C66BB">
      <w:pPr>
        <w:overflowPunct w:val="0"/>
        <w:spacing w:line="480" w:lineRule="auto"/>
        <w:ind w:firstLine="420" w:firstLineChars="200"/>
        <w:jc w:val="both"/>
        <w:textAlignment w:val="auto"/>
        <w:rPr>
          <w:rFonts w:ascii="Arial" w:hAnsi="Arial"/>
          <w:sz w:val="21"/>
        </w:rPr>
      </w:pPr>
      <w:r>
        <w:rPr>
          <w:rFonts w:hint="eastAsia" w:ascii="Arial" w:hAnsi="Arial"/>
          <w:sz w:val="21"/>
        </w:rPr>
        <w:t>1）市场运行状况</w:t>
      </w:r>
    </w:p>
    <w:p w14:paraId="25E09006">
      <w:pPr>
        <w:tabs>
          <w:tab w:val="left" w:pos="426"/>
        </w:tabs>
        <w:overflowPunct w:val="0"/>
        <w:spacing w:line="480" w:lineRule="auto"/>
        <w:ind w:firstLine="420" w:firstLineChars="200"/>
        <w:jc w:val="both"/>
        <w:textAlignment w:val="auto"/>
        <w:rPr>
          <w:rFonts w:ascii="Arial" w:hAnsi="Arial"/>
          <w:sz w:val="21"/>
          <w:szCs w:val="28"/>
        </w:rPr>
      </w:pPr>
      <w:r>
        <w:rPr>
          <w:rFonts w:hint="eastAsia" w:ascii="Arial" w:hAnsi="Arial"/>
          <w:sz w:val="21"/>
          <w:szCs w:val="28"/>
        </w:rPr>
        <w:t>2025年三季度，北京存量房市场活跃度有所下滑，累计成交5.16万套，环比下降6.7%，同比下降2.9%。从月度趋势来看，北京存量房市场热度先降后升，7/8月北京存量商品住宅成交规模降至1.3万套上下；8月下旬，受楼市新政效果刺激，成交量逐步上涨，9月累计成交15843套，创近半年月度新高。</w:t>
      </w:r>
    </w:p>
    <w:p w14:paraId="540F4486">
      <w:pPr>
        <w:tabs>
          <w:tab w:val="left" w:pos="426"/>
        </w:tabs>
        <w:overflowPunct w:val="0"/>
        <w:spacing w:line="480" w:lineRule="auto"/>
        <w:ind w:firstLine="420" w:firstLineChars="200"/>
        <w:jc w:val="both"/>
        <w:textAlignment w:val="auto"/>
        <w:rPr>
          <w:rFonts w:ascii="Arial" w:hAnsi="Arial"/>
          <w:sz w:val="21"/>
          <w:szCs w:val="28"/>
        </w:rPr>
      </w:pPr>
      <w:r>
        <w:rPr>
          <w:rFonts w:hint="eastAsia" w:ascii="Arial" w:hAnsi="Arial"/>
          <w:sz w:val="21"/>
          <w:szCs w:val="28"/>
        </w:rPr>
        <w:t>2025年</w:t>
      </w:r>
      <w:r>
        <w:rPr>
          <w:rFonts w:ascii="Arial" w:hAnsi="Arial"/>
          <w:sz w:val="21"/>
          <w:szCs w:val="28"/>
        </w:rPr>
        <w:t>三季年，北京</w:t>
      </w:r>
      <w:r>
        <w:rPr>
          <w:rFonts w:hint="eastAsia" w:ascii="Arial" w:hAnsi="Arial"/>
          <w:sz w:val="21"/>
          <w:szCs w:val="28"/>
        </w:rPr>
        <w:t>存量</w:t>
      </w:r>
      <w:r>
        <w:rPr>
          <w:rFonts w:ascii="Arial" w:hAnsi="Arial"/>
          <w:sz w:val="21"/>
          <w:szCs w:val="28"/>
        </w:rPr>
        <w:t>房市场延续“以价换量”主旋律。从统计局数据来看，二季度以来，受</w:t>
      </w:r>
      <w:r>
        <w:rPr>
          <w:rFonts w:hint="eastAsia" w:ascii="Arial" w:hAnsi="Arial"/>
          <w:sz w:val="21"/>
          <w:szCs w:val="28"/>
        </w:rPr>
        <w:t>存量</w:t>
      </w:r>
      <w:r>
        <w:rPr>
          <w:rFonts w:ascii="Arial" w:hAnsi="Arial"/>
          <w:sz w:val="21"/>
          <w:szCs w:val="28"/>
        </w:rPr>
        <w:t>房挂牌增加，学区需求下滑等因素影响，北京</w:t>
      </w:r>
      <w:r>
        <w:rPr>
          <w:rFonts w:hint="eastAsia" w:ascii="Arial" w:hAnsi="Arial"/>
          <w:sz w:val="21"/>
          <w:szCs w:val="28"/>
        </w:rPr>
        <w:t>存量</w:t>
      </w:r>
      <w:r>
        <w:rPr>
          <w:rFonts w:ascii="Arial" w:hAnsi="Arial"/>
          <w:sz w:val="21"/>
          <w:szCs w:val="28"/>
        </w:rPr>
        <w:t>房价格指数环比持续下跌，三季度房价跌幅呈扩大趋势，7月跌幅1.1%，8月跌幅再次扩大至1.2%，9月跌幅缩小至0.9%。</w:t>
      </w:r>
    </w:p>
    <w:p w14:paraId="2F428660">
      <w:pPr>
        <w:tabs>
          <w:tab w:val="left" w:pos="0"/>
        </w:tabs>
        <w:overflowPunct w:val="0"/>
        <w:spacing w:line="480" w:lineRule="auto"/>
        <w:jc w:val="center"/>
        <w:textAlignment w:val="auto"/>
        <w:rPr>
          <w:rFonts w:ascii="Arial" w:hAnsi="Arial"/>
          <w:sz w:val="21"/>
        </w:rPr>
      </w:pPr>
      <w:r>
        <w:drawing>
          <wp:inline distT="0" distB="0" distL="114300" distR="114300">
            <wp:extent cx="5904230" cy="1638300"/>
            <wp:effectExtent l="0" t="0" r="8890" b="7620"/>
            <wp:docPr id="40"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8"/>
                    <pic:cNvPicPr>
                      <a:picLocks noChangeAspect="1"/>
                    </pic:cNvPicPr>
                  </pic:nvPicPr>
                  <pic:blipFill>
                    <a:blip r:embed="rId39"/>
                    <a:stretch>
                      <a:fillRect/>
                    </a:stretch>
                  </pic:blipFill>
                  <pic:spPr>
                    <a:xfrm>
                      <a:off x="0" y="0"/>
                      <a:ext cx="5904230" cy="1638300"/>
                    </a:xfrm>
                    <a:prstGeom prst="rect">
                      <a:avLst/>
                    </a:prstGeom>
                    <a:noFill/>
                    <a:ln>
                      <a:noFill/>
                    </a:ln>
                  </pic:spPr>
                </pic:pic>
              </a:graphicData>
            </a:graphic>
          </wp:inline>
        </w:drawing>
      </w:r>
    </w:p>
    <w:p w14:paraId="7BDD604B">
      <w:pPr>
        <w:overflowPunct w:val="0"/>
        <w:spacing w:line="480" w:lineRule="auto"/>
        <w:ind w:firstLine="420" w:firstLineChars="200"/>
        <w:jc w:val="both"/>
        <w:textAlignment w:val="auto"/>
        <w:rPr>
          <w:rFonts w:ascii="Arial" w:hAnsi="Arial"/>
          <w:sz w:val="21"/>
        </w:rPr>
      </w:pPr>
      <w:r>
        <w:rPr>
          <w:rFonts w:hint="eastAsia" w:ascii="Arial" w:hAnsi="Arial"/>
          <w:sz w:val="21"/>
        </w:rPr>
        <w:t>2）各区县统计</w:t>
      </w:r>
    </w:p>
    <w:p w14:paraId="0BB97A90">
      <w:pPr>
        <w:overflowPunct w:val="0"/>
        <w:spacing w:line="480" w:lineRule="auto"/>
        <w:ind w:firstLine="420"/>
        <w:jc w:val="both"/>
        <w:textAlignment w:val="auto"/>
        <w:rPr>
          <w:rFonts w:ascii="Arial" w:hAnsi="Arial"/>
          <w:color w:val="000000"/>
          <w:sz w:val="21"/>
        </w:rPr>
      </w:pPr>
      <w:r>
        <w:rPr>
          <w:rFonts w:ascii="Arial" w:hAnsi="Arial"/>
          <w:color w:val="000000"/>
          <w:sz w:val="21"/>
        </w:rPr>
        <w:t>分区域来看，</w:t>
      </w:r>
      <w:r>
        <w:rPr>
          <w:rFonts w:hint="eastAsia" w:ascii="Arial" w:hAnsi="Arial"/>
          <w:color w:val="000000"/>
          <w:sz w:val="21"/>
        </w:rPr>
        <w:t>2025年三季度朝阳存量房成交规模较大，成交规模达87.22万平方米，居各区第一位；海淀、丰台、昌平成交面积均超过30万平方米，成交规模居第二梯队；另外，远郊各区以及近郊的门头沟存量房市场活跃度相对较低，成交规模均不足10万平方米。</w:t>
      </w:r>
    </w:p>
    <w:p w14:paraId="15D9EA56">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从同比变化来看，三季度，除门头沟、平谷、大兴、通州外，其他区域存量房成交规模均同比下跌，中心城区整体成交规模同比下跌8%，其中石景山区各同比下跌14%。成交价格方面，上半年西城区成交价格最高，达93558元/平方米；其次为东城区，为78189元/平方米</w:t>
      </w:r>
      <w:r>
        <w:rPr>
          <w:rFonts w:ascii="Arial" w:hAnsi="Arial"/>
          <w:color w:val="000000"/>
          <w:sz w:val="21"/>
        </w:rPr>
        <w:t>。</w:t>
      </w:r>
    </w:p>
    <w:p w14:paraId="37579B8F">
      <w:pPr>
        <w:widowControl/>
        <w:spacing w:line="360" w:lineRule="auto"/>
        <w:jc w:val="center"/>
        <w:rPr>
          <w:rFonts w:ascii="Arial" w:hAnsi="Arial" w:eastAsia="仿宋_GB2312" w:cs="Arial"/>
          <w:bCs/>
          <w:color w:val="000000"/>
          <w:sz w:val="28"/>
          <w:szCs w:val="28"/>
        </w:rPr>
      </w:pPr>
      <w:r>
        <w:drawing>
          <wp:inline distT="0" distB="0" distL="114300" distR="114300">
            <wp:extent cx="5908675" cy="2078990"/>
            <wp:effectExtent l="0" t="0" r="4445" b="8890"/>
            <wp:docPr id="42"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9"/>
                    <pic:cNvPicPr>
                      <a:picLocks noChangeAspect="1"/>
                    </pic:cNvPicPr>
                  </pic:nvPicPr>
                  <pic:blipFill>
                    <a:blip r:embed="rId40"/>
                    <a:stretch>
                      <a:fillRect/>
                    </a:stretch>
                  </pic:blipFill>
                  <pic:spPr>
                    <a:xfrm>
                      <a:off x="0" y="0"/>
                      <a:ext cx="5908675" cy="2078990"/>
                    </a:xfrm>
                    <a:prstGeom prst="rect">
                      <a:avLst/>
                    </a:prstGeom>
                    <a:noFill/>
                    <a:ln>
                      <a:noFill/>
                    </a:ln>
                  </pic:spPr>
                </pic:pic>
              </a:graphicData>
            </a:graphic>
          </wp:inline>
        </w:drawing>
      </w:r>
    </w:p>
    <w:p w14:paraId="09A89779">
      <w:pPr>
        <w:overflowPunct w:val="0"/>
        <w:spacing w:line="480" w:lineRule="auto"/>
        <w:ind w:firstLine="420"/>
        <w:jc w:val="both"/>
        <w:textAlignment w:val="auto"/>
        <w:rPr>
          <w:rFonts w:ascii="Arial" w:hAnsi="Arial"/>
          <w:color w:val="000000"/>
          <w:sz w:val="21"/>
        </w:rPr>
      </w:pPr>
      <w:r>
        <w:rPr>
          <w:rFonts w:ascii="Arial" w:hAnsi="Arial"/>
          <w:color w:val="000000"/>
          <w:sz w:val="21"/>
        </w:rPr>
        <w:t>整体来看，北京市</w:t>
      </w:r>
      <w:r>
        <w:rPr>
          <w:rFonts w:hint="eastAsia" w:ascii="Arial" w:hAnsi="Arial"/>
          <w:color w:val="000000"/>
          <w:sz w:val="21"/>
        </w:rPr>
        <w:t>存量</w:t>
      </w:r>
      <w:r>
        <w:rPr>
          <w:rFonts w:ascii="Arial" w:hAnsi="Arial"/>
          <w:color w:val="000000"/>
          <w:sz w:val="21"/>
        </w:rPr>
        <w:t>房对新房市场的分流效应逐步增强。2021年以来，北京市</w:t>
      </w:r>
      <w:r>
        <w:rPr>
          <w:rFonts w:hint="eastAsia" w:ascii="Arial" w:hAnsi="Arial"/>
          <w:color w:val="000000"/>
          <w:sz w:val="21"/>
        </w:rPr>
        <w:t>存量</w:t>
      </w:r>
      <w:r>
        <w:rPr>
          <w:rFonts w:ascii="Arial" w:hAnsi="Arial"/>
          <w:color w:val="000000"/>
          <w:sz w:val="21"/>
        </w:rPr>
        <w:t>房成交占比波动增加。2025年三季度，北京新房市场虽有海淀、朝阳、通州 等项目的局部高热现象，但整体市场持续承压，累计成交套数不足1万套，为近年季度低位；</w:t>
      </w:r>
      <w:r>
        <w:rPr>
          <w:rFonts w:hint="eastAsia" w:ascii="Arial" w:hAnsi="Arial"/>
          <w:color w:val="000000"/>
          <w:sz w:val="21"/>
        </w:rPr>
        <w:t>存量</w:t>
      </w:r>
      <w:r>
        <w:rPr>
          <w:rFonts w:ascii="Arial" w:hAnsi="Arial"/>
          <w:color w:val="000000"/>
          <w:sz w:val="21"/>
        </w:rPr>
        <w:t>房市场热度虽有所下降，但成交套数依然保持较高水平。2025 年三季度北京</w:t>
      </w:r>
      <w:r>
        <w:rPr>
          <w:rFonts w:hint="eastAsia" w:ascii="Arial" w:hAnsi="Arial"/>
          <w:color w:val="000000"/>
          <w:sz w:val="21"/>
        </w:rPr>
        <w:t>存量</w:t>
      </w:r>
      <w:r>
        <w:rPr>
          <w:rFonts w:ascii="Arial" w:hAnsi="Arial"/>
          <w:color w:val="000000"/>
          <w:sz w:val="21"/>
        </w:rPr>
        <w:t>商品住宅累计成交套数占比升至81%，较上年同期提高4个百分点。</w:t>
      </w:r>
    </w:p>
    <w:p w14:paraId="685F35CD">
      <w:pPr>
        <w:overflowPunct w:val="0"/>
        <w:spacing w:line="480" w:lineRule="auto"/>
        <w:jc w:val="both"/>
        <w:textAlignment w:val="auto"/>
        <w:rPr>
          <w:rFonts w:ascii="Arial" w:hAnsi="Arial"/>
          <w:color w:val="000000"/>
          <w:sz w:val="21"/>
        </w:rPr>
      </w:pPr>
      <w:r>
        <w:drawing>
          <wp:inline distT="0" distB="0" distL="114300" distR="114300">
            <wp:extent cx="5910580" cy="1720215"/>
            <wp:effectExtent l="0" t="0" r="2540" b="1905"/>
            <wp:docPr id="44"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0"/>
                    <pic:cNvPicPr>
                      <a:picLocks noChangeAspect="1"/>
                    </pic:cNvPicPr>
                  </pic:nvPicPr>
                  <pic:blipFill>
                    <a:blip r:embed="rId41"/>
                    <a:stretch>
                      <a:fillRect/>
                    </a:stretch>
                  </pic:blipFill>
                  <pic:spPr>
                    <a:xfrm>
                      <a:off x="0" y="0"/>
                      <a:ext cx="5910580" cy="1720215"/>
                    </a:xfrm>
                    <a:prstGeom prst="rect">
                      <a:avLst/>
                    </a:prstGeom>
                    <a:noFill/>
                    <a:ln>
                      <a:noFill/>
                    </a:ln>
                  </pic:spPr>
                </pic:pic>
              </a:graphicData>
            </a:graphic>
          </wp:inline>
        </w:drawing>
      </w:r>
    </w:p>
    <w:p w14:paraId="00789FB0">
      <w:pPr>
        <w:spacing w:line="480" w:lineRule="auto"/>
        <w:ind w:firstLine="420" w:firstLineChars="200"/>
        <w:jc w:val="both"/>
        <w:textAlignment w:val="auto"/>
        <w:rPr>
          <w:rFonts w:ascii="Arial" w:hAnsi="Arial"/>
          <w:sz w:val="21"/>
          <w:szCs w:val="28"/>
        </w:rPr>
      </w:pPr>
      <w:r>
        <w:rPr>
          <w:rFonts w:hint="eastAsia" w:ascii="Arial" w:hAnsi="Arial"/>
          <w:sz w:val="21"/>
          <w:szCs w:val="28"/>
        </w:rPr>
        <w:t>3）住宅租赁市场</w:t>
      </w:r>
    </w:p>
    <w:p w14:paraId="3B0C65FA">
      <w:pPr>
        <w:spacing w:line="480" w:lineRule="auto"/>
        <w:ind w:firstLine="420" w:firstLineChars="200"/>
        <w:jc w:val="both"/>
        <w:textAlignment w:val="auto"/>
        <w:rPr>
          <w:rFonts w:ascii="Arial" w:hAnsi="Arial"/>
          <w:sz w:val="21"/>
          <w:szCs w:val="28"/>
        </w:rPr>
      </w:pPr>
      <w:r>
        <w:rPr>
          <w:rFonts w:hint="eastAsia" w:ascii="Arial" w:hAnsi="Arial"/>
          <w:sz w:val="21"/>
          <w:szCs w:val="28"/>
        </w:rPr>
        <w:t>202</w:t>
      </w:r>
      <w:r>
        <w:rPr>
          <w:rFonts w:ascii="Arial" w:hAnsi="Arial"/>
          <w:sz w:val="21"/>
          <w:szCs w:val="28"/>
        </w:rPr>
        <w:t>5</w:t>
      </w:r>
      <w:r>
        <w:rPr>
          <w:rFonts w:hint="eastAsia" w:ascii="Arial" w:hAnsi="Arial"/>
          <w:sz w:val="21"/>
          <w:szCs w:val="28"/>
        </w:rPr>
        <w:t>年上半年，北京市住宅租赁市场整体表现较好，交易量创 2019 年以来同期次高，租金整体呈平稳微降态势，市场结构和需求也发生了一些变化。以下是具体分析：</w:t>
      </w:r>
    </w:p>
    <w:p w14:paraId="4937D897">
      <w:pPr>
        <w:spacing w:line="480" w:lineRule="auto"/>
        <w:ind w:firstLine="420" w:firstLineChars="200"/>
        <w:jc w:val="both"/>
        <w:textAlignment w:val="auto"/>
        <w:rPr>
          <w:rFonts w:ascii="Arial" w:hAnsi="Arial"/>
          <w:sz w:val="21"/>
          <w:szCs w:val="28"/>
        </w:rPr>
      </w:pPr>
      <w:r>
        <w:rPr>
          <w:rFonts w:hint="eastAsia" w:ascii="Arial" w:hAnsi="Arial"/>
          <w:sz w:val="21"/>
          <w:szCs w:val="28"/>
        </w:rPr>
        <w:t>交易量方面，2025 年上半年，我爱我家北京区域住房租赁交易量不及 2024 年上半年，但好于 2019-2023 年各年度同期水平，创历史同期次高。从月度来看，1 月受春节假期影响，日均交易量较低；2 月春节假期后市场快速回升；3 月迎来租赁 “小阳春”，环比增幅较高，交易量达到上半年次高水平；4 月市场常规性回落；5-6 月市场持续回升，6 月交易量达到上半年月度高峰。</w:t>
      </w:r>
    </w:p>
    <w:p w14:paraId="607E6F2E">
      <w:pPr>
        <w:spacing w:line="480" w:lineRule="auto"/>
        <w:ind w:firstLine="420" w:firstLineChars="200"/>
        <w:jc w:val="both"/>
        <w:textAlignment w:val="auto"/>
        <w:rPr>
          <w:rFonts w:ascii="Arial" w:hAnsi="Arial"/>
          <w:sz w:val="21"/>
          <w:szCs w:val="28"/>
        </w:rPr>
      </w:pPr>
      <w:r>
        <w:rPr>
          <w:rFonts w:hint="eastAsia" w:ascii="Arial" w:hAnsi="Arial"/>
          <w:sz w:val="21"/>
          <w:szCs w:val="28"/>
        </w:rPr>
        <w:t>租金方面，2025 年上半年整租平均租金同环比均跌，1-6 月月度租金环比涨跌幅保持在 3% 以内，环比波动平稳。5月份每平方米平均租金环比微涨0.5%，每套平均租金微涨 0.1%，租金水平仍低于去年同期，但同比跌幅较上月持续明显收窄。</w:t>
      </w:r>
    </w:p>
    <w:p w14:paraId="53D5449D">
      <w:pPr>
        <w:spacing w:line="480" w:lineRule="auto"/>
        <w:ind w:firstLine="420" w:firstLineChars="200"/>
        <w:jc w:val="both"/>
        <w:textAlignment w:val="auto"/>
        <w:rPr>
          <w:rFonts w:ascii="Arial" w:hAnsi="Arial"/>
          <w:sz w:val="21"/>
          <w:szCs w:val="28"/>
        </w:rPr>
      </w:pPr>
      <w:r>
        <w:rPr>
          <w:rFonts w:hint="eastAsia" w:ascii="Arial" w:hAnsi="Arial"/>
          <w:sz w:val="21"/>
          <w:szCs w:val="28"/>
        </w:rPr>
        <w:t>供需关系方面，供应端持续增加，大量二手房因交易受阻 “由售转租”，同时 “商改租”、企业自建住房以及保障性租赁住房等不断入市，增加了租赁供应。需求端则因外来人口增速放缓、部分年轻租客离开北京等因素，出现系统性萎缩，整体呈现供大于求的态势，但供不应求的紧张关系略有缓解。</w:t>
      </w:r>
    </w:p>
    <w:p w14:paraId="29E9186A">
      <w:pPr>
        <w:spacing w:line="480" w:lineRule="auto"/>
        <w:ind w:firstLine="420" w:firstLineChars="200"/>
        <w:jc w:val="both"/>
        <w:textAlignment w:val="auto"/>
        <w:rPr>
          <w:rFonts w:ascii="Arial" w:hAnsi="Arial"/>
          <w:sz w:val="21"/>
          <w:szCs w:val="28"/>
        </w:rPr>
      </w:pPr>
      <w:r>
        <w:rPr>
          <w:rFonts w:hint="eastAsia" w:ascii="Arial" w:hAnsi="Arial"/>
          <w:sz w:val="21"/>
          <w:szCs w:val="28"/>
        </w:rPr>
        <w:t>2025 年上半年，北京市个人平均租金84.7元/㎡·月（同比下降5.4%），套均租金同比下降6.5%，就业市场疲软及保障房分流持续压制需求。</w:t>
      </w:r>
    </w:p>
    <w:p w14:paraId="739F739B">
      <w:pPr>
        <w:spacing w:line="240" w:lineRule="auto"/>
        <w:ind w:left="480" w:hanging="480" w:hangingChars="200"/>
        <w:jc w:val="both"/>
        <w:textAlignment w:val="auto"/>
        <w:rPr>
          <w:rFonts w:ascii="Arial" w:hAnsi="Arial"/>
          <w:sz w:val="18"/>
          <w:szCs w:val="28"/>
          <w:highlight w:val="yellow"/>
        </w:rPr>
      </w:pPr>
      <w:r>
        <w:drawing>
          <wp:inline distT="0" distB="0" distL="114300" distR="114300">
            <wp:extent cx="5901055" cy="1780540"/>
            <wp:effectExtent l="0" t="0" r="12065" b="2540"/>
            <wp:docPr id="4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1"/>
                    <pic:cNvPicPr>
                      <a:picLocks noChangeAspect="1"/>
                    </pic:cNvPicPr>
                  </pic:nvPicPr>
                  <pic:blipFill>
                    <a:blip r:embed="rId43"/>
                    <a:stretch>
                      <a:fillRect/>
                    </a:stretch>
                  </pic:blipFill>
                  <pic:spPr>
                    <a:xfrm>
                      <a:off x="0" y="0"/>
                      <a:ext cx="5901055" cy="1780540"/>
                    </a:xfrm>
                    <a:prstGeom prst="rect">
                      <a:avLst/>
                    </a:prstGeom>
                    <a:noFill/>
                    <a:ln>
                      <a:noFill/>
                    </a:ln>
                  </pic:spPr>
                </pic:pic>
              </a:graphicData>
            </a:graphic>
          </wp:inline>
        </w:drawing>
      </w:r>
      <w:r>
        <w:rPr>
          <w:rFonts w:hint="eastAsia" w:ascii="Arial" w:hAnsi="Arial"/>
          <w:sz w:val="18"/>
          <w:szCs w:val="28"/>
        </w:rPr>
        <w:t>数据来源：克而瑞北京《2024年北京住房租赁市场年报》</w:t>
      </w:r>
    </w:p>
    <w:p w14:paraId="70A70AC5">
      <w:pPr>
        <w:spacing w:line="480" w:lineRule="auto"/>
        <w:jc w:val="both"/>
        <w:textAlignment w:val="auto"/>
        <w:rPr>
          <w:rFonts w:ascii="Arial" w:hAnsi="Arial"/>
          <w:sz w:val="21"/>
          <w:szCs w:val="28"/>
        </w:rPr>
      </w:pPr>
    </w:p>
    <w:p w14:paraId="38CD95FE">
      <w:pPr>
        <w:spacing w:line="240" w:lineRule="auto"/>
        <w:jc w:val="both"/>
        <w:textAlignment w:val="auto"/>
        <w:rPr>
          <w:rFonts w:ascii="Arial" w:hAnsi="Arial"/>
          <w:sz w:val="21"/>
          <w:szCs w:val="28"/>
        </w:rPr>
      </w:pPr>
      <w:r>
        <w:drawing>
          <wp:inline distT="0" distB="0" distL="114300" distR="114300">
            <wp:extent cx="5905500" cy="2230120"/>
            <wp:effectExtent l="0" t="0" r="7620" b="10160"/>
            <wp:docPr id="39"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2"/>
                    <pic:cNvPicPr>
                      <a:picLocks noChangeAspect="1"/>
                    </pic:cNvPicPr>
                  </pic:nvPicPr>
                  <pic:blipFill>
                    <a:blip r:embed="rId44"/>
                    <a:stretch>
                      <a:fillRect/>
                    </a:stretch>
                  </pic:blipFill>
                  <pic:spPr>
                    <a:xfrm>
                      <a:off x="0" y="0"/>
                      <a:ext cx="5905500" cy="2230120"/>
                    </a:xfrm>
                    <a:prstGeom prst="rect">
                      <a:avLst/>
                    </a:prstGeom>
                    <a:noFill/>
                    <a:ln>
                      <a:noFill/>
                    </a:ln>
                  </pic:spPr>
                </pic:pic>
              </a:graphicData>
            </a:graphic>
          </wp:inline>
        </w:drawing>
      </w:r>
    </w:p>
    <w:p w14:paraId="4D73920F">
      <w:pPr>
        <w:spacing w:line="240" w:lineRule="auto"/>
        <w:ind w:firstLine="540" w:firstLineChars="300"/>
        <w:jc w:val="both"/>
        <w:textAlignment w:val="auto"/>
        <w:rPr>
          <w:rFonts w:ascii="Arial" w:hAnsi="Arial"/>
          <w:sz w:val="18"/>
          <w:szCs w:val="28"/>
          <w:highlight w:val="yellow"/>
        </w:rPr>
      </w:pPr>
      <w:r>
        <w:rPr>
          <w:rFonts w:hint="eastAsia" w:ascii="Arial" w:hAnsi="Arial"/>
          <w:sz w:val="18"/>
          <w:szCs w:val="28"/>
        </w:rPr>
        <w:t>数据来源：克而瑞北京《2024年北京住房租赁市场年报》</w:t>
      </w:r>
    </w:p>
    <w:p w14:paraId="420246AA">
      <w:pPr>
        <w:widowControl/>
        <w:shd w:val="clear" w:color="auto" w:fill="FFFFFF"/>
        <w:spacing w:before="100" w:beforeAutospacing="1" w:after="100" w:afterAutospacing="1" w:line="450" w:lineRule="atLeast"/>
        <w:ind w:firstLine="630" w:firstLineChars="300"/>
        <w:textAlignment w:val="auto"/>
        <w:rPr>
          <w:rFonts w:ascii="Arial" w:hAnsi="Arial"/>
          <w:color w:val="000000"/>
          <w:sz w:val="21"/>
          <w:szCs w:val="21"/>
        </w:rPr>
      </w:pPr>
      <w:r>
        <w:rPr>
          <w:rFonts w:ascii="Arial" w:hAnsi="Arial"/>
          <w:color w:val="000000"/>
          <w:sz w:val="21"/>
          <w:szCs w:val="21"/>
        </w:rPr>
        <w:t>从市场供需来看，北京个人房源挂牌量在年初和年中上涨显著，年度单月平均挂牌4.8万余间；受毕业季影响，成交量在7月达到最高点，年初和年未明显收缩。</w:t>
      </w:r>
    </w:p>
    <w:p w14:paraId="72E22F8D">
      <w:pPr>
        <w:spacing w:line="240" w:lineRule="auto"/>
        <w:ind w:left="480" w:hanging="480" w:hangingChars="200"/>
        <w:jc w:val="both"/>
        <w:textAlignment w:val="auto"/>
        <w:rPr>
          <w:rFonts w:ascii="Arial" w:hAnsi="Arial"/>
          <w:sz w:val="18"/>
          <w:szCs w:val="28"/>
          <w:highlight w:val="yellow"/>
        </w:rPr>
      </w:pPr>
      <w:r>
        <w:drawing>
          <wp:inline distT="0" distB="0" distL="114300" distR="114300">
            <wp:extent cx="5821680" cy="2020570"/>
            <wp:effectExtent l="0" t="0" r="0" b="6350"/>
            <wp:docPr id="4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3"/>
                    <pic:cNvPicPr>
                      <a:picLocks noChangeAspect="1"/>
                    </pic:cNvPicPr>
                  </pic:nvPicPr>
                  <pic:blipFill>
                    <a:blip r:embed="rId45"/>
                    <a:stretch>
                      <a:fillRect/>
                    </a:stretch>
                  </pic:blipFill>
                  <pic:spPr>
                    <a:xfrm>
                      <a:off x="0" y="0"/>
                      <a:ext cx="5821680" cy="2020570"/>
                    </a:xfrm>
                    <a:prstGeom prst="rect">
                      <a:avLst/>
                    </a:prstGeom>
                    <a:noFill/>
                    <a:ln>
                      <a:noFill/>
                    </a:ln>
                  </pic:spPr>
                </pic:pic>
              </a:graphicData>
            </a:graphic>
          </wp:inline>
        </w:drawing>
      </w:r>
      <w:r>
        <w:rPr>
          <w:rFonts w:hint="eastAsia" w:ascii="Arial" w:hAnsi="Arial"/>
          <w:sz w:val="18"/>
          <w:szCs w:val="28"/>
        </w:rPr>
        <w:t>数据来源：克而瑞北京《2024年北京住房租赁市场年报》</w:t>
      </w:r>
    </w:p>
    <w:p w14:paraId="0697CB34">
      <w:pPr>
        <w:spacing w:before="240" w:beforeLines="100" w:line="480" w:lineRule="auto"/>
        <w:ind w:firstLine="420" w:firstLineChars="200"/>
        <w:jc w:val="both"/>
        <w:textAlignment w:val="auto"/>
        <w:rPr>
          <w:rFonts w:ascii="Arial" w:hAnsi="Arial"/>
          <w:sz w:val="21"/>
          <w:szCs w:val="28"/>
        </w:rPr>
      </w:pPr>
      <w:r>
        <w:rPr>
          <w:rFonts w:hint="eastAsia" w:ascii="Arial" w:hAnsi="Arial"/>
          <w:sz w:val="21"/>
          <w:szCs w:val="28"/>
        </w:rPr>
        <w:t>从集中式公寓平均租金看，全年整体平稳小幅波动，年初和年未有所回落；全市出租率水平在7月达到高点，之后回落显著年尾有所上扬，全年同比回升0.5个百分点。租金最高的区域为西城区，平均租金居337.8元/㎡/月，平谷区最低为27.9元/㎡/月。2024年北京是集中式公寓在营业项目数达379个，总房源数11.6万余间，相比去年末提升7.2%；其中超过36.1%的市集中式公寓房源位于朝阳区，门店数和总房源数均居首位，其次是丰台区，房源量占比全市的16.5%。</w:t>
      </w:r>
    </w:p>
    <w:p w14:paraId="0FDA26A3">
      <w:pPr>
        <w:spacing w:line="480" w:lineRule="auto"/>
        <w:ind w:firstLine="420" w:firstLineChars="200"/>
        <w:jc w:val="both"/>
        <w:textAlignment w:val="auto"/>
        <w:rPr>
          <w:rFonts w:ascii="Arial" w:hAnsi="Arial"/>
          <w:sz w:val="21"/>
          <w:szCs w:val="28"/>
        </w:rPr>
      </w:pPr>
      <w:r>
        <w:rPr>
          <w:rFonts w:hint="eastAsia" w:ascii="Arial" w:hAnsi="Arial"/>
          <w:sz w:val="21"/>
          <w:szCs w:val="28"/>
        </w:rPr>
        <w:t>2</w:t>
      </w:r>
      <w:r>
        <w:rPr>
          <w:rFonts w:ascii="Arial" w:hAnsi="Arial"/>
          <w:sz w:val="21"/>
          <w:szCs w:val="28"/>
        </w:rPr>
        <w:t>024年全年，</w:t>
      </w:r>
      <w:r>
        <w:rPr>
          <w:rFonts w:hint="eastAsia" w:ascii="Arial" w:hAnsi="Arial"/>
          <w:sz w:val="21"/>
          <w:szCs w:val="28"/>
        </w:rPr>
        <w:t>北京全市在运营公租房项目共190个，总体量10万余间。大兴区在运营项目最多，达33个；朝阳区公租房房源量位于首位，共19446间。公租房项目受政府管控，租金价格较为平稳，全市西城区平均租金最高，为51.0元/㎡/月；朝阳区次之，为41.2元/㎡/月；密云租金价格较低。</w:t>
      </w:r>
    </w:p>
    <w:p w14:paraId="0BE33452">
      <w:pPr>
        <w:spacing w:line="480" w:lineRule="auto"/>
        <w:ind w:firstLine="420" w:firstLineChars="200"/>
        <w:jc w:val="both"/>
        <w:textAlignment w:val="auto"/>
        <w:rPr>
          <w:rFonts w:ascii="Arial" w:hAnsi="Arial"/>
          <w:sz w:val="21"/>
          <w:szCs w:val="28"/>
        </w:rPr>
      </w:pPr>
      <w:r>
        <w:rPr>
          <w:rFonts w:hint="eastAsia" w:ascii="Arial" w:hAnsi="Arial"/>
          <w:sz w:val="21"/>
          <w:szCs w:val="28"/>
        </w:rPr>
        <w:t>2025年3月，北京住宅租赁交易量环比明显回升，受去年基数较高的影响，同比小幅回落，但整体表现优于2019-2023年同期水平。北京长租公寓整租交易中，每平方米平均租金环比微跌0.4%，每套平均租金环比微涨0.6%，平均租金基本与上月相差不大，但同比仍低于去年同期。</w:t>
      </w:r>
    </w:p>
    <w:p w14:paraId="07397BD9">
      <w:pPr>
        <w:overflowPunct w:val="0"/>
        <w:spacing w:line="480" w:lineRule="auto"/>
        <w:ind w:firstLine="420" w:firstLineChars="200"/>
        <w:jc w:val="both"/>
        <w:textAlignment w:val="auto"/>
        <w:rPr>
          <w:rFonts w:ascii="Arial" w:hAnsi="Arial"/>
          <w:sz w:val="21"/>
          <w:szCs w:val="28"/>
        </w:rPr>
      </w:pPr>
      <w:r>
        <w:rPr>
          <w:rFonts w:ascii="Arial" w:hAnsi="Arial"/>
          <w:sz w:val="21"/>
          <w:szCs w:val="28"/>
        </w:rPr>
        <w:t>2025年</w:t>
      </w:r>
      <w:r>
        <w:rPr>
          <w:rFonts w:hint="eastAsia" w:ascii="Arial" w:hAnsi="Arial"/>
          <w:sz w:val="21"/>
          <w:szCs w:val="28"/>
        </w:rPr>
        <w:t>5月，市场交易活跃度提升，租赁需求结构也在发生变化，大户型和中等租金段的需求增长尤为明显。北京住房租赁整租交易中，两居室交易占比最高，达到52.2%，较上月下滑0.7个百分点；其次是一居室，交易占比38.8%，较上月上升0.7个百分点；一居室与两居室累计占比达到91.0%；三居室与四居室及以上交易占比基本与上月持平。北京住房租赁市场长租公寓整租交易中，每平方米平均租金环比微涨0.5%，每套平均租金微涨0.1%。套均租金基本与上月持平，但租金水平仍低于去年同期，且同比跌幅较上月持续明显收窄。</w:t>
      </w:r>
    </w:p>
    <w:p w14:paraId="3C9E67E4">
      <w:pPr>
        <w:overflowPunct w:val="0"/>
        <w:spacing w:line="480" w:lineRule="auto"/>
        <w:ind w:firstLine="420" w:firstLineChars="200"/>
        <w:jc w:val="both"/>
        <w:textAlignment w:val="auto"/>
        <w:rPr>
          <w:rFonts w:ascii="Arial" w:hAnsi="Arial"/>
          <w:color w:val="000000"/>
          <w:sz w:val="21"/>
          <w:szCs w:val="28"/>
        </w:rPr>
      </w:pPr>
      <w:r>
        <w:rPr>
          <w:rFonts w:hint="eastAsia" w:ascii="Arial" w:hAnsi="Arial"/>
          <w:color w:val="000000"/>
          <w:sz w:val="21"/>
          <w:szCs w:val="28"/>
        </w:rPr>
        <w:t>4.产业政策</w:t>
      </w:r>
    </w:p>
    <w:p w14:paraId="7F3A21B9">
      <w:pPr>
        <w:overflowPunct w:val="0"/>
        <w:spacing w:line="480" w:lineRule="auto"/>
        <w:ind w:firstLine="420"/>
        <w:jc w:val="both"/>
        <w:textAlignment w:val="auto"/>
        <w:rPr>
          <w:rFonts w:ascii="Arial" w:hAnsi="Arial"/>
          <w:b/>
          <w:color w:val="000000"/>
          <w:sz w:val="21"/>
        </w:rPr>
      </w:pPr>
      <w:r>
        <w:rPr>
          <w:rFonts w:hint="eastAsia" w:ascii="Arial" w:hAnsi="Arial"/>
          <w:b/>
          <w:color w:val="000000"/>
          <w:sz w:val="21"/>
        </w:rPr>
        <w:t>全国：</w:t>
      </w:r>
    </w:p>
    <w:p w14:paraId="252F7397">
      <w:pPr>
        <w:overflowPunct w:val="0"/>
        <w:spacing w:line="480" w:lineRule="auto"/>
        <w:ind w:firstLine="420"/>
        <w:jc w:val="both"/>
        <w:textAlignment w:val="auto"/>
        <w:rPr>
          <w:rFonts w:ascii="Arial" w:hAnsi="Arial"/>
          <w:color w:val="000000"/>
          <w:sz w:val="21"/>
        </w:rPr>
      </w:pPr>
      <w:r>
        <w:rPr>
          <w:rFonts w:ascii="Arial" w:hAnsi="Arial"/>
          <w:color w:val="000000"/>
          <w:sz w:val="21"/>
        </w:rPr>
        <w:t>2024年9月26日，中共中央政治局召开会议，分析研究当前经济形势，部署下一步经济工作。会议对房地产政策进行了重点部署，首次提出要“促进房地产市场止跌回稳”，强调稳定房地产市场对宏观经济的重要性。具体措施包括：</w:t>
      </w:r>
      <w:r>
        <w:rPr>
          <w:rFonts w:hint="eastAsia" w:ascii="Arial" w:hAnsi="Arial"/>
          <w:color w:val="000000"/>
          <w:sz w:val="21"/>
        </w:rPr>
        <w:t>一、</w:t>
      </w:r>
      <w:r>
        <w:rPr>
          <w:rFonts w:ascii="Arial" w:hAnsi="Arial"/>
          <w:color w:val="000000"/>
          <w:sz w:val="21"/>
        </w:rPr>
        <w:t>商品房建设：严控增量、优化存量、提高质量，意味着未来土地和住房供应将结合城市实际需求，不能盲目扩大。</w:t>
      </w:r>
      <w:r>
        <w:rPr>
          <w:rFonts w:hint="eastAsia" w:ascii="Arial" w:hAnsi="Arial"/>
          <w:color w:val="000000"/>
          <w:sz w:val="21"/>
        </w:rPr>
        <w:t>二、</w:t>
      </w:r>
      <w:r>
        <w:rPr>
          <w:rFonts w:ascii="Arial" w:hAnsi="Arial"/>
          <w:color w:val="000000"/>
          <w:sz w:val="21"/>
        </w:rPr>
        <w:t>住房限购政策：调整住房限购政策，降低存量房贷利率，以提振市场信心。</w:t>
      </w:r>
      <w:r>
        <w:rPr>
          <w:rFonts w:hint="eastAsia" w:ascii="Arial" w:hAnsi="Arial"/>
          <w:color w:val="000000"/>
          <w:sz w:val="21"/>
        </w:rPr>
        <w:t>三、</w:t>
      </w:r>
      <w:r>
        <w:rPr>
          <w:rFonts w:ascii="Arial" w:hAnsi="Arial"/>
          <w:color w:val="000000"/>
          <w:sz w:val="21"/>
        </w:rPr>
        <w:t>项目贷款：加大“白名单”项目贷款投放力度，支持盘活存量闲置土地。</w:t>
      </w:r>
      <w:r>
        <w:rPr>
          <w:rFonts w:hint="eastAsia" w:ascii="Arial" w:hAnsi="Arial"/>
          <w:color w:val="000000"/>
          <w:sz w:val="21"/>
        </w:rPr>
        <w:t>四、</w:t>
      </w:r>
      <w:r>
        <w:rPr>
          <w:rFonts w:ascii="Arial" w:hAnsi="Arial"/>
          <w:color w:val="000000"/>
          <w:sz w:val="21"/>
        </w:rPr>
        <w:t>政策完善：抓紧完善土地、财税、金融等政策，推动构建房地产发展新模式。会议的积极信号表明，财政和货币政策将加力稳经济，有助于稳定居民收入预期，对房地产市场产生积极影响</w:t>
      </w:r>
      <w:r>
        <w:rPr>
          <w:rFonts w:hint="eastAsia" w:ascii="Arial" w:hAnsi="Arial"/>
          <w:color w:val="000000"/>
          <w:sz w:val="21"/>
        </w:rPr>
        <w:t>。</w:t>
      </w:r>
    </w:p>
    <w:p w14:paraId="2769B295">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2024</w:t>
      </w:r>
      <w:r>
        <w:rPr>
          <w:rFonts w:ascii="Arial" w:hAnsi="Arial"/>
          <w:color w:val="000000"/>
          <w:sz w:val="21"/>
        </w:rPr>
        <w:t>年12月11日至12日，202</w:t>
      </w:r>
      <w:r>
        <w:rPr>
          <w:rFonts w:hint="eastAsia" w:ascii="Arial" w:hAnsi="Arial"/>
          <w:color w:val="000000"/>
          <w:sz w:val="21"/>
        </w:rPr>
        <w:t>4</w:t>
      </w:r>
      <w:r>
        <w:rPr>
          <w:rFonts w:ascii="Arial" w:hAnsi="Arial"/>
          <w:color w:val="000000"/>
          <w:sz w:val="21"/>
        </w:rPr>
        <w:t>年中央经济工作会议举行</w:t>
      </w:r>
      <w:r>
        <w:rPr>
          <w:rFonts w:hint="eastAsia" w:ascii="Arial" w:hAnsi="Arial"/>
          <w:color w:val="000000"/>
          <w:sz w:val="21"/>
        </w:rPr>
        <w:t>。会议总结2024年经济工作，分析当前经济形势，部署2025年经济工作。会议提出“持续用力推动房地产市场止跌回稳，加力实施城中村和危旧房改造，充分释放刚性和改善性住房需求潜力。合理控制新增房地产用地供应，盘活存量用地和商办用房，推进处置存量商品房工作。推动构建房地产发展新模式，有序搭建相关基础性制度。”“统筹推进新型城镇化和乡村全面振兴，促进城乡融合发展。” 可以预见，未来我国房地产市场在稳的基础上，将朝着止跌回稳、控制供应、盘活存量、构建发展新模式的路径更为明确和坚定。在统筹好总供给和总需求关系的同时，以更好更优的“组合拳”政策全面提高房地产市场资源配置效率。</w:t>
      </w:r>
    </w:p>
    <w:p w14:paraId="400ADEB0">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2024年</w:t>
      </w:r>
      <w:r>
        <w:rPr>
          <w:rFonts w:ascii="Arial" w:hAnsi="Arial"/>
          <w:color w:val="000000"/>
          <w:sz w:val="21"/>
        </w:rPr>
        <w:t>12月24日至25日，全国住房城乡建设工作会议在北京召开</w:t>
      </w:r>
      <w:r>
        <w:rPr>
          <w:rFonts w:hint="eastAsia" w:ascii="Arial" w:hAnsi="Arial"/>
          <w:color w:val="000000"/>
          <w:sz w:val="21"/>
        </w:rPr>
        <w:t>。</w:t>
      </w:r>
      <w:r>
        <w:rPr>
          <w:rFonts w:ascii="Arial" w:hAnsi="Arial"/>
          <w:color w:val="000000"/>
          <w:sz w:val="21"/>
        </w:rPr>
        <w:t>会议系统总结2024年工作，部署进一步全面深化住房城乡建设领域改革，明确2025年重点任务，奋力推进住房城乡建设事业高质量发展。会议强调，2</w:t>
      </w:r>
      <w:r>
        <w:rPr>
          <w:rFonts w:hint="eastAsia" w:ascii="Arial" w:hAnsi="Arial"/>
          <w:color w:val="000000"/>
          <w:sz w:val="21"/>
        </w:rPr>
        <w:t>025</w:t>
      </w:r>
      <w:r>
        <w:rPr>
          <w:rFonts w:ascii="Arial" w:hAnsi="Arial"/>
          <w:color w:val="000000"/>
          <w:sz w:val="21"/>
        </w:rPr>
        <w:t>年的工作要重点抓好</w:t>
      </w:r>
      <w:r>
        <w:rPr>
          <w:rFonts w:hint="eastAsia" w:ascii="Arial" w:hAnsi="Arial"/>
          <w:color w:val="000000"/>
          <w:sz w:val="21"/>
        </w:rPr>
        <w:t>5</w:t>
      </w:r>
      <w:r>
        <w:rPr>
          <w:rFonts w:ascii="Arial" w:hAnsi="Arial"/>
          <w:color w:val="000000"/>
          <w:sz w:val="21"/>
        </w:rPr>
        <w:t>大板块</w:t>
      </w:r>
      <w:r>
        <w:rPr>
          <w:rFonts w:hint="eastAsia" w:ascii="Arial" w:hAnsi="Arial"/>
          <w:color w:val="000000"/>
          <w:sz w:val="21"/>
        </w:rPr>
        <w:t>22</w:t>
      </w:r>
      <w:r>
        <w:rPr>
          <w:rFonts w:ascii="Arial" w:hAnsi="Arial"/>
          <w:color w:val="000000"/>
          <w:sz w:val="21"/>
        </w:rPr>
        <w:t>个方面工作。一、</w:t>
      </w:r>
      <w:r>
        <w:rPr>
          <w:rFonts w:hint="eastAsia" w:ascii="Arial" w:hAnsi="Arial"/>
          <w:color w:val="000000"/>
          <w:sz w:val="21"/>
        </w:rPr>
        <w:t>从</w:t>
      </w:r>
      <w:r>
        <w:rPr>
          <w:rFonts w:ascii="Arial" w:hAnsi="Arial"/>
          <w:color w:val="000000"/>
          <w:sz w:val="21"/>
        </w:rPr>
        <w:t>着力释放需求</w:t>
      </w:r>
      <w:r>
        <w:rPr>
          <w:rFonts w:hint="eastAsia" w:ascii="Arial" w:hAnsi="Arial"/>
          <w:color w:val="000000"/>
          <w:sz w:val="21"/>
        </w:rPr>
        <w:t>和着力</w:t>
      </w:r>
      <w:r>
        <w:rPr>
          <w:rFonts w:ascii="Arial" w:hAnsi="Arial"/>
          <w:color w:val="000000"/>
          <w:sz w:val="21"/>
        </w:rPr>
        <w:t>改善供给</w:t>
      </w:r>
      <w:r>
        <w:rPr>
          <w:rFonts w:hint="eastAsia" w:ascii="Arial" w:hAnsi="Arial"/>
          <w:color w:val="000000"/>
          <w:sz w:val="21"/>
        </w:rPr>
        <w:t>两方面，</w:t>
      </w:r>
      <w:r>
        <w:rPr>
          <w:rFonts w:ascii="Arial" w:hAnsi="Arial"/>
          <w:color w:val="000000"/>
          <w:sz w:val="21"/>
        </w:rPr>
        <w:t>持续用力推动房地产市场止跌回稳</w:t>
      </w:r>
      <w:r>
        <w:rPr>
          <w:rFonts w:hint="eastAsia" w:ascii="Arial" w:hAnsi="Arial"/>
          <w:color w:val="000000"/>
          <w:sz w:val="21"/>
        </w:rPr>
        <w:t>。二、从</w:t>
      </w:r>
      <w:r>
        <w:rPr>
          <w:rFonts w:ascii="Arial" w:hAnsi="Arial"/>
          <w:color w:val="000000"/>
          <w:sz w:val="21"/>
        </w:rPr>
        <w:t>着力优化和完善住房供应体系</w:t>
      </w:r>
      <w:r>
        <w:rPr>
          <w:rFonts w:hint="eastAsia" w:ascii="Arial" w:hAnsi="Arial"/>
          <w:color w:val="000000"/>
          <w:sz w:val="21"/>
        </w:rPr>
        <w:t>、</w:t>
      </w:r>
      <w:r>
        <w:rPr>
          <w:rFonts w:ascii="Arial" w:hAnsi="Arial"/>
          <w:color w:val="000000"/>
          <w:sz w:val="21"/>
        </w:rPr>
        <w:t>推动建立要素联动新机制</w:t>
      </w:r>
      <w:r>
        <w:rPr>
          <w:rFonts w:hint="eastAsia" w:ascii="Arial" w:hAnsi="Arial"/>
          <w:color w:val="000000"/>
          <w:sz w:val="21"/>
        </w:rPr>
        <w:t>、</w:t>
      </w:r>
      <w:r>
        <w:rPr>
          <w:rFonts w:ascii="Arial" w:hAnsi="Arial"/>
          <w:color w:val="000000"/>
          <w:sz w:val="21"/>
        </w:rPr>
        <w:t>大力推进商品住房销售制度改革</w:t>
      </w:r>
      <w:r>
        <w:rPr>
          <w:rFonts w:hint="eastAsia" w:ascii="Arial" w:hAnsi="Arial"/>
          <w:color w:val="000000"/>
          <w:sz w:val="21"/>
        </w:rPr>
        <w:t>、</w:t>
      </w:r>
      <w:r>
        <w:rPr>
          <w:rFonts w:ascii="Arial" w:hAnsi="Arial"/>
          <w:color w:val="000000"/>
          <w:sz w:val="21"/>
        </w:rPr>
        <w:t>加快建立房屋全生命周期安全管理制度</w:t>
      </w:r>
      <w:r>
        <w:rPr>
          <w:rFonts w:hint="eastAsia" w:ascii="Arial" w:hAnsi="Arial"/>
          <w:color w:val="000000"/>
          <w:sz w:val="21"/>
        </w:rPr>
        <w:t>和</w:t>
      </w:r>
      <w:r>
        <w:rPr>
          <w:rFonts w:ascii="Arial" w:hAnsi="Arial"/>
          <w:color w:val="000000"/>
          <w:sz w:val="21"/>
        </w:rPr>
        <w:t>完善房地产全过程监管</w:t>
      </w:r>
      <w:r>
        <w:rPr>
          <w:rFonts w:hint="eastAsia" w:ascii="Arial" w:hAnsi="Arial"/>
          <w:color w:val="000000"/>
          <w:sz w:val="21"/>
        </w:rPr>
        <w:t>五个方面，</w:t>
      </w:r>
      <w:r>
        <w:rPr>
          <w:rFonts w:ascii="Arial" w:hAnsi="Arial"/>
          <w:color w:val="000000"/>
          <w:sz w:val="21"/>
        </w:rPr>
        <w:t>推动构建房地产发展新模式</w:t>
      </w:r>
      <w:r>
        <w:rPr>
          <w:rFonts w:hint="eastAsia" w:ascii="Arial" w:hAnsi="Arial"/>
          <w:color w:val="000000"/>
          <w:sz w:val="21"/>
        </w:rPr>
        <w:t>。三、从</w:t>
      </w:r>
      <w:r>
        <w:rPr>
          <w:rFonts w:ascii="Arial" w:hAnsi="Arial"/>
          <w:color w:val="000000"/>
          <w:sz w:val="21"/>
        </w:rPr>
        <w:t>建立城市体检和城市更新一体化推进机制</w:t>
      </w:r>
      <w:r>
        <w:rPr>
          <w:rFonts w:hint="eastAsia" w:ascii="Arial" w:hAnsi="Arial"/>
          <w:color w:val="000000"/>
          <w:sz w:val="21"/>
        </w:rPr>
        <w:t>、</w:t>
      </w:r>
      <w:r>
        <w:rPr>
          <w:rFonts w:ascii="Arial" w:hAnsi="Arial"/>
          <w:color w:val="000000"/>
          <w:sz w:val="21"/>
        </w:rPr>
        <w:t>建立可持续的城市更新模式和政策法规</w:t>
      </w:r>
      <w:r>
        <w:rPr>
          <w:rFonts w:hint="eastAsia" w:ascii="Arial" w:hAnsi="Arial"/>
          <w:color w:val="000000"/>
          <w:sz w:val="21"/>
        </w:rPr>
        <w:t>、</w:t>
      </w:r>
      <w:r>
        <w:rPr>
          <w:rFonts w:ascii="Arial" w:hAnsi="Arial"/>
          <w:color w:val="000000"/>
          <w:sz w:val="21"/>
        </w:rPr>
        <w:t>谋划实施一批城市更新改造项目</w:t>
      </w:r>
      <w:r>
        <w:rPr>
          <w:rFonts w:hint="eastAsia" w:ascii="Arial" w:hAnsi="Arial"/>
          <w:color w:val="000000"/>
          <w:sz w:val="21"/>
        </w:rPr>
        <w:t>、</w:t>
      </w:r>
      <w:r>
        <w:rPr>
          <w:rFonts w:ascii="Arial" w:hAnsi="Arial"/>
          <w:color w:val="000000"/>
          <w:sz w:val="21"/>
        </w:rPr>
        <w:t>构建城市管理新模式</w:t>
      </w:r>
      <w:r>
        <w:rPr>
          <w:rFonts w:hint="eastAsia" w:ascii="Arial" w:hAnsi="Arial"/>
          <w:color w:val="000000"/>
          <w:sz w:val="21"/>
        </w:rPr>
        <w:t>和</w:t>
      </w:r>
      <w:r>
        <w:rPr>
          <w:rFonts w:ascii="Arial" w:hAnsi="Arial"/>
          <w:color w:val="000000"/>
          <w:sz w:val="21"/>
        </w:rPr>
        <w:t>以“新城建”为引擎打造高水平“数字住建”</w:t>
      </w:r>
      <w:r>
        <w:rPr>
          <w:rFonts w:hint="eastAsia" w:ascii="Arial" w:hAnsi="Arial"/>
          <w:color w:val="000000"/>
          <w:sz w:val="21"/>
        </w:rPr>
        <w:t>五个方面，</w:t>
      </w:r>
      <w:r>
        <w:rPr>
          <w:rFonts w:ascii="Arial" w:hAnsi="Arial"/>
          <w:color w:val="000000"/>
          <w:sz w:val="21"/>
        </w:rPr>
        <w:t>大力实施城市更新</w:t>
      </w:r>
      <w:r>
        <w:rPr>
          <w:rFonts w:hint="eastAsia" w:ascii="Arial" w:hAnsi="Arial"/>
          <w:color w:val="000000"/>
          <w:sz w:val="21"/>
        </w:rPr>
        <w:t>。四、从</w:t>
      </w:r>
      <w:r>
        <w:rPr>
          <w:rFonts w:ascii="Arial" w:hAnsi="Arial"/>
          <w:color w:val="000000"/>
          <w:sz w:val="21"/>
        </w:rPr>
        <w:t>全面深化建筑业改革</w:t>
      </w:r>
      <w:r>
        <w:rPr>
          <w:rFonts w:hint="eastAsia" w:ascii="Arial" w:hAnsi="Arial"/>
          <w:color w:val="000000"/>
          <w:sz w:val="21"/>
        </w:rPr>
        <w:t>、</w:t>
      </w:r>
      <w:r>
        <w:rPr>
          <w:rFonts w:ascii="Arial" w:hAnsi="Arial"/>
          <w:color w:val="000000"/>
          <w:sz w:val="21"/>
        </w:rPr>
        <w:t>以更高质量的制度供给激发活力</w:t>
      </w:r>
      <w:r>
        <w:rPr>
          <w:rFonts w:hint="eastAsia" w:ascii="Arial" w:hAnsi="Arial"/>
          <w:color w:val="000000"/>
          <w:sz w:val="21"/>
        </w:rPr>
        <w:t>、</w:t>
      </w:r>
      <w:r>
        <w:rPr>
          <w:rFonts w:ascii="Arial" w:hAnsi="Arial"/>
          <w:color w:val="000000"/>
          <w:sz w:val="21"/>
        </w:rPr>
        <w:t>整体提升工程建设标准</w:t>
      </w:r>
      <w:r>
        <w:rPr>
          <w:rFonts w:hint="eastAsia" w:ascii="Arial" w:hAnsi="Arial"/>
          <w:color w:val="000000"/>
          <w:sz w:val="21"/>
        </w:rPr>
        <w:t>、</w:t>
      </w:r>
      <w:r>
        <w:rPr>
          <w:rFonts w:ascii="Arial" w:hAnsi="Arial"/>
          <w:color w:val="000000"/>
          <w:sz w:val="21"/>
        </w:rPr>
        <w:t>支持打造形成现代化建筑产业链</w:t>
      </w:r>
      <w:r>
        <w:rPr>
          <w:rFonts w:hint="eastAsia" w:ascii="Arial" w:hAnsi="Arial"/>
          <w:color w:val="000000"/>
          <w:sz w:val="21"/>
        </w:rPr>
        <w:t>和</w:t>
      </w:r>
      <w:r>
        <w:rPr>
          <w:rFonts w:ascii="Arial" w:hAnsi="Arial"/>
          <w:color w:val="000000"/>
          <w:sz w:val="21"/>
        </w:rPr>
        <w:t>把绿色建筑培育发展成新的经济增长点</w:t>
      </w:r>
      <w:r>
        <w:rPr>
          <w:rFonts w:hint="eastAsia" w:ascii="Arial" w:hAnsi="Arial"/>
          <w:color w:val="000000"/>
          <w:sz w:val="21"/>
        </w:rPr>
        <w:t>五个方面，</w:t>
      </w:r>
      <w:r>
        <w:rPr>
          <w:rFonts w:ascii="Arial" w:hAnsi="Arial"/>
          <w:color w:val="000000"/>
          <w:sz w:val="21"/>
        </w:rPr>
        <w:t>打造“中国建造”升级版</w:t>
      </w:r>
      <w:r>
        <w:rPr>
          <w:rFonts w:hint="eastAsia" w:ascii="Arial" w:hAnsi="Arial"/>
          <w:color w:val="000000"/>
          <w:sz w:val="21"/>
        </w:rPr>
        <w:t>。五、从</w:t>
      </w:r>
      <w:r>
        <w:rPr>
          <w:rFonts w:ascii="Arial" w:hAnsi="Arial"/>
          <w:color w:val="000000"/>
          <w:sz w:val="21"/>
        </w:rPr>
        <w:t>提高住宅建设标准</w:t>
      </w:r>
      <w:r>
        <w:rPr>
          <w:rFonts w:hint="eastAsia" w:ascii="Arial" w:hAnsi="Arial"/>
          <w:color w:val="000000"/>
          <w:sz w:val="21"/>
        </w:rPr>
        <w:t>、</w:t>
      </w:r>
      <w:r>
        <w:rPr>
          <w:rFonts w:ascii="Arial" w:hAnsi="Arial"/>
          <w:color w:val="000000"/>
          <w:sz w:val="21"/>
        </w:rPr>
        <w:t>构建支持住房品质提升的制度体系</w:t>
      </w:r>
      <w:r>
        <w:rPr>
          <w:rFonts w:hint="eastAsia" w:ascii="Arial" w:hAnsi="Arial"/>
          <w:color w:val="000000"/>
          <w:sz w:val="21"/>
        </w:rPr>
        <w:t>、</w:t>
      </w:r>
      <w:r>
        <w:rPr>
          <w:rFonts w:ascii="Arial" w:hAnsi="Arial"/>
          <w:color w:val="000000"/>
          <w:sz w:val="21"/>
        </w:rPr>
        <w:t>支持房企打造好房子样板</w:t>
      </w:r>
      <w:r>
        <w:rPr>
          <w:rFonts w:hint="eastAsia" w:ascii="Arial" w:hAnsi="Arial"/>
          <w:color w:val="000000"/>
          <w:sz w:val="21"/>
        </w:rPr>
        <w:t>、</w:t>
      </w:r>
      <w:r>
        <w:rPr>
          <w:rFonts w:ascii="Arial" w:hAnsi="Arial"/>
          <w:color w:val="000000"/>
          <w:sz w:val="21"/>
        </w:rPr>
        <w:t>推进老旧住宅更新改造</w:t>
      </w:r>
      <w:r>
        <w:rPr>
          <w:rFonts w:hint="eastAsia" w:ascii="Arial" w:hAnsi="Arial"/>
          <w:color w:val="000000"/>
          <w:sz w:val="21"/>
        </w:rPr>
        <w:t>和</w:t>
      </w:r>
      <w:r>
        <w:rPr>
          <w:rFonts w:ascii="Arial" w:hAnsi="Arial"/>
          <w:color w:val="000000"/>
          <w:sz w:val="21"/>
        </w:rPr>
        <w:t>大力实施物业服务质量提升行动</w:t>
      </w:r>
      <w:r>
        <w:rPr>
          <w:rFonts w:hint="eastAsia" w:ascii="Arial" w:hAnsi="Arial"/>
          <w:color w:val="000000"/>
          <w:sz w:val="21"/>
        </w:rPr>
        <w:t>五个方面，</w:t>
      </w:r>
      <w:r>
        <w:rPr>
          <w:rFonts w:ascii="Arial" w:hAnsi="Arial"/>
          <w:color w:val="000000"/>
          <w:sz w:val="21"/>
        </w:rPr>
        <w:t>建设安全、舒适、绿色、智慧的好房子</w:t>
      </w:r>
      <w:r>
        <w:rPr>
          <w:rFonts w:hint="eastAsia" w:ascii="Arial" w:hAnsi="Arial"/>
          <w:color w:val="000000"/>
          <w:sz w:val="21"/>
        </w:rPr>
        <w:t>。</w:t>
      </w:r>
    </w:p>
    <w:p w14:paraId="054ECE5F">
      <w:pPr>
        <w:overflowPunct w:val="0"/>
        <w:spacing w:line="480" w:lineRule="auto"/>
        <w:ind w:firstLine="420"/>
        <w:jc w:val="both"/>
        <w:textAlignment w:val="auto"/>
        <w:rPr>
          <w:rFonts w:ascii="Arial" w:hAnsi="Arial"/>
          <w:color w:val="000000"/>
          <w:sz w:val="21"/>
        </w:rPr>
      </w:pPr>
      <w:r>
        <w:rPr>
          <w:rFonts w:ascii="Arial" w:hAnsi="Arial"/>
          <w:color w:val="000000"/>
          <w:sz w:val="21"/>
        </w:rPr>
        <w:t>202</w:t>
      </w:r>
      <w:r>
        <w:rPr>
          <w:rFonts w:hint="eastAsia" w:ascii="Arial" w:hAnsi="Arial"/>
          <w:color w:val="000000"/>
          <w:sz w:val="21"/>
        </w:rPr>
        <w:t>5</w:t>
      </w:r>
      <w:r>
        <w:rPr>
          <w:rFonts w:ascii="Arial" w:hAnsi="Arial"/>
          <w:color w:val="000000"/>
          <w:sz w:val="21"/>
        </w:rPr>
        <w:t>年3月</w:t>
      </w:r>
      <w:r>
        <w:rPr>
          <w:rFonts w:hint="eastAsia" w:ascii="Arial" w:hAnsi="Arial"/>
          <w:color w:val="000000"/>
          <w:sz w:val="21"/>
        </w:rPr>
        <w:t>5</w:t>
      </w:r>
      <w:r>
        <w:rPr>
          <w:rFonts w:ascii="Arial" w:hAnsi="Arial"/>
          <w:color w:val="000000"/>
          <w:sz w:val="21"/>
        </w:rPr>
        <w:t>日全国两会召开。关于房地产的定调，政府工作报告延续了去年底中央经济工作会议基调，</w:t>
      </w:r>
      <w:r>
        <w:rPr>
          <w:rFonts w:hint="eastAsia" w:ascii="Arial" w:hAnsi="Arial"/>
          <w:color w:val="000000"/>
          <w:sz w:val="21"/>
        </w:rPr>
        <w:t>在2025年政府工作任务“有效防范化解重点领域风险,牢牢守住不发生系统性风险底线”中确立了“持续用力推动房地产市场止跌回稳”的政策目标，并从需求不断加力、供给持续调整、风险防范化解和行业长远发展四个方面给出了大段论述。</w:t>
      </w:r>
    </w:p>
    <w:p w14:paraId="516A9FFC">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2025年4月3日，</w:t>
      </w:r>
      <w:r>
        <w:rPr>
          <w:rFonts w:ascii="Arial" w:hAnsi="Arial"/>
          <w:color w:val="000000"/>
          <w:sz w:val="21"/>
        </w:rPr>
        <w:t>财政部办公厅</w:t>
      </w:r>
      <w:r>
        <w:rPr>
          <w:rFonts w:hint="eastAsia" w:ascii="Arial" w:hAnsi="Arial"/>
          <w:color w:val="000000"/>
          <w:sz w:val="21"/>
        </w:rPr>
        <w:t>、</w:t>
      </w:r>
      <w:r>
        <w:rPr>
          <w:rFonts w:ascii="Arial" w:hAnsi="Arial"/>
          <w:color w:val="000000"/>
          <w:sz w:val="21"/>
        </w:rPr>
        <w:t>住房城乡建设部办公厅</w:t>
      </w:r>
      <w:r>
        <w:rPr>
          <w:rFonts w:hint="eastAsia" w:ascii="Arial" w:hAnsi="Arial"/>
          <w:color w:val="000000"/>
          <w:sz w:val="21"/>
        </w:rPr>
        <w:t>联合发布</w:t>
      </w:r>
      <w:r>
        <w:rPr>
          <w:rFonts w:ascii="Arial" w:hAnsi="Arial"/>
          <w:color w:val="000000"/>
          <w:sz w:val="21"/>
        </w:rPr>
        <w:t>《关于开展2025年度中央财政支持实施城市更新行动的通知》</w:t>
      </w:r>
      <w:r>
        <w:rPr>
          <w:rFonts w:hint="eastAsia" w:ascii="Arial" w:hAnsi="Arial"/>
          <w:color w:val="000000"/>
          <w:sz w:val="21"/>
        </w:rPr>
        <w:t>。《通知》提出</w:t>
      </w:r>
      <w:r>
        <w:rPr>
          <w:rFonts w:ascii="Arial" w:hAnsi="Arial"/>
          <w:color w:val="000000"/>
          <w:sz w:val="21"/>
        </w:rPr>
        <w:t>通过竞争性选拔，确定部分基础条件好、积极性高、特色突出的城市，在城市层面探索整合各类资源，探索建立资金、用地、金融等各类要素保障机制，形成工作合力。中央财政对入围城市给予定额补助，支持城市更新的样板项目建设和机制建设2个方向</w:t>
      </w:r>
      <w:r>
        <w:rPr>
          <w:rFonts w:hint="eastAsia" w:ascii="Arial" w:hAnsi="Arial"/>
          <w:color w:val="000000"/>
          <w:sz w:val="21"/>
        </w:rPr>
        <w:t>。</w:t>
      </w:r>
    </w:p>
    <w:p w14:paraId="44B63647">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2025年4月25日</w:t>
      </w:r>
      <w:r>
        <w:rPr>
          <w:rFonts w:ascii="Arial" w:hAnsi="Arial"/>
          <w:color w:val="000000"/>
          <w:sz w:val="21"/>
        </w:rPr>
        <w:t>中共中央政治局召开会议，分析研究当前经济形势和经济工作。会议强调，要加紧实施更加积极有为的宏观政策，用好用足更加积极的财政政策和适度宽松的货币政策；加快地方政府专项债券、超长期特别国债等发行使用；适时降准降息，保持流动性充裕。会议指出，要持续用力防范化解重点领域风险；继续实施地方政府一揽子化债政策；加力实施城市更新行动，有力有序推进城中村和危旧房改造；加快构建房地产发展新 模式，加大高品质住房供给，优化存量商品房收购政策，持续巩固房地产市场稳定态势。</w:t>
      </w:r>
    </w:p>
    <w:p w14:paraId="4769EDFF">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2025年5月15日，中共中央办公厅与国务院办公厅公开发布《关于持续推进城市更新行动的意见》。《意见》</w:t>
      </w:r>
      <w:r>
        <w:rPr>
          <w:rFonts w:ascii="Arial" w:hAnsi="Arial"/>
          <w:color w:val="000000"/>
          <w:sz w:val="21"/>
        </w:rPr>
        <w:t>提出总体要求、八个主要任务、六项支撑保障措施以及组织实施强化。其中完善用地政策方面包括混合开发利用和用途转换，盘活存量低效用地，闲置土地收回，优化零星用地集中改造、容积率转移或奖励政策，优化地价计收规则等。</w:t>
      </w:r>
    </w:p>
    <w:p w14:paraId="32C20C4C">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2025年6月13日</w:t>
      </w:r>
      <w:r>
        <w:rPr>
          <w:rFonts w:ascii="Arial" w:hAnsi="Arial"/>
          <w:color w:val="000000"/>
          <w:sz w:val="21"/>
        </w:rPr>
        <w:t>国务院常务会议召开，其中重点部署了房地产相关政策，核心目标是</w:t>
      </w:r>
      <w:r>
        <w:rPr>
          <w:rFonts w:hint="eastAsia" w:ascii="Arial" w:hAnsi="Arial"/>
          <w:color w:val="000000"/>
          <w:sz w:val="21"/>
        </w:rPr>
        <w:t>“</w:t>
      </w:r>
      <w:r>
        <w:rPr>
          <w:rFonts w:ascii="Arial" w:hAnsi="Arial"/>
          <w:color w:val="000000"/>
          <w:sz w:val="21"/>
        </w:rPr>
        <w:t>更大力度推动房地产市场止跌回稳</w:t>
      </w:r>
      <w:r>
        <w:rPr>
          <w:rFonts w:hint="eastAsia" w:ascii="Arial" w:hAnsi="Arial"/>
          <w:color w:val="000000"/>
          <w:sz w:val="21"/>
        </w:rPr>
        <w:t>”</w:t>
      </w:r>
      <w:r>
        <w:rPr>
          <w:rFonts w:ascii="Arial" w:hAnsi="Arial"/>
          <w:color w:val="000000"/>
          <w:sz w:val="21"/>
        </w:rPr>
        <w:t>，并围绕构建房地产发展新模式、推进</w:t>
      </w:r>
      <w:r>
        <w:rPr>
          <w:rFonts w:hint="eastAsia" w:ascii="Arial" w:hAnsi="Arial"/>
          <w:color w:val="000000"/>
          <w:sz w:val="21"/>
        </w:rPr>
        <w:t>“好房子”</w:t>
      </w:r>
      <w:r>
        <w:rPr>
          <w:rFonts w:ascii="Arial" w:hAnsi="Arial"/>
          <w:color w:val="000000"/>
          <w:sz w:val="21"/>
        </w:rPr>
        <w:t>建设、盘活存量资源等方面提出具体措施。</w:t>
      </w:r>
    </w:p>
    <w:p w14:paraId="75ED8C42">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2025年7月1</w:t>
      </w:r>
      <w:r>
        <w:rPr>
          <w:rFonts w:ascii="Arial" w:hAnsi="Arial"/>
          <w:color w:val="000000"/>
          <w:sz w:val="21"/>
        </w:rPr>
        <w:t>4日至</w:t>
      </w:r>
      <w:r>
        <w:rPr>
          <w:rFonts w:hint="eastAsia" w:ascii="Arial" w:hAnsi="Arial"/>
          <w:color w:val="000000"/>
          <w:sz w:val="21"/>
        </w:rPr>
        <w:t>1</w:t>
      </w:r>
      <w:r>
        <w:rPr>
          <w:rFonts w:ascii="Arial" w:hAnsi="Arial"/>
          <w:color w:val="000000"/>
          <w:sz w:val="21"/>
        </w:rPr>
        <w:t>5日</w:t>
      </w:r>
      <w:bookmarkStart w:id="35" w:name="OLE_LINK7"/>
      <w:r>
        <w:rPr>
          <w:rFonts w:ascii="Arial" w:hAnsi="Arial"/>
          <w:color w:val="000000"/>
          <w:sz w:val="21"/>
        </w:rPr>
        <w:t>中央城市工作会议</w:t>
      </w:r>
      <w:bookmarkEnd w:id="35"/>
      <w:r>
        <w:rPr>
          <w:rFonts w:ascii="Arial" w:hAnsi="Arial"/>
          <w:color w:val="000000"/>
          <w:sz w:val="21"/>
        </w:rPr>
        <w:t>在北京举行，部署城市工作7个方面的重点任务：一是着力优化现代化城市体系；二是着力建设富有活力的创新城市，高质量开展城市更新；三是着力建设舒适便利的宜居城市，优化城市空间结构；加快构建房地产发展新模式，稳步推进城中村和危旧房改造；四是着力建设绿色低碳的美丽城市；五是着力建设安全可靠的韧性城市，严格限制超高层建筑，全面提升房屋安全保障水平；六是着力建设崇德向善的文明城市，完善历史文化保护传承体系；七是着力建设便捷高效的智慧城市</w:t>
      </w:r>
      <w:r>
        <w:rPr>
          <w:rFonts w:hint="eastAsia" w:ascii="Arial" w:hAnsi="Arial"/>
          <w:color w:val="000000"/>
          <w:sz w:val="21"/>
        </w:rPr>
        <w:t>。</w:t>
      </w:r>
    </w:p>
    <w:p w14:paraId="3C604DCF">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2025年7月16日，国务院公布《住房租赁条例》</w:t>
      </w:r>
      <w:r>
        <w:rPr>
          <w:rFonts w:ascii="Arial" w:hAnsi="Arial"/>
          <w:color w:val="000000"/>
          <w:sz w:val="21"/>
        </w:rPr>
        <w:t>。该条例旨在规范住房租赁活动，维护住房租赁活动当事人合法权益，稳定住房租赁关系，促进住房租赁市场高质量发展，推动加快建立租购并举的住房制度</w:t>
      </w:r>
      <w:r>
        <w:rPr>
          <w:rFonts w:hint="eastAsia" w:ascii="Arial" w:hAnsi="Arial"/>
          <w:color w:val="000000"/>
          <w:sz w:val="21"/>
        </w:rPr>
        <w:t>，《条例》</w:t>
      </w:r>
      <w:r>
        <w:rPr>
          <w:rFonts w:ascii="Arial" w:hAnsi="Arial"/>
          <w:color w:val="000000"/>
          <w:sz w:val="21"/>
        </w:rPr>
        <w:t>自2025年9月15日施行。</w:t>
      </w:r>
    </w:p>
    <w:p w14:paraId="047BD987">
      <w:pPr>
        <w:overflowPunct w:val="0"/>
        <w:spacing w:line="480" w:lineRule="auto"/>
        <w:ind w:firstLine="420"/>
        <w:jc w:val="both"/>
        <w:textAlignment w:val="auto"/>
        <w:rPr>
          <w:rFonts w:ascii="Arial" w:hAnsi="Arial"/>
          <w:b/>
          <w:color w:val="000000"/>
          <w:sz w:val="21"/>
        </w:rPr>
      </w:pPr>
      <w:r>
        <w:rPr>
          <w:rFonts w:hint="eastAsia" w:ascii="Arial" w:hAnsi="Arial"/>
          <w:b/>
          <w:color w:val="000000"/>
          <w:sz w:val="21"/>
        </w:rPr>
        <w:t>北京：</w:t>
      </w:r>
    </w:p>
    <w:p w14:paraId="5D30D0AF">
      <w:pPr>
        <w:overflowPunct w:val="0"/>
        <w:spacing w:line="480" w:lineRule="auto"/>
        <w:ind w:firstLine="420"/>
        <w:jc w:val="both"/>
        <w:textAlignment w:val="auto"/>
        <w:rPr>
          <w:rFonts w:ascii="Arial" w:hAnsi="Arial"/>
          <w:color w:val="000000"/>
          <w:sz w:val="21"/>
        </w:rPr>
      </w:pPr>
      <w:r>
        <w:rPr>
          <w:rFonts w:ascii="Arial" w:hAnsi="Arial"/>
          <w:color w:val="000000"/>
          <w:sz w:val="21"/>
        </w:rPr>
        <w:t>2024年9月30日，北京市多部门联合发布《关于进一步优化调整本市房地产相关政策的通知》，自10月1日起实施一系列措施，包括降低存量房贷利率、下调个人住房贷款最低首付款比例、加大住房公积金贷款支持力度、调减非京籍家庭购房社保或个税缴纳年限、调整通州区住房限购政策与全市统一、取消普通住房和非普通住房标准、加快构建房地产发展新模式等。此次政策调整充分发挥了地方政府调控自主权，落实了党中央“止跌回稳”的工作导向，将对四季度楼市政策的消化和市场提振产生积极影响，并预示着更多鼓励性政策的出台</w:t>
      </w:r>
      <w:r>
        <w:rPr>
          <w:rFonts w:hint="eastAsia" w:ascii="Arial" w:hAnsi="Arial"/>
          <w:color w:val="000000"/>
          <w:sz w:val="21"/>
        </w:rPr>
        <w:t>。</w:t>
      </w:r>
    </w:p>
    <w:p w14:paraId="17F9DB14">
      <w:pPr>
        <w:overflowPunct w:val="0"/>
        <w:spacing w:line="480" w:lineRule="auto"/>
        <w:ind w:firstLine="420"/>
        <w:jc w:val="both"/>
        <w:textAlignment w:val="auto"/>
        <w:rPr>
          <w:rFonts w:ascii="Arial" w:hAnsi="Arial"/>
          <w:color w:val="000000"/>
          <w:sz w:val="21"/>
        </w:rPr>
      </w:pPr>
      <w:r>
        <w:rPr>
          <w:rFonts w:ascii="Arial" w:hAnsi="Arial"/>
          <w:color w:val="000000"/>
          <w:sz w:val="21"/>
        </w:rPr>
        <w:t>2024年11月18日，北京市住房和城乡建设委员会、北京市财政局、国家税务总局北京市税务局联合发布《关于取消普通住房标准有关事项的通知》，取消了普通住房和非普通住房的划分标准。根据新政策，个人出售持有2年及以上的住房将免征增值税，而持有不足2年的住房则需按5%的税率缴纳增值税。在契税方面，北京市与全国统一，对个人购买家庭唯一住房，面积140平方米及以下的按1%税率征收契税，超过140平方米的按1.5%征收；对于家庭第二套住房，面积140平方米及以下的按1%征收，超过140平方米的按2%征收</w:t>
      </w:r>
      <w:r>
        <w:rPr>
          <w:rFonts w:hint="eastAsia" w:ascii="Arial" w:hAnsi="Arial"/>
          <w:color w:val="000000"/>
          <w:sz w:val="21"/>
        </w:rPr>
        <w:t>。</w:t>
      </w:r>
    </w:p>
    <w:p w14:paraId="45BC94EA">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2024年11月29日，北京市规划和自然资源委员会发布《关于城市更新项目土地价款核定缴纳的若干措施》，从土地价格的角度鼓励和规范市场主体在符合规划和本市产业政策的前提下，对存量土地资源更新利用，提高土地要素配置的精准性和利用效率，推动城市更新项目落地实施。文件综合考虑城市更新项目的土地取得成本、公共要素贡献等因素，从保障性租赁住房建设、危旧楼房改建、公共设施建设、产业类城市更新、地下空间开发利用、用地功能混合使用、出让土地使用权延期等七大方面提出了土地价款核定缴纳的措施,充分激发多元主体的更新意愿，推动城市更新项目落地实施。</w:t>
      </w:r>
    </w:p>
    <w:p w14:paraId="1DCAB071">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2025年2月12日，</w:t>
      </w:r>
      <w:r>
        <w:rPr>
          <w:rFonts w:ascii="Arial" w:hAnsi="Arial"/>
          <w:color w:val="000000"/>
          <w:sz w:val="21"/>
        </w:rPr>
        <w:t>北京市规划和自然资源委员会发布</w:t>
      </w:r>
      <w:r>
        <w:rPr>
          <w:rFonts w:hint="eastAsia" w:ascii="Arial" w:hAnsi="Arial"/>
          <w:color w:val="000000"/>
          <w:sz w:val="21"/>
        </w:rPr>
        <w:t>《关于印发〈北京市平原多点地区“好房子”规划管理相关技术要点（试行）〉的通知》，</w:t>
      </w:r>
      <w:r>
        <w:rPr>
          <w:rFonts w:ascii="Arial" w:hAnsi="Arial"/>
          <w:color w:val="000000"/>
          <w:sz w:val="21"/>
        </w:rPr>
        <w:t>旨在提升住房品质，满足多样化居住需求。主要内容包括：允许按需设置封闭或开敞阳台，面积不超过套内建筑面积的10%；鼓励在140平方米以上住宅设置挑空空间；合理利用底层架空空间作为公共活动区域；设置开敞式风雨连廊以方便居民活动；增配邻里共享公共空间，提供便民服务；允许跨城市支路空间利用以优化布局；建筑高度可局部上浮以形成错落天际线；鼓励使用高品质材料提升立面品质。这些措施适用于顺义、大兴、亦庄、昌平、房山等平原多点地区，城市副中心可参照执行</w:t>
      </w:r>
      <w:r>
        <w:rPr>
          <w:rFonts w:hint="eastAsia" w:ascii="Arial" w:hAnsi="Arial"/>
          <w:color w:val="000000"/>
          <w:sz w:val="21"/>
        </w:rPr>
        <w:t>。</w:t>
      </w:r>
    </w:p>
    <w:p w14:paraId="591DC3C6">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2025年</w:t>
      </w:r>
      <w:r>
        <w:rPr>
          <w:rFonts w:ascii="Arial" w:hAnsi="Arial"/>
          <w:color w:val="000000"/>
          <w:sz w:val="21"/>
        </w:rPr>
        <w:t>5月9日，北京市住房和城乡建设委员会</w:t>
      </w:r>
      <w:r>
        <w:rPr>
          <w:rFonts w:hint="eastAsia" w:ascii="Arial" w:hAnsi="Arial"/>
          <w:color w:val="000000"/>
          <w:sz w:val="21"/>
        </w:rPr>
        <w:t>发布</w:t>
      </w:r>
      <w:r>
        <w:rPr>
          <w:rFonts w:ascii="Arial" w:hAnsi="Arial"/>
          <w:color w:val="000000"/>
          <w:sz w:val="21"/>
        </w:rPr>
        <w:t>《关于印发</w:t>
      </w:r>
      <w:r>
        <w:rPr>
          <w:rFonts w:hint="eastAsia" w:ascii="Arial" w:hAnsi="Arial"/>
          <w:color w:val="000000"/>
          <w:sz w:val="21"/>
        </w:rPr>
        <w:t>〈</w:t>
      </w:r>
      <w:r>
        <w:rPr>
          <w:rFonts w:ascii="Arial" w:hAnsi="Arial"/>
          <w:color w:val="000000"/>
          <w:sz w:val="21"/>
        </w:rPr>
        <w:t>2025年北京市住房发展年度计划</w:t>
      </w:r>
      <w:r>
        <w:rPr>
          <w:rFonts w:hint="eastAsia" w:ascii="Arial" w:hAnsi="Arial"/>
          <w:color w:val="000000"/>
          <w:sz w:val="21"/>
        </w:rPr>
        <w:t>〉</w:t>
      </w:r>
      <w:r>
        <w:rPr>
          <w:rFonts w:ascii="Arial" w:hAnsi="Arial"/>
          <w:color w:val="000000"/>
          <w:sz w:val="21"/>
        </w:rPr>
        <w:t>的通知》</w:t>
      </w:r>
      <w:r>
        <w:rPr>
          <w:rFonts w:hint="eastAsia" w:ascii="Arial" w:hAnsi="Arial"/>
          <w:color w:val="000000"/>
          <w:sz w:val="21"/>
        </w:rPr>
        <w:t>。《通知》</w:t>
      </w:r>
      <w:r>
        <w:rPr>
          <w:rFonts w:ascii="Arial" w:hAnsi="Arial"/>
          <w:color w:val="000000"/>
          <w:sz w:val="21"/>
        </w:rPr>
        <w:t>围绕优化住房用地供应、推进房地产市场回稳向好、加强住房保障、规范住房租赁市场、发挥住房公积金作用、提升住房质量、推进城市更新、健全物业管理服务体系等八个方面，提出了具体任务、行动计划和工作举措。</w:t>
      </w:r>
    </w:p>
    <w:p w14:paraId="37C2B76C">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2025年7月10日，北京市人民政府发布</w:t>
      </w:r>
      <w:r>
        <w:rPr>
          <w:rFonts w:ascii="Arial" w:hAnsi="Arial"/>
          <w:color w:val="000000"/>
          <w:sz w:val="21"/>
        </w:rPr>
        <w:t>《关于印发</w:t>
      </w:r>
      <w:r>
        <w:rPr>
          <w:rFonts w:hint="eastAsia" w:ascii="Arial" w:hAnsi="Arial"/>
          <w:color w:val="000000"/>
          <w:sz w:val="21"/>
        </w:rPr>
        <w:t>〈北京市深化改革提振消费专项行动方案〉</w:t>
      </w:r>
      <w:r>
        <w:rPr>
          <w:rFonts w:ascii="Arial" w:hAnsi="Arial"/>
          <w:color w:val="000000"/>
          <w:sz w:val="21"/>
        </w:rPr>
        <w:t>的通知》，提出共计24项具体方案。其中，</w:t>
      </w:r>
      <w:r>
        <w:rPr>
          <w:rFonts w:hint="eastAsia" w:ascii="Arial" w:hAnsi="Arial"/>
          <w:color w:val="000000"/>
          <w:sz w:val="21"/>
        </w:rPr>
        <w:t>第14项“</w:t>
      </w:r>
      <w:r>
        <w:rPr>
          <w:rFonts w:ascii="Arial" w:hAnsi="Arial"/>
          <w:color w:val="000000"/>
          <w:sz w:val="21"/>
        </w:rPr>
        <w:t>优化住房消费新供给</w:t>
      </w:r>
      <w:r>
        <w:rPr>
          <w:rFonts w:hint="eastAsia" w:ascii="Arial" w:hAnsi="Arial"/>
          <w:color w:val="000000"/>
          <w:sz w:val="21"/>
        </w:rPr>
        <w:t>”</w:t>
      </w:r>
      <w:r>
        <w:rPr>
          <w:rFonts w:ascii="Arial" w:hAnsi="Arial"/>
          <w:color w:val="000000"/>
          <w:sz w:val="21"/>
        </w:rPr>
        <w:t>：优先向轨道交通站点和就业密集地区 供应住宅用地，完善</w:t>
      </w:r>
      <w:r>
        <w:rPr>
          <w:rFonts w:hint="eastAsia" w:ascii="Arial" w:hAnsi="Arial"/>
          <w:color w:val="000000"/>
          <w:sz w:val="21"/>
        </w:rPr>
        <w:t>“</w:t>
      </w:r>
      <w:r>
        <w:rPr>
          <w:rFonts w:ascii="Arial" w:hAnsi="Arial"/>
          <w:color w:val="000000"/>
          <w:sz w:val="21"/>
        </w:rPr>
        <w:t>保障+市场</w:t>
      </w:r>
      <w:r>
        <w:rPr>
          <w:rFonts w:hint="eastAsia" w:ascii="Arial" w:hAnsi="Arial"/>
          <w:color w:val="000000"/>
          <w:sz w:val="21"/>
        </w:rPr>
        <w:t>”</w:t>
      </w:r>
      <w:r>
        <w:rPr>
          <w:rFonts w:ascii="Arial" w:hAnsi="Arial"/>
          <w:color w:val="000000"/>
          <w:sz w:val="21"/>
        </w:rPr>
        <w:t>住房供应体系。进一步发挥住房公积金促进作用，支持缴存人在提取公积 金支付购房首付款的同时申请住房公积金个人住房贷款。研究制定住房公积金个人住房贷款</w:t>
      </w:r>
      <w:r>
        <w:rPr>
          <w:rFonts w:hint="eastAsia" w:ascii="Arial" w:hAnsi="Arial"/>
          <w:color w:val="000000"/>
          <w:sz w:val="21"/>
        </w:rPr>
        <w:t>“</w:t>
      </w:r>
      <w:r>
        <w:rPr>
          <w:rFonts w:ascii="Arial" w:hAnsi="Arial"/>
          <w:color w:val="000000"/>
          <w:sz w:val="21"/>
        </w:rPr>
        <w:t>带押过户</w:t>
      </w:r>
      <w:r>
        <w:rPr>
          <w:rFonts w:hint="eastAsia" w:ascii="Arial" w:hAnsi="Arial"/>
          <w:color w:val="000000"/>
          <w:sz w:val="21"/>
        </w:rPr>
        <w:t>”</w:t>
      </w:r>
      <w:r>
        <w:rPr>
          <w:rFonts w:ascii="Arial" w:hAnsi="Arial"/>
          <w:color w:val="000000"/>
          <w:sz w:val="21"/>
        </w:rPr>
        <w:t>政策，并开展相关业务。</w:t>
      </w:r>
    </w:p>
    <w:p w14:paraId="580E541C">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2025年8月8日，</w:t>
      </w:r>
      <w:r>
        <w:rPr>
          <w:rFonts w:ascii="Arial" w:hAnsi="Arial"/>
          <w:color w:val="000000"/>
          <w:sz w:val="21"/>
        </w:rPr>
        <w:t>北京市住房和城乡建设委员会、</w:t>
      </w:r>
      <w:r>
        <w:rPr>
          <w:rFonts w:hint="eastAsia" w:ascii="Arial" w:hAnsi="Arial"/>
          <w:color w:val="000000"/>
          <w:sz w:val="21"/>
        </w:rPr>
        <w:t>北京住房公积金管理中心</w:t>
      </w:r>
      <w:r>
        <w:rPr>
          <w:rFonts w:ascii="Arial" w:hAnsi="Arial"/>
          <w:color w:val="000000"/>
          <w:sz w:val="21"/>
        </w:rPr>
        <w:t>联合发布</w:t>
      </w:r>
      <w:r>
        <w:rPr>
          <w:rFonts w:hint="eastAsia" w:ascii="Arial" w:hAnsi="Arial"/>
          <w:color w:val="000000"/>
          <w:sz w:val="21"/>
        </w:rPr>
        <w:t>《关于进一步优化调整本市房地产相关政策的通知》。此次政策调整聚焦于优化住房限购政策和加大公积金贷款支持力度两大方面，其中五环外限购松绑以及公积金政策的多项优化举措，印发广泛关注。《通知》自2025年8月9日起正式施行。</w:t>
      </w:r>
    </w:p>
    <w:p w14:paraId="1DFD7CDC">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5.未来市场预期</w:t>
      </w:r>
    </w:p>
    <w:p w14:paraId="51477903">
      <w:pPr>
        <w:overflowPunct w:val="0"/>
        <w:spacing w:line="480" w:lineRule="auto"/>
        <w:ind w:firstLine="420"/>
        <w:jc w:val="both"/>
        <w:textAlignment w:val="auto"/>
        <w:rPr>
          <w:rFonts w:ascii="Arial" w:hAnsi="Arial"/>
          <w:sz w:val="21"/>
          <w:szCs w:val="28"/>
        </w:rPr>
      </w:pPr>
      <w:r>
        <w:rPr>
          <w:rFonts w:ascii="Arial" w:hAnsi="Arial"/>
          <w:color w:val="000000"/>
          <w:sz w:val="21"/>
        </w:rPr>
        <w:t>预计未来北京住宅市场将呈现</w:t>
      </w:r>
      <w:r>
        <w:rPr>
          <w:rFonts w:hint="eastAsia" w:ascii="Arial" w:hAnsi="Arial"/>
          <w:color w:val="000000"/>
          <w:sz w:val="21"/>
        </w:rPr>
        <w:t>“</w:t>
      </w:r>
      <w:r>
        <w:rPr>
          <w:rFonts w:ascii="Arial" w:hAnsi="Arial"/>
          <w:color w:val="000000"/>
          <w:sz w:val="21"/>
        </w:rPr>
        <w:t>政策持续优化、市场温和修复、结构分化加剧</w:t>
      </w:r>
      <w:r>
        <w:rPr>
          <w:rFonts w:hint="eastAsia" w:ascii="Arial" w:hAnsi="Arial"/>
          <w:color w:val="000000"/>
          <w:sz w:val="21"/>
        </w:rPr>
        <w:t>”</w:t>
      </w:r>
      <w:r>
        <w:rPr>
          <w:rFonts w:ascii="Arial" w:hAnsi="Arial"/>
          <w:color w:val="000000"/>
          <w:sz w:val="21"/>
        </w:rPr>
        <w:t>的总体趋势。政策层面，北京已实施五环外取消限购、优化公积金贷款等举措，未来限购政策仍有进一步放松空间，公积金支持力度有望继续加大（如推进“带押过户”等），以降低购房门槛、激活改善性需求。市场方面，短期内新房成交规模有望在供应放量及政策带动下温和回升，但受限于前期需求已部分释放及政策力度温和，反弹幅度有限。价格方面，核心区域优质改善项目仍将支撑整体均价结构性上涨，而近郊、远郊区域价格承压，市场分化持续。土地市场热度分化显著，核心地块竞争激烈，非核心区域多以底价成交，未来住房供应结构将进一步向</w:t>
      </w:r>
      <w:r>
        <w:rPr>
          <w:rFonts w:hint="eastAsia" w:ascii="Arial" w:hAnsi="Arial"/>
          <w:color w:val="000000"/>
          <w:sz w:val="21"/>
        </w:rPr>
        <w:t>“</w:t>
      </w:r>
      <w:r>
        <w:rPr>
          <w:rFonts w:ascii="Arial" w:hAnsi="Arial"/>
          <w:color w:val="000000"/>
          <w:sz w:val="21"/>
        </w:rPr>
        <w:t>好房子</w:t>
      </w:r>
      <w:r>
        <w:rPr>
          <w:rFonts w:hint="eastAsia" w:ascii="Arial" w:hAnsi="Arial"/>
          <w:color w:val="000000"/>
          <w:sz w:val="21"/>
        </w:rPr>
        <w:t>”</w:t>
      </w:r>
      <w:r>
        <w:rPr>
          <w:rFonts w:ascii="Arial" w:hAnsi="Arial"/>
          <w:color w:val="000000"/>
          <w:sz w:val="21"/>
        </w:rPr>
        <w:t>倾斜，中高面积段、中高总价产品占比提升，推动产品结构持续优化。整体来看，北京住宅市场正逐步进入</w:t>
      </w:r>
      <w:r>
        <w:rPr>
          <w:rFonts w:hint="eastAsia" w:ascii="Arial" w:hAnsi="Arial"/>
          <w:color w:val="000000"/>
          <w:sz w:val="21"/>
        </w:rPr>
        <w:t>“</w:t>
      </w:r>
      <w:r>
        <w:rPr>
          <w:rFonts w:ascii="Arial" w:hAnsi="Arial"/>
          <w:color w:val="000000"/>
          <w:sz w:val="21"/>
        </w:rPr>
        <w:t>量稳价稳、质升区异</w:t>
      </w:r>
      <w:r>
        <w:rPr>
          <w:rFonts w:hint="eastAsia" w:ascii="Arial" w:hAnsi="Arial"/>
          <w:color w:val="000000"/>
          <w:sz w:val="21"/>
        </w:rPr>
        <w:t>”</w:t>
      </w:r>
      <w:r>
        <w:rPr>
          <w:rFonts w:ascii="Arial" w:hAnsi="Arial"/>
          <w:color w:val="000000"/>
          <w:sz w:val="21"/>
        </w:rPr>
        <w:t>的新阶段</w:t>
      </w:r>
      <w:r>
        <w:rPr>
          <w:rFonts w:hint="eastAsia" w:ascii="Arial" w:hAnsi="Arial"/>
          <w:color w:val="000000"/>
          <w:sz w:val="21"/>
        </w:rPr>
        <w:t>。</w:t>
      </w:r>
    </w:p>
    <w:p w14:paraId="41D523AE">
      <w:pPr>
        <w:spacing w:line="480" w:lineRule="auto"/>
        <w:jc w:val="both"/>
        <w:rPr>
          <w:rFonts w:ascii="Arial" w:hAnsi="Arial" w:cs="Arial"/>
          <w:b/>
          <w:bCs/>
          <w:sz w:val="21"/>
          <w:szCs w:val="21"/>
        </w:rPr>
      </w:pPr>
      <w:r>
        <w:rPr>
          <w:rFonts w:ascii="Arial" w:hAnsi="Arial" w:cs="Arial"/>
          <w:b/>
          <w:bCs/>
          <w:sz w:val="21"/>
          <w:szCs w:val="21"/>
        </w:rPr>
        <w:t>（</w:t>
      </w:r>
      <w:r>
        <w:rPr>
          <w:rFonts w:hint="eastAsia" w:ascii="Arial" w:hAnsi="Arial" w:cs="Arial"/>
          <w:b/>
          <w:bCs/>
          <w:sz w:val="21"/>
          <w:szCs w:val="21"/>
        </w:rPr>
        <w:t>二</w:t>
      </w:r>
      <w:r>
        <w:rPr>
          <w:rFonts w:ascii="Arial" w:hAnsi="Arial" w:cs="Arial"/>
          <w:b/>
          <w:bCs/>
          <w:sz w:val="21"/>
          <w:szCs w:val="21"/>
        </w:rPr>
        <w:t>）</w:t>
      </w:r>
      <w:r>
        <w:rPr>
          <w:rFonts w:hint="eastAsia" w:ascii="Arial" w:hAnsi="Arial" w:cs="Arial"/>
          <w:b/>
          <w:bCs/>
          <w:sz w:val="21"/>
          <w:szCs w:val="21"/>
        </w:rPr>
        <w:t>估价对象区域周边公共租赁住房情况</w:t>
      </w:r>
    </w:p>
    <w:p w14:paraId="25A50C78">
      <w:pPr>
        <w:spacing w:line="480" w:lineRule="auto"/>
        <w:ind w:firstLine="420" w:firstLineChars="200"/>
        <w:jc w:val="both"/>
        <w:rPr>
          <w:rFonts w:ascii="Arial" w:hAnsi="Arial"/>
          <w:sz w:val="21"/>
        </w:rPr>
      </w:pPr>
      <w:r>
        <w:rPr>
          <w:rFonts w:hint="eastAsia" w:ascii="Arial" w:hAnsi="Arial"/>
          <w:sz w:val="21"/>
        </w:rPr>
        <w:t>北京经济技术开发区又称“亦庄新城”，简称“北京经开区”，位于中国北京市大兴区与通州区辖区内，是北京市唯一一个国家级经济技术开发区，同时享受“国家级经济技术开发区”和“国家高新技术产业园区”双重优惠政策。亦庄新城的规划区域包括亦庄核心区（核心区、河西区、路东区、路南区），大兴区部分（旧宫镇、瀛海地区、青云店及长子营北部），通州区部分（光机电、台湖、马驹桥镇、金桥），以及飞地（青云店及采育工业园）。</w:t>
      </w:r>
    </w:p>
    <w:p w14:paraId="7B198EEE">
      <w:pPr>
        <w:spacing w:line="480" w:lineRule="auto"/>
        <w:ind w:firstLine="420" w:firstLineChars="200"/>
        <w:jc w:val="both"/>
        <w:rPr>
          <w:rFonts w:ascii="Arial" w:hAnsi="Arial"/>
          <w:sz w:val="21"/>
        </w:rPr>
      </w:pPr>
      <w:r>
        <w:rPr>
          <w:rFonts w:hint="eastAsia" w:ascii="Arial" w:hAnsi="Arial"/>
          <w:sz w:val="21"/>
        </w:rPr>
        <w:t>根据《国务院办公厅关于保障性安居工程建设和管理的指导意见》 (国办发[2011]45号)规定，公共租赁住房“租金标准由市县人民政府结合当地实际，按照略低于市场租金的原则合理确定”。北京市公租房定价原则遵循的是按照保本微利的原则并结合承租家庭负担能力和同类地段类似房屋市场租金一定比例下浮确定租金。</w:t>
      </w:r>
    </w:p>
    <w:p w14:paraId="31AA2B7F">
      <w:pPr>
        <w:spacing w:line="480" w:lineRule="auto"/>
        <w:ind w:firstLine="420" w:firstLineChars="200"/>
        <w:jc w:val="both"/>
        <w:rPr>
          <w:rFonts w:ascii="Arial" w:hAnsi="Arial"/>
          <w:sz w:val="21"/>
        </w:rPr>
      </w:pPr>
      <w:r>
        <w:rPr>
          <w:rFonts w:hint="eastAsia" w:ascii="Arial" w:hAnsi="Arial"/>
          <w:sz w:val="21"/>
        </w:rPr>
        <w:t>根据今年北京经济技术开发区网站公布的《关于北京经济技术开发区怡景名苑等12个公租房项目开展快速配租的公告》，目前配租共涉及12个公租房项目部分房源，房源共计525套。其中小套型89套，中套型247套，大套型189套。房源情况如下：</w:t>
      </w:r>
    </w:p>
    <w:p w14:paraId="56B370DA">
      <w:pPr>
        <w:spacing w:line="480" w:lineRule="auto"/>
        <w:ind w:firstLine="420" w:firstLineChars="200"/>
        <w:jc w:val="both"/>
        <w:rPr>
          <w:rFonts w:ascii="Arial" w:hAnsi="Arial"/>
          <w:sz w:val="21"/>
        </w:rPr>
      </w:pPr>
      <w:r>
        <w:rPr>
          <w:rFonts w:hint="eastAsia" w:ascii="Arial" w:hAnsi="Arial"/>
          <w:sz w:val="21"/>
        </w:rPr>
        <w:t>怡景名苑公租房项目：该项目位于经开区亦庄镇鹿华路8号院。本次可配租房源共计41套，小套型37套，建筑面积约41.00-41.94平方米；大套型4套，建筑面积约56.31-59.93平方米。租金标准为37元/建筑平方米•月。</w:t>
      </w:r>
    </w:p>
    <w:p w14:paraId="4B19659D">
      <w:pPr>
        <w:spacing w:line="480" w:lineRule="auto"/>
        <w:ind w:firstLine="420" w:firstLineChars="200"/>
        <w:jc w:val="both"/>
        <w:rPr>
          <w:rFonts w:ascii="Arial" w:hAnsi="Arial"/>
          <w:sz w:val="21"/>
        </w:rPr>
      </w:pPr>
      <w:r>
        <w:rPr>
          <w:rFonts w:hint="eastAsia" w:ascii="Arial" w:hAnsi="Arial"/>
          <w:sz w:val="21"/>
        </w:rPr>
        <w:t>亦庄新城公租房项目：该项目位于经开区亦庄镇鹿华路5号院。本次可配租房源共计27套，小套型22套，建筑面积约42.33-42.65平方米；中套型2套，建筑面积约53.23平方米；大套型3套，建筑面积约60.23-60.41平方米。租金标准为35元/建筑平方米•月。</w:t>
      </w:r>
    </w:p>
    <w:p w14:paraId="7B1678DC">
      <w:pPr>
        <w:spacing w:line="480" w:lineRule="auto"/>
        <w:ind w:firstLine="420" w:firstLineChars="200"/>
        <w:jc w:val="both"/>
        <w:rPr>
          <w:rFonts w:ascii="Arial" w:hAnsi="Arial"/>
          <w:sz w:val="21"/>
        </w:rPr>
      </w:pPr>
      <w:r>
        <w:rPr>
          <w:rFonts w:hint="eastAsia" w:ascii="Arial" w:hAnsi="Arial"/>
          <w:sz w:val="21"/>
        </w:rPr>
        <w:t>熙悦诚郡公租房项目：该项目位于经开区旧宫镇德贤东路3号院。本次可配租房源共计12套，中套型5套，建筑面积约52.17-52.46平方米；大套型7套，建筑面积约56.75-59.25平方米。租金标准为42元/建筑平方米•月。</w:t>
      </w:r>
    </w:p>
    <w:p w14:paraId="7569B85D">
      <w:pPr>
        <w:spacing w:line="480" w:lineRule="auto"/>
        <w:ind w:firstLine="420" w:firstLineChars="200"/>
        <w:jc w:val="both"/>
        <w:rPr>
          <w:rFonts w:ascii="Arial" w:hAnsi="Arial"/>
          <w:sz w:val="21"/>
        </w:rPr>
      </w:pPr>
      <w:r>
        <w:rPr>
          <w:rFonts w:hint="eastAsia" w:ascii="Arial" w:hAnsi="Arial"/>
          <w:sz w:val="21"/>
        </w:rPr>
        <w:t>紫南华苑公租房项目：该项目位于经开区旧宫镇德贤东路6号院。本次可配租房源共计6套，小套型4套，建筑面积约43.72-44.79平方米；大套型2套，建筑面积约59.22平方米。租金标准为44元/建筑平方米•月。</w:t>
      </w:r>
    </w:p>
    <w:p w14:paraId="71FFCFBF">
      <w:pPr>
        <w:spacing w:line="480" w:lineRule="auto"/>
        <w:ind w:firstLine="420" w:firstLineChars="200"/>
        <w:jc w:val="both"/>
        <w:rPr>
          <w:rFonts w:ascii="Arial" w:hAnsi="Arial"/>
          <w:sz w:val="21"/>
        </w:rPr>
      </w:pPr>
      <w:r>
        <w:rPr>
          <w:rFonts w:hint="eastAsia" w:ascii="Arial" w:hAnsi="Arial"/>
          <w:sz w:val="21"/>
        </w:rPr>
        <w:t>盛悦家园公租房项目：该项目位于经开区旧宫镇旧忠路10号院。本次可配租房源共计32套，小套型8套，建筑面积约41.12-43.15平方米；中套型24套，建筑面积约49.34-50.25平方米。租金标准为44元/建筑平方米•月。</w:t>
      </w:r>
    </w:p>
    <w:p w14:paraId="6C37195E">
      <w:pPr>
        <w:spacing w:line="480" w:lineRule="auto"/>
        <w:ind w:firstLine="420" w:firstLineChars="200"/>
        <w:jc w:val="both"/>
        <w:rPr>
          <w:rFonts w:ascii="Arial" w:hAnsi="Arial"/>
          <w:sz w:val="21"/>
        </w:rPr>
      </w:pPr>
      <w:r>
        <w:rPr>
          <w:rFonts w:hint="eastAsia" w:ascii="Arial" w:hAnsi="Arial"/>
          <w:sz w:val="21"/>
        </w:rPr>
        <w:t>璟秀欣苑公租房项目：该项目位于通州区台湖镇东石东三路6号院、7号院。本次可配租房源共计7套，大套型7套，建筑面积约57.60-58.02平方米。租金标准为35元/建筑平方米•月。</w:t>
      </w:r>
    </w:p>
    <w:p w14:paraId="63151A01">
      <w:pPr>
        <w:spacing w:line="480" w:lineRule="auto"/>
        <w:ind w:firstLine="420" w:firstLineChars="200"/>
        <w:jc w:val="both"/>
        <w:rPr>
          <w:rFonts w:ascii="Arial" w:hAnsi="Arial"/>
          <w:sz w:val="21"/>
        </w:rPr>
      </w:pPr>
      <w:r>
        <w:rPr>
          <w:rFonts w:hint="eastAsia" w:ascii="Arial" w:hAnsi="Arial"/>
          <w:sz w:val="21"/>
        </w:rPr>
        <w:t>盛达嘉园公租房项目：该项目位于通州区台湖镇东石东五路2号院。本次可配租房源共计21套，大套型21套，建筑面积约57.31-59.41平方米。租金标准为35元/建筑平方米•月。</w:t>
      </w:r>
    </w:p>
    <w:p w14:paraId="496BEEA7">
      <w:pPr>
        <w:spacing w:line="480" w:lineRule="auto"/>
        <w:ind w:firstLine="420" w:firstLineChars="200"/>
        <w:jc w:val="both"/>
        <w:rPr>
          <w:rFonts w:ascii="Arial" w:hAnsi="Arial"/>
          <w:sz w:val="21"/>
        </w:rPr>
      </w:pPr>
      <w:r>
        <w:rPr>
          <w:rFonts w:hint="eastAsia" w:ascii="Arial" w:hAnsi="Arial"/>
          <w:sz w:val="21"/>
        </w:rPr>
        <w:t>台湖银河湾（东区）公租房项目：该项目位于通州区台湖镇海盛四街10号院。本次可配租房源共计25套，大套型25套，建筑面积约59.80-61.75平方米。租金标准为35元/建筑平方米•月。</w:t>
      </w:r>
    </w:p>
    <w:p w14:paraId="02C80CAB">
      <w:pPr>
        <w:spacing w:line="480" w:lineRule="auto"/>
        <w:ind w:firstLine="420" w:firstLineChars="200"/>
        <w:jc w:val="both"/>
        <w:rPr>
          <w:rFonts w:ascii="Arial" w:hAnsi="Arial"/>
          <w:sz w:val="21"/>
        </w:rPr>
      </w:pPr>
      <w:r>
        <w:rPr>
          <w:rFonts w:hint="eastAsia" w:ascii="Arial" w:hAnsi="Arial"/>
          <w:sz w:val="21"/>
        </w:rPr>
        <w:t>台湖银河湾（西区）公租房项目：该项目位于通州区台湖镇海盛四街14号院。本次可配租房源共计55套，大套型55套，建筑面积约58.04-60.06平方米。租金标准为35元/建筑平方米•月。</w:t>
      </w:r>
    </w:p>
    <w:p w14:paraId="31C4A06D">
      <w:pPr>
        <w:spacing w:line="480" w:lineRule="auto"/>
        <w:ind w:firstLine="420" w:firstLineChars="200"/>
        <w:jc w:val="both"/>
        <w:rPr>
          <w:rFonts w:ascii="Arial" w:hAnsi="Arial"/>
          <w:sz w:val="21"/>
        </w:rPr>
      </w:pPr>
      <w:r>
        <w:rPr>
          <w:rFonts w:hint="eastAsia" w:ascii="Arial" w:hAnsi="Arial"/>
          <w:sz w:val="21"/>
        </w:rPr>
        <w:t>燕保•马驹桥家园公租房项目：该项目位于北京市通州区马驹桥镇兴贸一区兴贸二街。本次可配租房源共计60套，大套型60套，建筑面积约58.8-60.42平方米。租金标准为28元/建筑平方米•月。</w:t>
      </w:r>
    </w:p>
    <w:p w14:paraId="082DD63A">
      <w:pPr>
        <w:spacing w:line="480" w:lineRule="auto"/>
        <w:ind w:firstLine="420" w:firstLineChars="200"/>
        <w:jc w:val="both"/>
        <w:rPr>
          <w:rFonts w:ascii="Arial" w:hAnsi="Arial"/>
          <w:sz w:val="21"/>
        </w:rPr>
      </w:pPr>
      <w:r>
        <w:rPr>
          <w:rFonts w:hint="eastAsia" w:ascii="Arial" w:hAnsi="Arial"/>
          <w:sz w:val="21"/>
        </w:rPr>
        <w:t>拾景园公租房项目：该项目位于通州区台湖镇嘉创二路1号院。本次可配租房源共计229套，小套型13套，建筑面积约41.81-42.24平方米；中套型216套，建筑面积约51.72-53.96平方米。租金标准为35元/建筑平方米•月。</w:t>
      </w:r>
    </w:p>
    <w:p w14:paraId="6F94864A">
      <w:pPr>
        <w:spacing w:line="480" w:lineRule="auto"/>
        <w:ind w:firstLine="420" w:firstLineChars="200"/>
        <w:jc w:val="both"/>
        <w:rPr>
          <w:rFonts w:ascii="Arial" w:hAnsi="Arial"/>
          <w:sz w:val="21"/>
        </w:rPr>
      </w:pPr>
      <w:r>
        <w:rPr>
          <w:rFonts w:hint="eastAsia" w:ascii="Arial" w:hAnsi="Arial"/>
          <w:sz w:val="21"/>
        </w:rPr>
        <w:t>通州光机电公租房项目：该项目位于通州区台湖镇兴光三街9号院。本次可配租房源共计10套，小套型5套，建筑面积约36.64-37.45平方米；大套型5套，建筑面积约66.21-67.73平方米。租金标准为35元/建筑㎡·月。</w:t>
      </w:r>
    </w:p>
    <w:p w14:paraId="492A50F8">
      <w:pPr>
        <w:overflowPunct w:val="0"/>
        <w:spacing w:line="480" w:lineRule="auto"/>
        <w:ind w:firstLine="420" w:firstLineChars="200"/>
        <w:jc w:val="both"/>
        <w:textAlignment w:val="auto"/>
        <w:rPr>
          <w:rFonts w:ascii="Arial" w:hAnsi="Arial"/>
          <w:sz w:val="21"/>
        </w:rPr>
      </w:pPr>
      <w:r>
        <w:rPr>
          <w:rFonts w:hint="eastAsia" w:ascii="Arial" w:hAnsi="Arial"/>
          <w:sz w:val="21"/>
        </w:rPr>
        <w:t>可配租房源套数共计525套，上述公租房项目的租金不包含供暖费、水费、电费、燃气费、电话费、上网费、有线电视初装及收视费等。</w:t>
      </w:r>
    </w:p>
    <w:p w14:paraId="0253B022">
      <w:pPr>
        <w:widowControl/>
        <w:overflowPunct w:val="0"/>
        <w:spacing w:line="480" w:lineRule="auto"/>
        <w:ind w:firstLine="420"/>
        <w:jc w:val="both"/>
        <w:textAlignment w:val="auto"/>
        <w:rPr>
          <w:rFonts w:ascii="Arial" w:hAnsi="Arial"/>
          <w:sz w:val="21"/>
        </w:rPr>
      </w:pPr>
    </w:p>
    <w:p w14:paraId="24B7F125">
      <w:pPr>
        <w:pStyle w:val="3"/>
        <w:numPr>
          <w:ilvl w:val="0"/>
          <w:numId w:val="0"/>
        </w:numPr>
        <w:spacing w:line="480" w:lineRule="auto"/>
        <w:ind w:left="357" w:hanging="357"/>
        <w:jc w:val="both"/>
        <w:rPr>
          <w:rFonts w:eastAsia="宋体;SimSun"/>
          <w:kern w:val="2"/>
          <w:sz w:val="21"/>
          <w:szCs w:val="21"/>
        </w:rPr>
      </w:pPr>
      <w:bookmarkStart w:id="36" w:name="_Toc155340501"/>
      <w:r>
        <w:rPr>
          <w:rFonts w:eastAsia="宋体;SimSun"/>
          <w:kern w:val="2"/>
          <w:sz w:val="21"/>
          <w:szCs w:val="21"/>
        </w:rPr>
        <w:t>三、最高最佳利用分析</w:t>
      </w:r>
      <w:bookmarkEnd w:id="36"/>
    </w:p>
    <w:p w14:paraId="35A49BE9">
      <w:pPr>
        <w:pStyle w:val="270"/>
        <w:autoSpaceDE w:val="0"/>
        <w:spacing w:line="480" w:lineRule="auto"/>
        <w:ind w:right="140" w:firstLine="420"/>
        <w:jc w:val="both"/>
        <w:textAlignment w:val="bottom"/>
        <w:rPr>
          <w:rFonts w:ascii="Arial" w:hAnsi="Arial" w:cs="Arial"/>
          <w:sz w:val="21"/>
          <w:szCs w:val="21"/>
        </w:rPr>
      </w:pPr>
      <w:r>
        <w:rPr>
          <w:rFonts w:ascii="Arial" w:hAnsi="Arial" w:cs="Arial"/>
          <w:sz w:val="21"/>
          <w:szCs w:val="21"/>
        </w:rPr>
        <w:t>所谓最高最佳使用是指房地产估价要以房地产的最高最佳使用为前提。最高最佳使用是估价对象的一种最可能的使用,这种最可能的使用是法律上允许、技术上可能、经济上可行，经过充分合理的论证，并能给估价对象带来最高价值的使用。它主要体现在以下几个方面:</w:t>
      </w:r>
    </w:p>
    <w:p w14:paraId="555A0CFE">
      <w:pPr>
        <w:pStyle w:val="270"/>
        <w:autoSpaceDE w:val="0"/>
        <w:spacing w:line="480" w:lineRule="auto"/>
        <w:ind w:right="140"/>
        <w:jc w:val="both"/>
        <w:textAlignment w:val="bottom"/>
      </w:pPr>
      <w:r>
        <w:rPr>
          <w:rFonts w:ascii="Arial" w:hAnsi="Arial" w:cs="Arial"/>
          <w:b/>
          <w:sz w:val="21"/>
          <w:szCs w:val="21"/>
        </w:rPr>
        <w:t>（一）法律上允许（规划及相关政策法规许可）</w:t>
      </w:r>
    </w:p>
    <w:p w14:paraId="7D9A1F55">
      <w:pPr>
        <w:pStyle w:val="270"/>
        <w:autoSpaceDE w:val="0"/>
        <w:spacing w:line="480" w:lineRule="auto"/>
        <w:ind w:right="140" w:firstLine="420"/>
        <w:jc w:val="both"/>
        <w:textAlignment w:val="bottom"/>
        <w:rPr>
          <w:rFonts w:ascii="Arial" w:hAnsi="Arial" w:cs="Arial"/>
          <w:sz w:val="21"/>
          <w:szCs w:val="21"/>
        </w:rPr>
      </w:pPr>
      <w:r>
        <w:rPr>
          <w:rFonts w:ascii="Arial" w:hAnsi="Arial" w:cs="Arial"/>
          <w:sz w:val="21"/>
          <w:szCs w:val="21"/>
        </w:rPr>
        <w:t>法律上允许即不受现时使用状况的限制，而依照法律规章、规划发展方向，按照其可能的最优用途进行估价。</w:t>
      </w:r>
    </w:p>
    <w:p w14:paraId="79AC0ACD">
      <w:pPr>
        <w:pStyle w:val="270"/>
        <w:autoSpaceDE w:val="0"/>
        <w:spacing w:line="480" w:lineRule="auto"/>
        <w:ind w:right="140" w:firstLine="420"/>
        <w:jc w:val="both"/>
        <w:textAlignment w:val="bottom"/>
        <w:rPr>
          <w:rFonts w:ascii="Arial" w:hAnsi="Arial" w:cs="Arial"/>
          <w:sz w:val="21"/>
          <w:szCs w:val="21"/>
        </w:rPr>
      </w:pPr>
      <w:r>
        <w:rPr>
          <w:rFonts w:ascii="Arial" w:hAnsi="Arial" w:cs="Arial"/>
          <w:sz w:val="21"/>
          <w:szCs w:val="21"/>
        </w:rPr>
        <w:t>估价对象土地规划用途为住宅，房屋规划用途为住宅，实际拟用作租赁住房，法律上允许。</w:t>
      </w:r>
    </w:p>
    <w:p w14:paraId="47F712FF">
      <w:pPr>
        <w:pStyle w:val="270"/>
        <w:autoSpaceDE w:val="0"/>
        <w:spacing w:line="480" w:lineRule="auto"/>
        <w:ind w:right="142"/>
        <w:jc w:val="both"/>
        <w:textAlignment w:val="bottom"/>
        <w:rPr>
          <w:rFonts w:ascii="Arial" w:hAnsi="Arial" w:cs="Arial"/>
          <w:b/>
          <w:sz w:val="21"/>
          <w:szCs w:val="21"/>
        </w:rPr>
      </w:pPr>
      <w:r>
        <w:rPr>
          <w:rFonts w:ascii="Arial" w:hAnsi="Arial" w:cs="Arial"/>
          <w:b/>
          <w:sz w:val="21"/>
          <w:szCs w:val="21"/>
        </w:rPr>
        <w:t>（二）技术上可能</w:t>
      </w:r>
    </w:p>
    <w:p w14:paraId="692A5B9B">
      <w:pPr>
        <w:pStyle w:val="270"/>
        <w:autoSpaceDE w:val="0"/>
        <w:spacing w:line="480" w:lineRule="auto"/>
        <w:ind w:right="142" w:firstLine="420"/>
        <w:jc w:val="both"/>
        <w:textAlignment w:val="bottom"/>
        <w:rPr>
          <w:rFonts w:ascii="Arial" w:hAnsi="Arial" w:cs="Arial"/>
          <w:sz w:val="21"/>
          <w:szCs w:val="21"/>
        </w:rPr>
      </w:pPr>
      <w:r>
        <w:rPr>
          <w:rFonts w:ascii="Arial" w:hAnsi="Arial" w:cs="Arial"/>
          <w:sz w:val="21"/>
          <w:szCs w:val="21"/>
        </w:rPr>
        <w:t>技术上可能即不能把技术上无法做到的使用当作最高最佳使用，要按照房屋建筑工程方面的技术要求进行估价。</w:t>
      </w:r>
    </w:p>
    <w:p w14:paraId="1EBEE412">
      <w:pPr>
        <w:pStyle w:val="270"/>
        <w:autoSpaceDE w:val="0"/>
        <w:spacing w:line="480" w:lineRule="auto"/>
        <w:ind w:right="142" w:firstLine="420"/>
        <w:jc w:val="both"/>
        <w:textAlignment w:val="bottom"/>
      </w:pPr>
      <w:r>
        <w:rPr>
          <w:rFonts w:ascii="Arial" w:hAnsi="Arial" w:cs="Arial"/>
          <w:sz w:val="21"/>
          <w:szCs w:val="21"/>
        </w:rPr>
        <w:t>估价对象为</w:t>
      </w:r>
      <w:r>
        <w:rPr>
          <w:rFonts w:ascii="Arial" w:hAnsi="Arial" w:cs="Arial"/>
          <w:kern w:val="2"/>
          <w:sz w:val="21"/>
          <w:szCs w:val="21"/>
        </w:rPr>
        <w:t>钢混</w:t>
      </w:r>
      <w:r>
        <w:rPr>
          <w:rFonts w:ascii="Arial" w:hAnsi="Arial" w:cs="Arial"/>
          <w:sz w:val="21"/>
          <w:szCs w:val="21"/>
        </w:rPr>
        <w:t>结构的高层建筑物。估价对象建筑结构、功能、造型、立面效果、建筑材料和设备选用、施工技术等方面，在目前的施工技术上均能满足要求。</w:t>
      </w:r>
    </w:p>
    <w:p w14:paraId="386AE824">
      <w:pPr>
        <w:pStyle w:val="270"/>
        <w:autoSpaceDE w:val="0"/>
        <w:spacing w:line="480" w:lineRule="auto"/>
        <w:ind w:right="142"/>
        <w:jc w:val="both"/>
        <w:textAlignment w:val="bottom"/>
        <w:rPr>
          <w:rFonts w:ascii="Arial" w:hAnsi="Arial" w:cs="Arial"/>
          <w:b/>
          <w:sz w:val="21"/>
          <w:szCs w:val="21"/>
        </w:rPr>
      </w:pPr>
      <w:r>
        <w:rPr>
          <w:rFonts w:ascii="Arial" w:hAnsi="Arial" w:cs="Arial"/>
          <w:b/>
          <w:sz w:val="21"/>
          <w:szCs w:val="21"/>
        </w:rPr>
        <w:t>（三）经济上可行</w:t>
      </w:r>
    </w:p>
    <w:p w14:paraId="55FC9483">
      <w:pPr>
        <w:pStyle w:val="270"/>
        <w:autoSpaceDE w:val="0"/>
        <w:spacing w:line="480" w:lineRule="auto"/>
        <w:ind w:right="142" w:firstLine="420"/>
        <w:jc w:val="both"/>
        <w:textAlignment w:val="bottom"/>
      </w:pPr>
      <w:r>
        <w:rPr>
          <w:rFonts w:hint="eastAsia" w:ascii="Arial" w:hAnsi="Arial" w:cs="Arial"/>
          <w:sz w:val="21"/>
          <w:szCs w:val="21"/>
        </w:rPr>
        <w:t>经济上可行</w:t>
      </w:r>
      <w:r>
        <w:rPr>
          <w:rFonts w:ascii="Arial" w:hAnsi="Arial" w:cs="Arial"/>
          <w:sz w:val="21"/>
          <w:szCs w:val="21"/>
        </w:rPr>
        <w:t>即估价结果应是各种可能的使用方式中，以经济上有限的投入而能获得最大的收益的使用方式的估价结果。估价对象目前用途、产权合法、建造标准技术上能满足要求，并且其收入现值大于支出现值，具有经济可行性。</w:t>
      </w:r>
    </w:p>
    <w:p w14:paraId="3A0EB8DB">
      <w:pPr>
        <w:pStyle w:val="270"/>
        <w:autoSpaceDE w:val="0"/>
        <w:spacing w:line="480" w:lineRule="auto"/>
        <w:ind w:right="140"/>
        <w:jc w:val="both"/>
        <w:textAlignment w:val="bottom"/>
        <w:rPr>
          <w:rFonts w:ascii="Arial" w:hAnsi="Arial" w:cs="Arial"/>
          <w:b/>
          <w:sz w:val="21"/>
          <w:szCs w:val="21"/>
        </w:rPr>
      </w:pPr>
      <w:r>
        <w:rPr>
          <w:rFonts w:ascii="Arial" w:hAnsi="Arial" w:cs="Arial"/>
          <w:b/>
          <w:sz w:val="21"/>
          <w:szCs w:val="21"/>
        </w:rPr>
        <w:t>（四）价值最大化</w:t>
      </w:r>
    </w:p>
    <w:p w14:paraId="3809A30F">
      <w:pPr>
        <w:pStyle w:val="270"/>
        <w:autoSpaceDE w:val="0"/>
        <w:spacing w:line="480" w:lineRule="auto"/>
        <w:ind w:right="140" w:firstLine="420"/>
        <w:jc w:val="both"/>
        <w:textAlignment w:val="bottom"/>
      </w:pPr>
      <w:r>
        <w:rPr>
          <w:rFonts w:ascii="Arial" w:hAnsi="Arial" w:cs="Arial"/>
          <w:sz w:val="21"/>
          <w:szCs w:val="21"/>
        </w:rPr>
        <w:t>价值最大化即在所有具有经济可行性的使用方式中，能使估价对象价值达到最大的使用方式，才是最高最佳的使用方式。估价对象土地规划用途为住宅，房屋规划用途为住宅，实际拟用作租赁住房，其使用方式以满足法律上许可、技术上可能、经济上可行为前提条件，经过论证可使估价对象价值得到最大化。</w:t>
      </w:r>
    </w:p>
    <w:p w14:paraId="494FD8D3">
      <w:pPr>
        <w:pStyle w:val="270"/>
        <w:autoSpaceDE w:val="0"/>
        <w:spacing w:line="480" w:lineRule="auto"/>
        <w:ind w:right="140"/>
        <w:jc w:val="both"/>
        <w:textAlignment w:val="bottom"/>
        <w:rPr>
          <w:rFonts w:ascii="Arial" w:hAnsi="Arial" w:cs="Arial"/>
          <w:b/>
          <w:sz w:val="21"/>
          <w:szCs w:val="21"/>
        </w:rPr>
      </w:pPr>
      <w:r>
        <w:rPr>
          <w:rFonts w:ascii="Arial" w:hAnsi="Arial" w:cs="Arial"/>
          <w:b/>
          <w:sz w:val="21"/>
          <w:szCs w:val="21"/>
        </w:rPr>
        <w:t>（五）使用前提说明与分析</w:t>
      </w:r>
    </w:p>
    <w:p w14:paraId="522C8C84">
      <w:pPr>
        <w:pStyle w:val="278"/>
        <w:autoSpaceDE w:val="0"/>
        <w:autoSpaceDN w:val="0"/>
        <w:spacing w:line="480" w:lineRule="auto"/>
        <w:ind w:right="140" w:firstLine="420" w:firstLineChars="200"/>
        <w:jc w:val="both"/>
        <w:textAlignment w:val="bottom"/>
        <w:rPr>
          <w:rFonts w:ascii="Arial" w:hAnsi="Arial" w:cs="Arial"/>
          <w:sz w:val="21"/>
          <w:szCs w:val="21"/>
        </w:rPr>
      </w:pPr>
      <w:r>
        <w:rPr>
          <w:rFonts w:ascii="Arial" w:hAnsi="Arial" w:cs="Arial"/>
          <w:sz w:val="21"/>
          <w:szCs w:val="21"/>
        </w:rPr>
        <w:t>估价对象</w:t>
      </w:r>
      <w:r>
        <w:rPr>
          <w:rFonts w:hint="eastAsia" w:ascii="Arial" w:hAnsi="Arial" w:cs="Arial"/>
          <w:sz w:val="21"/>
          <w:szCs w:val="21"/>
        </w:rPr>
        <w:t>设定</w:t>
      </w:r>
      <w:r>
        <w:rPr>
          <w:rFonts w:ascii="Arial" w:hAnsi="Arial" w:cs="Arial"/>
          <w:sz w:val="21"/>
          <w:szCs w:val="21"/>
        </w:rPr>
        <w:t>作为已建成建筑物，应以保持现状作为前提，即认为保持现状最为有利时，应以保持现状为前提条件进行估价。现状应予保持的是：现状房地产的价值大于重新立项新建房地产的价值减去拆除现有建筑物的费用及建造新建筑物的费用之后的余额。根据目前房地产市场状况并结合开发经验，以保持现状最为有利。</w:t>
      </w:r>
    </w:p>
    <w:p w14:paraId="7B9D1712">
      <w:pPr>
        <w:spacing w:line="480" w:lineRule="auto"/>
        <w:ind w:firstLine="420"/>
        <w:jc w:val="both"/>
        <w:rPr>
          <w:rFonts w:ascii="Arial" w:hAnsi="Arial" w:cs="Arial"/>
          <w:sz w:val="21"/>
          <w:szCs w:val="21"/>
        </w:rPr>
      </w:pPr>
      <w:r>
        <w:rPr>
          <w:rFonts w:ascii="Arial" w:hAnsi="Arial" w:cs="Arial"/>
          <w:sz w:val="21"/>
          <w:szCs w:val="21"/>
        </w:rPr>
        <w:t>综上所述，我们认为估价对象用途</w:t>
      </w:r>
      <w:r>
        <w:rPr>
          <w:rFonts w:hint="eastAsia" w:ascii="Arial" w:hAnsi="Arial" w:cs="Arial"/>
          <w:sz w:val="21"/>
          <w:szCs w:val="21"/>
        </w:rPr>
        <w:t>为公共租赁住房</w:t>
      </w:r>
      <w:r>
        <w:rPr>
          <w:rFonts w:ascii="Arial" w:hAnsi="Arial" w:cs="Arial"/>
          <w:sz w:val="21"/>
          <w:szCs w:val="21"/>
        </w:rPr>
        <w:t>为其最高最佳使用途径。</w:t>
      </w:r>
    </w:p>
    <w:p w14:paraId="44B3BE0D">
      <w:pPr>
        <w:spacing w:line="480" w:lineRule="auto"/>
        <w:ind w:firstLine="420"/>
        <w:jc w:val="both"/>
        <w:rPr>
          <w:rFonts w:ascii="Arial" w:hAnsi="Arial" w:cs="Arial"/>
          <w:sz w:val="21"/>
          <w:szCs w:val="21"/>
        </w:rPr>
      </w:pPr>
    </w:p>
    <w:p w14:paraId="7B24E275">
      <w:pPr>
        <w:pStyle w:val="3"/>
        <w:numPr>
          <w:ilvl w:val="0"/>
          <w:numId w:val="9"/>
        </w:numPr>
        <w:spacing w:line="480" w:lineRule="auto"/>
        <w:jc w:val="both"/>
        <w:rPr>
          <w:rFonts w:eastAsia="宋体;SimSun"/>
          <w:kern w:val="2"/>
          <w:sz w:val="21"/>
          <w:szCs w:val="21"/>
        </w:rPr>
      </w:pPr>
      <w:bookmarkStart w:id="37" w:name="_Toc155340502"/>
      <w:r>
        <w:rPr>
          <w:rFonts w:eastAsia="宋体;SimSun"/>
          <w:kern w:val="2"/>
          <w:sz w:val="21"/>
          <w:szCs w:val="21"/>
        </w:rPr>
        <w:t>估价方法适用性分析</w:t>
      </w:r>
      <w:bookmarkEnd w:id="37"/>
    </w:p>
    <w:p w14:paraId="7DB139B8">
      <w:pPr>
        <w:overflowPunct w:val="0"/>
        <w:spacing w:line="480" w:lineRule="auto"/>
        <w:ind w:firstLine="420"/>
        <w:jc w:val="both"/>
        <w:textAlignment w:val="auto"/>
        <w:rPr>
          <w:rFonts w:ascii="Arial" w:hAnsi="Arial" w:cs="Arial"/>
          <w:bCs/>
          <w:spacing w:val="10"/>
          <w:sz w:val="21"/>
          <w:szCs w:val="21"/>
        </w:rPr>
      </w:pPr>
      <w:r>
        <w:rPr>
          <w:rFonts w:ascii="Arial" w:hAnsi="Arial" w:cs="Arial"/>
          <w:sz w:val="21"/>
          <w:szCs w:val="21"/>
        </w:rPr>
        <w:t>由于本次评估是</w:t>
      </w:r>
      <w:r>
        <w:rPr>
          <w:rFonts w:hint="eastAsia" w:ascii="Arial" w:hAnsi="Arial" w:cs="Arial"/>
          <w:sz w:val="21"/>
          <w:szCs w:val="21"/>
        </w:rPr>
        <w:t>为估价委托人确定公共租赁住房项目市场租金提供价格参考依据</w:t>
      </w:r>
      <w:r>
        <w:rPr>
          <w:rFonts w:ascii="Arial" w:hAnsi="Arial" w:cs="Arial"/>
          <w:sz w:val="21"/>
          <w:szCs w:val="21"/>
        </w:rPr>
        <w:t>，因此我们在认真分析研究估价对象的相关资料，并通过对邻近地区同类物业调查的基础上，根据《房地产估价规范》</w:t>
      </w:r>
      <w:r>
        <w:rPr>
          <w:rFonts w:hint="eastAsia" w:ascii="Arial" w:hAnsi="Arial" w:cs="Arial"/>
          <w:sz w:val="21"/>
          <w:szCs w:val="21"/>
        </w:rPr>
        <w:t>（</w:t>
      </w:r>
      <w:r>
        <w:rPr>
          <w:rFonts w:ascii="Arial" w:hAnsi="Arial" w:cs="Arial"/>
          <w:sz w:val="21"/>
          <w:szCs w:val="21"/>
        </w:rPr>
        <w:t>GB/T</w:t>
      </w:r>
      <w:r>
        <w:rPr>
          <w:rFonts w:hint="eastAsia" w:ascii="Arial" w:hAnsi="Arial" w:cs="Arial"/>
          <w:sz w:val="21"/>
          <w:szCs w:val="21"/>
        </w:rPr>
        <w:t xml:space="preserve"> </w:t>
      </w:r>
      <w:r>
        <w:rPr>
          <w:rFonts w:ascii="Arial" w:hAnsi="Arial" w:cs="Arial"/>
          <w:sz w:val="21"/>
          <w:szCs w:val="21"/>
        </w:rPr>
        <w:t>50291-2015</w:t>
      </w:r>
      <w:r>
        <w:rPr>
          <w:rFonts w:hint="eastAsia" w:ascii="Arial" w:hAnsi="Arial" w:cs="Arial"/>
          <w:sz w:val="21"/>
          <w:szCs w:val="21"/>
        </w:rPr>
        <w:t>）、参照《关于发布&lt;北京市公共租赁住房项目市场租金评估技术指引&gt;的通知》[北估秘[2019]020号]</w:t>
      </w:r>
      <w:r>
        <w:rPr>
          <w:rFonts w:ascii="Arial" w:hAnsi="Arial" w:cs="Arial"/>
          <w:sz w:val="21"/>
          <w:szCs w:val="21"/>
        </w:rPr>
        <w:t>的估价程序，选用比较法为主方法进行估价，进而确定估价对象市场平均租金价格水平。</w:t>
      </w:r>
    </w:p>
    <w:p w14:paraId="610D5A00">
      <w:pPr>
        <w:pStyle w:val="270"/>
        <w:autoSpaceDE w:val="0"/>
        <w:spacing w:line="480" w:lineRule="auto"/>
        <w:ind w:right="140"/>
        <w:jc w:val="both"/>
        <w:textAlignment w:val="bottom"/>
      </w:pPr>
      <w:r>
        <w:rPr>
          <w:rFonts w:ascii="Arial" w:hAnsi="Arial" w:cs="Arial"/>
          <w:b/>
          <w:sz w:val="21"/>
          <w:szCs w:val="21"/>
        </w:rPr>
        <w:t>（一）估价思路</w:t>
      </w:r>
      <w:r>
        <w:rPr>
          <w:rFonts w:ascii="Arial" w:hAnsi="Arial" w:eastAsia="Arial" w:cs="Arial"/>
          <w:b/>
          <w:sz w:val="21"/>
          <w:szCs w:val="21"/>
        </w:rPr>
        <w:t xml:space="preserve"> </w:t>
      </w:r>
    </w:p>
    <w:p w14:paraId="11F25628">
      <w:pPr>
        <w:pStyle w:val="270"/>
        <w:overflowPunct w:val="0"/>
        <w:autoSpaceDE w:val="0"/>
        <w:spacing w:line="480" w:lineRule="auto"/>
        <w:ind w:right="140" w:firstLine="420"/>
        <w:jc w:val="both"/>
        <w:textAlignment w:val="auto"/>
      </w:pPr>
      <w:r>
        <w:rPr>
          <w:rFonts w:ascii="Arial" w:hAnsi="Arial" w:cs="Arial"/>
          <w:color w:val="000000"/>
          <w:sz w:val="21"/>
          <w:szCs w:val="21"/>
        </w:rPr>
        <w:t>本次选用比较法对估价对象的市场租金水平进行测算，具体测算思路如下：</w:t>
      </w:r>
    </w:p>
    <w:p w14:paraId="774DADFC">
      <w:pPr>
        <w:pStyle w:val="270"/>
        <w:overflowPunct w:val="0"/>
        <w:autoSpaceDE w:val="0"/>
        <w:spacing w:line="480" w:lineRule="auto"/>
        <w:ind w:right="140" w:firstLine="420"/>
        <w:jc w:val="both"/>
        <w:textAlignment w:val="auto"/>
        <w:rPr>
          <w:rFonts w:ascii="Arial" w:hAnsi="Arial" w:cs="Arial"/>
          <w:color w:val="000000"/>
          <w:sz w:val="21"/>
          <w:szCs w:val="21"/>
        </w:rPr>
      </w:pPr>
      <w:r>
        <w:rPr>
          <w:rFonts w:ascii="Arial" w:hAnsi="Arial" w:cs="Arial"/>
          <w:color w:val="000000"/>
          <w:sz w:val="21"/>
          <w:szCs w:val="21"/>
        </w:rPr>
        <w:t>1.首先确认估价对象标准房。标准房设定如下：</w:t>
      </w:r>
    </w:p>
    <w:p w14:paraId="3CA0EBF4">
      <w:pPr>
        <w:pStyle w:val="270"/>
        <w:overflowPunct w:val="0"/>
        <w:autoSpaceDE w:val="0"/>
        <w:spacing w:line="480" w:lineRule="auto"/>
        <w:ind w:right="140" w:firstLine="420"/>
        <w:jc w:val="both"/>
        <w:textAlignment w:val="auto"/>
        <w:rPr>
          <w:rFonts w:ascii="Arial" w:hAnsi="Arial" w:cs="Arial"/>
          <w:kern w:val="2"/>
          <w:sz w:val="21"/>
          <w:szCs w:val="21"/>
        </w:rPr>
      </w:pPr>
      <w:r>
        <w:rPr>
          <w:rFonts w:ascii="Arial" w:hAnsi="Arial" w:cs="Arial"/>
          <w:bCs/>
          <w:color w:val="000000"/>
          <w:sz w:val="21"/>
          <w:szCs w:val="21"/>
        </w:rPr>
        <w:t>估价对象</w:t>
      </w:r>
      <w:r>
        <w:rPr>
          <w:rFonts w:ascii="Arial" w:hAnsi="Arial" w:cs="Arial"/>
          <w:sz w:val="21"/>
          <w:szCs w:val="21"/>
        </w:rPr>
        <w:t>有两种户型，分别为一居室、两居室。其中，一居室</w:t>
      </w:r>
      <w:r>
        <w:rPr>
          <w:rFonts w:hint="eastAsia" w:ascii="Arial" w:hAnsi="Arial" w:cs="Arial"/>
          <w:sz w:val="21"/>
          <w:szCs w:val="21"/>
        </w:rPr>
        <w:t>共103套</w:t>
      </w:r>
      <w:r>
        <w:rPr>
          <w:rFonts w:ascii="Arial" w:hAnsi="Arial" w:cs="Arial"/>
          <w:sz w:val="21"/>
          <w:szCs w:val="21"/>
        </w:rPr>
        <w:t>，面积控制在</w:t>
      </w:r>
      <w:r>
        <w:rPr>
          <w:rFonts w:hint="eastAsia" w:ascii="Arial" w:hAnsi="Arial" w:cs="Arial"/>
          <w:sz w:val="21"/>
          <w:szCs w:val="21"/>
        </w:rPr>
        <w:t>69.62-69.8</w:t>
      </w:r>
      <w:r>
        <w:rPr>
          <w:rFonts w:ascii="Arial" w:hAnsi="Arial" w:cs="Arial"/>
          <w:sz w:val="21"/>
          <w:szCs w:val="21"/>
        </w:rPr>
        <w:t>平方米；</w:t>
      </w:r>
      <w:r>
        <w:rPr>
          <w:rFonts w:hint="eastAsia" w:ascii="Arial" w:hAnsi="Arial" w:cs="Arial"/>
          <w:sz w:val="21"/>
          <w:szCs w:val="21"/>
        </w:rPr>
        <w:t>两居室共412套</w:t>
      </w:r>
      <w:r>
        <w:rPr>
          <w:rFonts w:ascii="Arial" w:hAnsi="Arial" w:cs="Arial"/>
          <w:sz w:val="21"/>
          <w:szCs w:val="21"/>
        </w:rPr>
        <w:t>，面积控制在</w:t>
      </w:r>
      <w:r>
        <w:rPr>
          <w:rFonts w:hint="eastAsia" w:ascii="Arial" w:hAnsi="Arial" w:cs="Arial"/>
          <w:sz w:val="21"/>
          <w:szCs w:val="21"/>
        </w:rPr>
        <w:t>88.41-92.39</w:t>
      </w:r>
      <w:r>
        <w:rPr>
          <w:rFonts w:ascii="Arial" w:hAnsi="Arial" w:cs="Arial"/>
          <w:sz w:val="21"/>
          <w:szCs w:val="21"/>
        </w:rPr>
        <w:t>平方米。依据众数原则，</w:t>
      </w:r>
      <w:r>
        <w:rPr>
          <w:rFonts w:ascii="Arial" w:hAnsi="Arial" w:cs="Arial"/>
          <w:color w:val="000000"/>
          <w:sz w:val="21"/>
          <w:szCs w:val="21"/>
        </w:rPr>
        <w:t>选取</w:t>
      </w:r>
      <w:r>
        <w:rPr>
          <w:rFonts w:ascii="Arial" w:hAnsi="Arial" w:cs="Arial"/>
          <w:kern w:val="2"/>
          <w:sz w:val="21"/>
          <w:szCs w:val="21"/>
        </w:rPr>
        <w:t>标准房户型为</w:t>
      </w:r>
      <w:r>
        <w:rPr>
          <w:rFonts w:hint="eastAsia" w:ascii="Arial" w:hAnsi="Arial" w:cs="Arial"/>
          <w:kern w:val="2"/>
          <w:sz w:val="21"/>
          <w:szCs w:val="21"/>
        </w:rPr>
        <w:t>两居室</w:t>
      </w:r>
      <w:r>
        <w:rPr>
          <w:rFonts w:ascii="Arial" w:hAnsi="Arial" w:cs="Arial"/>
          <w:kern w:val="2"/>
          <w:sz w:val="21"/>
          <w:szCs w:val="21"/>
        </w:rPr>
        <w:t>，面积为</w:t>
      </w:r>
      <w:r>
        <w:rPr>
          <w:rFonts w:hint="eastAsia" w:ascii="Arial" w:hAnsi="Arial" w:cs="Arial"/>
          <w:kern w:val="2"/>
          <w:sz w:val="21"/>
          <w:szCs w:val="21"/>
        </w:rPr>
        <w:t>89.62</w:t>
      </w:r>
      <w:r>
        <w:rPr>
          <w:rFonts w:ascii="Arial" w:hAnsi="Arial" w:cs="Arial"/>
          <w:kern w:val="2"/>
          <w:sz w:val="21"/>
          <w:szCs w:val="21"/>
        </w:rPr>
        <w:t>平方米，朝向为南，装修情况为简单装修。</w:t>
      </w:r>
    </w:p>
    <w:p w14:paraId="40061142">
      <w:pPr>
        <w:pStyle w:val="278"/>
        <w:wordWrap w:val="0"/>
        <w:overflowPunct w:val="0"/>
        <w:autoSpaceDE w:val="0"/>
        <w:autoSpaceDN w:val="0"/>
        <w:spacing w:line="480" w:lineRule="auto"/>
        <w:ind w:right="140" w:firstLine="420" w:firstLineChars="200"/>
        <w:jc w:val="both"/>
        <w:textAlignment w:val="auto"/>
        <w:rPr>
          <w:rFonts w:ascii="Arial" w:hAnsi="Arial" w:cs="Arial"/>
          <w:color w:val="000000"/>
          <w:sz w:val="21"/>
          <w:szCs w:val="21"/>
        </w:rPr>
      </w:pPr>
      <w:r>
        <w:rPr>
          <w:rFonts w:ascii="Arial" w:hAnsi="Arial" w:cs="Arial"/>
          <w:color w:val="000000"/>
          <w:sz w:val="21"/>
          <w:szCs w:val="21"/>
        </w:rPr>
        <w:t>2.在估价对象周边区域选取适当数量住宅小区，结合估价机构监测数据、行业主管部门（北京市房地产市场管理事务中心）监测数据和估价机构市场调查三个方面的批量数据，选取可比小区。</w:t>
      </w:r>
    </w:p>
    <w:p w14:paraId="627C59CF">
      <w:pPr>
        <w:pStyle w:val="278"/>
        <w:wordWrap w:val="0"/>
        <w:overflowPunct w:val="0"/>
        <w:autoSpaceDE w:val="0"/>
        <w:autoSpaceDN w:val="0"/>
        <w:spacing w:line="480" w:lineRule="auto"/>
        <w:ind w:right="140" w:firstLine="420" w:firstLineChars="200"/>
        <w:jc w:val="both"/>
        <w:textAlignment w:val="auto"/>
        <w:rPr>
          <w:rFonts w:ascii="Arial" w:hAnsi="Arial" w:cs="Arial"/>
          <w:color w:val="000000"/>
          <w:sz w:val="21"/>
          <w:szCs w:val="21"/>
        </w:rPr>
      </w:pPr>
      <w:r>
        <w:rPr>
          <w:rFonts w:ascii="Arial" w:hAnsi="Arial" w:cs="Arial"/>
          <w:color w:val="000000"/>
          <w:sz w:val="21"/>
          <w:szCs w:val="21"/>
        </w:rPr>
        <w:t>3.将所选可比小区与评估对象公共租赁住房</w:t>
      </w:r>
      <w:r>
        <w:rPr>
          <w:rFonts w:hint="eastAsia" w:ascii="Arial" w:hAnsi="Arial" w:cs="Arial"/>
          <w:color w:val="000000"/>
          <w:sz w:val="21"/>
          <w:szCs w:val="21"/>
        </w:rPr>
        <w:t>（ 领军人才公寓）</w:t>
      </w:r>
      <w:r>
        <w:rPr>
          <w:rFonts w:ascii="Arial" w:hAnsi="Arial" w:cs="Arial"/>
          <w:color w:val="000000"/>
          <w:sz w:val="21"/>
          <w:szCs w:val="21"/>
        </w:rPr>
        <w:t>标准房进行比较，进行区位状况调整和实物状况调整，计算各可比实例比准租金，得到</w:t>
      </w:r>
      <w:r>
        <w:rPr>
          <w:rFonts w:hint="eastAsia" w:ascii="Arial" w:hAnsi="Arial" w:cs="Arial"/>
          <w:color w:val="000000"/>
          <w:sz w:val="21"/>
          <w:szCs w:val="21"/>
        </w:rPr>
        <w:t>标准小区（领军人才公寓）</w:t>
      </w:r>
      <w:r>
        <w:rPr>
          <w:rFonts w:ascii="Arial" w:hAnsi="Arial" w:cs="Arial"/>
          <w:color w:val="000000"/>
          <w:sz w:val="21"/>
          <w:szCs w:val="21"/>
        </w:rPr>
        <w:t>标准房租金水平。</w:t>
      </w:r>
    </w:p>
    <w:p w14:paraId="75613B03">
      <w:pPr>
        <w:pStyle w:val="270"/>
        <w:overflowPunct w:val="0"/>
        <w:autoSpaceDE w:val="0"/>
        <w:spacing w:line="480" w:lineRule="auto"/>
        <w:ind w:right="140" w:firstLine="420"/>
        <w:jc w:val="both"/>
        <w:textAlignment w:val="auto"/>
      </w:pPr>
      <w:r>
        <w:rPr>
          <w:rFonts w:ascii="Arial" w:hAnsi="Arial" w:cs="Arial"/>
          <w:color w:val="000000"/>
          <w:sz w:val="21"/>
          <w:szCs w:val="21"/>
        </w:rPr>
        <w:t>4.将估价对象</w:t>
      </w:r>
      <w:r>
        <w:rPr>
          <w:rFonts w:hint="eastAsia" w:ascii="Arial" w:hAnsi="Arial" w:cs="Arial"/>
          <w:color w:val="000000"/>
          <w:sz w:val="21"/>
          <w:szCs w:val="21"/>
        </w:rPr>
        <w:t>杰出人才公寓标准房</w:t>
      </w:r>
      <w:r>
        <w:rPr>
          <w:rFonts w:ascii="Arial" w:hAnsi="Arial" w:cs="Arial"/>
          <w:color w:val="000000"/>
          <w:sz w:val="21"/>
          <w:szCs w:val="21"/>
        </w:rPr>
        <w:t>与</w:t>
      </w:r>
      <w:r>
        <w:rPr>
          <w:rFonts w:hint="eastAsia" w:ascii="Arial" w:hAnsi="Arial" w:cs="Arial"/>
          <w:color w:val="000000"/>
          <w:sz w:val="21"/>
          <w:szCs w:val="21"/>
        </w:rPr>
        <w:t>领军人才公寓</w:t>
      </w:r>
      <w:r>
        <w:rPr>
          <w:rFonts w:ascii="Arial" w:hAnsi="Arial" w:cs="Arial"/>
          <w:color w:val="000000"/>
          <w:sz w:val="21"/>
          <w:szCs w:val="21"/>
        </w:rPr>
        <w:t>标准房进行比较，得到</w:t>
      </w:r>
      <w:r>
        <w:rPr>
          <w:rFonts w:hint="eastAsia" w:ascii="Arial" w:hAnsi="Arial" w:cs="Arial"/>
          <w:color w:val="000000"/>
          <w:sz w:val="21"/>
          <w:szCs w:val="21"/>
        </w:rPr>
        <w:t>杰出人才公寓标准房</w:t>
      </w:r>
      <w:r>
        <w:rPr>
          <w:rFonts w:ascii="Arial" w:hAnsi="Arial" w:cs="Arial"/>
          <w:color w:val="000000"/>
          <w:sz w:val="21"/>
          <w:szCs w:val="21"/>
        </w:rPr>
        <w:t>租金水平。</w:t>
      </w:r>
    </w:p>
    <w:p w14:paraId="261A3891">
      <w:pPr>
        <w:pStyle w:val="270"/>
        <w:overflowPunct w:val="0"/>
        <w:autoSpaceDE w:val="0"/>
        <w:spacing w:line="480" w:lineRule="auto"/>
        <w:ind w:right="140"/>
        <w:jc w:val="both"/>
        <w:textAlignment w:val="auto"/>
      </w:pPr>
      <w:r>
        <w:rPr>
          <w:rFonts w:ascii="Arial" w:hAnsi="Arial" w:cs="Arial"/>
          <w:b/>
          <w:sz w:val="21"/>
          <w:szCs w:val="21"/>
        </w:rPr>
        <w:t>（二）</w:t>
      </w:r>
      <w:r>
        <w:rPr>
          <w:rFonts w:ascii="Arial" w:hAnsi="Arial" w:cs="Arial"/>
          <w:b/>
          <w:color w:val="000000"/>
          <w:sz w:val="21"/>
          <w:szCs w:val="21"/>
        </w:rPr>
        <w:t>估价方法</w:t>
      </w:r>
      <w:r>
        <w:rPr>
          <w:rFonts w:ascii="Arial" w:hAnsi="Arial" w:eastAsia="Arial" w:cs="Arial"/>
          <w:b/>
          <w:color w:val="000000"/>
          <w:sz w:val="21"/>
          <w:szCs w:val="21"/>
        </w:rPr>
        <w:t xml:space="preserve"> </w:t>
      </w:r>
    </w:p>
    <w:p w14:paraId="2CCC78FE">
      <w:pPr>
        <w:pStyle w:val="270"/>
        <w:overflowPunct w:val="0"/>
        <w:autoSpaceDE w:val="0"/>
        <w:spacing w:line="480" w:lineRule="auto"/>
        <w:ind w:right="140" w:firstLine="420"/>
        <w:jc w:val="both"/>
        <w:textAlignment w:val="auto"/>
      </w:pPr>
      <w:r>
        <w:rPr>
          <w:rFonts w:ascii="Arial" w:hAnsi="Arial" w:cs="Arial"/>
          <w:color w:val="000000"/>
          <w:sz w:val="21"/>
          <w:szCs w:val="21"/>
        </w:rPr>
        <w:t>比较法，是在求取估价对象房地产价值时，根据替代原则，将估价对象与在较近时期内已发生交易的类似房地产交易实例进行对期日、区域及实物状况的差别，修正得出估价对象房地产市场价值的方法。本次估价采用比较法照比较，并依据后者已知的价格，参照该房地产的交易情况、思路评估租金价格水平。同时</w:t>
      </w:r>
      <w:r>
        <w:rPr>
          <w:rFonts w:hint="eastAsia" w:ascii="Arial" w:hAnsi="Arial" w:cs="Arial"/>
          <w:color w:val="000000"/>
          <w:sz w:val="21"/>
          <w:szCs w:val="21"/>
        </w:rPr>
        <w:t>，</w:t>
      </w:r>
      <w:r>
        <w:rPr>
          <w:rFonts w:ascii="Arial" w:hAnsi="Arial" w:cs="Arial"/>
          <w:color w:val="000000"/>
          <w:sz w:val="21"/>
          <w:szCs w:val="21"/>
        </w:rPr>
        <w:t>通过区域因素修正得出估价对象相邻或相似区域住宅租赁价格水平</w:t>
      </w:r>
      <w:r>
        <w:rPr>
          <w:rFonts w:hint="eastAsia" w:ascii="Arial" w:hAnsi="Arial" w:cs="Arial"/>
          <w:color w:val="000000"/>
          <w:sz w:val="21"/>
          <w:szCs w:val="21"/>
        </w:rPr>
        <w:t>。</w:t>
      </w:r>
    </w:p>
    <w:p w14:paraId="2E1D7C6E">
      <w:pPr>
        <w:pStyle w:val="270"/>
        <w:overflowPunct w:val="0"/>
        <w:autoSpaceDE w:val="0"/>
        <w:spacing w:line="480" w:lineRule="auto"/>
        <w:ind w:right="140" w:firstLine="420"/>
        <w:jc w:val="both"/>
        <w:textAlignment w:val="auto"/>
      </w:pPr>
      <w:r>
        <w:rPr>
          <w:rFonts w:ascii="Arial" w:hAnsi="Arial" w:cs="Arial"/>
          <w:color w:val="000000"/>
          <w:sz w:val="21"/>
          <w:szCs w:val="21"/>
        </w:rPr>
        <w:t>1.采用比较法的理由：</w:t>
      </w:r>
    </w:p>
    <w:p w14:paraId="6BDE209C">
      <w:pPr>
        <w:pStyle w:val="270"/>
        <w:overflowPunct w:val="0"/>
        <w:autoSpaceDE w:val="0"/>
        <w:spacing w:line="480" w:lineRule="auto"/>
        <w:ind w:right="140" w:firstLine="420"/>
        <w:jc w:val="both"/>
        <w:textAlignment w:val="auto"/>
      </w:pPr>
      <w:r>
        <w:rPr>
          <w:rFonts w:ascii="Arial" w:hAnsi="Arial" w:cs="Arial"/>
          <w:sz w:val="21"/>
          <w:szCs w:val="21"/>
        </w:rPr>
        <w:t>估价对象所处区域近期有较多的相同用途物业的出租案例，且交易时间与价值时点接近，故适宜采用比较法进行租赁价格评估；同时有所在区域住宅出租的公开信息，可通过因素修正得出估价对象所在区域住宅租赁价格水平</w:t>
      </w:r>
      <w:r>
        <w:rPr>
          <w:rFonts w:hint="eastAsia" w:ascii="Arial" w:hAnsi="Arial" w:cs="Arial"/>
          <w:sz w:val="21"/>
          <w:szCs w:val="21"/>
        </w:rPr>
        <w:t>。</w:t>
      </w:r>
      <w:r>
        <w:rPr>
          <w:rFonts w:ascii="Arial" w:hAnsi="Arial" w:cs="Arial"/>
          <w:sz w:val="21"/>
          <w:szCs w:val="21"/>
        </w:rPr>
        <w:t>同时</w:t>
      </w:r>
      <w:r>
        <w:rPr>
          <w:rFonts w:hint="eastAsia" w:ascii="Arial" w:hAnsi="Arial" w:cs="Arial"/>
          <w:sz w:val="21"/>
          <w:szCs w:val="21"/>
        </w:rPr>
        <w:t>，</w:t>
      </w:r>
      <w:r>
        <w:rPr>
          <w:rFonts w:ascii="Arial" w:hAnsi="Arial" w:cs="Arial"/>
          <w:sz w:val="21"/>
          <w:szCs w:val="21"/>
        </w:rPr>
        <w:t>通过区域因素修正得出估价对象相邻或相似区域住宅租赁价格水平</w:t>
      </w:r>
      <w:r>
        <w:rPr>
          <w:rFonts w:hint="eastAsia" w:ascii="Arial" w:hAnsi="Arial" w:cs="Arial"/>
          <w:sz w:val="21"/>
          <w:szCs w:val="21"/>
        </w:rPr>
        <w:t>。</w:t>
      </w:r>
      <w:r>
        <w:rPr>
          <w:rFonts w:ascii="Arial" w:hAnsi="Arial" w:eastAsia="Arial" w:cs="Arial"/>
          <w:color w:val="000000"/>
          <w:sz w:val="21"/>
          <w:szCs w:val="21"/>
        </w:rPr>
        <w:t xml:space="preserve"> </w:t>
      </w:r>
    </w:p>
    <w:p w14:paraId="11428DB5">
      <w:pPr>
        <w:pStyle w:val="270"/>
        <w:overflowPunct w:val="0"/>
        <w:autoSpaceDE w:val="0"/>
        <w:spacing w:line="480" w:lineRule="auto"/>
        <w:ind w:right="140" w:firstLine="420"/>
        <w:jc w:val="both"/>
        <w:textAlignment w:val="auto"/>
      </w:pPr>
      <w:r>
        <w:rPr>
          <w:rFonts w:ascii="Arial" w:hAnsi="Arial" w:cs="Arial"/>
          <w:color w:val="000000"/>
          <w:sz w:val="21"/>
          <w:szCs w:val="21"/>
        </w:rPr>
        <w:t>2.不采用成本法、假设开发法、收益法的理由：</w:t>
      </w:r>
    </w:p>
    <w:p w14:paraId="6D409300">
      <w:pPr>
        <w:pStyle w:val="270"/>
        <w:overflowPunct w:val="0"/>
        <w:autoSpaceDE w:val="0"/>
        <w:spacing w:line="480" w:lineRule="auto"/>
        <w:ind w:right="140" w:firstLine="420"/>
        <w:jc w:val="both"/>
        <w:textAlignment w:val="auto"/>
        <w:rPr>
          <w:rFonts w:cs="Arial"/>
          <w:sz w:val="21"/>
          <w:szCs w:val="21"/>
        </w:rPr>
      </w:pPr>
      <w:r>
        <w:rPr>
          <w:rFonts w:cs="Arial"/>
          <w:sz w:val="21"/>
          <w:szCs w:val="21"/>
        </w:rPr>
        <w:t>（1）估价对象适用比较法，且已优先采用比较法进行评估，故不再采用成本法进行测算。</w:t>
      </w:r>
    </w:p>
    <w:p w14:paraId="53F4D186">
      <w:pPr>
        <w:pStyle w:val="270"/>
        <w:overflowPunct w:val="0"/>
        <w:autoSpaceDE w:val="0"/>
        <w:spacing w:line="480" w:lineRule="auto"/>
        <w:ind w:right="140" w:firstLine="420"/>
        <w:jc w:val="both"/>
        <w:textAlignment w:val="auto"/>
      </w:pPr>
      <w:r>
        <w:rPr>
          <w:rFonts w:cs="Arial"/>
          <w:sz w:val="21"/>
          <w:szCs w:val="21"/>
        </w:rPr>
        <w:t>（2）</w:t>
      </w:r>
      <w:r>
        <w:rPr>
          <w:rFonts w:hint="eastAsia" w:ascii="Arial" w:hAnsi="Arial" w:cs="Arial"/>
          <w:sz w:val="21"/>
          <w:szCs w:val="21"/>
        </w:rPr>
        <w:t>假设开发法可评估房地产市场价值，但不适于租赁价格的评估。</w:t>
      </w:r>
    </w:p>
    <w:p w14:paraId="79802CE0">
      <w:pPr>
        <w:pStyle w:val="270"/>
        <w:autoSpaceDE w:val="0"/>
        <w:spacing w:line="480" w:lineRule="auto"/>
        <w:ind w:firstLine="420"/>
        <w:jc w:val="both"/>
        <w:textAlignment w:val="bottom"/>
      </w:pPr>
      <w:r>
        <w:rPr>
          <w:rFonts w:cs="Arial"/>
          <w:sz w:val="21"/>
          <w:szCs w:val="21"/>
        </w:rPr>
        <w:t>（3）</w:t>
      </w:r>
      <w:r>
        <w:rPr>
          <w:rFonts w:hint="eastAsia" w:ascii="Arial" w:hAnsi="Arial" w:cs="Arial"/>
          <w:sz w:val="21"/>
          <w:szCs w:val="21"/>
        </w:rPr>
        <w:t>收益法适用于有现实收益或潜在收益的土地或房地产估价。估价对象用途为公共租赁住房，能对外出租，为收益性物业，估价对象虽具有潜在租金收益，租金水平也相对稳定，而由于受到国人传统的购房理念以及固定资产投资、保值需求等的影响，目前估价对象同类商品房住宅业态租售比差距较大，采用房屋交易价格测算出的房屋租金不能反映正常的市场租金水平，故未采用收益法。</w:t>
      </w:r>
    </w:p>
    <w:p w14:paraId="310D75FE">
      <w:pPr>
        <w:pStyle w:val="270"/>
        <w:overflowPunct w:val="0"/>
        <w:autoSpaceDE w:val="0"/>
        <w:spacing w:line="480" w:lineRule="auto"/>
        <w:ind w:right="140"/>
        <w:jc w:val="both"/>
        <w:textAlignment w:val="auto"/>
      </w:pPr>
      <w:r>
        <w:rPr>
          <w:rFonts w:ascii="Arial" w:hAnsi="Arial" w:cs="Arial"/>
          <w:b/>
          <w:sz w:val="21"/>
          <w:szCs w:val="21"/>
        </w:rPr>
        <w:t>（三）估价方法公式</w:t>
      </w:r>
      <w:r>
        <w:rPr>
          <w:rFonts w:ascii="Arial" w:hAnsi="Arial" w:eastAsia="Arial" w:cs="Arial"/>
          <w:b/>
          <w:color w:val="000000"/>
          <w:sz w:val="21"/>
          <w:szCs w:val="21"/>
        </w:rPr>
        <w:t xml:space="preserve"> </w:t>
      </w:r>
    </w:p>
    <w:p w14:paraId="52CD05D6">
      <w:pPr>
        <w:pStyle w:val="270"/>
        <w:autoSpaceDE w:val="0"/>
        <w:spacing w:line="480" w:lineRule="auto"/>
        <w:ind w:right="140" w:firstLine="420"/>
        <w:jc w:val="both"/>
        <w:textAlignment w:val="bottom"/>
        <w:rPr>
          <w:rFonts w:ascii="Arial" w:hAnsi="Arial" w:cs="Arial"/>
          <w:color w:val="000000"/>
          <w:sz w:val="21"/>
          <w:szCs w:val="21"/>
        </w:rPr>
      </w:pPr>
      <w:r>
        <w:rPr>
          <w:rFonts w:ascii="Arial" w:hAnsi="Arial" w:cs="Arial"/>
          <w:color w:val="000000"/>
          <w:sz w:val="21"/>
          <w:szCs w:val="21"/>
        </w:rPr>
        <w:t>比较法计算公式为：</w:t>
      </w:r>
    </w:p>
    <w:p w14:paraId="5E66EBD9">
      <w:pPr>
        <w:pStyle w:val="270"/>
        <w:overflowPunct w:val="0"/>
        <w:autoSpaceDE w:val="0"/>
        <w:spacing w:line="480" w:lineRule="auto"/>
        <w:ind w:right="140" w:firstLine="420"/>
        <w:jc w:val="both"/>
        <w:textAlignment w:val="auto"/>
      </w:pPr>
      <w:r>
        <w:rPr>
          <w:rFonts w:ascii="Arial" w:hAnsi="Arial" w:cs="Arial"/>
          <w:sz w:val="21"/>
          <w:szCs w:val="21"/>
        </w:rPr>
        <w:t>待估房地产租赁价格＝可比实例房地产租赁价格×（待估房地产交易情况指数/可比实例交易情况指数）×（待估房地产交易日期房地产价租赁格指数/可比实例交易日期房地产租赁价格指数）×（待估房地产区域状况条件指数/可比实例房地产区域状况条件指数）×（待估房地产实物状况条件指数/可比实例房地产实物状况条件指数）×（待估房地产宜居状况条件指数/可比实例房地产宜居状况条件指数</w:t>
      </w:r>
      <w:r>
        <w:rPr>
          <w:rFonts w:hint="eastAsia" w:ascii="Arial" w:hAnsi="Arial" w:cs="Arial"/>
          <w:sz w:val="21"/>
          <w:szCs w:val="21"/>
        </w:rPr>
        <w:t>）</w:t>
      </w:r>
    </w:p>
    <w:p w14:paraId="211C2919">
      <w:pPr>
        <w:pStyle w:val="270"/>
        <w:overflowPunct w:val="0"/>
        <w:autoSpaceDE w:val="0"/>
        <w:spacing w:line="480" w:lineRule="auto"/>
        <w:ind w:right="140" w:firstLine="420"/>
        <w:jc w:val="both"/>
        <w:textAlignment w:val="auto"/>
      </w:pPr>
      <w:r>
        <w:rPr>
          <w:rFonts w:ascii="Arial" w:hAnsi="Arial" w:cs="Arial"/>
          <w:color w:val="000000"/>
          <w:sz w:val="21"/>
          <w:szCs w:val="21"/>
        </w:rPr>
        <w:t>具体步骤如下：</w:t>
      </w:r>
    </w:p>
    <w:p w14:paraId="04461970">
      <w:pPr>
        <w:pStyle w:val="270"/>
        <w:numPr>
          <w:ilvl w:val="0"/>
          <w:numId w:val="10"/>
        </w:numPr>
        <w:overflowPunct w:val="0"/>
        <w:autoSpaceDE w:val="0"/>
        <w:spacing w:line="480" w:lineRule="auto"/>
        <w:ind w:right="140"/>
        <w:jc w:val="both"/>
        <w:textAlignment w:val="auto"/>
        <w:rPr>
          <w:rFonts w:ascii="Arial" w:hAnsi="Arial" w:cs="Arial"/>
          <w:color w:val="000000"/>
          <w:sz w:val="21"/>
          <w:szCs w:val="21"/>
        </w:rPr>
      </w:pPr>
      <w:r>
        <w:rPr>
          <w:rFonts w:ascii="Arial" w:hAnsi="Arial" w:cs="Arial"/>
          <w:color w:val="000000"/>
          <w:sz w:val="21"/>
          <w:szCs w:val="21"/>
        </w:rPr>
        <w:t>选择可比案例</w:t>
      </w:r>
    </w:p>
    <w:p w14:paraId="7832858D">
      <w:pPr>
        <w:overflowPunct w:val="0"/>
        <w:spacing w:line="480" w:lineRule="auto"/>
        <w:ind w:left="780"/>
        <w:rPr>
          <w:rFonts w:ascii="Arial" w:hAnsi="Arial" w:cs="Arial"/>
          <w:sz w:val="21"/>
          <w:szCs w:val="21"/>
        </w:rPr>
      </w:pPr>
      <w:r>
        <w:rPr>
          <w:rFonts w:ascii="Arial" w:hAnsi="Arial" w:cs="Arial"/>
          <w:sz w:val="21"/>
          <w:szCs w:val="21"/>
        </w:rPr>
        <w:t>（1）选择可比案例</w:t>
      </w:r>
    </w:p>
    <w:p w14:paraId="37D431CD">
      <w:pPr>
        <w:overflowPunct w:val="0"/>
        <w:spacing w:line="480" w:lineRule="auto"/>
        <w:ind w:left="780"/>
        <w:rPr>
          <w:rFonts w:ascii="Arial" w:hAnsi="Arial" w:cs="Arial"/>
          <w:sz w:val="21"/>
          <w:szCs w:val="21"/>
        </w:rPr>
      </w:pPr>
      <w:r>
        <w:rPr>
          <w:rFonts w:ascii="Arial" w:hAnsi="Arial" w:cs="Arial"/>
          <w:sz w:val="21"/>
          <w:szCs w:val="21"/>
        </w:rPr>
        <w:t>选择比较案例时，应符合以下要求（与待估房地产比较）</w:t>
      </w:r>
    </w:p>
    <w:p w14:paraId="15B8B02B">
      <w:pPr>
        <w:overflowPunct w:val="0"/>
        <w:spacing w:line="480" w:lineRule="auto"/>
        <w:ind w:left="780"/>
        <w:rPr>
          <w:rFonts w:ascii="Arial" w:hAnsi="Arial" w:cs="Arial"/>
          <w:sz w:val="21"/>
          <w:szCs w:val="21"/>
        </w:rPr>
      </w:pPr>
      <w:r>
        <w:rPr>
          <w:rFonts w:ascii="Arial" w:hAnsi="Arial" w:cs="Arial"/>
          <w:sz w:val="21"/>
          <w:szCs w:val="21"/>
        </w:rPr>
        <w:t>1）用途相同</w:t>
      </w:r>
    </w:p>
    <w:p w14:paraId="0CEC9A51">
      <w:pPr>
        <w:overflowPunct w:val="0"/>
        <w:spacing w:line="480" w:lineRule="auto"/>
        <w:ind w:left="780"/>
        <w:rPr>
          <w:rFonts w:ascii="Arial" w:hAnsi="Arial" w:cs="Arial"/>
          <w:sz w:val="21"/>
          <w:szCs w:val="21"/>
        </w:rPr>
      </w:pPr>
      <w:r>
        <w:rPr>
          <w:rFonts w:ascii="Arial" w:hAnsi="Arial" w:cs="Arial"/>
          <w:sz w:val="21"/>
          <w:szCs w:val="21"/>
        </w:rPr>
        <w:t>2）属于正常交易</w:t>
      </w:r>
    </w:p>
    <w:p w14:paraId="64AD8759">
      <w:pPr>
        <w:overflowPunct w:val="0"/>
        <w:spacing w:line="480" w:lineRule="auto"/>
        <w:ind w:left="780"/>
        <w:rPr>
          <w:rFonts w:ascii="Arial" w:hAnsi="Arial" w:cs="Arial"/>
          <w:sz w:val="21"/>
          <w:szCs w:val="21"/>
        </w:rPr>
      </w:pPr>
      <w:r>
        <w:rPr>
          <w:rFonts w:ascii="Arial" w:hAnsi="Arial" w:cs="Arial"/>
          <w:sz w:val="21"/>
          <w:szCs w:val="21"/>
        </w:rPr>
        <w:t>3）房地产状况各因素相近</w:t>
      </w:r>
    </w:p>
    <w:p w14:paraId="17A7AA0E">
      <w:pPr>
        <w:overflowPunct w:val="0"/>
        <w:spacing w:line="480" w:lineRule="auto"/>
        <w:ind w:left="780"/>
        <w:rPr>
          <w:rFonts w:ascii="Arial" w:hAnsi="Arial" w:cs="Arial"/>
          <w:sz w:val="21"/>
          <w:szCs w:val="21"/>
        </w:rPr>
      </w:pPr>
      <w:r>
        <w:rPr>
          <w:rFonts w:ascii="Arial" w:hAnsi="Arial" w:cs="Arial"/>
          <w:sz w:val="21"/>
          <w:szCs w:val="21"/>
        </w:rPr>
        <w:t>4）价值时点接近</w:t>
      </w:r>
    </w:p>
    <w:p w14:paraId="217F807F">
      <w:pPr>
        <w:overflowPunct w:val="0"/>
        <w:spacing w:line="480" w:lineRule="auto"/>
        <w:ind w:left="780"/>
        <w:rPr>
          <w:rFonts w:ascii="Arial" w:hAnsi="Arial" w:cs="Arial"/>
          <w:sz w:val="21"/>
          <w:szCs w:val="21"/>
        </w:rPr>
      </w:pPr>
      <w:r>
        <w:rPr>
          <w:rFonts w:ascii="Arial" w:hAnsi="Arial" w:cs="Arial"/>
          <w:sz w:val="21"/>
          <w:szCs w:val="21"/>
        </w:rPr>
        <w:t>5）统一价格基础</w:t>
      </w:r>
    </w:p>
    <w:p w14:paraId="7F1F60F7">
      <w:pPr>
        <w:overflowPunct w:val="0"/>
        <w:spacing w:line="480" w:lineRule="auto"/>
        <w:ind w:left="780"/>
        <w:rPr>
          <w:rFonts w:ascii="Arial" w:hAnsi="Arial" w:cs="Arial"/>
          <w:sz w:val="21"/>
          <w:szCs w:val="21"/>
        </w:rPr>
      </w:pPr>
      <w:r>
        <w:rPr>
          <w:rFonts w:ascii="Arial" w:hAnsi="Arial" w:cs="Arial"/>
          <w:sz w:val="21"/>
          <w:szCs w:val="21"/>
        </w:rPr>
        <w:t>（2）进行交易情况、市场状况、房地产状况（区位、实物）等因素修正和调整</w:t>
      </w:r>
    </w:p>
    <w:p w14:paraId="267BBD5A">
      <w:pPr>
        <w:overflowPunct w:val="0"/>
        <w:spacing w:line="480" w:lineRule="auto"/>
        <w:ind w:left="780"/>
        <w:rPr>
          <w:rFonts w:ascii="Arial" w:hAnsi="Arial" w:cs="Arial"/>
          <w:sz w:val="21"/>
          <w:szCs w:val="21"/>
        </w:rPr>
      </w:pPr>
      <w:r>
        <w:rPr>
          <w:rFonts w:ascii="Arial" w:hAnsi="Arial" w:cs="Arial"/>
          <w:sz w:val="21"/>
          <w:szCs w:val="21"/>
        </w:rPr>
        <w:t>（3）求取估价对象比较价值</w:t>
      </w:r>
    </w:p>
    <w:p w14:paraId="3EADF810">
      <w:pPr>
        <w:pStyle w:val="270"/>
        <w:numPr>
          <w:ilvl w:val="0"/>
          <w:numId w:val="10"/>
        </w:numPr>
        <w:overflowPunct w:val="0"/>
        <w:autoSpaceDE w:val="0"/>
        <w:spacing w:line="480" w:lineRule="auto"/>
        <w:ind w:right="140"/>
        <w:jc w:val="both"/>
        <w:textAlignment w:val="auto"/>
      </w:pPr>
      <w:r>
        <w:rPr>
          <w:rFonts w:ascii="Arial" w:hAnsi="Arial" w:cs="Arial"/>
          <w:color w:val="000000"/>
          <w:sz w:val="21"/>
          <w:szCs w:val="21"/>
        </w:rPr>
        <w:t>进行交易情况、交易日期、房地产状况等因素修正</w:t>
      </w:r>
    </w:p>
    <w:p w14:paraId="6A2E664E">
      <w:pPr>
        <w:pStyle w:val="270"/>
        <w:numPr>
          <w:ilvl w:val="0"/>
          <w:numId w:val="10"/>
        </w:numPr>
        <w:overflowPunct w:val="0"/>
        <w:autoSpaceDE w:val="0"/>
        <w:spacing w:line="480" w:lineRule="auto"/>
        <w:ind w:right="140"/>
        <w:jc w:val="both"/>
        <w:textAlignment w:val="auto"/>
        <w:rPr>
          <w:rFonts w:ascii="Arial" w:hAnsi="Arial" w:cs="Arial"/>
          <w:color w:val="000000"/>
          <w:sz w:val="21"/>
          <w:szCs w:val="21"/>
        </w:rPr>
      </w:pPr>
      <w:r>
        <w:rPr>
          <w:rFonts w:ascii="Arial" w:hAnsi="Arial" w:cs="Arial"/>
          <w:color w:val="000000"/>
          <w:sz w:val="21"/>
          <w:szCs w:val="21"/>
        </w:rPr>
        <w:t>求取估价对象比准价格</w:t>
      </w:r>
    </w:p>
    <w:p w14:paraId="49F2664E">
      <w:pPr>
        <w:spacing w:line="480" w:lineRule="auto"/>
        <w:ind w:firstLine="420"/>
        <w:jc w:val="both"/>
        <w:rPr>
          <w:rFonts w:ascii="Arial" w:hAnsi="Arial" w:cs="Arial"/>
          <w:b/>
          <w:color w:val="000000"/>
          <w:kern w:val="2"/>
          <w:sz w:val="21"/>
          <w:szCs w:val="21"/>
        </w:rPr>
      </w:pPr>
    </w:p>
    <w:p w14:paraId="77B4ACC0">
      <w:pPr>
        <w:pStyle w:val="3"/>
        <w:numPr>
          <w:ilvl w:val="0"/>
          <w:numId w:val="0"/>
        </w:numPr>
        <w:spacing w:line="480" w:lineRule="auto"/>
        <w:ind w:left="357" w:hanging="357"/>
        <w:jc w:val="both"/>
        <w:rPr>
          <w:rFonts w:eastAsia="宋体;SimSun"/>
          <w:kern w:val="2"/>
          <w:sz w:val="21"/>
          <w:szCs w:val="21"/>
        </w:rPr>
      </w:pPr>
      <w:bookmarkStart w:id="38" w:name="_Toc155340503"/>
      <w:r>
        <w:rPr>
          <w:rFonts w:eastAsia="宋体;SimSun"/>
          <w:kern w:val="2"/>
          <w:sz w:val="21"/>
          <w:szCs w:val="21"/>
        </w:rPr>
        <w:t>五、估价测算过程</w:t>
      </w:r>
      <w:bookmarkEnd w:id="38"/>
      <w:r>
        <w:rPr>
          <w:rFonts w:eastAsia="Arial"/>
          <w:kern w:val="2"/>
          <w:sz w:val="21"/>
          <w:szCs w:val="21"/>
        </w:rPr>
        <w:t xml:space="preserve">  </w:t>
      </w:r>
    </w:p>
    <w:p w14:paraId="19D6B11E">
      <w:pPr>
        <w:pStyle w:val="270"/>
        <w:autoSpaceDE w:val="0"/>
        <w:spacing w:line="480" w:lineRule="auto"/>
        <w:ind w:right="140" w:firstLine="420"/>
        <w:jc w:val="both"/>
        <w:textAlignment w:val="bottom"/>
        <w:rPr>
          <w:rFonts w:ascii="Arial" w:hAnsi="Arial" w:cs="Arial"/>
          <w:b/>
          <w:sz w:val="21"/>
          <w:szCs w:val="21"/>
        </w:rPr>
      </w:pPr>
      <w:r>
        <w:rPr>
          <w:rFonts w:ascii="Arial" w:hAnsi="Arial" w:cs="Arial"/>
          <w:b/>
          <w:sz w:val="21"/>
          <w:szCs w:val="21"/>
        </w:rPr>
        <w:t>（一）标准小区及标准房选取</w:t>
      </w:r>
    </w:p>
    <w:p w14:paraId="7FD2D13F">
      <w:pPr>
        <w:pStyle w:val="270"/>
        <w:overflowPunct w:val="0"/>
        <w:autoSpaceDE w:val="0"/>
        <w:spacing w:line="480" w:lineRule="auto"/>
        <w:ind w:right="140" w:firstLine="420"/>
        <w:jc w:val="both"/>
        <w:textAlignment w:val="auto"/>
        <w:rPr>
          <w:rFonts w:ascii="Arial" w:hAnsi="Arial" w:cs="Arial"/>
          <w:kern w:val="2"/>
          <w:sz w:val="21"/>
          <w:szCs w:val="21"/>
        </w:rPr>
      </w:pPr>
      <w:r>
        <w:rPr>
          <w:rFonts w:ascii="Arial" w:hAnsi="Arial" w:cs="Arial"/>
          <w:bCs/>
          <w:color w:val="000000"/>
          <w:sz w:val="21"/>
          <w:szCs w:val="21"/>
        </w:rPr>
        <w:t>估价对象</w:t>
      </w:r>
      <w:r>
        <w:rPr>
          <w:rFonts w:ascii="Arial" w:hAnsi="Arial" w:cs="Arial"/>
          <w:sz w:val="21"/>
          <w:szCs w:val="21"/>
        </w:rPr>
        <w:t>有两种户型，分别为一居室、两居室。其中，一居室</w:t>
      </w:r>
      <w:r>
        <w:rPr>
          <w:rFonts w:hint="eastAsia" w:ascii="Arial" w:hAnsi="Arial" w:cs="Arial"/>
          <w:sz w:val="21"/>
          <w:szCs w:val="21"/>
        </w:rPr>
        <w:t>共103套</w:t>
      </w:r>
      <w:r>
        <w:rPr>
          <w:rFonts w:ascii="Arial" w:hAnsi="Arial" w:cs="Arial"/>
          <w:sz w:val="21"/>
          <w:szCs w:val="21"/>
        </w:rPr>
        <w:t>，面积控制在</w:t>
      </w:r>
      <w:r>
        <w:rPr>
          <w:rFonts w:hint="eastAsia" w:ascii="Arial" w:hAnsi="Arial" w:cs="Arial"/>
          <w:sz w:val="21"/>
          <w:szCs w:val="21"/>
        </w:rPr>
        <w:t>69.62-69.8</w:t>
      </w:r>
      <w:r>
        <w:rPr>
          <w:rFonts w:ascii="Arial" w:hAnsi="Arial" w:cs="Arial"/>
          <w:sz w:val="21"/>
          <w:szCs w:val="21"/>
        </w:rPr>
        <w:t>平方米；</w:t>
      </w:r>
      <w:r>
        <w:rPr>
          <w:rFonts w:hint="eastAsia" w:ascii="Arial" w:hAnsi="Arial" w:cs="Arial"/>
          <w:sz w:val="21"/>
          <w:szCs w:val="21"/>
        </w:rPr>
        <w:t>两居室共412套</w:t>
      </w:r>
      <w:r>
        <w:rPr>
          <w:rFonts w:ascii="Arial" w:hAnsi="Arial" w:cs="Arial"/>
          <w:sz w:val="21"/>
          <w:szCs w:val="21"/>
        </w:rPr>
        <w:t>，面积控制在</w:t>
      </w:r>
      <w:r>
        <w:rPr>
          <w:rFonts w:hint="eastAsia" w:ascii="Arial" w:hAnsi="Arial" w:cs="Arial"/>
          <w:sz w:val="21"/>
          <w:szCs w:val="21"/>
        </w:rPr>
        <w:t>88.41-92.39</w:t>
      </w:r>
      <w:r>
        <w:rPr>
          <w:rFonts w:ascii="Arial" w:hAnsi="Arial" w:cs="Arial"/>
          <w:sz w:val="21"/>
          <w:szCs w:val="21"/>
        </w:rPr>
        <w:t>平方米。依据众数原则，</w:t>
      </w:r>
      <w:r>
        <w:rPr>
          <w:rFonts w:ascii="Arial" w:hAnsi="Arial" w:cs="Arial"/>
          <w:color w:val="000000"/>
          <w:sz w:val="21"/>
          <w:szCs w:val="21"/>
        </w:rPr>
        <w:t>选取</w:t>
      </w:r>
      <w:r>
        <w:rPr>
          <w:rFonts w:ascii="Arial" w:hAnsi="Arial" w:cs="Arial"/>
          <w:kern w:val="2"/>
          <w:sz w:val="21"/>
          <w:szCs w:val="21"/>
        </w:rPr>
        <w:t>标准房户型为</w:t>
      </w:r>
      <w:r>
        <w:rPr>
          <w:rFonts w:hint="eastAsia" w:ascii="Arial" w:hAnsi="Arial" w:cs="Arial"/>
          <w:kern w:val="2"/>
          <w:sz w:val="21"/>
          <w:szCs w:val="21"/>
        </w:rPr>
        <w:t>两居室</w:t>
      </w:r>
      <w:r>
        <w:rPr>
          <w:rFonts w:ascii="Arial" w:hAnsi="Arial" w:cs="Arial"/>
          <w:kern w:val="2"/>
          <w:sz w:val="21"/>
          <w:szCs w:val="21"/>
        </w:rPr>
        <w:t>，面积为</w:t>
      </w:r>
      <w:r>
        <w:rPr>
          <w:rFonts w:hint="eastAsia" w:ascii="Arial" w:hAnsi="Arial" w:cs="Arial"/>
          <w:kern w:val="2"/>
          <w:sz w:val="21"/>
          <w:szCs w:val="21"/>
        </w:rPr>
        <w:t>89.62</w:t>
      </w:r>
      <w:r>
        <w:rPr>
          <w:rFonts w:ascii="Arial" w:hAnsi="Arial" w:cs="Arial"/>
          <w:kern w:val="2"/>
          <w:sz w:val="21"/>
          <w:szCs w:val="21"/>
        </w:rPr>
        <w:t>平方米，朝向为南，装修情况为简单装修。</w:t>
      </w:r>
    </w:p>
    <w:p w14:paraId="782BCB69">
      <w:pPr>
        <w:pStyle w:val="270"/>
        <w:autoSpaceDE w:val="0"/>
        <w:spacing w:line="480" w:lineRule="auto"/>
        <w:ind w:right="140" w:firstLine="420"/>
        <w:jc w:val="both"/>
        <w:textAlignment w:val="bottom"/>
        <w:rPr>
          <w:rFonts w:ascii="Arial" w:hAnsi="Arial" w:cs="Arial"/>
          <w:b/>
          <w:sz w:val="21"/>
          <w:szCs w:val="21"/>
        </w:rPr>
      </w:pPr>
      <w:r>
        <w:rPr>
          <w:rFonts w:ascii="Arial" w:hAnsi="Arial" w:cs="Arial"/>
          <w:b/>
          <w:sz w:val="21"/>
          <w:szCs w:val="21"/>
        </w:rPr>
        <w:t>（二）</w:t>
      </w:r>
      <w:r>
        <w:rPr>
          <w:rFonts w:ascii="Arial" w:hAnsi="Arial" w:cs="Arial"/>
          <w:b/>
          <w:kern w:val="2"/>
          <w:sz w:val="21"/>
          <w:szCs w:val="21"/>
        </w:rPr>
        <w:t>可比案例选取</w:t>
      </w:r>
    </w:p>
    <w:p w14:paraId="6C206EE5">
      <w:pPr>
        <w:pStyle w:val="270"/>
        <w:autoSpaceDE w:val="0"/>
        <w:spacing w:line="480" w:lineRule="auto"/>
        <w:ind w:firstLine="420"/>
        <w:jc w:val="both"/>
        <w:textAlignment w:val="bottom"/>
      </w:pPr>
      <w:r>
        <w:rPr>
          <w:rFonts w:ascii="Arial" w:hAnsi="Arial" w:cs="Arial"/>
          <w:color w:val="000000"/>
          <w:sz w:val="21"/>
          <w:szCs w:val="21"/>
        </w:rPr>
        <w:t>1. 估价机构样本小区数据选取</w:t>
      </w:r>
      <w:r>
        <w:rPr>
          <w:rFonts w:ascii="Arial" w:hAnsi="Arial" w:eastAsia="Arial" w:cs="Arial"/>
          <w:color w:val="000000"/>
          <w:sz w:val="21"/>
          <w:szCs w:val="21"/>
        </w:rPr>
        <w:t xml:space="preserve"> </w:t>
      </w:r>
    </w:p>
    <w:p w14:paraId="2F1C7505">
      <w:pPr>
        <w:pStyle w:val="270"/>
        <w:autoSpaceDE w:val="0"/>
        <w:spacing w:line="480" w:lineRule="auto"/>
        <w:ind w:firstLine="420"/>
        <w:jc w:val="both"/>
        <w:textAlignment w:val="bottom"/>
        <w:rPr>
          <w:rFonts w:ascii="Arial" w:hAnsi="Arial" w:cs="Arial"/>
          <w:color w:val="000000"/>
          <w:sz w:val="21"/>
          <w:szCs w:val="21"/>
        </w:rPr>
      </w:pPr>
      <w:r>
        <w:rPr>
          <w:rFonts w:cs="Arial"/>
          <w:color w:val="000000"/>
          <w:sz w:val="21"/>
          <w:szCs w:val="21"/>
        </w:rPr>
        <w:t>（1）</w:t>
      </w:r>
      <w:r>
        <w:rPr>
          <w:rFonts w:ascii="Arial" w:hAnsi="Arial" w:cs="Arial"/>
          <w:color w:val="000000"/>
          <w:sz w:val="21"/>
          <w:szCs w:val="21"/>
        </w:rPr>
        <w:t>样本小区选取</w:t>
      </w:r>
    </w:p>
    <w:p w14:paraId="2D39FEB1">
      <w:pPr>
        <w:pStyle w:val="270"/>
        <w:autoSpaceDE w:val="0"/>
        <w:spacing w:line="480" w:lineRule="auto"/>
        <w:ind w:firstLine="420"/>
        <w:jc w:val="both"/>
        <w:textAlignment w:val="bottom"/>
        <w:rPr>
          <w:rFonts w:cs="Arial"/>
        </w:rPr>
      </w:pPr>
      <w:r>
        <w:rPr>
          <w:rFonts w:ascii="Arial" w:hAnsi="Arial" w:cs="Arial"/>
          <w:color w:val="000000"/>
          <w:sz w:val="21"/>
          <w:szCs w:val="21"/>
        </w:rPr>
        <w:t>根据评估专业人员通过现场调查、调档机构内部积累数据以及结合北京市房地产市场管理事务中心提供的数据，估价对象周边2公里内同品质住宅小区有</w:t>
      </w:r>
      <w:r>
        <w:rPr>
          <w:rFonts w:hint="eastAsia" w:ascii="Arial" w:hAnsi="Arial" w:cs="Arial"/>
          <w:color w:val="000000"/>
          <w:sz w:val="21"/>
          <w:szCs w:val="21"/>
        </w:rPr>
        <w:t>招商臻珑府</w:t>
      </w:r>
      <w:r>
        <w:rPr>
          <w:rFonts w:ascii="Arial" w:hAnsi="Arial" w:cs="Arial"/>
          <w:color w:val="000000"/>
          <w:sz w:val="21"/>
          <w:szCs w:val="21"/>
        </w:rPr>
        <w:t>、北京经开·汀塘、通泰国际公馆、次渠南里、次渠锦园、次渠嘉园等6个普通商品房住宅项目。各小区具体情况如下表所示：</w:t>
      </w:r>
    </w:p>
    <w:tbl>
      <w:tblPr>
        <w:tblStyle w:val="33"/>
        <w:tblW w:w="9525" w:type="dxa"/>
        <w:jc w:val="center"/>
        <w:tblLayout w:type="autofit"/>
        <w:tblCellMar>
          <w:top w:w="0" w:type="dxa"/>
          <w:left w:w="108" w:type="dxa"/>
          <w:bottom w:w="0" w:type="dxa"/>
          <w:right w:w="108" w:type="dxa"/>
        </w:tblCellMar>
      </w:tblPr>
      <w:tblGrid>
        <w:gridCol w:w="703"/>
        <w:gridCol w:w="1741"/>
        <w:gridCol w:w="1082"/>
        <w:gridCol w:w="1095"/>
        <w:gridCol w:w="1753"/>
        <w:gridCol w:w="1583"/>
        <w:gridCol w:w="1568"/>
      </w:tblGrid>
      <w:tr w14:paraId="2096A309">
        <w:tblPrEx>
          <w:tblCellMar>
            <w:top w:w="0" w:type="dxa"/>
            <w:left w:w="108" w:type="dxa"/>
            <w:bottom w:w="0" w:type="dxa"/>
            <w:right w:w="108" w:type="dxa"/>
          </w:tblCellMar>
        </w:tblPrEx>
        <w:trPr>
          <w:trHeight w:val="270" w:hRule="atLeast"/>
          <w:jc w:val="center"/>
        </w:trPr>
        <w:tc>
          <w:tcPr>
            <w:tcW w:w="9525" w:type="dxa"/>
            <w:gridSpan w:val="7"/>
            <w:tcBorders>
              <w:top w:val="single" w:color="000000" w:sz="4" w:space="0"/>
              <w:left w:val="single" w:color="000000" w:sz="4" w:space="0"/>
              <w:bottom w:val="single" w:color="000000" w:sz="4" w:space="0"/>
              <w:right w:val="single" w:color="000000" w:sz="4" w:space="0"/>
            </w:tcBorders>
            <w:vAlign w:val="center"/>
          </w:tcPr>
          <w:p w14:paraId="45A755F2">
            <w:pPr>
              <w:widowControl/>
              <w:spacing w:line="240" w:lineRule="auto"/>
              <w:jc w:val="center"/>
              <w:textAlignment w:val="auto"/>
              <w:rPr>
                <w:rFonts w:ascii="华文细黑" w:hAnsi="华文细黑" w:eastAsia="华文细黑" w:cs="宋体;SimSun"/>
                <w:color w:val="000000"/>
                <w:sz w:val="18"/>
                <w:szCs w:val="18"/>
              </w:rPr>
            </w:pPr>
            <w:r>
              <w:rPr>
                <w:rFonts w:ascii="华文细黑" w:hAnsi="华文细黑" w:eastAsia="华文细黑" w:cs="宋体;SimSun"/>
                <w:color w:val="000000"/>
                <w:sz w:val="18"/>
                <w:szCs w:val="18"/>
              </w:rPr>
              <w:t>周边市场调查情况表</w:t>
            </w:r>
          </w:p>
        </w:tc>
      </w:tr>
      <w:tr w14:paraId="7BDAFACF">
        <w:tblPrEx>
          <w:tblCellMar>
            <w:top w:w="0" w:type="dxa"/>
            <w:left w:w="108" w:type="dxa"/>
            <w:bottom w:w="0" w:type="dxa"/>
            <w:right w:w="108" w:type="dxa"/>
          </w:tblCellMar>
        </w:tblPrEx>
        <w:trPr>
          <w:trHeight w:val="270" w:hRule="atLeast"/>
          <w:jc w:val="center"/>
        </w:trPr>
        <w:tc>
          <w:tcPr>
            <w:tcW w:w="703" w:type="dxa"/>
            <w:tcBorders>
              <w:left w:val="single" w:color="000000" w:sz="4" w:space="0"/>
              <w:bottom w:val="single" w:color="000000" w:sz="4" w:space="0"/>
            </w:tcBorders>
            <w:vAlign w:val="center"/>
          </w:tcPr>
          <w:p w14:paraId="3FE5AC81">
            <w:pPr>
              <w:widowControl/>
              <w:spacing w:line="240" w:lineRule="auto"/>
              <w:jc w:val="center"/>
              <w:textAlignment w:val="auto"/>
              <w:rPr>
                <w:rFonts w:ascii="华文细黑" w:hAnsi="华文细黑" w:eastAsia="华文细黑" w:cs="宋体;SimSun"/>
                <w:color w:val="000000"/>
                <w:sz w:val="18"/>
                <w:szCs w:val="18"/>
              </w:rPr>
            </w:pPr>
            <w:r>
              <w:rPr>
                <w:rFonts w:ascii="华文细黑" w:hAnsi="华文细黑" w:eastAsia="华文细黑" w:cs="宋体;SimSun"/>
                <w:color w:val="000000"/>
                <w:sz w:val="18"/>
                <w:szCs w:val="18"/>
              </w:rPr>
              <w:t>序号</w:t>
            </w:r>
          </w:p>
        </w:tc>
        <w:tc>
          <w:tcPr>
            <w:tcW w:w="1741" w:type="dxa"/>
            <w:tcBorders>
              <w:left w:val="single" w:color="000000" w:sz="4" w:space="0"/>
              <w:bottom w:val="single" w:color="000000" w:sz="4" w:space="0"/>
            </w:tcBorders>
            <w:vAlign w:val="center"/>
          </w:tcPr>
          <w:p w14:paraId="26D31D4C">
            <w:pPr>
              <w:widowControl/>
              <w:spacing w:line="240" w:lineRule="auto"/>
              <w:jc w:val="center"/>
              <w:textAlignment w:val="auto"/>
              <w:rPr>
                <w:rFonts w:ascii="华文细黑" w:hAnsi="华文细黑" w:eastAsia="华文细黑" w:cs="宋体;SimSun"/>
                <w:color w:val="000000"/>
                <w:sz w:val="18"/>
                <w:szCs w:val="18"/>
              </w:rPr>
            </w:pPr>
            <w:r>
              <w:rPr>
                <w:rFonts w:ascii="华文细黑" w:hAnsi="华文细黑" w:eastAsia="华文细黑" w:cs="宋体;SimSun"/>
                <w:color w:val="000000"/>
                <w:sz w:val="18"/>
                <w:szCs w:val="18"/>
              </w:rPr>
              <w:t>项目名称</w:t>
            </w:r>
          </w:p>
        </w:tc>
        <w:tc>
          <w:tcPr>
            <w:tcW w:w="1082" w:type="dxa"/>
            <w:tcBorders>
              <w:left w:val="single" w:color="000000" w:sz="4" w:space="0"/>
              <w:bottom w:val="single" w:color="000000" w:sz="4" w:space="0"/>
            </w:tcBorders>
            <w:vAlign w:val="center"/>
          </w:tcPr>
          <w:p w14:paraId="172EE3ED">
            <w:pPr>
              <w:widowControl/>
              <w:spacing w:line="240" w:lineRule="auto"/>
              <w:jc w:val="center"/>
              <w:textAlignment w:val="auto"/>
              <w:rPr>
                <w:rFonts w:ascii="华文细黑" w:hAnsi="华文细黑" w:eastAsia="华文细黑" w:cs="宋体;SimSun"/>
                <w:color w:val="000000"/>
                <w:sz w:val="18"/>
                <w:szCs w:val="18"/>
              </w:rPr>
            </w:pPr>
            <w:r>
              <w:rPr>
                <w:rFonts w:ascii="华文细黑" w:hAnsi="华文细黑" w:eastAsia="华文细黑" w:cs="宋体;SimSun"/>
                <w:color w:val="000000"/>
                <w:sz w:val="18"/>
                <w:szCs w:val="18"/>
              </w:rPr>
              <w:t>户型</w:t>
            </w:r>
          </w:p>
        </w:tc>
        <w:tc>
          <w:tcPr>
            <w:tcW w:w="1095" w:type="dxa"/>
            <w:tcBorders>
              <w:left w:val="single" w:color="000000" w:sz="4" w:space="0"/>
              <w:bottom w:val="single" w:color="000000" w:sz="4" w:space="0"/>
            </w:tcBorders>
            <w:vAlign w:val="center"/>
          </w:tcPr>
          <w:p w14:paraId="77AEDEC7">
            <w:pPr>
              <w:widowControl/>
              <w:spacing w:line="240" w:lineRule="auto"/>
              <w:jc w:val="center"/>
              <w:textAlignment w:val="auto"/>
              <w:rPr>
                <w:rFonts w:ascii="华文细黑" w:hAnsi="华文细黑" w:eastAsia="华文细黑" w:cs="宋体;SimSun"/>
                <w:color w:val="000000"/>
                <w:sz w:val="18"/>
                <w:szCs w:val="18"/>
              </w:rPr>
            </w:pPr>
            <w:r>
              <w:rPr>
                <w:rFonts w:ascii="华文细黑" w:hAnsi="华文细黑" w:eastAsia="华文细黑" w:cs="宋体;SimSun"/>
                <w:color w:val="000000"/>
                <w:sz w:val="18"/>
                <w:szCs w:val="18"/>
              </w:rPr>
              <w:t>建筑面积</w:t>
            </w:r>
          </w:p>
          <w:p w14:paraId="0EC5BB10">
            <w:pPr>
              <w:widowControl/>
              <w:spacing w:line="240" w:lineRule="auto"/>
              <w:jc w:val="center"/>
              <w:textAlignment w:val="auto"/>
              <w:rPr>
                <w:rFonts w:ascii="华文细黑" w:hAnsi="华文细黑" w:eastAsia="华文细黑" w:cs="宋体;SimSun"/>
                <w:color w:val="000000"/>
                <w:sz w:val="18"/>
                <w:szCs w:val="18"/>
              </w:rPr>
            </w:pPr>
            <w:r>
              <w:rPr>
                <w:rFonts w:ascii="华文细黑" w:hAnsi="华文细黑" w:eastAsia="华文细黑" w:cs="宋体;SimSun"/>
                <w:color w:val="000000"/>
                <w:sz w:val="18"/>
                <w:szCs w:val="18"/>
              </w:rPr>
              <w:t>（平方米）</w:t>
            </w:r>
          </w:p>
        </w:tc>
        <w:tc>
          <w:tcPr>
            <w:tcW w:w="1753" w:type="dxa"/>
            <w:tcBorders>
              <w:left w:val="single" w:color="000000" w:sz="4" w:space="0"/>
              <w:bottom w:val="single" w:color="000000" w:sz="4" w:space="0"/>
            </w:tcBorders>
            <w:vAlign w:val="center"/>
          </w:tcPr>
          <w:p w14:paraId="70BF51F3">
            <w:pPr>
              <w:widowControl/>
              <w:spacing w:line="240" w:lineRule="auto"/>
              <w:jc w:val="center"/>
              <w:textAlignment w:val="auto"/>
              <w:rPr>
                <w:rFonts w:ascii="华文细黑" w:hAnsi="华文细黑" w:eastAsia="华文细黑" w:cs="宋体;SimSun"/>
                <w:color w:val="000000"/>
                <w:sz w:val="18"/>
                <w:szCs w:val="18"/>
              </w:rPr>
            </w:pPr>
            <w:r>
              <w:rPr>
                <w:rFonts w:hint="eastAsia" w:ascii="华文细黑" w:hAnsi="华文细黑" w:eastAsia="华文细黑" w:cs="宋体;SimSun"/>
                <w:color w:val="000000"/>
                <w:sz w:val="18"/>
                <w:szCs w:val="18"/>
              </w:rPr>
              <w:t>平均</w:t>
            </w:r>
            <w:r>
              <w:rPr>
                <w:rFonts w:ascii="华文细黑" w:hAnsi="华文细黑" w:eastAsia="华文细黑" w:cs="宋体;SimSun"/>
                <w:color w:val="000000"/>
                <w:sz w:val="18"/>
                <w:szCs w:val="18"/>
              </w:rPr>
              <w:t>租金</w:t>
            </w:r>
          </w:p>
          <w:p w14:paraId="1CBC62B5">
            <w:pPr>
              <w:widowControl/>
              <w:spacing w:line="240" w:lineRule="auto"/>
              <w:jc w:val="center"/>
              <w:textAlignment w:val="auto"/>
              <w:rPr>
                <w:rFonts w:ascii="华文细黑" w:hAnsi="华文细黑" w:eastAsia="华文细黑" w:cs="宋体;SimSun"/>
                <w:color w:val="000000"/>
                <w:sz w:val="18"/>
                <w:szCs w:val="18"/>
              </w:rPr>
            </w:pPr>
            <w:r>
              <w:rPr>
                <w:rFonts w:ascii="华文细黑" w:hAnsi="华文细黑" w:eastAsia="华文细黑" w:cs="宋体;SimSun"/>
                <w:color w:val="000000"/>
                <w:sz w:val="18"/>
                <w:szCs w:val="18"/>
              </w:rPr>
              <w:t>（元/月•平方米）</w:t>
            </w:r>
          </w:p>
        </w:tc>
        <w:tc>
          <w:tcPr>
            <w:tcW w:w="1583" w:type="dxa"/>
            <w:tcBorders>
              <w:left w:val="single" w:color="000000" w:sz="4" w:space="0"/>
              <w:bottom w:val="single" w:color="000000" w:sz="4" w:space="0"/>
            </w:tcBorders>
            <w:vAlign w:val="center"/>
          </w:tcPr>
          <w:p w14:paraId="798AA0F9">
            <w:pPr>
              <w:widowControl/>
              <w:spacing w:line="240" w:lineRule="auto"/>
              <w:jc w:val="center"/>
              <w:textAlignment w:val="auto"/>
              <w:rPr>
                <w:rFonts w:ascii="华文细黑" w:hAnsi="华文细黑" w:eastAsia="华文细黑" w:cs="宋体;SimSun"/>
                <w:color w:val="000000"/>
                <w:sz w:val="18"/>
                <w:szCs w:val="18"/>
              </w:rPr>
            </w:pPr>
            <w:r>
              <w:rPr>
                <w:rFonts w:ascii="华文细黑" w:hAnsi="华文细黑" w:eastAsia="华文细黑" w:cs="宋体;SimSun"/>
                <w:color w:val="000000"/>
                <w:sz w:val="18"/>
                <w:szCs w:val="18"/>
              </w:rPr>
              <w:t>物业费</w:t>
            </w:r>
          </w:p>
          <w:p w14:paraId="48796028">
            <w:pPr>
              <w:widowControl/>
              <w:spacing w:line="240" w:lineRule="auto"/>
              <w:jc w:val="center"/>
              <w:textAlignment w:val="auto"/>
              <w:rPr>
                <w:rFonts w:ascii="华文细黑" w:hAnsi="华文细黑" w:eastAsia="华文细黑" w:cs="宋体;SimSun"/>
                <w:color w:val="000000"/>
                <w:sz w:val="18"/>
                <w:szCs w:val="18"/>
              </w:rPr>
            </w:pPr>
            <w:r>
              <w:rPr>
                <w:rFonts w:ascii="华文细黑" w:hAnsi="华文细黑" w:eastAsia="华文细黑" w:cs="宋体;SimSun"/>
                <w:color w:val="000000"/>
                <w:sz w:val="18"/>
                <w:szCs w:val="18"/>
              </w:rPr>
              <w:t>（元/月•平方米）</w:t>
            </w:r>
          </w:p>
        </w:tc>
        <w:tc>
          <w:tcPr>
            <w:tcW w:w="1568" w:type="dxa"/>
            <w:tcBorders>
              <w:left w:val="single" w:color="000000" w:sz="4" w:space="0"/>
              <w:bottom w:val="single" w:color="000000" w:sz="4" w:space="0"/>
              <w:right w:val="single" w:color="000000" w:sz="4" w:space="0"/>
            </w:tcBorders>
          </w:tcPr>
          <w:p w14:paraId="75B670BC">
            <w:pPr>
              <w:widowControl/>
              <w:spacing w:line="240" w:lineRule="auto"/>
              <w:jc w:val="center"/>
              <w:textAlignment w:val="auto"/>
              <w:rPr>
                <w:rFonts w:ascii="华文细黑" w:hAnsi="华文细黑" w:eastAsia="华文细黑" w:cs="宋体;SimSun"/>
                <w:color w:val="000000"/>
                <w:sz w:val="18"/>
                <w:szCs w:val="18"/>
              </w:rPr>
            </w:pPr>
            <w:r>
              <w:rPr>
                <w:rFonts w:ascii="华文细黑" w:hAnsi="华文细黑" w:eastAsia="华文细黑" w:cs="宋体;SimSun"/>
                <w:color w:val="000000"/>
                <w:sz w:val="18"/>
                <w:szCs w:val="18"/>
              </w:rPr>
              <w:t>供暖费</w:t>
            </w:r>
          </w:p>
          <w:p w14:paraId="38FBB5F3">
            <w:pPr>
              <w:widowControl/>
              <w:spacing w:line="240" w:lineRule="auto"/>
              <w:jc w:val="center"/>
              <w:textAlignment w:val="auto"/>
              <w:rPr>
                <w:rFonts w:ascii="华文细黑" w:hAnsi="华文细黑" w:eastAsia="华文细黑" w:cs="宋体;SimSun"/>
                <w:color w:val="000000"/>
                <w:sz w:val="18"/>
                <w:szCs w:val="18"/>
              </w:rPr>
            </w:pPr>
            <w:r>
              <w:rPr>
                <w:rFonts w:ascii="华文细黑" w:hAnsi="华文细黑" w:eastAsia="华文细黑" w:cs="宋体;SimSun"/>
                <w:color w:val="000000"/>
                <w:sz w:val="18"/>
                <w:szCs w:val="18"/>
              </w:rPr>
              <w:t>（元/月•平方米）</w:t>
            </w:r>
          </w:p>
        </w:tc>
      </w:tr>
      <w:tr w14:paraId="57169759">
        <w:tblPrEx>
          <w:tblCellMar>
            <w:top w:w="0" w:type="dxa"/>
            <w:left w:w="108" w:type="dxa"/>
            <w:bottom w:w="0" w:type="dxa"/>
            <w:right w:w="108" w:type="dxa"/>
          </w:tblCellMar>
        </w:tblPrEx>
        <w:trPr>
          <w:trHeight w:val="177" w:hRule="atLeast"/>
          <w:jc w:val="center"/>
        </w:trPr>
        <w:tc>
          <w:tcPr>
            <w:tcW w:w="703" w:type="dxa"/>
            <w:tcBorders>
              <w:left w:val="single" w:color="000000" w:sz="4" w:space="0"/>
              <w:bottom w:val="single" w:color="000000" w:sz="4" w:space="0"/>
            </w:tcBorders>
            <w:vAlign w:val="center"/>
          </w:tcPr>
          <w:p w14:paraId="5226B0CD">
            <w:pPr>
              <w:widowControl/>
              <w:spacing w:line="240" w:lineRule="auto"/>
              <w:jc w:val="center"/>
              <w:textAlignment w:val="auto"/>
              <w:rPr>
                <w:rFonts w:ascii="华文细黑" w:hAnsi="华文细黑" w:eastAsia="华文细黑" w:cs="宋体;SimSun"/>
                <w:color w:val="000000"/>
                <w:sz w:val="18"/>
                <w:szCs w:val="18"/>
              </w:rPr>
            </w:pPr>
            <w:r>
              <w:rPr>
                <w:rFonts w:ascii="华文细黑" w:hAnsi="华文细黑" w:eastAsia="华文细黑" w:cs="宋体;SimSun"/>
                <w:color w:val="000000"/>
                <w:sz w:val="18"/>
                <w:szCs w:val="18"/>
              </w:rPr>
              <w:t>1</w:t>
            </w:r>
          </w:p>
        </w:tc>
        <w:tc>
          <w:tcPr>
            <w:tcW w:w="1741" w:type="dxa"/>
            <w:tcBorders>
              <w:left w:val="single" w:color="000000" w:sz="4" w:space="0"/>
              <w:bottom w:val="single" w:color="000000" w:sz="4" w:space="0"/>
            </w:tcBorders>
            <w:vAlign w:val="center"/>
          </w:tcPr>
          <w:p w14:paraId="5C83EA4D">
            <w:pPr>
              <w:widowControl/>
              <w:spacing w:line="240" w:lineRule="auto"/>
              <w:jc w:val="center"/>
              <w:textAlignment w:val="auto"/>
              <w:rPr>
                <w:rFonts w:ascii="华文细黑" w:hAnsi="华文细黑" w:eastAsia="华文细黑" w:cs="宋体;SimSun"/>
                <w:color w:val="000000"/>
                <w:sz w:val="18"/>
                <w:szCs w:val="18"/>
              </w:rPr>
            </w:pPr>
            <w:r>
              <w:rPr>
                <w:rFonts w:hint="eastAsia" w:ascii="华文细黑" w:hAnsi="华文细黑" w:eastAsia="华文细黑" w:cs="宋体;SimSun"/>
                <w:color w:val="000000"/>
                <w:sz w:val="18"/>
                <w:szCs w:val="18"/>
              </w:rPr>
              <w:t>招商臻珑府</w:t>
            </w:r>
          </w:p>
        </w:tc>
        <w:tc>
          <w:tcPr>
            <w:tcW w:w="1082" w:type="dxa"/>
            <w:tcBorders>
              <w:left w:val="single" w:color="000000" w:sz="4" w:space="0"/>
              <w:bottom w:val="single" w:color="000000" w:sz="4" w:space="0"/>
            </w:tcBorders>
            <w:vAlign w:val="center"/>
          </w:tcPr>
          <w:p w14:paraId="2DA5BAFB">
            <w:pPr>
              <w:widowControl/>
              <w:spacing w:line="240" w:lineRule="auto"/>
              <w:jc w:val="center"/>
              <w:textAlignment w:val="auto"/>
              <w:rPr>
                <w:rFonts w:ascii="华文细黑" w:hAnsi="华文细黑" w:eastAsia="华文细黑" w:cs="宋体;SimSun"/>
                <w:color w:val="000000"/>
                <w:sz w:val="18"/>
                <w:szCs w:val="18"/>
              </w:rPr>
            </w:pPr>
            <w:r>
              <w:rPr>
                <w:rFonts w:ascii="华文细黑" w:hAnsi="华文细黑" w:eastAsia="华文细黑" w:cs="宋体;SimSun"/>
                <w:color w:val="000000"/>
                <w:sz w:val="18"/>
                <w:szCs w:val="18"/>
              </w:rPr>
              <w:t>三居</w:t>
            </w:r>
          </w:p>
        </w:tc>
        <w:tc>
          <w:tcPr>
            <w:tcW w:w="1095" w:type="dxa"/>
            <w:tcBorders>
              <w:left w:val="single" w:color="000000" w:sz="4" w:space="0"/>
              <w:bottom w:val="single" w:color="000000" w:sz="4" w:space="0"/>
            </w:tcBorders>
            <w:vAlign w:val="center"/>
          </w:tcPr>
          <w:p w14:paraId="4828D896">
            <w:pPr>
              <w:widowControl/>
              <w:spacing w:line="240" w:lineRule="auto"/>
              <w:jc w:val="center"/>
              <w:textAlignment w:val="auto"/>
              <w:rPr>
                <w:rFonts w:ascii="华文细黑" w:hAnsi="华文细黑" w:eastAsia="华文细黑" w:cs="宋体;SimSun"/>
                <w:color w:val="000000"/>
                <w:sz w:val="18"/>
                <w:szCs w:val="18"/>
              </w:rPr>
            </w:pPr>
            <w:r>
              <w:rPr>
                <w:rFonts w:ascii="华文细黑" w:hAnsi="华文细黑" w:eastAsia="华文细黑" w:cs="宋体;SimSun"/>
                <w:color w:val="000000"/>
                <w:sz w:val="18"/>
                <w:szCs w:val="18"/>
              </w:rPr>
              <w:t>约100</w:t>
            </w:r>
          </w:p>
        </w:tc>
        <w:tc>
          <w:tcPr>
            <w:tcW w:w="1753" w:type="dxa"/>
            <w:tcBorders>
              <w:left w:val="single" w:color="000000" w:sz="4" w:space="0"/>
              <w:bottom w:val="single" w:color="000000" w:sz="4" w:space="0"/>
            </w:tcBorders>
            <w:vAlign w:val="center"/>
          </w:tcPr>
          <w:p w14:paraId="5C732556">
            <w:pPr>
              <w:widowControl/>
              <w:spacing w:line="240" w:lineRule="auto"/>
              <w:jc w:val="center"/>
              <w:textAlignment w:val="auto"/>
              <w:rPr>
                <w:rFonts w:ascii="华文细黑" w:hAnsi="华文细黑" w:eastAsia="华文细黑" w:cs="宋体;SimSun"/>
                <w:color w:val="000000"/>
                <w:sz w:val="18"/>
                <w:szCs w:val="18"/>
              </w:rPr>
            </w:pPr>
            <w:r>
              <w:rPr>
                <w:rFonts w:hint="eastAsia" w:ascii="华文细黑" w:hAnsi="华文细黑" w:eastAsia="华文细黑" w:cs="宋体;SimSun"/>
                <w:color w:val="000000"/>
                <w:sz w:val="18"/>
                <w:szCs w:val="18"/>
              </w:rPr>
              <w:t>79</w:t>
            </w:r>
          </w:p>
        </w:tc>
        <w:tc>
          <w:tcPr>
            <w:tcW w:w="1583" w:type="dxa"/>
            <w:tcBorders>
              <w:left w:val="single" w:color="000000" w:sz="4" w:space="0"/>
              <w:bottom w:val="single" w:color="000000" w:sz="4" w:space="0"/>
            </w:tcBorders>
            <w:vAlign w:val="center"/>
          </w:tcPr>
          <w:p w14:paraId="63237A8F">
            <w:pPr>
              <w:widowControl/>
              <w:spacing w:line="240" w:lineRule="auto"/>
              <w:jc w:val="center"/>
              <w:textAlignment w:val="auto"/>
              <w:rPr>
                <w:rFonts w:ascii="华文细黑" w:hAnsi="华文细黑" w:eastAsia="华文细黑" w:cs="宋体;SimSun"/>
                <w:color w:val="000000"/>
                <w:sz w:val="18"/>
                <w:szCs w:val="18"/>
              </w:rPr>
            </w:pPr>
            <w:r>
              <w:rPr>
                <w:rFonts w:hint="eastAsia" w:ascii="华文细黑" w:hAnsi="华文细黑" w:eastAsia="华文细黑" w:cs="宋体;SimSun"/>
                <w:color w:val="000000"/>
                <w:sz w:val="18"/>
                <w:szCs w:val="18"/>
              </w:rPr>
              <w:t>3.98</w:t>
            </w:r>
          </w:p>
        </w:tc>
        <w:tc>
          <w:tcPr>
            <w:tcW w:w="1568" w:type="dxa"/>
            <w:tcBorders>
              <w:left w:val="single" w:color="000000" w:sz="4" w:space="0"/>
              <w:bottom w:val="single" w:color="000000" w:sz="4" w:space="0"/>
              <w:right w:val="single" w:color="000000" w:sz="4" w:space="0"/>
            </w:tcBorders>
          </w:tcPr>
          <w:p w14:paraId="63E50206">
            <w:pPr>
              <w:widowControl/>
              <w:spacing w:line="240" w:lineRule="auto"/>
              <w:jc w:val="center"/>
              <w:textAlignment w:val="auto"/>
            </w:pPr>
            <w:r>
              <w:rPr>
                <w:rFonts w:ascii="华文细黑" w:hAnsi="华文细黑" w:eastAsia="华文细黑" w:cs="宋体;SimSun"/>
                <w:color w:val="000000"/>
                <w:sz w:val="18"/>
                <w:szCs w:val="18"/>
              </w:rPr>
              <w:t>2.5</w:t>
            </w:r>
          </w:p>
        </w:tc>
      </w:tr>
      <w:tr w14:paraId="6637B8D9">
        <w:tblPrEx>
          <w:tblCellMar>
            <w:top w:w="0" w:type="dxa"/>
            <w:left w:w="108" w:type="dxa"/>
            <w:bottom w:w="0" w:type="dxa"/>
            <w:right w:w="108" w:type="dxa"/>
          </w:tblCellMar>
        </w:tblPrEx>
        <w:trPr>
          <w:trHeight w:val="270" w:hRule="atLeast"/>
          <w:jc w:val="center"/>
        </w:trPr>
        <w:tc>
          <w:tcPr>
            <w:tcW w:w="703" w:type="dxa"/>
            <w:tcBorders>
              <w:left w:val="single" w:color="000000" w:sz="4" w:space="0"/>
              <w:bottom w:val="single" w:color="000000" w:sz="4" w:space="0"/>
            </w:tcBorders>
            <w:vAlign w:val="center"/>
          </w:tcPr>
          <w:p w14:paraId="003D70C7">
            <w:pPr>
              <w:widowControl/>
              <w:spacing w:line="240" w:lineRule="auto"/>
              <w:jc w:val="center"/>
              <w:textAlignment w:val="auto"/>
              <w:rPr>
                <w:rFonts w:ascii="华文细黑" w:hAnsi="华文细黑" w:eastAsia="华文细黑" w:cs="宋体;SimSun"/>
                <w:color w:val="000000"/>
                <w:sz w:val="18"/>
                <w:szCs w:val="18"/>
              </w:rPr>
            </w:pPr>
            <w:r>
              <w:rPr>
                <w:rFonts w:ascii="华文细黑" w:hAnsi="华文细黑" w:eastAsia="华文细黑" w:cs="宋体;SimSun"/>
                <w:color w:val="000000"/>
                <w:sz w:val="18"/>
                <w:szCs w:val="18"/>
              </w:rPr>
              <w:t>2</w:t>
            </w:r>
          </w:p>
        </w:tc>
        <w:tc>
          <w:tcPr>
            <w:tcW w:w="1741" w:type="dxa"/>
            <w:tcBorders>
              <w:left w:val="single" w:color="000000" w:sz="4" w:space="0"/>
              <w:bottom w:val="single" w:color="000000" w:sz="4" w:space="0"/>
            </w:tcBorders>
            <w:vAlign w:val="center"/>
          </w:tcPr>
          <w:p w14:paraId="4C11C6AF">
            <w:pPr>
              <w:widowControl/>
              <w:spacing w:line="240" w:lineRule="auto"/>
              <w:jc w:val="center"/>
              <w:textAlignment w:val="auto"/>
              <w:rPr>
                <w:rFonts w:ascii="华文细黑" w:hAnsi="华文细黑" w:eastAsia="华文细黑" w:cs="宋体;SimSun"/>
                <w:color w:val="000000"/>
                <w:sz w:val="18"/>
                <w:szCs w:val="18"/>
              </w:rPr>
            </w:pPr>
            <w:r>
              <w:rPr>
                <w:rFonts w:ascii="华文细黑" w:hAnsi="华文细黑" w:eastAsia="华文细黑" w:cs="宋体;SimSun"/>
                <w:color w:val="000000"/>
                <w:sz w:val="18"/>
                <w:szCs w:val="18"/>
              </w:rPr>
              <w:t>北京经开·汀塘</w:t>
            </w:r>
          </w:p>
        </w:tc>
        <w:tc>
          <w:tcPr>
            <w:tcW w:w="1082" w:type="dxa"/>
            <w:tcBorders>
              <w:left w:val="single" w:color="000000" w:sz="4" w:space="0"/>
              <w:bottom w:val="single" w:color="000000" w:sz="4" w:space="0"/>
            </w:tcBorders>
            <w:vAlign w:val="center"/>
          </w:tcPr>
          <w:p w14:paraId="353F4186">
            <w:pPr>
              <w:widowControl/>
              <w:spacing w:line="240" w:lineRule="auto"/>
              <w:jc w:val="center"/>
              <w:textAlignment w:val="auto"/>
              <w:rPr>
                <w:rFonts w:ascii="华文细黑" w:hAnsi="华文细黑" w:eastAsia="华文细黑" w:cs="宋体;SimSun"/>
                <w:color w:val="000000"/>
                <w:sz w:val="18"/>
                <w:szCs w:val="18"/>
              </w:rPr>
            </w:pPr>
            <w:r>
              <w:rPr>
                <w:rFonts w:ascii="华文细黑" w:hAnsi="华文细黑" w:eastAsia="华文细黑" w:cs="宋体;SimSun"/>
                <w:color w:val="000000"/>
                <w:sz w:val="18"/>
                <w:szCs w:val="18"/>
              </w:rPr>
              <w:t>二居</w:t>
            </w:r>
          </w:p>
        </w:tc>
        <w:tc>
          <w:tcPr>
            <w:tcW w:w="1095" w:type="dxa"/>
            <w:tcBorders>
              <w:left w:val="single" w:color="000000" w:sz="4" w:space="0"/>
              <w:bottom w:val="single" w:color="000000" w:sz="4" w:space="0"/>
            </w:tcBorders>
            <w:vAlign w:val="center"/>
          </w:tcPr>
          <w:p w14:paraId="5A6EF2D8">
            <w:pPr>
              <w:widowControl/>
              <w:spacing w:line="240" w:lineRule="auto"/>
              <w:jc w:val="center"/>
              <w:textAlignment w:val="auto"/>
              <w:rPr>
                <w:rFonts w:ascii="华文细黑" w:hAnsi="华文细黑" w:eastAsia="华文细黑" w:cs="宋体;SimSun"/>
                <w:color w:val="000000"/>
                <w:sz w:val="18"/>
                <w:szCs w:val="18"/>
              </w:rPr>
            </w:pPr>
            <w:r>
              <w:rPr>
                <w:rFonts w:ascii="华文细黑" w:hAnsi="华文细黑" w:eastAsia="华文细黑" w:cs="宋体;SimSun"/>
                <w:color w:val="000000"/>
                <w:sz w:val="18"/>
                <w:szCs w:val="18"/>
              </w:rPr>
              <w:t>约85</w:t>
            </w:r>
          </w:p>
        </w:tc>
        <w:tc>
          <w:tcPr>
            <w:tcW w:w="1753" w:type="dxa"/>
            <w:tcBorders>
              <w:left w:val="single" w:color="000000" w:sz="4" w:space="0"/>
              <w:bottom w:val="single" w:color="000000" w:sz="4" w:space="0"/>
            </w:tcBorders>
            <w:vAlign w:val="center"/>
          </w:tcPr>
          <w:p w14:paraId="745BCE28">
            <w:pPr>
              <w:widowControl/>
              <w:spacing w:line="240" w:lineRule="auto"/>
              <w:jc w:val="center"/>
              <w:textAlignment w:val="auto"/>
              <w:rPr>
                <w:rFonts w:ascii="华文细黑" w:hAnsi="华文细黑" w:eastAsia="华文细黑" w:cs="宋体;SimSun"/>
                <w:color w:val="000000"/>
                <w:sz w:val="18"/>
                <w:szCs w:val="18"/>
              </w:rPr>
            </w:pPr>
            <w:r>
              <w:rPr>
                <w:rFonts w:ascii="华文细黑" w:hAnsi="华文细黑" w:eastAsia="华文细黑" w:cs="宋体;SimSun"/>
                <w:color w:val="000000"/>
                <w:sz w:val="18"/>
                <w:szCs w:val="18"/>
              </w:rPr>
              <w:t>75</w:t>
            </w:r>
          </w:p>
        </w:tc>
        <w:tc>
          <w:tcPr>
            <w:tcW w:w="1583" w:type="dxa"/>
            <w:tcBorders>
              <w:left w:val="single" w:color="000000" w:sz="4" w:space="0"/>
              <w:bottom w:val="single" w:color="000000" w:sz="4" w:space="0"/>
            </w:tcBorders>
            <w:vAlign w:val="center"/>
          </w:tcPr>
          <w:p w14:paraId="5C8DBB41">
            <w:pPr>
              <w:widowControl/>
              <w:spacing w:line="240" w:lineRule="auto"/>
              <w:jc w:val="center"/>
              <w:textAlignment w:val="auto"/>
              <w:rPr>
                <w:rFonts w:ascii="华文细黑" w:hAnsi="华文细黑" w:eastAsia="华文细黑" w:cs="宋体;SimSun"/>
                <w:color w:val="000000"/>
                <w:sz w:val="18"/>
                <w:szCs w:val="18"/>
              </w:rPr>
            </w:pPr>
            <w:r>
              <w:rPr>
                <w:rFonts w:ascii="华文细黑" w:hAnsi="华文细黑" w:eastAsia="华文细黑" w:cs="宋体;SimSun"/>
                <w:color w:val="000000"/>
                <w:sz w:val="18"/>
                <w:szCs w:val="18"/>
              </w:rPr>
              <w:t>3.8</w:t>
            </w:r>
          </w:p>
        </w:tc>
        <w:tc>
          <w:tcPr>
            <w:tcW w:w="1568" w:type="dxa"/>
            <w:tcBorders>
              <w:left w:val="single" w:color="000000" w:sz="4" w:space="0"/>
              <w:bottom w:val="single" w:color="000000" w:sz="4" w:space="0"/>
              <w:right w:val="single" w:color="000000" w:sz="4" w:space="0"/>
            </w:tcBorders>
          </w:tcPr>
          <w:p w14:paraId="069CBF3C">
            <w:pPr>
              <w:widowControl/>
              <w:spacing w:line="240" w:lineRule="auto"/>
              <w:jc w:val="center"/>
              <w:textAlignment w:val="auto"/>
            </w:pPr>
            <w:r>
              <w:rPr>
                <w:rFonts w:ascii="华文细黑" w:hAnsi="华文细黑" w:eastAsia="华文细黑" w:cs="宋体;SimSun"/>
                <w:color w:val="000000"/>
                <w:sz w:val="18"/>
                <w:szCs w:val="18"/>
              </w:rPr>
              <w:t>2.5</w:t>
            </w:r>
          </w:p>
        </w:tc>
      </w:tr>
      <w:tr w14:paraId="28342815">
        <w:tblPrEx>
          <w:tblCellMar>
            <w:top w:w="0" w:type="dxa"/>
            <w:left w:w="108" w:type="dxa"/>
            <w:bottom w:w="0" w:type="dxa"/>
            <w:right w:w="108" w:type="dxa"/>
          </w:tblCellMar>
        </w:tblPrEx>
        <w:trPr>
          <w:trHeight w:val="270" w:hRule="atLeast"/>
          <w:jc w:val="center"/>
        </w:trPr>
        <w:tc>
          <w:tcPr>
            <w:tcW w:w="703" w:type="dxa"/>
            <w:tcBorders>
              <w:left w:val="single" w:color="000000" w:sz="4" w:space="0"/>
              <w:bottom w:val="single" w:color="000000" w:sz="4" w:space="0"/>
            </w:tcBorders>
            <w:vAlign w:val="center"/>
          </w:tcPr>
          <w:p w14:paraId="47A4A0AE">
            <w:pPr>
              <w:widowControl/>
              <w:spacing w:line="240" w:lineRule="auto"/>
              <w:jc w:val="center"/>
              <w:textAlignment w:val="auto"/>
              <w:rPr>
                <w:rFonts w:ascii="华文细黑" w:hAnsi="华文细黑" w:eastAsia="华文细黑" w:cs="宋体;SimSun"/>
                <w:color w:val="000000"/>
                <w:sz w:val="18"/>
                <w:szCs w:val="18"/>
              </w:rPr>
            </w:pPr>
            <w:r>
              <w:rPr>
                <w:rFonts w:ascii="华文细黑" w:hAnsi="华文细黑" w:eastAsia="华文细黑" w:cs="宋体;SimSun"/>
                <w:color w:val="000000"/>
                <w:sz w:val="18"/>
                <w:szCs w:val="18"/>
              </w:rPr>
              <w:t>3</w:t>
            </w:r>
          </w:p>
        </w:tc>
        <w:tc>
          <w:tcPr>
            <w:tcW w:w="1741" w:type="dxa"/>
            <w:tcBorders>
              <w:left w:val="single" w:color="000000" w:sz="4" w:space="0"/>
              <w:bottom w:val="single" w:color="000000" w:sz="4" w:space="0"/>
            </w:tcBorders>
            <w:vAlign w:val="center"/>
          </w:tcPr>
          <w:p w14:paraId="4EC5CD3A">
            <w:pPr>
              <w:widowControl/>
              <w:spacing w:line="240" w:lineRule="auto"/>
              <w:jc w:val="center"/>
              <w:textAlignment w:val="auto"/>
              <w:rPr>
                <w:rFonts w:ascii="华文细黑" w:hAnsi="华文细黑" w:eastAsia="华文细黑" w:cs="宋体;SimSun"/>
                <w:color w:val="000000"/>
                <w:sz w:val="18"/>
                <w:szCs w:val="18"/>
              </w:rPr>
            </w:pPr>
            <w:r>
              <w:rPr>
                <w:rFonts w:ascii="华文细黑" w:hAnsi="华文细黑" w:eastAsia="华文细黑" w:cs="宋体;SimSun"/>
                <w:color w:val="000000"/>
                <w:sz w:val="18"/>
                <w:szCs w:val="18"/>
              </w:rPr>
              <w:t>通泰国际公馆</w:t>
            </w:r>
          </w:p>
        </w:tc>
        <w:tc>
          <w:tcPr>
            <w:tcW w:w="1082" w:type="dxa"/>
            <w:tcBorders>
              <w:left w:val="single" w:color="000000" w:sz="4" w:space="0"/>
              <w:bottom w:val="single" w:color="000000" w:sz="4" w:space="0"/>
            </w:tcBorders>
            <w:vAlign w:val="center"/>
          </w:tcPr>
          <w:p w14:paraId="0C4F087A">
            <w:pPr>
              <w:widowControl/>
              <w:spacing w:line="240" w:lineRule="auto"/>
              <w:jc w:val="center"/>
              <w:textAlignment w:val="auto"/>
              <w:rPr>
                <w:rFonts w:ascii="华文细黑" w:hAnsi="华文细黑" w:eastAsia="华文细黑" w:cs="宋体;SimSun"/>
                <w:color w:val="000000"/>
                <w:sz w:val="18"/>
                <w:szCs w:val="18"/>
              </w:rPr>
            </w:pPr>
            <w:r>
              <w:rPr>
                <w:rFonts w:ascii="华文细黑" w:hAnsi="华文细黑" w:eastAsia="华文细黑" w:cs="宋体;SimSun"/>
                <w:color w:val="000000"/>
                <w:sz w:val="18"/>
                <w:szCs w:val="18"/>
              </w:rPr>
              <w:t>二居</w:t>
            </w:r>
          </w:p>
        </w:tc>
        <w:tc>
          <w:tcPr>
            <w:tcW w:w="1095" w:type="dxa"/>
            <w:tcBorders>
              <w:left w:val="single" w:color="000000" w:sz="4" w:space="0"/>
              <w:bottom w:val="single" w:color="000000" w:sz="4" w:space="0"/>
            </w:tcBorders>
            <w:vAlign w:val="center"/>
          </w:tcPr>
          <w:p w14:paraId="7C3A71FF">
            <w:pPr>
              <w:widowControl/>
              <w:spacing w:line="240" w:lineRule="auto"/>
              <w:jc w:val="center"/>
              <w:textAlignment w:val="auto"/>
              <w:rPr>
                <w:rFonts w:ascii="华文细黑" w:hAnsi="华文细黑" w:eastAsia="华文细黑" w:cs="宋体;SimSun"/>
                <w:color w:val="000000"/>
                <w:sz w:val="18"/>
                <w:szCs w:val="18"/>
              </w:rPr>
            </w:pPr>
            <w:r>
              <w:rPr>
                <w:rFonts w:ascii="华文细黑" w:hAnsi="华文细黑" w:eastAsia="华文细黑" w:cs="宋体;SimSun"/>
                <w:color w:val="000000"/>
                <w:sz w:val="18"/>
                <w:szCs w:val="18"/>
              </w:rPr>
              <w:t>约90</w:t>
            </w:r>
          </w:p>
        </w:tc>
        <w:tc>
          <w:tcPr>
            <w:tcW w:w="1753" w:type="dxa"/>
            <w:tcBorders>
              <w:left w:val="single" w:color="000000" w:sz="4" w:space="0"/>
              <w:bottom w:val="single" w:color="000000" w:sz="4" w:space="0"/>
            </w:tcBorders>
            <w:vAlign w:val="center"/>
          </w:tcPr>
          <w:p w14:paraId="3F466CF8">
            <w:pPr>
              <w:widowControl/>
              <w:spacing w:line="240" w:lineRule="auto"/>
              <w:jc w:val="center"/>
              <w:textAlignment w:val="auto"/>
              <w:rPr>
                <w:rFonts w:ascii="华文细黑" w:hAnsi="华文细黑" w:eastAsia="华文细黑" w:cs="宋体;SimSun"/>
                <w:color w:val="000000"/>
                <w:sz w:val="18"/>
                <w:szCs w:val="18"/>
              </w:rPr>
            </w:pPr>
            <w:r>
              <w:rPr>
                <w:rFonts w:ascii="华文细黑" w:hAnsi="华文细黑" w:eastAsia="华文细黑" w:cs="宋体;SimSun"/>
                <w:color w:val="000000"/>
                <w:sz w:val="18"/>
                <w:szCs w:val="18"/>
              </w:rPr>
              <w:t>75</w:t>
            </w:r>
          </w:p>
        </w:tc>
        <w:tc>
          <w:tcPr>
            <w:tcW w:w="1583" w:type="dxa"/>
            <w:tcBorders>
              <w:left w:val="single" w:color="000000" w:sz="4" w:space="0"/>
              <w:bottom w:val="single" w:color="000000" w:sz="4" w:space="0"/>
            </w:tcBorders>
            <w:vAlign w:val="center"/>
          </w:tcPr>
          <w:p w14:paraId="2E0E384C">
            <w:pPr>
              <w:widowControl/>
              <w:spacing w:line="240" w:lineRule="auto"/>
              <w:jc w:val="center"/>
              <w:textAlignment w:val="auto"/>
              <w:rPr>
                <w:rFonts w:ascii="华文细黑" w:hAnsi="华文细黑" w:eastAsia="华文细黑" w:cs="宋体;SimSun"/>
                <w:color w:val="000000"/>
                <w:sz w:val="18"/>
                <w:szCs w:val="18"/>
              </w:rPr>
            </w:pPr>
            <w:r>
              <w:rPr>
                <w:rFonts w:ascii="华文细黑" w:hAnsi="华文细黑" w:eastAsia="华文细黑" w:cs="宋体;SimSun"/>
                <w:color w:val="000000"/>
                <w:sz w:val="18"/>
                <w:szCs w:val="18"/>
              </w:rPr>
              <w:t>3.28</w:t>
            </w:r>
          </w:p>
        </w:tc>
        <w:tc>
          <w:tcPr>
            <w:tcW w:w="1568" w:type="dxa"/>
            <w:tcBorders>
              <w:left w:val="single" w:color="000000" w:sz="4" w:space="0"/>
              <w:bottom w:val="single" w:color="000000" w:sz="4" w:space="0"/>
              <w:right w:val="single" w:color="000000" w:sz="4" w:space="0"/>
            </w:tcBorders>
          </w:tcPr>
          <w:p w14:paraId="72970FB6">
            <w:pPr>
              <w:widowControl/>
              <w:spacing w:line="240" w:lineRule="auto"/>
              <w:jc w:val="center"/>
              <w:textAlignment w:val="auto"/>
            </w:pPr>
            <w:r>
              <w:rPr>
                <w:rFonts w:ascii="华文细黑" w:hAnsi="华文细黑" w:eastAsia="华文细黑" w:cs="宋体;SimSun"/>
                <w:color w:val="000000"/>
                <w:sz w:val="18"/>
                <w:szCs w:val="18"/>
              </w:rPr>
              <w:t>2.5</w:t>
            </w:r>
          </w:p>
        </w:tc>
      </w:tr>
      <w:tr w14:paraId="448CDBFE">
        <w:tblPrEx>
          <w:tblCellMar>
            <w:top w:w="0" w:type="dxa"/>
            <w:left w:w="108" w:type="dxa"/>
            <w:bottom w:w="0" w:type="dxa"/>
            <w:right w:w="108" w:type="dxa"/>
          </w:tblCellMar>
        </w:tblPrEx>
        <w:trPr>
          <w:trHeight w:val="270" w:hRule="atLeast"/>
          <w:jc w:val="center"/>
        </w:trPr>
        <w:tc>
          <w:tcPr>
            <w:tcW w:w="703" w:type="dxa"/>
            <w:tcBorders>
              <w:left w:val="single" w:color="000000" w:sz="4" w:space="0"/>
              <w:bottom w:val="single" w:color="000000" w:sz="4" w:space="0"/>
            </w:tcBorders>
            <w:vAlign w:val="center"/>
          </w:tcPr>
          <w:p w14:paraId="613D6F14">
            <w:pPr>
              <w:widowControl/>
              <w:spacing w:line="240" w:lineRule="auto"/>
              <w:jc w:val="center"/>
              <w:textAlignment w:val="auto"/>
              <w:rPr>
                <w:rFonts w:ascii="华文细黑" w:hAnsi="华文细黑" w:eastAsia="华文细黑" w:cs="宋体;SimSun"/>
                <w:color w:val="000000"/>
                <w:sz w:val="18"/>
                <w:szCs w:val="18"/>
              </w:rPr>
            </w:pPr>
            <w:r>
              <w:rPr>
                <w:rFonts w:ascii="华文细黑" w:hAnsi="华文细黑" w:eastAsia="华文细黑" w:cs="宋体;SimSun"/>
                <w:color w:val="000000"/>
                <w:sz w:val="18"/>
                <w:szCs w:val="18"/>
              </w:rPr>
              <w:t>4</w:t>
            </w:r>
          </w:p>
        </w:tc>
        <w:tc>
          <w:tcPr>
            <w:tcW w:w="1741" w:type="dxa"/>
            <w:tcBorders>
              <w:left w:val="single" w:color="000000" w:sz="4" w:space="0"/>
              <w:bottom w:val="single" w:color="000000" w:sz="4" w:space="0"/>
            </w:tcBorders>
            <w:vAlign w:val="center"/>
          </w:tcPr>
          <w:p w14:paraId="1347AC37">
            <w:pPr>
              <w:widowControl/>
              <w:spacing w:line="240" w:lineRule="auto"/>
              <w:jc w:val="center"/>
              <w:textAlignment w:val="auto"/>
              <w:rPr>
                <w:rFonts w:ascii="华文细黑" w:hAnsi="华文细黑" w:eastAsia="华文细黑" w:cs="宋体;SimSun"/>
                <w:color w:val="000000"/>
                <w:sz w:val="18"/>
                <w:szCs w:val="18"/>
              </w:rPr>
            </w:pPr>
            <w:r>
              <w:rPr>
                <w:rFonts w:ascii="华文细黑" w:hAnsi="华文细黑" w:eastAsia="华文细黑" w:cs="宋体;SimSun"/>
                <w:color w:val="000000"/>
                <w:sz w:val="18"/>
                <w:szCs w:val="18"/>
              </w:rPr>
              <w:t>次渠南里</w:t>
            </w:r>
          </w:p>
        </w:tc>
        <w:tc>
          <w:tcPr>
            <w:tcW w:w="1082" w:type="dxa"/>
            <w:tcBorders>
              <w:left w:val="single" w:color="000000" w:sz="4" w:space="0"/>
              <w:bottom w:val="single" w:color="000000" w:sz="4" w:space="0"/>
            </w:tcBorders>
            <w:vAlign w:val="center"/>
          </w:tcPr>
          <w:p w14:paraId="1A8B41A8">
            <w:pPr>
              <w:widowControl/>
              <w:spacing w:line="240" w:lineRule="auto"/>
              <w:jc w:val="center"/>
              <w:textAlignment w:val="auto"/>
              <w:rPr>
                <w:rFonts w:ascii="华文细黑" w:hAnsi="华文细黑" w:eastAsia="华文细黑" w:cs="宋体;SimSun"/>
                <w:color w:val="000000"/>
                <w:sz w:val="18"/>
                <w:szCs w:val="18"/>
              </w:rPr>
            </w:pPr>
            <w:r>
              <w:rPr>
                <w:rFonts w:ascii="华文细黑" w:hAnsi="华文细黑" w:eastAsia="华文细黑" w:cs="宋体;SimSun"/>
                <w:color w:val="000000"/>
                <w:sz w:val="18"/>
                <w:szCs w:val="18"/>
              </w:rPr>
              <w:t>二居</w:t>
            </w:r>
          </w:p>
        </w:tc>
        <w:tc>
          <w:tcPr>
            <w:tcW w:w="1095" w:type="dxa"/>
            <w:tcBorders>
              <w:left w:val="single" w:color="000000" w:sz="4" w:space="0"/>
              <w:bottom w:val="single" w:color="000000" w:sz="4" w:space="0"/>
            </w:tcBorders>
            <w:vAlign w:val="center"/>
          </w:tcPr>
          <w:p w14:paraId="2D7DC6C4">
            <w:pPr>
              <w:widowControl/>
              <w:spacing w:line="240" w:lineRule="auto"/>
              <w:jc w:val="center"/>
              <w:textAlignment w:val="auto"/>
              <w:rPr>
                <w:rFonts w:ascii="华文细黑" w:hAnsi="华文细黑" w:eastAsia="华文细黑" w:cs="宋体;SimSun"/>
                <w:color w:val="000000"/>
                <w:sz w:val="18"/>
                <w:szCs w:val="18"/>
              </w:rPr>
            </w:pPr>
            <w:r>
              <w:rPr>
                <w:rFonts w:ascii="华文细黑" w:hAnsi="华文细黑" w:eastAsia="华文细黑" w:cs="宋体;SimSun"/>
                <w:color w:val="000000"/>
                <w:sz w:val="18"/>
                <w:szCs w:val="18"/>
              </w:rPr>
              <w:t>约110</w:t>
            </w:r>
          </w:p>
        </w:tc>
        <w:tc>
          <w:tcPr>
            <w:tcW w:w="1753" w:type="dxa"/>
            <w:tcBorders>
              <w:left w:val="single" w:color="000000" w:sz="4" w:space="0"/>
              <w:bottom w:val="single" w:color="000000" w:sz="4" w:space="0"/>
            </w:tcBorders>
            <w:vAlign w:val="center"/>
          </w:tcPr>
          <w:p w14:paraId="3456DD9F">
            <w:pPr>
              <w:widowControl/>
              <w:spacing w:line="240" w:lineRule="auto"/>
              <w:jc w:val="center"/>
              <w:textAlignment w:val="auto"/>
              <w:rPr>
                <w:rFonts w:ascii="华文细黑" w:hAnsi="华文细黑" w:eastAsia="华文细黑" w:cs="宋体;SimSun"/>
                <w:color w:val="000000"/>
                <w:sz w:val="18"/>
                <w:szCs w:val="18"/>
              </w:rPr>
            </w:pPr>
            <w:r>
              <w:rPr>
                <w:rFonts w:ascii="华文细黑" w:hAnsi="华文细黑" w:eastAsia="华文细黑" w:cs="宋体;SimSun"/>
                <w:color w:val="000000"/>
                <w:sz w:val="18"/>
                <w:szCs w:val="18"/>
              </w:rPr>
              <w:t>60</w:t>
            </w:r>
          </w:p>
        </w:tc>
        <w:tc>
          <w:tcPr>
            <w:tcW w:w="1583" w:type="dxa"/>
            <w:tcBorders>
              <w:left w:val="single" w:color="000000" w:sz="4" w:space="0"/>
              <w:bottom w:val="single" w:color="000000" w:sz="4" w:space="0"/>
            </w:tcBorders>
            <w:vAlign w:val="center"/>
          </w:tcPr>
          <w:p w14:paraId="7738A452">
            <w:pPr>
              <w:widowControl/>
              <w:spacing w:line="240" w:lineRule="auto"/>
              <w:jc w:val="center"/>
              <w:textAlignment w:val="auto"/>
              <w:rPr>
                <w:rFonts w:ascii="华文细黑" w:hAnsi="华文细黑" w:eastAsia="华文细黑" w:cs="宋体;SimSun"/>
                <w:color w:val="000000"/>
                <w:sz w:val="18"/>
                <w:szCs w:val="18"/>
              </w:rPr>
            </w:pPr>
            <w:r>
              <w:rPr>
                <w:rFonts w:ascii="华文细黑" w:hAnsi="华文细黑" w:eastAsia="华文细黑" w:cs="宋体;SimSun"/>
                <w:color w:val="000000"/>
                <w:sz w:val="18"/>
                <w:szCs w:val="18"/>
              </w:rPr>
              <w:t>2</w:t>
            </w:r>
          </w:p>
        </w:tc>
        <w:tc>
          <w:tcPr>
            <w:tcW w:w="1568" w:type="dxa"/>
            <w:tcBorders>
              <w:left w:val="single" w:color="000000" w:sz="4" w:space="0"/>
              <w:bottom w:val="single" w:color="000000" w:sz="4" w:space="0"/>
              <w:right w:val="single" w:color="000000" w:sz="4" w:space="0"/>
            </w:tcBorders>
          </w:tcPr>
          <w:p w14:paraId="76782B26">
            <w:pPr>
              <w:widowControl/>
              <w:spacing w:line="240" w:lineRule="auto"/>
              <w:jc w:val="center"/>
              <w:textAlignment w:val="auto"/>
            </w:pPr>
            <w:r>
              <w:rPr>
                <w:rFonts w:ascii="华文细黑" w:hAnsi="华文细黑" w:eastAsia="华文细黑" w:cs="宋体;SimSun"/>
                <w:color w:val="000000"/>
                <w:sz w:val="18"/>
                <w:szCs w:val="18"/>
              </w:rPr>
              <w:t>2.5</w:t>
            </w:r>
          </w:p>
        </w:tc>
      </w:tr>
      <w:tr w14:paraId="75FD565A">
        <w:tblPrEx>
          <w:tblCellMar>
            <w:top w:w="0" w:type="dxa"/>
            <w:left w:w="108" w:type="dxa"/>
            <w:bottom w:w="0" w:type="dxa"/>
            <w:right w:w="108" w:type="dxa"/>
          </w:tblCellMar>
        </w:tblPrEx>
        <w:trPr>
          <w:trHeight w:val="270" w:hRule="atLeast"/>
          <w:jc w:val="center"/>
        </w:trPr>
        <w:tc>
          <w:tcPr>
            <w:tcW w:w="703" w:type="dxa"/>
            <w:tcBorders>
              <w:top w:val="single" w:color="000000" w:sz="4" w:space="0"/>
              <w:left w:val="single" w:color="000000" w:sz="4" w:space="0"/>
              <w:bottom w:val="single" w:color="000000" w:sz="4" w:space="0"/>
            </w:tcBorders>
            <w:vAlign w:val="center"/>
          </w:tcPr>
          <w:p w14:paraId="256B87FA">
            <w:pPr>
              <w:widowControl/>
              <w:spacing w:line="240" w:lineRule="auto"/>
              <w:jc w:val="center"/>
              <w:textAlignment w:val="auto"/>
              <w:rPr>
                <w:rFonts w:ascii="华文细黑" w:hAnsi="华文细黑" w:eastAsia="华文细黑" w:cs="宋体;SimSun"/>
                <w:color w:val="000000"/>
                <w:sz w:val="18"/>
                <w:szCs w:val="18"/>
              </w:rPr>
            </w:pPr>
            <w:r>
              <w:rPr>
                <w:rFonts w:ascii="华文细黑" w:hAnsi="华文细黑" w:eastAsia="华文细黑" w:cs="宋体;SimSun"/>
                <w:color w:val="000000"/>
                <w:sz w:val="18"/>
                <w:szCs w:val="18"/>
              </w:rPr>
              <w:t>5</w:t>
            </w:r>
          </w:p>
        </w:tc>
        <w:tc>
          <w:tcPr>
            <w:tcW w:w="1741" w:type="dxa"/>
            <w:tcBorders>
              <w:top w:val="single" w:color="000000" w:sz="4" w:space="0"/>
              <w:left w:val="single" w:color="000000" w:sz="4" w:space="0"/>
              <w:bottom w:val="single" w:color="000000" w:sz="4" w:space="0"/>
            </w:tcBorders>
            <w:vAlign w:val="center"/>
          </w:tcPr>
          <w:p w14:paraId="65D43DCC">
            <w:pPr>
              <w:widowControl/>
              <w:spacing w:line="240" w:lineRule="auto"/>
              <w:jc w:val="center"/>
              <w:textAlignment w:val="auto"/>
              <w:rPr>
                <w:rFonts w:ascii="华文细黑" w:hAnsi="华文细黑" w:eastAsia="华文细黑" w:cs="宋体;SimSun"/>
                <w:color w:val="000000"/>
                <w:sz w:val="18"/>
                <w:szCs w:val="18"/>
              </w:rPr>
            </w:pPr>
            <w:r>
              <w:rPr>
                <w:rFonts w:ascii="华文细黑" w:hAnsi="华文细黑" w:eastAsia="华文细黑" w:cs="宋体;SimSun"/>
                <w:color w:val="000000"/>
                <w:sz w:val="18"/>
                <w:szCs w:val="18"/>
              </w:rPr>
              <w:t>次渠锦园</w:t>
            </w:r>
          </w:p>
        </w:tc>
        <w:tc>
          <w:tcPr>
            <w:tcW w:w="1082" w:type="dxa"/>
            <w:tcBorders>
              <w:top w:val="single" w:color="000000" w:sz="4" w:space="0"/>
              <w:left w:val="single" w:color="000000" w:sz="4" w:space="0"/>
              <w:bottom w:val="single" w:color="000000" w:sz="4" w:space="0"/>
            </w:tcBorders>
            <w:vAlign w:val="center"/>
          </w:tcPr>
          <w:p w14:paraId="01E1345B">
            <w:pPr>
              <w:widowControl/>
              <w:spacing w:line="240" w:lineRule="auto"/>
              <w:jc w:val="center"/>
              <w:textAlignment w:val="auto"/>
              <w:rPr>
                <w:rFonts w:ascii="华文细黑" w:hAnsi="华文细黑" w:eastAsia="华文细黑" w:cs="宋体;SimSun"/>
                <w:color w:val="000000"/>
                <w:sz w:val="18"/>
                <w:szCs w:val="18"/>
              </w:rPr>
            </w:pPr>
            <w:r>
              <w:rPr>
                <w:rFonts w:ascii="华文细黑" w:hAnsi="华文细黑" w:eastAsia="华文细黑" w:cs="宋体;SimSun"/>
                <w:color w:val="000000"/>
                <w:sz w:val="18"/>
                <w:szCs w:val="18"/>
              </w:rPr>
              <w:t>一居</w:t>
            </w:r>
          </w:p>
        </w:tc>
        <w:tc>
          <w:tcPr>
            <w:tcW w:w="1095" w:type="dxa"/>
            <w:tcBorders>
              <w:top w:val="single" w:color="000000" w:sz="4" w:space="0"/>
              <w:left w:val="single" w:color="000000" w:sz="4" w:space="0"/>
              <w:bottom w:val="single" w:color="000000" w:sz="4" w:space="0"/>
            </w:tcBorders>
            <w:vAlign w:val="center"/>
          </w:tcPr>
          <w:p w14:paraId="2F717DD2">
            <w:pPr>
              <w:widowControl/>
              <w:spacing w:line="240" w:lineRule="auto"/>
              <w:jc w:val="center"/>
              <w:textAlignment w:val="auto"/>
              <w:rPr>
                <w:rFonts w:ascii="华文细黑" w:hAnsi="华文细黑" w:eastAsia="华文细黑" w:cs="宋体;SimSun"/>
                <w:color w:val="000000"/>
                <w:sz w:val="18"/>
                <w:szCs w:val="18"/>
              </w:rPr>
            </w:pPr>
            <w:r>
              <w:rPr>
                <w:rFonts w:ascii="华文细黑" w:hAnsi="华文细黑" w:eastAsia="华文细黑" w:cs="宋体;SimSun"/>
                <w:color w:val="000000"/>
                <w:sz w:val="18"/>
                <w:szCs w:val="18"/>
              </w:rPr>
              <w:t>约50</w:t>
            </w:r>
          </w:p>
        </w:tc>
        <w:tc>
          <w:tcPr>
            <w:tcW w:w="1753" w:type="dxa"/>
            <w:tcBorders>
              <w:top w:val="single" w:color="000000" w:sz="4" w:space="0"/>
              <w:left w:val="single" w:color="000000" w:sz="4" w:space="0"/>
              <w:bottom w:val="single" w:color="000000" w:sz="4" w:space="0"/>
            </w:tcBorders>
            <w:vAlign w:val="center"/>
          </w:tcPr>
          <w:p w14:paraId="62CB4B8F">
            <w:pPr>
              <w:widowControl/>
              <w:spacing w:line="240" w:lineRule="auto"/>
              <w:jc w:val="center"/>
              <w:textAlignment w:val="auto"/>
              <w:rPr>
                <w:rFonts w:ascii="华文细黑" w:hAnsi="华文细黑" w:eastAsia="华文细黑" w:cs="宋体;SimSun"/>
                <w:color w:val="000000"/>
                <w:sz w:val="18"/>
                <w:szCs w:val="18"/>
              </w:rPr>
            </w:pPr>
            <w:r>
              <w:rPr>
                <w:rFonts w:ascii="华文细黑" w:hAnsi="华文细黑" w:eastAsia="华文细黑" w:cs="宋体;SimSun"/>
                <w:color w:val="000000"/>
                <w:sz w:val="18"/>
                <w:szCs w:val="18"/>
              </w:rPr>
              <w:t>70</w:t>
            </w:r>
          </w:p>
        </w:tc>
        <w:tc>
          <w:tcPr>
            <w:tcW w:w="1583" w:type="dxa"/>
            <w:tcBorders>
              <w:top w:val="single" w:color="000000" w:sz="4" w:space="0"/>
              <w:left w:val="single" w:color="000000" w:sz="4" w:space="0"/>
              <w:bottom w:val="single" w:color="000000" w:sz="4" w:space="0"/>
            </w:tcBorders>
            <w:vAlign w:val="center"/>
          </w:tcPr>
          <w:p w14:paraId="64478EA9">
            <w:pPr>
              <w:widowControl/>
              <w:spacing w:line="240" w:lineRule="auto"/>
              <w:jc w:val="center"/>
              <w:textAlignment w:val="auto"/>
              <w:rPr>
                <w:rFonts w:ascii="华文细黑" w:hAnsi="华文细黑" w:eastAsia="华文细黑" w:cs="宋体;SimSun"/>
                <w:color w:val="000000"/>
                <w:sz w:val="18"/>
                <w:szCs w:val="18"/>
              </w:rPr>
            </w:pPr>
            <w:r>
              <w:rPr>
                <w:rFonts w:ascii="华文细黑" w:hAnsi="华文细黑" w:eastAsia="华文细黑" w:cs="宋体;SimSun"/>
                <w:color w:val="000000"/>
                <w:sz w:val="18"/>
                <w:szCs w:val="18"/>
              </w:rPr>
              <w:t>1</w:t>
            </w:r>
          </w:p>
        </w:tc>
        <w:tc>
          <w:tcPr>
            <w:tcW w:w="1568" w:type="dxa"/>
            <w:tcBorders>
              <w:top w:val="single" w:color="000000" w:sz="4" w:space="0"/>
              <w:left w:val="single" w:color="000000" w:sz="4" w:space="0"/>
              <w:bottom w:val="single" w:color="000000" w:sz="4" w:space="0"/>
              <w:right w:val="single" w:color="000000" w:sz="4" w:space="0"/>
            </w:tcBorders>
          </w:tcPr>
          <w:p w14:paraId="03D70432">
            <w:pPr>
              <w:widowControl/>
              <w:spacing w:line="240" w:lineRule="auto"/>
              <w:jc w:val="center"/>
              <w:textAlignment w:val="auto"/>
            </w:pPr>
            <w:r>
              <w:rPr>
                <w:rFonts w:ascii="华文细黑" w:hAnsi="华文细黑" w:eastAsia="华文细黑" w:cs="宋体;SimSun"/>
                <w:color w:val="000000"/>
                <w:sz w:val="18"/>
                <w:szCs w:val="18"/>
              </w:rPr>
              <w:t>2.5</w:t>
            </w:r>
          </w:p>
        </w:tc>
      </w:tr>
      <w:tr w14:paraId="5C0F6574">
        <w:tblPrEx>
          <w:tblCellMar>
            <w:top w:w="0" w:type="dxa"/>
            <w:left w:w="108" w:type="dxa"/>
            <w:bottom w:w="0" w:type="dxa"/>
            <w:right w:w="108" w:type="dxa"/>
          </w:tblCellMar>
        </w:tblPrEx>
        <w:trPr>
          <w:trHeight w:val="270" w:hRule="atLeast"/>
          <w:jc w:val="center"/>
        </w:trPr>
        <w:tc>
          <w:tcPr>
            <w:tcW w:w="703" w:type="dxa"/>
            <w:tcBorders>
              <w:top w:val="single" w:color="000000" w:sz="4" w:space="0"/>
              <w:left w:val="single" w:color="000000" w:sz="4" w:space="0"/>
              <w:bottom w:val="single" w:color="000000" w:sz="4" w:space="0"/>
            </w:tcBorders>
            <w:vAlign w:val="center"/>
          </w:tcPr>
          <w:p w14:paraId="474C770A">
            <w:pPr>
              <w:widowControl/>
              <w:spacing w:line="240" w:lineRule="auto"/>
              <w:jc w:val="center"/>
              <w:textAlignment w:val="auto"/>
              <w:rPr>
                <w:rFonts w:ascii="华文细黑" w:hAnsi="华文细黑" w:eastAsia="华文细黑" w:cs="宋体;SimSun"/>
                <w:color w:val="000000"/>
                <w:sz w:val="18"/>
                <w:szCs w:val="18"/>
              </w:rPr>
            </w:pPr>
            <w:r>
              <w:rPr>
                <w:rFonts w:ascii="华文细黑" w:hAnsi="华文细黑" w:eastAsia="华文细黑" w:cs="宋体;SimSun"/>
                <w:color w:val="000000"/>
                <w:sz w:val="18"/>
                <w:szCs w:val="18"/>
              </w:rPr>
              <w:t>6</w:t>
            </w:r>
          </w:p>
        </w:tc>
        <w:tc>
          <w:tcPr>
            <w:tcW w:w="1741" w:type="dxa"/>
            <w:tcBorders>
              <w:top w:val="single" w:color="000000" w:sz="4" w:space="0"/>
              <w:left w:val="single" w:color="000000" w:sz="4" w:space="0"/>
              <w:bottom w:val="single" w:color="000000" w:sz="4" w:space="0"/>
            </w:tcBorders>
            <w:vAlign w:val="center"/>
          </w:tcPr>
          <w:p w14:paraId="42137CFB">
            <w:pPr>
              <w:widowControl/>
              <w:spacing w:line="240" w:lineRule="auto"/>
              <w:jc w:val="center"/>
              <w:textAlignment w:val="auto"/>
              <w:rPr>
                <w:rFonts w:ascii="华文细黑" w:hAnsi="华文细黑" w:eastAsia="华文细黑" w:cs="宋体;SimSun"/>
                <w:color w:val="000000"/>
                <w:sz w:val="18"/>
                <w:szCs w:val="18"/>
              </w:rPr>
            </w:pPr>
            <w:r>
              <w:rPr>
                <w:rFonts w:ascii="华文细黑" w:hAnsi="华文细黑" w:eastAsia="华文细黑" w:cs="宋体;SimSun"/>
                <w:color w:val="000000"/>
                <w:sz w:val="18"/>
                <w:szCs w:val="18"/>
              </w:rPr>
              <w:t>次渠嘉园</w:t>
            </w:r>
          </w:p>
        </w:tc>
        <w:tc>
          <w:tcPr>
            <w:tcW w:w="1082" w:type="dxa"/>
            <w:tcBorders>
              <w:top w:val="single" w:color="000000" w:sz="4" w:space="0"/>
              <w:left w:val="single" w:color="000000" w:sz="4" w:space="0"/>
              <w:bottom w:val="single" w:color="000000" w:sz="4" w:space="0"/>
            </w:tcBorders>
            <w:vAlign w:val="center"/>
          </w:tcPr>
          <w:p w14:paraId="539D618E">
            <w:pPr>
              <w:widowControl/>
              <w:spacing w:line="240" w:lineRule="auto"/>
              <w:jc w:val="center"/>
              <w:textAlignment w:val="auto"/>
              <w:rPr>
                <w:rFonts w:ascii="华文细黑" w:hAnsi="华文细黑" w:eastAsia="华文细黑" w:cs="宋体;SimSun"/>
                <w:color w:val="000000"/>
                <w:sz w:val="18"/>
                <w:szCs w:val="18"/>
              </w:rPr>
            </w:pPr>
            <w:r>
              <w:rPr>
                <w:rFonts w:ascii="华文细黑" w:hAnsi="华文细黑" w:eastAsia="华文细黑" w:cs="宋体;SimSun"/>
                <w:color w:val="000000"/>
                <w:sz w:val="18"/>
                <w:szCs w:val="18"/>
              </w:rPr>
              <w:t>二居</w:t>
            </w:r>
          </w:p>
        </w:tc>
        <w:tc>
          <w:tcPr>
            <w:tcW w:w="1095" w:type="dxa"/>
            <w:tcBorders>
              <w:top w:val="single" w:color="000000" w:sz="4" w:space="0"/>
              <w:left w:val="single" w:color="000000" w:sz="4" w:space="0"/>
              <w:bottom w:val="single" w:color="000000" w:sz="4" w:space="0"/>
            </w:tcBorders>
            <w:vAlign w:val="center"/>
          </w:tcPr>
          <w:p w14:paraId="26862616">
            <w:pPr>
              <w:widowControl/>
              <w:spacing w:line="240" w:lineRule="auto"/>
              <w:jc w:val="center"/>
              <w:textAlignment w:val="auto"/>
              <w:rPr>
                <w:rFonts w:ascii="华文细黑" w:hAnsi="华文细黑" w:eastAsia="华文细黑" w:cs="宋体;SimSun"/>
                <w:color w:val="000000"/>
                <w:sz w:val="18"/>
                <w:szCs w:val="18"/>
              </w:rPr>
            </w:pPr>
            <w:r>
              <w:rPr>
                <w:rFonts w:ascii="华文细黑" w:hAnsi="华文细黑" w:eastAsia="华文细黑" w:cs="宋体;SimSun"/>
                <w:color w:val="000000"/>
                <w:sz w:val="18"/>
                <w:szCs w:val="18"/>
              </w:rPr>
              <w:t>约70</w:t>
            </w:r>
          </w:p>
        </w:tc>
        <w:tc>
          <w:tcPr>
            <w:tcW w:w="1753" w:type="dxa"/>
            <w:tcBorders>
              <w:top w:val="single" w:color="000000" w:sz="4" w:space="0"/>
              <w:left w:val="single" w:color="000000" w:sz="4" w:space="0"/>
              <w:bottom w:val="single" w:color="000000" w:sz="4" w:space="0"/>
            </w:tcBorders>
            <w:vAlign w:val="center"/>
          </w:tcPr>
          <w:p w14:paraId="4E768AB1">
            <w:pPr>
              <w:widowControl/>
              <w:spacing w:line="240" w:lineRule="auto"/>
              <w:jc w:val="center"/>
              <w:textAlignment w:val="auto"/>
              <w:rPr>
                <w:rFonts w:ascii="华文细黑" w:hAnsi="华文细黑" w:eastAsia="华文细黑" w:cs="宋体;SimSun"/>
                <w:color w:val="000000"/>
                <w:sz w:val="18"/>
                <w:szCs w:val="18"/>
              </w:rPr>
            </w:pPr>
            <w:r>
              <w:rPr>
                <w:rFonts w:ascii="华文细黑" w:hAnsi="华文细黑" w:eastAsia="华文细黑" w:cs="宋体;SimSun"/>
                <w:color w:val="000000"/>
                <w:sz w:val="18"/>
                <w:szCs w:val="18"/>
              </w:rPr>
              <w:t>70</w:t>
            </w:r>
          </w:p>
        </w:tc>
        <w:tc>
          <w:tcPr>
            <w:tcW w:w="1583" w:type="dxa"/>
            <w:tcBorders>
              <w:top w:val="single" w:color="000000" w:sz="4" w:space="0"/>
              <w:left w:val="single" w:color="000000" w:sz="4" w:space="0"/>
              <w:bottom w:val="single" w:color="000000" w:sz="4" w:space="0"/>
            </w:tcBorders>
            <w:vAlign w:val="center"/>
          </w:tcPr>
          <w:p w14:paraId="5EACDBB7">
            <w:pPr>
              <w:widowControl/>
              <w:spacing w:line="240" w:lineRule="auto"/>
              <w:jc w:val="center"/>
              <w:textAlignment w:val="auto"/>
              <w:rPr>
                <w:rFonts w:ascii="华文细黑" w:hAnsi="华文细黑" w:eastAsia="华文细黑" w:cs="宋体;SimSun"/>
                <w:color w:val="000000"/>
                <w:sz w:val="18"/>
                <w:szCs w:val="18"/>
              </w:rPr>
            </w:pPr>
            <w:r>
              <w:rPr>
                <w:rFonts w:ascii="华文细黑" w:hAnsi="华文细黑" w:eastAsia="华文细黑" w:cs="宋体;SimSun"/>
                <w:color w:val="000000"/>
                <w:sz w:val="18"/>
                <w:szCs w:val="18"/>
              </w:rPr>
              <w:t>1</w:t>
            </w:r>
          </w:p>
        </w:tc>
        <w:tc>
          <w:tcPr>
            <w:tcW w:w="1568" w:type="dxa"/>
            <w:tcBorders>
              <w:top w:val="single" w:color="000000" w:sz="4" w:space="0"/>
              <w:left w:val="single" w:color="000000" w:sz="4" w:space="0"/>
              <w:bottom w:val="single" w:color="000000" w:sz="4" w:space="0"/>
              <w:right w:val="single" w:color="000000" w:sz="4" w:space="0"/>
            </w:tcBorders>
          </w:tcPr>
          <w:p w14:paraId="269E8329">
            <w:pPr>
              <w:widowControl/>
              <w:spacing w:line="240" w:lineRule="auto"/>
              <w:jc w:val="center"/>
              <w:textAlignment w:val="auto"/>
              <w:rPr>
                <w:rFonts w:ascii="华文细黑" w:hAnsi="华文细黑" w:eastAsia="华文细黑" w:cs="宋体;SimSun"/>
                <w:color w:val="000000"/>
                <w:sz w:val="18"/>
                <w:szCs w:val="18"/>
              </w:rPr>
            </w:pPr>
            <w:r>
              <w:rPr>
                <w:rFonts w:ascii="华文细黑" w:hAnsi="华文细黑" w:eastAsia="华文细黑" w:cs="宋体;SimSun"/>
                <w:color w:val="000000"/>
                <w:sz w:val="18"/>
                <w:szCs w:val="18"/>
              </w:rPr>
              <w:t>2.5</w:t>
            </w:r>
          </w:p>
        </w:tc>
      </w:tr>
    </w:tbl>
    <w:p w14:paraId="32E42249">
      <w:pPr>
        <w:pStyle w:val="270"/>
        <w:autoSpaceDE w:val="0"/>
        <w:spacing w:before="240" w:line="480" w:lineRule="auto"/>
        <w:ind w:firstLine="420"/>
        <w:jc w:val="both"/>
        <w:textAlignment w:val="bottom"/>
        <w:rPr>
          <w:rFonts w:cs="Arial"/>
        </w:rPr>
      </w:pPr>
      <w:r>
        <w:rPr>
          <w:rFonts w:ascii="Arial" w:hAnsi="Arial" w:cs="Arial"/>
          <w:color w:val="000000"/>
          <w:sz w:val="21"/>
          <w:szCs w:val="21"/>
        </w:rPr>
        <w:t>估价对象周边小区较多，本次采用距离优先原则，综合区位、小区规模、户型结构等因素筛选住房小区作为本次估价对象租金的可比实例，最终选取了</w:t>
      </w:r>
      <w:r>
        <w:rPr>
          <w:rFonts w:hint="eastAsia" w:ascii="Arial" w:hAnsi="Arial" w:cs="Arial"/>
          <w:color w:val="000000"/>
          <w:sz w:val="21"/>
          <w:szCs w:val="21"/>
        </w:rPr>
        <w:t>招商臻珑府</w:t>
      </w:r>
      <w:r>
        <w:rPr>
          <w:rFonts w:ascii="Arial" w:hAnsi="Arial" w:cs="Arial"/>
          <w:color w:val="000000"/>
          <w:sz w:val="21"/>
          <w:szCs w:val="21"/>
        </w:rPr>
        <w:t>、北京经开·汀塘、通泰国际公馆3个普通商品房住宅小区为样本小区，具体如下：</w:t>
      </w:r>
    </w:p>
    <w:tbl>
      <w:tblPr>
        <w:tblStyle w:val="33"/>
        <w:tblW w:w="9525" w:type="dxa"/>
        <w:tblInd w:w="-113" w:type="dxa"/>
        <w:tblLayout w:type="autofit"/>
        <w:tblCellMar>
          <w:top w:w="0" w:type="dxa"/>
          <w:left w:w="108" w:type="dxa"/>
          <w:bottom w:w="0" w:type="dxa"/>
          <w:right w:w="108" w:type="dxa"/>
        </w:tblCellMar>
      </w:tblPr>
      <w:tblGrid>
        <w:gridCol w:w="1101"/>
        <w:gridCol w:w="2693"/>
        <w:gridCol w:w="2268"/>
        <w:gridCol w:w="3463"/>
      </w:tblGrid>
      <w:tr w14:paraId="3E000169">
        <w:tblPrEx>
          <w:tblCellMar>
            <w:top w:w="0" w:type="dxa"/>
            <w:left w:w="108" w:type="dxa"/>
            <w:bottom w:w="0" w:type="dxa"/>
            <w:right w:w="108" w:type="dxa"/>
          </w:tblCellMar>
        </w:tblPrEx>
        <w:trPr>
          <w:trHeight w:val="283" w:hRule="atLeast"/>
        </w:trPr>
        <w:tc>
          <w:tcPr>
            <w:tcW w:w="1101" w:type="dxa"/>
            <w:tcBorders>
              <w:top w:val="single" w:color="000000" w:sz="4" w:space="0"/>
              <w:left w:val="single" w:color="000000" w:sz="4" w:space="0"/>
              <w:bottom w:val="single" w:color="000000" w:sz="4" w:space="0"/>
            </w:tcBorders>
          </w:tcPr>
          <w:p w14:paraId="2E6EA9DD">
            <w:pPr>
              <w:pStyle w:val="268"/>
              <w:jc w:val="center"/>
              <w:rPr>
                <w:rFonts w:ascii="华文细黑" w:hAnsi="华文细黑" w:eastAsia="华文细黑" w:cs="华文细黑"/>
                <w:b/>
                <w:sz w:val="18"/>
                <w:szCs w:val="18"/>
              </w:rPr>
            </w:pPr>
            <w:r>
              <w:rPr>
                <w:rFonts w:ascii="华文细黑" w:hAnsi="华文细黑" w:eastAsia="华文细黑" w:cs="华文细黑"/>
                <w:b/>
                <w:sz w:val="18"/>
                <w:szCs w:val="18"/>
              </w:rPr>
              <w:t>序号</w:t>
            </w:r>
          </w:p>
        </w:tc>
        <w:tc>
          <w:tcPr>
            <w:tcW w:w="2693" w:type="dxa"/>
            <w:tcBorders>
              <w:top w:val="single" w:color="000000" w:sz="4" w:space="0"/>
              <w:left w:val="single" w:color="000000" w:sz="4" w:space="0"/>
              <w:bottom w:val="single" w:color="000000" w:sz="4" w:space="0"/>
            </w:tcBorders>
          </w:tcPr>
          <w:p w14:paraId="795EC492">
            <w:pPr>
              <w:pStyle w:val="268"/>
              <w:jc w:val="center"/>
              <w:rPr>
                <w:rFonts w:ascii="华文细黑" w:hAnsi="华文细黑" w:eastAsia="华文细黑" w:cs="华文细黑"/>
                <w:b/>
                <w:sz w:val="18"/>
                <w:szCs w:val="18"/>
              </w:rPr>
            </w:pPr>
            <w:r>
              <w:rPr>
                <w:rFonts w:ascii="华文细黑" w:hAnsi="华文细黑" w:eastAsia="华文细黑" w:cs="华文细黑"/>
                <w:b/>
                <w:sz w:val="18"/>
                <w:szCs w:val="18"/>
              </w:rPr>
              <w:t>小区名称</w:t>
            </w:r>
          </w:p>
        </w:tc>
        <w:tc>
          <w:tcPr>
            <w:tcW w:w="2268" w:type="dxa"/>
            <w:tcBorders>
              <w:top w:val="single" w:color="000000" w:sz="4" w:space="0"/>
              <w:left w:val="single" w:color="000000" w:sz="4" w:space="0"/>
              <w:bottom w:val="single" w:color="000000" w:sz="4" w:space="0"/>
            </w:tcBorders>
          </w:tcPr>
          <w:p w14:paraId="08E0A885">
            <w:pPr>
              <w:pStyle w:val="268"/>
              <w:jc w:val="center"/>
              <w:rPr>
                <w:rFonts w:ascii="华文细黑" w:hAnsi="华文细黑" w:eastAsia="华文细黑" w:cs="华文细黑"/>
                <w:b/>
                <w:sz w:val="18"/>
                <w:szCs w:val="18"/>
              </w:rPr>
            </w:pPr>
            <w:r>
              <w:rPr>
                <w:rFonts w:ascii="华文细黑" w:hAnsi="华文细黑" w:eastAsia="华文细黑" w:cs="华文细黑"/>
                <w:b/>
                <w:sz w:val="18"/>
                <w:szCs w:val="18"/>
              </w:rPr>
              <w:t>建成年代（年）</w:t>
            </w:r>
          </w:p>
        </w:tc>
        <w:tc>
          <w:tcPr>
            <w:tcW w:w="3463" w:type="dxa"/>
            <w:tcBorders>
              <w:top w:val="single" w:color="000000" w:sz="4" w:space="0"/>
              <w:left w:val="single" w:color="000000" w:sz="4" w:space="0"/>
              <w:bottom w:val="single" w:color="000000" w:sz="4" w:space="0"/>
              <w:right w:val="single" w:color="000000" w:sz="4" w:space="0"/>
            </w:tcBorders>
          </w:tcPr>
          <w:p w14:paraId="740DA7A8">
            <w:pPr>
              <w:pStyle w:val="268"/>
              <w:jc w:val="center"/>
              <w:rPr>
                <w:rFonts w:ascii="华文细黑" w:hAnsi="华文细黑" w:eastAsia="华文细黑" w:cs="华文细黑"/>
                <w:b/>
                <w:sz w:val="18"/>
                <w:szCs w:val="18"/>
              </w:rPr>
            </w:pPr>
            <w:r>
              <w:rPr>
                <w:rFonts w:ascii="华文细黑" w:hAnsi="华文细黑" w:eastAsia="华文细黑" w:cs="华文细黑"/>
                <w:b/>
                <w:sz w:val="18"/>
                <w:szCs w:val="18"/>
              </w:rPr>
              <w:t>与估价对象直线距离</w:t>
            </w:r>
          </w:p>
        </w:tc>
      </w:tr>
      <w:tr w14:paraId="469284FB">
        <w:tblPrEx>
          <w:tblCellMar>
            <w:top w:w="0" w:type="dxa"/>
            <w:left w:w="108" w:type="dxa"/>
            <w:bottom w:w="0" w:type="dxa"/>
            <w:right w:w="108" w:type="dxa"/>
          </w:tblCellMar>
        </w:tblPrEx>
        <w:trPr>
          <w:trHeight w:val="283" w:hRule="atLeast"/>
        </w:trPr>
        <w:tc>
          <w:tcPr>
            <w:tcW w:w="1101" w:type="dxa"/>
            <w:tcBorders>
              <w:top w:val="single" w:color="000000" w:sz="4" w:space="0"/>
              <w:left w:val="single" w:color="000000" w:sz="4" w:space="0"/>
              <w:bottom w:val="single" w:color="000000" w:sz="4" w:space="0"/>
            </w:tcBorders>
          </w:tcPr>
          <w:p w14:paraId="31EE6F32">
            <w:pPr>
              <w:pStyle w:val="268"/>
              <w:jc w:val="center"/>
              <w:rPr>
                <w:rFonts w:ascii="华文细黑" w:hAnsi="华文细黑" w:eastAsia="华文细黑" w:cs="华文细黑"/>
                <w:sz w:val="18"/>
                <w:szCs w:val="18"/>
              </w:rPr>
            </w:pPr>
            <w:r>
              <w:rPr>
                <w:rFonts w:ascii="华文细黑" w:hAnsi="华文细黑" w:eastAsia="华文细黑" w:cs="华文细黑"/>
                <w:sz w:val="18"/>
                <w:szCs w:val="18"/>
              </w:rPr>
              <w:t>1</w:t>
            </w:r>
          </w:p>
        </w:tc>
        <w:tc>
          <w:tcPr>
            <w:tcW w:w="2693" w:type="dxa"/>
            <w:tcBorders>
              <w:top w:val="single" w:color="000000" w:sz="4" w:space="0"/>
              <w:left w:val="single" w:color="000000" w:sz="4" w:space="0"/>
              <w:bottom w:val="single" w:color="000000" w:sz="4" w:space="0"/>
            </w:tcBorders>
            <w:vAlign w:val="center"/>
          </w:tcPr>
          <w:p w14:paraId="6B3DF29C">
            <w:pPr>
              <w:widowControl/>
              <w:spacing w:line="240" w:lineRule="auto"/>
              <w:jc w:val="center"/>
              <w:textAlignment w:val="auto"/>
              <w:rPr>
                <w:rFonts w:ascii="华文细黑" w:hAnsi="华文细黑" w:eastAsia="华文细黑" w:cs="宋体;SimSun"/>
                <w:color w:val="000000"/>
                <w:sz w:val="18"/>
                <w:szCs w:val="18"/>
              </w:rPr>
            </w:pPr>
            <w:r>
              <w:rPr>
                <w:rFonts w:hint="eastAsia" w:ascii="华文细黑" w:hAnsi="华文细黑" w:eastAsia="华文细黑" w:cs="宋体;SimSun"/>
                <w:color w:val="000000"/>
                <w:sz w:val="18"/>
                <w:szCs w:val="18"/>
              </w:rPr>
              <w:t>招商臻珑府</w:t>
            </w:r>
          </w:p>
        </w:tc>
        <w:tc>
          <w:tcPr>
            <w:tcW w:w="2268" w:type="dxa"/>
            <w:tcBorders>
              <w:top w:val="single" w:color="000000" w:sz="4" w:space="0"/>
              <w:left w:val="single" w:color="000000" w:sz="4" w:space="0"/>
              <w:bottom w:val="single" w:color="000000" w:sz="4" w:space="0"/>
            </w:tcBorders>
          </w:tcPr>
          <w:p w14:paraId="184046ED">
            <w:pPr>
              <w:pStyle w:val="268"/>
              <w:jc w:val="center"/>
              <w:rPr>
                <w:rFonts w:ascii="华文细黑" w:hAnsi="华文细黑" w:eastAsia="华文细黑" w:cs="华文细黑"/>
                <w:sz w:val="18"/>
                <w:szCs w:val="18"/>
              </w:rPr>
            </w:pPr>
            <w:r>
              <w:rPr>
                <w:rFonts w:hint="eastAsia" w:ascii="华文细黑" w:hAnsi="华文细黑" w:eastAsia="华文细黑" w:cs="华文细黑"/>
                <w:sz w:val="18"/>
                <w:szCs w:val="18"/>
              </w:rPr>
              <w:t>2021</w:t>
            </w:r>
          </w:p>
        </w:tc>
        <w:tc>
          <w:tcPr>
            <w:tcW w:w="3463" w:type="dxa"/>
            <w:tcBorders>
              <w:top w:val="single" w:color="000000" w:sz="4" w:space="0"/>
              <w:left w:val="single" w:color="000000" w:sz="4" w:space="0"/>
              <w:bottom w:val="single" w:color="000000" w:sz="4" w:space="0"/>
              <w:right w:val="single" w:color="000000" w:sz="4" w:space="0"/>
            </w:tcBorders>
          </w:tcPr>
          <w:p w14:paraId="41B2B36E">
            <w:pPr>
              <w:pStyle w:val="268"/>
              <w:jc w:val="center"/>
            </w:pPr>
            <w:r>
              <w:rPr>
                <w:rFonts w:ascii="华文细黑" w:hAnsi="华文细黑" w:eastAsia="华文细黑" w:cs="华文细黑"/>
                <w:sz w:val="18"/>
                <w:szCs w:val="18"/>
              </w:rPr>
              <w:t>约</w:t>
            </w:r>
            <w:r>
              <w:rPr>
                <w:rFonts w:hint="eastAsia" w:ascii="华文细黑" w:hAnsi="华文细黑" w:eastAsia="华文细黑" w:cs="华文细黑"/>
                <w:sz w:val="18"/>
                <w:szCs w:val="18"/>
              </w:rPr>
              <w:t>700</w:t>
            </w:r>
            <w:r>
              <w:rPr>
                <w:rFonts w:ascii="华文细黑" w:hAnsi="华文细黑" w:eastAsia="华文细黑" w:cs="华文细黑"/>
                <w:sz w:val="18"/>
                <w:szCs w:val="18"/>
              </w:rPr>
              <w:t>米</w:t>
            </w:r>
          </w:p>
        </w:tc>
      </w:tr>
      <w:tr w14:paraId="5C83A22D">
        <w:tblPrEx>
          <w:tblCellMar>
            <w:top w:w="0" w:type="dxa"/>
            <w:left w:w="108" w:type="dxa"/>
            <w:bottom w:w="0" w:type="dxa"/>
            <w:right w:w="108" w:type="dxa"/>
          </w:tblCellMar>
        </w:tblPrEx>
        <w:trPr>
          <w:trHeight w:val="283" w:hRule="atLeast"/>
        </w:trPr>
        <w:tc>
          <w:tcPr>
            <w:tcW w:w="1101" w:type="dxa"/>
            <w:tcBorders>
              <w:top w:val="single" w:color="000000" w:sz="4" w:space="0"/>
              <w:left w:val="single" w:color="000000" w:sz="4" w:space="0"/>
              <w:bottom w:val="single" w:color="000000" w:sz="4" w:space="0"/>
            </w:tcBorders>
          </w:tcPr>
          <w:p w14:paraId="4C918A53">
            <w:pPr>
              <w:pStyle w:val="268"/>
              <w:jc w:val="center"/>
              <w:rPr>
                <w:rFonts w:ascii="华文细黑" w:hAnsi="华文细黑" w:eastAsia="华文细黑" w:cs="华文细黑"/>
                <w:sz w:val="18"/>
                <w:szCs w:val="18"/>
              </w:rPr>
            </w:pPr>
            <w:r>
              <w:rPr>
                <w:rFonts w:ascii="华文细黑" w:hAnsi="华文细黑" w:eastAsia="华文细黑" w:cs="华文细黑"/>
                <w:sz w:val="18"/>
                <w:szCs w:val="18"/>
              </w:rPr>
              <w:t>2</w:t>
            </w:r>
          </w:p>
        </w:tc>
        <w:tc>
          <w:tcPr>
            <w:tcW w:w="2693" w:type="dxa"/>
            <w:tcBorders>
              <w:top w:val="single" w:color="000000" w:sz="4" w:space="0"/>
              <w:left w:val="single" w:color="000000" w:sz="4" w:space="0"/>
              <w:bottom w:val="single" w:color="000000" w:sz="4" w:space="0"/>
            </w:tcBorders>
            <w:vAlign w:val="center"/>
          </w:tcPr>
          <w:p w14:paraId="1078922B">
            <w:pPr>
              <w:widowControl/>
              <w:spacing w:line="240" w:lineRule="auto"/>
              <w:jc w:val="center"/>
              <w:textAlignment w:val="auto"/>
              <w:rPr>
                <w:rFonts w:ascii="华文细黑" w:hAnsi="华文细黑" w:eastAsia="华文细黑" w:cs="宋体;SimSun"/>
                <w:color w:val="000000"/>
                <w:sz w:val="18"/>
                <w:szCs w:val="18"/>
              </w:rPr>
            </w:pPr>
            <w:r>
              <w:rPr>
                <w:rFonts w:ascii="华文细黑" w:hAnsi="华文细黑" w:eastAsia="华文细黑" w:cs="宋体;SimSun"/>
                <w:color w:val="000000"/>
                <w:sz w:val="18"/>
                <w:szCs w:val="18"/>
              </w:rPr>
              <w:t>北京经开·汀塘</w:t>
            </w:r>
          </w:p>
        </w:tc>
        <w:tc>
          <w:tcPr>
            <w:tcW w:w="2268" w:type="dxa"/>
            <w:tcBorders>
              <w:top w:val="single" w:color="000000" w:sz="4" w:space="0"/>
              <w:left w:val="single" w:color="000000" w:sz="4" w:space="0"/>
              <w:bottom w:val="single" w:color="000000" w:sz="4" w:space="0"/>
            </w:tcBorders>
          </w:tcPr>
          <w:p w14:paraId="63737CE2">
            <w:pPr>
              <w:pStyle w:val="268"/>
              <w:jc w:val="center"/>
              <w:rPr>
                <w:rFonts w:ascii="华文细黑" w:hAnsi="华文细黑" w:eastAsia="华文细黑" w:cs="华文细黑"/>
                <w:sz w:val="18"/>
                <w:szCs w:val="18"/>
              </w:rPr>
            </w:pPr>
            <w:r>
              <w:rPr>
                <w:rFonts w:ascii="华文细黑" w:hAnsi="华文细黑" w:eastAsia="华文细黑" w:cs="华文细黑"/>
                <w:sz w:val="18"/>
                <w:szCs w:val="18"/>
              </w:rPr>
              <w:t>2019</w:t>
            </w:r>
          </w:p>
        </w:tc>
        <w:tc>
          <w:tcPr>
            <w:tcW w:w="3463" w:type="dxa"/>
            <w:tcBorders>
              <w:top w:val="single" w:color="000000" w:sz="4" w:space="0"/>
              <w:left w:val="single" w:color="000000" w:sz="4" w:space="0"/>
              <w:bottom w:val="single" w:color="000000" w:sz="4" w:space="0"/>
              <w:right w:val="single" w:color="000000" w:sz="4" w:space="0"/>
            </w:tcBorders>
          </w:tcPr>
          <w:p w14:paraId="73483361">
            <w:pPr>
              <w:pStyle w:val="268"/>
              <w:jc w:val="center"/>
            </w:pPr>
            <w:r>
              <w:rPr>
                <w:rFonts w:ascii="华文细黑" w:hAnsi="华文细黑" w:eastAsia="华文细黑" w:cs="华文细黑"/>
                <w:sz w:val="18"/>
                <w:szCs w:val="18"/>
              </w:rPr>
              <w:t>约700米</w:t>
            </w:r>
          </w:p>
        </w:tc>
      </w:tr>
      <w:tr w14:paraId="3E8ADF07">
        <w:tblPrEx>
          <w:tblCellMar>
            <w:top w:w="0" w:type="dxa"/>
            <w:left w:w="108" w:type="dxa"/>
            <w:bottom w:w="0" w:type="dxa"/>
            <w:right w:w="108" w:type="dxa"/>
          </w:tblCellMar>
        </w:tblPrEx>
        <w:trPr>
          <w:trHeight w:val="283" w:hRule="atLeast"/>
        </w:trPr>
        <w:tc>
          <w:tcPr>
            <w:tcW w:w="1101" w:type="dxa"/>
            <w:tcBorders>
              <w:top w:val="single" w:color="000000" w:sz="4" w:space="0"/>
              <w:left w:val="single" w:color="000000" w:sz="4" w:space="0"/>
              <w:bottom w:val="single" w:color="000000" w:sz="4" w:space="0"/>
            </w:tcBorders>
          </w:tcPr>
          <w:p w14:paraId="2C3674A3">
            <w:pPr>
              <w:pStyle w:val="268"/>
              <w:jc w:val="center"/>
              <w:rPr>
                <w:rFonts w:ascii="华文细黑" w:hAnsi="华文细黑" w:eastAsia="华文细黑" w:cs="华文细黑"/>
                <w:sz w:val="18"/>
                <w:szCs w:val="18"/>
              </w:rPr>
            </w:pPr>
            <w:r>
              <w:rPr>
                <w:rFonts w:ascii="华文细黑" w:hAnsi="华文细黑" w:eastAsia="华文细黑" w:cs="华文细黑"/>
                <w:sz w:val="18"/>
                <w:szCs w:val="18"/>
              </w:rPr>
              <w:t>3</w:t>
            </w:r>
          </w:p>
        </w:tc>
        <w:tc>
          <w:tcPr>
            <w:tcW w:w="2693" w:type="dxa"/>
            <w:tcBorders>
              <w:top w:val="single" w:color="000000" w:sz="4" w:space="0"/>
              <w:left w:val="single" w:color="000000" w:sz="4" w:space="0"/>
              <w:bottom w:val="single" w:color="000000" w:sz="4" w:space="0"/>
            </w:tcBorders>
            <w:vAlign w:val="center"/>
          </w:tcPr>
          <w:p w14:paraId="2AB112F0">
            <w:pPr>
              <w:widowControl/>
              <w:spacing w:line="240" w:lineRule="auto"/>
              <w:jc w:val="center"/>
              <w:textAlignment w:val="auto"/>
              <w:rPr>
                <w:rFonts w:ascii="华文细黑" w:hAnsi="华文细黑" w:eastAsia="华文细黑" w:cs="宋体;SimSun"/>
                <w:color w:val="000000"/>
                <w:sz w:val="18"/>
                <w:szCs w:val="18"/>
              </w:rPr>
            </w:pPr>
            <w:r>
              <w:rPr>
                <w:rFonts w:ascii="华文细黑" w:hAnsi="华文细黑" w:eastAsia="华文细黑" w:cs="宋体;SimSun"/>
                <w:color w:val="000000"/>
                <w:sz w:val="18"/>
                <w:szCs w:val="18"/>
              </w:rPr>
              <w:t>通泰国际公馆</w:t>
            </w:r>
          </w:p>
        </w:tc>
        <w:tc>
          <w:tcPr>
            <w:tcW w:w="2268" w:type="dxa"/>
            <w:tcBorders>
              <w:top w:val="single" w:color="000000" w:sz="4" w:space="0"/>
              <w:left w:val="single" w:color="000000" w:sz="4" w:space="0"/>
              <w:bottom w:val="single" w:color="000000" w:sz="4" w:space="0"/>
            </w:tcBorders>
          </w:tcPr>
          <w:p w14:paraId="3D3AD917">
            <w:pPr>
              <w:pStyle w:val="268"/>
              <w:jc w:val="center"/>
              <w:rPr>
                <w:rFonts w:ascii="华文细黑" w:hAnsi="华文细黑" w:eastAsia="华文细黑" w:cs="华文细黑"/>
                <w:sz w:val="18"/>
                <w:szCs w:val="18"/>
              </w:rPr>
            </w:pPr>
            <w:r>
              <w:rPr>
                <w:rFonts w:ascii="华文细黑" w:hAnsi="华文细黑" w:eastAsia="华文细黑" w:cs="华文细黑"/>
                <w:sz w:val="18"/>
                <w:szCs w:val="18"/>
              </w:rPr>
              <w:t>2018</w:t>
            </w:r>
          </w:p>
        </w:tc>
        <w:tc>
          <w:tcPr>
            <w:tcW w:w="3463" w:type="dxa"/>
            <w:tcBorders>
              <w:top w:val="single" w:color="000000" w:sz="4" w:space="0"/>
              <w:left w:val="single" w:color="000000" w:sz="4" w:space="0"/>
              <w:bottom w:val="single" w:color="000000" w:sz="4" w:space="0"/>
              <w:right w:val="single" w:color="000000" w:sz="4" w:space="0"/>
            </w:tcBorders>
          </w:tcPr>
          <w:p w14:paraId="25B460E1">
            <w:pPr>
              <w:pStyle w:val="268"/>
              <w:jc w:val="center"/>
            </w:pPr>
            <w:r>
              <w:rPr>
                <w:rFonts w:ascii="华文细黑" w:hAnsi="华文细黑" w:eastAsia="华文细黑" w:cs="华文细黑"/>
                <w:sz w:val="18"/>
                <w:szCs w:val="18"/>
              </w:rPr>
              <w:t>约1400米</w:t>
            </w:r>
          </w:p>
        </w:tc>
      </w:tr>
    </w:tbl>
    <w:p w14:paraId="75A71D0A">
      <w:pPr>
        <w:pStyle w:val="270"/>
        <w:overflowPunct w:val="0"/>
        <w:autoSpaceDE w:val="0"/>
        <w:spacing w:before="240" w:line="480" w:lineRule="auto"/>
        <w:ind w:right="142" w:firstLine="420"/>
        <w:jc w:val="both"/>
        <w:textAlignment w:val="auto"/>
        <w:rPr>
          <w:rFonts w:ascii="Arial" w:hAnsi="Arial" w:cs="Arial"/>
          <w:color w:val="000000"/>
          <w:sz w:val="21"/>
          <w:szCs w:val="21"/>
        </w:rPr>
      </w:pPr>
      <w:r>
        <w:rPr>
          <w:rFonts w:ascii="Arial" w:hAnsi="Arial" w:cs="Arial"/>
          <w:color w:val="000000"/>
          <w:sz w:val="21"/>
          <w:szCs w:val="21"/>
        </w:rPr>
        <w:t>样本小区一：</w:t>
      </w:r>
      <w:r>
        <w:rPr>
          <w:rFonts w:hint="eastAsia" w:ascii="Arial" w:hAnsi="Arial" w:cs="Arial"/>
          <w:color w:val="000000"/>
          <w:sz w:val="21"/>
          <w:szCs w:val="21"/>
        </w:rPr>
        <w:t>招商臻珑府</w:t>
      </w:r>
    </w:p>
    <w:p w14:paraId="1ABE2B4A">
      <w:pPr>
        <w:pStyle w:val="270"/>
        <w:overflowPunct w:val="0"/>
        <w:autoSpaceDE w:val="0"/>
        <w:spacing w:line="480" w:lineRule="auto"/>
        <w:ind w:right="140" w:firstLine="420"/>
        <w:textAlignment w:val="auto"/>
        <w:rPr>
          <w:rFonts w:ascii="Arial" w:hAnsi="Arial" w:cs="Arial"/>
          <w:color w:val="000000"/>
          <w:sz w:val="21"/>
          <w:szCs w:val="21"/>
        </w:rPr>
      </w:pPr>
      <w:r>
        <w:rPr>
          <w:rFonts w:hint="eastAsia" w:ascii="Arial" w:hAnsi="Arial" w:cs="Arial"/>
          <w:color w:val="000000"/>
          <w:sz w:val="21"/>
          <w:szCs w:val="21"/>
        </w:rPr>
        <w:t>招商臻珑府</w:t>
      </w:r>
      <w:r>
        <w:rPr>
          <w:rFonts w:ascii="Arial" w:hAnsi="Arial" w:cs="Arial"/>
          <w:color w:val="000000"/>
          <w:sz w:val="21"/>
          <w:szCs w:val="21"/>
        </w:rPr>
        <w:t>位于亦庄经济开发区科创十街与经海</w:t>
      </w:r>
      <w:r>
        <w:rPr>
          <w:rFonts w:hint="eastAsia" w:ascii="Arial" w:hAnsi="Arial" w:cs="Arial"/>
          <w:color w:val="000000"/>
          <w:sz w:val="21"/>
          <w:szCs w:val="21"/>
        </w:rPr>
        <w:t>七</w:t>
      </w:r>
      <w:r>
        <w:rPr>
          <w:rFonts w:ascii="Arial" w:hAnsi="Arial" w:cs="Arial"/>
          <w:color w:val="000000"/>
          <w:sz w:val="21"/>
          <w:szCs w:val="21"/>
        </w:rPr>
        <w:t>路交汇处，建成于202</w:t>
      </w:r>
      <w:r>
        <w:rPr>
          <w:rFonts w:hint="eastAsia" w:ascii="Arial" w:hAnsi="Arial" w:cs="Arial"/>
          <w:color w:val="000000"/>
          <w:sz w:val="21"/>
          <w:szCs w:val="21"/>
        </w:rPr>
        <w:t>1</w:t>
      </w:r>
      <w:r>
        <w:rPr>
          <w:rFonts w:ascii="Arial" w:hAnsi="Arial" w:cs="Arial"/>
          <w:color w:val="000000"/>
          <w:sz w:val="21"/>
          <w:szCs w:val="21"/>
        </w:rPr>
        <w:t>年，占地面积约为</w:t>
      </w:r>
      <w:r>
        <w:rPr>
          <w:rFonts w:hint="eastAsia" w:ascii="Arial" w:hAnsi="Arial" w:cs="Arial"/>
          <w:color w:val="000000"/>
          <w:sz w:val="21"/>
          <w:szCs w:val="21"/>
        </w:rPr>
        <w:t>54700</w:t>
      </w:r>
      <w:r>
        <w:rPr>
          <w:rFonts w:ascii="Arial" w:hAnsi="Arial" w:cs="Arial"/>
          <w:color w:val="000000"/>
          <w:sz w:val="21"/>
          <w:szCs w:val="21"/>
        </w:rPr>
        <w:t>平方米，建筑面积约为</w:t>
      </w:r>
      <w:r>
        <w:rPr>
          <w:rFonts w:hint="eastAsia" w:ascii="Arial" w:hAnsi="Arial" w:cs="Arial"/>
          <w:color w:val="000000"/>
          <w:sz w:val="21"/>
          <w:szCs w:val="21"/>
        </w:rPr>
        <w:t>235800</w:t>
      </w:r>
      <w:r>
        <w:rPr>
          <w:rFonts w:ascii="Arial" w:hAnsi="Arial" w:cs="Arial"/>
          <w:color w:val="000000"/>
          <w:sz w:val="21"/>
          <w:szCs w:val="21"/>
        </w:rPr>
        <w:t>平方米，楼栋总数为</w:t>
      </w:r>
      <w:r>
        <w:rPr>
          <w:rFonts w:hint="eastAsia" w:ascii="Arial" w:hAnsi="Arial" w:cs="Arial"/>
          <w:color w:val="000000"/>
          <w:sz w:val="21"/>
          <w:szCs w:val="21"/>
        </w:rPr>
        <w:t>18</w:t>
      </w:r>
      <w:r>
        <w:rPr>
          <w:rFonts w:ascii="Arial" w:hAnsi="Arial" w:cs="Arial"/>
          <w:color w:val="000000"/>
          <w:sz w:val="21"/>
          <w:szCs w:val="21"/>
        </w:rPr>
        <w:t>栋，建筑结构为钢混，共</w:t>
      </w:r>
      <w:r>
        <w:rPr>
          <w:rFonts w:hint="eastAsia" w:ascii="Arial" w:hAnsi="Arial" w:cs="Arial"/>
          <w:color w:val="000000"/>
          <w:sz w:val="21"/>
          <w:szCs w:val="21"/>
        </w:rPr>
        <w:t>1645</w:t>
      </w:r>
      <w:r>
        <w:rPr>
          <w:rFonts w:ascii="Arial" w:hAnsi="Arial" w:cs="Arial"/>
          <w:color w:val="000000"/>
          <w:sz w:val="21"/>
          <w:szCs w:val="21"/>
        </w:rPr>
        <w:t>户，建筑密度适中，环境状况较好，物业管理费为</w:t>
      </w:r>
      <w:r>
        <w:rPr>
          <w:rFonts w:hint="eastAsia" w:ascii="Arial" w:hAnsi="Arial" w:cs="Arial"/>
          <w:color w:val="000000"/>
          <w:sz w:val="21"/>
          <w:szCs w:val="21"/>
        </w:rPr>
        <w:t>3.98</w:t>
      </w:r>
      <w:r>
        <w:rPr>
          <w:rFonts w:ascii="Arial" w:hAnsi="Arial" w:cs="Arial"/>
          <w:color w:val="000000"/>
          <w:sz w:val="21"/>
          <w:szCs w:val="21"/>
        </w:rPr>
        <w:t>元/平方米·月，主力户型为三居室，距离估价对象约</w:t>
      </w:r>
      <w:r>
        <w:rPr>
          <w:rFonts w:hint="eastAsia" w:ascii="Arial" w:hAnsi="Arial" w:cs="Arial"/>
          <w:color w:val="000000"/>
          <w:sz w:val="21"/>
          <w:szCs w:val="21"/>
        </w:rPr>
        <w:t>700</w:t>
      </w:r>
      <w:r>
        <w:rPr>
          <w:rFonts w:ascii="Arial" w:hAnsi="Arial" w:cs="Arial"/>
          <w:color w:val="000000"/>
          <w:sz w:val="21"/>
          <w:szCs w:val="21"/>
        </w:rPr>
        <w:t>米。与估价对象位于同一供需圈，建筑结构、</w:t>
      </w:r>
      <w:r>
        <w:rPr>
          <w:rFonts w:cs="Arial"/>
          <w:color w:val="000000"/>
          <w:sz w:val="21"/>
          <w:szCs w:val="21"/>
        </w:rPr>
        <w:t>户型结构</w:t>
      </w:r>
      <w:r>
        <w:rPr>
          <w:rFonts w:ascii="Arial" w:hAnsi="Arial" w:cs="Arial"/>
          <w:color w:val="000000"/>
          <w:sz w:val="21"/>
          <w:szCs w:val="21"/>
        </w:rPr>
        <w:t>与估价对象类似。</w:t>
      </w:r>
    </w:p>
    <w:p w14:paraId="210F518F">
      <w:pPr>
        <w:pStyle w:val="270"/>
        <w:overflowPunct w:val="0"/>
        <w:autoSpaceDE w:val="0"/>
        <w:spacing w:line="480" w:lineRule="auto"/>
        <w:ind w:right="140" w:firstLine="420"/>
        <w:jc w:val="both"/>
        <w:textAlignment w:val="auto"/>
        <w:rPr>
          <w:rFonts w:ascii="Arial" w:hAnsi="Arial" w:cs="Arial"/>
          <w:color w:val="000000"/>
          <w:sz w:val="21"/>
          <w:szCs w:val="21"/>
        </w:rPr>
      </w:pPr>
      <w:r>
        <w:rPr>
          <w:rFonts w:ascii="Arial" w:hAnsi="Arial" w:cs="Arial"/>
          <w:color w:val="000000"/>
          <w:sz w:val="21"/>
          <w:szCs w:val="21"/>
        </w:rPr>
        <w:t>样本小区二：北京经开·汀塘</w:t>
      </w:r>
    </w:p>
    <w:p w14:paraId="7BCCD6A0">
      <w:pPr>
        <w:pStyle w:val="270"/>
        <w:overflowPunct w:val="0"/>
        <w:autoSpaceDE w:val="0"/>
        <w:spacing w:line="480" w:lineRule="auto"/>
        <w:ind w:right="140" w:firstLine="420"/>
        <w:jc w:val="both"/>
        <w:textAlignment w:val="auto"/>
        <w:rPr>
          <w:rFonts w:ascii="Arial" w:hAnsi="Arial" w:cs="Arial"/>
          <w:color w:val="000000"/>
          <w:sz w:val="21"/>
          <w:szCs w:val="21"/>
        </w:rPr>
      </w:pPr>
      <w:r>
        <w:rPr>
          <w:rFonts w:ascii="Arial" w:hAnsi="Arial" w:cs="Arial"/>
          <w:color w:val="000000"/>
          <w:sz w:val="21"/>
          <w:szCs w:val="21"/>
        </w:rPr>
        <w:t>北京经开·汀塘位于亦庄经济开发区科创十一街与经海九路交汇处，建成于2019年，占地面积约为30000平方米，建筑面积约为60000平方米，楼栋总数为7栋，建筑结构为钢混，共430户，建筑密度适中，环境状况较好，物业管理费为3.8/平方米·月，主力户型为</w:t>
      </w:r>
      <w:r>
        <w:rPr>
          <w:rFonts w:hint="eastAsia" w:ascii="Arial" w:hAnsi="Arial" w:cs="Arial"/>
          <w:color w:val="000000"/>
          <w:sz w:val="21"/>
          <w:szCs w:val="21"/>
        </w:rPr>
        <w:t>两居室</w:t>
      </w:r>
      <w:r>
        <w:rPr>
          <w:rFonts w:ascii="Arial" w:hAnsi="Arial" w:cs="Arial"/>
          <w:color w:val="000000"/>
          <w:sz w:val="21"/>
          <w:szCs w:val="21"/>
        </w:rPr>
        <w:t>，距离估价对象约700米。与估价对象位于同一供需圈，建筑结构、</w:t>
      </w:r>
      <w:r>
        <w:rPr>
          <w:rFonts w:cs="Arial"/>
          <w:color w:val="000000"/>
          <w:sz w:val="21"/>
          <w:szCs w:val="21"/>
        </w:rPr>
        <w:t>户型结构</w:t>
      </w:r>
      <w:r>
        <w:rPr>
          <w:rFonts w:ascii="Arial" w:hAnsi="Arial" w:cs="Arial"/>
          <w:color w:val="000000"/>
          <w:sz w:val="21"/>
          <w:szCs w:val="21"/>
        </w:rPr>
        <w:t>与估价对象类似。</w:t>
      </w:r>
    </w:p>
    <w:p w14:paraId="6CCBD722">
      <w:pPr>
        <w:pStyle w:val="270"/>
        <w:overflowPunct w:val="0"/>
        <w:autoSpaceDE w:val="0"/>
        <w:spacing w:line="480" w:lineRule="auto"/>
        <w:ind w:right="140" w:firstLine="420"/>
        <w:jc w:val="both"/>
        <w:textAlignment w:val="auto"/>
        <w:rPr>
          <w:rFonts w:ascii="Arial" w:hAnsi="Arial" w:cs="Arial"/>
          <w:color w:val="000000"/>
          <w:sz w:val="21"/>
          <w:szCs w:val="21"/>
        </w:rPr>
      </w:pPr>
      <w:r>
        <w:rPr>
          <w:rFonts w:ascii="Arial" w:hAnsi="Arial" w:cs="Arial"/>
          <w:color w:val="000000"/>
          <w:sz w:val="21"/>
          <w:szCs w:val="21"/>
        </w:rPr>
        <w:t>样本小区三：通泰国际公馆</w:t>
      </w:r>
    </w:p>
    <w:p w14:paraId="5CAA5732">
      <w:pPr>
        <w:pStyle w:val="270"/>
        <w:overflowPunct w:val="0"/>
        <w:autoSpaceDE w:val="0"/>
        <w:spacing w:line="480" w:lineRule="auto"/>
        <w:ind w:right="140" w:firstLine="420"/>
        <w:jc w:val="both"/>
        <w:textAlignment w:val="auto"/>
        <w:rPr>
          <w:rFonts w:ascii="Arial" w:hAnsi="Arial" w:cs="Arial"/>
          <w:color w:val="000000"/>
          <w:sz w:val="21"/>
          <w:szCs w:val="21"/>
        </w:rPr>
      </w:pPr>
      <w:r>
        <w:rPr>
          <w:rFonts w:ascii="Arial" w:hAnsi="Arial" w:cs="Arial"/>
          <w:color w:val="000000"/>
          <w:sz w:val="21"/>
          <w:szCs w:val="21"/>
        </w:rPr>
        <w:t>通泰国际公馆位于</w:t>
      </w:r>
      <w:r>
        <w:rPr>
          <w:rFonts w:ascii="Roboto" w:hAnsi="Roboto" w:cs="Roboto"/>
          <w:color w:val="1C1B1B"/>
          <w:sz w:val="21"/>
          <w:szCs w:val="21"/>
          <w:shd w:val="clear" w:color="auto" w:fill="FFFFFF"/>
        </w:rPr>
        <w:t>亦庄经济技术开发区科创十三街</w:t>
      </w:r>
      <w:r>
        <w:rPr>
          <w:rFonts w:ascii="Arial" w:hAnsi="Arial" w:cs="Arial"/>
          <w:color w:val="000000"/>
          <w:sz w:val="21"/>
          <w:szCs w:val="21"/>
        </w:rPr>
        <w:t>，建成于2018年，占地面积约为75000平方米，建筑面积约226000平方米，楼栋总数为24栋，建筑结构为钢混，共1131户，建筑密度适中，环境状况较好，物业管理费为3.28元/平方米·月，主力户型为</w:t>
      </w:r>
      <w:r>
        <w:rPr>
          <w:rFonts w:hint="eastAsia" w:ascii="Arial" w:hAnsi="Arial" w:cs="Arial"/>
          <w:color w:val="000000"/>
          <w:sz w:val="21"/>
          <w:szCs w:val="21"/>
        </w:rPr>
        <w:t>两居室</w:t>
      </w:r>
      <w:r>
        <w:rPr>
          <w:rFonts w:ascii="Arial" w:hAnsi="Arial" w:cs="Arial"/>
          <w:color w:val="000000"/>
          <w:sz w:val="21"/>
          <w:szCs w:val="21"/>
        </w:rPr>
        <w:t>，距离估价对象约1400米。与估价对象位于同一供需圈，建筑结构、</w:t>
      </w:r>
      <w:r>
        <w:rPr>
          <w:rFonts w:cs="Arial"/>
          <w:color w:val="000000"/>
          <w:sz w:val="21"/>
          <w:szCs w:val="21"/>
        </w:rPr>
        <w:t>户型结构</w:t>
      </w:r>
      <w:r>
        <w:rPr>
          <w:rFonts w:ascii="Arial" w:hAnsi="Arial" w:cs="Arial"/>
          <w:color w:val="000000"/>
          <w:sz w:val="21"/>
          <w:szCs w:val="21"/>
        </w:rPr>
        <w:t>与估价对象类似。</w:t>
      </w:r>
    </w:p>
    <w:p w14:paraId="6667BD6A">
      <w:pPr>
        <w:pStyle w:val="279"/>
        <w:autoSpaceDE w:val="0"/>
        <w:autoSpaceDN w:val="0"/>
        <w:spacing w:line="360" w:lineRule="auto"/>
        <w:ind w:right="142" w:firstLine="420" w:firstLineChars="200"/>
        <w:jc w:val="center"/>
        <w:textAlignment w:val="auto"/>
        <w:rPr>
          <w:rFonts w:ascii="Arial" w:hAnsi="Arial" w:cs="Arial"/>
          <w:sz w:val="21"/>
          <w:szCs w:val="21"/>
        </w:rPr>
      </w:pPr>
      <w:r>
        <w:rPr>
          <w:rFonts w:hint="eastAsia" w:ascii="Arial" w:hAnsi="Arial" w:cs="Arial"/>
          <w:sz w:val="21"/>
          <w:szCs w:val="21"/>
        </w:rPr>
        <w:t>样本小区标准房</w:t>
      </w:r>
    </w:p>
    <w:tbl>
      <w:tblPr>
        <w:tblStyle w:val="33"/>
        <w:tblW w:w="9299" w:type="dxa"/>
        <w:jc w:val="center"/>
        <w:tblLayout w:type="autofit"/>
        <w:tblCellMar>
          <w:top w:w="0" w:type="dxa"/>
          <w:left w:w="108" w:type="dxa"/>
          <w:bottom w:w="0" w:type="dxa"/>
          <w:right w:w="108" w:type="dxa"/>
        </w:tblCellMar>
      </w:tblPr>
      <w:tblGrid>
        <w:gridCol w:w="851"/>
        <w:gridCol w:w="2688"/>
        <w:gridCol w:w="2835"/>
        <w:gridCol w:w="2925"/>
      </w:tblGrid>
      <w:tr w14:paraId="62C62DC4">
        <w:tblPrEx>
          <w:tblCellMar>
            <w:top w:w="0" w:type="dxa"/>
            <w:left w:w="108" w:type="dxa"/>
            <w:bottom w:w="0" w:type="dxa"/>
            <w:right w:w="108" w:type="dxa"/>
          </w:tblCellMar>
        </w:tblPrEx>
        <w:trPr>
          <w:trHeight w:val="285" w:hRule="atLeast"/>
          <w:tblHeader/>
          <w:jc w:val="center"/>
        </w:trPr>
        <w:tc>
          <w:tcPr>
            <w:tcW w:w="851" w:type="dxa"/>
            <w:tcBorders>
              <w:top w:val="single" w:color="auto" w:sz="4" w:space="0"/>
              <w:left w:val="single" w:color="auto" w:sz="4" w:space="0"/>
              <w:bottom w:val="single" w:color="auto" w:sz="4" w:space="0"/>
              <w:right w:val="single" w:color="auto" w:sz="4" w:space="0"/>
            </w:tcBorders>
            <w:vAlign w:val="center"/>
          </w:tcPr>
          <w:p w14:paraId="2A26B119">
            <w:pPr>
              <w:widowControl/>
              <w:spacing w:line="240" w:lineRule="auto"/>
              <w:jc w:val="center"/>
              <w:textAlignment w:val="auto"/>
              <w:rPr>
                <w:rFonts w:ascii="Arial" w:hAnsi="Arial" w:eastAsia="华文细黑" w:cs="Arial"/>
                <w:sz w:val="18"/>
                <w:szCs w:val="18"/>
              </w:rPr>
            </w:pPr>
            <w:r>
              <w:rPr>
                <w:rFonts w:ascii="Arial" w:hAnsi="Arial" w:eastAsia="华文细黑" w:cs="Arial"/>
                <w:sz w:val="18"/>
                <w:szCs w:val="18"/>
              </w:rPr>
              <w:t>项目</w:t>
            </w:r>
          </w:p>
        </w:tc>
        <w:tc>
          <w:tcPr>
            <w:tcW w:w="2688" w:type="dxa"/>
            <w:tcBorders>
              <w:top w:val="single" w:color="auto" w:sz="4" w:space="0"/>
              <w:left w:val="nil"/>
              <w:bottom w:val="single" w:color="auto" w:sz="4" w:space="0"/>
              <w:right w:val="single" w:color="auto" w:sz="4" w:space="0"/>
            </w:tcBorders>
            <w:noWrap/>
            <w:vAlign w:val="center"/>
          </w:tcPr>
          <w:p w14:paraId="249B95C4">
            <w:pPr>
              <w:widowControl/>
              <w:spacing w:line="240" w:lineRule="auto"/>
              <w:textAlignment w:val="auto"/>
              <w:rPr>
                <w:rFonts w:ascii="Arial" w:hAnsi="Arial" w:eastAsia="华文细黑" w:cs="Arial"/>
                <w:sz w:val="18"/>
                <w:szCs w:val="18"/>
              </w:rPr>
            </w:pPr>
            <w:r>
              <w:rPr>
                <w:rFonts w:hint="eastAsia" w:ascii="Arial" w:hAnsi="Arial" w:eastAsia="华文细黑" w:cs="Arial"/>
                <w:sz w:val="18"/>
                <w:szCs w:val="18"/>
              </w:rPr>
              <w:t>招商臻珑府</w:t>
            </w:r>
          </w:p>
        </w:tc>
        <w:tc>
          <w:tcPr>
            <w:tcW w:w="2835" w:type="dxa"/>
            <w:tcBorders>
              <w:top w:val="single" w:color="auto" w:sz="4" w:space="0"/>
              <w:left w:val="nil"/>
              <w:bottom w:val="single" w:color="auto" w:sz="4" w:space="0"/>
              <w:right w:val="single" w:color="auto" w:sz="4" w:space="0"/>
            </w:tcBorders>
            <w:noWrap/>
            <w:vAlign w:val="center"/>
          </w:tcPr>
          <w:p w14:paraId="7D7BEF6A">
            <w:pPr>
              <w:widowControl/>
              <w:spacing w:line="240" w:lineRule="auto"/>
              <w:textAlignment w:val="auto"/>
              <w:rPr>
                <w:rFonts w:ascii="Arial" w:hAnsi="Arial" w:eastAsia="华文细黑" w:cs="Arial"/>
                <w:sz w:val="18"/>
                <w:szCs w:val="18"/>
              </w:rPr>
            </w:pPr>
            <w:r>
              <w:rPr>
                <w:rFonts w:hint="eastAsia" w:ascii="Arial" w:hAnsi="Arial" w:eastAsia="华文细黑" w:cs="Arial"/>
                <w:sz w:val="18"/>
                <w:szCs w:val="18"/>
              </w:rPr>
              <w:t>北京经开·汀塘</w:t>
            </w:r>
          </w:p>
        </w:tc>
        <w:tc>
          <w:tcPr>
            <w:tcW w:w="2925" w:type="dxa"/>
            <w:tcBorders>
              <w:top w:val="single" w:color="auto" w:sz="4" w:space="0"/>
              <w:left w:val="nil"/>
              <w:bottom w:val="single" w:color="auto" w:sz="4" w:space="0"/>
              <w:right w:val="single" w:color="auto" w:sz="4" w:space="0"/>
            </w:tcBorders>
            <w:noWrap/>
            <w:vAlign w:val="center"/>
          </w:tcPr>
          <w:p w14:paraId="1F458E01">
            <w:pPr>
              <w:widowControl/>
              <w:spacing w:line="240" w:lineRule="auto"/>
              <w:textAlignment w:val="auto"/>
              <w:rPr>
                <w:rFonts w:ascii="Arial" w:hAnsi="Arial" w:eastAsia="华文细黑" w:cs="Arial"/>
                <w:sz w:val="18"/>
                <w:szCs w:val="18"/>
              </w:rPr>
            </w:pPr>
            <w:r>
              <w:rPr>
                <w:rFonts w:hint="eastAsia" w:ascii="Arial" w:hAnsi="Arial" w:eastAsia="华文细黑" w:cs="Arial"/>
                <w:sz w:val="18"/>
                <w:szCs w:val="18"/>
              </w:rPr>
              <w:t>通泰国际公馆</w:t>
            </w:r>
          </w:p>
        </w:tc>
      </w:tr>
      <w:tr w14:paraId="2BB83119">
        <w:tblPrEx>
          <w:tblCellMar>
            <w:top w:w="0" w:type="dxa"/>
            <w:left w:w="108" w:type="dxa"/>
            <w:bottom w:w="0" w:type="dxa"/>
            <w:right w:w="108" w:type="dxa"/>
          </w:tblCellMar>
        </w:tblPrEx>
        <w:trPr>
          <w:trHeight w:val="285" w:hRule="atLeast"/>
          <w:jc w:val="center"/>
        </w:trPr>
        <w:tc>
          <w:tcPr>
            <w:tcW w:w="851" w:type="dxa"/>
            <w:tcBorders>
              <w:top w:val="nil"/>
              <w:left w:val="single" w:color="auto" w:sz="4" w:space="0"/>
              <w:bottom w:val="single" w:color="auto" w:sz="4" w:space="0"/>
              <w:right w:val="single" w:color="auto" w:sz="4" w:space="0"/>
            </w:tcBorders>
            <w:vAlign w:val="center"/>
          </w:tcPr>
          <w:p w14:paraId="4219AECF">
            <w:pPr>
              <w:widowControl/>
              <w:spacing w:line="240" w:lineRule="auto"/>
              <w:jc w:val="center"/>
              <w:textAlignment w:val="auto"/>
              <w:rPr>
                <w:rFonts w:ascii="Arial" w:hAnsi="Arial" w:eastAsia="华文细黑" w:cs="Arial"/>
                <w:sz w:val="18"/>
                <w:szCs w:val="18"/>
              </w:rPr>
            </w:pPr>
            <w:r>
              <w:rPr>
                <w:rFonts w:ascii="Arial" w:hAnsi="Arial" w:eastAsia="华文细黑" w:cs="Arial"/>
                <w:sz w:val="18"/>
                <w:szCs w:val="18"/>
              </w:rPr>
              <w:t>楼层</w:t>
            </w:r>
          </w:p>
        </w:tc>
        <w:tc>
          <w:tcPr>
            <w:tcW w:w="2688" w:type="dxa"/>
            <w:tcBorders>
              <w:top w:val="nil"/>
              <w:left w:val="nil"/>
              <w:bottom w:val="single" w:color="auto" w:sz="4" w:space="0"/>
              <w:right w:val="single" w:color="auto" w:sz="4" w:space="0"/>
            </w:tcBorders>
            <w:noWrap/>
            <w:vAlign w:val="center"/>
          </w:tcPr>
          <w:p w14:paraId="5B92E634">
            <w:pPr>
              <w:widowControl/>
              <w:spacing w:line="240" w:lineRule="auto"/>
              <w:textAlignment w:val="auto"/>
              <w:rPr>
                <w:rFonts w:ascii="Arial" w:hAnsi="Arial" w:eastAsia="华文细黑" w:cs="Arial"/>
                <w:sz w:val="18"/>
                <w:szCs w:val="18"/>
              </w:rPr>
            </w:pPr>
            <w:r>
              <w:rPr>
                <w:rFonts w:ascii="Arial" w:hAnsi="Arial" w:eastAsia="华文细黑" w:cs="Arial"/>
                <w:sz w:val="18"/>
                <w:szCs w:val="18"/>
              </w:rPr>
              <w:t>中楼层</w:t>
            </w:r>
          </w:p>
        </w:tc>
        <w:tc>
          <w:tcPr>
            <w:tcW w:w="2835" w:type="dxa"/>
            <w:tcBorders>
              <w:top w:val="nil"/>
              <w:left w:val="nil"/>
              <w:bottom w:val="single" w:color="auto" w:sz="4" w:space="0"/>
              <w:right w:val="single" w:color="auto" w:sz="4" w:space="0"/>
            </w:tcBorders>
            <w:noWrap/>
            <w:vAlign w:val="center"/>
          </w:tcPr>
          <w:p w14:paraId="00D564DA">
            <w:pPr>
              <w:widowControl/>
              <w:spacing w:line="240" w:lineRule="auto"/>
              <w:textAlignment w:val="auto"/>
              <w:rPr>
                <w:rFonts w:ascii="Arial" w:hAnsi="Arial" w:eastAsia="华文细黑" w:cs="Arial"/>
                <w:sz w:val="18"/>
                <w:szCs w:val="18"/>
              </w:rPr>
            </w:pPr>
            <w:r>
              <w:rPr>
                <w:rFonts w:ascii="Arial" w:hAnsi="Arial" w:eastAsia="华文细黑" w:cs="Arial"/>
                <w:sz w:val="18"/>
                <w:szCs w:val="18"/>
              </w:rPr>
              <w:t>中楼层</w:t>
            </w:r>
          </w:p>
        </w:tc>
        <w:tc>
          <w:tcPr>
            <w:tcW w:w="2925" w:type="dxa"/>
            <w:tcBorders>
              <w:top w:val="nil"/>
              <w:left w:val="nil"/>
              <w:bottom w:val="single" w:color="auto" w:sz="4" w:space="0"/>
              <w:right w:val="single" w:color="auto" w:sz="4" w:space="0"/>
            </w:tcBorders>
            <w:noWrap/>
            <w:vAlign w:val="center"/>
          </w:tcPr>
          <w:p w14:paraId="16927733">
            <w:pPr>
              <w:widowControl/>
              <w:spacing w:line="240" w:lineRule="auto"/>
              <w:textAlignment w:val="auto"/>
              <w:rPr>
                <w:rFonts w:ascii="Arial" w:hAnsi="Arial" w:eastAsia="华文细黑" w:cs="Arial"/>
                <w:sz w:val="18"/>
                <w:szCs w:val="18"/>
              </w:rPr>
            </w:pPr>
            <w:r>
              <w:rPr>
                <w:rFonts w:ascii="Arial" w:hAnsi="Arial" w:eastAsia="华文细黑" w:cs="Arial"/>
                <w:sz w:val="18"/>
                <w:szCs w:val="18"/>
              </w:rPr>
              <w:t>中楼层</w:t>
            </w:r>
          </w:p>
        </w:tc>
      </w:tr>
      <w:tr w14:paraId="0F596787">
        <w:tblPrEx>
          <w:tblCellMar>
            <w:top w:w="0" w:type="dxa"/>
            <w:left w:w="108" w:type="dxa"/>
            <w:bottom w:w="0" w:type="dxa"/>
            <w:right w:w="108" w:type="dxa"/>
          </w:tblCellMar>
        </w:tblPrEx>
        <w:trPr>
          <w:trHeight w:val="285" w:hRule="atLeast"/>
          <w:jc w:val="center"/>
        </w:trPr>
        <w:tc>
          <w:tcPr>
            <w:tcW w:w="851" w:type="dxa"/>
            <w:tcBorders>
              <w:top w:val="nil"/>
              <w:left w:val="single" w:color="auto" w:sz="4" w:space="0"/>
              <w:bottom w:val="single" w:color="auto" w:sz="4" w:space="0"/>
              <w:right w:val="single" w:color="auto" w:sz="4" w:space="0"/>
            </w:tcBorders>
            <w:vAlign w:val="center"/>
          </w:tcPr>
          <w:p w14:paraId="34BF0355">
            <w:pPr>
              <w:widowControl/>
              <w:spacing w:line="240" w:lineRule="auto"/>
              <w:jc w:val="center"/>
              <w:textAlignment w:val="auto"/>
              <w:rPr>
                <w:rFonts w:ascii="Arial" w:hAnsi="Arial" w:eastAsia="华文细黑" w:cs="Arial"/>
                <w:sz w:val="18"/>
                <w:szCs w:val="18"/>
              </w:rPr>
            </w:pPr>
            <w:r>
              <w:rPr>
                <w:rFonts w:ascii="Arial" w:hAnsi="Arial" w:eastAsia="华文细黑" w:cs="Arial"/>
                <w:sz w:val="18"/>
                <w:szCs w:val="18"/>
              </w:rPr>
              <w:t>户型</w:t>
            </w:r>
          </w:p>
        </w:tc>
        <w:tc>
          <w:tcPr>
            <w:tcW w:w="2688" w:type="dxa"/>
            <w:tcBorders>
              <w:top w:val="nil"/>
              <w:left w:val="nil"/>
              <w:bottom w:val="single" w:color="auto" w:sz="4" w:space="0"/>
              <w:right w:val="single" w:color="auto" w:sz="4" w:space="0"/>
            </w:tcBorders>
            <w:noWrap/>
            <w:vAlign w:val="center"/>
          </w:tcPr>
          <w:p w14:paraId="7C3DD399">
            <w:pPr>
              <w:widowControl/>
              <w:spacing w:line="240" w:lineRule="auto"/>
              <w:textAlignment w:val="auto"/>
              <w:rPr>
                <w:rFonts w:ascii="Arial" w:hAnsi="Arial" w:eastAsia="华文细黑" w:cs="Arial"/>
                <w:sz w:val="18"/>
                <w:szCs w:val="18"/>
              </w:rPr>
            </w:pPr>
            <w:r>
              <w:rPr>
                <w:rFonts w:hint="eastAsia" w:ascii="Arial" w:hAnsi="Arial" w:eastAsia="华文细黑" w:cs="Arial"/>
                <w:sz w:val="18"/>
                <w:szCs w:val="18"/>
              </w:rPr>
              <w:t>三</w:t>
            </w:r>
            <w:r>
              <w:rPr>
                <w:rFonts w:ascii="Arial" w:hAnsi="Arial" w:eastAsia="华文细黑" w:cs="Arial"/>
                <w:sz w:val="18"/>
                <w:szCs w:val="18"/>
              </w:rPr>
              <w:t>居室</w:t>
            </w:r>
          </w:p>
        </w:tc>
        <w:tc>
          <w:tcPr>
            <w:tcW w:w="2835" w:type="dxa"/>
            <w:tcBorders>
              <w:top w:val="nil"/>
              <w:left w:val="nil"/>
              <w:bottom w:val="single" w:color="auto" w:sz="4" w:space="0"/>
              <w:right w:val="single" w:color="auto" w:sz="4" w:space="0"/>
            </w:tcBorders>
            <w:noWrap/>
            <w:vAlign w:val="center"/>
          </w:tcPr>
          <w:p w14:paraId="5B424142">
            <w:pPr>
              <w:widowControl/>
              <w:spacing w:line="240" w:lineRule="auto"/>
              <w:textAlignment w:val="auto"/>
              <w:rPr>
                <w:rFonts w:ascii="Arial" w:hAnsi="Arial" w:eastAsia="华文细黑" w:cs="Arial"/>
                <w:sz w:val="18"/>
                <w:szCs w:val="18"/>
              </w:rPr>
            </w:pPr>
            <w:r>
              <w:rPr>
                <w:rFonts w:hint="eastAsia" w:ascii="Arial" w:hAnsi="Arial" w:eastAsia="华文细黑" w:cs="Arial"/>
                <w:sz w:val="18"/>
                <w:szCs w:val="18"/>
              </w:rPr>
              <w:t>两居室</w:t>
            </w:r>
          </w:p>
        </w:tc>
        <w:tc>
          <w:tcPr>
            <w:tcW w:w="2925" w:type="dxa"/>
            <w:tcBorders>
              <w:top w:val="nil"/>
              <w:left w:val="nil"/>
              <w:bottom w:val="single" w:color="auto" w:sz="4" w:space="0"/>
              <w:right w:val="single" w:color="auto" w:sz="4" w:space="0"/>
            </w:tcBorders>
            <w:noWrap/>
            <w:vAlign w:val="center"/>
          </w:tcPr>
          <w:p w14:paraId="68922597">
            <w:pPr>
              <w:widowControl/>
              <w:spacing w:line="240" w:lineRule="auto"/>
              <w:textAlignment w:val="auto"/>
              <w:rPr>
                <w:rFonts w:ascii="Arial" w:hAnsi="Arial" w:eastAsia="华文细黑" w:cs="Arial"/>
                <w:sz w:val="18"/>
                <w:szCs w:val="18"/>
              </w:rPr>
            </w:pPr>
            <w:r>
              <w:rPr>
                <w:rFonts w:hint="eastAsia" w:ascii="Arial" w:hAnsi="Arial" w:eastAsia="华文细黑" w:cs="Arial"/>
                <w:sz w:val="18"/>
                <w:szCs w:val="18"/>
              </w:rPr>
              <w:t>两居室</w:t>
            </w:r>
          </w:p>
        </w:tc>
      </w:tr>
      <w:tr w14:paraId="741E0A36">
        <w:tblPrEx>
          <w:tblCellMar>
            <w:top w:w="0" w:type="dxa"/>
            <w:left w:w="108" w:type="dxa"/>
            <w:bottom w:w="0" w:type="dxa"/>
            <w:right w:w="108" w:type="dxa"/>
          </w:tblCellMar>
        </w:tblPrEx>
        <w:trPr>
          <w:trHeight w:val="285" w:hRule="atLeast"/>
          <w:jc w:val="center"/>
        </w:trPr>
        <w:tc>
          <w:tcPr>
            <w:tcW w:w="851" w:type="dxa"/>
            <w:tcBorders>
              <w:top w:val="nil"/>
              <w:left w:val="single" w:color="auto" w:sz="4" w:space="0"/>
              <w:bottom w:val="single" w:color="auto" w:sz="4" w:space="0"/>
              <w:right w:val="single" w:color="auto" w:sz="4" w:space="0"/>
            </w:tcBorders>
            <w:vAlign w:val="center"/>
          </w:tcPr>
          <w:p w14:paraId="41567D88">
            <w:pPr>
              <w:widowControl/>
              <w:spacing w:line="240" w:lineRule="auto"/>
              <w:jc w:val="center"/>
              <w:textAlignment w:val="auto"/>
              <w:rPr>
                <w:rFonts w:ascii="Arial" w:hAnsi="Arial" w:eastAsia="华文细黑" w:cs="Arial"/>
                <w:sz w:val="18"/>
                <w:szCs w:val="18"/>
              </w:rPr>
            </w:pPr>
            <w:r>
              <w:rPr>
                <w:rFonts w:ascii="Arial" w:hAnsi="Arial" w:eastAsia="华文细黑" w:cs="Arial"/>
                <w:sz w:val="18"/>
                <w:szCs w:val="18"/>
              </w:rPr>
              <w:t>朝向</w:t>
            </w:r>
          </w:p>
        </w:tc>
        <w:tc>
          <w:tcPr>
            <w:tcW w:w="2688" w:type="dxa"/>
            <w:tcBorders>
              <w:top w:val="nil"/>
              <w:left w:val="nil"/>
              <w:bottom w:val="single" w:color="auto" w:sz="4" w:space="0"/>
              <w:right w:val="single" w:color="auto" w:sz="4" w:space="0"/>
            </w:tcBorders>
            <w:noWrap/>
            <w:vAlign w:val="center"/>
          </w:tcPr>
          <w:p w14:paraId="175F8453">
            <w:pPr>
              <w:widowControl/>
              <w:spacing w:line="240" w:lineRule="auto"/>
              <w:textAlignment w:val="auto"/>
              <w:rPr>
                <w:rFonts w:ascii="Arial" w:hAnsi="Arial" w:eastAsia="华文细黑" w:cs="Arial"/>
                <w:sz w:val="18"/>
                <w:szCs w:val="18"/>
              </w:rPr>
            </w:pPr>
            <w:r>
              <w:rPr>
                <w:rFonts w:hint="eastAsia" w:ascii="Arial" w:hAnsi="Arial" w:eastAsia="华文细黑" w:cs="Arial"/>
                <w:sz w:val="18"/>
                <w:szCs w:val="18"/>
              </w:rPr>
              <w:t>南北</w:t>
            </w:r>
          </w:p>
        </w:tc>
        <w:tc>
          <w:tcPr>
            <w:tcW w:w="2835" w:type="dxa"/>
            <w:tcBorders>
              <w:top w:val="nil"/>
              <w:left w:val="nil"/>
              <w:bottom w:val="single" w:color="auto" w:sz="4" w:space="0"/>
              <w:right w:val="single" w:color="auto" w:sz="4" w:space="0"/>
            </w:tcBorders>
            <w:noWrap/>
            <w:vAlign w:val="center"/>
          </w:tcPr>
          <w:p w14:paraId="3445AD69">
            <w:pPr>
              <w:widowControl/>
              <w:spacing w:line="240" w:lineRule="auto"/>
              <w:textAlignment w:val="auto"/>
              <w:rPr>
                <w:rFonts w:ascii="Arial" w:hAnsi="Arial" w:eastAsia="华文细黑" w:cs="Arial"/>
                <w:sz w:val="18"/>
                <w:szCs w:val="18"/>
              </w:rPr>
            </w:pPr>
            <w:r>
              <w:rPr>
                <w:rFonts w:hint="eastAsia" w:ascii="Arial" w:hAnsi="Arial" w:eastAsia="华文细黑" w:cs="Arial"/>
                <w:sz w:val="18"/>
                <w:szCs w:val="18"/>
              </w:rPr>
              <w:t>南北</w:t>
            </w:r>
          </w:p>
        </w:tc>
        <w:tc>
          <w:tcPr>
            <w:tcW w:w="2925" w:type="dxa"/>
            <w:tcBorders>
              <w:top w:val="nil"/>
              <w:left w:val="nil"/>
              <w:bottom w:val="single" w:color="auto" w:sz="4" w:space="0"/>
              <w:right w:val="single" w:color="auto" w:sz="4" w:space="0"/>
            </w:tcBorders>
            <w:noWrap/>
            <w:vAlign w:val="center"/>
          </w:tcPr>
          <w:p w14:paraId="6280CE3C">
            <w:pPr>
              <w:widowControl/>
              <w:spacing w:line="240" w:lineRule="auto"/>
              <w:textAlignment w:val="auto"/>
              <w:rPr>
                <w:rFonts w:ascii="Arial" w:hAnsi="Arial" w:eastAsia="华文细黑" w:cs="Arial"/>
                <w:sz w:val="18"/>
                <w:szCs w:val="18"/>
              </w:rPr>
            </w:pPr>
            <w:r>
              <w:rPr>
                <w:rFonts w:hint="eastAsia" w:ascii="Arial" w:hAnsi="Arial" w:eastAsia="华文细黑" w:cs="Arial"/>
                <w:sz w:val="18"/>
                <w:szCs w:val="18"/>
              </w:rPr>
              <w:t>南北</w:t>
            </w:r>
          </w:p>
        </w:tc>
      </w:tr>
      <w:tr w14:paraId="351B2DFB">
        <w:tblPrEx>
          <w:tblCellMar>
            <w:top w:w="0" w:type="dxa"/>
            <w:left w:w="108" w:type="dxa"/>
            <w:bottom w:w="0" w:type="dxa"/>
            <w:right w:w="108" w:type="dxa"/>
          </w:tblCellMar>
        </w:tblPrEx>
        <w:trPr>
          <w:trHeight w:val="285" w:hRule="atLeast"/>
          <w:jc w:val="center"/>
        </w:trPr>
        <w:tc>
          <w:tcPr>
            <w:tcW w:w="851" w:type="dxa"/>
            <w:tcBorders>
              <w:top w:val="nil"/>
              <w:left w:val="single" w:color="auto" w:sz="4" w:space="0"/>
              <w:bottom w:val="single" w:color="auto" w:sz="4" w:space="0"/>
              <w:right w:val="single" w:color="auto" w:sz="4" w:space="0"/>
            </w:tcBorders>
            <w:vAlign w:val="center"/>
          </w:tcPr>
          <w:p w14:paraId="1C633376">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燃气</w:t>
            </w:r>
          </w:p>
        </w:tc>
        <w:tc>
          <w:tcPr>
            <w:tcW w:w="2688" w:type="dxa"/>
            <w:tcBorders>
              <w:top w:val="nil"/>
              <w:left w:val="nil"/>
              <w:bottom w:val="single" w:color="auto" w:sz="4" w:space="0"/>
              <w:right w:val="single" w:color="auto" w:sz="4" w:space="0"/>
            </w:tcBorders>
            <w:noWrap/>
            <w:vAlign w:val="center"/>
          </w:tcPr>
          <w:p w14:paraId="5D417325">
            <w:pPr>
              <w:widowControl/>
              <w:spacing w:line="240" w:lineRule="auto"/>
              <w:textAlignment w:val="auto"/>
              <w:rPr>
                <w:rFonts w:ascii="Arial" w:hAnsi="Arial" w:eastAsia="华文细黑" w:cs="Arial"/>
                <w:sz w:val="18"/>
                <w:szCs w:val="18"/>
              </w:rPr>
            </w:pPr>
            <w:r>
              <w:rPr>
                <w:rFonts w:hint="eastAsia" w:ascii="Arial" w:hAnsi="Arial" w:eastAsia="华文细黑" w:cs="Arial"/>
                <w:sz w:val="18"/>
                <w:szCs w:val="18"/>
              </w:rPr>
              <w:t>有</w:t>
            </w:r>
          </w:p>
        </w:tc>
        <w:tc>
          <w:tcPr>
            <w:tcW w:w="2835" w:type="dxa"/>
            <w:tcBorders>
              <w:top w:val="nil"/>
              <w:left w:val="nil"/>
              <w:bottom w:val="single" w:color="auto" w:sz="4" w:space="0"/>
              <w:right w:val="single" w:color="auto" w:sz="4" w:space="0"/>
            </w:tcBorders>
            <w:noWrap/>
            <w:vAlign w:val="center"/>
          </w:tcPr>
          <w:p w14:paraId="2C498DF5">
            <w:pPr>
              <w:widowControl/>
              <w:spacing w:line="240" w:lineRule="auto"/>
              <w:textAlignment w:val="auto"/>
              <w:rPr>
                <w:rFonts w:ascii="Arial" w:hAnsi="Arial" w:eastAsia="华文细黑" w:cs="Arial"/>
                <w:sz w:val="18"/>
                <w:szCs w:val="18"/>
              </w:rPr>
            </w:pPr>
            <w:r>
              <w:rPr>
                <w:rFonts w:hint="eastAsia" w:ascii="Arial" w:hAnsi="Arial" w:eastAsia="华文细黑" w:cs="Arial"/>
                <w:sz w:val="18"/>
                <w:szCs w:val="18"/>
              </w:rPr>
              <w:t>有</w:t>
            </w:r>
          </w:p>
        </w:tc>
        <w:tc>
          <w:tcPr>
            <w:tcW w:w="2925" w:type="dxa"/>
            <w:tcBorders>
              <w:top w:val="nil"/>
              <w:left w:val="nil"/>
              <w:bottom w:val="single" w:color="auto" w:sz="4" w:space="0"/>
              <w:right w:val="single" w:color="auto" w:sz="4" w:space="0"/>
            </w:tcBorders>
            <w:noWrap/>
            <w:vAlign w:val="center"/>
          </w:tcPr>
          <w:p w14:paraId="27A65A31">
            <w:pPr>
              <w:widowControl/>
              <w:spacing w:line="240" w:lineRule="auto"/>
              <w:textAlignment w:val="auto"/>
              <w:rPr>
                <w:rFonts w:ascii="Arial" w:hAnsi="Arial" w:eastAsia="华文细黑" w:cs="Arial"/>
                <w:sz w:val="18"/>
                <w:szCs w:val="18"/>
              </w:rPr>
            </w:pPr>
            <w:r>
              <w:rPr>
                <w:rFonts w:hint="eastAsia" w:ascii="Arial" w:hAnsi="Arial" w:eastAsia="华文细黑" w:cs="Arial"/>
                <w:sz w:val="18"/>
                <w:szCs w:val="18"/>
              </w:rPr>
              <w:t>有</w:t>
            </w:r>
          </w:p>
        </w:tc>
      </w:tr>
      <w:tr w14:paraId="37482F7C">
        <w:tblPrEx>
          <w:tblCellMar>
            <w:top w:w="0" w:type="dxa"/>
            <w:left w:w="108" w:type="dxa"/>
            <w:bottom w:w="0" w:type="dxa"/>
            <w:right w:w="108" w:type="dxa"/>
          </w:tblCellMar>
        </w:tblPrEx>
        <w:trPr>
          <w:trHeight w:val="285" w:hRule="atLeast"/>
          <w:jc w:val="center"/>
        </w:trPr>
        <w:tc>
          <w:tcPr>
            <w:tcW w:w="851" w:type="dxa"/>
            <w:tcBorders>
              <w:top w:val="nil"/>
              <w:left w:val="single" w:color="auto" w:sz="4" w:space="0"/>
              <w:bottom w:val="single" w:color="auto" w:sz="4" w:space="0"/>
              <w:right w:val="single" w:color="auto" w:sz="4" w:space="0"/>
            </w:tcBorders>
            <w:vAlign w:val="center"/>
          </w:tcPr>
          <w:p w14:paraId="6D70D71B">
            <w:pPr>
              <w:widowControl/>
              <w:spacing w:line="240" w:lineRule="auto"/>
              <w:jc w:val="center"/>
              <w:textAlignment w:val="auto"/>
              <w:rPr>
                <w:rFonts w:ascii="Arial" w:hAnsi="Arial" w:eastAsia="华文细黑" w:cs="Arial"/>
                <w:sz w:val="18"/>
                <w:szCs w:val="18"/>
              </w:rPr>
            </w:pPr>
            <w:r>
              <w:rPr>
                <w:rFonts w:ascii="Arial" w:hAnsi="Arial" w:eastAsia="华文细黑" w:cs="Arial"/>
                <w:sz w:val="18"/>
                <w:szCs w:val="18"/>
              </w:rPr>
              <w:t>装修</w:t>
            </w:r>
          </w:p>
        </w:tc>
        <w:tc>
          <w:tcPr>
            <w:tcW w:w="2688" w:type="dxa"/>
            <w:tcBorders>
              <w:top w:val="nil"/>
              <w:left w:val="nil"/>
              <w:bottom w:val="single" w:color="auto" w:sz="4" w:space="0"/>
              <w:right w:val="single" w:color="auto" w:sz="4" w:space="0"/>
            </w:tcBorders>
            <w:noWrap/>
            <w:vAlign w:val="center"/>
          </w:tcPr>
          <w:p w14:paraId="2BD9C26E">
            <w:pPr>
              <w:widowControl/>
              <w:spacing w:line="240" w:lineRule="auto"/>
              <w:textAlignment w:val="auto"/>
              <w:rPr>
                <w:rFonts w:ascii="Arial" w:hAnsi="Arial" w:eastAsia="华文细黑" w:cs="Arial"/>
                <w:sz w:val="18"/>
                <w:szCs w:val="18"/>
              </w:rPr>
            </w:pPr>
            <w:r>
              <w:rPr>
                <w:rFonts w:hint="eastAsia" w:ascii="Arial" w:hAnsi="Arial" w:eastAsia="华文细黑" w:cs="Arial"/>
                <w:sz w:val="18"/>
                <w:szCs w:val="18"/>
              </w:rPr>
              <w:t>全装修</w:t>
            </w:r>
          </w:p>
        </w:tc>
        <w:tc>
          <w:tcPr>
            <w:tcW w:w="2835" w:type="dxa"/>
            <w:tcBorders>
              <w:top w:val="nil"/>
              <w:left w:val="nil"/>
              <w:bottom w:val="single" w:color="auto" w:sz="4" w:space="0"/>
              <w:right w:val="single" w:color="auto" w:sz="4" w:space="0"/>
            </w:tcBorders>
            <w:noWrap/>
            <w:vAlign w:val="center"/>
          </w:tcPr>
          <w:p w14:paraId="4BEE1C10">
            <w:pPr>
              <w:widowControl/>
              <w:spacing w:line="240" w:lineRule="auto"/>
              <w:textAlignment w:val="auto"/>
              <w:rPr>
                <w:rFonts w:ascii="Arial" w:hAnsi="Arial" w:eastAsia="华文细黑" w:cs="Arial"/>
                <w:sz w:val="18"/>
                <w:szCs w:val="18"/>
              </w:rPr>
            </w:pPr>
            <w:r>
              <w:rPr>
                <w:rFonts w:hint="eastAsia" w:ascii="Arial" w:hAnsi="Arial" w:eastAsia="华文细黑" w:cs="Arial"/>
                <w:sz w:val="18"/>
                <w:szCs w:val="18"/>
              </w:rPr>
              <w:t>全装修</w:t>
            </w:r>
          </w:p>
        </w:tc>
        <w:tc>
          <w:tcPr>
            <w:tcW w:w="2925" w:type="dxa"/>
            <w:tcBorders>
              <w:top w:val="nil"/>
              <w:left w:val="nil"/>
              <w:bottom w:val="single" w:color="auto" w:sz="4" w:space="0"/>
              <w:right w:val="single" w:color="auto" w:sz="4" w:space="0"/>
            </w:tcBorders>
            <w:noWrap/>
            <w:vAlign w:val="center"/>
          </w:tcPr>
          <w:p w14:paraId="037F4BF9">
            <w:pPr>
              <w:widowControl/>
              <w:spacing w:line="240" w:lineRule="auto"/>
              <w:textAlignment w:val="auto"/>
              <w:rPr>
                <w:rFonts w:ascii="Arial" w:hAnsi="Arial" w:eastAsia="华文细黑" w:cs="Arial"/>
                <w:sz w:val="18"/>
                <w:szCs w:val="18"/>
              </w:rPr>
            </w:pPr>
            <w:r>
              <w:rPr>
                <w:rFonts w:hint="eastAsia" w:ascii="Arial" w:hAnsi="Arial" w:eastAsia="华文细黑" w:cs="Arial"/>
                <w:sz w:val="18"/>
                <w:szCs w:val="18"/>
              </w:rPr>
              <w:t>全装修</w:t>
            </w:r>
          </w:p>
        </w:tc>
      </w:tr>
      <w:tr w14:paraId="093D400B">
        <w:tblPrEx>
          <w:tblCellMar>
            <w:top w:w="0" w:type="dxa"/>
            <w:left w:w="108" w:type="dxa"/>
            <w:bottom w:w="0" w:type="dxa"/>
            <w:right w:w="108" w:type="dxa"/>
          </w:tblCellMar>
        </w:tblPrEx>
        <w:trPr>
          <w:trHeight w:val="285" w:hRule="atLeast"/>
          <w:jc w:val="center"/>
        </w:trPr>
        <w:tc>
          <w:tcPr>
            <w:tcW w:w="851" w:type="dxa"/>
            <w:tcBorders>
              <w:top w:val="nil"/>
              <w:left w:val="single" w:color="auto" w:sz="4" w:space="0"/>
              <w:bottom w:val="single" w:color="auto" w:sz="4" w:space="0"/>
              <w:right w:val="single" w:color="auto" w:sz="4" w:space="0"/>
            </w:tcBorders>
            <w:vAlign w:val="center"/>
          </w:tcPr>
          <w:p w14:paraId="414215E5">
            <w:pPr>
              <w:widowControl/>
              <w:spacing w:line="240" w:lineRule="auto"/>
              <w:jc w:val="center"/>
              <w:textAlignment w:val="auto"/>
              <w:rPr>
                <w:rFonts w:ascii="Arial" w:hAnsi="Arial" w:eastAsia="华文细黑" w:cs="Arial"/>
                <w:sz w:val="18"/>
                <w:szCs w:val="18"/>
              </w:rPr>
            </w:pPr>
            <w:r>
              <w:rPr>
                <w:rFonts w:ascii="Arial" w:hAnsi="Arial" w:eastAsia="华文细黑" w:cs="Arial"/>
                <w:sz w:val="18"/>
                <w:szCs w:val="18"/>
              </w:rPr>
              <w:t>设备</w:t>
            </w:r>
          </w:p>
        </w:tc>
        <w:tc>
          <w:tcPr>
            <w:tcW w:w="2688" w:type="dxa"/>
            <w:tcBorders>
              <w:top w:val="nil"/>
              <w:left w:val="nil"/>
              <w:bottom w:val="single" w:color="auto" w:sz="4" w:space="0"/>
              <w:right w:val="single" w:color="auto" w:sz="4" w:space="0"/>
            </w:tcBorders>
            <w:noWrap/>
          </w:tcPr>
          <w:p w14:paraId="094ABBF9">
            <w:pPr>
              <w:widowControl/>
              <w:spacing w:line="240" w:lineRule="auto"/>
              <w:textAlignment w:val="auto"/>
              <w:rPr>
                <w:rFonts w:ascii="Arial" w:hAnsi="Arial" w:eastAsia="华文细黑" w:cs="Arial"/>
                <w:sz w:val="18"/>
                <w:szCs w:val="18"/>
              </w:rPr>
            </w:pPr>
            <w:r>
              <w:rPr>
                <w:rFonts w:hint="eastAsia" w:ascii="Arial" w:hAnsi="Arial" w:eastAsia="华文细黑" w:cs="Arial"/>
                <w:sz w:val="18"/>
                <w:szCs w:val="18"/>
              </w:rPr>
              <w:t>配备家具、家电；程度较新；功能正常，质量有保证，较好</w:t>
            </w:r>
          </w:p>
        </w:tc>
        <w:tc>
          <w:tcPr>
            <w:tcW w:w="2835" w:type="dxa"/>
            <w:tcBorders>
              <w:top w:val="nil"/>
              <w:left w:val="nil"/>
              <w:bottom w:val="single" w:color="auto" w:sz="4" w:space="0"/>
              <w:right w:val="single" w:color="auto" w:sz="4" w:space="0"/>
            </w:tcBorders>
            <w:noWrap/>
          </w:tcPr>
          <w:p w14:paraId="6640281A">
            <w:pPr>
              <w:widowControl/>
              <w:spacing w:line="240" w:lineRule="auto"/>
              <w:textAlignment w:val="auto"/>
              <w:rPr>
                <w:rFonts w:ascii="Arial" w:hAnsi="Arial" w:eastAsia="华文细黑" w:cs="Arial"/>
                <w:sz w:val="18"/>
                <w:szCs w:val="18"/>
              </w:rPr>
            </w:pPr>
            <w:r>
              <w:rPr>
                <w:rFonts w:hint="eastAsia" w:ascii="Arial" w:hAnsi="Arial" w:eastAsia="华文细黑" w:cs="Arial"/>
                <w:sz w:val="18"/>
                <w:szCs w:val="18"/>
              </w:rPr>
              <w:t>配备家具、家电；程度较新；功能正常，质量有保证，较好</w:t>
            </w:r>
          </w:p>
        </w:tc>
        <w:tc>
          <w:tcPr>
            <w:tcW w:w="2925" w:type="dxa"/>
            <w:tcBorders>
              <w:top w:val="nil"/>
              <w:left w:val="nil"/>
              <w:bottom w:val="single" w:color="auto" w:sz="4" w:space="0"/>
              <w:right w:val="single" w:color="auto" w:sz="4" w:space="0"/>
            </w:tcBorders>
            <w:noWrap/>
          </w:tcPr>
          <w:p w14:paraId="2B87502F">
            <w:pPr>
              <w:widowControl/>
              <w:spacing w:line="240" w:lineRule="auto"/>
              <w:textAlignment w:val="auto"/>
              <w:rPr>
                <w:rFonts w:ascii="Arial" w:hAnsi="Arial" w:eastAsia="华文细黑" w:cs="Arial"/>
                <w:sz w:val="18"/>
                <w:szCs w:val="18"/>
              </w:rPr>
            </w:pPr>
            <w:r>
              <w:rPr>
                <w:rFonts w:hint="eastAsia" w:ascii="Arial" w:hAnsi="Arial" w:eastAsia="华文细黑" w:cs="Arial"/>
                <w:sz w:val="18"/>
                <w:szCs w:val="18"/>
              </w:rPr>
              <w:t>配备家具、家电；程度较新；功能正常，质量有保证，较好</w:t>
            </w:r>
          </w:p>
        </w:tc>
      </w:tr>
    </w:tbl>
    <w:p w14:paraId="652DF54B">
      <w:pPr>
        <w:pStyle w:val="278"/>
        <w:wordWrap w:val="0"/>
        <w:overflowPunct w:val="0"/>
        <w:autoSpaceDE w:val="0"/>
        <w:autoSpaceDN w:val="0"/>
        <w:spacing w:before="120" w:beforeLines="50" w:line="480" w:lineRule="auto"/>
        <w:ind w:right="142" w:firstLine="420" w:firstLineChars="200"/>
        <w:jc w:val="both"/>
        <w:textAlignment w:val="auto"/>
        <w:rPr>
          <w:rFonts w:ascii="Arial" w:hAnsi="Arial" w:cs="Arial"/>
          <w:color w:val="000000"/>
          <w:sz w:val="21"/>
          <w:szCs w:val="21"/>
        </w:rPr>
      </w:pPr>
      <w:r>
        <w:rPr>
          <w:rFonts w:hint="eastAsia" w:ascii="Arial" w:hAnsi="Arial" w:cs="Arial"/>
          <w:color w:val="000000"/>
          <w:sz w:val="21"/>
          <w:szCs w:val="21"/>
        </w:rPr>
        <w:t>（</w:t>
      </w:r>
      <w:commentRangeStart w:id="1"/>
      <w:r>
        <w:rPr>
          <w:rFonts w:hint="eastAsia" w:ascii="Arial" w:hAnsi="Arial" w:cs="Arial"/>
          <w:kern w:val="2"/>
          <w:sz w:val="21"/>
          <w:szCs w:val="21"/>
        </w:rPr>
        <w:t>转下页</w:t>
      </w:r>
      <w:r>
        <w:rPr>
          <w:rFonts w:hint="eastAsia" w:ascii="Arial" w:hAnsi="Arial" w:cs="Arial"/>
          <w:color w:val="000000"/>
          <w:sz w:val="21"/>
          <w:szCs w:val="21"/>
        </w:rPr>
        <w:t>）</w:t>
      </w:r>
      <w:commentRangeEnd w:id="1"/>
      <w:r>
        <w:rPr>
          <w:rStyle w:val="37"/>
          <w:rFonts w:ascii="Times New Roman" w:eastAsia="宋体;SimSun"/>
        </w:rPr>
        <w:commentReference w:id="1"/>
      </w:r>
    </w:p>
    <w:p w14:paraId="3A8BE51D">
      <w:pPr>
        <w:rPr>
          <w:rFonts w:ascii="Arial" w:hAnsi="Arial" w:cs="Arial"/>
          <w:color w:val="000000"/>
          <w:sz w:val="21"/>
          <w:szCs w:val="21"/>
        </w:rPr>
      </w:pPr>
      <w:r>
        <w:rPr>
          <w:rFonts w:ascii="Arial" w:hAnsi="Arial" w:cs="Arial"/>
          <w:color w:val="000000"/>
          <w:sz w:val="21"/>
          <w:szCs w:val="21"/>
        </w:rPr>
        <w:br w:type="page"/>
      </w:r>
    </w:p>
    <w:p w14:paraId="6EB97BBA">
      <w:pPr>
        <w:pStyle w:val="270"/>
        <w:autoSpaceDE w:val="0"/>
        <w:spacing w:line="480" w:lineRule="auto"/>
        <w:ind w:firstLine="420"/>
        <w:jc w:val="center"/>
        <w:textAlignment w:val="bottom"/>
      </w:pPr>
      <w:r>
        <w:rPr>
          <w:rFonts w:ascii="Arial" w:hAnsi="Arial" w:cs="Arial"/>
          <w:color w:val="000000"/>
          <w:sz w:val="21"/>
          <w:szCs w:val="21"/>
        </w:rPr>
        <w:t>估价对象及样本小区位置示意图</w:t>
      </w:r>
    </w:p>
    <w:p w14:paraId="4D0F7DCA">
      <w:pPr>
        <w:pStyle w:val="270"/>
        <w:autoSpaceDE w:val="0"/>
        <w:spacing w:line="480" w:lineRule="auto"/>
        <w:jc w:val="center"/>
        <w:textAlignment w:val="bottom"/>
        <w:rPr>
          <w:lang w:val="zh-CN"/>
        </w:rPr>
      </w:pPr>
      <w:r>
        <w:drawing>
          <wp:inline distT="0" distB="0" distL="114300" distR="114300">
            <wp:extent cx="5902325" cy="3754755"/>
            <wp:effectExtent l="0" t="0" r="10795" b="9525"/>
            <wp:docPr id="2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8"/>
                    <pic:cNvPicPr>
                      <a:picLocks noChangeAspect="1"/>
                    </pic:cNvPicPr>
                  </pic:nvPicPr>
                  <pic:blipFill>
                    <a:blip r:embed="rId46"/>
                    <a:stretch>
                      <a:fillRect/>
                    </a:stretch>
                  </pic:blipFill>
                  <pic:spPr>
                    <a:xfrm>
                      <a:off x="0" y="0"/>
                      <a:ext cx="5902325" cy="3754755"/>
                    </a:xfrm>
                    <a:prstGeom prst="rect">
                      <a:avLst/>
                    </a:prstGeom>
                    <a:noFill/>
                    <a:ln>
                      <a:noFill/>
                    </a:ln>
                  </pic:spPr>
                </pic:pic>
              </a:graphicData>
            </a:graphic>
          </wp:inline>
        </w:drawing>
      </w:r>
    </w:p>
    <w:p w14:paraId="6EA9621F">
      <w:pPr>
        <w:pStyle w:val="278"/>
        <w:autoSpaceDE w:val="0"/>
        <w:autoSpaceDN w:val="0"/>
        <w:spacing w:line="480" w:lineRule="auto"/>
        <w:ind w:firstLine="420" w:firstLineChars="200"/>
        <w:jc w:val="both"/>
        <w:textAlignment w:val="bottom"/>
        <w:rPr>
          <w:rFonts w:ascii="Arial" w:hAnsi="Arial" w:cs="Arial"/>
          <w:color w:val="000000"/>
          <w:sz w:val="21"/>
          <w:szCs w:val="21"/>
        </w:rPr>
      </w:pPr>
      <w:r>
        <w:rPr>
          <w:rFonts w:hint="eastAsia" w:ascii="Arial" w:hAnsi="Arial" w:cs="Arial"/>
          <w:color w:val="000000"/>
          <w:sz w:val="21"/>
          <w:szCs w:val="21"/>
        </w:rPr>
        <w:t>（</w:t>
      </w:r>
      <w:r>
        <w:rPr>
          <w:rFonts w:hint="eastAsia" w:ascii="Arial" w:hAnsi="Arial" w:cs="Arial"/>
          <w:kern w:val="2"/>
          <w:sz w:val="21"/>
          <w:szCs w:val="21"/>
        </w:rPr>
        <w:t>转下页</w:t>
      </w:r>
      <w:r>
        <w:rPr>
          <w:rFonts w:hint="eastAsia" w:ascii="Arial" w:hAnsi="Arial" w:cs="Arial"/>
          <w:color w:val="000000"/>
          <w:sz w:val="21"/>
          <w:szCs w:val="21"/>
        </w:rPr>
        <w:t>）</w:t>
      </w:r>
    </w:p>
    <w:p w14:paraId="7B94B400">
      <w:pPr>
        <w:rPr>
          <w:rFonts w:hAnsi="宋体" w:cs="Arial"/>
          <w:color w:val="000000"/>
          <w:sz w:val="21"/>
          <w:szCs w:val="21"/>
        </w:rPr>
      </w:pPr>
      <w:r>
        <w:rPr>
          <w:rFonts w:hint="eastAsia" w:hAnsi="宋体" w:cs="Arial"/>
          <w:color w:val="000000"/>
          <w:sz w:val="21"/>
          <w:szCs w:val="21"/>
        </w:rPr>
        <w:br w:type="page"/>
      </w:r>
    </w:p>
    <w:p w14:paraId="2A6E74A0">
      <w:pPr>
        <w:rPr>
          <w:rFonts w:ascii="Arial" w:hAnsi="Arial" w:cs="Arial"/>
          <w:color w:val="000000"/>
          <w:sz w:val="21"/>
          <w:szCs w:val="21"/>
        </w:rPr>
      </w:pPr>
      <w:r>
        <w:rPr>
          <w:rFonts w:hint="eastAsia" w:hAnsi="宋体" w:cs="Arial"/>
          <w:color w:val="000000"/>
          <w:sz w:val="21"/>
          <w:szCs w:val="21"/>
        </w:rPr>
        <w:t>（2）</w:t>
      </w:r>
      <w:r>
        <w:rPr>
          <w:rFonts w:hint="eastAsia" w:ascii="Arial" w:hAnsi="Arial" w:cs="Arial"/>
          <w:color w:val="000000"/>
          <w:sz w:val="21"/>
          <w:szCs w:val="21"/>
        </w:rPr>
        <w:t>样本数据统计分析</w:t>
      </w:r>
    </w:p>
    <w:p w14:paraId="3BDE5338">
      <w:pPr>
        <w:pStyle w:val="278"/>
        <w:autoSpaceDE w:val="0"/>
        <w:autoSpaceDN w:val="0"/>
        <w:spacing w:before="240" w:beforeLines="100" w:line="480" w:lineRule="auto"/>
        <w:ind w:firstLine="420" w:firstLineChars="200"/>
        <w:jc w:val="both"/>
        <w:textAlignment w:val="bottom"/>
        <w:rPr>
          <w:rFonts w:ascii="Arial" w:hAnsi="Arial" w:cs="Arial"/>
          <w:color w:val="000000"/>
          <w:sz w:val="21"/>
          <w:szCs w:val="21"/>
        </w:rPr>
      </w:pPr>
      <w:r>
        <w:rPr>
          <w:rFonts w:hint="eastAsia" w:ascii="Arial" w:hAnsi="Arial" w:cs="Arial"/>
          <w:color w:val="000000"/>
          <w:sz w:val="21"/>
          <w:szCs w:val="21"/>
        </w:rPr>
        <w:t>本次评估估价对象周边区域住宅小区近一年平均租金水平数据来源为估价机构监测数据、行业主管部门（北京市房地产市场管理事务中心）监测数据和估价机构市场调查三方面数据，三方面数据情况分别如下：</w:t>
      </w:r>
    </w:p>
    <w:p w14:paraId="60447A29">
      <w:pPr>
        <w:pStyle w:val="278"/>
        <w:autoSpaceDE w:val="0"/>
        <w:autoSpaceDN w:val="0"/>
        <w:spacing w:line="480" w:lineRule="auto"/>
        <w:ind w:firstLine="420" w:firstLineChars="200"/>
        <w:jc w:val="both"/>
        <w:textAlignment w:val="bottom"/>
        <w:rPr>
          <w:rFonts w:ascii="Arial" w:hAnsi="Arial" w:cs="Arial"/>
          <w:color w:val="000000"/>
          <w:sz w:val="21"/>
          <w:szCs w:val="21"/>
        </w:rPr>
      </w:pPr>
      <w:r>
        <w:rPr>
          <w:rFonts w:hint="eastAsia" w:ascii="Arial" w:hAnsi="Arial" w:cs="Arial"/>
          <w:color w:val="000000"/>
          <w:sz w:val="21"/>
          <w:szCs w:val="21"/>
        </w:rPr>
        <w:t>A.估价机构监测数据</w:t>
      </w:r>
    </w:p>
    <w:p w14:paraId="09490773">
      <w:pPr>
        <w:pStyle w:val="278"/>
        <w:autoSpaceDE w:val="0"/>
        <w:autoSpaceDN w:val="0"/>
        <w:spacing w:line="240" w:lineRule="auto"/>
        <w:ind w:firstLine="420" w:firstLineChars="200"/>
        <w:jc w:val="both"/>
        <w:textAlignment w:val="bottom"/>
        <w:rPr>
          <w:rFonts w:ascii="Arial" w:hAnsi="Arial" w:cs="Arial"/>
          <w:color w:val="000000"/>
          <w:sz w:val="21"/>
          <w:szCs w:val="21"/>
        </w:rPr>
      </w:pPr>
      <w:r>
        <w:rPr>
          <w:rFonts w:hint="eastAsia" w:ascii="Arial" w:hAnsi="Arial" w:cs="Arial"/>
          <w:color w:val="000000"/>
          <w:sz w:val="21"/>
          <w:szCs w:val="21"/>
        </w:rPr>
        <w:t>样本小区一：招商臻珑府</w:t>
      </w:r>
    </w:p>
    <w:tbl>
      <w:tblPr>
        <w:tblStyle w:val="33"/>
        <w:tblW w:w="5000" w:type="pct"/>
        <w:tblInd w:w="0" w:type="dxa"/>
        <w:tblLayout w:type="autofit"/>
        <w:tblCellMar>
          <w:top w:w="0" w:type="dxa"/>
          <w:left w:w="108" w:type="dxa"/>
          <w:bottom w:w="0" w:type="dxa"/>
          <w:right w:w="108" w:type="dxa"/>
        </w:tblCellMar>
      </w:tblPr>
      <w:tblGrid>
        <w:gridCol w:w="3444"/>
        <w:gridCol w:w="1785"/>
        <w:gridCol w:w="4285"/>
      </w:tblGrid>
      <w:tr w14:paraId="2C5A54F4">
        <w:tblPrEx>
          <w:tblCellMar>
            <w:top w:w="0" w:type="dxa"/>
            <w:left w:w="108" w:type="dxa"/>
            <w:bottom w:w="0" w:type="dxa"/>
            <w:right w:w="108" w:type="dxa"/>
          </w:tblCellMar>
        </w:tblPrEx>
        <w:trPr>
          <w:trHeight w:val="20" w:hRule="atLeast"/>
          <w:tblHeader/>
        </w:trPr>
        <w:tc>
          <w:tcPr>
            <w:tcW w:w="1810" w:type="pct"/>
            <w:tcBorders>
              <w:top w:val="single" w:color="auto" w:sz="4" w:space="0"/>
              <w:left w:val="single" w:color="auto" w:sz="4" w:space="0"/>
              <w:bottom w:val="single" w:color="auto" w:sz="4" w:space="0"/>
              <w:right w:val="single" w:color="auto" w:sz="4" w:space="0"/>
            </w:tcBorders>
            <w:vAlign w:val="center"/>
          </w:tcPr>
          <w:p w14:paraId="0C10D099">
            <w:pPr>
              <w:widowControl/>
              <w:spacing w:line="240" w:lineRule="atLeast"/>
              <w:jc w:val="center"/>
              <w:textAlignment w:val="auto"/>
              <w:rPr>
                <w:rFonts w:ascii="华文细黑" w:hAnsi="华文细黑" w:eastAsia="华文细黑" w:cs="宋体"/>
                <w:sz w:val="18"/>
                <w:szCs w:val="18"/>
              </w:rPr>
            </w:pPr>
            <w:r>
              <w:rPr>
                <w:rFonts w:hint="eastAsia" w:ascii="华文细黑" w:hAnsi="华文细黑" w:eastAsia="华文细黑" w:cs="宋体"/>
                <w:sz w:val="18"/>
                <w:szCs w:val="18"/>
              </w:rPr>
              <w:t>时间</w:t>
            </w:r>
          </w:p>
        </w:tc>
        <w:tc>
          <w:tcPr>
            <w:tcW w:w="938" w:type="pct"/>
            <w:tcBorders>
              <w:top w:val="single" w:color="auto" w:sz="4" w:space="0"/>
              <w:left w:val="nil"/>
              <w:bottom w:val="single" w:color="auto" w:sz="4" w:space="0"/>
              <w:right w:val="single" w:color="auto" w:sz="4" w:space="0"/>
            </w:tcBorders>
            <w:vAlign w:val="center"/>
          </w:tcPr>
          <w:p w14:paraId="53F1D4A5">
            <w:pPr>
              <w:widowControl/>
              <w:spacing w:line="240" w:lineRule="atLeast"/>
              <w:jc w:val="center"/>
              <w:textAlignment w:val="auto"/>
              <w:rPr>
                <w:rFonts w:ascii="华文细黑" w:hAnsi="华文细黑" w:eastAsia="华文细黑" w:cs="宋体"/>
                <w:sz w:val="18"/>
                <w:szCs w:val="18"/>
              </w:rPr>
            </w:pPr>
            <w:r>
              <w:rPr>
                <w:rFonts w:hint="eastAsia" w:ascii="华文细黑" w:hAnsi="华文细黑" w:eastAsia="华文细黑" w:cs="宋体"/>
                <w:sz w:val="18"/>
                <w:szCs w:val="18"/>
              </w:rPr>
              <w:t>样本数量</w:t>
            </w:r>
          </w:p>
        </w:tc>
        <w:tc>
          <w:tcPr>
            <w:tcW w:w="2252" w:type="pct"/>
            <w:tcBorders>
              <w:top w:val="single" w:color="auto" w:sz="4" w:space="0"/>
              <w:left w:val="nil"/>
              <w:bottom w:val="single" w:color="auto" w:sz="4" w:space="0"/>
              <w:right w:val="single" w:color="auto" w:sz="4" w:space="0"/>
            </w:tcBorders>
            <w:vAlign w:val="center"/>
          </w:tcPr>
          <w:p w14:paraId="6964A504">
            <w:pPr>
              <w:widowControl/>
              <w:spacing w:line="240" w:lineRule="atLeast"/>
              <w:jc w:val="center"/>
              <w:textAlignment w:val="auto"/>
              <w:rPr>
                <w:rFonts w:ascii="华文细黑" w:hAnsi="华文细黑" w:eastAsia="华文细黑" w:cs="宋体"/>
                <w:sz w:val="18"/>
                <w:szCs w:val="18"/>
              </w:rPr>
            </w:pPr>
            <w:r>
              <w:rPr>
                <w:rFonts w:hint="eastAsia" w:ascii="华文细黑" w:hAnsi="华文细黑" w:eastAsia="华文细黑" w:cs="宋体"/>
                <w:sz w:val="18"/>
                <w:szCs w:val="18"/>
              </w:rPr>
              <w:t>租金平均单价（元/平方米·月）</w:t>
            </w:r>
          </w:p>
        </w:tc>
      </w:tr>
      <w:tr w14:paraId="1090F2B1">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2888D736">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2024-10</w:t>
            </w:r>
          </w:p>
        </w:tc>
        <w:tc>
          <w:tcPr>
            <w:tcW w:w="938" w:type="pct"/>
            <w:tcBorders>
              <w:top w:val="nil"/>
              <w:left w:val="nil"/>
              <w:bottom w:val="single" w:color="auto" w:sz="4" w:space="0"/>
              <w:right w:val="single" w:color="auto" w:sz="4" w:space="0"/>
            </w:tcBorders>
            <w:vAlign w:val="center"/>
          </w:tcPr>
          <w:p w14:paraId="707F9651">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0</w:t>
            </w:r>
          </w:p>
        </w:tc>
        <w:tc>
          <w:tcPr>
            <w:tcW w:w="4286" w:type="dxa"/>
            <w:tcBorders>
              <w:top w:val="nil"/>
              <w:left w:val="nil"/>
              <w:bottom w:val="single" w:color="auto" w:sz="4" w:space="0"/>
              <w:right w:val="single" w:color="auto" w:sz="4" w:space="0"/>
            </w:tcBorders>
            <w:vAlign w:val="center"/>
          </w:tcPr>
          <w:p w14:paraId="236EBA36">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w:t>
            </w:r>
          </w:p>
        </w:tc>
      </w:tr>
      <w:tr w14:paraId="181AE905">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2A75C85C">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2024-11</w:t>
            </w:r>
          </w:p>
        </w:tc>
        <w:tc>
          <w:tcPr>
            <w:tcW w:w="938" w:type="pct"/>
            <w:tcBorders>
              <w:top w:val="nil"/>
              <w:left w:val="nil"/>
              <w:bottom w:val="single" w:color="auto" w:sz="4" w:space="0"/>
              <w:right w:val="single" w:color="auto" w:sz="4" w:space="0"/>
            </w:tcBorders>
          </w:tcPr>
          <w:p w14:paraId="3B71E269">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0</w:t>
            </w:r>
          </w:p>
        </w:tc>
        <w:tc>
          <w:tcPr>
            <w:tcW w:w="4286" w:type="dxa"/>
            <w:tcBorders>
              <w:top w:val="nil"/>
              <w:left w:val="nil"/>
              <w:bottom w:val="single" w:color="auto" w:sz="4" w:space="0"/>
              <w:right w:val="single" w:color="auto" w:sz="4" w:space="0"/>
            </w:tcBorders>
            <w:vAlign w:val="center"/>
          </w:tcPr>
          <w:p w14:paraId="07350A9A">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w:t>
            </w:r>
          </w:p>
        </w:tc>
      </w:tr>
      <w:tr w14:paraId="13418FC5">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72E060A7">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2024-12</w:t>
            </w:r>
          </w:p>
        </w:tc>
        <w:tc>
          <w:tcPr>
            <w:tcW w:w="938" w:type="pct"/>
            <w:tcBorders>
              <w:top w:val="nil"/>
              <w:left w:val="nil"/>
              <w:bottom w:val="single" w:color="auto" w:sz="4" w:space="0"/>
              <w:right w:val="single" w:color="auto" w:sz="4" w:space="0"/>
            </w:tcBorders>
          </w:tcPr>
          <w:p w14:paraId="053AF40B">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0</w:t>
            </w:r>
          </w:p>
        </w:tc>
        <w:tc>
          <w:tcPr>
            <w:tcW w:w="4286" w:type="dxa"/>
            <w:tcBorders>
              <w:top w:val="nil"/>
              <w:left w:val="nil"/>
              <w:bottom w:val="single" w:color="auto" w:sz="4" w:space="0"/>
              <w:right w:val="single" w:color="auto" w:sz="4" w:space="0"/>
            </w:tcBorders>
            <w:vAlign w:val="center"/>
          </w:tcPr>
          <w:p w14:paraId="610A77CA">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w:t>
            </w:r>
          </w:p>
        </w:tc>
      </w:tr>
      <w:tr w14:paraId="4477534E">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39090E2B">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2025-1</w:t>
            </w:r>
          </w:p>
        </w:tc>
        <w:tc>
          <w:tcPr>
            <w:tcW w:w="938" w:type="pct"/>
            <w:tcBorders>
              <w:top w:val="nil"/>
              <w:left w:val="nil"/>
              <w:bottom w:val="single" w:color="auto" w:sz="4" w:space="0"/>
              <w:right w:val="single" w:color="auto" w:sz="4" w:space="0"/>
            </w:tcBorders>
          </w:tcPr>
          <w:p w14:paraId="48063247">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6" w:type="dxa"/>
            <w:tcBorders>
              <w:top w:val="nil"/>
              <w:left w:val="nil"/>
              <w:bottom w:val="single" w:color="auto" w:sz="4" w:space="0"/>
              <w:right w:val="single" w:color="auto" w:sz="4" w:space="0"/>
            </w:tcBorders>
            <w:vAlign w:val="center"/>
          </w:tcPr>
          <w:p w14:paraId="306A2D93">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81.65</w:t>
            </w:r>
          </w:p>
        </w:tc>
      </w:tr>
      <w:tr w14:paraId="5486795D">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273A7077">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2025-2</w:t>
            </w:r>
          </w:p>
        </w:tc>
        <w:tc>
          <w:tcPr>
            <w:tcW w:w="938" w:type="pct"/>
            <w:tcBorders>
              <w:top w:val="nil"/>
              <w:left w:val="nil"/>
              <w:bottom w:val="single" w:color="auto" w:sz="4" w:space="0"/>
              <w:right w:val="single" w:color="auto" w:sz="4" w:space="0"/>
            </w:tcBorders>
          </w:tcPr>
          <w:p w14:paraId="464363B8">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6" w:type="dxa"/>
            <w:tcBorders>
              <w:top w:val="nil"/>
              <w:left w:val="nil"/>
              <w:bottom w:val="single" w:color="auto" w:sz="4" w:space="0"/>
              <w:right w:val="single" w:color="auto" w:sz="4" w:space="0"/>
            </w:tcBorders>
            <w:vAlign w:val="center"/>
          </w:tcPr>
          <w:p w14:paraId="590256E3">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84.14</w:t>
            </w:r>
          </w:p>
        </w:tc>
      </w:tr>
      <w:tr w14:paraId="4202C760">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13774017">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2025-3</w:t>
            </w:r>
          </w:p>
        </w:tc>
        <w:tc>
          <w:tcPr>
            <w:tcW w:w="938" w:type="pct"/>
            <w:tcBorders>
              <w:top w:val="nil"/>
              <w:left w:val="nil"/>
              <w:bottom w:val="single" w:color="auto" w:sz="4" w:space="0"/>
              <w:right w:val="single" w:color="auto" w:sz="4" w:space="0"/>
            </w:tcBorders>
          </w:tcPr>
          <w:p w14:paraId="416D83D8">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0</w:t>
            </w:r>
          </w:p>
        </w:tc>
        <w:tc>
          <w:tcPr>
            <w:tcW w:w="4286" w:type="dxa"/>
            <w:tcBorders>
              <w:top w:val="nil"/>
              <w:left w:val="nil"/>
              <w:bottom w:val="single" w:color="auto" w:sz="4" w:space="0"/>
              <w:right w:val="single" w:color="auto" w:sz="4" w:space="0"/>
            </w:tcBorders>
            <w:vAlign w:val="center"/>
          </w:tcPr>
          <w:p w14:paraId="696C2BBE">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w:t>
            </w:r>
          </w:p>
        </w:tc>
      </w:tr>
      <w:tr w14:paraId="23082801">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6AB24816">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2025-4</w:t>
            </w:r>
          </w:p>
        </w:tc>
        <w:tc>
          <w:tcPr>
            <w:tcW w:w="938" w:type="pct"/>
            <w:tcBorders>
              <w:top w:val="nil"/>
              <w:left w:val="nil"/>
              <w:bottom w:val="single" w:color="auto" w:sz="4" w:space="0"/>
              <w:right w:val="single" w:color="auto" w:sz="4" w:space="0"/>
            </w:tcBorders>
          </w:tcPr>
          <w:p w14:paraId="0252174E">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0</w:t>
            </w:r>
          </w:p>
        </w:tc>
        <w:tc>
          <w:tcPr>
            <w:tcW w:w="4286" w:type="dxa"/>
            <w:tcBorders>
              <w:top w:val="nil"/>
              <w:left w:val="nil"/>
              <w:bottom w:val="single" w:color="auto" w:sz="4" w:space="0"/>
              <w:right w:val="single" w:color="auto" w:sz="4" w:space="0"/>
            </w:tcBorders>
            <w:vAlign w:val="center"/>
          </w:tcPr>
          <w:p w14:paraId="4EFA9542">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w:t>
            </w:r>
          </w:p>
        </w:tc>
      </w:tr>
      <w:tr w14:paraId="60ABB149">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0EEAA2E2">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2025-5</w:t>
            </w:r>
          </w:p>
        </w:tc>
        <w:tc>
          <w:tcPr>
            <w:tcW w:w="938" w:type="pct"/>
            <w:tcBorders>
              <w:top w:val="nil"/>
              <w:left w:val="nil"/>
              <w:bottom w:val="single" w:color="auto" w:sz="4" w:space="0"/>
              <w:right w:val="single" w:color="auto" w:sz="4" w:space="0"/>
            </w:tcBorders>
          </w:tcPr>
          <w:p w14:paraId="53A7C794">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6" w:type="dxa"/>
            <w:tcBorders>
              <w:top w:val="nil"/>
              <w:left w:val="nil"/>
              <w:bottom w:val="single" w:color="auto" w:sz="4" w:space="0"/>
              <w:right w:val="single" w:color="auto" w:sz="4" w:space="0"/>
            </w:tcBorders>
            <w:vAlign w:val="center"/>
          </w:tcPr>
          <w:p w14:paraId="453F75F9">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85.1</w:t>
            </w:r>
          </w:p>
        </w:tc>
      </w:tr>
      <w:tr w14:paraId="67A6BCEE">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206C18F8">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2025-6</w:t>
            </w:r>
          </w:p>
        </w:tc>
        <w:tc>
          <w:tcPr>
            <w:tcW w:w="938" w:type="pct"/>
            <w:tcBorders>
              <w:top w:val="nil"/>
              <w:left w:val="nil"/>
              <w:bottom w:val="single" w:color="auto" w:sz="4" w:space="0"/>
              <w:right w:val="single" w:color="auto" w:sz="4" w:space="0"/>
            </w:tcBorders>
          </w:tcPr>
          <w:p w14:paraId="67BA6FF6">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6" w:type="dxa"/>
            <w:tcBorders>
              <w:top w:val="nil"/>
              <w:left w:val="nil"/>
              <w:bottom w:val="single" w:color="auto" w:sz="4" w:space="0"/>
              <w:right w:val="single" w:color="auto" w:sz="4" w:space="0"/>
            </w:tcBorders>
            <w:vAlign w:val="center"/>
          </w:tcPr>
          <w:p w14:paraId="4696460B">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81.02</w:t>
            </w:r>
          </w:p>
        </w:tc>
      </w:tr>
      <w:tr w14:paraId="22DF2321">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09FA4A58">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2025-7</w:t>
            </w:r>
          </w:p>
        </w:tc>
        <w:tc>
          <w:tcPr>
            <w:tcW w:w="938" w:type="pct"/>
            <w:tcBorders>
              <w:top w:val="nil"/>
              <w:left w:val="nil"/>
              <w:bottom w:val="single" w:color="auto" w:sz="4" w:space="0"/>
              <w:right w:val="single" w:color="auto" w:sz="4" w:space="0"/>
            </w:tcBorders>
          </w:tcPr>
          <w:p w14:paraId="11DE215E">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6" w:type="dxa"/>
            <w:tcBorders>
              <w:top w:val="nil"/>
              <w:left w:val="nil"/>
              <w:bottom w:val="single" w:color="auto" w:sz="4" w:space="0"/>
              <w:right w:val="single" w:color="auto" w:sz="4" w:space="0"/>
            </w:tcBorders>
            <w:vAlign w:val="center"/>
          </w:tcPr>
          <w:p w14:paraId="70BBB176">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81.36</w:t>
            </w:r>
          </w:p>
        </w:tc>
      </w:tr>
      <w:tr w14:paraId="1BB8BBCF">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13AA1B56">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2025-8</w:t>
            </w:r>
          </w:p>
        </w:tc>
        <w:tc>
          <w:tcPr>
            <w:tcW w:w="938" w:type="pct"/>
            <w:tcBorders>
              <w:top w:val="nil"/>
              <w:left w:val="nil"/>
              <w:bottom w:val="single" w:color="auto" w:sz="4" w:space="0"/>
              <w:right w:val="single" w:color="auto" w:sz="4" w:space="0"/>
            </w:tcBorders>
          </w:tcPr>
          <w:p w14:paraId="5C6B18A3">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6" w:type="dxa"/>
            <w:tcBorders>
              <w:top w:val="nil"/>
              <w:left w:val="nil"/>
              <w:bottom w:val="single" w:color="auto" w:sz="4" w:space="0"/>
              <w:right w:val="single" w:color="auto" w:sz="4" w:space="0"/>
            </w:tcBorders>
            <w:vAlign w:val="center"/>
          </w:tcPr>
          <w:p w14:paraId="46CD2966">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82.01</w:t>
            </w:r>
          </w:p>
        </w:tc>
      </w:tr>
      <w:tr w14:paraId="3EBF5AC1">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4479BD9F">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2025-9</w:t>
            </w:r>
          </w:p>
        </w:tc>
        <w:tc>
          <w:tcPr>
            <w:tcW w:w="938" w:type="pct"/>
            <w:tcBorders>
              <w:top w:val="nil"/>
              <w:left w:val="nil"/>
              <w:bottom w:val="single" w:color="auto" w:sz="4" w:space="0"/>
              <w:right w:val="single" w:color="auto" w:sz="4" w:space="0"/>
            </w:tcBorders>
          </w:tcPr>
          <w:p w14:paraId="5FC65CBC">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0</w:t>
            </w:r>
          </w:p>
        </w:tc>
        <w:tc>
          <w:tcPr>
            <w:tcW w:w="4286" w:type="dxa"/>
            <w:tcBorders>
              <w:top w:val="nil"/>
              <w:left w:val="nil"/>
              <w:bottom w:val="single" w:color="auto" w:sz="4" w:space="0"/>
              <w:right w:val="single" w:color="auto" w:sz="4" w:space="0"/>
            </w:tcBorders>
            <w:vAlign w:val="center"/>
          </w:tcPr>
          <w:p w14:paraId="148808BA">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w:t>
            </w:r>
          </w:p>
        </w:tc>
      </w:tr>
      <w:tr w14:paraId="7C3A2E1E">
        <w:tblPrEx>
          <w:tblCellMar>
            <w:top w:w="0" w:type="dxa"/>
            <w:left w:w="108" w:type="dxa"/>
            <w:bottom w:w="0" w:type="dxa"/>
            <w:right w:w="108" w:type="dxa"/>
          </w:tblCellMar>
        </w:tblPrEx>
        <w:trPr>
          <w:trHeight w:val="20" w:hRule="atLeast"/>
        </w:trPr>
        <w:tc>
          <w:tcPr>
            <w:tcW w:w="2748" w:type="pct"/>
            <w:gridSpan w:val="2"/>
            <w:tcBorders>
              <w:top w:val="single" w:color="auto" w:sz="4" w:space="0"/>
              <w:left w:val="single" w:color="auto" w:sz="4" w:space="0"/>
              <w:bottom w:val="single" w:color="auto" w:sz="4" w:space="0"/>
              <w:right w:val="single" w:color="auto" w:sz="4" w:space="0"/>
            </w:tcBorders>
            <w:vAlign w:val="center"/>
          </w:tcPr>
          <w:p w14:paraId="3F18545C">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平均月租金</w:t>
            </w:r>
          </w:p>
        </w:tc>
        <w:tc>
          <w:tcPr>
            <w:tcW w:w="2252" w:type="pct"/>
            <w:tcBorders>
              <w:top w:val="nil"/>
              <w:left w:val="nil"/>
              <w:bottom w:val="single" w:color="auto" w:sz="4" w:space="0"/>
              <w:right w:val="single" w:color="auto" w:sz="4" w:space="0"/>
            </w:tcBorders>
            <w:vAlign w:val="center"/>
          </w:tcPr>
          <w:p w14:paraId="3D53E64E">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82.55</w:t>
            </w:r>
          </w:p>
        </w:tc>
      </w:tr>
    </w:tbl>
    <w:p w14:paraId="66BAC8BA">
      <w:pPr>
        <w:pStyle w:val="278"/>
        <w:autoSpaceDE w:val="0"/>
        <w:autoSpaceDN w:val="0"/>
        <w:spacing w:before="240" w:beforeLines="100" w:line="240" w:lineRule="auto"/>
        <w:ind w:firstLine="420" w:firstLineChars="200"/>
        <w:jc w:val="both"/>
        <w:textAlignment w:val="bottom"/>
        <w:rPr>
          <w:rFonts w:ascii="Arial" w:hAnsi="Arial" w:cs="Arial"/>
          <w:color w:val="000000"/>
          <w:sz w:val="21"/>
          <w:szCs w:val="21"/>
        </w:rPr>
      </w:pPr>
      <w:r>
        <w:rPr>
          <w:rFonts w:hint="eastAsia" w:ascii="Arial" w:hAnsi="Arial" w:cs="Arial"/>
          <w:color w:val="000000"/>
          <w:sz w:val="21"/>
          <w:szCs w:val="21"/>
        </w:rPr>
        <w:t>样本小区二：</w:t>
      </w:r>
      <w:r>
        <w:rPr>
          <w:rFonts w:ascii="Arial" w:hAnsi="Arial" w:cs="Arial"/>
          <w:color w:val="000000"/>
          <w:sz w:val="21"/>
          <w:szCs w:val="21"/>
        </w:rPr>
        <w:t>北京经开·汀塘</w:t>
      </w:r>
    </w:p>
    <w:tbl>
      <w:tblPr>
        <w:tblStyle w:val="33"/>
        <w:tblW w:w="5000" w:type="pct"/>
        <w:tblInd w:w="0" w:type="dxa"/>
        <w:tblLayout w:type="autofit"/>
        <w:tblCellMar>
          <w:top w:w="0" w:type="dxa"/>
          <w:left w:w="108" w:type="dxa"/>
          <w:bottom w:w="0" w:type="dxa"/>
          <w:right w:w="108" w:type="dxa"/>
        </w:tblCellMar>
      </w:tblPr>
      <w:tblGrid>
        <w:gridCol w:w="3444"/>
        <w:gridCol w:w="1785"/>
        <w:gridCol w:w="4285"/>
      </w:tblGrid>
      <w:tr w14:paraId="6CA86A92">
        <w:tblPrEx>
          <w:tblCellMar>
            <w:top w:w="0" w:type="dxa"/>
            <w:left w:w="108" w:type="dxa"/>
            <w:bottom w:w="0" w:type="dxa"/>
            <w:right w:w="108" w:type="dxa"/>
          </w:tblCellMar>
        </w:tblPrEx>
        <w:trPr>
          <w:trHeight w:val="20" w:hRule="atLeast"/>
          <w:tblHeader/>
        </w:trPr>
        <w:tc>
          <w:tcPr>
            <w:tcW w:w="1810" w:type="pct"/>
            <w:tcBorders>
              <w:top w:val="single" w:color="auto" w:sz="4" w:space="0"/>
              <w:left w:val="single" w:color="auto" w:sz="4" w:space="0"/>
              <w:bottom w:val="single" w:color="auto" w:sz="4" w:space="0"/>
              <w:right w:val="single" w:color="auto" w:sz="4" w:space="0"/>
            </w:tcBorders>
            <w:vAlign w:val="center"/>
          </w:tcPr>
          <w:p w14:paraId="7EE686A0">
            <w:pPr>
              <w:widowControl/>
              <w:spacing w:line="240" w:lineRule="atLeast"/>
              <w:jc w:val="center"/>
              <w:textAlignment w:val="auto"/>
              <w:rPr>
                <w:rFonts w:ascii="华文细黑" w:hAnsi="华文细黑" w:eastAsia="华文细黑" w:cs="宋体"/>
                <w:sz w:val="18"/>
                <w:szCs w:val="18"/>
              </w:rPr>
            </w:pPr>
            <w:r>
              <w:rPr>
                <w:rFonts w:hint="eastAsia" w:ascii="华文细黑" w:hAnsi="华文细黑" w:eastAsia="华文细黑" w:cs="宋体"/>
                <w:sz w:val="18"/>
                <w:szCs w:val="18"/>
              </w:rPr>
              <w:t>时间</w:t>
            </w:r>
          </w:p>
        </w:tc>
        <w:tc>
          <w:tcPr>
            <w:tcW w:w="938" w:type="pct"/>
            <w:tcBorders>
              <w:top w:val="single" w:color="auto" w:sz="4" w:space="0"/>
              <w:left w:val="nil"/>
              <w:bottom w:val="single" w:color="auto" w:sz="4" w:space="0"/>
              <w:right w:val="single" w:color="auto" w:sz="4" w:space="0"/>
            </w:tcBorders>
            <w:vAlign w:val="center"/>
          </w:tcPr>
          <w:p w14:paraId="6E3C172A">
            <w:pPr>
              <w:widowControl/>
              <w:spacing w:line="240" w:lineRule="atLeast"/>
              <w:jc w:val="center"/>
              <w:textAlignment w:val="auto"/>
              <w:rPr>
                <w:rFonts w:ascii="华文细黑" w:hAnsi="华文细黑" w:eastAsia="华文细黑" w:cs="宋体"/>
                <w:sz w:val="18"/>
                <w:szCs w:val="18"/>
              </w:rPr>
            </w:pPr>
            <w:r>
              <w:rPr>
                <w:rFonts w:hint="eastAsia" w:ascii="华文细黑" w:hAnsi="华文细黑" w:eastAsia="华文细黑" w:cs="宋体"/>
                <w:sz w:val="18"/>
                <w:szCs w:val="18"/>
              </w:rPr>
              <w:t>样本数量</w:t>
            </w:r>
          </w:p>
        </w:tc>
        <w:tc>
          <w:tcPr>
            <w:tcW w:w="2252" w:type="pct"/>
            <w:tcBorders>
              <w:top w:val="single" w:color="auto" w:sz="4" w:space="0"/>
              <w:left w:val="nil"/>
              <w:bottom w:val="single" w:color="auto" w:sz="4" w:space="0"/>
              <w:right w:val="single" w:color="auto" w:sz="4" w:space="0"/>
            </w:tcBorders>
            <w:vAlign w:val="center"/>
          </w:tcPr>
          <w:p w14:paraId="68277CF9">
            <w:pPr>
              <w:widowControl/>
              <w:spacing w:line="240" w:lineRule="atLeast"/>
              <w:jc w:val="center"/>
              <w:textAlignment w:val="auto"/>
              <w:rPr>
                <w:rFonts w:ascii="华文细黑" w:hAnsi="华文细黑" w:eastAsia="华文细黑" w:cs="宋体"/>
                <w:sz w:val="18"/>
                <w:szCs w:val="18"/>
              </w:rPr>
            </w:pPr>
            <w:r>
              <w:rPr>
                <w:rFonts w:hint="eastAsia" w:ascii="华文细黑" w:hAnsi="华文细黑" w:eastAsia="华文细黑" w:cs="宋体"/>
                <w:sz w:val="18"/>
                <w:szCs w:val="18"/>
              </w:rPr>
              <w:t>租金平均单价（元/平方米·月）</w:t>
            </w:r>
          </w:p>
        </w:tc>
      </w:tr>
      <w:tr w14:paraId="672BBF6C">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3A3C0CC2">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2024-10</w:t>
            </w:r>
          </w:p>
        </w:tc>
        <w:tc>
          <w:tcPr>
            <w:tcW w:w="938" w:type="pct"/>
            <w:tcBorders>
              <w:top w:val="nil"/>
              <w:left w:val="nil"/>
              <w:bottom w:val="single" w:color="auto" w:sz="4" w:space="0"/>
              <w:right w:val="single" w:color="auto" w:sz="4" w:space="0"/>
            </w:tcBorders>
            <w:vAlign w:val="center"/>
          </w:tcPr>
          <w:p w14:paraId="00ADE818">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6" w:type="dxa"/>
            <w:tcBorders>
              <w:top w:val="nil"/>
              <w:left w:val="nil"/>
              <w:bottom w:val="single" w:color="auto" w:sz="4" w:space="0"/>
              <w:right w:val="single" w:color="auto" w:sz="4" w:space="0"/>
            </w:tcBorders>
            <w:vAlign w:val="center"/>
          </w:tcPr>
          <w:p w14:paraId="4EF4FA56">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84.83</w:t>
            </w:r>
          </w:p>
        </w:tc>
      </w:tr>
      <w:tr w14:paraId="6CA8FE0A">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6E3A2C9A">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2024-11</w:t>
            </w:r>
          </w:p>
        </w:tc>
        <w:tc>
          <w:tcPr>
            <w:tcW w:w="938" w:type="pct"/>
            <w:tcBorders>
              <w:top w:val="nil"/>
              <w:left w:val="nil"/>
              <w:bottom w:val="single" w:color="auto" w:sz="4" w:space="0"/>
              <w:right w:val="single" w:color="auto" w:sz="4" w:space="0"/>
            </w:tcBorders>
          </w:tcPr>
          <w:p w14:paraId="027E2461">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6" w:type="dxa"/>
            <w:tcBorders>
              <w:top w:val="nil"/>
              <w:left w:val="nil"/>
              <w:bottom w:val="single" w:color="auto" w:sz="4" w:space="0"/>
              <w:right w:val="single" w:color="auto" w:sz="4" w:space="0"/>
            </w:tcBorders>
            <w:vAlign w:val="center"/>
          </w:tcPr>
          <w:p w14:paraId="115FE314">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85.07</w:t>
            </w:r>
          </w:p>
        </w:tc>
      </w:tr>
      <w:tr w14:paraId="4C02E054">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221A1EC0">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2024-12</w:t>
            </w:r>
          </w:p>
        </w:tc>
        <w:tc>
          <w:tcPr>
            <w:tcW w:w="938" w:type="pct"/>
            <w:tcBorders>
              <w:top w:val="nil"/>
              <w:left w:val="nil"/>
              <w:bottom w:val="single" w:color="auto" w:sz="4" w:space="0"/>
              <w:right w:val="single" w:color="auto" w:sz="4" w:space="0"/>
            </w:tcBorders>
          </w:tcPr>
          <w:p w14:paraId="3F4BB538">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6" w:type="dxa"/>
            <w:tcBorders>
              <w:top w:val="nil"/>
              <w:left w:val="nil"/>
              <w:bottom w:val="single" w:color="auto" w:sz="4" w:space="0"/>
              <w:right w:val="single" w:color="auto" w:sz="4" w:space="0"/>
            </w:tcBorders>
            <w:vAlign w:val="center"/>
          </w:tcPr>
          <w:p w14:paraId="46678B49">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84.21</w:t>
            </w:r>
          </w:p>
        </w:tc>
      </w:tr>
      <w:tr w14:paraId="3E2703D4">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732F6631">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2025-1</w:t>
            </w:r>
          </w:p>
        </w:tc>
        <w:tc>
          <w:tcPr>
            <w:tcW w:w="938" w:type="pct"/>
            <w:tcBorders>
              <w:top w:val="nil"/>
              <w:left w:val="nil"/>
              <w:bottom w:val="single" w:color="auto" w:sz="4" w:space="0"/>
              <w:right w:val="single" w:color="auto" w:sz="4" w:space="0"/>
            </w:tcBorders>
          </w:tcPr>
          <w:p w14:paraId="58D192D3">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6" w:type="dxa"/>
            <w:tcBorders>
              <w:top w:val="nil"/>
              <w:left w:val="nil"/>
              <w:bottom w:val="single" w:color="auto" w:sz="4" w:space="0"/>
              <w:right w:val="single" w:color="auto" w:sz="4" w:space="0"/>
            </w:tcBorders>
            <w:vAlign w:val="center"/>
          </w:tcPr>
          <w:p w14:paraId="1305A1E7">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83.72</w:t>
            </w:r>
          </w:p>
        </w:tc>
      </w:tr>
      <w:tr w14:paraId="5547B4C3">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4A0D644B">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2025-2</w:t>
            </w:r>
          </w:p>
        </w:tc>
        <w:tc>
          <w:tcPr>
            <w:tcW w:w="938" w:type="pct"/>
            <w:tcBorders>
              <w:top w:val="nil"/>
              <w:left w:val="nil"/>
              <w:bottom w:val="single" w:color="auto" w:sz="4" w:space="0"/>
              <w:right w:val="single" w:color="auto" w:sz="4" w:space="0"/>
            </w:tcBorders>
          </w:tcPr>
          <w:p w14:paraId="79FFE469">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6" w:type="dxa"/>
            <w:tcBorders>
              <w:top w:val="nil"/>
              <w:left w:val="nil"/>
              <w:bottom w:val="single" w:color="auto" w:sz="4" w:space="0"/>
              <w:right w:val="single" w:color="auto" w:sz="4" w:space="0"/>
            </w:tcBorders>
            <w:vAlign w:val="center"/>
          </w:tcPr>
          <w:p w14:paraId="2798D570">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83.49</w:t>
            </w:r>
          </w:p>
        </w:tc>
      </w:tr>
      <w:tr w14:paraId="45CBB5FB">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5079A4D4">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2025-3</w:t>
            </w:r>
          </w:p>
        </w:tc>
        <w:tc>
          <w:tcPr>
            <w:tcW w:w="938" w:type="pct"/>
            <w:tcBorders>
              <w:top w:val="nil"/>
              <w:left w:val="nil"/>
              <w:bottom w:val="single" w:color="auto" w:sz="4" w:space="0"/>
              <w:right w:val="single" w:color="auto" w:sz="4" w:space="0"/>
            </w:tcBorders>
          </w:tcPr>
          <w:p w14:paraId="19BD0F38">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6" w:type="dxa"/>
            <w:tcBorders>
              <w:top w:val="nil"/>
              <w:left w:val="nil"/>
              <w:bottom w:val="single" w:color="auto" w:sz="4" w:space="0"/>
              <w:right w:val="single" w:color="auto" w:sz="4" w:space="0"/>
            </w:tcBorders>
            <w:vAlign w:val="center"/>
          </w:tcPr>
          <w:p w14:paraId="43D585B3">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83.7</w:t>
            </w:r>
          </w:p>
        </w:tc>
      </w:tr>
      <w:tr w14:paraId="29D09E77">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54B5F357">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2025-4</w:t>
            </w:r>
          </w:p>
        </w:tc>
        <w:tc>
          <w:tcPr>
            <w:tcW w:w="938" w:type="pct"/>
            <w:tcBorders>
              <w:top w:val="nil"/>
              <w:left w:val="nil"/>
              <w:bottom w:val="single" w:color="auto" w:sz="4" w:space="0"/>
              <w:right w:val="single" w:color="auto" w:sz="4" w:space="0"/>
            </w:tcBorders>
          </w:tcPr>
          <w:p w14:paraId="5BE1189A">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6" w:type="dxa"/>
            <w:tcBorders>
              <w:top w:val="nil"/>
              <w:left w:val="nil"/>
              <w:bottom w:val="single" w:color="auto" w:sz="4" w:space="0"/>
              <w:right w:val="single" w:color="auto" w:sz="4" w:space="0"/>
            </w:tcBorders>
            <w:vAlign w:val="center"/>
          </w:tcPr>
          <w:p w14:paraId="40648D50">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83.92</w:t>
            </w:r>
          </w:p>
        </w:tc>
      </w:tr>
      <w:tr w14:paraId="365B50A8">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1AC22E95">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2025-5</w:t>
            </w:r>
          </w:p>
        </w:tc>
        <w:tc>
          <w:tcPr>
            <w:tcW w:w="938" w:type="pct"/>
            <w:tcBorders>
              <w:top w:val="nil"/>
              <w:left w:val="nil"/>
              <w:bottom w:val="single" w:color="auto" w:sz="4" w:space="0"/>
              <w:right w:val="single" w:color="auto" w:sz="4" w:space="0"/>
            </w:tcBorders>
          </w:tcPr>
          <w:p w14:paraId="6E37E589">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6" w:type="dxa"/>
            <w:tcBorders>
              <w:top w:val="nil"/>
              <w:left w:val="nil"/>
              <w:bottom w:val="single" w:color="auto" w:sz="4" w:space="0"/>
              <w:right w:val="single" w:color="auto" w:sz="4" w:space="0"/>
            </w:tcBorders>
            <w:vAlign w:val="center"/>
          </w:tcPr>
          <w:p w14:paraId="2A91940D">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83.75</w:t>
            </w:r>
          </w:p>
        </w:tc>
      </w:tr>
      <w:tr w14:paraId="1BB952A9">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2235038F">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2025-6</w:t>
            </w:r>
          </w:p>
        </w:tc>
        <w:tc>
          <w:tcPr>
            <w:tcW w:w="938" w:type="pct"/>
            <w:tcBorders>
              <w:top w:val="nil"/>
              <w:left w:val="nil"/>
              <w:bottom w:val="single" w:color="auto" w:sz="4" w:space="0"/>
              <w:right w:val="single" w:color="auto" w:sz="4" w:space="0"/>
            </w:tcBorders>
          </w:tcPr>
          <w:p w14:paraId="5014693D">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6" w:type="dxa"/>
            <w:tcBorders>
              <w:top w:val="nil"/>
              <w:left w:val="nil"/>
              <w:bottom w:val="single" w:color="auto" w:sz="4" w:space="0"/>
              <w:right w:val="single" w:color="auto" w:sz="4" w:space="0"/>
            </w:tcBorders>
            <w:vAlign w:val="center"/>
          </w:tcPr>
          <w:p w14:paraId="7C9523F0">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83.05</w:t>
            </w:r>
          </w:p>
        </w:tc>
      </w:tr>
      <w:tr w14:paraId="685233C5">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3F0DF808">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2025-7</w:t>
            </w:r>
          </w:p>
        </w:tc>
        <w:tc>
          <w:tcPr>
            <w:tcW w:w="938" w:type="pct"/>
            <w:tcBorders>
              <w:top w:val="nil"/>
              <w:left w:val="nil"/>
              <w:bottom w:val="single" w:color="auto" w:sz="4" w:space="0"/>
              <w:right w:val="single" w:color="auto" w:sz="4" w:space="0"/>
            </w:tcBorders>
          </w:tcPr>
          <w:p w14:paraId="777F497C">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0</w:t>
            </w:r>
          </w:p>
        </w:tc>
        <w:tc>
          <w:tcPr>
            <w:tcW w:w="4286" w:type="dxa"/>
            <w:tcBorders>
              <w:top w:val="nil"/>
              <w:left w:val="nil"/>
              <w:bottom w:val="single" w:color="auto" w:sz="4" w:space="0"/>
              <w:right w:val="single" w:color="auto" w:sz="4" w:space="0"/>
            </w:tcBorders>
            <w:vAlign w:val="center"/>
          </w:tcPr>
          <w:p w14:paraId="1BF76AAF">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w:t>
            </w:r>
          </w:p>
        </w:tc>
      </w:tr>
      <w:tr w14:paraId="0AE7311B">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7F45DBF0">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2025-8</w:t>
            </w:r>
          </w:p>
        </w:tc>
        <w:tc>
          <w:tcPr>
            <w:tcW w:w="938" w:type="pct"/>
            <w:tcBorders>
              <w:top w:val="nil"/>
              <w:left w:val="nil"/>
              <w:bottom w:val="single" w:color="auto" w:sz="4" w:space="0"/>
              <w:right w:val="single" w:color="auto" w:sz="4" w:space="0"/>
            </w:tcBorders>
          </w:tcPr>
          <w:p w14:paraId="561D85D1">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0</w:t>
            </w:r>
          </w:p>
        </w:tc>
        <w:tc>
          <w:tcPr>
            <w:tcW w:w="4286" w:type="dxa"/>
            <w:tcBorders>
              <w:top w:val="nil"/>
              <w:left w:val="nil"/>
              <w:bottom w:val="single" w:color="auto" w:sz="4" w:space="0"/>
              <w:right w:val="single" w:color="auto" w:sz="4" w:space="0"/>
            </w:tcBorders>
            <w:vAlign w:val="center"/>
          </w:tcPr>
          <w:p w14:paraId="4114CB6A">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w:t>
            </w:r>
          </w:p>
        </w:tc>
      </w:tr>
      <w:tr w14:paraId="0D845ECC">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301F8CFF">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2025-9</w:t>
            </w:r>
          </w:p>
        </w:tc>
        <w:tc>
          <w:tcPr>
            <w:tcW w:w="938" w:type="pct"/>
            <w:tcBorders>
              <w:top w:val="nil"/>
              <w:left w:val="nil"/>
              <w:bottom w:val="single" w:color="auto" w:sz="4" w:space="0"/>
              <w:right w:val="single" w:color="auto" w:sz="4" w:space="0"/>
            </w:tcBorders>
          </w:tcPr>
          <w:p w14:paraId="58D06104">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6" w:type="dxa"/>
            <w:tcBorders>
              <w:top w:val="nil"/>
              <w:left w:val="nil"/>
              <w:bottom w:val="single" w:color="auto" w:sz="4" w:space="0"/>
              <w:right w:val="single" w:color="auto" w:sz="4" w:space="0"/>
            </w:tcBorders>
            <w:vAlign w:val="center"/>
          </w:tcPr>
          <w:p w14:paraId="46C0070F">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84.29</w:t>
            </w:r>
          </w:p>
        </w:tc>
      </w:tr>
      <w:tr w14:paraId="79ABE850">
        <w:tblPrEx>
          <w:tblCellMar>
            <w:top w:w="0" w:type="dxa"/>
            <w:left w:w="108" w:type="dxa"/>
            <w:bottom w:w="0" w:type="dxa"/>
            <w:right w:w="108" w:type="dxa"/>
          </w:tblCellMar>
        </w:tblPrEx>
        <w:trPr>
          <w:trHeight w:val="20" w:hRule="atLeast"/>
        </w:trPr>
        <w:tc>
          <w:tcPr>
            <w:tcW w:w="2748" w:type="pct"/>
            <w:gridSpan w:val="2"/>
            <w:tcBorders>
              <w:top w:val="single" w:color="auto" w:sz="4" w:space="0"/>
              <w:left w:val="single" w:color="auto" w:sz="4" w:space="0"/>
              <w:bottom w:val="single" w:color="auto" w:sz="4" w:space="0"/>
              <w:right w:val="single" w:color="auto" w:sz="4" w:space="0"/>
            </w:tcBorders>
            <w:vAlign w:val="center"/>
          </w:tcPr>
          <w:p w14:paraId="745F8637">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平均月租金</w:t>
            </w:r>
          </w:p>
        </w:tc>
        <w:tc>
          <w:tcPr>
            <w:tcW w:w="4286" w:type="dxa"/>
            <w:tcBorders>
              <w:top w:val="nil"/>
              <w:left w:val="nil"/>
              <w:bottom w:val="single" w:color="auto" w:sz="4" w:space="0"/>
              <w:right w:val="single" w:color="auto" w:sz="4" w:space="0"/>
            </w:tcBorders>
            <w:vAlign w:val="center"/>
          </w:tcPr>
          <w:p w14:paraId="3CB69766">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84</w:t>
            </w:r>
          </w:p>
        </w:tc>
      </w:tr>
    </w:tbl>
    <w:p w14:paraId="59DD11E2">
      <w:pPr>
        <w:pStyle w:val="278"/>
        <w:autoSpaceDE w:val="0"/>
        <w:autoSpaceDN w:val="0"/>
        <w:spacing w:before="240" w:beforeLines="100" w:line="240" w:lineRule="auto"/>
        <w:ind w:firstLine="420" w:firstLineChars="200"/>
        <w:jc w:val="both"/>
        <w:textAlignment w:val="bottom"/>
        <w:rPr>
          <w:rFonts w:ascii="Arial" w:hAnsi="Arial" w:cs="Arial"/>
          <w:color w:val="000000"/>
          <w:sz w:val="21"/>
          <w:szCs w:val="21"/>
        </w:rPr>
      </w:pPr>
      <w:r>
        <w:rPr>
          <w:rFonts w:ascii="Arial" w:hAnsi="Arial" w:cs="Arial"/>
          <w:color w:val="000000"/>
          <w:sz w:val="21"/>
          <w:szCs w:val="21"/>
        </w:rPr>
        <w:t>样本小区三：通泰国际公馆</w:t>
      </w:r>
    </w:p>
    <w:tbl>
      <w:tblPr>
        <w:tblStyle w:val="33"/>
        <w:tblW w:w="5000" w:type="pct"/>
        <w:tblInd w:w="0" w:type="dxa"/>
        <w:tblLayout w:type="autofit"/>
        <w:tblCellMar>
          <w:top w:w="0" w:type="dxa"/>
          <w:left w:w="108" w:type="dxa"/>
          <w:bottom w:w="0" w:type="dxa"/>
          <w:right w:w="108" w:type="dxa"/>
        </w:tblCellMar>
      </w:tblPr>
      <w:tblGrid>
        <w:gridCol w:w="3443"/>
        <w:gridCol w:w="1787"/>
        <w:gridCol w:w="4284"/>
      </w:tblGrid>
      <w:tr w14:paraId="2E7E3921">
        <w:tblPrEx>
          <w:tblCellMar>
            <w:top w:w="0" w:type="dxa"/>
            <w:left w:w="108" w:type="dxa"/>
            <w:bottom w:w="0" w:type="dxa"/>
            <w:right w:w="108" w:type="dxa"/>
          </w:tblCellMar>
        </w:tblPrEx>
        <w:trPr>
          <w:trHeight w:val="20" w:hRule="atLeast"/>
          <w:tblHeader/>
        </w:trPr>
        <w:tc>
          <w:tcPr>
            <w:tcW w:w="1809" w:type="pct"/>
            <w:tcBorders>
              <w:top w:val="single" w:color="auto" w:sz="4" w:space="0"/>
              <w:left w:val="single" w:color="auto" w:sz="4" w:space="0"/>
              <w:bottom w:val="single" w:color="auto" w:sz="4" w:space="0"/>
              <w:right w:val="single" w:color="auto" w:sz="4" w:space="0"/>
            </w:tcBorders>
            <w:vAlign w:val="center"/>
          </w:tcPr>
          <w:p w14:paraId="55D68D62">
            <w:pPr>
              <w:widowControl/>
              <w:spacing w:line="240" w:lineRule="atLeast"/>
              <w:jc w:val="center"/>
              <w:textAlignment w:val="auto"/>
              <w:rPr>
                <w:rFonts w:ascii="华文细黑" w:hAnsi="华文细黑" w:eastAsia="华文细黑" w:cs="宋体"/>
                <w:sz w:val="18"/>
                <w:szCs w:val="18"/>
              </w:rPr>
            </w:pPr>
            <w:r>
              <w:rPr>
                <w:rFonts w:hint="eastAsia" w:ascii="华文细黑" w:hAnsi="华文细黑" w:eastAsia="华文细黑" w:cs="宋体"/>
                <w:sz w:val="18"/>
                <w:szCs w:val="18"/>
              </w:rPr>
              <w:t>时间</w:t>
            </w:r>
          </w:p>
        </w:tc>
        <w:tc>
          <w:tcPr>
            <w:tcW w:w="938" w:type="pct"/>
            <w:tcBorders>
              <w:top w:val="single" w:color="auto" w:sz="4" w:space="0"/>
              <w:left w:val="nil"/>
              <w:bottom w:val="single" w:color="auto" w:sz="4" w:space="0"/>
              <w:right w:val="single" w:color="auto" w:sz="4" w:space="0"/>
            </w:tcBorders>
            <w:vAlign w:val="center"/>
          </w:tcPr>
          <w:p w14:paraId="6EB02BB1">
            <w:pPr>
              <w:widowControl/>
              <w:spacing w:line="240" w:lineRule="atLeast"/>
              <w:jc w:val="center"/>
              <w:textAlignment w:val="auto"/>
              <w:rPr>
                <w:rFonts w:ascii="华文细黑" w:hAnsi="华文细黑" w:eastAsia="华文细黑" w:cs="宋体"/>
                <w:sz w:val="18"/>
                <w:szCs w:val="18"/>
              </w:rPr>
            </w:pPr>
            <w:r>
              <w:rPr>
                <w:rFonts w:hint="eastAsia" w:ascii="华文细黑" w:hAnsi="华文细黑" w:eastAsia="华文细黑" w:cs="宋体"/>
                <w:sz w:val="18"/>
                <w:szCs w:val="18"/>
              </w:rPr>
              <w:t>样本数量</w:t>
            </w:r>
          </w:p>
        </w:tc>
        <w:tc>
          <w:tcPr>
            <w:tcW w:w="2251" w:type="pct"/>
            <w:tcBorders>
              <w:top w:val="single" w:color="auto" w:sz="4" w:space="0"/>
              <w:left w:val="nil"/>
              <w:bottom w:val="single" w:color="auto" w:sz="4" w:space="0"/>
              <w:right w:val="single" w:color="auto" w:sz="4" w:space="0"/>
            </w:tcBorders>
            <w:vAlign w:val="center"/>
          </w:tcPr>
          <w:p w14:paraId="5BCC6196">
            <w:pPr>
              <w:widowControl/>
              <w:spacing w:line="240" w:lineRule="atLeast"/>
              <w:jc w:val="center"/>
              <w:textAlignment w:val="auto"/>
              <w:rPr>
                <w:rFonts w:ascii="华文细黑" w:hAnsi="华文细黑" w:eastAsia="华文细黑" w:cs="宋体"/>
                <w:sz w:val="18"/>
                <w:szCs w:val="18"/>
              </w:rPr>
            </w:pPr>
            <w:r>
              <w:rPr>
                <w:rFonts w:hint="eastAsia" w:ascii="华文细黑" w:hAnsi="华文细黑" w:eastAsia="华文细黑" w:cs="宋体"/>
                <w:sz w:val="18"/>
                <w:szCs w:val="18"/>
              </w:rPr>
              <w:t>租金平均单价（元/平方米·月）</w:t>
            </w:r>
          </w:p>
        </w:tc>
      </w:tr>
      <w:tr w14:paraId="33483EE4">
        <w:tblPrEx>
          <w:tblCellMar>
            <w:top w:w="0" w:type="dxa"/>
            <w:left w:w="108" w:type="dxa"/>
            <w:bottom w:w="0" w:type="dxa"/>
            <w:right w:w="108" w:type="dxa"/>
          </w:tblCellMar>
        </w:tblPrEx>
        <w:trPr>
          <w:trHeight w:val="20" w:hRule="atLeast"/>
        </w:trPr>
        <w:tc>
          <w:tcPr>
            <w:tcW w:w="1809" w:type="pct"/>
            <w:tcBorders>
              <w:top w:val="nil"/>
              <w:left w:val="single" w:color="auto" w:sz="4" w:space="0"/>
              <w:bottom w:val="single" w:color="auto" w:sz="4" w:space="0"/>
              <w:right w:val="single" w:color="auto" w:sz="4" w:space="0"/>
            </w:tcBorders>
            <w:vAlign w:val="center"/>
          </w:tcPr>
          <w:p w14:paraId="6EB19335">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2024-10</w:t>
            </w:r>
          </w:p>
        </w:tc>
        <w:tc>
          <w:tcPr>
            <w:tcW w:w="938" w:type="pct"/>
            <w:tcBorders>
              <w:top w:val="nil"/>
              <w:left w:val="nil"/>
              <w:bottom w:val="single" w:color="auto" w:sz="4" w:space="0"/>
              <w:right w:val="single" w:color="auto" w:sz="4" w:space="0"/>
            </w:tcBorders>
            <w:vAlign w:val="center"/>
          </w:tcPr>
          <w:p w14:paraId="37387CF2">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4" w:type="dxa"/>
            <w:tcBorders>
              <w:top w:val="nil"/>
              <w:left w:val="nil"/>
              <w:bottom w:val="single" w:color="auto" w:sz="4" w:space="0"/>
              <w:right w:val="single" w:color="auto" w:sz="4" w:space="0"/>
            </w:tcBorders>
            <w:vAlign w:val="center"/>
          </w:tcPr>
          <w:p w14:paraId="46B30E3A">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82.07</w:t>
            </w:r>
          </w:p>
        </w:tc>
      </w:tr>
      <w:tr w14:paraId="0149ECA8">
        <w:tblPrEx>
          <w:tblCellMar>
            <w:top w:w="0" w:type="dxa"/>
            <w:left w:w="108" w:type="dxa"/>
            <w:bottom w:w="0" w:type="dxa"/>
            <w:right w:w="108" w:type="dxa"/>
          </w:tblCellMar>
        </w:tblPrEx>
        <w:trPr>
          <w:trHeight w:val="20" w:hRule="atLeast"/>
        </w:trPr>
        <w:tc>
          <w:tcPr>
            <w:tcW w:w="1809" w:type="pct"/>
            <w:tcBorders>
              <w:top w:val="nil"/>
              <w:left w:val="single" w:color="auto" w:sz="4" w:space="0"/>
              <w:bottom w:val="single" w:color="auto" w:sz="4" w:space="0"/>
              <w:right w:val="single" w:color="auto" w:sz="4" w:space="0"/>
            </w:tcBorders>
            <w:vAlign w:val="center"/>
          </w:tcPr>
          <w:p w14:paraId="3CF90748">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2024-11</w:t>
            </w:r>
          </w:p>
        </w:tc>
        <w:tc>
          <w:tcPr>
            <w:tcW w:w="938" w:type="pct"/>
            <w:tcBorders>
              <w:top w:val="nil"/>
              <w:left w:val="nil"/>
              <w:bottom w:val="single" w:color="auto" w:sz="4" w:space="0"/>
              <w:right w:val="single" w:color="auto" w:sz="4" w:space="0"/>
            </w:tcBorders>
          </w:tcPr>
          <w:p w14:paraId="4761292B">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4" w:type="dxa"/>
            <w:tcBorders>
              <w:top w:val="nil"/>
              <w:left w:val="nil"/>
              <w:bottom w:val="single" w:color="auto" w:sz="4" w:space="0"/>
              <w:right w:val="single" w:color="auto" w:sz="4" w:space="0"/>
            </w:tcBorders>
            <w:vAlign w:val="center"/>
          </w:tcPr>
          <w:p w14:paraId="55F50938">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81.74</w:t>
            </w:r>
          </w:p>
        </w:tc>
      </w:tr>
      <w:tr w14:paraId="3C36E64D">
        <w:tblPrEx>
          <w:tblCellMar>
            <w:top w:w="0" w:type="dxa"/>
            <w:left w:w="108" w:type="dxa"/>
            <w:bottom w:w="0" w:type="dxa"/>
            <w:right w:w="108" w:type="dxa"/>
          </w:tblCellMar>
        </w:tblPrEx>
        <w:trPr>
          <w:trHeight w:val="20" w:hRule="atLeast"/>
        </w:trPr>
        <w:tc>
          <w:tcPr>
            <w:tcW w:w="1809" w:type="pct"/>
            <w:tcBorders>
              <w:top w:val="nil"/>
              <w:left w:val="single" w:color="auto" w:sz="4" w:space="0"/>
              <w:bottom w:val="single" w:color="auto" w:sz="4" w:space="0"/>
              <w:right w:val="single" w:color="auto" w:sz="4" w:space="0"/>
            </w:tcBorders>
            <w:vAlign w:val="center"/>
          </w:tcPr>
          <w:p w14:paraId="588FD85B">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2024-12</w:t>
            </w:r>
          </w:p>
        </w:tc>
        <w:tc>
          <w:tcPr>
            <w:tcW w:w="938" w:type="pct"/>
            <w:tcBorders>
              <w:top w:val="nil"/>
              <w:left w:val="nil"/>
              <w:bottom w:val="single" w:color="auto" w:sz="4" w:space="0"/>
              <w:right w:val="single" w:color="auto" w:sz="4" w:space="0"/>
            </w:tcBorders>
          </w:tcPr>
          <w:p w14:paraId="0E52AFFB">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4" w:type="dxa"/>
            <w:tcBorders>
              <w:top w:val="nil"/>
              <w:left w:val="nil"/>
              <w:bottom w:val="single" w:color="auto" w:sz="4" w:space="0"/>
              <w:right w:val="single" w:color="auto" w:sz="4" w:space="0"/>
            </w:tcBorders>
            <w:vAlign w:val="center"/>
          </w:tcPr>
          <w:p w14:paraId="654ED2CB">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81.98</w:t>
            </w:r>
          </w:p>
        </w:tc>
      </w:tr>
      <w:tr w14:paraId="36543857">
        <w:tblPrEx>
          <w:tblCellMar>
            <w:top w:w="0" w:type="dxa"/>
            <w:left w:w="108" w:type="dxa"/>
            <w:bottom w:w="0" w:type="dxa"/>
            <w:right w:w="108" w:type="dxa"/>
          </w:tblCellMar>
        </w:tblPrEx>
        <w:trPr>
          <w:trHeight w:val="20" w:hRule="atLeast"/>
        </w:trPr>
        <w:tc>
          <w:tcPr>
            <w:tcW w:w="1809" w:type="pct"/>
            <w:tcBorders>
              <w:top w:val="nil"/>
              <w:left w:val="single" w:color="auto" w:sz="4" w:space="0"/>
              <w:bottom w:val="single" w:color="auto" w:sz="4" w:space="0"/>
              <w:right w:val="single" w:color="auto" w:sz="4" w:space="0"/>
            </w:tcBorders>
            <w:vAlign w:val="center"/>
          </w:tcPr>
          <w:p w14:paraId="29A0D4E1">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2025-1</w:t>
            </w:r>
          </w:p>
        </w:tc>
        <w:tc>
          <w:tcPr>
            <w:tcW w:w="938" w:type="pct"/>
            <w:tcBorders>
              <w:top w:val="nil"/>
              <w:left w:val="nil"/>
              <w:bottom w:val="single" w:color="auto" w:sz="4" w:space="0"/>
              <w:right w:val="single" w:color="auto" w:sz="4" w:space="0"/>
            </w:tcBorders>
          </w:tcPr>
          <w:p w14:paraId="5BC739B4">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4" w:type="dxa"/>
            <w:tcBorders>
              <w:top w:val="nil"/>
              <w:left w:val="nil"/>
              <w:bottom w:val="single" w:color="auto" w:sz="4" w:space="0"/>
              <w:right w:val="single" w:color="auto" w:sz="4" w:space="0"/>
            </w:tcBorders>
            <w:vAlign w:val="center"/>
          </w:tcPr>
          <w:p w14:paraId="796AC11C">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83.47</w:t>
            </w:r>
          </w:p>
        </w:tc>
      </w:tr>
      <w:tr w14:paraId="71B0BDDE">
        <w:tblPrEx>
          <w:tblCellMar>
            <w:top w:w="0" w:type="dxa"/>
            <w:left w:w="108" w:type="dxa"/>
            <w:bottom w:w="0" w:type="dxa"/>
            <w:right w:w="108" w:type="dxa"/>
          </w:tblCellMar>
        </w:tblPrEx>
        <w:trPr>
          <w:trHeight w:val="20" w:hRule="atLeast"/>
        </w:trPr>
        <w:tc>
          <w:tcPr>
            <w:tcW w:w="1809" w:type="pct"/>
            <w:tcBorders>
              <w:top w:val="nil"/>
              <w:left w:val="single" w:color="auto" w:sz="4" w:space="0"/>
              <w:bottom w:val="single" w:color="auto" w:sz="4" w:space="0"/>
              <w:right w:val="single" w:color="auto" w:sz="4" w:space="0"/>
            </w:tcBorders>
            <w:vAlign w:val="center"/>
          </w:tcPr>
          <w:p w14:paraId="2346DC61">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2025-2</w:t>
            </w:r>
          </w:p>
        </w:tc>
        <w:tc>
          <w:tcPr>
            <w:tcW w:w="938" w:type="pct"/>
            <w:tcBorders>
              <w:top w:val="nil"/>
              <w:left w:val="nil"/>
              <w:bottom w:val="single" w:color="auto" w:sz="4" w:space="0"/>
              <w:right w:val="single" w:color="auto" w:sz="4" w:space="0"/>
            </w:tcBorders>
          </w:tcPr>
          <w:p w14:paraId="7B1DE879">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4" w:type="dxa"/>
            <w:tcBorders>
              <w:top w:val="nil"/>
              <w:left w:val="nil"/>
              <w:bottom w:val="single" w:color="auto" w:sz="4" w:space="0"/>
              <w:right w:val="single" w:color="auto" w:sz="4" w:space="0"/>
            </w:tcBorders>
            <w:vAlign w:val="center"/>
          </w:tcPr>
          <w:p w14:paraId="082757CA">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83.94</w:t>
            </w:r>
          </w:p>
        </w:tc>
      </w:tr>
      <w:tr w14:paraId="397D1393">
        <w:tblPrEx>
          <w:tblCellMar>
            <w:top w:w="0" w:type="dxa"/>
            <w:left w:w="108" w:type="dxa"/>
            <w:bottom w:w="0" w:type="dxa"/>
            <w:right w:w="108" w:type="dxa"/>
          </w:tblCellMar>
        </w:tblPrEx>
        <w:trPr>
          <w:trHeight w:val="20" w:hRule="atLeast"/>
        </w:trPr>
        <w:tc>
          <w:tcPr>
            <w:tcW w:w="1809" w:type="pct"/>
            <w:tcBorders>
              <w:top w:val="nil"/>
              <w:left w:val="single" w:color="auto" w:sz="4" w:space="0"/>
              <w:bottom w:val="single" w:color="auto" w:sz="4" w:space="0"/>
              <w:right w:val="single" w:color="auto" w:sz="4" w:space="0"/>
            </w:tcBorders>
            <w:vAlign w:val="center"/>
          </w:tcPr>
          <w:p w14:paraId="3100EB49">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2025-3</w:t>
            </w:r>
          </w:p>
        </w:tc>
        <w:tc>
          <w:tcPr>
            <w:tcW w:w="938" w:type="pct"/>
            <w:tcBorders>
              <w:top w:val="nil"/>
              <w:left w:val="nil"/>
              <w:bottom w:val="single" w:color="auto" w:sz="4" w:space="0"/>
              <w:right w:val="single" w:color="auto" w:sz="4" w:space="0"/>
            </w:tcBorders>
          </w:tcPr>
          <w:p w14:paraId="470CD88D">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4" w:type="dxa"/>
            <w:tcBorders>
              <w:top w:val="nil"/>
              <w:left w:val="nil"/>
              <w:bottom w:val="single" w:color="auto" w:sz="4" w:space="0"/>
              <w:right w:val="single" w:color="auto" w:sz="4" w:space="0"/>
            </w:tcBorders>
            <w:vAlign w:val="center"/>
          </w:tcPr>
          <w:p w14:paraId="4FFFB003">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86.06</w:t>
            </w:r>
          </w:p>
        </w:tc>
      </w:tr>
      <w:tr w14:paraId="07FC6438">
        <w:tblPrEx>
          <w:tblCellMar>
            <w:top w:w="0" w:type="dxa"/>
            <w:left w:w="108" w:type="dxa"/>
            <w:bottom w:w="0" w:type="dxa"/>
            <w:right w:w="108" w:type="dxa"/>
          </w:tblCellMar>
        </w:tblPrEx>
        <w:trPr>
          <w:trHeight w:val="20" w:hRule="atLeast"/>
        </w:trPr>
        <w:tc>
          <w:tcPr>
            <w:tcW w:w="1809" w:type="pct"/>
            <w:tcBorders>
              <w:top w:val="nil"/>
              <w:left w:val="single" w:color="auto" w:sz="4" w:space="0"/>
              <w:bottom w:val="single" w:color="auto" w:sz="4" w:space="0"/>
              <w:right w:val="single" w:color="auto" w:sz="4" w:space="0"/>
            </w:tcBorders>
            <w:vAlign w:val="center"/>
          </w:tcPr>
          <w:p w14:paraId="0439CA91">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2025-4</w:t>
            </w:r>
          </w:p>
        </w:tc>
        <w:tc>
          <w:tcPr>
            <w:tcW w:w="938" w:type="pct"/>
            <w:tcBorders>
              <w:top w:val="nil"/>
              <w:left w:val="nil"/>
              <w:bottom w:val="single" w:color="auto" w:sz="4" w:space="0"/>
              <w:right w:val="single" w:color="auto" w:sz="4" w:space="0"/>
            </w:tcBorders>
          </w:tcPr>
          <w:p w14:paraId="500B2E0E">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4" w:type="dxa"/>
            <w:tcBorders>
              <w:top w:val="nil"/>
              <w:left w:val="nil"/>
              <w:bottom w:val="single" w:color="auto" w:sz="4" w:space="0"/>
              <w:right w:val="single" w:color="auto" w:sz="4" w:space="0"/>
            </w:tcBorders>
            <w:vAlign w:val="center"/>
          </w:tcPr>
          <w:p w14:paraId="382CF0F6">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w:t>
            </w:r>
          </w:p>
        </w:tc>
      </w:tr>
      <w:tr w14:paraId="10FBE328">
        <w:tblPrEx>
          <w:tblCellMar>
            <w:top w:w="0" w:type="dxa"/>
            <w:left w:w="108" w:type="dxa"/>
            <w:bottom w:w="0" w:type="dxa"/>
            <w:right w:w="108" w:type="dxa"/>
          </w:tblCellMar>
        </w:tblPrEx>
        <w:trPr>
          <w:trHeight w:val="20" w:hRule="atLeast"/>
        </w:trPr>
        <w:tc>
          <w:tcPr>
            <w:tcW w:w="1809" w:type="pct"/>
            <w:tcBorders>
              <w:top w:val="nil"/>
              <w:left w:val="single" w:color="auto" w:sz="4" w:space="0"/>
              <w:bottom w:val="single" w:color="auto" w:sz="4" w:space="0"/>
              <w:right w:val="single" w:color="auto" w:sz="4" w:space="0"/>
            </w:tcBorders>
            <w:vAlign w:val="center"/>
          </w:tcPr>
          <w:p w14:paraId="50B7509F">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2025-5</w:t>
            </w:r>
          </w:p>
        </w:tc>
        <w:tc>
          <w:tcPr>
            <w:tcW w:w="938" w:type="pct"/>
            <w:tcBorders>
              <w:top w:val="nil"/>
              <w:left w:val="nil"/>
              <w:bottom w:val="single" w:color="auto" w:sz="4" w:space="0"/>
              <w:right w:val="single" w:color="auto" w:sz="4" w:space="0"/>
            </w:tcBorders>
          </w:tcPr>
          <w:p w14:paraId="058AA746">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4" w:type="dxa"/>
            <w:tcBorders>
              <w:top w:val="nil"/>
              <w:left w:val="nil"/>
              <w:bottom w:val="single" w:color="auto" w:sz="4" w:space="0"/>
              <w:right w:val="single" w:color="auto" w:sz="4" w:space="0"/>
            </w:tcBorders>
            <w:vAlign w:val="center"/>
          </w:tcPr>
          <w:p w14:paraId="0791A8F9">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90.94</w:t>
            </w:r>
          </w:p>
        </w:tc>
      </w:tr>
      <w:tr w14:paraId="04107ABF">
        <w:tblPrEx>
          <w:tblCellMar>
            <w:top w:w="0" w:type="dxa"/>
            <w:left w:w="108" w:type="dxa"/>
            <w:bottom w:w="0" w:type="dxa"/>
            <w:right w:w="108" w:type="dxa"/>
          </w:tblCellMar>
        </w:tblPrEx>
        <w:trPr>
          <w:trHeight w:val="20" w:hRule="atLeast"/>
        </w:trPr>
        <w:tc>
          <w:tcPr>
            <w:tcW w:w="1809" w:type="pct"/>
            <w:tcBorders>
              <w:top w:val="nil"/>
              <w:left w:val="single" w:color="auto" w:sz="4" w:space="0"/>
              <w:bottom w:val="single" w:color="auto" w:sz="4" w:space="0"/>
              <w:right w:val="single" w:color="auto" w:sz="4" w:space="0"/>
            </w:tcBorders>
            <w:vAlign w:val="center"/>
          </w:tcPr>
          <w:p w14:paraId="09000771">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2025-6</w:t>
            </w:r>
          </w:p>
        </w:tc>
        <w:tc>
          <w:tcPr>
            <w:tcW w:w="938" w:type="pct"/>
            <w:tcBorders>
              <w:top w:val="nil"/>
              <w:left w:val="nil"/>
              <w:bottom w:val="single" w:color="auto" w:sz="4" w:space="0"/>
              <w:right w:val="single" w:color="auto" w:sz="4" w:space="0"/>
            </w:tcBorders>
          </w:tcPr>
          <w:p w14:paraId="5F6C3F5F">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4" w:type="dxa"/>
            <w:tcBorders>
              <w:top w:val="nil"/>
              <w:left w:val="nil"/>
              <w:bottom w:val="single" w:color="auto" w:sz="4" w:space="0"/>
              <w:right w:val="single" w:color="auto" w:sz="4" w:space="0"/>
            </w:tcBorders>
            <w:vAlign w:val="center"/>
          </w:tcPr>
          <w:p w14:paraId="5D004807">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90.91</w:t>
            </w:r>
          </w:p>
        </w:tc>
      </w:tr>
      <w:tr w14:paraId="54F9EB94">
        <w:tblPrEx>
          <w:tblCellMar>
            <w:top w:w="0" w:type="dxa"/>
            <w:left w:w="108" w:type="dxa"/>
            <w:bottom w:w="0" w:type="dxa"/>
            <w:right w:w="108" w:type="dxa"/>
          </w:tblCellMar>
        </w:tblPrEx>
        <w:trPr>
          <w:trHeight w:val="20" w:hRule="atLeast"/>
        </w:trPr>
        <w:tc>
          <w:tcPr>
            <w:tcW w:w="1809" w:type="pct"/>
            <w:tcBorders>
              <w:top w:val="nil"/>
              <w:left w:val="single" w:color="auto" w:sz="4" w:space="0"/>
              <w:bottom w:val="single" w:color="auto" w:sz="4" w:space="0"/>
              <w:right w:val="single" w:color="auto" w:sz="4" w:space="0"/>
            </w:tcBorders>
            <w:vAlign w:val="center"/>
          </w:tcPr>
          <w:p w14:paraId="7A3ADB02">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2025-7</w:t>
            </w:r>
          </w:p>
        </w:tc>
        <w:tc>
          <w:tcPr>
            <w:tcW w:w="938" w:type="pct"/>
            <w:tcBorders>
              <w:top w:val="nil"/>
              <w:left w:val="nil"/>
              <w:bottom w:val="single" w:color="auto" w:sz="4" w:space="0"/>
              <w:right w:val="single" w:color="auto" w:sz="4" w:space="0"/>
            </w:tcBorders>
          </w:tcPr>
          <w:p w14:paraId="45E9BD34">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4" w:type="dxa"/>
            <w:tcBorders>
              <w:top w:val="nil"/>
              <w:left w:val="nil"/>
              <w:bottom w:val="single" w:color="auto" w:sz="4" w:space="0"/>
              <w:right w:val="single" w:color="auto" w:sz="4" w:space="0"/>
            </w:tcBorders>
            <w:vAlign w:val="center"/>
          </w:tcPr>
          <w:p w14:paraId="0F5D0F69">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83.05</w:t>
            </w:r>
          </w:p>
        </w:tc>
      </w:tr>
      <w:tr w14:paraId="3F5B0DC3">
        <w:tblPrEx>
          <w:tblCellMar>
            <w:top w:w="0" w:type="dxa"/>
            <w:left w:w="108" w:type="dxa"/>
            <w:bottom w:w="0" w:type="dxa"/>
            <w:right w:w="108" w:type="dxa"/>
          </w:tblCellMar>
        </w:tblPrEx>
        <w:trPr>
          <w:trHeight w:val="20" w:hRule="atLeast"/>
        </w:trPr>
        <w:tc>
          <w:tcPr>
            <w:tcW w:w="1809" w:type="pct"/>
            <w:tcBorders>
              <w:top w:val="nil"/>
              <w:left w:val="single" w:color="auto" w:sz="4" w:space="0"/>
              <w:bottom w:val="single" w:color="auto" w:sz="4" w:space="0"/>
              <w:right w:val="single" w:color="auto" w:sz="4" w:space="0"/>
            </w:tcBorders>
            <w:vAlign w:val="center"/>
          </w:tcPr>
          <w:p w14:paraId="02CC67AF">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2025-8</w:t>
            </w:r>
          </w:p>
        </w:tc>
        <w:tc>
          <w:tcPr>
            <w:tcW w:w="938" w:type="pct"/>
            <w:tcBorders>
              <w:top w:val="nil"/>
              <w:left w:val="nil"/>
              <w:bottom w:val="single" w:color="auto" w:sz="4" w:space="0"/>
              <w:right w:val="single" w:color="auto" w:sz="4" w:space="0"/>
            </w:tcBorders>
          </w:tcPr>
          <w:p w14:paraId="6ADFEB35">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4" w:type="dxa"/>
            <w:tcBorders>
              <w:top w:val="nil"/>
              <w:left w:val="nil"/>
              <w:bottom w:val="single" w:color="auto" w:sz="4" w:space="0"/>
              <w:right w:val="single" w:color="auto" w:sz="4" w:space="0"/>
            </w:tcBorders>
            <w:vAlign w:val="center"/>
          </w:tcPr>
          <w:p w14:paraId="3EB410D3">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w:t>
            </w:r>
          </w:p>
        </w:tc>
      </w:tr>
      <w:tr w14:paraId="1EF5ABA8">
        <w:tblPrEx>
          <w:tblCellMar>
            <w:top w:w="0" w:type="dxa"/>
            <w:left w:w="108" w:type="dxa"/>
            <w:bottom w:w="0" w:type="dxa"/>
            <w:right w:w="108" w:type="dxa"/>
          </w:tblCellMar>
        </w:tblPrEx>
        <w:trPr>
          <w:trHeight w:val="20" w:hRule="atLeast"/>
        </w:trPr>
        <w:tc>
          <w:tcPr>
            <w:tcW w:w="1809" w:type="pct"/>
            <w:tcBorders>
              <w:top w:val="nil"/>
              <w:left w:val="single" w:color="auto" w:sz="4" w:space="0"/>
              <w:bottom w:val="single" w:color="auto" w:sz="4" w:space="0"/>
              <w:right w:val="single" w:color="auto" w:sz="4" w:space="0"/>
            </w:tcBorders>
            <w:vAlign w:val="center"/>
          </w:tcPr>
          <w:p w14:paraId="29C2BA0C">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2025-9</w:t>
            </w:r>
          </w:p>
        </w:tc>
        <w:tc>
          <w:tcPr>
            <w:tcW w:w="938" w:type="pct"/>
            <w:tcBorders>
              <w:top w:val="nil"/>
              <w:left w:val="nil"/>
              <w:bottom w:val="single" w:color="auto" w:sz="4" w:space="0"/>
              <w:right w:val="single" w:color="auto" w:sz="4" w:space="0"/>
            </w:tcBorders>
          </w:tcPr>
          <w:p w14:paraId="02B13F95">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4" w:type="dxa"/>
            <w:tcBorders>
              <w:top w:val="nil"/>
              <w:left w:val="nil"/>
              <w:bottom w:val="single" w:color="auto" w:sz="4" w:space="0"/>
              <w:right w:val="single" w:color="auto" w:sz="4" w:space="0"/>
            </w:tcBorders>
            <w:vAlign w:val="center"/>
          </w:tcPr>
          <w:p w14:paraId="78595CB7">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w:t>
            </w:r>
          </w:p>
        </w:tc>
      </w:tr>
      <w:tr w14:paraId="1964F8A9">
        <w:tblPrEx>
          <w:tblCellMar>
            <w:top w:w="0" w:type="dxa"/>
            <w:left w:w="108" w:type="dxa"/>
            <w:bottom w:w="0" w:type="dxa"/>
            <w:right w:w="108" w:type="dxa"/>
          </w:tblCellMar>
        </w:tblPrEx>
        <w:trPr>
          <w:trHeight w:val="20" w:hRule="atLeast"/>
        </w:trPr>
        <w:tc>
          <w:tcPr>
            <w:tcW w:w="2748" w:type="pct"/>
            <w:gridSpan w:val="2"/>
            <w:tcBorders>
              <w:top w:val="single" w:color="auto" w:sz="4" w:space="0"/>
              <w:left w:val="single" w:color="auto" w:sz="4" w:space="0"/>
              <w:bottom w:val="single" w:color="auto" w:sz="4" w:space="0"/>
              <w:right w:val="single" w:color="auto" w:sz="4" w:space="0"/>
            </w:tcBorders>
            <w:vAlign w:val="center"/>
          </w:tcPr>
          <w:p w14:paraId="680A2D31">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平均月租金</w:t>
            </w:r>
          </w:p>
        </w:tc>
        <w:tc>
          <w:tcPr>
            <w:tcW w:w="4284" w:type="dxa"/>
            <w:tcBorders>
              <w:top w:val="nil"/>
              <w:left w:val="nil"/>
              <w:bottom w:val="single" w:color="auto" w:sz="4" w:space="0"/>
              <w:right w:val="single" w:color="auto" w:sz="4" w:space="0"/>
            </w:tcBorders>
            <w:vAlign w:val="center"/>
          </w:tcPr>
          <w:p w14:paraId="628BC406">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84.91</w:t>
            </w:r>
          </w:p>
        </w:tc>
      </w:tr>
    </w:tbl>
    <w:p w14:paraId="4405A7E1">
      <w:pPr>
        <w:pStyle w:val="278"/>
        <w:autoSpaceDE w:val="0"/>
        <w:autoSpaceDN w:val="0"/>
        <w:spacing w:before="240" w:beforeLines="100" w:line="480" w:lineRule="auto"/>
        <w:ind w:firstLine="360" w:firstLineChars="200"/>
        <w:jc w:val="both"/>
        <w:textAlignment w:val="bottom"/>
        <w:rPr>
          <w:rFonts w:ascii="Arial" w:hAnsi="Arial" w:cs="Arial"/>
          <w:color w:val="000000"/>
          <w:sz w:val="21"/>
          <w:szCs w:val="21"/>
        </w:rPr>
      </w:pPr>
      <w:r>
        <w:rPr>
          <w:rFonts w:hint="eastAsia" w:ascii="Arial" w:hAnsi="Arial" w:cs="Arial"/>
          <w:color w:val="000000"/>
          <w:sz w:val="18"/>
          <w:szCs w:val="18"/>
        </w:rPr>
        <w:t>注：上述样本小区租金包括地租、房屋折旧、家具及家电租赁费、设备折旧、维修费、保险费、物业费、管理费、利息、利润等；不含供暖费、水电费、天然气费、通信费、有线电视费、上网宽带费和租赁税费等。</w:t>
      </w:r>
    </w:p>
    <w:p w14:paraId="76951D51">
      <w:pPr>
        <w:pStyle w:val="278"/>
        <w:autoSpaceDE w:val="0"/>
        <w:autoSpaceDN w:val="0"/>
        <w:spacing w:line="480" w:lineRule="auto"/>
        <w:ind w:firstLine="420" w:firstLineChars="200"/>
        <w:jc w:val="both"/>
        <w:textAlignment w:val="bottom"/>
        <w:rPr>
          <w:rFonts w:ascii="Arial" w:hAnsi="Arial" w:cs="Arial"/>
          <w:color w:val="000000"/>
          <w:sz w:val="21"/>
          <w:szCs w:val="21"/>
        </w:rPr>
      </w:pPr>
    </w:p>
    <w:p w14:paraId="55A0F192">
      <w:pPr>
        <w:pStyle w:val="278"/>
        <w:autoSpaceDE w:val="0"/>
        <w:autoSpaceDN w:val="0"/>
        <w:spacing w:line="480" w:lineRule="auto"/>
        <w:ind w:firstLine="420" w:firstLineChars="200"/>
        <w:textAlignment w:val="bottom"/>
        <w:rPr>
          <w:rFonts w:ascii="Arial" w:hAnsi="Arial" w:cs="Arial"/>
          <w:color w:val="000000"/>
          <w:sz w:val="21"/>
          <w:szCs w:val="21"/>
        </w:rPr>
      </w:pPr>
    </w:p>
    <w:p w14:paraId="2F391BC8">
      <w:pPr>
        <w:pStyle w:val="278"/>
        <w:autoSpaceDE w:val="0"/>
        <w:autoSpaceDN w:val="0"/>
        <w:spacing w:line="480" w:lineRule="auto"/>
        <w:ind w:firstLine="420" w:firstLineChars="200"/>
        <w:jc w:val="both"/>
        <w:textAlignment w:val="bottom"/>
        <w:rPr>
          <w:rFonts w:ascii="Arial" w:hAnsi="Arial" w:cs="Arial"/>
          <w:color w:val="000000"/>
          <w:sz w:val="21"/>
          <w:szCs w:val="21"/>
        </w:rPr>
      </w:pPr>
      <w:r>
        <w:rPr>
          <w:rFonts w:ascii="Arial" w:hAnsi="Arial" w:cs="Arial"/>
          <w:color w:val="000000"/>
          <w:sz w:val="21"/>
          <w:szCs w:val="21"/>
        </w:rPr>
        <w:br w:type="page"/>
      </w:r>
      <w:r>
        <w:rPr>
          <w:rFonts w:hint="eastAsia" w:ascii="Arial" w:hAnsi="Arial" w:cs="Arial"/>
          <w:color w:val="000000"/>
          <w:sz w:val="21"/>
          <w:szCs w:val="21"/>
        </w:rPr>
        <w:t>B. 估价机构市场调查</w:t>
      </w:r>
    </w:p>
    <w:p w14:paraId="51C7B672">
      <w:pPr>
        <w:pStyle w:val="278"/>
        <w:autoSpaceDE w:val="0"/>
        <w:autoSpaceDN w:val="0"/>
        <w:spacing w:line="240" w:lineRule="auto"/>
        <w:ind w:firstLine="420" w:firstLineChars="200"/>
        <w:jc w:val="both"/>
        <w:textAlignment w:val="bottom"/>
        <w:rPr>
          <w:rFonts w:ascii="Arial" w:hAnsi="Arial" w:cs="Arial"/>
          <w:color w:val="000000"/>
          <w:sz w:val="21"/>
          <w:szCs w:val="21"/>
        </w:rPr>
      </w:pPr>
      <w:r>
        <w:rPr>
          <w:rFonts w:hint="eastAsia" w:ascii="Arial" w:hAnsi="Arial" w:cs="Arial"/>
          <w:color w:val="000000"/>
          <w:sz w:val="21"/>
          <w:szCs w:val="21"/>
        </w:rPr>
        <w:t>样本小区一：招商臻珑府</w:t>
      </w:r>
    </w:p>
    <w:tbl>
      <w:tblPr>
        <w:tblStyle w:val="33"/>
        <w:tblW w:w="5000" w:type="pct"/>
        <w:tblInd w:w="0" w:type="dxa"/>
        <w:tblLayout w:type="autofit"/>
        <w:tblCellMar>
          <w:top w:w="0" w:type="dxa"/>
          <w:left w:w="108" w:type="dxa"/>
          <w:bottom w:w="0" w:type="dxa"/>
          <w:right w:w="108" w:type="dxa"/>
        </w:tblCellMar>
      </w:tblPr>
      <w:tblGrid>
        <w:gridCol w:w="3444"/>
        <w:gridCol w:w="1785"/>
        <w:gridCol w:w="4285"/>
      </w:tblGrid>
      <w:tr w14:paraId="3615C06B">
        <w:tblPrEx>
          <w:tblCellMar>
            <w:top w:w="0" w:type="dxa"/>
            <w:left w:w="108" w:type="dxa"/>
            <w:bottom w:w="0" w:type="dxa"/>
            <w:right w:w="108" w:type="dxa"/>
          </w:tblCellMar>
        </w:tblPrEx>
        <w:trPr>
          <w:trHeight w:val="20" w:hRule="atLeast"/>
          <w:tblHeader/>
        </w:trPr>
        <w:tc>
          <w:tcPr>
            <w:tcW w:w="1810" w:type="pct"/>
            <w:tcBorders>
              <w:top w:val="single" w:color="auto" w:sz="4" w:space="0"/>
              <w:left w:val="single" w:color="auto" w:sz="4" w:space="0"/>
              <w:bottom w:val="single" w:color="auto" w:sz="4" w:space="0"/>
              <w:right w:val="single" w:color="auto" w:sz="4" w:space="0"/>
            </w:tcBorders>
            <w:vAlign w:val="center"/>
          </w:tcPr>
          <w:p w14:paraId="4F3831E9">
            <w:pPr>
              <w:widowControl/>
              <w:spacing w:line="240" w:lineRule="atLeast"/>
              <w:jc w:val="center"/>
              <w:textAlignment w:val="auto"/>
              <w:rPr>
                <w:rFonts w:ascii="华文细黑" w:hAnsi="华文细黑" w:eastAsia="华文细黑" w:cs="宋体"/>
                <w:sz w:val="18"/>
                <w:szCs w:val="18"/>
              </w:rPr>
            </w:pPr>
            <w:r>
              <w:rPr>
                <w:rFonts w:hint="eastAsia" w:ascii="华文细黑" w:hAnsi="华文细黑" w:eastAsia="华文细黑" w:cs="宋体"/>
                <w:sz w:val="18"/>
                <w:szCs w:val="18"/>
              </w:rPr>
              <w:t>时间</w:t>
            </w:r>
          </w:p>
        </w:tc>
        <w:tc>
          <w:tcPr>
            <w:tcW w:w="938" w:type="pct"/>
            <w:tcBorders>
              <w:top w:val="single" w:color="auto" w:sz="4" w:space="0"/>
              <w:left w:val="nil"/>
              <w:bottom w:val="single" w:color="auto" w:sz="4" w:space="0"/>
              <w:right w:val="single" w:color="auto" w:sz="4" w:space="0"/>
            </w:tcBorders>
            <w:vAlign w:val="center"/>
          </w:tcPr>
          <w:p w14:paraId="35FF1B2C">
            <w:pPr>
              <w:widowControl/>
              <w:spacing w:line="240" w:lineRule="atLeast"/>
              <w:jc w:val="center"/>
              <w:textAlignment w:val="auto"/>
              <w:rPr>
                <w:rFonts w:ascii="华文细黑" w:hAnsi="华文细黑" w:eastAsia="华文细黑" w:cs="宋体"/>
                <w:sz w:val="18"/>
                <w:szCs w:val="18"/>
              </w:rPr>
            </w:pPr>
            <w:r>
              <w:rPr>
                <w:rFonts w:hint="eastAsia" w:ascii="华文细黑" w:hAnsi="华文细黑" w:eastAsia="华文细黑" w:cs="宋体"/>
                <w:sz w:val="18"/>
                <w:szCs w:val="18"/>
              </w:rPr>
              <w:t>样本数量</w:t>
            </w:r>
          </w:p>
        </w:tc>
        <w:tc>
          <w:tcPr>
            <w:tcW w:w="2252" w:type="pct"/>
            <w:tcBorders>
              <w:top w:val="single" w:color="auto" w:sz="4" w:space="0"/>
              <w:left w:val="nil"/>
              <w:bottom w:val="single" w:color="auto" w:sz="4" w:space="0"/>
              <w:right w:val="single" w:color="auto" w:sz="4" w:space="0"/>
            </w:tcBorders>
            <w:vAlign w:val="center"/>
          </w:tcPr>
          <w:p w14:paraId="0D7C21B0">
            <w:pPr>
              <w:widowControl/>
              <w:spacing w:line="240" w:lineRule="atLeast"/>
              <w:jc w:val="center"/>
              <w:textAlignment w:val="auto"/>
              <w:rPr>
                <w:rFonts w:ascii="华文细黑" w:hAnsi="华文细黑" w:eastAsia="华文细黑" w:cs="宋体"/>
                <w:sz w:val="18"/>
                <w:szCs w:val="18"/>
              </w:rPr>
            </w:pPr>
            <w:r>
              <w:rPr>
                <w:rFonts w:hint="eastAsia" w:ascii="华文细黑" w:hAnsi="华文细黑" w:eastAsia="华文细黑" w:cs="宋体"/>
                <w:sz w:val="18"/>
                <w:szCs w:val="18"/>
              </w:rPr>
              <w:t>租金平均单价（元/平方米·月）</w:t>
            </w:r>
          </w:p>
        </w:tc>
      </w:tr>
      <w:tr w14:paraId="100DA029">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39F2DFBC">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2024-10</w:t>
            </w:r>
          </w:p>
        </w:tc>
        <w:tc>
          <w:tcPr>
            <w:tcW w:w="938" w:type="pct"/>
            <w:tcBorders>
              <w:top w:val="nil"/>
              <w:left w:val="nil"/>
              <w:bottom w:val="single" w:color="auto" w:sz="4" w:space="0"/>
              <w:right w:val="single" w:color="auto" w:sz="4" w:space="0"/>
            </w:tcBorders>
            <w:vAlign w:val="center"/>
          </w:tcPr>
          <w:p w14:paraId="45A64034">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0</w:t>
            </w:r>
          </w:p>
        </w:tc>
        <w:tc>
          <w:tcPr>
            <w:tcW w:w="4286" w:type="dxa"/>
            <w:tcBorders>
              <w:top w:val="nil"/>
              <w:left w:val="nil"/>
              <w:bottom w:val="single" w:color="auto" w:sz="4" w:space="0"/>
              <w:right w:val="single" w:color="auto" w:sz="4" w:space="0"/>
            </w:tcBorders>
            <w:vAlign w:val="center"/>
          </w:tcPr>
          <w:p w14:paraId="335890C0">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w:t>
            </w:r>
          </w:p>
        </w:tc>
      </w:tr>
      <w:tr w14:paraId="158DC239">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0F811844">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2024-11</w:t>
            </w:r>
          </w:p>
        </w:tc>
        <w:tc>
          <w:tcPr>
            <w:tcW w:w="938" w:type="pct"/>
            <w:tcBorders>
              <w:top w:val="nil"/>
              <w:left w:val="nil"/>
              <w:bottom w:val="single" w:color="auto" w:sz="4" w:space="0"/>
              <w:right w:val="single" w:color="auto" w:sz="4" w:space="0"/>
            </w:tcBorders>
          </w:tcPr>
          <w:p w14:paraId="20DED984">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0</w:t>
            </w:r>
          </w:p>
        </w:tc>
        <w:tc>
          <w:tcPr>
            <w:tcW w:w="4286" w:type="dxa"/>
            <w:tcBorders>
              <w:top w:val="nil"/>
              <w:left w:val="nil"/>
              <w:bottom w:val="single" w:color="auto" w:sz="4" w:space="0"/>
              <w:right w:val="single" w:color="auto" w:sz="4" w:space="0"/>
            </w:tcBorders>
            <w:vAlign w:val="center"/>
          </w:tcPr>
          <w:p w14:paraId="2204B5E8">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w:t>
            </w:r>
          </w:p>
        </w:tc>
      </w:tr>
      <w:tr w14:paraId="7EF35E42">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329F4087">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2024-12</w:t>
            </w:r>
          </w:p>
        </w:tc>
        <w:tc>
          <w:tcPr>
            <w:tcW w:w="938" w:type="pct"/>
            <w:tcBorders>
              <w:top w:val="nil"/>
              <w:left w:val="nil"/>
              <w:bottom w:val="single" w:color="auto" w:sz="4" w:space="0"/>
              <w:right w:val="single" w:color="auto" w:sz="4" w:space="0"/>
            </w:tcBorders>
          </w:tcPr>
          <w:p w14:paraId="75318277">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1</w:t>
            </w:r>
          </w:p>
        </w:tc>
        <w:tc>
          <w:tcPr>
            <w:tcW w:w="4286" w:type="dxa"/>
            <w:tcBorders>
              <w:top w:val="nil"/>
              <w:left w:val="nil"/>
              <w:bottom w:val="single" w:color="auto" w:sz="4" w:space="0"/>
              <w:right w:val="single" w:color="auto" w:sz="4" w:space="0"/>
            </w:tcBorders>
            <w:vAlign w:val="center"/>
          </w:tcPr>
          <w:p w14:paraId="2DA1900D">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71.80 </w:t>
            </w:r>
          </w:p>
        </w:tc>
      </w:tr>
      <w:tr w14:paraId="3AFCC2EA">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5137C1D7">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2025-1</w:t>
            </w:r>
          </w:p>
        </w:tc>
        <w:tc>
          <w:tcPr>
            <w:tcW w:w="938" w:type="pct"/>
            <w:tcBorders>
              <w:top w:val="nil"/>
              <w:left w:val="nil"/>
              <w:bottom w:val="single" w:color="auto" w:sz="4" w:space="0"/>
              <w:right w:val="single" w:color="auto" w:sz="4" w:space="0"/>
            </w:tcBorders>
          </w:tcPr>
          <w:p w14:paraId="22A85D08">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6" w:type="dxa"/>
            <w:tcBorders>
              <w:top w:val="nil"/>
              <w:left w:val="nil"/>
              <w:bottom w:val="single" w:color="auto" w:sz="4" w:space="0"/>
              <w:right w:val="single" w:color="auto" w:sz="4" w:space="0"/>
            </w:tcBorders>
            <w:vAlign w:val="center"/>
          </w:tcPr>
          <w:p w14:paraId="0F6B566E">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85.30 </w:t>
            </w:r>
          </w:p>
        </w:tc>
      </w:tr>
      <w:tr w14:paraId="74D5A95D">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1ACEE71B">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2025-2</w:t>
            </w:r>
          </w:p>
        </w:tc>
        <w:tc>
          <w:tcPr>
            <w:tcW w:w="938" w:type="pct"/>
            <w:tcBorders>
              <w:top w:val="nil"/>
              <w:left w:val="nil"/>
              <w:bottom w:val="single" w:color="auto" w:sz="4" w:space="0"/>
              <w:right w:val="single" w:color="auto" w:sz="4" w:space="0"/>
            </w:tcBorders>
          </w:tcPr>
          <w:p w14:paraId="6BAE268F">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0</w:t>
            </w:r>
          </w:p>
        </w:tc>
        <w:tc>
          <w:tcPr>
            <w:tcW w:w="4286" w:type="dxa"/>
            <w:tcBorders>
              <w:top w:val="nil"/>
              <w:left w:val="nil"/>
              <w:bottom w:val="single" w:color="auto" w:sz="4" w:space="0"/>
              <w:right w:val="single" w:color="auto" w:sz="4" w:space="0"/>
            </w:tcBorders>
            <w:vAlign w:val="center"/>
          </w:tcPr>
          <w:p w14:paraId="3FB30EB0">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w:t>
            </w:r>
          </w:p>
        </w:tc>
      </w:tr>
      <w:tr w14:paraId="68ABA0D5">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3D6E44AC">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2025-3</w:t>
            </w:r>
          </w:p>
        </w:tc>
        <w:tc>
          <w:tcPr>
            <w:tcW w:w="938" w:type="pct"/>
            <w:tcBorders>
              <w:top w:val="nil"/>
              <w:left w:val="nil"/>
              <w:bottom w:val="single" w:color="auto" w:sz="4" w:space="0"/>
              <w:right w:val="single" w:color="auto" w:sz="4" w:space="0"/>
            </w:tcBorders>
          </w:tcPr>
          <w:p w14:paraId="1EA3584D">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1</w:t>
            </w:r>
          </w:p>
        </w:tc>
        <w:tc>
          <w:tcPr>
            <w:tcW w:w="4286" w:type="dxa"/>
            <w:tcBorders>
              <w:top w:val="nil"/>
              <w:left w:val="nil"/>
              <w:bottom w:val="single" w:color="auto" w:sz="4" w:space="0"/>
              <w:right w:val="single" w:color="auto" w:sz="4" w:space="0"/>
            </w:tcBorders>
            <w:vAlign w:val="center"/>
          </w:tcPr>
          <w:p w14:paraId="32F3C238">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81.10 </w:t>
            </w:r>
          </w:p>
        </w:tc>
      </w:tr>
      <w:tr w14:paraId="23B3026A">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71D2AA41">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2025-4</w:t>
            </w:r>
          </w:p>
        </w:tc>
        <w:tc>
          <w:tcPr>
            <w:tcW w:w="938" w:type="pct"/>
            <w:tcBorders>
              <w:top w:val="nil"/>
              <w:left w:val="nil"/>
              <w:bottom w:val="single" w:color="auto" w:sz="4" w:space="0"/>
              <w:right w:val="single" w:color="auto" w:sz="4" w:space="0"/>
            </w:tcBorders>
          </w:tcPr>
          <w:p w14:paraId="105AF674">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0</w:t>
            </w:r>
          </w:p>
        </w:tc>
        <w:tc>
          <w:tcPr>
            <w:tcW w:w="4286" w:type="dxa"/>
            <w:tcBorders>
              <w:top w:val="nil"/>
              <w:left w:val="nil"/>
              <w:bottom w:val="single" w:color="auto" w:sz="4" w:space="0"/>
              <w:right w:val="single" w:color="auto" w:sz="4" w:space="0"/>
            </w:tcBorders>
            <w:vAlign w:val="center"/>
          </w:tcPr>
          <w:p w14:paraId="40DA2370">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w:t>
            </w:r>
          </w:p>
        </w:tc>
      </w:tr>
      <w:tr w14:paraId="7711C4C0">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0E02B1AC">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2025-5</w:t>
            </w:r>
          </w:p>
        </w:tc>
        <w:tc>
          <w:tcPr>
            <w:tcW w:w="938" w:type="pct"/>
            <w:tcBorders>
              <w:top w:val="nil"/>
              <w:left w:val="nil"/>
              <w:bottom w:val="single" w:color="auto" w:sz="4" w:space="0"/>
              <w:right w:val="single" w:color="auto" w:sz="4" w:space="0"/>
            </w:tcBorders>
          </w:tcPr>
          <w:p w14:paraId="045834B7">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6" w:type="dxa"/>
            <w:tcBorders>
              <w:top w:val="nil"/>
              <w:left w:val="nil"/>
              <w:bottom w:val="single" w:color="auto" w:sz="4" w:space="0"/>
              <w:right w:val="single" w:color="auto" w:sz="4" w:space="0"/>
            </w:tcBorders>
            <w:vAlign w:val="center"/>
          </w:tcPr>
          <w:p w14:paraId="271C803E">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82.10 </w:t>
            </w:r>
          </w:p>
        </w:tc>
      </w:tr>
      <w:tr w14:paraId="31752E1B">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096EC34F">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2025-6</w:t>
            </w:r>
          </w:p>
        </w:tc>
        <w:tc>
          <w:tcPr>
            <w:tcW w:w="938" w:type="pct"/>
            <w:tcBorders>
              <w:top w:val="nil"/>
              <w:left w:val="nil"/>
              <w:bottom w:val="single" w:color="auto" w:sz="4" w:space="0"/>
              <w:right w:val="single" w:color="auto" w:sz="4" w:space="0"/>
            </w:tcBorders>
          </w:tcPr>
          <w:p w14:paraId="56741C06">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6" w:type="dxa"/>
            <w:tcBorders>
              <w:top w:val="nil"/>
              <w:left w:val="nil"/>
              <w:bottom w:val="single" w:color="auto" w:sz="4" w:space="0"/>
              <w:right w:val="single" w:color="auto" w:sz="4" w:space="0"/>
            </w:tcBorders>
            <w:vAlign w:val="center"/>
          </w:tcPr>
          <w:p w14:paraId="76E82D76">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82.00 </w:t>
            </w:r>
          </w:p>
        </w:tc>
      </w:tr>
      <w:tr w14:paraId="084B2B6E">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2D410315">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2025-7</w:t>
            </w:r>
          </w:p>
        </w:tc>
        <w:tc>
          <w:tcPr>
            <w:tcW w:w="938" w:type="pct"/>
            <w:tcBorders>
              <w:top w:val="nil"/>
              <w:left w:val="nil"/>
              <w:bottom w:val="single" w:color="auto" w:sz="4" w:space="0"/>
              <w:right w:val="single" w:color="auto" w:sz="4" w:space="0"/>
            </w:tcBorders>
          </w:tcPr>
          <w:p w14:paraId="5DE10D1C">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6" w:type="dxa"/>
            <w:tcBorders>
              <w:top w:val="nil"/>
              <w:left w:val="nil"/>
              <w:bottom w:val="single" w:color="auto" w:sz="4" w:space="0"/>
              <w:right w:val="single" w:color="auto" w:sz="4" w:space="0"/>
            </w:tcBorders>
            <w:vAlign w:val="center"/>
          </w:tcPr>
          <w:p w14:paraId="4915D934">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76.40 </w:t>
            </w:r>
          </w:p>
        </w:tc>
      </w:tr>
      <w:tr w14:paraId="642A24D8">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2C552E9E">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2025-8</w:t>
            </w:r>
          </w:p>
        </w:tc>
        <w:tc>
          <w:tcPr>
            <w:tcW w:w="938" w:type="pct"/>
            <w:tcBorders>
              <w:top w:val="nil"/>
              <w:left w:val="nil"/>
              <w:bottom w:val="single" w:color="auto" w:sz="4" w:space="0"/>
              <w:right w:val="single" w:color="auto" w:sz="4" w:space="0"/>
            </w:tcBorders>
          </w:tcPr>
          <w:p w14:paraId="02232D0F">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0</w:t>
            </w:r>
          </w:p>
        </w:tc>
        <w:tc>
          <w:tcPr>
            <w:tcW w:w="4286" w:type="dxa"/>
            <w:tcBorders>
              <w:top w:val="nil"/>
              <w:left w:val="nil"/>
              <w:bottom w:val="single" w:color="auto" w:sz="4" w:space="0"/>
              <w:right w:val="single" w:color="auto" w:sz="4" w:space="0"/>
            </w:tcBorders>
            <w:vAlign w:val="center"/>
          </w:tcPr>
          <w:p w14:paraId="605A9E90">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w:t>
            </w:r>
          </w:p>
        </w:tc>
      </w:tr>
      <w:tr w14:paraId="12FC193F">
        <w:tblPrEx>
          <w:tblCellMar>
            <w:top w:w="0" w:type="dxa"/>
            <w:left w:w="108" w:type="dxa"/>
            <w:bottom w:w="0" w:type="dxa"/>
            <w:right w:w="108" w:type="dxa"/>
          </w:tblCellMar>
        </w:tblPrEx>
        <w:trPr>
          <w:trHeight w:val="168" w:hRule="atLeast"/>
        </w:trPr>
        <w:tc>
          <w:tcPr>
            <w:tcW w:w="1810" w:type="pct"/>
            <w:tcBorders>
              <w:top w:val="nil"/>
              <w:left w:val="single" w:color="auto" w:sz="4" w:space="0"/>
              <w:bottom w:val="single" w:color="auto" w:sz="4" w:space="0"/>
              <w:right w:val="single" w:color="auto" w:sz="4" w:space="0"/>
            </w:tcBorders>
            <w:vAlign w:val="center"/>
          </w:tcPr>
          <w:p w14:paraId="1E064D40">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2025-9</w:t>
            </w:r>
          </w:p>
        </w:tc>
        <w:tc>
          <w:tcPr>
            <w:tcW w:w="938" w:type="pct"/>
            <w:tcBorders>
              <w:top w:val="nil"/>
              <w:left w:val="nil"/>
              <w:bottom w:val="single" w:color="auto" w:sz="4" w:space="0"/>
              <w:right w:val="single" w:color="auto" w:sz="4" w:space="0"/>
            </w:tcBorders>
          </w:tcPr>
          <w:p w14:paraId="0BA77857">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1</w:t>
            </w:r>
          </w:p>
        </w:tc>
        <w:tc>
          <w:tcPr>
            <w:tcW w:w="4286" w:type="dxa"/>
            <w:tcBorders>
              <w:top w:val="nil"/>
              <w:left w:val="nil"/>
              <w:bottom w:val="single" w:color="auto" w:sz="4" w:space="0"/>
              <w:right w:val="single" w:color="auto" w:sz="4" w:space="0"/>
            </w:tcBorders>
            <w:vAlign w:val="center"/>
          </w:tcPr>
          <w:p w14:paraId="7807F971">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75.50 </w:t>
            </w:r>
          </w:p>
        </w:tc>
      </w:tr>
      <w:tr w14:paraId="6DEF6FB8">
        <w:tblPrEx>
          <w:tblCellMar>
            <w:top w:w="0" w:type="dxa"/>
            <w:left w:w="108" w:type="dxa"/>
            <w:bottom w:w="0" w:type="dxa"/>
            <w:right w:w="108" w:type="dxa"/>
          </w:tblCellMar>
        </w:tblPrEx>
        <w:trPr>
          <w:trHeight w:val="20" w:hRule="atLeast"/>
        </w:trPr>
        <w:tc>
          <w:tcPr>
            <w:tcW w:w="2748" w:type="pct"/>
            <w:gridSpan w:val="2"/>
            <w:tcBorders>
              <w:top w:val="single" w:color="auto" w:sz="4" w:space="0"/>
              <w:left w:val="single" w:color="auto" w:sz="4" w:space="0"/>
              <w:bottom w:val="single" w:color="auto" w:sz="4" w:space="0"/>
              <w:right w:val="single" w:color="auto" w:sz="4" w:space="0"/>
            </w:tcBorders>
            <w:vAlign w:val="center"/>
          </w:tcPr>
          <w:p w14:paraId="089E2F91">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平均月租金</w:t>
            </w:r>
          </w:p>
        </w:tc>
        <w:tc>
          <w:tcPr>
            <w:tcW w:w="4285" w:type="dxa"/>
            <w:tcBorders>
              <w:top w:val="nil"/>
              <w:left w:val="nil"/>
              <w:bottom w:val="single" w:color="auto" w:sz="4" w:space="0"/>
              <w:right w:val="single" w:color="auto" w:sz="4" w:space="0"/>
            </w:tcBorders>
            <w:vAlign w:val="center"/>
          </w:tcPr>
          <w:p w14:paraId="18EEF68C">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79.17 </w:t>
            </w:r>
          </w:p>
        </w:tc>
      </w:tr>
    </w:tbl>
    <w:p w14:paraId="30047A02">
      <w:pPr>
        <w:pStyle w:val="278"/>
        <w:autoSpaceDE w:val="0"/>
        <w:autoSpaceDN w:val="0"/>
        <w:spacing w:before="240" w:beforeLines="100" w:line="240" w:lineRule="auto"/>
        <w:ind w:firstLine="420" w:firstLineChars="200"/>
        <w:jc w:val="both"/>
        <w:textAlignment w:val="bottom"/>
        <w:rPr>
          <w:rFonts w:ascii="Arial" w:hAnsi="Arial" w:cs="Arial"/>
          <w:color w:val="000000"/>
          <w:sz w:val="21"/>
          <w:szCs w:val="21"/>
        </w:rPr>
      </w:pPr>
      <w:r>
        <w:rPr>
          <w:rFonts w:hint="eastAsia" w:ascii="Arial" w:hAnsi="Arial" w:cs="Arial"/>
          <w:color w:val="000000"/>
          <w:sz w:val="21"/>
          <w:szCs w:val="21"/>
        </w:rPr>
        <w:t>样本小区二：</w:t>
      </w:r>
      <w:r>
        <w:rPr>
          <w:rFonts w:ascii="Arial" w:hAnsi="Arial" w:cs="Arial"/>
          <w:color w:val="000000"/>
          <w:sz w:val="21"/>
          <w:szCs w:val="21"/>
        </w:rPr>
        <w:t>北京经开·汀塘</w:t>
      </w:r>
    </w:p>
    <w:tbl>
      <w:tblPr>
        <w:tblStyle w:val="33"/>
        <w:tblW w:w="5000" w:type="pct"/>
        <w:tblInd w:w="0" w:type="dxa"/>
        <w:tblLayout w:type="autofit"/>
        <w:tblCellMar>
          <w:top w:w="0" w:type="dxa"/>
          <w:left w:w="108" w:type="dxa"/>
          <w:bottom w:w="0" w:type="dxa"/>
          <w:right w:w="108" w:type="dxa"/>
        </w:tblCellMar>
      </w:tblPr>
      <w:tblGrid>
        <w:gridCol w:w="3444"/>
        <w:gridCol w:w="1785"/>
        <w:gridCol w:w="4285"/>
      </w:tblGrid>
      <w:tr w14:paraId="44FB3442">
        <w:tblPrEx>
          <w:tblCellMar>
            <w:top w:w="0" w:type="dxa"/>
            <w:left w:w="108" w:type="dxa"/>
            <w:bottom w:w="0" w:type="dxa"/>
            <w:right w:w="108" w:type="dxa"/>
          </w:tblCellMar>
        </w:tblPrEx>
        <w:trPr>
          <w:trHeight w:val="20" w:hRule="atLeast"/>
          <w:tblHeader/>
        </w:trPr>
        <w:tc>
          <w:tcPr>
            <w:tcW w:w="1810" w:type="pct"/>
            <w:tcBorders>
              <w:top w:val="single" w:color="auto" w:sz="4" w:space="0"/>
              <w:left w:val="single" w:color="auto" w:sz="4" w:space="0"/>
              <w:bottom w:val="single" w:color="auto" w:sz="4" w:space="0"/>
              <w:right w:val="single" w:color="auto" w:sz="4" w:space="0"/>
            </w:tcBorders>
            <w:vAlign w:val="center"/>
          </w:tcPr>
          <w:p w14:paraId="6BDA5154">
            <w:pPr>
              <w:widowControl/>
              <w:spacing w:line="240" w:lineRule="atLeast"/>
              <w:jc w:val="center"/>
              <w:textAlignment w:val="auto"/>
              <w:rPr>
                <w:rFonts w:ascii="华文细黑" w:hAnsi="华文细黑" w:eastAsia="华文细黑" w:cs="宋体"/>
                <w:sz w:val="18"/>
                <w:szCs w:val="18"/>
              </w:rPr>
            </w:pPr>
            <w:r>
              <w:rPr>
                <w:rFonts w:hint="eastAsia" w:ascii="华文细黑" w:hAnsi="华文细黑" w:eastAsia="华文细黑" w:cs="宋体"/>
                <w:sz w:val="18"/>
                <w:szCs w:val="18"/>
              </w:rPr>
              <w:t>时间</w:t>
            </w:r>
          </w:p>
        </w:tc>
        <w:tc>
          <w:tcPr>
            <w:tcW w:w="938" w:type="pct"/>
            <w:tcBorders>
              <w:top w:val="single" w:color="auto" w:sz="4" w:space="0"/>
              <w:left w:val="nil"/>
              <w:bottom w:val="single" w:color="auto" w:sz="4" w:space="0"/>
              <w:right w:val="single" w:color="auto" w:sz="4" w:space="0"/>
            </w:tcBorders>
            <w:vAlign w:val="center"/>
          </w:tcPr>
          <w:p w14:paraId="4DE6841A">
            <w:pPr>
              <w:widowControl/>
              <w:spacing w:line="240" w:lineRule="atLeast"/>
              <w:jc w:val="center"/>
              <w:textAlignment w:val="auto"/>
              <w:rPr>
                <w:rFonts w:ascii="华文细黑" w:hAnsi="华文细黑" w:eastAsia="华文细黑" w:cs="宋体"/>
                <w:sz w:val="18"/>
                <w:szCs w:val="18"/>
              </w:rPr>
            </w:pPr>
            <w:r>
              <w:rPr>
                <w:rFonts w:hint="eastAsia" w:ascii="华文细黑" w:hAnsi="华文细黑" w:eastAsia="华文细黑" w:cs="宋体"/>
                <w:sz w:val="18"/>
                <w:szCs w:val="18"/>
              </w:rPr>
              <w:t>样本数量</w:t>
            </w:r>
          </w:p>
        </w:tc>
        <w:tc>
          <w:tcPr>
            <w:tcW w:w="2252" w:type="pct"/>
            <w:tcBorders>
              <w:top w:val="single" w:color="auto" w:sz="4" w:space="0"/>
              <w:left w:val="nil"/>
              <w:bottom w:val="single" w:color="auto" w:sz="4" w:space="0"/>
              <w:right w:val="single" w:color="auto" w:sz="4" w:space="0"/>
            </w:tcBorders>
            <w:vAlign w:val="center"/>
          </w:tcPr>
          <w:p w14:paraId="38C219F3">
            <w:pPr>
              <w:widowControl/>
              <w:spacing w:line="240" w:lineRule="atLeast"/>
              <w:jc w:val="center"/>
              <w:textAlignment w:val="auto"/>
              <w:rPr>
                <w:rFonts w:ascii="华文细黑" w:hAnsi="华文细黑" w:eastAsia="华文细黑" w:cs="宋体"/>
                <w:sz w:val="18"/>
                <w:szCs w:val="18"/>
              </w:rPr>
            </w:pPr>
            <w:r>
              <w:rPr>
                <w:rFonts w:hint="eastAsia" w:ascii="华文细黑" w:hAnsi="华文细黑" w:eastAsia="华文细黑" w:cs="宋体"/>
                <w:sz w:val="18"/>
                <w:szCs w:val="18"/>
              </w:rPr>
              <w:t>租金平均单价（元/平方米·月）</w:t>
            </w:r>
          </w:p>
        </w:tc>
      </w:tr>
      <w:tr w14:paraId="4BE4AD06">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20582FE7">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2024-10</w:t>
            </w:r>
          </w:p>
        </w:tc>
        <w:tc>
          <w:tcPr>
            <w:tcW w:w="938" w:type="pct"/>
            <w:tcBorders>
              <w:top w:val="nil"/>
              <w:left w:val="nil"/>
              <w:bottom w:val="single" w:color="auto" w:sz="4" w:space="0"/>
              <w:right w:val="single" w:color="auto" w:sz="4" w:space="0"/>
            </w:tcBorders>
            <w:vAlign w:val="center"/>
          </w:tcPr>
          <w:p w14:paraId="4848CC82">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6" w:type="dxa"/>
            <w:tcBorders>
              <w:top w:val="nil"/>
              <w:left w:val="nil"/>
              <w:bottom w:val="single" w:color="auto" w:sz="4" w:space="0"/>
              <w:right w:val="single" w:color="auto" w:sz="4" w:space="0"/>
            </w:tcBorders>
            <w:vAlign w:val="center"/>
          </w:tcPr>
          <w:p w14:paraId="36CC97CF">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84.30 </w:t>
            </w:r>
          </w:p>
        </w:tc>
      </w:tr>
      <w:tr w14:paraId="4D669685">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0EA1BB47">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2024-11</w:t>
            </w:r>
          </w:p>
        </w:tc>
        <w:tc>
          <w:tcPr>
            <w:tcW w:w="938" w:type="pct"/>
            <w:tcBorders>
              <w:top w:val="nil"/>
              <w:left w:val="nil"/>
              <w:bottom w:val="single" w:color="auto" w:sz="4" w:space="0"/>
              <w:right w:val="single" w:color="auto" w:sz="4" w:space="0"/>
            </w:tcBorders>
          </w:tcPr>
          <w:p w14:paraId="067A61B7">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0</w:t>
            </w:r>
          </w:p>
        </w:tc>
        <w:tc>
          <w:tcPr>
            <w:tcW w:w="4286" w:type="dxa"/>
            <w:tcBorders>
              <w:top w:val="nil"/>
              <w:left w:val="nil"/>
              <w:bottom w:val="single" w:color="auto" w:sz="4" w:space="0"/>
              <w:right w:val="single" w:color="auto" w:sz="4" w:space="0"/>
            </w:tcBorders>
            <w:vAlign w:val="center"/>
          </w:tcPr>
          <w:p w14:paraId="3A029560">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w:t>
            </w:r>
          </w:p>
        </w:tc>
      </w:tr>
      <w:tr w14:paraId="2E1E1DAA">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1C703A81">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2024-12</w:t>
            </w:r>
          </w:p>
        </w:tc>
        <w:tc>
          <w:tcPr>
            <w:tcW w:w="938" w:type="pct"/>
            <w:tcBorders>
              <w:top w:val="nil"/>
              <w:left w:val="nil"/>
              <w:bottom w:val="single" w:color="auto" w:sz="4" w:space="0"/>
              <w:right w:val="single" w:color="auto" w:sz="4" w:space="0"/>
            </w:tcBorders>
          </w:tcPr>
          <w:p w14:paraId="5E7C6D20">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0</w:t>
            </w:r>
          </w:p>
        </w:tc>
        <w:tc>
          <w:tcPr>
            <w:tcW w:w="4286" w:type="dxa"/>
            <w:tcBorders>
              <w:top w:val="nil"/>
              <w:left w:val="nil"/>
              <w:bottom w:val="single" w:color="auto" w:sz="4" w:space="0"/>
              <w:right w:val="single" w:color="auto" w:sz="4" w:space="0"/>
            </w:tcBorders>
            <w:vAlign w:val="center"/>
          </w:tcPr>
          <w:p w14:paraId="671A5A09">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w:t>
            </w:r>
          </w:p>
        </w:tc>
      </w:tr>
      <w:tr w14:paraId="52B0C97E">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164E09B8">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2025-1</w:t>
            </w:r>
          </w:p>
        </w:tc>
        <w:tc>
          <w:tcPr>
            <w:tcW w:w="938" w:type="pct"/>
            <w:tcBorders>
              <w:top w:val="nil"/>
              <w:left w:val="nil"/>
              <w:bottom w:val="single" w:color="auto" w:sz="4" w:space="0"/>
              <w:right w:val="single" w:color="auto" w:sz="4" w:space="0"/>
            </w:tcBorders>
          </w:tcPr>
          <w:p w14:paraId="3E490BA5">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0</w:t>
            </w:r>
          </w:p>
        </w:tc>
        <w:tc>
          <w:tcPr>
            <w:tcW w:w="4286" w:type="dxa"/>
            <w:tcBorders>
              <w:top w:val="nil"/>
              <w:left w:val="nil"/>
              <w:bottom w:val="single" w:color="auto" w:sz="4" w:space="0"/>
              <w:right w:val="single" w:color="auto" w:sz="4" w:space="0"/>
            </w:tcBorders>
            <w:vAlign w:val="center"/>
          </w:tcPr>
          <w:p w14:paraId="7C0FD81B">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w:t>
            </w:r>
          </w:p>
        </w:tc>
      </w:tr>
      <w:tr w14:paraId="05928769">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0524EED9">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2025-2</w:t>
            </w:r>
          </w:p>
        </w:tc>
        <w:tc>
          <w:tcPr>
            <w:tcW w:w="938" w:type="pct"/>
            <w:tcBorders>
              <w:top w:val="nil"/>
              <w:left w:val="nil"/>
              <w:bottom w:val="single" w:color="auto" w:sz="4" w:space="0"/>
              <w:right w:val="single" w:color="auto" w:sz="4" w:space="0"/>
            </w:tcBorders>
          </w:tcPr>
          <w:p w14:paraId="1CFFE95D">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6" w:type="dxa"/>
            <w:tcBorders>
              <w:top w:val="nil"/>
              <w:left w:val="nil"/>
              <w:bottom w:val="single" w:color="auto" w:sz="4" w:space="0"/>
              <w:right w:val="single" w:color="auto" w:sz="4" w:space="0"/>
            </w:tcBorders>
            <w:vAlign w:val="center"/>
          </w:tcPr>
          <w:p w14:paraId="37B1EBDC">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68.40 </w:t>
            </w:r>
          </w:p>
        </w:tc>
      </w:tr>
      <w:tr w14:paraId="1AE5449D">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7832894B">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2025-3</w:t>
            </w:r>
          </w:p>
        </w:tc>
        <w:tc>
          <w:tcPr>
            <w:tcW w:w="938" w:type="pct"/>
            <w:tcBorders>
              <w:top w:val="nil"/>
              <w:left w:val="nil"/>
              <w:bottom w:val="single" w:color="auto" w:sz="4" w:space="0"/>
              <w:right w:val="single" w:color="auto" w:sz="4" w:space="0"/>
            </w:tcBorders>
          </w:tcPr>
          <w:p w14:paraId="31F62550">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6" w:type="dxa"/>
            <w:tcBorders>
              <w:top w:val="nil"/>
              <w:left w:val="nil"/>
              <w:bottom w:val="single" w:color="auto" w:sz="4" w:space="0"/>
              <w:right w:val="single" w:color="auto" w:sz="4" w:space="0"/>
            </w:tcBorders>
            <w:vAlign w:val="center"/>
          </w:tcPr>
          <w:p w14:paraId="0DAA9EDF">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64.50 </w:t>
            </w:r>
          </w:p>
        </w:tc>
      </w:tr>
      <w:tr w14:paraId="16BD63D6">
        <w:tblPrEx>
          <w:tblCellMar>
            <w:top w:w="0" w:type="dxa"/>
            <w:left w:w="108" w:type="dxa"/>
            <w:bottom w:w="0" w:type="dxa"/>
            <w:right w:w="108" w:type="dxa"/>
          </w:tblCellMar>
        </w:tblPrEx>
        <w:trPr>
          <w:trHeight w:val="192" w:hRule="atLeast"/>
        </w:trPr>
        <w:tc>
          <w:tcPr>
            <w:tcW w:w="1810" w:type="pct"/>
            <w:tcBorders>
              <w:top w:val="nil"/>
              <w:left w:val="single" w:color="auto" w:sz="4" w:space="0"/>
              <w:bottom w:val="single" w:color="auto" w:sz="4" w:space="0"/>
              <w:right w:val="single" w:color="auto" w:sz="4" w:space="0"/>
            </w:tcBorders>
            <w:vAlign w:val="center"/>
          </w:tcPr>
          <w:p w14:paraId="0EECD445">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2025-4</w:t>
            </w:r>
          </w:p>
        </w:tc>
        <w:tc>
          <w:tcPr>
            <w:tcW w:w="938" w:type="pct"/>
            <w:tcBorders>
              <w:top w:val="nil"/>
              <w:left w:val="nil"/>
              <w:bottom w:val="single" w:color="auto" w:sz="4" w:space="0"/>
              <w:right w:val="single" w:color="auto" w:sz="4" w:space="0"/>
            </w:tcBorders>
          </w:tcPr>
          <w:p w14:paraId="5D0033FD">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0</w:t>
            </w:r>
          </w:p>
        </w:tc>
        <w:tc>
          <w:tcPr>
            <w:tcW w:w="4286" w:type="dxa"/>
            <w:tcBorders>
              <w:top w:val="nil"/>
              <w:left w:val="nil"/>
              <w:bottom w:val="single" w:color="auto" w:sz="4" w:space="0"/>
              <w:right w:val="single" w:color="auto" w:sz="4" w:space="0"/>
            </w:tcBorders>
            <w:vAlign w:val="center"/>
          </w:tcPr>
          <w:p w14:paraId="57EB50BF">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w:t>
            </w:r>
          </w:p>
        </w:tc>
      </w:tr>
      <w:tr w14:paraId="4F25C2D9">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6DDD386C">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2025-5</w:t>
            </w:r>
          </w:p>
        </w:tc>
        <w:tc>
          <w:tcPr>
            <w:tcW w:w="938" w:type="pct"/>
            <w:tcBorders>
              <w:top w:val="nil"/>
              <w:left w:val="nil"/>
              <w:bottom w:val="single" w:color="auto" w:sz="4" w:space="0"/>
              <w:right w:val="single" w:color="auto" w:sz="4" w:space="0"/>
            </w:tcBorders>
          </w:tcPr>
          <w:p w14:paraId="4905BFEC">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6" w:type="dxa"/>
            <w:tcBorders>
              <w:top w:val="nil"/>
              <w:left w:val="nil"/>
              <w:bottom w:val="single" w:color="auto" w:sz="4" w:space="0"/>
              <w:right w:val="single" w:color="auto" w:sz="4" w:space="0"/>
            </w:tcBorders>
            <w:vAlign w:val="center"/>
          </w:tcPr>
          <w:p w14:paraId="121A0E7F">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73.00 </w:t>
            </w:r>
          </w:p>
        </w:tc>
      </w:tr>
      <w:tr w14:paraId="46BDACD3">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011C8F19">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2025-6</w:t>
            </w:r>
          </w:p>
        </w:tc>
        <w:tc>
          <w:tcPr>
            <w:tcW w:w="938" w:type="pct"/>
            <w:tcBorders>
              <w:top w:val="nil"/>
              <w:left w:val="nil"/>
              <w:bottom w:val="single" w:color="auto" w:sz="4" w:space="0"/>
              <w:right w:val="single" w:color="auto" w:sz="4" w:space="0"/>
            </w:tcBorders>
          </w:tcPr>
          <w:p w14:paraId="5EA6A2A1">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6" w:type="dxa"/>
            <w:tcBorders>
              <w:top w:val="nil"/>
              <w:left w:val="nil"/>
              <w:bottom w:val="single" w:color="auto" w:sz="4" w:space="0"/>
              <w:right w:val="single" w:color="auto" w:sz="4" w:space="0"/>
            </w:tcBorders>
            <w:vAlign w:val="center"/>
          </w:tcPr>
          <w:p w14:paraId="09DB0A30">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76.90 </w:t>
            </w:r>
          </w:p>
        </w:tc>
      </w:tr>
      <w:tr w14:paraId="6F845813">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0ABE4A80">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2025-7</w:t>
            </w:r>
          </w:p>
        </w:tc>
        <w:tc>
          <w:tcPr>
            <w:tcW w:w="938" w:type="pct"/>
            <w:tcBorders>
              <w:top w:val="nil"/>
              <w:left w:val="nil"/>
              <w:bottom w:val="single" w:color="auto" w:sz="4" w:space="0"/>
              <w:right w:val="single" w:color="auto" w:sz="4" w:space="0"/>
            </w:tcBorders>
          </w:tcPr>
          <w:p w14:paraId="0170A219">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0</w:t>
            </w:r>
          </w:p>
        </w:tc>
        <w:tc>
          <w:tcPr>
            <w:tcW w:w="4286" w:type="dxa"/>
            <w:tcBorders>
              <w:top w:val="nil"/>
              <w:left w:val="nil"/>
              <w:bottom w:val="single" w:color="auto" w:sz="4" w:space="0"/>
              <w:right w:val="single" w:color="auto" w:sz="4" w:space="0"/>
            </w:tcBorders>
            <w:vAlign w:val="center"/>
          </w:tcPr>
          <w:p w14:paraId="4D168FE9">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76.70 </w:t>
            </w:r>
          </w:p>
        </w:tc>
      </w:tr>
      <w:tr w14:paraId="31A8FD8F">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03C6D138">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2025-8</w:t>
            </w:r>
          </w:p>
        </w:tc>
        <w:tc>
          <w:tcPr>
            <w:tcW w:w="938" w:type="pct"/>
            <w:tcBorders>
              <w:top w:val="nil"/>
              <w:left w:val="nil"/>
              <w:bottom w:val="single" w:color="auto" w:sz="4" w:space="0"/>
              <w:right w:val="single" w:color="auto" w:sz="4" w:space="0"/>
            </w:tcBorders>
          </w:tcPr>
          <w:p w14:paraId="6F2937DD">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0</w:t>
            </w:r>
          </w:p>
        </w:tc>
        <w:tc>
          <w:tcPr>
            <w:tcW w:w="4286" w:type="dxa"/>
            <w:tcBorders>
              <w:top w:val="nil"/>
              <w:left w:val="nil"/>
              <w:bottom w:val="single" w:color="auto" w:sz="4" w:space="0"/>
              <w:right w:val="single" w:color="auto" w:sz="4" w:space="0"/>
            </w:tcBorders>
            <w:vAlign w:val="center"/>
          </w:tcPr>
          <w:p w14:paraId="69430632">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75.20 </w:t>
            </w:r>
          </w:p>
        </w:tc>
      </w:tr>
      <w:tr w14:paraId="297A60AB">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7EA425FF">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2025-9</w:t>
            </w:r>
          </w:p>
        </w:tc>
        <w:tc>
          <w:tcPr>
            <w:tcW w:w="938" w:type="pct"/>
            <w:tcBorders>
              <w:top w:val="nil"/>
              <w:left w:val="nil"/>
              <w:bottom w:val="single" w:color="auto" w:sz="4" w:space="0"/>
              <w:right w:val="single" w:color="auto" w:sz="4" w:space="0"/>
            </w:tcBorders>
          </w:tcPr>
          <w:p w14:paraId="3C141512">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6" w:type="dxa"/>
            <w:tcBorders>
              <w:top w:val="nil"/>
              <w:left w:val="nil"/>
              <w:bottom w:val="single" w:color="auto" w:sz="4" w:space="0"/>
              <w:right w:val="single" w:color="auto" w:sz="4" w:space="0"/>
            </w:tcBorders>
            <w:vAlign w:val="center"/>
          </w:tcPr>
          <w:p w14:paraId="0D0E1D90">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75.30 </w:t>
            </w:r>
          </w:p>
        </w:tc>
      </w:tr>
      <w:tr w14:paraId="0309FCEC">
        <w:tblPrEx>
          <w:tblCellMar>
            <w:top w:w="0" w:type="dxa"/>
            <w:left w:w="108" w:type="dxa"/>
            <w:bottom w:w="0" w:type="dxa"/>
            <w:right w:w="108" w:type="dxa"/>
          </w:tblCellMar>
        </w:tblPrEx>
        <w:trPr>
          <w:trHeight w:val="20" w:hRule="atLeast"/>
        </w:trPr>
        <w:tc>
          <w:tcPr>
            <w:tcW w:w="2748" w:type="pct"/>
            <w:gridSpan w:val="2"/>
            <w:tcBorders>
              <w:top w:val="single" w:color="auto" w:sz="4" w:space="0"/>
              <w:left w:val="single" w:color="auto" w:sz="4" w:space="0"/>
              <w:bottom w:val="single" w:color="auto" w:sz="4" w:space="0"/>
              <w:right w:val="single" w:color="auto" w:sz="4" w:space="0"/>
            </w:tcBorders>
            <w:vAlign w:val="center"/>
          </w:tcPr>
          <w:p w14:paraId="5DA91F82">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平均月租金</w:t>
            </w:r>
          </w:p>
        </w:tc>
        <w:tc>
          <w:tcPr>
            <w:tcW w:w="4286" w:type="dxa"/>
            <w:tcBorders>
              <w:top w:val="nil"/>
              <w:left w:val="nil"/>
              <w:bottom w:val="single" w:color="auto" w:sz="4" w:space="0"/>
              <w:right w:val="single" w:color="auto" w:sz="4" w:space="0"/>
            </w:tcBorders>
            <w:vAlign w:val="center"/>
          </w:tcPr>
          <w:p w14:paraId="2181B27D">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74.29 </w:t>
            </w:r>
          </w:p>
        </w:tc>
      </w:tr>
    </w:tbl>
    <w:p w14:paraId="5FCB52AE">
      <w:pPr>
        <w:pStyle w:val="278"/>
        <w:autoSpaceDE w:val="0"/>
        <w:autoSpaceDN w:val="0"/>
        <w:spacing w:before="240" w:beforeLines="100" w:line="240" w:lineRule="auto"/>
        <w:ind w:firstLine="420" w:firstLineChars="200"/>
        <w:jc w:val="both"/>
        <w:textAlignment w:val="bottom"/>
        <w:rPr>
          <w:rFonts w:ascii="Arial" w:hAnsi="Arial" w:cs="Arial"/>
          <w:color w:val="000000"/>
          <w:sz w:val="21"/>
          <w:szCs w:val="21"/>
        </w:rPr>
      </w:pPr>
      <w:r>
        <w:rPr>
          <w:rFonts w:ascii="Arial" w:hAnsi="Arial" w:cs="Arial"/>
          <w:color w:val="000000"/>
          <w:sz w:val="21"/>
          <w:szCs w:val="21"/>
        </w:rPr>
        <w:t>样本小区三：通泰国际公馆</w:t>
      </w:r>
    </w:p>
    <w:tbl>
      <w:tblPr>
        <w:tblStyle w:val="33"/>
        <w:tblW w:w="5000" w:type="pct"/>
        <w:tblInd w:w="0" w:type="dxa"/>
        <w:tblLayout w:type="autofit"/>
        <w:tblCellMar>
          <w:top w:w="0" w:type="dxa"/>
          <w:left w:w="108" w:type="dxa"/>
          <w:bottom w:w="0" w:type="dxa"/>
          <w:right w:w="108" w:type="dxa"/>
        </w:tblCellMar>
      </w:tblPr>
      <w:tblGrid>
        <w:gridCol w:w="3443"/>
        <w:gridCol w:w="1787"/>
        <w:gridCol w:w="4284"/>
      </w:tblGrid>
      <w:tr w14:paraId="61368E5B">
        <w:tblPrEx>
          <w:tblCellMar>
            <w:top w:w="0" w:type="dxa"/>
            <w:left w:w="108" w:type="dxa"/>
            <w:bottom w:w="0" w:type="dxa"/>
            <w:right w:w="108" w:type="dxa"/>
          </w:tblCellMar>
        </w:tblPrEx>
        <w:trPr>
          <w:trHeight w:val="20" w:hRule="atLeast"/>
          <w:tblHeader/>
        </w:trPr>
        <w:tc>
          <w:tcPr>
            <w:tcW w:w="1809" w:type="pct"/>
            <w:tcBorders>
              <w:top w:val="single" w:color="auto" w:sz="4" w:space="0"/>
              <w:left w:val="single" w:color="auto" w:sz="4" w:space="0"/>
              <w:bottom w:val="single" w:color="auto" w:sz="4" w:space="0"/>
              <w:right w:val="single" w:color="auto" w:sz="4" w:space="0"/>
            </w:tcBorders>
            <w:vAlign w:val="center"/>
          </w:tcPr>
          <w:p w14:paraId="23CC55F2">
            <w:pPr>
              <w:widowControl/>
              <w:spacing w:line="240" w:lineRule="atLeast"/>
              <w:jc w:val="center"/>
              <w:textAlignment w:val="auto"/>
              <w:rPr>
                <w:rFonts w:ascii="华文细黑" w:hAnsi="华文细黑" w:eastAsia="华文细黑" w:cs="宋体"/>
                <w:sz w:val="18"/>
                <w:szCs w:val="18"/>
              </w:rPr>
            </w:pPr>
            <w:r>
              <w:rPr>
                <w:rFonts w:hint="eastAsia" w:ascii="华文细黑" w:hAnsi="华文细黑" w:eastAsia="华文细黑" w:cs="宋体"/>
                <w:sz w:val="18"/>
                <w:szCs w:val="18"/>
              </w:rPr>
              <w:t>时间</w:t>
            </w:r>
          </w:p>
        </w:tc>
        <w:tc>
          <w:tcPr>
            <w:tcW w:w="938" w:type="pct"/>
            <w:tcBorders>
              <w:top w:val="single" w:color="auto" w:sz="4" w:space="0"/>
              <w:left w:val="nil"/>
              <w:bottom w:val="single" w:color="auto" w:sz="4" w:space="0"/>
              <w:right w:val="single" w:color="auto" w:sz="4" w:space="0"/>
            </w:tcBorders>
            <w:vAlign w:val="center"/>
          </w:tcPr>
          <w:p w14:paraId="2F480876">
            <w:pPr>
              <w:widowControl/>
              <w:spacing w:line="240" w:lineRule="atLeast"/>
              <w:jc w:val="center"/>
              <w:textAlignment w:val="auto"/>
              <w:rPr>
                <w:rFonts w:ascii="华文细黑" w:hAnsi="华文细黑" w:eastAsia="华文细黑" w:cs="宋体"/>
                <w:sz w:val="18"/>
                <w:szCs w:val="18"/>
              </w:rPr>
            </w:pPr>
            <w:r>
              <w:rPr>
                <w:rFonts w:hint="eastAsia" w:ascii="华文细黑" w:hAnsi="华文细黑" w:eastAsia="华文细黑" w:cs="宋体"/>
                <w:sz w:val="18"/>
                <w:szCs w:val="18"/>
              </w:rPr>
              <w:t>样本数量</w:t>
            </w:r>
          </w:p>
        </w:tc>
        <w:tc>
          <w:tcPr>
            <w:tcW w:w="2251" w:type="pct"/>
            <w:tcBorders>
              <w:top w:val="single" w:color="auto" w:sz="4" w:space="0"/>
              <w:left w:val="nil"/>
              <w:bottom w:val="single" w:color="auto" w:sz="4" w:space="0"/>
              <w:right w:val="single" w:color="auto" w:sz="4" w:space="0"/>
            </w:tcBorders>
            <w:vAlign w:val="center"/>
          </w:tcPr>
          <w:p w14:paraId="36EC2105">
            <w:pPr>
              <w:widowControl/>
              <w:spacing w:line="240" w:lineRule="atLeast"/>
              <w:jc w:val="center"/>
              <w:textAlignment w:val="auto"/>
              <w:rPr>
                <w:rFonts w:ascii="华文细黑" w:hAnsi="华文细黑" w:eastAsia="华文细黑" w:cs="宋体"/>
                <w:sz w:val="18"/>
                <w:szCs w:val="18"/>
              </w:rPr>
            </w:pPr>
            <w:r>
              <w:rPr>
                <w:rFonts w:hint="eastAsia" w:ascii="华文细黑" w:hAnsi="华文细黑" w:eastAsia="华文细黑" w:cs="宋体"/>
                <w:sz w:val="18"/>
                <w:szCs w:val="18"/>
              </w:rPr>
              <w:t>租金平均单价（元/平方米·月）</w:t>
            </w:r>
          </w:p>
        </w:tc>
      </w:tr>
      <w:tr w14:paraId="325A230A">
        <w:tblPrEx>
          <w:tblCellMar>
            <w:top w:w="0" w:type="dxa"/>
            <w:left w:w="108" w:type="dxa"/>
            <w:bottom w:w="0" w:type="dxa"/>
            <w:right w:w="108" w:type="dxa"/>
          </w:tblCellMar>
        </w:tblPrEx>
        <w:trPr>
          <w:trHeight w:val="20" w:hRule="atLeast"/>
        </w:trPr>
        <w:tc>
          <w:tcPr>
            <w:tcW w:w="1809" w:type="pct"/>
            <w:tcBorders>
              <w:top w:val="nil"/>
              <w:left w:val="single" w:color="auto" w:sz="4" w:space="0"/>
              <w:bottom w:val="single" w:color="auto" w:sz="4" w:space="0"/>
              <w:right w:val="single" w:color="auto" w:sz="4" w:space="0"/>
            </w:tcBorders>
            <w:vAlign w:val="center"/>
          </w:tcPr>
          <w:p w14:paraId="7551EA82">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2024-10</w:t>
            </w:r>
          </w:p>
        </w:tc>
        <w:tc>
          <w:tcPr>
            <w:tcW w:w="938" w:type="pct"/>
            <w:tcBorders>
              <w:top w:val="nil"/>
              <w:left w:val="nil"/>
              <w:bottom w:val="single" w:color="auto" w:sz="4" w:space="0"/>
              <w:right w:val="single" w:color="auto" w:sz="4" w:space="0"/>
            </w:tcBorders>
            <w:vAlign w:val="center"/>
          </w:tcPr>
          <w:p w14:paraId="28380C6C">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0</w:t>
            </w:r>
          </w:p>
        </w:tc>
        <w:tc>
          <w:tcPr>
            <w:tcW w:w="4284" w:type="dxa"/>
            <w:tcBorders>
              <w:top w:val="nil"/>
              <w:left w:val="nil"/>
              <w:bottom w:val="single" w:color="auto" w:sz="4" w:space="0"/>
              <w:right w:val="single" w:color="auto" w:sz="4" w:space="0"/>
            </w:tcBorders>
            <w:vAlign w:val="center"/>
          </w:tcPr>
          <w:p w14:paraId="7CC82BBD">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w:t>
            </w:r>
          </w:p>
        </w:tc>
      </w:tr>
      <w:tr w14:paraId="305C6BA9">
        <w:tblPrEx>
          <w:tblCellMar>
            <w:top w:w="0" w:type="dxa"/>
            <w:left w:w="108" w:type="dxa"/>
            <w:bottom w:w="0" w:type="dxa"/>
            <w:right w:w="108" w:type="dxa"/>
          </w:tblCellMar>
        </w:tblPrEx>
        <w:trPr>
          <w:trHeight w:val="20" w:hRule="atLeast"/>
        </w:trPr>
        <w:tc>
          <w:tcPr>
            <w:tcW w:w="1809" w:type="pct"/>
            <w:tcBorders>
              <w:top w:val="nil"/>
              <w:left w:val="single" w:color="auto" w:sz="4" w:space="0"/>
              <w:bottom w:val="single" w:color="auto" w:sz="4" w:space="0"/>
              <w:right w:val="single" w:color="auto" w:sz="4" w:space="0"/>
            </w:tcBorders>
            <w:vAlign w:val="center"/>
          </w:tcPr>
          <w:p w14:paraId="170C7608">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2024-11</w:t>
            </w:r>
          </w:p>
        </w:tc>
        <w:tc>
          <w:tcPr>
            <w:tcW w:w="938" w:type="pct"/>
            <w:tcBorders>
              <w:top w:val="nil"/>
              <w:left w:val="nil"/>
              <w:bottom w:val="single" w:color="auto" w:sz="4" w:space="0"/>
              <w:right w:val="single" w:color="auto" w:sz="4" w:space="0"/>
            </w:tcBorders>
          </w:tcPr>
          <w:p w14:paraId="57FB14D2">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0</w:t>
            </w:r>
          </w:p>
        </w:tc>
        <w:tc>
          <w:tcPr>
            <w:tcW w:w="4284" w:type="dxa"/>
            <w:tcBorders>
              <w:top w:val="nil"/>
              <w:left w:val="nil"/>
              <w:bottom w:val="single" w:color="auto" w:sz="4" w:space="0"/>
              <w:right w:val="single" w:color="auto" w:sz="4" w:space="0"/>
            </w:tcBorders>
            <w:vAlign w:val="center"/>
          </w:tcPr>
          <w:p w14:paraId="17CCF264">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w:t>
            </w:r>
          </w:p>
        </w:tc>
      </w:tr>
      <w:tr w14:paraId="63B91BAD">
        <w:tblPrEx>
          <w:tblCellMar>
            <w:top w:w="0" w:type="dxa"/>
            <w:left w:w="108" w:type="dxa"/>
            <w:bottom w:w="0" w:type="dxa"/>
            <w:right w:w="108" w:type="dxa"/>
          </w:tblCellMar>
        </w:tblPrEx>
        <w:trPr>
          <w:trHeight w:val="20" w:hRule="atLeast"/>
        </w:trPr>
        <w:tc>
          <w:tcPr>
            <w:tcW w:w="1809" w:type="pct"/>
            <w:tcBorders>
              <w:top w:val="nil"/>
              <w:left w:val="single" w:color="auto" w:sz="4" w:space="0"/>
              <w:bottom w:val="single" w:color="auto" w:sz="4" w:space="0"/>
              <w:right w:val="single" w:color="auto" w:sz="4" w:space="0"/>
            </w:tcBorders>
            <w:vAlign w:val="center"/>
          </w:tcPr>
          <w:p w14:paraId="3D440D4A">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2024-12</w:t>
            </w:r>
          </w:p>
        </w:tc>
        <w:tc>
          <w:tcPr>
            <w:tcW w:w="938" w:type="pct"/>
            <w:tcBorders>
              <w:top w:val="nil"/>
              <w:left w:val="nil"/>
              <w:bottom w:val="single" w:color="auto" w:sz="4" w:space="0"/>
              <w:right w:val="single" w:color="auto" w:sz="4" w:space="0"/>
            </w:tcBorders>
          </w:tcPr>
          <w:p w14:paraId="52131AE9">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0</w:t>
            </w:r>
          </w:p>
        </w:tc>
        <w:tc>
          <w:tcPr>
            <w:tcW w:w="4284" w:type="dxa"/>
            <w:tcBorders>
              <w:top w:val="nil"/>
              <w:left w:val="nil"/>
              <w:bottom w:val="single" w:color="auto" w:sz="4" w:space="0"/>
              <w:right w:val="single" w:color="auto" w:sz="4" w:space="0"/>
            </w:tcBorders>
            <w:vAlign w:val="center"/>
          </w:tcPr>
          <w:p w14:paraId="1CF9E28A">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w:t>
            </w:r>
          </w:p>
        </w:tc>
      </w:tr>
      <w:tr w14:paraId="5DE9EC32">
        <w:tblPrEx>
          <w:tblCellMar>
            <w:top w:w="0" w:type="dxa"/>
            <w:left w:w="108" w:type="dxa"/>
            <w:bottom w:w="0" w:type="dxa"/>
            <w:right w:w="108" w:type="dxa"/>
          </w:tblCellMar>
        </w:tblPrEx>
        <w:trPr>
          <w:trHeight w:val="20" w:hRule="atLeast"/>
        </w:trPr>
        <w:tc>
          <w:tcPr>
            <w:tcW w:w="1809" w:type="pct"/>
            <w:tcBorders>
              <w:top w:val="nil"/>
              <w:left w:val="single" w:color="auto" w:sz="4" w:space="0"/>
              <w:bottom w:val="single" w:color="auto" w:sz="4" w:space="0"/>
              <w:right w:val="single" w:color="auto" w:sz="4" w:space="0"/>
            </w:tcBorders>
            <w:vAlign w:val="center"/>
          </w:tcPr>
          <w:p w14:paraId="686FB335">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2025-1</w:t>
            </w:r>
          </w:p>
        </w:tc>
        <w:tc>
          <w:tcPr>
            <w:tcW w:w="938" w:type="pct"/>
            <w:tcBorders>
              <w:top w:val="nil"/>
              <w:left w:val="nil"/>
              <w:bottom w:val="single" w:color="auto" w:sz="4" w:space="0"/>
              <w:right w:val="single" w:color="auto" w:sz="4" w:space="0"/>
            </w:tcBorders>
          </w:tcPr>
          <w:p w14:paraId="33500996">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4" w:type="dxa"/>
            <w:tcBorders>
              <w:top w:val="nil"/>
              <w:left w:val="nil"/>
              <w:bottom w:val="single" w:color="auto" w:sz="4" w:space="0"/>
              <w:right w:val="single" w:color="auto" w:sz="4" w:space="0"/>
            </w:tcBorders>
            <w:vAlign w:val="center"/>
          </w:tcPr>
          <w:p w14:paraId="14E80805">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81.10 </w:t>
            </w:r>
          </w:p>
        </w:tc>
      </w:tr>
      <w:tr w14:paraId="38D1B798">
        <w:tblPrEx>
          <w:tblCellMar>
            <w:top w:w="0" w:type="dxa"/>
            <w:left w:w="108" w:type="dxa"/>
            <w:bottom w:w="0" w:type="dxa"/>
            <w:right w:w="108" w:type="dxa"/>
          </w:tblCellMar>
        </w:tblPrEx>
        <w:trPr>
          <w:trHeight w:val="20" w:hRule="atLeast"/>
        </w:trPr>
        <w:tc>
          <w:tcPr>
            <w:tcW w:w="1809" w:type="pct"/>
            <w:tcBorders>
              <w:top w:val="nil"/>
              <w:left w:val="single" w:color="auto" w:sz="4" w:space="0"/>
              <w:bottom w:val="single" w:color="auto" w:sz="4" w:space="0"/>
              <w:right w:val="single" w:color="auto" w:sz="4" w:space="0"/>
            </w:tcBorders>
            <w:vAlign w:val="center"/>
          </w:tcPr>
          <w:p w14:paraId="6BC9F7E7">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2025-2</w:t>
            </w:r>
          </w:p>
        </w:tc>
        <w:tc>
          <w:tcPr>
            <w:tcW w:w="938" w:type="pct"/>
            <w:tcBorders>
              <w:top w:val="nil"/>
              <w:left w:val="nil"/>
              <w:bottom w:val="single" w:color="auto" w:sz="4" w:space="0"/>
              <w:right w:val="single" w:color="auto" w:sz="4" w:space="0"/>
            </w:tcBorders>
          </w:tcPr>
          <w:p w14:paraId="13BE5D68">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4" w:type="dxa"/>
            <w:tcBorders>
              <w:top w:val="nil"/>
              <w:left w:val="nil"/>
              <w:bottom w:val="single" w:color="auto" w:sz="4" w:space="0"/>
              <w:right w:val="single" w:color="auto" w:sz="4" w:space="0"/>
            </w:tcBorders>
            <w:vAlign w:val="center"/>
          </w:tcPr>
          <w:p w14:paraId="1617F7CC">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81.10 </w:t>
            </w:r>
          </w:p>
        </w:tc>
      </w:tr>
      <w:tr w14:paraId="720FBF42">
        <w:tblPrEx>
          <w:tblCellMar>
            <w:top w:w="0" w:type="dxa"/>
            <w:left w:w="108" w:type="dxa"/>
            <w:bottom w:w="0" w:type="dxa"/>
            <w:right w:w="108" w:type="dxa"/>
          </w:tblCellMar>
        </w:tblPrEx>
        <w:trPr>
          <w:trHeight w:val="20" w:hRule="atLeast"/>
        </w:trPr>
        <w:tc>
          <w:tcPr>
            <w:tcW w:w="1809" w:type="pct"/>
            <w:tcBorders>
              <w:top w:val="nil"/>
              <w:left w:val="single" w:color="auto" w:sz="4" w:space="0"/>
              <w:bottom w:val="single" w:color="auto" w:sz="4" w:space="0"/>
              <w:right w:val="single" w:color="auto" w:sz="4" w:space="0"/>
            </w:tcBorders>
            <w:vAlign w:val="center"/>
          </w:tcPr>
          <w:p w14:paraId="49A0C16B">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2025-3</w:t>
            </w:r>
          </w:p>
        </w:tc>
        <w:tc>
          <w:tcPr>
            <w:tcW w:w="938" w:type="pct"/>
            <w:tcBorders>
              <w:top w:val="nil"/>
              <w:left w:val="nil"/>
              <w:bottom w:val="single" w:color="auto" w:sz="4" w:space="0"/>
              <w:right w:val="single" w:color="auto" w:sz="4" w:space="0"/>
            </w:tcBorders>
          </w:tcPr>
          <w:p w14:paraId="523D80A8">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4" w:type="dxa"/>
            <w:tcBorders>
              <w:top w:val="nil"/>
              <w:left w:val="nil"/>
              <w:bottom w:val="single" w:color="auto" w:sz="4" w:space="0"/>
              <w:right w:val="single" w:color="auto" w:sz="4" w:space="0"/>
            </w:tcBorders>
            <w:vAlign w:val="center"/>
          </w:tcPr>
          <w:p w14:paraId="362D3F97">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73.20 </w:t>
            </w:r>
          </w:p>
        </w:tc>
      </w:tr>
      <w:tr w14:paraId="26163796">
        <w:tblPrEx>
          <w:tblCellMar>
            <w:top w:w="0" w:type="dxa"/>
            <w:left w:w="108" w:type="dxa"/>
            <w:bottom w:w="0" w:type="dxa"/>
            <w:right w:w="108" w:type="dxa"/>
          </w:tblCellMar>
        </w:tblPrEx>
        <w:trPr>
          <w:trHeight w:val="20" w:hRule="atLeast"/>
        </w:trPr>
        <w:tc>
          <w:tcPr>
            <w:tcW w:w="1809" w:type="pct"/>
            <w:tcBorders>
              <w:top w:val="nil"/>
              <w:left w:val="single" w:color="auto" w:sz="4" w:space="0"/>
              <w:bottom w:val="single" w:color="auto" w:sz="4" w:space="0"/>
              <w:right w:val="single" w:color="auto" w:sz="4" w:space="0"/>
            </w:tcBorders>
            <w:vAlign w:val="center"/>
          </w:tcPr>
          <w:p w14:paraId="57959F25">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2025-4</w:t>
            </w:r>
          </w:p>
        </w:tc>
        <w:tc>
          <w:tcPr>
            <w:tcW w:w="938" w:type="pct"/>
            <w:tcBorders>
              <w:top w:val="nil"/>
              <w:left w:val="nil"/>
              <w:bottom w:val="single" w:color="auto" w:sz="4" w:space="0"/>
              <w:right w:val="single" w:color="auto" w:sz="4" w:space="0"/>
            </w:tcBorders>
          </w:tcPr>
          <w:p w14:paraId="54EF7761">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4" w:type="dxa"/>
            <w:tcBorders>
              <w:top w:val="nil"/>
              <w:left w:val="nil"/>
              <w:bottom w:val="single" w:color="auto" w:sz="4" w:space="0"/>
              <w:right w:val="single" w:color="auto" w:sz="4" w:space="0"/>
            </w:tcBorders>
            <w:vAlign w:val="center"/>
          </w:tcPr>
          <w:p w14:paraId="2E7D8AE2">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74.30 </w:t>
            </w:r>
          </w:p>
        </w:tc>
      </w:tr>
      <w:tr w14:paraId="1572E577">
        <w:tblPrEx>
          <w:tblCellMar>
            <w:top w:w="0" w:type="dxa"/>
            <w:left w:w="108" w:type="dxa"/>
            <w:bottom w:w="0" w:type="dxa"/>
            <w:right w:w="108" w:type="dxa"/>
          </w:tblCellMar>
        </w:tblPrEx>
        <w:trPr>
          <w:trHeight w:val="20" w:hRule="atLeast"/>
        </w:trPr>
        <w:tc>
          <w:tcPr>
            <w:tcW w:w="1809" w:type="pct"/>
            <w:tcBorders>
              <w:top w:val="nil"/>
              <w:left w:val="single" w:color="auto" w:sz="4" w:space="0"/>
              <w:bottom w:val="single" w:color="auto" w:sz="4" w:space="0"/>
              <w:right w:val="single" w:color="auto" w:sz="4" w:space="0"/>
            </w:tcBorders>
            <w:vAlign w:val="center"/>
          </w:tcPr>
          <w:p w14:paraId="2A23B2BE">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2025-5</w:t>
            </w:r>
          </w:p>
        </w:tc>
        <w:tc>
          <w:tcPr>
            <w:tcW w:w="938" w:type="pct"/>
            <w:tcBorders>
              <w:top w:val="nil"/>
              <w:left w:val="nil"/>
              <w:bottom w:val="single" w:color="auto" w:sz="4" w:space="0"/>
              <w:right w:val="single" w:color="auto" w:sz="4" w:space="0"/>
            </w:tcBorders>
          </w:tcPr>
          <w:p w14:paraId="1752FEE1">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4" w:type="dxa"/>
            <w:tcBorders>
              <w:top w:val="nil"/>
              <w:left w:val="nil"/>
              <w:bottom w:val="single" w:color="auto" w:sz="4" w:space="0"/>
              <w:right w:val="single" w:color="auto" w:sz="4" w:space="0"/>
            </w:tcBorders>
            <w:vAlign w:val="center"/>
          </w:tcPr>
          <w:p w14:paraId="24F51D80">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67.40 </w:t>
            </w:r>
          </w:p>
        </w:tc>
      </w:tr>
      <w:tr w14:paraId="7282CE94">
        <w:tblPrEx>
          <w:tblCellMar>
            <w:top w:w="0" w:type="dxa"/>
            <w:left w:w="108" w:type="dxa"/>
            <w:bottom w:w="0" w:type="dxa"/>
            <w:right w:w="108" w:type="dxa"/>
          </w:tblCellMar>
        </w:tblPrEx>
        <w:trPr>
          <w:trHeight w:val="20" w:hRule="atLeast"/>
        </w:trPr>
        <w:tc>
          <w:tcPr>
            <w:tcW w:w="1809" w:type="pct"/>
            <w:tcBorders>
              <w:top w:val="nil"/>
              <w:left w:val="single" w:color="auto" w:sz="4" w:space="0"/>
              <w:bottom w:val="single" w:color="auto" w:sz="4" w:space="0"/>
              <w:right w:val="single" w:color="auto" w:sz="4" w:space="0"/>
            </w:tcBorders>
            <w:vAlign w:val="center"/>
          </w:tcPr>
          <w:p w14:paraId="1E4638D0">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2025-6</w:t>
            </w:r>
          </w:p>
        </w:tc>
        <w:tc>
          <w:tcPr>
            <w:tcW w:w="938" w:type="pct"/>
            <w:tcBorders>
              <w:top w:val="nil"/>
              <w:left w:val="nil"/>
              <w:bottom w:val="single" w:color="auto" w:sz="4" w:space="0"/>
              <w:right w:val="single" w:color="auto" w:sz="4" w:space="0"/>
            </w:tcBorders>
          </w:tcPr>
          <w:p w14:paraId="0C82540D">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0</w:t>
            </w:r>
          </w:p>
        </w:tc>
        <w:tc>
          <w:tcPr>
            <w:tcW w:w="4284" w:type="dxa"/>
            <w:tcBorders>
              <w:top w:val="nil"/>
              <w:left w:val="nil"/>
              <w:bottom w:val="single" w:color="auto" w:sz="4" w:space="0"/>
              <w:right w:val="single" w:color="auto" w:sz="4" w:space="0"/>
            </w:tcBorders>
            <w:vAlign w:val="center"/>
          </w:tcPr>
          <w:p w14:paraId="3CE21142">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w:t>
            </w:r>
          </w:p>
        </w:tc>
      </w:tr>
      <w:tr w14:paraId="54FFDFE6">
        <w:tblPrEx>
          <w:tblCellMar>
            <w:top w:w="0" w:type="dxa"/>
            <w:left w:w="108" w:type="dxa"/>
            <w:bottom w:w="0" w:type="dxa"/>
            <w:right w:w="108" w:type="dxa"/>
          </w:tblCellMar>
        </w:tblPrEx>
        <w:trPr>
          <w:trHeight w:val="20" w:hRule="atLeast"/>
        </w:trPr>
        <w:tc>
          <w:tcPr>
            <w:tcW w:w="1809" w:type="pct"/>
            <w:tcBorders>
              <w:top w:val="nil"/>
              <w:left w:val="single" w:color="auto" w:sz="4" w:space="0"/>
              <w:bottom w:val="single" w:color="auto" w:sz="4" w:space="0"/>
              <w:right w:val="single" w:color="auto" w:sz="4" w:space="0"/>
            </w:tcBorders>
            <w:vAlign w:val="center"/>
          </w:tcPr>
          <w:p w14:paraId="5DAC9036">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2025-7</w:t>
            </w:r>
          </w:p>
        </w:tc>
        <w:tc>
          <w:tcPr>
            <w:tcW w:w="938" w:type="pct"/>
            <w:tcBorders>
              <w:top w:val="nil"/>
              <w:left w:val="nil"/>
              <w:bottom w:val="single" w:color="auto" w:sz="4" w:space="0"/>
              <w:right w:val="single" w:color="auto" w:sz="4" w:space="0"/>
            </w:tcBorders>
          </w:tcPr>
          <w:p w14:paraId="0AB35414">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4" w:type="dxa"/>
            <w:tcBorders>
              <w:top w:val="nil"/>
              <w:left w:val="nil"/>
              <w:bottom w:val="single" w:color="auto" w:sz="4" w:space="0"/>
              <w:right w:val="single" w:color="auto" w:sz="4" w:space="0"/>
            </w:tcBorders>
            <w:vAlign w:val="center"/>
          </w:tcPr>
          <w:p w14:paraId="374F512E">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74.10 </w:t>
            </w:r>
          </w:p>
        </w:tc>
      </w:tr>
      <w:tr w14:paraId="33E1D274">
        <w:tblPrEx>
          <w:tblCellMar>
            <w:top w:w="0" w:type="dxa"/>
            <w:left w:w="108" w:type="dxa"/>
            <w:bottom w:w="0" w:type="dxa"/>
            <w:right w:w="108" w:type="dxa"/>
          </w:tblCellMar>
        </w:tblPrEx>
        <w:trPr>
          <w:trHeight w:val="20" w:hRule="atLeast"/>
        </w:trPr>
        <w:tc>
          <w:tcPr>
            <w:tcW w:w="1809" w:type="pct"/>
            <w:tcBorders>
              <w:top w:val="nil"/>
              <w:left w:val="single" w:color="auto" w:sz="4" w:space="0"/>
              <w:bottom w:val="single" w:color="auto" w:sz="4" w:space="0"/>
              <w:right w:val="single" w:color="auto" w:sz="4" w:space="0"/>
            </w:tcBorders>
            <w:vAlign w:val="center"/>
          </w:tcPr>
          <w:p w14:paraId="04DA334B">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2025-8</w:t>
            </w:r>
          </w:p>
        </w:tc>
        <w:tc>
          <w:tcPr>
            <w:tcW w:w="938" w:type="pct"/>
            <w:tcBorders>
              <w:top w:val="nil"/>
              <w:left w:val="nil"/>
              <w:bottom w:val="single" w:color="auto" w:sz="4" w:space="0"/>
              <w:right w:val="single" w:color="auto" w:sz="4" w:space="0"/>
            </w:tcBorders>
          </w:tcPr>
          <w:p w14:paraId="317B8D0D">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4" w:type="dxa"/>
            <w:tcBorders>
              <w:top w:val="nil"/>
              <w:left w:val="nil"/>
              <w:bottom w:val="single" w:color="auto" w:sz="4" w:space="0"/>
              <w:right w:val="single" w:color="auto" w:sz="4" w:space="0"/>
            </w:tcBorders>
            <w:vAlign w:val="center"/>
          </w:tcPr>
          <w:p w14:paraId="47AB2450">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78.70 </w:t>
            </w:r>
          </w:p>
        </w:tc>
      </w:tr>
      <w:tr w14:paraId="084E9716">
        <w:tblPrEx>
          <w:tblCellMar>
            <w:top w:w="0" w:type="dxa"/>
            <w:left w:w="108" w:type="dxa"/>
            <w:bottom w:w="0" w:type="dxa"/>
            <w:right w:w="108" w:type="dxa"/>
          </w:tblCellMar>
        </w:tblPrEx>
        <w:trPr>
          <w:trHeight w:val="20" w:hRule="atLeast"/>
        </w:trPr>
        <w:tc>
          <w:tcPr>
            <w:tcW w:w="1809" w:type="pct"/>
            <w:tcBorders>
              <w:top w:val="nil"/>
              <w:left w:val="single" w:color="auto" w:sz="4" w:space="0"/>
              <w:bottom w:val="single" w:color="auto" w:sz="4" w:space="0"/>
              <w:right w:val="single" w:color="auto" w:sz="4" w:space="0"/>
            </w:tcBorders>
            <w:vAlign w:val="center"/>
          </w:tcPr>
          <w:p w14:paraId="5793A0B1">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2025-9</w:t>
            </w:r>
          </w:p>
        </w:tc>
        <w:tc>
          <w:tcPr>
            <w:tcW w:w="938" w:type="pct"/>
            <w:tcBorders>
              <w:top w:val="nil"/>
              <w:left w:val="nil"/>
              <w:bottom w:val="single" w:color="auto" w:sz="4" w:space="0"/>
              <w:right w:val="single" w:color="auto" w:sz="4" w:space="0"/>
            </w:tcBorders>
          </w:tcPr>
          <w:p w14:paraId="1A9C8DA7">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4" w:type="dxa"/>
            <w:tcBorders>
              <w:top w:val="nil"/>
              <w:left w:val="nil"/>
              <w:bottom w:val="single" w:color="auto" w:sz="4" w:space="0"/>
              <w:right w:val="single" w:color="auto" w:sz="4" w:space="0"/>
            </w:tcBorders>
            <w:vAlign w:val="center"/>
          </w:tcPr>
          <w:p w14:paraId="59CE74B5">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67.40 </w:t>
            </w:r>
          </w:p>
        </w:tc>
      </w:tr>
      <w:tr w14:paraId="6B5FC68E">
        <w:tblPrEx>
          <w:tblCellMar>
            <w:top w:w="0" w:type="dxa"/>
            <w:left w:w="108" w:type="dxa"/>
            <w:bottom w:w="0" w:type="dxa"/>
            <w:right w:w="108" w:type="dxa"/>
          </w:tblCellMar>
        </w:tblPrEx>
        <w:trPr>
          <w:trHeight w:val="20" w:hRule="atLeast"/>
        </w:trPr>
        <w:tc>
          <w:tcPr>
            <w:tcW w:w="2748" w:type="pct"/>
            <w:gridSpan w:val="2"/>
            <w:tcBorders>
              <w:top w:val="single" w:color="auto" w:sz="4" w:space="0"/>
              <w:left w:val="single" w:color="auto" w:sz="4" w:space="0"/>
              <w:bottom w:val="single" w:color="auto" w:sz="4" w:space="0"/>
              <w:right w:val="single" w:color="auto" w:sz="4" w:space="0"/>
            </w:tcBorders>
            <w:vAlign w:val="center"/>
          </w:tcPr>
          <w:p w14:paraId="7A6B355D">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平均月租金</w:t>
            </w:r>
          </w:p>
        </w:tc>
        <w:tc>
          <w:tcPr>
            <w:tcW w:w="4284" w:type="dxa"/>
            <w:tcBorders>
              <w:top w:val="nil"/>
              <w:left w:val="nil"/>
              <w:bottom w:val="single" w:color="auto" w:sz="4" w:space="0"/>
              <w:right w:val="single" w:color="auto" w:sz="4" w:space="0"/>
            </w:tcBorders>
            <w:vAlign w:val="center"/>
          </w:tcPr>
          <w:p w14:paraId="1C281961">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74.66 </w:t>
            </w:r>
          </w:p>
        </w:tc>
      </w:tr>
    </w:tbl>
    <w:p w14:paraId="3DE2D03E">
      <w:pPr>
        <w:pStyle w:val="278"/>
        <w:autoSpaceDE w:val="0"/>
        <w:autoSpaceDN w:val="0"/>
        <w:spacing w:before="240" w:beforeLines="100" w:line="480" w:lineRule="auto"/>
        <w:ind w:firstLine="360" w:firstLineChars="200"/>
        <w:jc w:val="both"/>
        <w:textAlignment w:val="bottom"/>
        <w:rPr>
          <w:rFonts w:ascii="Arial" w:hAnsi="Arial" w:cs="Arial"/>
          <w:color w:val="000000"/>
          <w:sz w:val="18"/>
          <w:szCs w:val="18"/>
        </w:rPr>
      </w:pPr>
      <w:r>
        <w:rPr>
          <w:rFonts w:hint="eastAsia" w:ascii="Arial" w:hAnsi="Arial" w:cs="Arial"/>
          <w:color w:val="000000"/>
          <w:sz w:val="18"/>
          <w:szCs w:val="18"/>
        </w:rPr>
        <w:t>注：上述样本小区租金包括地租、房屋折旧、家具及家电租赁费、设备折旧、维修费、保险费、物业费、管理费、利息、利润等；不含供暖费、水电费、天然气费、通信费、有线电视费、上网宽带费和租赁税费等。</w:t>
      </w:r>
    </w:p>
    <w:p w14:paraId="254F12D6">
      <w:pPr>
        <w:pStyle w:val="278"/>
        <w:autoSpaceDE w:val="0"/>
        <w:autoSpaceDN w:val="0"/>
        <w:spacing w:line="480" w:lineRule="auto"/>
        <w:ind w:firstLine="420" w:firstLineChars="200"/>
        <w:jc w:val="both"/>
        <w:textAlignment w:val="bottom"/>
        <w:rPr>
          <w:rFonts w:ascii="Arial" w:hAnsi="Arial" w:cs="Arial"/>
          <w:color w:val="000000"/>
          <w:sz w:val="21"/>
          <w:szCs w:val="21"/>
        </w:rPr>
      </w:pPr>
      <w:r>
        <w:rPr>
          <w:rFonts w:ascii="Arial" w:hAnsi="Arial" w:cs="Arial"/>
          <w:color w:val="000000"/>
          <w:sz w:val="21"/>
          <w:szCs w:val="21"/>
        </w:rPr>
        <w:br w:type="page"/>
      </w:r>
      <w:r>
        <w:rPr>
          <w:rFonts w:hint="eastAsia" w:ascii="Arial" w:hAnsi="Arial" w:cs="Arial"/>
          <w:color w:val="000000"/>
          <w:sz w:val="21"/>
          <w:szCs w:val="21"/>
        </w:rPr>
        <w:t>C. 行业主管部门（北京市房地产市场管理事务中心）监测数据</w:t>
      </w:r>
    </w:p>
    <w:p w14:paraId="0770A6F3">
      <w:pPr>
        <w:pStyle w:val="278"/>
        <w:autoSpaceDE w:val="0"/>
        <w:autoSpaceDN w:val="0"/>
        <w:spacing w:line="240" w:lineRule="auto"/>
        <w:ind w:firstLine="420" w:firstLineChars="200"/>
        <w:jc w:val="both"/>
        <w:textAlignment w:val="bottom"/>
        <w:rPr>
          <w:rFonts w:ascii="Arial" w:hAnsi="Arial" w:cs="Arial"/>
          <w:color w:val="000000"/>
          <w:sz w:val="21"/>
          <w:szCs w:val="21"/>
        </w:rPr>
      </w:pPr>
      <w:r>
        <w:rPr>
          <w:rFonts w:hint="eastAsia" w:ascii="Arial" w:hAnsi="Arial" w:cs="Arial"/>
          <w:color w:val="000000"/>
          <w:sz w:val="21"/>
          <w:szCs w:val="21"/>
        </w:rPr>
        <w:t>样本小区一：招商臻珑府</w:t>
      </w:r>
    </w:p>
    <w:tbl>
      <w:tblPr>
        <w:tblStyle w:val="33"/>
        <w:tblW w:w="5000" w:type="pct"/>
        <w:tblInd w:w="0" w:type="dxa"/>
        <w:tblLayout w:type="autofit"/>
        <w:tblCellMar>
          <w:top w:w="0" w:type="dxa"/>
          <w:left w:w="108" w:type="dxa"/>
          <w:bottom w:w="0" w:type="dxa"/>
          <w:right w:w="108" w:type="dxa"/>
        </w:tblCellMar>
      </w:tblPr>
      <w:tblGrid>
        <w:gridCol w:w="3444"/>
        <w:gridCol w:w="1785"/>
        <w:gridCol w:w="4285"/>
      </w:tblGrid>
      <w:tr w14:paraId="43B07EE8">
        <w:tblPrEx>
          <w:tblCellMar>
            <w:top w:w="0" w:type="dxa"/>
            <w:left w:w="108" w:type="dxa"/>
            <w:bottom w:w="0" w:type="dxa"/>
            <w:right w:w="108" w:type="dxa"/>
          </w:tblCellMar>
        </w:tblPrEx>
        <w:trPr>
          <w:trHeight w:val="20" w:hRule="atLeast"/>
          <w:tblHeader/>
        </w:trPr>
        <w:tc>
          <w:tcPr>
            <w:tcW w:w="1810" w:type="pct"/>
            <w:tcBorders>
              <w:top w:val="single" w:color="auto" w:sz="4" w:space="0"/>
              <w:left w:val="single" w:color="auto" w:sz="4" w:space="0"/>
              <w:bottom w:val="single" w:color="auto" w:sz="4" w:space="0"/>
              <w:right w:val="single" w:color="auto" w:sz="4" w:space="0"/>
            </w:tcBorders>
            <w:vAlign w:val="center"/>
          </w:tcPr>
          <w:p w14:paraId="743127FF">
            <w:pPr>
              <w:widowControl/>
              <w:spacing w:line="240" w:lineRule="atLeast"/>
              <w:jc w:val="center"/>
              <w:textAlignment w:val="auto"/>
              <w:rPr>
                <w:rFonts w:ascii="华文细黑" w:hAnsi="华文细黑" w:eastAsia="华文细黑" w:cs="宋体"/>
                <w:sz w:val="18"/>
                <w:szCs w:val="18"/>
              </w:rPr>
            </w:pPr>
            <w:r>
              <w:rPr>
                <w:rFonts w:hint="eastAsia" w:ascii="华文细黑" w:hAnsi="华文细黑" w:eastAsia="华文细黑" w:cs="宋体"/>
                <w:sz w:val="18"/>
                <w:szCs w:val="18"/>
              </w:rPr>
              <w:t>时间</w:t>
            </w:r>
          </w:p>
        </w:tc>
        <w:tc>
          <w:tcPr>
            <w:tcW w:w="938" w:type="pct"/>
            <w:tcBorders>
              <w:top w:val="single" w:color="auto" w:sz="4" w:space="0"/>
              <w:left w:val="nil"/>
              <w:bottom w:val="single" w:color="auto" w:sz="4" w:space="0"/>
              <w:right w:val="single" w:color="auto" w:sz="4" w:space="0"/>
            </w:tcBorders>
            <w:vAlign w:val="center"/>
          </w:tcPr>
          <w:p w14:paraId="5178E17B">
            <w:pPr>
              <w:widowControl/>
              <w:spacing w:line="240" w:lineRule="atLeast"/>
              <w:jc w:val="center"/>
              <w:textAlignment w:val="auto"/>
              <w:rPr>
                <w:rFonts w:ascii="华文细黑" w:hAnsi="华文细黑" w:eastAsia="华文细黑" w:cs="宋体"/>
                <w:sz w:val="18"/>
                <w:szCs w:val="18"/>
              </w:rPr>
            </w:pPr>
            <w:r>
              <w:rPr>
                <w:rFonts w:hint="eastAsia" w:ascii="华文细黑" w:hAnsi="华文细黑" w:eastAsia="华文细黑" w:cs="宋体"/>
                <w:sz w:val="18"/>
                <w:szCs w:val="18"/>
              </w:rPr>
              <w:t>样本数量</w:t>
            </w:r>
          </w:p>
        </w:tc>
        <w:tc>
          <w:tcPr>
            <w:tcW w:w="2252" w:type="pct"/>
            <w:tcBorders>
              <w:top w:val="single" w:color="auto" w:sz="4" w:space="0"/>
              <w:left w:val="nil"/>
              <w:bottom w:val="single" w:color="auto" w:sz="4" w:space="0"/>
              <w:right w:val="single" w:color="auto" w:sz="4" w:space="0"/>
            </w:tcBorders>
            <w:vAlign w:val="center"/>
          </w:tcPr>
          <w:p w14:paraId="7828F23E">
            <w:pPr>
              <w:widowControl/>
              <w:spacing w:line="240" w:lineRule="atLeast"/>
              <w:jc w:val="center"/>
              <w:textAlignment w:val="auto"/>
              <w:rPr>
                <w:rFonts w:ascii="华文细黑" w:hAnsi="华文细黑" w:eastAsia="华文细黑" w:cs="宋体"/>
                <w:sz w:val="18"/>
                <w:szCs w:val="18"/>
              </w:rPr>
            </w:pPr>
            <w:r>
              <w:rPr>
                <w:rFonts w:hint="eastAsia" w:ascii="华文细黑" w:hAnsi="华文细黑" w:eastAsia="华文细黑" w:cs="宋体"/>
                <w:sz w:val="18"/>
                <w:szCs w:val="18"/>
              </w:rPr>
              <w:t>租金平均单价（元/平方米·月）</w:t>
            </w:r>
          </w:p>
        </w:tc>
      </w:tr>
      <w:tr w14:paraId="646036A9">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09358978">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2024-10</w:t>
            </w:r>
          </w:p>
        </w:tc>
        <w:tc>
          <w:tcPr>
            <w:tcW w:w="938" w:type="pct"/>
            <w:tcBorders>
              <w:top w:val="nil"/>
              <w:left w:val="nil"/>
              <w:bottom w:val="single" w:color="auto" w:sz="4" w:space="0"/>
              <w:right w:val="single" w:color="auto" w:sz="4" w:space="0"/>
            </w:tcBorders>
            <w:vAlign w:val="center"/>
          </w:tcPr>
          <w:p w14:paraId="725507BD">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1</w:t>
            </w:r>
          </w:p>
        </w:tc>
        <w:tc>
          <w:tcPr>
            <w:tcW w:w="4286" w:type="dxa"/>
            <w:tcBorders>
              <w:top w:val="nil"/>
              <w:left w:val="nil"/>
              <w:bottom w:val="single" w:color="auto" w:sz="4" w:space="0"/>
              <w:right w:val="single" w:color="auto" w:sz="4" w:space="0"/>
            </w:tcBorders>
            <w:vAlign w:val="center"/>
          </w:tcPr>
          <w:p w14:paraId="316E8B6E">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79.96 </w:t>
            </w:r>
          </w:p>
        </w:tc>
      </w:tr>
      <w:tr w14:paraId="6DBC09D7">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4A22509D">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2024-11</w:t>
            </w:r>
          </w:p>
        </w:tc>
        <w:tc>
          <w:tcPr>
            <w:tcW w:w="938" w:type="pct"/>
            <w:tcBorders>
              <w:top w:val="nil"/>
              <w:left w:val="nil"/>
              <w:bottom w:val="single" w:color="auto" w:sz="4" w:space="0"/>
              <w:right w:val="single" w:color="auto" w:sz="4" w:space="0"/>
            </w:tcBorders>
          </w:tcPr>
          <w:p w14:paraId="7502D68B">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1</w:t>
            </w:r>
          </w:p>
        </w:tc>
        <w:tc>
          <w:tcPr>
            <w:tcW w:w="4286" w:type="dxa"/>
            <w:tcBorders>
              <w:top w:val="nil"/>
              <w:left w:val="nil"/>
              <w:bottom w:val="single" w:color="auto" w:sz="4" w:space="0"/>
              <w:right w:val="single" w:color="auto" w:sz="4" w:space="0"/>
            </w:tcBorders>
            <w:vAlign w:val="center"/>
          </w:tcPr>
          <w:p w14:paraId="3CC854EB">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78.39 </w:t>
            </w:r>
          </w:p>
        </w:tc>
      </w:tr>
      <w:tr w14:paraId="43075E5F">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19DD7127">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2024-12</w:t>
            </w:r>
          </w:p>
        </w:tc>
        <w:tc>
          <w:tcPr>
            <w:tcW w:w="938" w:type="pct"/>
            <w:tcBorders>
              <w:top w:val="nil"/>
              <w:left w:val="nil"/>
              <w:bottom w:val="single" w:color="auto" w:sz="4" w:space="0"/>
              <w:right w:val="single" w:color="auto" w:sz="4" w:space="0"/>
            </w:tcBorders>
          </w:tcPr>
          <w:p w14:paraId="2DA87155">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1</w:t>
            </w:r>
          </w:p>
        </w:tc>
        <w:tc>
          <w:tcPr>
            <w:tcW w:w="4286" w:type="dxa"/>
            <w:tcBorders>
              <w:top w:val="nil"/>
              <w:left w:val="nil"/>
              <w:bottom w:val="single" w:color="auto" w:sz="4" w:space="0"/>
              <w:right w:val="single" w:color="auto" w:sz="4" w:space="0"/>
            </w:tcBorders>
            <w:vAlign w:val="center"/>
          </w:tcPr>
          <w:p w14:paraId="58D8E1D7">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85.22 </w:t>
            </w:r>
          </w:p>
        </w:tc>
      </w:tr>
      <w:tr w14:paraId="3D7B09D7">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29BA891B">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2025-1</w:t>
            </w:r>
          </w:p>
        </w:tc>
        <w:tc>
          <w:tcPr>
            <w:tcW w:w="938" w:type="pct"/>
            <w:tcBorders>
              <w:top w:val="nil"/>
              <w:left w:val="nil"/>
              <w:bottom w:val="single" w:color="auto" w:sz="4" w:space="0"/>
              <w:right w:val="single" w:color="auto" w:sz="4" w:space="0"/>
            </w:tcBorders>
          </w:tcPr>
          <w:p w14:paraId="212A7FF2">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6" w:type="dxa"/>
            <w:tcBorders>
              <w:top w:val="nil"/>
              <w:left w:val="nil"/>
              <w:bottom w:val="single" w:color="auto" w:sz="4" w:space="0"/>
              <w:right w:val="single" w:color="auto" w:sz="4" w:space="0"/>
            </w:tcBorders>
            <w:vAlign w:val="center"/>
          </w:tcPr>
          <w:p w14:paraId="040E44DC">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71.75 </w:t>
            </w:r>
          </w:p>
        </w:tc>
      </w:tr>
      <w:tr w14:paraId="72F54C9A">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0040371F">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2025-2</w:t>
            </w:r>
          </w:p>
        </w:tc>
        <w:tc>
          <w:tcPr>
            <w:tcW w:w="938" w:type="pct"/>
            <w:tcBorders>
              <w:top w:val="nil"/>
              <w:left w:val="nil"/>
              <w:bottom w:val="single" w:color="auto" w:sz="4" w:space="0"/>
              <w:right w:val="single" w:color="auto" w:sz="4" w:space="0"/>
            </w:tcBorders>
          </w:tcPr>
          <w:p w14:paraId="3BEA4E3E">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6" w:type="dxa"/>
            <w:tcBorders>
              <w:top w:val="nil"/>
              <w:left w:val="nil"/>
              <w:bottom w:val="single" w:color="auto" w:sz="4" w:space="0"/>
              <w:right w:val="single" w:color="auto" w:sz="4" w:space="0"/>
            </w:tcBorders>
            <w:vAlign w:val="center"/>
          </w:tcPr>
          <w:p w14:paraId="6714296E">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76.63 </w:t>
            </w:r>
          </w:p>
        </w:tc>
      </w:tr>
      <w:tr w14:paraId="58C617ED">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4FDFB115">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2025-3</w:t>
            </w:r>
          </w:p>
        </w:tc>
        <w:tc>
          <w:tcPr>
            <w:tcW w:w="938" w:type="pct"/>
            <w:tcBorders>
              <w:top w:val="nil"/>
              <w:left w:val="nil"/>
              <w:bottom w:val="single" w:color="auto" w:sz="4" w:space="0"/>
              <w:right w:val="single" w:color="auto" w:sz="4" w:space="0"/>
            </w:tcBorders>
          </w:tcPr>
          <w:p w14:paraId="1FE80682">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1</w:t>
            </w:r>
          </w:p>
        </w:tc>
        <w:tc>
          <w:tcPr>
            <w:tcW w:w="4286" w:type="dxa"/>
            <w:tcBorders>
              <w:top w:val="nil"/>
              <w:left w:val="nil"/>
              <w:bottom w:val="single" w:color="auto" w:sz="4" w:space="0"/>
              <w:right w:val="single" w:color="auto" w:sz="4" w:space="0"/>
            </w:tcBorders>
            <w:vAlign w:val="center"/>
          </w:tcPr>
          <w:p w14:paraId="757488B3">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85.81 </w:t>
            </w:r>
          </w:p>
        </w:tc>
      </w:tr>
      <w:tr w14:paraId="6D0A70B2">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6D45B63B">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2025-4</w:t>
            </w:r>
          </w:p>
        </w:tc>
        <w:tc>
          <w:tcPr>
            <w:tcW w:w="938" w:type="pct"/>
            <w:tcBorders>
              <w:top w:val="nil"/>
              <w:left w:val="nil"/>
              <w:bottom w:val="single" w:color="auto" w:sz="4" w:space="0"/>
              <w:right w:val="single" w:color="auto" w:sz="4" w:space="0"/>
            </w:tcBorders>
          </w:tcPr>
          <w:p w14:paraId="7DA377F6">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1</w:t>
            </w:r>
          </w:p>
        </w:tc>
        <w:tc>
          <w:tcPr>
            <w:tcW w:w="4286" w:type="dxa"/>
            <w:tcBorders>
              <w:top w:val="nil"/>
              <w:left w:val="nil"/>
              <w:bottom w:val="single" w:color="auto" w:sz="4" w:space="0"/>
              <w:right w:val="single" w:color="auto" w:sz="4" w:space="0"/>
            </w:tcBorders>
            <w:vAlign w:val="center"/>
          </w:tcPr>
          <w:p w14:paraId="4E77C08F">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81.23 </w:t>
            </w:r>
          </w:p>
        </w:tc>
      </w:tr>
      <w:tr w14:paraId="1B1F11CD">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34B1AB52">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2025-5</w:t>
            </w:r>
          </w:p>
        </w:tc>
        <w:tc>
          <w:tcPr>
            <w:tcW w:w="938" w:type="pct"/>
            <w:tcBorders>
              <w:top w:val="nil"/>
              <w:left w:val="nil"/>
              <w:bottom w:val="single" w:color="auto" w:sz="4" w:space="0"/>
              <w:right w:val="single" w:color="auto" w:sz="4" w:space="0"/>
            </w:tcBorders>
          </w:tcPr>
          <w:p w14:paraId="1107AE5D">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6" w:type="dxa"/>
            <w:tcBorders>
              <w:top w:val="nil"/>
              <w:left w:val="nil"/>
              <w:bottom w:val="single" w:color="auto" w:sz="4" w:space="0"/>
              <w:right w:val="single" w:color="auto" w:sz="4" w:space="0"/>
            </w:tcBorders>
            <w:vAlign w:val="center"/>
          </w:tcPr>
          <w:p w14:paraId="119A62F9">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71.81 </w:t>
            </w:r>
          </w:p>
        </w:tc>
      </w:tr>
      <w:tr w14:paraId="05A60F97">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6B39F67B">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2025-6</w:t>
            </w:r>
          </w:p>
        </w:tc>
        <w:tc>
          <w:tcPr>
            <w:tcW w:w="938" w:type="pct"/>
            <w:tcBorders>
              <w:top w:val="nil"/>
              <w:left w:val="nil"/>
              <w:bottom w:val="single" w:color="auto" w:sz="4" w:space="0"/>
              <w:right w:val="single" w:color="auto" w:sz="4" w:space="0"/>
            </w:tcBorders>
          </w:tcPr>
          <w:p w14:paraId="17368E6B">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6" w:type="dxa"/>
            <w:tcBorders>
              <w:top w:val="nil"/>
              <w:left w:val="nil"/>
              <w:bottom w:val="single" w:color="auto" w:sz="4" w:space="0"/>
              <w:right w:val="single" w:color="auto" w:sz="4" w:space="0"/>
            </w:tcBorders>
            <w:vAlign w:val="center"/>
          </w:tcPr>
          <w:p w14:paraId="5E945963">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77.27 </w:t>
            </w:r>
          </w:p>
        </w:tc>
      </w:tr>
      <w:tr w14:paraId="2D195F5D">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7913B545">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2025-7</w:t>
            </w:r>
          </w:p>
        </w:tc>
        <w:tc>
          <w:tcPr>
            <w:tcW w:w="938" w:type="pct"/>
            <w:tcBorders>
              <w:top w:val="nil"/>
              <w:left w:val="nil"/>
              <w:bottom w:val="single" w:color="auto" w:sz="4" w:space="0"/>
              <w:right w:val="single" w:color="auto" w:sz="4" w:space="0"/>
            </w:tcBorders>
          </w:tcPr>
          <w:p w14:paraId="39ABAE70">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6" w:type="dxa"/>
            <w:tcBorders>
              <w:top w:val="nil"/>
              <w:left w:val="nil"/>
              <w:bottom w:val="single" w:color="auto" w:sz="4" w:space="0"/>
              <w:right w:val="single" w:color="auto" w:sz="4" w:space="0"/>
            </w:tcBorders>
            <w:vAlign w:val="center"/>
          </w:tcPr>
          <w:p w14:paraId="3CFBCE45">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84.20 </w:t>
            </w:r>
          </w:p>
        </w:tc>
      </w:tr>
      <w:tr w14:paraId="715CF212">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76374E5A">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2025-8</w:t>
            </w:r>
          </w:p>
        </w:tc>
        <w:tc>
          <w:tcPr>
            <w:tcW w:w="938" w:type="pct"/>
            <w:tcBorders>
              <w:top w:val="nil"/>
              <w:left w:val="nil"/>
              <w:bottom w:val="single" w:color="auto" w:sz="4" w:space="0"/>
              <w:right w:val="single" w:color="auto" w:sz="4" w:space="0"/>
            </w:tcBorders>
          </w:tcPr>
          <w:p w14:paraId="28B1F5F9">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6" w:type="dxa"/>
            <w:tcBorders>
              <w:top w:val="nil"/>
              <w:left w:val="nil"/>
              <w:bottom w:val="single" w:color="auto" w:sz="4" w:space="0"/>
              <w:right w:val="single" w:color="auto" w:sz="4" w:space="0"/>
            </w:tcBorders>
            <w:vAlign w:val="center"/>
          </w:tcPr>
          <w:p w14:paraId="7A44C725">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81.65 </w:t>
            </w:r>
          </w:p>
        </w:tc>
      </w:tr>
      <w:tr w14:paraId="654B0293">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53E6B429">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2025-9</w:t>
            </w:r>
          </w:p>
        </w:tc>
        <w:tc>
          <w:tcPr>
            <w:tcW w:w="938" w:type="pct"/>
            <w:tcBorders>
              <w:top w:val="nil"/>
              <w:left w:val="nil"/>
              <w:bottom w:val="single" w:color="auto" w:sz="4" w:space="0"/>
              <w:right w:val="single" w:color="auto" w:sz="4" w:space="0"/>
            </w:tcBorders>
          </w:tcPr>
          <w:p w14:paraId="1D651E55">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1</w:t>
            </w:r>
          </w:p>
        </w:tc>
        <w:tc>
          <w:tcPr>
            <w:tcW w:w="4286" w:type="dxa"/>
            <w:tcBorders>
              <w:top w:val="nil"/>
              <w:left w:val="nil"/>
              <w:bottom w:val="single" w:color="auto" w:sz="4" w:space="0"/>
              <w:right w:val="single" w:color="auto" w:sz="4" w:space="0"/>
            </w:tcBorders>
            <w:vAlign w:val="center"/>
          </w:tcPr>
          <w:p w14:paraId="4F8FE99E">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80.53 </w:t>
            </w:r>
          </w:p>
        </w:tc>
      </w:tr>
      <w:tr w14:paraId="244B4575">
        <w:tblPrEx>
          <w:tblCellMar>
            <w:top w:w="0" w:type="dxa"/>
            <w:left w:w="108" w:type="dxa"/>
            <w:bottom w:w="0" w:type="dxa"/>
            <w:right w:w="108" w:type="dxa"/>
          </w:tblCellMar>
        </w:tblPrEx>
        <w:trPr>
          <w:trHeight w:val="20" w:hRule="atLeast"/>
        </w:trPr>
        <w:tc>
          <w:tcPr>
            <w:tcW w:w="2748" w:type="pct"/>
            <w:gridSpan w:val="2"/>
            <w:tcBorders>
              <w:top w:val="single" w:color="auto" w:sz="4" w:space="0"/>
              <w:left w:val="single" w:color="auto" w:sz="4" w:space="0"/>
              <w:bottom w:val="single" w:color="auto" w:sz="4" w:space="0"/>
              <w:right w:val="single" w:color="auto" w:sz="4" w:space="0"/>
            </w:tcBorders>
            <w:vAlign w:val="center"/>
          </w:tcPr>
          <w:p w14:paraId="0A9825BC">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平均月租金</w:t>
            </w:r>
          </w:p>
        </w:tc>
        <w:tc>
          <w:tcPr>
            <w:tcW w:w="4285" w:type="dxa"/>
            <w:tcBorders>
              <w:top w:val="nil"/>
              <w:left w:val="nil"/>
              <w:bottom w:val="single" w:color="auto" w:sz="4" w:space="0"/>
              <w:right w:val="single" w:color="auto" w:sz="4" w:space="0"/>
            </w:tcBorders>
            <w:vAlign w:val="center"/>
          </w:tcPr>
          <w:p w14:paraId="0150EA1B">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79.54 </w:t>
            </w:r>
          </w:p>
        </w:tc>
      </w:tr>
    </w:tbl>
    <w:p w14:paraId="560A4C33">
      <w:pPr>
        <w:pStyle w:val="278"/>
        <w:autoSpaceDE w:val="0"/>
        <w:autoSpaceDN w:val="0"/>
        <w:spacing w:before="240" w:beforeLines="100" w:line="240" w:lineRule="auto"/>
        <w:ind w:firstLine="420" w:firstLineChars="200"/>
        <w:jc w:val="both"/>
        <w:textAlignment w:val="bottom"/>
        <w:rPr>
          <w:rFonts w:ascii="Arial" w:hAnsi="Arial" w:cs="Arial"/>
          <w:color w:val="000000"/>
          <w:sz w:val="21"/>
          <w:szCs w:val="21"/>
        </w:rPr>
      </w:pPr>
      <w:r>
        <w:rPr>
          <w:rFonts w:hint="eastAsia" w:ascii="Arial" w:hAnsi="Arial" w:cs="Arial"/>
          <w:color w:val="000000"/>
          <w:sz w:val="21"/>
          <w:szCs w:val="21"/>
        </w:rPr>
        <w:t>样本小区二：</w:t>
      </w:r>
      <w:r>
        <w:rPr>
          <w:rFonts w:ascii="Arial" w:hAnsi="Arial" w:cs="Arial"/>
          <w:color w:val="000000"/>
          <w:sz w:val="21"/>
          <w:szCs w:val="21"/>
        </w:rPr>
        <w:t>北京经开·汀塘</w:t>
      </w:r>
    </w:p>
    <w:tbl>
      <w:tblPr>
        <w:tblStyle w:val="33"/>
        <w:tblW w:w="5000" w:type="pct"/>
        <w:tblInd w:w="0" w:type="dxa"/>
        <w:tblLayout w:type="autofit"/>
        <w:tblCellMar>
          <w:top w:w="0" w:type="dxa"/>
          <w:left w:w="108" w:type="dxa"/>
          <w:bottom w:w="0" w:type="dxa"/>
          <w:right w:w="108" w:type="dxa"/>
        </w:tblCellMar>
      </w:tblPr>
      <w:tblGrid>
        <w:gridCol w:w="3444"/>
        <w:gridCol w:w="1785"/>
        <w:gridCol w:w="4285"/>
      </w:tblGrid>
      <w:tr w14:paraId="164E93EB">
        <w:tblPrEx>
          <w:tblCellMar>
            <w:top w:w="0" w:type="dxa"/>
            <w:left w:w="108" w:type="dxa"/>
            <w:bottom w:w="0" w:type="dxa"/>
            <w:right w:w="108" w:type="dxa"/>
          </w:tblCellMar>
        </w:tblPrEx>
        <w:trPr>
          <w:trHeight w:val="20" w:hRule="atLeast"/>
          <w:tblHeader/>
        </w:trPr>
        <w:tc>
          <w:tcPr>
            <w:tcW w:w="1810" w:type="pct"/>
            <w:tcBorders>
              <w:top w:val="single" w:color="auto" w:sz="4" w:space="0"/>
              <w:left w:val="single" w:color="auto" w:sz="4" w:space="0"/>
              <w:bottom w:val="single" w:color="auto" w:sz="4" w:space="0"/>
              <w:right w:val="single" w:color="auto" w:sz="4" w:space="0"/>
            </w:tcBorders>
            <w:vAlign w:val="center"/>
          </w:tcPr>
          <w:p w14:paraId="2453B2B2">
            <w:pPr>
              <w:widowControl/>
              <w:spacing w:line="240" w:lineRule="atLeast"/>
              <w:jc w:val="center"/>
              <w:textAlignment w:val="auto"/>
              <w:rPr>
                <w:rFonts w:ascii="华文细黑" w:hAnsi="华文细黑" w:eastAsia="华文细黑" w:cs="宋体"/>
                <w:sz w:val="18"/>
                <w:szCs w:val="18"/>
              </w:rPr>
            </w:pPr>
            <w:r>
              <w:rPr>
                <w:rFonts w:hint="eastAsia" w:ascii="华文细黑" w:hAnsi="华文细黑" w:eastAsia="华文细黑" w:cs="宋体"/>
                <w:sz w:val="18"/>
                <w:szCs w:val="18"/>
              </w:rPr>
              <w:t>时间</w:t>
            </w:r>
          </w:p>
        </w:tc>
        <w:tc>
          <w:tcPr>
            <w:tcW w:w="938" w:type="pct"/>
            <w:tcBorders>
              <w:top w:val="single" w:color="auto" w:sz="4" w:space="0"/>
              <w:left w:val="nil"/>
              <w:bottom w:val="single" w:color="auto" w:sz="4" w:space="0"/>
              <w:right w:val="single" w:color="auto" w:sz="4" w:space="0"/>
            </w:tcBorders>
            <w:vAlign w:val="center"/>
          </w:tcPr>
          <w:p w14:paraId="7F23EDF2">
            <w:pPr>
              <w:widowControl/>
              <w:spacing w:line="240" w:lineRule="atLeast"/>
              <w:jc w:val="center"/>
              <w:textAlignment w:val="auto"/>
              <w:rPr>
                <w:rFonts w:ascii="华文细黑" w:hAnsi="华文细黑" w:eastAsia="华文细黑" w:cs="宋体"/>
                <w:sz w:val="18"/>
                <w:szCs w:val="18"/>
              </w:rPr>
            </w:pPr>
            <w:r>
              <w:rPr>
                <w:rFonts w:hint="eastAsia" w:ascii="华文细黑" w:hAnsi="华文细黑" w:eastAsia="华文细黑" w:cs="宋体"/>
                <w:sz w:val="18"/>
                <w:szCs w:val="18"/>
              </w:rPr>
              <w:t>样本数量</w:t>
            </w:r>
          </w:p>
        </w:tc>
        <w:tc>
          <w:tcPr>
            <w:tcW w:w="2252" w:type="pct"/>
            <w:tcBorders>
              <w:top w:val="single" w:color="auto" w:sz="4" w:space="0"/>
              <w:left w:val="nil"/>
              <w:bottom w:val="single" w:color="auto" w:sz="4" w:space="0"/>
              <w:right w:val="single" w:color="auto" w:sz="4" w:space="0"/>
            </w:tcBorders>
            <w:vAlign w:val="center"/>
          </w:tcPr>
          <w:p w14:paraId="13E03F56">
            <w:pPr>
              <w:widowControl/>
              <w:spacing w:line="240" w:lineRule="atLeast"/>
              <w:jc w:val="center"/>
              <w:textAlignment w:val="auto"/>
              <w:rPr>
                <w:rFonts w:ascii="华文细黑" w:hAnsi="华文细黑" w:eastAsia="华文细黑" w:cs="宋体"/>
                <w:sz w:val="18"/>
                <w:szCs w:val="18"/>
              </w:rPr>
            </w:pPr>
            <w:r>
              <w:rPr>
                <w:rFonts w:hint="eastAsia" w:ascii="华文细黑" w:hAnsi="华文细黑" w:eastAsia="华文细黑" w:cs="宋体"/>
                <w:sz w:val="18"/>
                <w:szCs w:val="18"/>
              </w:rPr>
              <w:t>租金平均单价（元/平方米·月）</w:t>
            </w:r>
          </w:p>
        </w:tc>
      </w:tr>
      <w:tr w14:paraId="6A29E0CE">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1B199851">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2024-10</w:t>
            </w:r>
          </w:p>
        </w:tc>
        <w:tc>
          <w:tcPr>
            <w:tcW w:w="938" w:type="pct"/>
            <w:tcBorders>
              <w:top w:val="nil"/>
              <w:left w:val="nil"/>
              <w:bottom w:val="single" w:color="auto" w:sz="4" w:space="0"/>
              <w:right w:val="single" w:color="auto" w:sz="4" w:space="0"/>
            </w:tcBorders>
            <w:vAlign w:val="center"/>
          </w:tcPr>
          <w:p w14:paraId="4E9D21F5">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6" w:type="dxa"/>
            <w:tcBorders>
              <w:top w:val="nil"/>
              <w:left w:val="nil"/>
              <w:bottom w:val="single" w:color="auto" w:sz="4" w:space="0"/>
              <w:right w:val="single" w:color="auto" w:sz="4" w:space="0"/>
            </w:tcBorders>
            <w:vAlign w:val="center"/>
          </w:tcPr>
          <w:p w14:paraId="08FA8E63">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71.63 </w:t>
            </w:r>
          </w:p>
        </w:tc>
      </w:tr>
      <w:tr w14:paraId="4E81F35D">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76A3C9B1">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2024-11</w:t>
            </w:r>
          </w:p>
        </w:tc>
        <w:tc>
          <w:tcPr>
            <w:tcW w:w="938" w:type="pct"/>
            <w:tcBorders>
              <w:top w:val="nil"/>
              <w:left w:val="nil"/>
              <w:bottom w:val="single" w:color="auto" w:sz="4" w:space="0"/>
              <w:right w:val="single" w:color="auto" w:sz="4" w:space="0"/>
            </w:tcBorders>
          </w:tcPr>
          <w:p w14:paraId="734ACA63">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6" w:type="dxa"/>
            <w:tcBorders>
              <w:top w:val="nil"/>
              <w:left w:val="nil"/>
              <w:bottom w:val="single" w:color="auto" w:sz="4" w:space="0"/>
              <w:right w:val="single" w:color="auto" w:sz="4" w:space="0"/>
            </w:tcBorders>
            <w:vAlign w:val="center"/>
          </w:tcPr>
          <w:p w14:paraId="4EC77C4D">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84.73 </w:t>
            </w:r>
          </w:p>
        </w:tc>
      </w:tr>
      <w:tr w14:paraId="4C4FEC2A">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2DC8E251">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2024-12</w:t>
            </w:r>
          </w:p>
        </w:tc>
        <w:tc>
          <w:tcPr>
            <w:tcW w:w="938" w:type="pct"/>
            <w:tcBorders>
              <w:top w:val="nil"/>
              <w:left w:val="nil"/>
              <w:bottom w:val="single" w:color="auto" w:sz="4" w:space="0"/>
              <w:right w:val="single" w:color="auto" w:sz="4" w:space="0"/>
            </w:tcBorders>
          </w:tcPr>
          <w:p w14:paraId="7F21D22B">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0</w:t>
            </w:r>
          </w:p>
        </w:tc>
        <w:tc>
          <w:tcPr>
            <w:tcW w:w="4286" w:type="dxa"/>
            <w:tcBorders>
              <w:top w:val="nil"/>
              <w:left w:val="nil"/>
              <w:bottom w:val="single" w:color="auto" w:sz="4" w:space="0"/>
              <w:right w:val="single" w:color="auto" w:sz="4" w:space="0"/>
            </w:tcBorders>
            <w:vAlign w:val="center"/>
          </w:tcPr>
          <w:p w14:paraId="19036FBC">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w:t>
            </w:r>
          </w:p>
        </w:tc>
      </w:tr>
      <w:tr w14:paraId="67C3E3D4">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50F9E4AA">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2025-1</w:t>
            </w:r>
          </w:p>
        </w:tc>
        <w:tc>
          <w:tcPr>
            <w:tcW w:w="938" w:type="pct"/>
            <w:tcBorders>
              <w:top w:val="nil"/>
              <w:left w:val="nil"/>
              <w:bottom w:val="single" w:color="auto" w:sz="4" w:space="0"/>
              <w:right w:val="single" w:color="auto" w:sz="4" w:space="0"/>
            </w:tcBorders>
          </w:tcPr>
          <w:p w14:paraId="2E441D58">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0</w:t>
            </w:r>
          </w:p>
        </w:tc>
        <w:tc>
          <w:tcPr>
            <w:tcW w:w="4286" w:type="dxa"/>
            <w:tcBorders>
              <w:top w:val="nil"/>
              <w:left w:val="nil"/>
              <w:bottom w:val="single" w:color="auto" w:sz="4" w:space="0"/>
              <w:right w:val="single" w:color="auto" w:sz="4" w:space="0"/>
            </w:tcBorders>
            <w:vAlign w:val="center"/>
          </w:tcPr>
          <w:p w14:paraId="2080D1D5">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w:t>
            </w:r>
          </w:p>
        </w:tc>
      </w:tr>
      <w:tr w14:paraId="3F6F503E">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5D9A3E3A">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2025-2</w:t>
            </w:r>
          </w:p>
        </w:tc>
        <w:tc>
          <w:tcPr>
            <w:tcW w:w="938" w:type="pct"/>
            <w:tcBorders>
              <w:top w:val="nil"/>
              <w:left w:val="nil"/>
              <w:bottom w:val="single" w:color="auto" w:sz="4" w:space="0"/>
              <w:right w:val="single" w:color="auto" w:sz="4" w:space="0"/>
            </w:tcBorders>
          </w:tcPr>
          <w:p w14:paraId="4E9F6B53">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6" w:type="dxa"/>
            <w:tcBorders>
              <w:top w:val="nil"/>
              <w:left w:val="nil"/>
              <w:bottom w:val="single" w:color="auto" w:sz="4" w:space="0"/>
              <w:right w:val="single" w:color="auto" w:sz="4" w:space="0"/>
            </w:tcBorders>
            <w:vAlign w:val="center"/>
          </w:tcPr>
          <w:p w14:paraId="2472E7EC">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71.62 </w:t>
            </w:r>
          </w:p>
        </w:tc>
      </w:tr>
      <w:tr w14:paraId="6EA872EF">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74F124FC">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2025-3</w:t>
            </w:r>
          </w:p>
        </w:tc>
        <w:tc>
          <w:tcPr>
            <w:tcW w:w="938" w:type="pct"/>
            <w:tcBorders>
              <w:top w:val="nil"/>
              <w:left w:val="nil"/>
              <w:bottom w:val="single" w:color="auto" w:sz="4" w:space="0"/>
              <w:right w:val="single" w:color="auto" w:sz="4" w:space="0"/>
            </w:tcBorders>
          </w:tcPr>
          <w:p w14:paraId="58DC9C1B">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6" w:type="dxa"/>
            <w:tcBorders>
              <w:top w:val="nil"/>
              <w:left w:val="nil"/>
              <w:bottom w:val="single" w:color="auto" w:sz="4" w:space="0"/>
              <w:right w:val="single" w:color="auto" w:sz="4" w:space="0"/>
            </w:tcBorders>
            <w:vAlign w:val="center"/>
          </w:tcPr>
          <w:p w14:paraId="1EEE5F8D">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65.01 </w:t>
            </w:r>
          </w:p>
        </w:tc>
      </w:tr>
      <w:tr w14:paraId="35695A43">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57E102C2">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2025-4</w:t>
            </w:r>
          </w:p>
        </w:tc>
        <w:tc>
          <w:tcPr>
            <w:tcW w:w="938" w:type="pct"/>
            <w:tcBorders>
              <w:top w:val="nil"/>
              <w:left w:val="nil"/>
              <w:bottom w:val="single" w:color="auto" w:sz="4" w:space="0"/>
              <w:right w:val="single" w:color="auto" w:sz="4" w:space="0"/>
            </w:tcBorders>
          </w:tcPr>
          <w:p w14:paraId="3E40AF56">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6" w:type="dxa"/>
            <w:tcBorders>
              <w:top w:val="nil"/>
              <w:left w:val="nil"/>
              <w:bottom w:val="single" w:color="auto" w:sz="4" w:space="0"/>
              <w:right w:val="single" w:color="auto" w:sz="4" w:space="0"/>
            </w:tcBorders>
            <w:vAlign w:val="center"/>
          </w:tcPr>
          <w:p w14:paraId="03B0D573">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68.23 </w:t>
            </w:r>
          </w:p>
        </w:tc>
      </w:tr>
      <w:tr w14:paraId="76192B61">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552A8C1D">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2025-5</w:t>
            </w:r>
          </w:p>
        </w:tc>
        <w:tc>
          <w:tcPr>
            <w:tcW w:w="938" w:type="pct"/>
            <w:tcBorders>
              <w:top w:val="nil"/>
              <w:left w:val="nil"/>
              <w:bottom w:val="single" w:color="auto" w:sz="4" w:space="0"/>
              <w:right w:val="single" w:color="auto" w:sz="4" w:space="0"/>
            </w:tcBorders>
          </w:tcPr>
          <w:p w14:paraId="073918FD">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6" w:type="dxa"/>
            <w:tcBorders>
              <w:top w:val="nil"/>
              <w:left w:val="nil"/>
              <w:bottom w:val="single" w:color="auto" w:sz="4" w:space="0"/>
              <w:right w:val="single" w:color="auto" w:sz="4" w:space="0"/>
            </w:tcBorders>
            <w:vAlign w:val="center"/>
          </w:tcPr>
          <w:p w14:paraId="17E727B5">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69.70 </w:t>
            </w:r>
          </w:p>
        </w:tc>
      </w:tr>
      <w:tr w14:paraId="058D8EFA">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749AFB17">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2025-6</w:t>
            </w:r>
          </w:p>
        </w:tc>
        <w:tc>
          <w:tcPr>
            <w:tcW w:w="938" w:type="pct"/>
            <w:tcBorders>
              <w:top w:val="nil"/>
              <w:left w:val="nil"/>
              <w:bottom w:val="single" w:color="auto" w:sz="4" w:space="0"/>
              <w:right w:val="single" w:color="auto" w:sz="4" w:space="0"/>
            </w:tcBorders>
          </w:tcPr>
          <w:p w14:paraId="56C5DF9B">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6" w:type="dxa"/>
            <w:tcBorders>
              <w:top w:val="nil"/>
              <w:left w:val="nil"/>
              <w:bottom w:val="single" w:color="auto" w:sz="4" w:space="0"/>
              <w:right w:val="single" w:color="auto" w:sz="4" w:space="0"/>
            </w:tcBorders>
            <w:vAlign w:val="center"/>
          </w:tcPr>
          <w:p w14:paraId="09757334">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75.65 </w:t>
            </w:r>
          </w:p>
        </w:tc>
      </w:tr>
      <w:tr w14:paraId="3C2CAACD">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13D0DFB9">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2025-7</w:t>
            </w:r>
          </w:p>
        </w:tc>
        <w:tc>
          <w:tcPr>
            <w:tcW w:w="938" w:type="pct"/>
            <w:tcBorders>
              <w:top w:val="nil"/>
              <w:left w:val="nil"/>
              <w:bottom w:val="single" w:color="auto" w:sz="4" w:space="0"/>
              <w:right w:val="single" w:color="auto" w:sz="4" w:space="0"/>
            </w:tcBorders>
          </w:tcPr>
          <w:p w14:paraId="315ED9C0">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1</w:t>
            </w:r>
          </w:p>
        </w:tc>
        <w:tc>
          <w:tcPr>
            <w:tcW w:w="4286" w:type="dxa"/>
            <w:tcBorders>
              <w:top w:val="nil"/>
              <w:left w:val="nil"/>
              <w:bottom w:val="single" w:color="auto" w:sz="4" w:space="0"/>
              <w:right w:val="single" w:color="auto" w:sz="4" w:space="0"/>
            </w:tcBorders>
            <w:vAlign w:val="center"/>
          </w:tcPr>
          <w:p w14:paraId="55C6D6B6">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70.42 </w:t>
            </w:r>
          </w:p>
        </w:tc>
      </w:tr>
      <w:tr w14:paraId="42801C6E">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4E8FDD8B">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2025-8</w:t>
            </w:r>
          </w:p>
        </w:tc>
        <w:tc>
          <w:tcPr>
            <w:tcW w:w="938" w:type="pct"/>
            <w:tcBorders>
              <w:top w:val="nil"/>
              <w:left w:val="nil"/>
              <w:bottom w:val="single" w:color="auto" w:sz="4" w:space="0"/>
              <w:right w:val="single" w:color="auto" w:sz="4" w:space="0"/>
            </w:tcBorders>
          </w:tcPr>
          <w:p w14:paraId="27532BBD">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1</w:t>
            </w:r>
          </w:p>
        </w:tc>
        <w:tc>
          <w:tcPr>
            <w:tcW w:w="4286" w:type="dxa"/>
            <w:tcBorders>
              <w:top w:val="nil"/>
              <w:left w:val="nil"/>
              <w:bottom w:val="single" w:color="auto" w:sz="4" w:space="0"/>
              <w:right w:val="single" w:color="auto" w:sz="4" w:space="0"/>
            </w:tcBorders>
            <w:vAlign w:val="center"/>
          </w:tcPr>
          <w:p w14:paraId="57E2519E">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70.43 </w:t>
            </w:r>
          </w:p>
        </w:tc>
      </w:tr>
      <w:tr w14:paraId="5EC4E87A">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091BD4C4">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2025-9</w:t>
            </w:r>
          </w:p>
        </w:tc>
        <w:tc>
          <w:tcPr>
            <w:tcW w:w="938" w:type="pct"/>
            <w:tcBorders>
              <w:top w:val="nil"/>
              <w:left w:val="nil"/>
              <w:bottom w:val="single" w:color="auto" w:sz="4" w:space="0"/>
              <w:right w:val="single" w:color="auto" w:sz="4" w:space="0"/>
            </w:tcBorders>
          </w:tcPr>
          <w:p w14:paraId="5176487B">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6" w:type="dxa"/>
            <w:tcBorders>
              <w:top w:val="nil"/>
              <w:left w:val="nil"/>
              <w:bottom w:val="single" w:color="auto" w:sz="4" w:space="0"/>
              <w:right w:val="single" w:color="auto" w:sz="4" w:space="0"/>
            </w:tcBorders>
            <w:vAlign w:val="center"/>
          </w:tcPr>
          <w:p w14:paraId="7997A90F">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75.32 </w:t>
            </w:r>
          </w:p>
        </w:tc>
      </w:tr>
      <w:tr w14:paraId="5020FF1B">
        <w:tblPrEx>
          <w:tblCellMar>
            <w:top w:w="0" w:type="dxa"/>
            <w:left w:w="108" w:type="dxa"/>
            <w:bottom w:w="0" w:type="dxa"/>
            <w:right w:w="108" w:type="dxa"/>
          </w:tblCellMar>
        </w:tblPrEx>
        <w:trPr>
          <w:trHeight w:val="20" w:hRule="atLeast"/>
        </w:trPr>
        <w:tc>
          <w:tcPr>
            <w:tcW w:w="2748" w:type="pct"/>
            <w:gridSpan w:val="2"/>
            <w:tcBorders>
              <w:top w:val="single" w:color="auto" w:sz="4" w:space="0"/>
              <w:left w:val="single" w:color="auto" w:sz="4" w:space="0"/>
              <w:bottom w:val="single" w:color="auto" w:sz="4" w:space="0"/>
              <w:right w:val="single" w:color="auto" w:sz="4" w:space="0"/>
            </w:tcBorders>
            <w:vAlign w:val="center"/>
          </w:tcPr>
          <w:p w14:paraId="7EE09F89">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平均月租金</w:t>
            </w:r>
          </w:p>
        </w:tc>
        <w:tc>
          <w:tcPr>
            <w:tcW w:w="4286" w:type="dxa"/>
            <w:tcBorders>
              <w:top w:val="nil"/>
              <w:left w:val="nil"/>
              <w:bottom w:val="single" w:color="auto" w:sz="4" w:space="0"/>
              <w:right w:val="single" w:color="auto" w:sz="4" w:space="0"/>
            </w:tcBorders>
            <w:vAlign w:val="center"/>
          </w:tcPr>
          <w:p w14:paraId="53E8761D">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72.27 </w:t>
            </w:r>
          </w:p>
        </w:tc>
      </w:tr>
    </w:tbl>
    <w:p w14:paraId="6BD2914C">
      <w:pPr>
        <w:pStyle w:val="278"/>
        <w:autoSpaceDE w:val="0"/>
        <w:autoSpaceDN w:val="0"/>
        <w:spacing w:before="240" w:beforeLines="100" w:line="240" w:lineRule="auto"/>
        <w:ind w:firstLine="420" w:firstLineChars="200"/>
        <w:jc w:val="both"/>
        <w:textAlignment w:val="bottom"/>
        <w:rPr>
          <w:rFonts w:ascii="Arial" w:hAnsi="Arial" w:cs="Arial"/>
          <w:color w:val="000000"/>
          <w:sz w:val="21"/>
          <w:szCs w:val="21"/>
        </w:rPr>
      </w:pPr>
      <w:r>
        <w:rPr>
          <w:rFonts w:ascii="Arial" w:hAnsi="Arial" w:cs="Arial"/>
          <w:color w:val="000000"/>
          <w:sz w:val="21"/>
          <w:szCs w:val="21"/>
        </w:rPr>
        <w:t>样本小区三：通泰国际公馆</w:t>
      </w:r>
    </w:p>
    <w:tbl>
      <w:tblPr>
        <w:tblStyle w:val="33"/>
        <w:tblW w:w="5000" w:type="pct"/>
        <w:tblInd w:w="0" w:type="dxa"/>
        <w:tblLayout w:type="autofit"/>
        <w:tblCellMar>
          <w:top w:w="0" w:type="dxa"/>
          <w:left w:w="108" w:type="dxa"/>
          <w:bottom w:w="0" w:type="dxa"/>
          <w:right w:w="108" w:type="dxa"/>
        </w:tblCellMar>
      </w:tblPr>
      <w:tblGrid>
        <w:gridCol w:w="3443"/>
        <w:gridCol w:w="1787"/>
        <w:gridCol w:w="4284"/>
      </w:tblGrid>
      <w:tr w14:paraId="5F70E7D9">
        <w:tblPrEx>
          <w:tblCellMar>
            <w:top w:w="0" w:type="dxa"/>
            <w:left w:w="108" w:type="dxa"/>
            <w:bottom w:w="0" w:type="dxa"/>
            <w:right w:w="108" w:type="dxa"/>
          </w:tblCellMar>
        </w:tblPrEx>
        <w:trPr>
          <w:trHeight w:val="20" w:hRule="atLeast"/>
          <w:tblHeader/>
        </w:trPr>
        <w:tc>
          <w:tcPr>
            <w:tcW w:w="1809" w:type="pct"/>
            <w:tcBorders>
              <w:top w:val="single" w:color="auto" w:sz="4" w:space="0"/>
              <w:left w:val="single" w:color="auto" w:sz="4" w:space="0"/>
              <w:bottom w:val="single" w:color="auto" w:sz="4" w:space="0"/>
              <w:right w:val="single" w:color="auto" w:sz="4" w:space="0"/>
            </w:tcBorders>
            <w:vAlign w:val="center"/>
          </w:tcPr>
          <w:p w14:paraId="5970746C">
            <w:pPr>
              <w:widowControl/>
              <w:spacing w:line="240" w:lineRule="atLeast"/>
              <w:jc w:val="center"/>
              <w:textAlignment w:val="auto"/>
              <w:rPr>
                <w:rFonts w:ascii="华文细黑" w:hAnsi="华文细黑" w:eastAsia="华文细黑" w:cs="宋体"/>
                <w:sz w:val="18"/>
                <w:szCs w:val="18"/>
              </w:rPr>
            </w:pPr>
            <w:r>
              <w:rPr>
                <w:rFonts w:hint="eastAsia" w:ascii="华文细黑" w:hAnsi="华文细黑" w:eastAsia="华文细黑" w:cs="宋体"/>
                <w:sz w:val="18"/>
                <w:szCs w:val="18"/>
              </w:rPr>
              <w:t>时间</w:t>
            </w:r>
          </w:p>
        </w:tc>
        <w:tc>
          <w:tcPr>
            <w:tcW w:w="938" w:type="pct"/>
            <w:tcBorders>
              <w:top w:val="single" w:color="auto" w:sz="4" w:space="0"/>
              <w:left w:val="nil"/>
              <w:bottom w:val="single" w:color="auto" w:sz="4" w:space="0"/>
              <w:right w:val="single" w:color="auto" w:sz="4" w:space="0"/>
            </w:tcBorders>
            <w:vAlign w:val="center"/>
          </w:tcPr>
          <w:p w14:paraId="58A4EE39">
            <w:pPr>
              <w:widowControl/>
              <w:spacing w:line="240" w:lineRule="atLeast"/>
              <w:jc w:val="center"/>
              <w:textAlignment w:val="auto"/>
              <w:rPr>
                <w:rFonts w:ascii="华文细黑" w:hAnsi="华文细黑" w:eastAsia="华文细黑" w:cs="宋体"/>
                <w:sz w:val="18"/>
                <w:szCs w:val="18"/>
              </w:rPr>
            </w:pPr>
            <w:r>
              <w:rPr>
                <w:rFonts w:hint="eastAsia" w:ascii="华文细黑" w:hAnsi="华文细黑" w:eastAsia="华文细黑" w:cs="宋体"/>
                <w:sz w:val="18"/>
                <w:szCs w:val="18"/>
              </w:rPr>
              <w:t>样本数量</w:t>
            </w:r>
          </w:p>
        </w:tc>
        <w:tc>
          <w:tcPr>
            <w:tcW w:w="2251" w:type="pct"/>
            <w:tcBorders>
              <w:top w:val="single" w:color="auto" w:sz="4" w:space="0"/>
              <w:left w:val="nil"/>
              <w:bottom w:val="single" w:color="auto" w:sz="4" w:space="0"/>
              <w:right w:val="single" w:color="auto" w:sz="4" w:space="0"/>
            </w:tcBorders>
            <w:vAlign w:val="center"/>
          </w:tcPr>
          <w:p w14:paraId="4C5986FE">
            <w:pPr>
              <w:widowControl/>
              <w:spacing w:line="240" w:lineRule="atLeast"/>
              <w:jc w:val="center"/>
              <w:textAlignment w:val="auto"/>
              <w:rPr>
                <w:rFonts w:ascii="华文细黑" w:hAnsi="华文细黑" w:eastAsia="华文细黑" w:cs="宋体"/>
                <w:sz w:val="18"/>
                <w:szCs w:val="18"/>
              </w:rPr>
            </w:pPr>
            <w:r>
              <w:rPr>
                <w:rFonts w:hint="eastAsia" w:ascii="华文细黑" w:hAnsi="华文细黑" w:eastAsia="华文细黑" w:cs="宋体"/>
                <w:sz w:val="18"/>
                <w:szCs w:val="18"/>
              </w:rPr>
              <w:t>租金平均单价（元/平方米·月）</w:t>
            </w:r>
          </w:p>
        </w:tc>
      </w:tr>
      <w:tr w14:paraId="4B95D1D1">
        <w:tblPrEx>
          <w:tblCellMar>
            <w:top w:w="0" w:type="dxa"/>
            <w:left w:w="108" w:type="dxa"/>
            <w:bottom w:w="0" w:type="dxa"/>
            <w:right w:w="108" w:type="dxa"/>
          </w:tblCellMar>
        </w:tblPrEx>
        <w:trPr>
          <w:trHeight w:val="20" w:hRule="atLeast"/>
        </w:trPr>
        <w:tc>
          <w:tcPr>
            <w:tcW w:w="1809" w:type="pct"/>
            <w:tcBorders>
              <w:top w:val="nil"/>
              <w:left w:val="single" w:color="auto" w:sz="4" w:space="0"/>
              <w:bottom w:val="single" w:color="auto" w:sz="4" w:space="0"/>
              <w:right w:val="single" w:color="auto" w:sz="4" w:space="0"/>
            </w:tcBorders>
            <w:vAlign w:val="center"/>
          </w:tcPr>
          <w:p w14:paraId="3156B41F">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2024-10</w:t>
            </w:r>
          </w:p>
        </w:tc>
        <w:tc>
          <w:tcPr>
            <w:tcW w:w="938" w:type="pct"/>
            <w:tcBorders>
              <w:top w:val="nil"/>
              <w:left w:val="nil"/>
              <w:bottom w:val="single" w:color="auto" w:sz="4" w:space="0"/>
              <w:right w:val="single" w:color="auto" w:sz="4" w:space="0"/>
            </w:tcBorders>
            <w:vAlign w:val="center"/>
          </w:tcPr>
          <w:p w14:paraId="259A8F58">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4" w:type="dxa"/>
            <w:tcBorders>
              <w:top w:val="nil"/>
              <w:left w:val="nil"/>
              <w:bottom w:val="single" w:color="auto" w:sz="4" w:space="0"/>
              <w:right w:val="single" w:color="auto" w:sz="4" w:space="0"/>
            </w:tcBorders>
            <w:vAlign w:val="center"/>
          </w:tcPr>
          <w:p w14:paraId="0059FC38">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74.47</w:t>
            </w:r>
          </w:p>
        </w:tc>
      </w:tr>
      <w:tr w14:paraId="397B0B63">
        <w:tblPrEx>
          <w:tblCellMar>
            <w:top w:w="0" w:type="dxa"/>
            <w:left w:w="108" w:type="dxa"/>
            <w:bottom w:w="0" w:type="dxa"/>
            <w:right w:w="108" w:type="dxa"/>
          </w:tblCellMar>
        </w:tblPrEx>
        <w:trPr>
          <w:trHeight w:val="20" w:hRule="atLeast"/>
        </w:trPr>
        <w:tc>
          <w:tcPr>
            <w:tcW w:w="1809" w:type="pct"/>
            <w:tcBorders>
              <w:top w:val="nil"/>
              <w:left w:val="single" w:color="auto" w:sz="4" w:space="0"/>
              <w:bottom w:val="single" w:color="auto" w:sz="4" w:space="0"/>
              <w:right w:val="single" w:color="auto" w:sz="4" w:space="0"/>
            </w:tcBorders>
            <w:vAlign w:val="center"/>
          </w:tcPr>
          <w:p w14:paraId="62EFD61D">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2024-11</w:t>
            </w:r>
          </w:p>
        </w:tc>
        <w:tc>
          <w:tcPr>
            <w:tcW w:w="938" w:type="pct"/>
            <w:tcBorders>
              <w:top w:val="nil"/>
              <w:left w:val="nil"/>
              <w:bottom w:val="single" w:color="auto" w:sz="4" w:space="0"/>
              <w:right w:val="single" w:color="auto" w:sz="4" w:space="0"/>
            </w:tcBorders>
          </w:tcPr>
          <w:p w14:paraId="3308F2E4">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4" w:type="dxa"/>
            <w:tcBorders>
              <w:top w:val="nil"/>
              <w:left w:val="nil"/>
              <w:bottom w:val="single" w:color="auto" w:sz="4" w:space="0"/>
              <w:right w:val="single" w:color="auto" w:sz="4" w:space="0"/>
            </w:tcBorders>
            <w:vAlign w:val="center"/>
          </w:tcPr>
          <w:p w14:paraId="004162B0">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67.59</w:t>
            </w:r>
          </w:p>
        </w:tc>
      </w:tr>
      <w:tr w14:paraId="1E49B042">
        <w:tblPrEx>
          <w:tblCellMar>
            <w:top w:w="0" w:type="dxa"/>
            <w:left w:w="108" w:type="dxa"/>
            <w:bottom w:w="0" w:type="dxa"/>
            <w:right w:w="108" w:type="dxa"/>
          </w:tblCellMar>
        </w:tblPrEx>
        <w:trPr>
          <w:trHeight w:val="20" w:hRule="atLeast"/>
        </w:trPr>
        <w:tc>
          <w:tcPr>
            <w:tcW w:w="1809" w:type="pct"/>
            <w:tcBorders>
              <w:top w:val="nil"/>
              <w:left w:val="single" w:color="auto" w:sz="4" w:space="0"/>
              <w:bottom w:val="single" w:color="auto" w:sz="4" w:space="0"/>
              <w:right w:val="single" w:color="auto" w:sz="4" w:space="0"/>
            </w:tcBorders>
            <w:vAlign w:val="center"/>
          </w:tcPr>
          <w:p w14:paraId="3F4C6CB8">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2024-12</w:t>
            </w:r>
          </w:p>
        </w:tc>
        <w:tc>
          <w:tcPr>
            <w:tcW w:w="938" w:type="pct"/>
            <w:tcBorders>
              <w:top w:val="nil"/>
              <w:left w:val="nil"/>
              <w:bottom w:val="single" w:color="auto" w:sz="4" w:space="0"/>
              <w:right w:val="single" w:color="auto" w:sz="4" w:space="0"/>
            </w:tcBorders>
          </w:tcPr>
          <w:p w14:paraId="600AE5A4">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4" w:type="dxa"/>
            <w:tcBorders>
              <w:top w:val="nil"/>
              <w:left w:val="nil"/>
              <w:bottom w:val="single" w:color="auto" w:sz="4" w:space="0"/>
              <w:right w:val="single" w:color="auto" w:sz="4" w:space="0"/>
            </w:tcBorders>
            <w:vAlign w:val="center"/>
          </w:tcPr>
          <w:p w14:paraId="6F2E0AE0">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73.11</w:t>
            </w:r>
          </w:p>
        </w:tc>
      </w:tr>
      <w:tr w14:paraId="64E69904">
        <w:tblPrEx>
          <w:tblCellMar>
            <w:top w:w="0" w:type="dxa"/>
            <w:left w:w="108" w:type="dxa"/>
            <w:bottom w:w="0" w:type="dxa"/>
            <w:right w:w="108" w:type="dxa"/>
          </w:tblCellMar>
        </w:tblPrEx>
        <w:trPr>
          <w:trHeight w:val="20" w:hRule="atLeast"/>
        </w:trPr>
        <w:tc>
          <w:tcPr>
            <w:tcW w:w="1809" w:type="pct"/>
            <w:tcBorders>
              <w:top w:val="nil"/>
              <w:left w:val="single" w:color="auto" w:sz="4" w:space="0"/>
              <w:bottom w:val="single" w:color="auto" w:sz="4" w:space="0"/>
              <w:right w:val="single" w:color="auto" w:sz="4" w:space="0"/>
            </w:tcBorders>
            <w:vAlign w:val="center"/>
          </w:tcPr>
          <w:p w14:paraId="31B9E583">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2025-1</w:t>
            </w:r>
          </w:p>
        </w:tc>
        <w:tc>
          <w:tcPr>
            <w:tcW w:w="938" w:type="pct"/>
            <w:tcBorders>
              <w:top w:val="nil"/>
              <w:left w:val="nil"/>
              <w:bottom w:val="single" w:color="auto" w:sz="4" w:space="0"/>
              <w:right w:val="single" w:color="auto" w:sz="4" w:space="0"/>
            </w:tcBorders>
          </w:tcPr>
          <w:p w14:paraId="540F85A7">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4" w:type="dxa"/>
            <w:tcBorders>
              <w:top w:val="nil"/>
              <w:left w:val="nil"/>
              <w:bottom w:val="single" w:color="auto" w:sz="4" w:space="0"/>
              <w:right w:val="single" w:color="auto" w:sz="4" w:space="0"/>
            </w:tcBorders>
            <w:vAlign w:val="center"/>
          </w:tcPr>
          <w:p w14:paraId="3BFF4B49">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83.22</w:t>
            </w:r>
          </w:p>
        </w:tc>
      </w:tr>
      <w:tr w14:paraId="7E4CFA08">
        <w:tblPrEx>
          <w:tblCellMar>
            <w:top w:w="0" w:type="dxa"/>
            <w:left w:w="108" w:type="dxa"/>
            <w:bottom w:w="0" w:type="dxa"/>
            <w:right w:w="108" w:type="dxa"/>
          </w:tblCellMar>
        </w:tblPrEx>
        <w:trPr>
          <w:trHeight w:val="20" w:hRule="atLeast"/>
        </w:trPr>
        <w:tc>
          <w:tcPr>
            <w:tcW w:w="1809" w:type="pct"/>
            <w:tcBorders>
              <w:top w:val="nil"/>
              <w:left w:val="single" w:color="auto" w:sz="4" w:space="0"/>
              <w:bottom w:val="single" w:color="auto" w:sz="4" w:space="0"/>
              <w:right w:val="single" w:color="auto" w:sz="4" w:space="0"/>
            </w:tcBorders>
            <w:vAlign w:val="center"/>
          </w:tcPr>
          <w:p w14:paraId="63B71AB0">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2025-2</w:t>
            </w:r>
          </w:p>
        </w:tc>
        <w:tc>
          <w:tcPr>
            <w:tcW w:w="938" w:type="pct"/>
            <w:tcBorders>
              <w:top w:val="nil"/>
              <w:left w:val="nil"/>
              <w:bottom w:val="single" w:color="auto" w:sz="4" w:space="0"/>
              <w:right w:val="single" w:color="auto" w:sz="4" w:space="0"/>
            </w:tcBorders>
          </w:tcPr>
          <w:p w14:paraId="533CBE62">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4" w:type="dxa"/>
            <w:tcBorders>
              <w:top w:val="nil"/>
              <w:left w:val="nil"/>
              <w:bottom w:val="single" w:color="auto" w:sz="4" w:space="0"/>
              <w:right w:val="single" w:color="auto" w:sz="4" w:space="0"/>
            </w:tcBorders>
            <w:vAlign w:val="center"/>
          </w:tcPr>
          <w:p w14:paraId="798F37D4">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72.4</w:t>
            </w:r>
          </w:p>
        </w:tc>
      </w:tr>
      <w:tr w14:paraId="2276FCE8">
        <w:tblPrEx>
          <w:tblCellMar>
            <w:top w:w="0" w:type="dxa"/>
            <w:left w:w="108" w:type="dxa"/>
            <w:bottom w:w="0" w:type="dxa"/>
            <w:right w:w="108" w:type="dxa"/>
          </w:tblCellMar>
        </w:tblPrEx>
        <w:trPr>
          <w:trHeight w:val="20" w:hRule="atLeast"/>
        </w:trPr>
        <w:tc>
          <w:tcPr>
            <w:tcW w:w="1809" w:type="pct"/>
            <w:tcBorders>
              <w:top w:val="nil"/>
              <w:left w:val="single" w:color="auto" w:sz="4" w:space="0"/>
              <w:bottom w:val="single" w:color="auto" w:sz="4" w:space="0"/>
              <w:right w:val="single" w:color="auto" w:sz="4" w:space="0"/>
            </w:tcBorders>
            <w:vAlign w:val="center"/>
          </w:tcPr>
          <w:p w14:paraId="1A4FFEE2">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2025-3</w:t>
            </w:r>
          </w:p>
        </w:tc>
        <w:tc>
          <w:tcPr>
            <w:tcW w:w="938" w:type="pct"/>
            <w:tcBorders>
              <w:top w:val="nil"/>
              <w:left w:val="nil"/>
              <w:bottom w:val="single" w:color="auto" w:sz="4" w:space="0"/>
              <w:right w:val="single" w:color="auto" w:sz="4" w:space="0"/>
            </w:tcBorders>
          </w:tcPr>
          <w:p w14:paraId="7CA30490">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4" w:type="dxa"/>
            <w:tcBorders>
              <w:top w:val="nil"/>
              <w:left w:val="nil"/>
              <w:bottom w:val="single" w:color="auto" w:sz="4" w:space="0"/>
              <w:right w:val="single" w:color="auto" w:sz="4" w:space="0"/>
            </w:tcBorders>
            <w:vAlign w:val="center"/>
          </w:tcPr>
          <w:p w14:paraId="181B49BC">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81.87</w:t>
            </w:r>
          </w:p>
        </w:tc>
      </w:tr>
      <w:tr w14:paraId="7CF6D2DE">
        <w:tblPrEx>
          <w:tblCellMar>
            <w:top w:w="0" w:type="dxa"/>
            <w:left w:w="108" w:type="dxa"/>
            <w:bottom w:w="0" w:type="dxa"/>
            <w:right w:w="108" w:type="dxa"/>
          </w:tblCellMar>
        </w:tblPrEx>
        <w:trPr>
          <w:trHeight w:val="20" w:hRule="atLeast"/>
        </w:trPr>
        <w:tc>
          <w:tcPr>
            <w:tcW w:w="1809" w:type="pct"/>
            <w:tcBorders>
              <w:top w:val="nil"/>
              <w:left w:val="single" w:color="auto" w:sz="4" w:space="0"/>
              <w:bottom w:val="single" w:color="auto" w:sz="4" w:space="0"/>
              <w:right w:val="single" w:color="auto" w:sz="4" w:space="0"/>
            </w:tcBorders>
            <w:vAlign w:val="center"/>
          </w:tcPr>
          <w:p w14:paraId="10032065">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2025-4</w:t>
            </w:r>
          </w:p>
        </w:tc>
        <w:tc>
          <w:tcPr>
            <w:tcW w:w="938" w:type="pct"/>
            <w:tcBorders>
              <w:top w:val="nil"/>
              <w:left w:val="nil"/>
              <w:bottom w:val="single" w:color="auto" w:sz="4" w:space="0"/>
              <w:right w:val="single" w:color="auto" w:sz="4" w:space="0"/>
            </w:tcBorders>
          </w:tcPr>
          <w:p w14:paraId="42E622C7">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4" w:type="dxa"/>
            <w:tcBorders>
              <w:top w:val="nil"/>
              <w:left w:val="nil"/>
              <w:bottom w:val="single" w:color="auto" w:sz="4" w:space="0"/>
              <w:right w:val="single" w:color="auto" w:sz="4" w:space="0"/>
            </w:tcBorders>
            <w:vAlign w:val="center"/>
          </w:tcPr>
          <w:p w14:paraId="34D5A485">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73.68</w:t>
            </w:r>
          </w:p>
        </w:tc>
      </w:tr>
      <w:tr w14:paraId="50C29E8F">
        <w:tblPrEx>
          <w:tblCellMar>
            <w:top w:w="0" w:type="dxa"/>
            <w:left w:w="108" w:type="dxa"/>
            <w:bottom w:w="0" w:type="dxa"/>
            <w:right w:w="108" w:type="dxa"/>
          </w:tblCellMar>
        </w:tblPrEx>
        <w:trPr>
          <w:trHeight w:val="20" w:hRule="atLeast"/>
        </w:trPr>
        <w:tc>
          <w:tcPr>
            <w:tcW w:w="1809" w:type="pct"/>
            <w:tcBorders>
              <w:top w:val="nil"/>
              <w:left w:val="single" w:color="auto" w:sz="4" w:space="0"/>
              <w:bottom w:val="single" w:color="auto" w:sz="4" w:space="0"/>
              <w:right w:val="single" w:color="auto" w:sz="4" w:space="0"/>
            </w:tcBorders>
            <w:vAlign w:val="center"/>
          </w:tcPr>
          <w:p w14:paraId="4EC114BF">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2025-5</w:t>
            </w:r>
          </w:p>
        </w:tc>
        <w:tc>
          <w:tcPr>
            <w:tcW w:w="938" w:type="pct"/>
            <w:tcBorders>
              <w:top w:val="nil"/>
              <w:left w:val="nil"/>
              <w:bottom w:val="single" w:color="auto" w:sz="4" w:space="0"/>
              <w:right w:val="single" w:color="auto" w:sz="4" w:space="0"/>
            </w:tcBorders>
          </w:tcPr>
          <w:p w14:paraId="66820730">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4" w:type="dxa"/>
            <w:tcBorders>
              <w:top w:val="nil"/>
              <w:left w:val="nil"/>
              <w:bottom w:val="single" w:color="auto" w:sz="4" w:space="0"/>
              <w:right w:val="single" w:color="auto" w:sz="4" w:space="0"/>
            </w:tcBorders>
            <w:vAlign w:val="center"/>
          </w:tcPr>
          <w:p w14:paraId="4CFB84C3">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80.81</w:t>
            </w:r>
          </w:p>
        </w:tc>
      </w:tr>
      <w:tr w14:paraId="41989245">
        <w:tblPrEx>
          <w:tblCellMar>
            <w:top w:w="0" w:type="dxa"/>
            <w:left w:w="108" w:type="dxa"/>
            <w:bottom w:w="0" w:type="dxa"/>
            <w:right w:w="108" w:type="dxa"/>
          </w:tblCellMar>
        </w:tblPrEx>
        <w:trPr>
          <w:trHeight w:val="20" w:hRule="atLeast"/>
        </w:trPr>
        <w:tc>
          <w:tcPr>
            <w:tcW w:w="1809" w:type="pct"/>
            <w:tcBorders>
              <w:top w:val="nil"/>
              <w:left w:val="single" w:color="auto" w:sz="4" w:space="0"/>
              <w:bottom w:val="single" w:color="auto" w:sz="4" w:space="0"/>
              <w:right w:val="single" w:color="auto" w:sz="4" w:space="0"/>
            </w:tcBorders>
            <w:vAlign w:val="center"/>
          </w:tcPr>
          <w:p w14:paraId="50B6E7B1">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2025-6</w:t>
            </w:r>
          </w:p>
        </w:tc>
        <w:tc>
          <w:tcPr>
            <w:tcW w:w="938" w:type="pct"/>
            <w:tcBorders>
              <w:top w:val="nil"/>
              <w:left w:val="nil"/>
              <w:bottom w:val="single" w:color="auto" w:sz="4" w:space="0"/>
              <w:right w:val="single" w:color="auto" w:sz="4" w:space="0"/>
            </w:tcBorders>
          </w:tcPr>
          <w:p w14:paraId="0F75D728">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4" w:type="dxa"/>
            <w:tcBorders>
              <w:top w:val="nil"/>
              <w:left w:val="nil"/>
              <w:bottom w:val="single" w:color="auto" w:sz="4" w:space="0"/>
              <w:right w:val="single" w:color="auto" w:sz="4" w:space="0"/>
            </w:tcBorders>
            <w:vAlign w:val="center"/>
          </w:tcPr>
          <w:p w14:paraId="18669176">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83.55</w:t>
            </w:r>
          </w:p>
        </w:tc>
      </w:tr>
      <w:tr w14:paraId="0D3D36D3">
        <w:tblPrEx>
          <w:tblCellMar>
            <w:top w:w="0" w:type="dxa"/>
            <w:left w:w="108" w:type="dxa"/>
            <w:bottom w:w="0" w:type="dxa"/>
            <w:right w:w="108" w:type="dxa"/>
          </w:tblCellMar>
        </w:tblPrEx>
        <w:trPr>
          <w:trHeight w:val="20" w:hRule="atLeast"/>
        </w:trPr>
        <w:tc>
          <w:tcPr>
            <w:tcW w:w="1809" w:type="pct"/>
            <w:tcBorders>
              <w:top w:val="nil"/>
              <w:left w:val="single" w:color="auto" w:sz="4" w:space="0"/>
              <w:bottom w:val="single" w:color="auto" w:sz="4" w:space="0"/>
              <w:right w:val="single" w:color="auto" w:sz="4" w:space="0"/>
            </w:tcBorders>
            <w:vAlign w:val="center"/>
          </w:tcPr>
          <w:p w14:paraId="1470D15B">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2025-7</w:t>
            </w:r>
          </w:p>
        </w:tc>
        <w:tc>
          <w:tcPr>
            <w:tcW w:w="938" w:type="pct"/>
            <w:tcBorders>
              <w:top w:val="nil"/>
              <w:left w:val="nil"/>
              <w:bottom w:val="single" w:color="auto" w:sz="4" w:space="0"/>
              <w:right w:val="single" w:color="auto" w:sz="4" w:space="0"/>
            </w:tcBorders>
          </w:tcPr>
          <w:p w14:paraId="709867C9">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4" w:type="dxa"/>
            <w:tcBorders>
              <w:top w:val="nil"/>
              <w:left w:val="nil"/>
              <w:bottom w:val="single" w:color="auto" w:sz="4" w:space="0"/>
              <w:right w:val="single" w:color="auto" w:sz="4" w:space="0"/>
            </w:tcBorders>
            <w:vAlign w:val="center"/>
          </w:tcPr>
          <w:p w14:paraId="750B8ACD">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84.84</w:t>
            </w:r>
          </w:p>
        </w:tc>
      </w:tr>
      <w:tr w14:paraId="5A5DC4CB">
        <w:tblPrEx>
          <w:tblCellMar>
            <w:top w:w="0" w:type="dxa"/>
            <w:left w:w="108" w:type="dxa"/>
            <w:bottom w:w="0" w:type="dxa"/>
            <w:right w:w="108" w:type="dxa"/>
          </w:tblCellMar>
        </w:tblPrEx>
        <w:trPr>
          <w:trHeight w:val="20" w:hRule="atLeast"/>
        </w:trPr>
        <w:tc>
          <w:tcPr>
            <w:tcW w:w="1809" w:type="pct"/>
            <w:tcBorders>
              <w:top w:val="nil"/>
              <w:left w:val="single" w:color="auto" w:sz="4" w:space="0"/>
              <w:bottom w:val="single" w:color="auto" w:sz="4" w:space="0"/>
              <w:right w:val="single" w:color="auto" w:sz="4" w:space="0"/>
            </w:tcBorders>
            <w:vAlign w:val="center"/>
          </w:tcPr>
          <w:p w14:paraId="7C4CA095">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2025-8</w:t>
            </w:r>
          </w:p>
        </w:tc>
        <w:tc>
          <w:tcPr>
            <w:tcW w:w="938" w:type="pct"/>
            <w:tcBorders>
              <w:top w:val="nil"/>
              <w:left w:val="nil"/>
              <w:bottom w:val="single" w:color="auto" w:sz="4" w:space="0"/>
              <w:right w:val="single" w:color="auto" w:sz="4" w:space="0"/>
            </w:tcBorders>
          </w:tcPr>
          <w:p w14:paraId="3BDB1627">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4" w:type="dxa"/>
            <w:tcBorders>
              <w:top w:val="nil"/>
              <w:left w:val="nil"/>
              <w:bottom w:val="single" w:color="auto" w:sz="4" w:space="0"/>
              <w:right w:val="single" w:color="auto" w:sz="4" w:space="0"/>
            </w:tcBorders>
            <w:vAlign w:val="center"/>
          </w:tcPr>
          <w:p w14:paraId="231803BC">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78.87</w:t>
            </w:r>
          </w:p>
        </w:tc>
      </w:tr>
      <w:tr w14:paraId="39FE1337">
        <w:tblPrEx>
          <w:tblCellMar>
            <w:top w:w="0" w:type="dxa"/>
            <w:left w:w="108" w:type="dxa"/>
            <w:bottom w:w="0" w:type="dxa"/>
            <w:right w:w="108" w:type="dxa"/>
          </w:tblCellMar>
        </w:tblPrEx>
        <w:trPr>
          <w:trHeight w:val="20" w:hRule="atLeast"/>
        </w:trPr>
        <w:tc>
          <w:tcPr>
            <w:tcW w:w="1809" w:type="pct"/>
            <w:tcBorders>
              <w:top w:val="nil"/>
              <w:left w:val="single" w:color="auto" w:sz="4" w:space="0"/>
              <w:bottom w:val="single" w:color="auto" w:sz="4" w:space="0"/>
              <w:right w:val="single" w:color="auto" w:sz="4" w:space="0"/>
            </w:tcBorders>
            <w:vAlign w:val="center"/>
          </w:tcPr>
          <w:p w14:paraId="70DDFFA6">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2025-9</w:t>
            </w:r>
          </w:p>
        </w:tc>
        <w:tc>
          <w:tcPr>
            <w:tcW w:w="938" w:type="pct"/>
            <w:tcBorders>
              <w:top w:val="nil"/>
              <w:left w:val="nil"/>
              <w:bottom w:val="single" w:color="auto" w:sz="4" w:space="0"/>
              <w:right w:val="single" w:color="auto" w:sz="4" w:space="0"/>
            </w:tcBorders>
          </w:tcPr>
          <w:p w14:paraId="14A0A5F8">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4" w:type="dxa"/>
            <w:tcBorders>
              <w:top w:val="nil"/>
              <w:left w:val="nil"/>
              <w:bottom w:val="single" w:color="auto" w:sz="4" w:space="0"/>
              <w:right w:val="single" w:color="auto" w:sz="4" w:space="0"/>
            </w:tcBorders>
            <w:vAlign w:val="center"/>
          </w:tcPr>
          <w:p w14:paraId="41A77BF7">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78.51</w:t>
            </w:r>
          </w:p>
        </w:tc>
      </w:tr>
      <w:tr w14:paraId="69A1E1A5">
        <w:tblPrEx>
          <w:tblCellMar>
            <w:top w:w="0" w:type="dxa"/>
            <w:left w:w="108" w:type="dxa"/>
            <w:bottom w:w="0" w:type="dxa"/>
            <w:right w:w="108" w:type="dxa"/>
          </w:tblCellMar>
        </w:tblPrEx>
        <w:trPr>
          <w:trHeight w:val="20" w:hRule="atLeast"/>
        </w:trPr>
        <w:tc>
          <w:tcPr>
            <w:tcW w:w="2748" w:type="pct"/>
            <w:gridSpan w:val="2"/>
            <w:tcBorders>
              <w:top w:val="single" w:color="auto" w:sz="4" w:space="0"/>
              <w:left w:val="single" w:color="auto" w:sz="4" w:space="0"/>
              <w:bottom w:val="single" w:color="auto" w:sz="4" w:space="0"/>
              <w:right w:val="single" w:color="auto" w:sz="4" w:space="0"/>
            </w:tcBorders>
            <w:vAlign w:val="center"/>
          </w:tcPr>
          <w:p w14:paraId="187D690F">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平均月租金</w:t>
            </w:r>
          </w:p>
        </w:tc>
        <w:tc>
          <w:tcPr>
            <w:tcW w:w="4284" w:type="dxa"/>
            <w:tcBorders>
              <w:top w:val="nil"/>
              <w:left w:val="nil"/>
              <w:bottom w:val="single" w:color="auto" w:sz="4" w:space="0"/>
              <w:right w:val="single" w:color="auto" w:sz="4" w:space="0"/>
            </w:tcBorders>
            <w:vAlign w:val="center"/>
          </w:tcPr>
          <w:p w14:paraId="6B24D791">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77.74</w:t>
            </w:r>
          </w:p>
        </w:tc>
      </w:tr>
    </w:tbl>
    <w:p w14:paraId="0BBC6E81">
      <w:pPr>
        <w:pStyle w:val="278"/>
        <w:autoSpaceDE w:val="0"/>
        <w:autoSpaceDN w:val="0"/>
        <w:spacing w:before="240" w:beforeLines="100" w:line="480" w:lineRule="auto"/>
        <w:ind w:firstLine="360" w:firstLineChars="200"/>
        <w:jc w:val="both"/>
        <w:textAlignment w:val="bottom"/>
        <w:rPr>
          <w:rFonts w:ascii="Arial" w:hAnsi="Arial" w:cs="Arial"/>
          <w:color w:val="000000"/>
          <w:sz w:val="18"/>
          <w:szCs w:val="18"/>
        </w:rPr>
      </w:pPr>
      <w:r>
        <w:rPr>
          <w:rFonts w:hint="eastAsia" w:ascii="Arial" w:hAnsi="Arial" w:cs="Arial"/>
          <w:color w:val="000000"/>
          <w:sz w:val="18"/>
          <w:szCs w:val="18"/>
        </w:rPr>
        <w:t>注：上述样本小区租金包括地租、房屋折旧、家具及家电租赁费、设备折旧、维修费、保险费、物业费、管理费、利息、利润等；不含供暖费、水电费、天然气费、通信费、有线电视费、上网宽带费和租赁税费等。</w:t>
      </w:r>
    </w:p>
    <w:p w14:paraId="376BE772">
      <w:pPr>
        <w:pStyle w:val="278"/>
        <w:autoSpaceDE w:val="0"/>
        <w:autoSpaceDN w:val="0"/>
        <w:spacing w:line="480" w:lineRule="auto"/>
        <w:ind w:firstLine="420" w:firstLineChars="200"/>
        <w:jc w:val="both"/>
        <w:textAlignment w:val="bottom"/>
        <w:rPr>
          <w:rFonts w:ascii="Arial" w:hAnsi="Arial" w:cs="Arial"/>
          <w:color w:val="000000"/>
          <w:sz w:val="21"/>
          <w:szCs w:val="21"/>
        </w:rPr>
      </w:pPr>
      <w:r>
        <w:rPr>
          <w:rFonts w:hAnsi="宋体" w:cs="Arial"/>
          <w:color w:val="000000"/>
          <w:sz w:val="21"/>
          <w:szCs w:val="21"/>
        </w:rPr>
        <w:br w:type="page"/>
      </w:r>
      <w:r>
        <w:rPr>
          <w:rFonts w:hint="eastAsia" w:hAnsi="宋体" w:cs="Arial"/>
          <w:color w:val="000000"/>
          <w:sz w:val="21"/>
          <w:szCs w:val="21"/>
        </w:rPr>
        <w:t>（3）确定可比实例年平均租金水平</w:t>
      </w:r>
    </w:p>
    <w:p w14:paraId="0C0B7C8A">
      <w:pPr>
        <w:pStyle w:val="278"/>
        <w:autoSpaceDE w:val="0"/>
        <w:autoSpaceDN w:val="0"/>
        <w:spacing w:line="480" w:lineRule="auto"/>
        <w:ind w:firstLine="420" w:firstLineChars="200"/>
        <w:jc w:val="both"/>
        <w:textAlignment w:val="bottom"/>
        <w:rPr>
          <w:rFonts w:ascii="Arial" w:hAnsi="Arial" w:cs="Arial"/>
          <w:color w:val="000000"/>
          <w:sz w:val="21"/>
          <w:szCs w:val="21"/>
        </w:rPr>
      </w:pPr>
      <w:r>
        <w:rPr>
          <w:rFonts w:hint="eastAsia" w:ascii="Arial" w:hAnsi="Arial" w:cs="Arial"/>
          <w:color w:val="000000"/>
          <w:sz w:val="21"/>
          <w:szCs w:val="21"/>
        </w:rPr>
        <w:t>结合三方面数据,本次估价从评估专业人员掌握的交易实例中选取招商臻珑府、北京经开·汀塘、通泰国际公馆3 个普通住宅小区作为可比实例。</w:t>
      </w:r>
    </w:p>
    <w:p w14:paraId="3CAAA29E">
      <w:pPr>
        <w:pStyle w:val="278"/>
        <w:autoSpaceDE w:val="0"/>
        <w:autoSpaceDN w:val="0"/>
        <w:spacing w:line="480" w:lineRule="auto"/>
        <w:ind w:firstLine="420" w:firstLineChars="200"/>
        <w:jc w:val="both"/>
        <w:textAlignment w:val="bottom"/>
        <w:rPr>
          <w:rFonts w:ascii="Arial" w:hAnsi="Arial" w:cs="Arial"/>
          <w:color w:val="000000"/>
          <w:sz w:val="21"/>
          <w:szCs w:val="21"/>
        </w:rPr>
      </w:pPr>
      <w:r>
        <w:rPr>
          <w:rFonts w:hint="eastAsia" w:ascii="Arial" w:hAnsi="Arial" w:cs="Arial"/>
          <w:color w:val="000000"/>
          <w:sz w:val="21"/>
          <w:szCs w:val="21"/>
        </w:rPr>
        <w:t>经过统计分析及测算，各小区的数据来源及近一年平均租金水平分别如下：</w:t>
      </w:r>
    </w:p>
    <w:tbl>
      <w:tblPr>
        <w:tblStyle w:val="33"/>
        <w:tblW w:w="5000" w:type="pct"/>
        <w:tblInd w:w="0" w:type="dxa"/>
        <w:tblLayout w:type="autofit"/>
        <w:tblCellMar>
          <w:top w:w="0" w:type="dxa"/>
          <w:left w:w="108" w:type="dxa"/>
          <w:bottom w:w="0" w:type="dxa"/>
          <w:right w:w="108" w:type="dxa"/>
        </w:tblCellMar>
      </w:tblPr>
      <w:tblGrid>
        <w:gridCol w:w="4075"/>
        <w:gridCol w:w="1907"/>
        <w:gridCol w:w="1766"/>
        <w:gridCol w:w="1766"/>
      </w:tblGrid>
      <w:tr w14:paraId="68909FE2">
        <w:tblPrEx>
          <w:tblCellMar>
            <w:top w:w="0" w:type="dxa"/>
            <w:left w:w="108" w:type="dxa"/>
            <w:bottom w:w="0" w:type="dxa"/>
            <w:right w:w="108" w:type="dxa"/>
          </w:tblCellMar>
        </w:tblPrEx>
        <w:trPr>
          <w:trHeight w:val="440" w:hRule="atLeast"/>
        </w:trPr>
        <w:tc>
          <w:tcPr>
            <w:tcW w:w="2142" w:type="pct"/>
            <w:tcBorders>
              <w:top w:val="single" w:color="auto" w:sz="4" w:space="0"/>
              <w:left w:val="single" w:color="auto" w:sz="4" w:space="0"/>
              <w:bottom w:val="single" w:color="auto" w:sz="4" w:space="0"/>
              <w:right w:val="single" w:color="auto" w:sz="4" w:space="0"/>
            </w:tcBorders>
            <w:vAlign w:val="center"/>
          </w:tcPr>
          <w:p w14:paraId="4DCE26D2">
            <w:pPr>
              <w:widowControl/>
              <w:spacing w:line="240" w:lineRule="auto"/>
              <w:jc w:val="center"/>
              <w:textAlignment w:val="auto"/>
              <w:rPr>
                <w:rFonts w:ascii="华文细黑" w:hAnsi="华文细黑" w:eastAsia="华文细黑" w:cs="宋体"/>
                <w:color w:val="000000"/>
                <w:sz w:val="18"/>
                <w:szCs w:val="18"/>
              </w:rPr>
            </w:pPr>
            <w:r>
              <w:rPr>
                <w:rFonts w:ascii="华文细黑" w:hAnsi="华文细黑" w:eastAsia="华文细黑" w:cs="宋体"/>
                <w:color w:val="000000"/>
                <w:sz w:val="18"/>
                <w:szCs w:val="18"/>
              </w:rPr>
              <w:t>数据来源</w:t>
            </w:r>
          </w:p>
        </w:tc>
        <w:tc>
          <w:tcPr>
            <w:tcW w:w="1002" w:type="pct"/>
            <w:tcBorders>
              <w:top w:val="single" w:color="auto" w:sz="4" w:space="0"/>
              <w:left w:val="nil"/>
              <w:bottom w:val="single" w:color="auto" w:sz="4" w:space="0"/>
              <w:right w:val="single" w:color="auto" w:sz="4" w:space="0"/>
            </w:tcBorders>
            <w:vAlign w:val="center"/>
          </w:tcPr>
          <w:p w14:paraId="1903086D">
            <w:pPr>
              <w:widowControl/>
              <w:spacing w:line="240" w:lineRule="auto"/>
              <w:jc w:val="center"/>
              <w:textAlignment w:val="auto"/>
              <w:rPr>
                <w:rFonts w:ascii="华文细黑" w:hAnsi="华文细黑" w:eastAsia="华文细黑" w:cs="宋体"/>
                <w:color w:val="000000"/>
                <w:sz w:val="18"/>
                <w:szCs w:val="18"/>
              </w:rPr>
            </w:pPr>
            <w:r>
              <w:rPr>
                <w:rFonts w:hint="eastAsia" w:ascii="华文细黑" w:hAnsi="华文细黑" w:eastAsia="华文细黑" w:cs="宋体"/>
                <w:color w:val="000000"/>
                <w:sz w:val="18"/>
                <w:szCs w:val="18"/>
              </w:rPr>
              <w:t>招商臻珑府</w:t>
            </w:r>
          </w:p>
        </w:tc>
        <w:tc>
          <w:tcPr>
            <w:tcW w:w="928" w:type="pct"/>
            <w:tcBorders>
              <w:top w:val="single" w:color="auto" w:sz="4" w:space="0"/>
              <w:left w:val="nil"/>
              <w:bottom w:val="single" w:color="auto" w:sz="4" w:space="0"/>
              <w:right w:val="single" w:color="auto" w:sz="4" w:space="0"/>
            </w:tcBorders>
            <w:vAlign w:val="center"/>
          </w:tcPr>
          <w:p w14:paraId="72DB2A00">
            <w:pPr>
              <w:widowControl/>
              <w:spacing w:line="240" w:lineRule="auto"/>
              <w:jc w:val="center"/>
              <w:textAlignment w:val="auto"/>
              <w:rPr>
                <w:rFonts w:ascii="华文细黑" w:hAnsi="华文细黑" w:eastAsia="华文细黑" w:cs="宋体"/>
                <w:color w:val="000000"/>
                <w:sz w:val="18"/>
                <w:szCs w:val="18"/>
              </w:rPr>
            </w:pPr>
            <w:r>
              <w:rPr>
                <w:rFonts w:hint="eastAsia" w:ascii="华文细黑" w:hAnsi="华文细黑" w:eastAsia="华文细黑" w:cs="宋体"/>
                <w:color w:val="000000"/>
                <w:sz w:val="18"/>
                <w:szCs w:val="18"/>
              </w:rPr>
              <w:t>北京经开·汀塘</w:t>
            </w:r>
          </w:p>
        </w:tc>
        <w:tc>
          <w:tcPr>
            <w:tcW w:w="928" w:type="pct"/>
            <w:tcBorders>
              <w:top w:val="single" w:color="auto" w:sz="4" w:space="0"/>
              <w:left w:val="nil"/>
              <w:bottom w:val="single" w:color="auto" w:sz="4" w:space="0"/>
              <w:right w:val="single" w:color="auto" w:sz="4" w:space="0"/>
            </w:tcBorders>
            <w:vAlign w:val="center"/>
          </w:tcPr>
          <w:p w14:paraId="50DD6632">
            <w:pPr>
              <w:widowControl/>
              <w:spacing w:line="240" w:lineRule="auto"/>
              <w:jc w:val="center"/>
              <w:textAlignment w:val="auto"/>
              <w:rPr>
                <w:rFonts w:ascii="华文细黑" w:hAnsi="华文细黑" w:eastAsia="华文细黑" w:cs="宋体"/>
                <w:color w:val="000000"/>
                <w:sz w:val="18"/>
                <w:szCs w:val="18"/>
              </w:rPr>
            </w:pPr>
            <w:r>
              <w:rPr>
                <w:rFonts w:hint="eastAsia" w:ascii="华文细黑" w:hAnsi="华文细黑" w:eastAsia="华文细黑" w:cs="宋体"/>
                <w:color w:val="000000"/>
                <w:sz w:val="18"/>
                <w:szCs w:val="18"/>
              </w:rPr>
              <w:t>通泰国际公馆</w:t>
            </w:r>
          </w:p>
        </w:tc>
      </w:tr>
      <w:tr w14:paraId="6F580328">
        <w:tblPrEx>
          <w:tblCellMar>
            <w:top w:w="0" w:type="dxa"/>
            <w:left w:w="108" w:type="dxa"/>
            <w:bottom w:w="0" w:type="dxa"/>
            <w:right w:w="108" w:type="dxa"/>
          </w:tblCellMar>
        </w:tblPrEx>
        <w:trPr>
          <w:trHeight w:val="480" w:hRule="atLeast"/>
        </w:trPr>
        <w:tc>
          <w:tcPr>
            <w:tcW w:w="2142" w:type="pct"/>
            <w:tcBorders>
              <w:top w:val="nil"/>
              <w:left w:val="single" w:color="auto" w:sz="4" w:space="0"/>
              <w:bottom w:val="single" w:color="auto" w:sz="4" w:space="0"/>
              <w:right w:val="single" w:color="auto" w:sz="4" w:space="0"/>
            </w:tcBorders>
            <w:vAlign w:val="center"/>
          </w:tcPr>
          <w:p w14:paraId="3E6B1961">
            <w:pPr>
              <w:widowControl/>
              <w:spacing w:line="240" w:lineRule="auto"/>
              <w:jc w:val="center"/>
              <w:textAlignment w:val="auto"/>
              <w:rPr>
                <w:rFonts w:ascii="华文细黑" w:hAnsi="华文细黑" w:eastAsia="华文细黑" w:cs="宋体"/>
                <w:color w:val="000000"/>
                <w:sz w:val="18"/>
                <w:szCs w:val="18"/>
              </w:rPr>
            </w:pPr>
            <w:r>
              <w:rPr>
                <w:rFonts w:ascii="华文细黑" w:hAnsi="华文细黑" w:eastAsia="华文细黑" w:cs="宋体"/>
                <w:color w:val="000000"/>
                <w:sz w:val="18"/>
                <w:szCs w:val="18"/>
              </w:rPr>
              <w:t>估价机构样本数据</w:t>
            </w:r>
          </w:p>
        </w:tc>
        <w:tc>
          <w:tcPr>
            <w:tcW w:w="1002" w:type="pct"/>
            <w:tcBorders>
              <w:top w:val="nil"/>
              <w:left w:val="nil"/>
              <w:bottom w:val="single" w:color="auto" w:sz="4" w:space="0"/>
              <w:right w:val="single" w:color="auto" w:sz="4" w:space="0"/>
            </w:tcBorders>
            <w:vAlign w:val="center"/>
          </w:tcPr>
          <w:p w14:paraId="12B2F2C3">
            <w:pPr>
              <w:widowControl/>
              <w:spacing w:line="240" w:lineRule="auto"/>
              <w:jc w:val="center"/>
              <w:textAlignment w:val="auto"/>
              <w:rPr>
                <w:rFonts w:ascii="华文细黑" w:hAnsi="华文细黑" w:eastAsia="华文细黑" w:cs="宋体"/>
                <w:color w:val="000000"/>
                <w:sz w:val="18"/>
                <w:szCs w:val="18"/>
              </w:rPr>
            </w:pPr>
            <w:r>
              <w:rPr>
                <w:rFonts w:hint="eastAsia" w:ascii="华文细黑" w:hAnsi="华文细黑" w:eastAsia="华文细黑" w:cs="宋体"/>
                <w:color w:val="000000"/>
                <w:sz w:val="18"/>
                <w:szCs w:val="18"/>
              </w:rPr>
              <w:t>82.55</w:t>
            </w:r>
          </w:p>
        </w:tc>
        <w:tc>
          <w:tcPr>
            <w:tcW w:w="928" w:type="pct"/>
            <w:tcBorders>
              <w:top w:val="nil"/>
              <w:left w:val="nil"/>
              <w:bottom w:val="single" w:color="auto" w:sz="4" w:space="0"/>
              <w:right w:val="single" w:color="auto" w:sz="4" w:space="0"/>
            </w:tcBorders>
            <w:vAlign w:val="center"/>
          </w:tcPr>
          <w:p w14:paraId="726CA24C">
            <w:pPr>
              <w:widowControl/>
              <w:spacing w:line="240" w:lineRule="auto"/>
              <w:jc w:val="center"/>
              <w:textAlignment w:val="auto"/>
              <w:rPr>
                <w:rFonts w:ascii="华文细黑" w:hAnsi="华文细黑" w:eastAsia="华文细黑" w:cs="宋体"/>
                <w:color w:val="000000"/>
                <w:sz w:val="18"/>
                <w:szCs w:val="18"/>
              </w:rPr>
            </w:pPr>
            <w:r>
              <w:rPr>
                <w:rFonts w:hint="eastAsia" w:ascii="华文细黑" w:hAnsi="华文细黑" w:eastAsia="华文细黑" w:cs="宋体"/>
                <w:color w:val="000000"/>
                <w:sz w:val="18"/>
                <w:szCs w:val="18"/>
              </w:rPr>
              <w:t>84.0</w:t>
            </w:r>
            <w:r>
              <w:rPr>
                <w:rFonts w:ascii="华文细黑" w:hAnsi="华文细黑" w:eastAsia="华文细黑" w:cs="宋体"/>
                <w:color w:val="000000"/>
                <w:sz w:val="18"/>
                <w:szCs w:val="18"/>
              </w:rPr>
              <w:t>0</w:t>
            </w:r>
          </w:p>
        </w:tc>
        <w:tc>
          <w:tcPr>
            <w:tcW w:w="928" w:type="pct"/>
            <w:tcBorders>
              <w:top w:val="nil"/>
              <w:left w:val="nil"/>
              <w:bottom w:val="single" w:color="auto" w:sz="4" w:space="0"/>
              <w:right w:val="single" w:color="auto" w:sz="4" w:space="0"/>
            </w:tcBorders>
            <w:vAlign w:val="center"/>
          </w:tcPr>
          <w:p w14:paraId="15896B0A">
            <w:pPr>
              <w:widowControl/>
              <w:spacing w:line="240" w:lineRule="auto"/>
              <w:jc w:val="center"/>
              <w:textAlignment w:val="auto"/>
              <w:rPr>
                <w:rFonts w:ascii="华文细黑" w:hAnsi="华文细黑" w:eastAsia="华文细黑" w:cs="宋体"/>
                <w:color w:val="000000"/>
                <w:sz w:val="18"/>
                <w:szCs w:val="18"/>
              </w:rPr>
            </w:pPr>
            <w:r>
              <w:rPr>
                <w:rFonts w:hint="eastAsia" w:ascii="华文细黑" w:hAnsi="华文细黑" w:eastAsia="华文细黑" w:cs="宋体"/>
                <w:color w:val="000000"/>
                <w:sz w:val="18"/>
                <w:szCs w:val="18"/>
              </w:rPr>
              <w:t>84.91</w:t>
            </w:r>
          </w:p>
        </w:tc>
      </w:tr>
      <w:tr w14:paraId="62EE159E">
        <w:tblPrEx>
          <w:tblCellMar>
            <w:top w:w="0" w:type="dxa"/>
            <w:left w:w="108" w:type="dxa"/>
            <w:bottom w:w="0" w:type="dxa"/>
            <w:right w:w="108" w:type="dxa"/>
          </w:tblCellMar>
        </w:tblPrEx>
        <w:trPr>
          <w:trHeight w:val="480" w:hRule="atLeast"/>
        </w:trPr>
        <w:tc>
          <w:tcPr>
            <w:tcW w:w="2142" w:type="pct"/>
            <w:tcBorders>
              <w:top w:val="nil"/>
              <w:left w:val="single" w:color="auto" w:sz="4" w:space="0"/>
              <w:bottom w:val="single" w:color="auto" w:sz="4" w:space="0"/>
              <w:right w:val="single" w:color="auto" w:sz="4" w:space="0"/>
            </w:tcBorders>
            <w:vAlign w:val="center"/>
          </w:tcPr>
          <w:p w14:paraId="0D855B3B">
            <w:pPr>
              <w:widowControl/>
              <w:spacing w:line="240" w:lineRule="auto"/>
              <w:jc w:val="center"/>
              <w:textAlignment w:val="auto"/>
              <w:rPr>
                <w:rFonts w:ascii="华文细黑" w:hAnsi="华文细黑" w:eastAsia="华文细黑" w:cs="宋体"/>
                <w:color w:val="000000"/>
                <w:sz w:val="18"/>
                <w:szCs w:val="18"/>
              </w:rPr>
            </w:pPr>
            <w:r>
              <w:rPr>
                <w:rFonts w:ascii="华文细黑" w:hAnsi="华文细黑" w:eastAsia="华文细黑" w:cs="宋体"/>
                <w:color w:val="000000"/>
                <w:sz w:val="18"/>
                <w:szCs w:val="18"/>
              </w:rPr>
              <w:t>市场调查数据</w:t>
            </w:r>
          </w:p>
        </w:tc>
        <w:tc>
          <w:tcPr>
            <w:tcW w:w="1002" w:type="pct"/>
            <w:tcBorders>
              <w:top w:val="nil"/>
              <w:left w:val="nil"/>
              <w:bottom w:val="single" w:color="auto" w:sz="4" w:space="0"/>
              <w:right w:val="single" w:color="auto" w:sz="4" w:space="0"/>
            </w:tcBorders>
            <w:vAlign w:val="center"/>
          </w:tcPr>
          <w:p w14:paraId="419DDFDC">
            <w:pPr>
              <w:widowControl/>
              <w:spacing w:line="240" w:lineRule="auto"/>
              <w:jc w:val="center"/>
              <w:textAlignment w:val="auto"/>
              <w:rPr>
                <w:rFonts w:ascii="华文细黑" w:hAnsi="华文细黑" w:eastAsia="华文细黑" w:cs="宋体"/>
                <w:color w:val="000000"/>
                <w:sz w:val="18"/>
                <w:szCs w:val="18"/>
              </w:rPr>
            </w:pPr>
            <w:r>
              <w:rPr>
                <w:rFonts w:hint="eastAsia" w:ascii="华文细黑" w:hAnsi="华文细黑" w:eastAsia="华文细黑" w:cs="宋体"/>
                <w:color w:val="000000"/>
                <w:sz w:val="18"/>
                <w:szCs w:val="18"/>
              </w:rPr>
              <w:t>79.17</w:t>
            </w:r>
          </w:p>
        </w:tc>
        <w:tc>
          <w:tcPr>
            <w:tcW w:w="928" w:type="pct"/>
            <w:tcBorders>
              <w:top w:val="nil"/>
              <w:left w:val="nil"/>
              <w:bottom w:val="single" w:color="auto" w:sz="4" w:space="0"/>
              <w:right w:val="single" w:color="auto" w:sz="4" w:space="0"/>
            </w:tcBorders>
            <w:vAlign w:val="center"/>
          </w:tcPr>
          <w:p w14:paraId="24FA5750">
            <w:pPr>
              <w:widowControl/>
              <w:spacing w:line="240" w:lineRule="auto"/>
              <w:jc w:val="center"/>
              <w:textAlignment w:val="auto"/>
              <w:rPr>
                <w:rFonts w:ascii="华文细黑" w:hAnsi="华文细黑" w:eastAsia="华文细黑" w:cs="宋体"/>
                <w:color w:val="000000"/>
                <w:sz w:val="18"/>
                <w:szCs w:val="18"/>
              </w:rPr>
            </w:pPr>
            <w:r>
              <w:rPr>
                <w:rFonts w:hint="eastAsia" w:ascii="华文细黑" w:hAnsi="华文细黑" w:eastAsia="华文细黑" w:cs="宋体"/>
                <w:color w:val="000000"/>
                <w:sz w:val="18"/>
                <w:szCs w:val="18"/>
              </w:rPr>
              <w:t>74.29</w:t>
            </w:r>
          </w:p>
        </w:tc>
        <w:tc>
          <w:tcPr>
            <w:tcW w:w="928" w:type="pct"/>
            <w:tcBorders>
              <w:top w:val="nil"/>
              <w:left w:val="nil"/>
              <w:bottom w:val="single" w:color="auto" w:sz="4" w:space="0"/>
              <w:right w:val="single" w:color="auto" w:sz="4" w:space="0"/>
            </w:tcBorders>
            <w:vAlign w:val="center"/>
          </w:tcPr>
          <w:p w14:paraId="171B5DDB">
            <w:pPr>
              <w:widowControl/>
              <w:spacing w:line="240" w:lineRule="auto"/>
              <w:jc w:val="center"/>
              <w:textAlignment w:val="auto"/>
              <w:rPr>
                <w:rFonts w:ascii="华文细黑" w:hAnsi="华文细黑" w:eastAsia="华文细黑" w:cs="宋体"/>
                <w:color w:val="000000"/>
                <w:sz w:val="18"/>
                <w:szCs w:val="18"/>
              </w:rPr>
            </w:pPr>
            <w:r>
              <w:rPr>
                <w:rFonts w:hint="eastAsia" w:ascii="华文细黑" w:hAnsi="华文细黑" w:eastAsia="华文细黑" w:cs="宋体"/>
                <w:color w:val="000000"/>
                <w:sz w:val="18"/>
                <w:szCs w:val="18"/>
              </w:rPr>
              <w:t>74.66</w:t>
            </w:r>
          </w:p>
        </w:tc>
      </w:tr>
      <w:tr w14:paraId="705E1E52">
        <w:tblPrEx>
          <w:tblCellMar>
            <w:top w:w="0" w:type="dxa"/>
            <w:left w:w="108" w:type="dxa"/>
            <w:bottom w:w="0" w:type="dxa"/>
            <w:right w:w="108" w:type="dxa"/>
          </w:tblCellMar>
        </w:tblPrEx>
        <w:trPr>
          <w:trHeight w:val="480" w:hRule="atLeast"/>
        </w:trPr>
        <w:tc>
          <w:tcPr>
            <w:tcW w:w="2142" w:type="pct"/>
            <w:tcBorders>
              <w:top w:val="nil"/>
              <w:left w:val="single" w:color="auto" w:sz="4" w:space="0"/>
              <w:bottom w:val="single" w:color="auto" w:sz="4" w:space="0"/>
              <w:right w:val="single" w:color="auto" w:sz="4" w:space="0"/>
            </w:tcBorders>
            <w:vAlign w:val="center"/>
          </w:tcPr>
          <w:p w14:paraId="5CAEAA3C">
            <w:pPr>
              <w:widowControl/>
              <w:spacing w:line="240" w:lineRule="auto"/>
              <w:jc w:val="center"/>
              <w:textAlignment w:val="auto"/>
              <w:rPr>
                <w:rFonts w:ascii="华文细黑" w:hAnsi="华文细黑" w:eastAsia="华文细黑" w:cs="宋体"/>
                <w:color w:val="000000"/>
                <w:sz w:val="18"/>
                <w:szCs w:val="18"/>
              </w:rPr>
            </w:pPr>
            <w:r>
              <w:rPr>
                <w:rFonts w:ascii="华文细黑" w:hAnsi="华文细黑" w:eastAsia="华文细黑" w:cs="宋体"/>
                <w:color w:val="000000"/>
                <w:sz w:val="18"/>
                <w:szCs w:val="18"/>
              </w:rPr>
              <w:t>北京市房地产市场管理事务中心样本数据</w:t>
            </w:r>
          </w:p>
        </w:tc>
        <w:tc>
          <w:tcPr>
            <w:tcW w:w="1002" w:type="pct"/>
            <w:tcBorders>
              <w:top w:val="nil"/>
              <w:left w:val="nil"/>
              <w:bottom w:val="single" w:color="auto" w:sz="4" w:space="0"/>
              <w:right w:val="single" w:color="auto" w:sz="4" w:space="0"/>
            </w:tcBorders>
            <w:vAlign w:val="center"/>
          </w:tcPr>
          <w:p w14:paraId="681D9181">
            <w:pPr>
              <w:widowControl/>
              <w:spacing w:line="240" w:lineRule="auto"/>
              <w:jc w:val="center"/>
              <w:textAlignment w:val="auto"/>
              <w:rPr>
                <w:rFonts w:ascii="华文细黑" w:hAnsi="华文细黑" w:eastAsia="华文细黑" w:cs="宋体"/>
                <w:color w:val="000000"/>
                <w:sz w:val="18"/>
                <w:szCs w:val="18"/>
              </w:rPr>
            </w:pPr>
            <w:r>
              <w:rPr>
                <w:rFonts w:hint="eastAsia" w:ascii="华文细黑" w:hAnsi="华文细黑" w:eastAsia="华文细黑" w:cs="宋体"/>
                <w:color w:val="000000"/>
                <w:sz w:val="18"/>
                <w:szCs w:val="18"/>
              </w:rPr>
              <w:t>79.54</w:t>
            </w:r>
          </w:p>
        </w:tc>
        <w:tc>
          <w:tcPr>
            <w:tcW w:w="928" w:type="pct"/>
            <w:tcBorders>
              <w:top w:val="nil"/>
              <w:left w:val="nil"/>
              <w:bottom w:val="single" w:color="auto" w:sz="4" w:space="0"/>
              <w:right w:val="single" w:color="auto" w:sz="4" w:space="0"/>
            </w:tcBorders>
            <w:vAlign w:val="center"/>
          </w:tcPr>
          <w:p w14:paraId="42A55827">
            <w:pPr>
              <w:widowControl/>
              <w:spacing w:line="240" w:lineRule="auto"/>
              <w:jc w:val="center"/>
              <w:textAlignment w:val="auto"/>
              <w:rPr>
                <w:rFonts w:ascii="华文细黑" w:hAnsi="华文细黑" w:eastAsia="华文细黑" w:cs="宋体"/>
                <w:color w:val="000000"/>
                <w:sz w:val="18"/>
                <w:szCs w:val="18"/>
              </w:rPr>
            </w:pPr>
            <w:r>
              <w:rPr>
                <w:rFonts w:hint="eastAsia" w:ascii="华文细黑" w:hAnsi="华文细黑" w:eastAsia="华文细黑" w:cs="宋体"/>
                <w:color w:val="000000"/>
                <w:sz w:val="18"/>
                <w:szCs w:val="18"/>
              </w:rPr>
              <w:t>72.27</w:t>
            </w:r>
          </w:p>
        </w:tc>
        <w:tc>
          <w:tcPr>
            <w:tcW w:w="928" w:type="pct"/>
            <w:tcBorders>
              <w:top w:val="nil"/>
              <w:left w:val="nil"/>
              <w:bottom w:val="single" w:color="auto" w:sz="4" w:space="0"/>
              <w:right w:val="single" w:color="auto" w:sz="4" w:space="0"/>
            </w:tcBorders>
            <w:vAlign w:val="center"/>
          </w:tcPr>
          <w:p w14:paraId="09E4CC46">
            <w:pPr>
              <w:widowControl/>
              <w:spacing w:line="240" w:lineRule="auto"/>
              <w:jc w:val="center"/>
              <w:textAlignment w:val="auto"/>
              <w:rPr>
                <w:rFonts w:ascii="华文细黑" w:hAnsi="华文细黑" w:eastAsia="华文细黑" w:cs="宋体"/>
                <w:color w:val="000000"/>
                <w:sz w:val="18"/>
                <w:szCs w:val="18"/>
              </w:rPr>
            </w:pPr>
            <w:r>
              <w:rPr>
                <w:rFonts w:hint="eastAsia" w:ascii="华文细黑" w:hAnsi="华文细黑" w:eastAsia="华文细黑" w:cs="宋体"/>
                <w:color w:val="000000"/>
                <w:sz w:val="18"/>
                <w:szCs w:val="18"/>
              </w:rPr>
              <w:t>77.74</w:t>
            </w:r>
          </w:p>
        </w:tc>
      </w:tr>
      <w:tr w14:paraId="474E9BE2">
        <w:tblPrEx>
          <w:tblCellMar>
            <w:top w:w="0" w:type="dxa"/>
            <w:left w:w="108" w:type="dxa"/>
            <w:bottom w:w="0" w:type="dxa"/>
            <w:right w:w="108" w:type="dxa"/>
          </w:tblCellMar>
        </w:tblPrEx>
        <w:trPr>
          <w:trHeight w:val="467" w:hRule="atLeast"/>
        </w:trPr>
        <w:tc>
          <w:tcPr>
            <w:tcW w:w="2142" w:type="pct"/>
            <w:tcBorders>
              <w:top w:val="nil"/>
              <w:left w:val="single" w:color="auto" w:sz="4" w:space="0"/>
              <w:bottom w:val="single" w:color="auto" w:sz="4" w:space="0"/>
              <w:right w:val="single" w:color="auto" w:sz="4" w:space="0"/>
            </w:tcBorders>
            <w:vAlign w:val="center"/>
          </w:tcPr>
          <w:p w14:paraId="33A4BA15">
            <w:pPr>
              <w:widowControl/>
              <w:spacing w:line="240" w:lineRule="auto"/>
              <w:jc w:val="center"/>
              <w:textAlignment w:val="auto"/>
              <w:rPr>
                <w:rFonts w:ascii="华文细黑" w:hAnsi="华文细黑" w:eastAsia="华文细黑" w:cs="宋体"/>
                <w:color w:val="000000"/>
                <w:sz w:val="18"/>
                <w:szCs w:val="18"/>
              </w:rPr>
            </w:pPr>
            <w:r>
              <w:rPr>
                <w:rFonts w:ascii="华文细黑" w:hAnsi="华文细黑" w:eastAsia="华文细黑" w:cs="宋体"/>
                <w:color w:val="000000"/>
                <w:sz w:val="18"/>
                <w:szCs w:val="18"/>
              </w:rPr>
              <w:t>平均价</w:t>
            </w:r>
          </w:p>
        </w:tc>
        <w:tc>
          <w:tcPr>
            <w:tcW w:w="1002" w:type="pct"/>
            <w:tcBorders>
              <w:top w:val="nil"/>
              <w:left w:val="nil"/>
              <w:bottom w:val="single" w:color="auto" w:sz="4" w:space="0"/>
              <w:right w:val="single" w:color="auto" w:sz="4" w:space="0"/>
            </w:tcBorders>
            <w:vAlign w:val="center"/>
          </w:tcPr>
          <w:p w14:paraId="7F0B571D">
            <w:pPr>
              <w:widowControl/>
              <w:spacing w:line="240" w:lineRule="auto"/>
              <w:jc w:val="center"/>
              <w:textAlignment w:val="auto"/>
              <w:rPr>
                <w:rFonts w:ascii="华文细黑" w:hAnsi="华文细黑" w:eastAsia="华文细黑" w:cs="宋体"/>
                <w:color w:val="000000"/>
                <w:sz w:val="18"/>
                <w:szCs w:val="18"/>
              </w:rPr>
            </w:pPr>
            <w:r>
              <w:rPr>
                <w:rFonts w:hint="eastAsia" w:ascii="华文细黑" w:hAnsi="华文细黑" w:eastAsia="华文细黑" w:cs="宋体"/>
                <w:color w:val="000000"/>
                <w:sz w:val="18"/>
                <w:szCs w:val="18"/>
              </w:rPr>
              <w:t>80.42</w:t>
            </w:r>
          </w:p>
        </w:tc>
        <w:tc>
          <w:tcPr>
            <w:tcW w:w="928" w:type="pct"/>
            <w:tcBorders>
              <w:top w:val="nil"/>
              <w:left w:val="nil"/>
              <w:bottom w:val="single" w:color="auto" w:sz="4" w:space="0"/>
              <w:right w:val="single" w:color="auto" w:sz="4" w:space="0"/>
            </w:tcBorders>
            <w:vAlign w:val="center"/>
          </w:tcPr>
          <w:p w14:paraId="5F0F207F">
            <w:pPr>
              <w:widowControl/>
              <w:spacing w:line="240" w:lineRule="auto"/>
              <w:jc w:val="center"/>
              <w:textAlignment w:val="auto"/>
              <w:rPr>
                <w:rFonts w:ascii="华文细黑" w:hAnsi="华文细黑" w:eastAsia="华文细黑" w:cs="宋体"/>
                <w:color w:val="000000"/>
                <w:sz w:val="18"/>
                <w:szCs w:val="18"/>
              </w:rPr>
            </w:pPr>
            <w:r>
              <w:rPr>
                <w:rFonts w:hint="eastAsia" w:ascii="华文细黑" w:hAnsi="华文细黑" w:eastAsia="华文细黑" w:cs="宋体"/>
                <w:color w:val="000000"/>
                <w:sz w:val="18"/>
                <w:szCs w:val="18"/>
              </w:rPr>
              <w:t>76.85</w:t>
            </w:r>
          </w:p>
        </w:tc>
        <w:tc>
          <w:tcPr>
            <w:tcW w:w="928" w:type="pct"/>
            <w:tcBorders>
              <w:top w:val="nil"/>
              <w:left w:val="nil"/>
              <w:bottom w:val="single" w:color="auto" w:sz="4" w:space="0"/>
              <w:right w:val="single" w:color="auto" w:sz="4" w:space="0"/>
            </w:tcBorders>
            <w:vAlign w:val="center"/>
          </w:tcPr>
          <w:p w14:paraId="128F773C">
            <w:pPr>
              <w:widowControl/>
              <w:spacing w:line="240" w:lineRule="auto"/>
              <w:jc w:val="center"/>
              <w:textAlignment w:val="auto"/>
              <w:rPr>
                <w:rFonts w:ascii="华文细黑" w:hAnsi="华文细黑" w:eastAsia="华文细黑" w:cs="宋体"/>
                <w:color w:val="000000"/>
                <w:sz w:val="18"/>
                <w:szCs w:val="18"/>
              </w:rPr>
            </w:pPr>
            <w:r>
              <w:rPr>
                <w:rFonts w:hint="eastAsia" w:ascii="华文细黑" w:hAnsi="华文细黑" w:eastAsia="华文细黑" w:cs="宋体"/>
                <w:color w:val="000000"/>
                <w:sz w:val="18"/>
                <w:szCs w:val="18"/>
              </w:rPr>
              <w:t>79.10</w:t>
            </w:r>
          </w:p>
        </w:tc>
      </w:tr>
    </w:tbl>
    <w:p w14:paraId="16405A66">
      <w:pPr>
        <w:spacing w:before="22"/>
        <w:ind w:right="370"/>
        <w:rPr>
          <w:sz w:val="18"/>
        </w:rPr>
      </w:pPr>
      <w:r>
        <w:rPr>
          <w:rFonts w:hint="eastAsia"/>
          <w:sz w:val="18"/>
        </w:rPr>
        <w:t>单位：元</w:t>
      </w:r>
      <w:r>
        <w:rPr>
          <w:rFonts w:eastAsia="Times New Roman"/>
          <w:sz w:val="18"/>
        </w:rPr>
        <w:t>/</w:t>
      </w:r>
      <w:r>
        <w:rPr>
          <w:rFonts w:hint="eastAsia"/>
          <w:sz w:val="18"/>
        </w:rPr>
        <w:t>平方米</w:t>
      </w:r>
      <w:r>
        <w:rPr>
          <w:rFonts w:eastAsia="Times New Roman"/>
          <w:sz w:val="18"/>
        </w:rPr>
        <w:t>·</w:t>
      </w:r>
      <w:r>
        <w:rPr>
          <w:rFonts w:hint="eastAsia"/>
          <w:sz w:val="18"/>
        </w:rPr>
        <w:t>月</w:t>
      </w:r>
    </w:p>
    <w:p w14:paraId="7EEFBB4C">
      <w:pPr>
        <w:spacing w:before="22"/>
        <w:ind w:right="370"/>
        <w:rPr>
          <w:sz w:val="18"/>
        </w:rPr>
      </w:pPr>
    </w:p>
    <w:p w14:paraId="77D0A208">
      <w:pPr>
        <w:pStyle w:val="278"/>
        <w:autoSpaceDE w:val="0"/>
        <w:autoSpaceDN w:val="0"/>
        <w:spacing w:line="480" w:lineRule="auto"/>
        <w:ind w:firstLine="420" w:firstLineChars="200"/>
        <w:jc w:val="both"/>
        <w:textAlignment w:val="bottom"/>
        <w:rPr>
          <w:rFonts w:ascii="Arial" w:hAnsi="Arial" w:cs="Arial"/>
          <w:color w:val="000000"/>
          <w:sz w:val="21"/>
          <w:szCs w:val="21"/>
        </w:rPr>
      </w:pPr>
      <w:r>
        <w:rPr>
          <w:rFonts w:hint="eastAsia" w:ascii="Arial" w:hAnsi="Arial" w:cs="Arial"/>
          <w:color w:val="000000"/>
          <w:sz w:val="21"/>
          <w:szCs w:val="21"/>
        </w:rPr>
        <w:t>招商臻珑府平均租金=（82.55+79.17+79.54）÷3=80.42（元/平方米•月） ；</w:t>
      </w:r>
    </w:p>
    <w:p w14:paraId="7CE0A726">
      <w:pPr>
        <w:pStyle w:val="278"/>
        <w:autoSpaceDE w:val="0"/>
        <w:autoSpaceDN w:val="0"/>
        <w:spacing w:line="480" w:lineRule="auto"/>
        <w:ind w:firstLine="420" w:firstLineChars="200"/>
        <w:jc w:val="both"/>
        <w:textAlignment w:val="bottom"/>
        <w:rPr>
          <w:rFonts w:ascii="Arial" w:hAnsi="Arial" w:cs="Arial"/>
          <w:color w:val="000000"/>
          <w:sz w:val="21"/>
          <w:szCs w:val="21"/>
        </w:rPr>
      </w:pPr>
      <w:r>
        <w:rPr>
          <w:rFonts w:hint="eastAsia" w:ascii="Arial" w:hAnsi="Arial" w:cs="Arial"/>
          <w:color w:val="000000"/>
          <w:sz w:val="21"/>
          <w:szCs w:val="21"/>
        </w:rPr>
        <w:t>北京经开·汀塘平均租金=（84.00+74.29+72.27）÷3=76.85（元/平方米•月） ；</w:t>
      </w:r>
    </w:p>
    <w:p w14:paraId="6D982653">
      <w:pPr>
        <w:pStyle w:val="278"/>
        <w:autoSpaceDE w:val="0"/>
        <w:autoSpaceDN w:val="0"/>
        <w:spacing w:line="480" w:lineRule="auto"/>
        <w:ind w:firstLine="420" w:firstLineChars="200"/>
        <w:jc w:val="both"/>
        <w:textAlignment w:val="bottom"/>
        <w:rPr>
          <w:rFonts w:ascii="Arial" w:hAnsi="Arial" w:cs="Arial"/>
          <w:color w:val="000000"/>
          <w:sz w:val="21"/>
          <w:szCs w:val="21"/>
        </w:rPr>
      </w:pPr>
      <w:r>
        <w:rPr>
          <w:rFonts w:hint="eastAsia" w:ascii="Arial" w:hAnsi="Arial" w:cs="Arial"/>
          <w:color w:val="000000"/>
          <w:sz w:val="21"/>
          <w:szCs w:val="21"/>
        </w:rPr>
        <w:t>通泰国际公馆平均租金=（84.91+74.66+77.74）÷3=79.10（元/平方米•月）；</w:t>
      </w:r>
    </w:p>
    <w:p w14:paraId="6B554E3E">
      <w:pPr>
        <w:spacing w:before="22"/>
        <w:ind w:right="370"/>
        <w:jc w:val="center"/>
        <w:rPr>
          <w:rFonts w:ascii="Arial" w:hAnsi="Arial" w:cs="Arial"/>
          <w:color w:val="000000"/>
          <w:sz w:val="21"/>
          <w:szCs w:val="21"/>
        </w:rPr>
      </w:pPr>
      <w:r>
        <w:rPr>
          <w:rFonts w:hint="eastAsia" w:ascii="Arial" w:hAnsi="Arial" w:cs="Arial"/>
          <w:color w:val="000000"/>
          <w:sz w:val="21"/>
          <w:szCs w:val="21"/>
        </w:rPr>
        <w:t>可比实例外观照片</w:t>
      </w:r>
    </w:p>
    <w:p w14:paraId="6CAD9DC0">
      <w:pPr>
        <w:pStyle w:val="11"/>
        <w:spacing w:before="4"/>
        <w:ind w:firstLine="840" w:firstLineChars="400"/>
        <w:rPr>
          <w:rFonts w:ascii="Arial" w:hAnsi="Arial" w:eastAsia="宋体" w:cs="Arial"/>
          <w:color w:val="000000"/>
          <w:sz w:val="21"/>
          <w:szCs w:val="21"/>
        </w:rPr>
      </w:pPr>
      <w:r>
        <w:rPr>
          <w:rFonts w:hint="eastAsia" w:ascii="Arial" w:hAnsi="Arial" w:eastAsia="宋体" w:cs="Arial"/>
          <w:color w:val="000000"/>
          <w:sz w:val="21"/>
          <w:szCs w:val="21"/>
        </w:rPr>
        <w:t xml:space="preserve">招商臻珑府                  </w:t>
      </w:r>
      <w:r>
        <w:rPr>
          <w:rFonts w:ascii="Arial" w:hAnsi="Arial" w:eastAsia="宋体" w:cs="Arial"/>
          <w:color w:val="000000"/>
          <w:sz w:val="21"/>
          <w:szCs w:val="21"/>
        </w:rPr>
        <w:t xml:space="preserve">      </w:t>
      </w:r>
      <w:r>
        <w:rPr>
          <w:rFonts w:hint="eastAsia" w:ascii="Arial" w:hAnsi="Arial" w:eastAsia="宋体" w:cs="Arial"/>
          <w:color w:val="000000"/>
          <w:sz w:val="21"/>
          <w:szCs w:val="21"/>
        </w:rPr>
        <w:t xml:space="preserve">         北京经开·汀塘                            通泰国际公馆</w:t>
      </w:r>
    </w:p>
    <w:p w14:paraId="12AC32FF">
      <w:pPr>
        <w:pStyle w:val="11"/>
        <w:spacing w:before="4"/>
        <w:ind w:left="520" w:hanging="520" w:hangingChars="100"/>
        <w:rPr>
          <w:rFonts w:ascii="Arial" w:hAnsi="Arial" w:eastAsia="宋体" w:cs="Arial"/>
          <w:color w:val="000000"/>
          <w:sz w:val="21"/>
          <w:szCs w:val="21"/>
        </w:rPr>
      </w:pPr>
      <w:r>
        <w:drawing>
          <wp:inline distT="0" distB="0" distL="114300" distR="114300">
            <wp:extent cx="1647825" cy="2058035"/>
            <wp:effectExtent l="0" t="0" r="13335" b="14605"/>
            <wp:docPr id="3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2"/>
                    <pic:cNvPicPr>
                      <a:picLocks noChangeAspect="1"/>
                    </pic:cNvPicPr>
                  </pic:nvPicPr>
                  <pic:blipFill>
                    <a:blip r:embed="rId47"/>
                    <a:stretch>
                      <a:fillRect/>
                    </a:stretch>
                  </pic:blipFill>
                  <pic:spPr>
                    <a:xfrm>
                      <a:off x="0" y="0"/>
                      <a:ext cx="1647825" cy="2058035"/>
                    </a:xfrm>
                    <a:prstGeom prst="rect">
                      <a:avLst/>
                    </a:prstGeom>
                    <a:noFill/>
                    <a:ln>
                      <a:noFill/>
                    </a:ln>
                  </pic:spPr>
                </pic:pic>
              </a:graphicData>
            </a:graphic>
          </wp:inline>
        </w:drawing>
      </w:r>
      <w:r>
        <w:rPr>
          <w:rFonts w:hint="eastAsia"/>
        </w:rPr>
        <w:t xml:space="preserve">     </w:t>
      </w:r>
      <w:r>
        <w:drawing>
          <wp:inline distT="0" distB="0" distL="0" distR="0">
            <wp:extent cx="1579880" cy="2087880"/>
            <wp:effectExtent l="0" t="0" r="5080" b="0"/>
            <wp:docPr id="1705597143" name="图片 1"/>
            <wp:cNvGraphicFramePr/>
            <a:graphic xmlns:a="http://schemas.openxmlformats.org/drawingml/2006/main">
              <a:graphicData uri="http://schemas.openxmlformats.org/drawingml/2006/picture">
                <pic:pic xmlns:pic="http://schemas.openxmlformats.org/drawingml/2006/picture">
                  <pic:nvPicPr>
                    <pic:cNvPr id="1705597143" name="图片 1"/>
                    <pic:cNvPicPr/>
                  </pic:nvPicPr>
                  <pic:blipFill>
                    <a:blip r:embed="rId48"/>
                    <a:stretch>
                      <a:fillRect/>
                    </a:stretch>
                  </pic:blipFill>
                  <pic:spPr>
                    <a:xfrm>
                      <a:off x="0" y="0"/>
                      <a:ext cx="1580400" cy="2088000"/>
                    </a:xfrm>
                    <a:prstGeom prst="rect">
                      <a:avLst/>
                    </a:prstGeom>
                  </pic:spPr>
                </pic:pic>
              </a:graphicData>
            </a:graphic>
          </wp:inline>
        </w:drawing>
      </w:r>
      <w:r>
        <w:t xml:space="preserve"> </w:t>
      </w:r>
      <w:r>
        <w:rPr>
          <w:rFonts w:hint="eastAsia"/>
        </w:rPr>
        <w:t xml:space="preserve">    </w:t>
      </w:r>
      <w:r>
        <w:drawing>
          <wp:inline distT="0" distB="0" distL="0" distR="0">
            <wp:extent cx="1579880" cy="2087880"/>
            <wp:effectExtent l="0" t="0" r="5080" b="0"/>
            <wp:docPr id="1169744684" name="图片 1"/>
            <wp:cNvGraphicFramePr/>
            <a:graphic xmlns:a="http://schemas.openxmlformats.org/drawingml/2006/main">
              <a:graphicData uri="http://schemas.openxmlformats.org/drawingml/2006/picture">
                <pic:pic xmlns:pic="http://schemas.openxmlformats.org/drawingml/2006/picture">
                  <pic:nvPicPr>
                    <pic:cNvPr id="1169744684" name="图片 1"/>
                    <pic:cNvPicPr/>
                  </pic:nvPicPr>
                  <pic:blipFill>
                    <a:blip r:embed="rId49"/>
                    <a:stretch>
                      <a:fillRect/>
                    </a:stretch>
                  </pic:blipFill>
                  <pic:spPr>
                    <a:xfrm>
                      <a:off x="0" y="0"/>
                      <a:ext cx="1580400" cy="2088000"/>
                    </a:xfrm>
                    <a:prstGeom prst="rect">
                      <a:avLst/>
                    </a:prstGeom>
                  </pic:spPr>
                </pic:pic>
              </a:graphicData>
            </a:graphic>
          </wp:inline>
        </w:drawing>
      </w:r>
    </w:p>
    <w:p w14:paraId="39070817">
      <w:pPr>
        <w:pStyle w:val="11"/>
        <w:spacing w:before="4"/>
        <w:rPr>
          <w:rFonts w:ascii="Arial" w:hAnsi="Arial" w:eastAsia="宋体" w:cs="Arial"/>
          <w:color w:val="000000"/>
          <w:sz w:val="21"/>
          <w:szCs w:val="21"/>
        </w:rPr>
      </w:pPr>
    </w:p>
    <w:p w14:paraId="0A41BB9D">
      <w:pPr>
        <w:pStyle w:val="278"/>
        <w:autoSpaceDE w:val="0"/>
        <w:autoSpaceDN w:val="0"/>
        <w:spacing w:line="480" w:lineRule="auto"/>
        <w:ind w:firstLine="420" w:firstLineChars="200"/>
        <w:jc w:val="both"/>
        <w:textAlignment w:val="bottom"/>
        <w:rPr>
          <w:rFonts w:ascii="Arial" w:hAnsi="Arial" w:cs="Arial"/>
          <w:color w:val="000000"/>
          <w:sz w:val="21"/>
          <w:szCs w:val="21"/>
        </w:rPr>
      </w:pPr>
      <w:r>
        <w:rPr>
          <w:rFonts w:hint="eastAsia" w:ascii="Arial" w:hAnsi="Arial" w:cs="Arial"/>
          <w:sz w:val="21"/>
          <w:szCs w:val="21"/>
        </w:rPr>
        <w:t>通过上述三方面数据的对比分析，各种数据来源的平均租金水平相对接近，均有一定的参考价值。</w:t>
      </w:r>
      <w:r>
        <w:rPr>
          <w:rFonts w:ascii="Arial" w:hAnsi="Arial" w:cs="Arial"/>
          <w:color w:val="000000"/>
          <w:sz w:val="21"/>
          <w:szCs w:val="21"/>
        </w:rPr>
        <w:t>上述样本小区租金</w:t>
      </w:r>
      <w:r>
        <w:rPr>
          <w:rFonts w:hint="eastAsia" w:ascii="Arial" w:hAnsi="Arial" w:cs="Arial"/>
          <w:sz w:val="21"/>
          <w:szCs w:val="21"/>
        </w:rPr>
        <w:t>包括地租、房屋折旧、家具及家电租赁费、设备折旧、维修费、保险费、物业费、管理费、利息、利润等；不含供暖费、水电费、天然气费、通信费、有线电视费、上网宽带费和租赁税费</w:t>
      </w:r>
      <w:r>
        <w:rPr>
          <w:rFonts w:ascii="Arial" w:hAnsi="Arial" w:cs="Arial"/>
          <w:color w:val="000000"/>
          <w:sz w:val="21"/>
          <w:szCs w:val="21"/>
        </w:rPr>
        <w:t>等。由于各项目物业费水平不同，故需扣除物业费、供暖费和租赁税费，求取三个可比实例不含物业费、供暖费和租赁税费的租金。</w:t>
      </w:r>
      <w:r>
        <w:rPr>
          <w:rFonts w:hint="eastAsia" w:ascii="Arial" w:hAnsi="Arial" w:cs="Arial"/>
          <w:sz w:val="21"/>
          <w:szCs w:val="21"/>
        </w:rPr>
        <w:t>经注册房地产估价师现场调查，各小区物业费及供暖费如下：</w:t>
      </w:r>
    </w:p>
    <w:p w14:paraId="261A55B0">
      <w:pPr>
        <w:pStyle w:val="278"/>
        <w:autoSpaceDE w:val="0"/>
        <w:autoSpaceDN w:val="0"/>
        <w:spacing w:line="480" w:lineRule="auto"/>
        <w:ind w:firstLine="420" w:firstLineChars="200"/>
        <w:jc w:val="both"/>
        <w:textAlignment w:val="bottom"/>
        <w:rPr>
          <w:rFonts w:ascii="Arial" w:hAnsi="Arial" w:cs="Arial"/>
          <w:color w:val="000000"/>
          <w:sz w:val="21"/>
          <w:szCs w:val="21"/>
        </w:rPr>
      </w:pPr>
      <w:r>
        <w:rPr>
          <w:rFonts w:hint="eastAsia" w:ascii="Arial" w:hAnsi="Arial" w:cs="Arial"/>
          <w:color w:val="000000"/>
          <w:sz w:val="21"/>
          <w:szCs w:val="21"/>
        </w:rPr>
        <w:t>招商臻珑府物业费3.98元/平方米•月，</w:t>
      </w:r>
      <w:r>
        <w:rPr>
          <w:rFonts w:hint="eastAsia" w:ascii="Arial" w:hAnsi="Arial" w:cs="Arial"/>
          <w:sz w:val="21"/>
          <w:szCs w:val="21"/>
        </w:rPr>
        <w:t>小区市政供暖，</w:t>
      </w:r>
      <w:r>
        <w:rPr>
          <w:rFonts w:hint="eastAsia" w:ascii="Arial" w:hAnsi="Arial" w:cs="Arial"/>
          <w:color w:val="000000"/>
          <w:sz w:val="21"/>
          <w:szCs w:val="21"/>
        </w:rPr>
        <w:t>供暖费2</w:t>
      </w:r>
      <w:r>
        <w:rPr>
          <w:rFonts w:ascii="Arial" w:hAnsi="Arial" w:cs="Arial"/>
          <w:color w:val="000000"/>
          <w:sz w:val="21"/>
          <w:szCs w:val="21"/>
        </w:rPr>
        <w:t>.5</w:t>
      </w:r>
      <w:r>
        <w:rPr>
          <w:rFonts w:hint="eastAsia" w:ascii="Arial" w:hAnsi="Arial" w:cs="Arial"/>
          <w:color w:val="000000"/>
          <w:sz w:val="21"/>
          <w:szCs w:val="21"/>
        </w:rPr>
        <w:t>元/平方米•月；</w:t>
      </w:r>
    </w:p>
    <w:p w14:paraId="7D1EEE40">
      <w:pPr>
        <w:pStyle w:val="278"/>
        <w:autoSpaceDE w:val="0"/>
        <w:autoSpaceDN w:val="0"/>
        <w:spacing w:line="480" w:lineRule="auto"/>
        <w:ind w:firstLine="420" w:firstLineChars="200"/>
        <w:jc w:val="both"/>
        <w:textAlignment w:val="bottom"/>
        <w:rPr>
          <w:rFonts w:ascii="Arial" w:hAnsi="Arial" w:cs="Arial"/>
          <w:color w:val="000000"/>
          <w:sz w:val="21"/>
          <w:szCs w:val="21"/>
        </w:rPr>
      </w:pPr>
      <w:r>
        <w:rPr>
          <w:rFonts w:hint="eastAsia" w:ascii="Arial" w:hAnsi="Arial" w:cs="Arial"/>
          <w:color w:val="000000"/>
          <w:sz w:val="21"/>
          <w:szCs w:val="21"/>
        </w:rPr>
        <w:t>北京经开·汀塘物业费3.8元/平方米•月，</w:t>
      </w:r>
      <w:r>
        <w:rPr>
          <w:rFonts w:hint="eastAsia" w:ascii="Arial" w:hAnsi="Arial" w:cs="Arial"/>
          <w:sz w:val="21"/>
          <w:szCs w:val="21"/>
        </w:rPr>
        <w:t>小区市政供暖，</w:t>
      </w:r>
      <w:r>
        <w:rPr>
          <w:rFonts w:hint="eastAsia" w:ascii="Arial" w:hAnsi="Arial" w:cs="Arial"/>
          <w:color w:val="000000"/>
          <w:sz w:val="21"/>
          <w:szCs w:val="21"/>
        </w:rPr>
        <w:t>供暖费2</w:t>
      </w:r>
      <w:r>
        <w:rPr>
          <w:rFonts w:ascii="Arial" w:hAnsi="Arial" w:cs="Arial"/>
          <w:color w:val="000000"/>
          <w:sz w:val="21"/>
          <w:szCs w:val="21"/>
        </w:rPr>
        <w:t>.5</w:t>
      </w:r>
      <w:r>
        <w:rPr>
          <w:rFonts w:hint="eastAsia" w:ascii="Arial" w:hAnsi="Arial" w:cs="Arial"/>
          <w:color w:val="000000"/>
          <w:sz w:val="21"/>
          <w:szCs w:val="21"/>
        </w:rPr>
        <w:t>元/平方米•月；</w:t>
      </w:r>
    </w:p>
    <w:p w14:paraId="33E921AA">
      <w:pPr>
        <w:pStyle w:val="278"/>
        <w:autoSpaceDE w:val="0"/>
        <w:autoSpaceDN w:val="0"/>
        <w:spacing w:line="480" w:lineRule="auto"/>
        <w:ind w:firstLine="420" w:firstLineChars="200"/>
        <w:jc w:val="both"/>
        <w:textAlignment w:val="bottom"/>
        <w:rPr>
          <w:rFonts w:ascii="Arial" w:hAnsi="Arial" w:cs="Arial"/>
          <w:color w:val="000000"/>
          <w:sz w:val="21"/>
          <w:szCs w:val="21"/>
        </w:rPr>
      </w:pPr>
      <w:r>
        <w:rPr>
          <w:rFonts w:hint="eastAsia" w:ascii="Arial" w:hAnsi="Arial" w:cs="Arial"/>
          <w:color w:val="000000"/>
          <w:sz w:val="21"/>
          <w:szCs w:val="21"/>
        </w:rPr>
        <w:t>通泰国际公馆物业费3.25元/平方米•月，</w:t>
      </w:r>
      <w:r>
        <w:rPr>
          <w:rFonts w:hint="eastAsia" w:ascii="Arial" w:hAnsi="Arial" w:cs="Arial"/>
          <w:sz w:val="21"/>
          <w:szCs w:val="21"/>
        </w:rPr>
        <w:t>小区市政供暖，</w:t>
      </w:r>
      <w:r>
        <w:rPr>
          <w:rFonts w:hint="eastAsia" w:ascii="Arial" w:hAnsi="Arial" w:cs="Arial"/>
          <w:color w:val="000000"/>
          <w:sz w:val="21"/>
          <w:szCs w:val="21"/>
        </w:rPr>
        <w:t>供暖费2</w:t>
      </w:r>
      <w:r>
        <w:rPr>
          <w:rFonts w:ascii="Arial" w:hAnsi="Arial" w:cs="Arial"/>
          <w:color w:val="000000"/>
          <w:sz w:val="21"/>
          <w:szCs w:val="21"/>
        </w:rPr>
        <w:t>.5</w:t>
      </w:r>
      <w:r>
        <w:rPr>
          <w:rFonts w:hint="eastAsia" w:ascii="Arial" w:hAnsi="Arial" w:cs="Arial"/>
          <w:color w:val="000000"/>
          <w:sz w:val="21"/>
          <w:szCs w:val="21"/>
        </w:rPr>
        <w:t>元/平方米•月；</w:t>
      </w:r>
    </w:p>
    <w:p w14:paraId="2B3F9433">
      <w:pPr>
        <w:pStyle w:val="279"/>
        <w:autoSpaceDE w:val="0"/>
        <w:autoSpaceDN w:val="0"/>
        <w:spacing w:line="480" w:lineRule="auto"/>
        <w:ind w:firstLine="420" w:firstLineChars="200"/>
        <w:jc w:val="both"/>
        <w:textAlignment w:val="bottom"/>
        <w:rPr>
          <w:rFonts w:ascii="Arial" w:hAnsi="Arial" w:cs="Arial"/>
          <w:color w:val="000000"/>
          <w:sz w:val="21"/>
          <w:szCs w:val="21"/>
        </w:rPr>
      </w:pPr>
      <w:r>
        <w:rPr>
          <w:rFonts w:hint="eastAsia" w:ascii="Arial" w:hAnsi="Arial" w:cs="Arial"/>
          <w:sz w:val="21"/>
          <w:szCs w:val="21"/>
        </w:rPr>
        <w:t>扣除各小区物业费、供暖费，即：</w:t>
      </w:r>
    </w:p>
    <w:p w14:paraId="4F01BF57">
      <w:pPr>
        <w:pStyle w:val="278"/>
        <w:autoSpaceDE w:val="0"/>
        <w:autoSpaceDN w:val="0"/>
        <w:spacing w:line="480" w:lineRule="auto"/>
        <w:ind w:firstLine="420" w:firstLineChars="200"/>
        <w:jc w:val="both"/>
        <w:textAlignment w:val="bottom"/>
        <w:rPr>
          <w:rFonts w:ascii="Arial" w:hAnsi="Arial" w:cs="Arial"/>
          <w:color w:val="000000"/>
          <w:sz w:val="21"/>
          <w:szCs w:val="21"/>
        </w:rPr>
      </w:pPr>
      <w:r>
        <w:rPr>
          <w:rFonts w:hint="eastAsia" w:ascii="Arial" w:hAnsi="Arial" w:cs="Arial"/>
          <w:color w:val="000000"/>
          <w:sz w:val="21"/>
          <w:szCs w:val="21"/>
        </w:rPr>
        <w:t>招商臻珑府平均租金=80.42</w:t>
      </w:r>
      <w:r>
        <w:rPr>
          <w:rFonts w:ascii="Arial" w:hAnsi="Arial" w:cs="Arial"/>
          <w:color w:val="000000"/>
          <w:sz w:val="21"/>
          <w:szCs w:val="21"/>
        </w:rPr>
        <w:t>-</w:t>
      </w:r>
      <w:r>
        <w:rPr>
          <w:rFonts w:hint="eastAsia" w:ascii="Arial" w:hAnsi="Arial" w:cs="Arial"/>
          <w:color w:val="000000"/>
          <w:sz w:val="21"/>
          <w:szCs w:val="21"/>
        </w:rPr>
        <w:t>3.98</w:t>
      </w:r>
      <w:r>
        <w:rPr>
          <w:rFonts w:ascii="Arial" w:hAnsi="Arial" w:cs="Arial"/>
          <w:color w:val="000000"/>
          <w:sz w:val="21"/>
          <w:szCs w:val="21"/>
        </w:rPr>
        <w:t>-2.5</w:t>
      </w:r>
      <w:r>
        <w:rPr>
          <w:rFonts w:hint="eastAsia" w:ascii="Arial" w:hAnsi="Arial" w:cs="Arial"/>
          <w:color w:val="000000"/>
          <w:sz w:val="21"/>
          <w:szCs w:val="21"/>
        </w:rPr>
        <w:t>=73.94（元/平方米•月） ；</w:t>
      </w:r>
    </w:p>
    <w:p w14:paraId="422FBC40">
      <w:pPr>
        <w:pStyle w:val="278"/>
        <w:autoSpaceDE w:val="0"/>
        <w:autoSpaceDN w:val="0"/>
        <w:spacing w:line="480" w:lineRule="auto"/>
        <w:ind w:firstLine="420" w:firstLineChars="200"/>
        <w:jc w:val="both"/>
        <w:textAlignment w:val="bottom"/>
        <w:rPr>
          <w:rFonts w:ascii="Arial" w:hAnsi="Arial" w:cs="Arial"/>
          <w:color w:val="000000"/>
          <w:sz w:val="21"/>
          <w:szCs w:val="21"/>
        </w:rPr>
      </w:pPr>
      <w:r>
        <w:rPr>
          <w:rFonts w:hint="eastAsia" w:ascii="Arial" w:hAnsi="Arial" w:cs="Arial"/>
          <w:color w:val="000000"/>
          <w:sz w:val="21"/>
          <w:szCs w:val="21"/>
        </w:rPr>
        <w:t>北京经开·汀塘平均租金=76.85</w:t>
      </w:r>
      <w:r>
        <w:rPr>
          <w:rFonts w:ascii="Arial" w:hAnsi="Arial" w:cs="Arial"/>
          <w:color w:val="000000"/>
          <w:sz w:val="21"/>
          <w:szCs w:val="21"/>
        </w:rPr>
        <w:t>-</w:t>
      </w:r>
      <w:r>
        <w:rPr>
          <w:rFonts w:hint="eastAsia" w:ascii="Arial" w:hAnsi="Arial" w:cs="Arial"/>
          <w:color w:val="000000"/>
          <w:sz w:val="21"/>
          <w:szCs w:val="21"/>
        </w:rPr>
        <w:t>3.8</w:t>
      </w:r>
      <w:r>
        <w:rPr>
          <w:rFonts w:ascii="Arial" w:hAnsi="Arial" w:cs="Arial"/>
          <w:color w:val="000000"/>
          <w:sz w:val="21"/>
          <w:szCs w:val="21"/>
        </w:rPr>
        <w:t>-2.5</w:t>
      </w:r>
      <w:r>
        <w:rPr>
          <w:rFonts w:hint="eastAsia" w:ascii="Arial" w:hAnsi="Arial" w:cs="Arial"/>
          <w:color w:val="000000"/>
          <w:sz w:val="21"/>
          <w:szCs w:val="21"/>
        </w:rPr>
        <w:t>=70.55（元/平方米•月） ；</w:t>
      </w:r>
    </w:p>
    <w:p w14:paraId="2261CF1E">
      <w:pPr>
        <w:pStyle w:val="278"/>
        <w:autoSpaceDE w:val="0"/>
        <w:autoSpaceDN w:val="0"/>
        <w:spacing w:line="480" w:lineRule="auto"/>
        <w:ind w:firstLine="420" w:firstLineChars="200"/>
        <w:jc w:val="both"/>
        <w:textAlignment w:val="bottom"/>
        <w:rPr>
          <w:rFonts w:ascii="Arial" w:hAnsi="Arial" w:cs="Arial"/>
          <w:color w:val="000000"/>
          <w:sz w:val="21"/>
          <w:szCs w:val="21"/>
        </w:rPr>
      </w:pPr>
      <w:r>
        <w:rPr>
          <w:rFonts w:hint="eastAsia" w:ascii="Arial" w:hAnsi="Arial" w:cs="Arial"/>
          <w:color w:val="000000"/>
          <w:sz w:val="21"/>
          <w:szCs w:val="21"/>
        </w:rPr>
        <w:t>通泰国际公馆平均租金=79.10</w:t>
      </w:r>
      <w:r>
        <w:rPr>
          <w:rFonts w:ascii="Arial" w:hAnsi="Arial" w:cs="Arial"/>
          <w:color w:val="000000"/>
          <w:sz w:val="21"/>
          <w:szCs w:val="21"/>
        </w:rPr>
        <w:t>-</w:t>
      </w:r>
      <w:r>
        <w:rPr>
          <w:rFonts w:hint="eastAsia" w:ascii="Arial" w:hAnsi="Arial" w:cs="Arial"/>
          <w:color w:val="000000"/>
          <w:sz w:val="21"/>
          <w:szCs w:val="21"/>
        </w:rPr>
        <w:t>3.25</w:t>
      </w:r>
      <w:r>
        <w:rPr>
          <w:rFonts w:ascii="Arial" w:hAnsi="Arial" w:cs="Arial"/>
          <w:color w:val="000000"/>
          <w:sz w:val="21"/>
          <w:szCs w:val="21"/>
        </w:rPr>
        <w:t>-2.5</w:t>
      </w:r>
      <w:r>
        <w:rPr>
          <w:rFonts w:hint="eastAsia" w:ascii="Arial" w:hAnsi="Arial" w:cs="Arial"/>
          <w:color w:val="000000"/>
          <w:sz w:val="21"/>
          <w:szCs w:val="21"/>
        </w:rPr>
        <w:t>=73.35（元/平方米•月）；</w:t>
      </w:r>
    </w:p>
    <w:p w14:paraId="6014CAEE">
      <w:pPr>
        <w:pStyle w:val="280"/>
        <w:autoSpaceDE w:val="0"/>
        <w:autoSpaceDN w:val="0"/>
        <w:spacing w:line="480" w:lineRule="auto"/>
        <w:ind w:firstLine="420" w:firstLineChars="200"/>
        <w:jc w:val="both"/>
        <w:textAlignment w:val="bottom"/>
        <w:rPr>
          <w:rFonts w:ascii="Arial" w:hAnsi="Arial" w:cs="Arial"/>
          <w:sz w:val="21"/>
          <w:szCs w:val="21"/>
        </w:rPr>
      </w:pPr>
      <w:r>
        <w:rPr>
          <w:rFonts w:ascii="Arial" w:hAnsi="Arial" w:cs="Arial"/>
          <w:sz w:val="21"/>
          <w:szCs w:val="21"/>
        </w:rPr>
        <w:t>根据注册房地产估价师调查，北京地区对于个人出租商品住宅房的，月租金收入（不含税）在10万元（含）以下的，按照2.5%的综合税率来征收租赁税费。则租赁税费计算方式如下：</w:t>
      </w:r>
    </w:p>
    <w:p w14:paraId="3E168511">
      <w:pPr>
        <w:pStyle w:val="280"/>
        <w:autoSpaceDE w:val="0"/>
        <w:autoSpaceDN w:val="0"/>
        <w:spacing w:line="480" w:lineRule="auto"/>
        <w:ind w:firstLine="420" w:firstLineChars="200"/>
        <w:jc w:val="both"/>
        <w:textAlignment w:val="bottom"/>
        <w:rPr>
          <w:rFonts w:ascii="Arial" w:hAnsi="Arial" w:cs="Arial"/>
          <w:sz w:val="21"/>
          <w:szCs w:val="21"/>
        </w:rPr>
      </w:pPr>
      <w:r>
        <w:rPr>
          <w:rFonts w:ascii="Arial" w:hAnsi="Arial" w:cs="Arial"/>
          <w:sz w:val="21"/>
          <w:szCs w:val="21"/>
        </w:rPr>
        <w:t xml:space="preserve">租赁税费=（可比实例的月平均租金水平-物业费-供暖费）÷（1+5%）×2.5% </w:t>
      </w:r>
    </w:p>
    <w:p w14:paraId="7783F4F9">
      <w:pPr>
        <w:pStyle w:val="279"/>
        <w:autoSpaceDE w:val="0"/>
        <w:autoSpaceDN w:val="0"/>
        <w:spacing w:line="480" w:lineRule="auto"/>
        <w:ind w:firstLine="420" w:firstLineChars="200"/>
        <w:jc w:val="both"/>
        <w:textAlignment w:val="bottom"/>
        <w:rPr>
          <w:rFonts w:ascii="Arial" w:hAnsi="Arial" w:cs="Arial"/>
          <w:sz w:val="21"/>
          <w:szCs w:val="21"/>
        </w:rPr>
      </w:pPr>
      <w:r>
        <w:rPr>
          <w:rFonts w:hint="eastAsia" w:ascii="Arial" w:hAnsi="Arial" w:cs="Arial"/>
          <w:sz w:val="21"/>
          <w:szCs w:val="21"/>
        </w:rPr>
        <w:t>扣除租赁税费，则有：</w:t>
      </w:r>
    </w:p>
    <w:p w14:paraId="2619249B">
      <w:pPr>
        <w:pStyle w:val="279"/>
        <w:autoSpaceDE w:val="0"/>
        <w:autoSpaceDN w:val="0"/>
        <w:spacing w:line="480" w:lineRule="auto"/>
        <w:ind w:firstLine="420" w:firstLineChars="200"/>
        <w:jc w:val="both"/>
        <w:textAlignment w:val="bottom"/>
        <w:rPr>
          <w:rFonts w:ascii="Arial" w:hAnsi="Arial" w:cs="Arial"/>
          <w:sz w:val="21"/>
          <w:szCs w:val="21"/>
        </w:rPr>
      </w:pPr>
      <w:r>
        <w:rPr>
          <w:rFonts w:hint="eastAsia" w:ascii="Arial" w:hAnsi="Arial" w:cs="Arial"/>
          <w:color w:val="000000"/>
          <w:sz w:val="21"/>
          <w:szCs w:val="21"/>
        </w:rPr>
        <w:t>招商臻珑府</w:t>
      </w:r>
      <w:r>
        <w:rPr>
          <w:rFonts w:hint="eastAsia" w:ascii="Arial" w:hAnsi="Arial" w:cs="Arial"/>
          <w:sz w:val="21"/>
          <w:szCs w:val="21"/>
        </w:rPr>
        <w:t>平均租金：73.94-73.94</w:t>
      </w:r>
      <w:r>
        <w:rPr>
          <w:rFonts w:ascii="Arial" w:hAnsi="Arial" w:cs="Arial"/>
          <w:sz w:val="21"/>
          <w:szCs w:val="21"/>
        </w:rPr>
        <w:t>÷（1+5%）×2.5%</w:t>
      </w:r>
      <w:r>
        <w:rPr>
          <w:rFonts w:hint="eastAsia" w:ascii="Arial" w:hAnsi="Arial" w:cs="Arial"/>
          <w:sz w:val="21"/>
          <w:szCs w:val="21"/>
        </w:rPr>
        <w:t>=72.18元/平方米·月</w:t>
      </w:r>
    </w:p>
    <w:p w14:paraId="77D281B5">
      <w:pPr>
        <w:pStyle w:val="279"/>
        <w:autoSpaceDE w:val="0"/>
        <w:autoSpaceDN w:val="0"/>
        <w:spacing w:line="480" w:lineRule="auto"/>
        <w:ind w:firstLine="420" w:firstLineChars="200"/>
        <w:jc w:val="both"/>
        <w:textAlignment w:val="bottom"/>
        <w:rPr>
          <w:rFonts w:ascii="Arial" w:hAnsi="Arial" w:cs="Arial"/>
          <w:sz w:val="21"/>
          <w:szCs w:val="21"/>
        </w:rPr>
      </w:pPr>
      <w:r>
        <w:rPr>
          <w:rFonts w:hint="eastAsia" w:ascii="Arial" w:hAnsi="Arial" w:cs="Arial"/>
          <w:color w:val="000000"/>
          <w:sz w:val="21"/>
          <w:szCs w:val="21"/>
        </w:rPr>
        <w:t>北京经开·汀塘</w:t>
      </w:r>
      <w:r>
        <w:rPr>
          <w:rFonts w:hint="eastAsia" w:ascii="Arial" w:hAnsi="Arial" w:cs="Arial"/>
          <w:sz w:val="21"/>
          <w:szCs w:val="21"/>
        </w:rPr>
        <w:t>平均租金：70.55-70.55</w:t>
      </w:r>
      <w:r>
        <w:rPr>
          <w:rFonts w:ascii="Arial" w:hAnsi="Arial" w:cs="Arial"/>
          <w:sz w:val="21"/>
          <w:szCs w:val="21"/>
        </w:rPr>
        <w:t>÷（1+5%）×2.5%</w:t>
      </w:r>
      <w:r>
        <w:rPr>
          <w:rFonts w:hint="eastAsia" w:ascii="Arial" w:hAnsi="Arial" w:cs="Arial"/>
          <w:sz w:val="21"/>
          <w:szCs w:val="21"/>
        </w:rPr>
        <w:t>=68.87元/平方米·月</w:t>
      </w:r>
    </w:p>
    <w:p w14:paraId="6B93083F">
      <w:pPr>
        <w:pStyle w:val="279"/>
        <w:autoSpaceDE w:val="0"/>
        <w:autoSpaceDN w:val="0"/>
        <w:spacing w:line="480" w:lineRule="auto"/>
        <w:ind w:firstLine="420" w:firstLineChars="200"/>
        <w:jc w:val="both"/>
        <w:textAlignment w:val="bottom"/>
        <w:rPr>
          <w:rFonts w:ascii="Arial" w:hAnsi="Arial" w:cs="Arial"/>
          <w:sz w:val="21"/>
          <w:szCs w:val="21"/>
        </w:rPr>
      </w:pPr>
      <w:r>
        <w:rPr>
          <w:rFonts w:hint="eastAsia" w:ascii="Arial" w:hAnsi="Arial" w:cs="Arial"/>
          <w:color w:val="000000"/>
          <w:sz w:val="21"/>
          <w:szCs w:val="21"/>
        </w:rPr>
        <w:t>通泰国际公馆</w:t>
      </w:r>
      <w:r>
        <w:rPr>
          <w:rFonts w:hint="eastAsia" w:ascii="Arial" w:hAnsi="Arial" w:cs="Arial"/>
          <w:sz w:val="21"/>
          <w:szCs w:val="21"/>
        </w:rPr>
        <w:t>平均租金：73.35-73.35</w:t>
      </w:r>
      <w:r>
        <w:rPr>
          <w:rFonts w:ascii="Arial" w:hAnsi="Arial" w:cs="Arial"/>
          <w:sz w:val="21"/>
          <w:szCs w:val="21"/>
        </w:rPr>
        <w:t>÷（1+5%）×2.5%</w:t>
      </w:r>
      <w:r>
        <w:rPr>
          <w:rFonts w:hint="eastAsia" w:ascii="Arial" w:hAnsi="Arial" w:cs="Arial"/>
          <w:sz w:val="21"/>
          <w:szCs w:val="21"/>
        </w:rPr>
        <w:t>=71.60元/平方米·月</w:t>
      </w:r>
    </w:p>
    <w:p w14:paraId="042AAA86">
      <w:pPr>
        <w:pStyle w:val="278"/>
        <w:autoSpaceDE w:val="0"/>
        <w:autoSpaceDN w:val="0"/>
        <w:spacing w:line="480" w:lineRule="auto"/>
        <w:ind w:firstLine="420" w:firstLineChars="200"/>
        <w:jc w:val="both"/>
        <w:textAlignment w:val="bottom"/>
        <w:rPr>
          <w:rFonts w:ascii="Arial" w:hAnsi="Arial" w:cs="Arial"/>
          <w:color w:val="000000"/>
          <w:sz w:val="21"/>
          <w:szCs w:val="21"/>
        </w:rPr>
      </w:pPr>
      <w:r>
        <w:rPr>
          <w:rFonts w:hint="eastAsia" w:ascii="Arial" w:hAnsi="Arial" w:cs="Arial"/>
          <w:sz w:val="21"/>
          <w:szCs w:val="21"/>
        </w:rPr>
        <w:t>即三个可比实例的不含物业费、供暖费、租赁税费的月平均租金水平分别为72.18元/平方米•月、68.87元/平方米•月、71.60元/平方米•月。</w:t>
      </w:r>
    </w:p>
    <w:p w14:paraId="5858AC3F">
      <w:pPr>
        <w:rPr>
          <w:rFonts w:ascii="Arial" w:hAnsi="Arial" w:cs="Arial"/>
          <w:sz w:val="21"/>
          <w:szCs w:val="21"/>
        </w:rPr>
      </w:pPr>
      <w:r>
        <w:rPr>
          <w:rFonts w:ascii="Arial" w:hAnsi="Arial" w:cs="Arial"/>
          <w:sz w:val="21"/>
          <w:szCs w:val="21"/>
        </w:rPr>
        <w:br w:type="page"/>
      </w:r>
    </w:p>
    <w:p w14:paraId="1D6128D6">
      <w:pPr>
        <w:pStyle w:val="17"/>
        <w:spacing w:line="480" w:lineRule="auto"/>
      </w:pPr>
      <w:r>
        <w:rPr>
          <w:rFonts w:ascii="Arial" w:hAnsi="Arial" w:eastAsia="宋体;SimSun" w:cs="Arial"/>
          <w:sz w:val="21"/>
          <w:szCs w:val="21"/>
        </w:rPr>
        <w:t>（二）</w:t>
      </w:r>
      <w:r>
        <w:rPr>
          <w:rFonts w:ascii="Arial" w:hAnsi="Arial" w:eastAsia="Arial" w:cs="Arial"/>
          <w:sz w:val="21"/>
          <w:szCs w:val="21"/>
        </w:rPr>
        <w:t xml:space="preserve"> </w:t>
      </w:r>
      <w:r>
        <w:rPr>
          <w:rFonts w:ascii="Arial" w:hAnsi="Arial" w:eastAsia="宋体;SimSun" w:cs="Arial"/>
          <w:sz w:val="21"/>
          <w:szCs w:val="21"/>
        </w:rPr>
        <w:t>比较法测算过程</w:t>
      </w:r>
    </w:p>
    <w:p w14:paraId="6CFE9B23">
      <w:pPr>
        <w:overflowPunct w:val="0"/>
        <w:spacing w:line="480" w:lineRule="auto"/>
        <w:ind w:firstLine="420"/>
      </w:pPr>
      <w:r>
        <w:rPr>
          <w:rFonts w:ascii="Arial" w:hAnsi="Arial" w:cs="Arial"/>
          <w:sz w:val="21"/>
          <w:szCs w:val="21"/>
        </w:rPr>
        <w:t>（1）建立比较因素条件说明表</w:t>
      </w:r>
      <w:r>
        <w:rPr>
          <w:rFonts w:ascii="Arial" w:hAnsi="Arial" w:eastAsia="Arial" w:cs="Arial"/>
          <w:sz w:val="21"/>
          <w:szCs w:val="21"/>
        </w:rPr>
        <w:t xml:space="preserve"> </w:t>
      </w:r>
    </w:p>
    <w:p w14:paraId="29E5F18F">
      <w:pPr>
        <w:overflowPunct w:val="0"/>
        <w:spacing w:line="480" w:lineRule="auto"/>
        <w:ind w:firstLine="420"/>
        <w:rPr>
          <w:rFonts w:ascii="Arial" w:hAnsi="Arial" w:cs="Arial"/>
          <w:sz w:val="21"/>
          <w:szCs w:val="21"/>
        </w:rPr>
      </w:pPr>
      <w:r>
        <w:rPr>
          <w:rFonts w:ascii="Arial" w:hAnsi="Arial" w:cs="Arial"/>
          <w:sz w:val="21"/>
          <w:szCs w:val="21"/>
        </w:rPr>
        <w:t>参与比较的因素条件应是对估价对象与可比案例小区之间的价格差异产生作用的因素，通过对估价对象各自特点的分析，本次估价选择了区域状况、实物状况和宜居状况进行比较，详见比较因素情况描述表：</w:t>
      </w:r>
    </w:p>
    <w:p w14:paraId="006E3DF2">
      <w:pPr>
        <w:overflowPunct w:val="0"/>
        <w:spacing w:line="480" w:lineRule="auto"/>
        <w:ind w:firstLine="420"/>
        <w:jc w:val="center"/>
        <w:rPr>
          <w:rFonts w:ascii="Arial" w:hAnsi="Arial" w:cs="Arial"/>
          <w:sz w:val="21"/>
          <w:szCs w:val="21"/>
        </w:rPr>
      </w:pPr>
      <w:r>
        <w:rPr>
          <w:rFonts w:ascii="Arial" w:hAnsi="Arial" w:cs="Arial"/>
          <w:color w:val="000000"/>
          <w:sz w:val="21"/>
          <w:szCs w:val="21"/>
        </w:rPr>
        <w:t>E18</w:t>
      </w:r>
      <w:r>
        <w:rPr>
          <w:rFonts w:hint="eastAsia" w:ascii="Arial" w:hAnsi="Arial" w:cs="Arial"/>
          <w:color w:val="000000"/>
          <w:sz w:val="21"/>
          <w:szCs w:val="21"/>
        </w:rPr>
        <w:t>亦城景园国际人才公寓（领军人才公寓）</w:t>
      </w:r>
      <w:r>
        <w:rPr>
          <w:rFonts w:ascii="Arial" w:hAnsi="Arial" w:cs="Arial"/>
          <w:sz w:val="21"/>
          <w:szCs w:val="21"/>
        </w:rPr>
        <w:t>比较因素情况描述表</w:t>
      </w:r>
    </w:p>
    <w:tbl>
      <w:tblPr>
        <w:tblStyle w:val="33"/>
        <w:tblW w:w="5000" w:type="pct"/>
        <w:tblInd w:w="-113" w:type="dxa"/>
        <w:tblLayout w:type="autofit"/>
        <w:tblCellMar>
          <w:top w:w="0" w:type="dxa"/>
          <w:left w:w="108" w:type="dxa"/>
          <w:bottom w:w="0" w:type="dxa"/>
          <w:right w:w="108" w:type="dxa"/>
        </w:tblCellMar>
      </w:tblPr>
      <w:tblGrid>
        <w:gridCol w:w="696"/>
        <w:gridCol w:w="1576"/>
        <w:gridCol w:w="1813"/>
        <w:gridCol w:w="1813"/>
        <w:gridCol w:w="1813"/>
        <w:gridCol w:w="1803"/>
      </w:tblGrid>
      <w:tr w14:paraId="06297094">
        <w:tblPrEx>
          <w:tblCellMar>
            <w:top w:w="0" w:type="dxa"/>
            <w:left w:w="108" w:type="dxa"/>
            <w:bottom w:w="0" w:type="dxa"/>
            <w:right w:w="108" w:type="dxa"/>
          </w:tblCellMar>
        </w:tblPrEx>
        <w:trPr>
          <w:trHeight w:val="270" w:hRule="atLeast"/>
          <w:tblHeader/>
        </w:trPr>
        <w:tc>
          <w:tcPr>
            <w:tcW w:w="2220" w:type="dxa"/>
            <w:gridSpan w:val="2"/>
            <w:tcBorders>
              <w:top w:val="single" w:color="000000" w:sz="4" w:space="0"/>
              <w:left w:val="single" w:color="000000" w:sz="4" w:space="0"/>
              <w:bottom w:val="single" w:color="000000" w:sz="4" w:space="0"/>
            </w:tcBorders>
            <w:vAlign w:val="center"/>
          </w:tcPr>
          <w:p w14:paraId="33237BED">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项目</w:t>
            </w:r>
          </w:p>
        </w:tc>
        <w:tc>
          <w:tcPr>
            <w:tcW w:w="1772" w:type="dxa"/>
            <w:tcBorders>
              <w:top w:val="single" w:color="000000" w:sz="4" w:space="0"/>
              <w:left w:val="single" w:color="000000" w:sz="4" w:space="0"/>
              <w:bottom w:val="single" w:color="000000" w:sz="4" w:space="0"/>
            </w:tcBorders>
            <w:vAlign w:val="center"/>
          </w:tcPr>
          <w:p w14:paraId="59F806D7">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估价对象</w:t>
            </w:r>
          </w:p>
        </w:tc>
        <w:tc>
          <w:tcPr>
            <w:tcW w:w="1772" w:type="dxa"/>
            <w:tcBorders>
              <w:top w:val="single" w:color="000000" w:sz="4" w:space="0"/>
              <w:left w:val="single" w:color="000000" w:sz="4" w:space="0"/>
              <w:bottom w:val="single" w:color="000000" w:sz="4" w:space="0"/>
            </w:tcBorders>
            <w:vAlign w:val="center"/>
          </w:tcPr>
          <w:p w14:paraId="0F6D3868">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可比实例1</w:t>
            </w:r>
          </w:p>
        </w:tc>
        <w:tc>
          <w:tcPr>
            <w:tcW w:w="1772" w:type="dxa"/>
            <w:tcBorders>
              <w:top w:val="single" w:color="000000" w:sz="4" w:space="0"/>
              <w:left w:val="single" w:color="000000" w:sz="4" w:space="0"/>
              <w:bottom w:val="single" w:color="000000" w:sz="4" w:space="0"/>
            </w:tcBorders>
            <w:vAlign w:val="center"/>
          </w:tcPr>
          <w:p w14:paraId="3B8C29AC">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可比实例2</w:t>
            </w:r>
          </w:p>
        </w:tc>
        <w:tc>
          <w:tcPr>
            <w:tcW w:w="1762" w:type="dxa"/>
            <w:tcBorders>
              <w:top w:val="single" w:color="000000" w:sz="4" w:space="0"/>
              <w:left w:val="single" w:color="000000" w:sz="4" w:space="0"/>
              <w:bottom w:val="single" w:color="000000" w:sz="4" w:space="0"/>
              <w:right w:val="single" w:color="000000" w:sz="4" w:space="0"/>
            </w:tcBorders>
            <w:vAlign w:val="center"/>
          </w:tcPr>
          <w:p w14:paraId="0F82877F">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可比案例3</w:t>
            </w:r>
          </w:p>
        </w:tc>
      </w:tr>
      <w:tr w14:paraId="54E6B931">
        <w:tblPrEx>
          <w:tblCellMar>
            <w:top w:w="0" w:type="dxa"/>
            <w:left w:w="108" w:type="dxa"/>
            <w:bottom w:w="0" w:type="dxa"/>
            <w:right w:w="108" w:type="dxa"/>
          </w:tblCellMar>
        </w:tblPrEx>
        <w:trPr>
          <w:trHeight w:val="270" w:hRule="atLeast"/>
          <w:tblHeader/>
        </w:trPr>
        <w:tc>
          <w:tcPr>
            <w:tcW w:w="2220" w:type="dxa"/>
            <w:gridSpan w:val="2"/>
            <w:tcBorders>
              <w:top w:val="single" w:color="000000" w:sz="4" w:space="0"/>
              <w:left w:val="single" w:color="000000" w:sz="4" w:space="0"/>
              <w:bottom w:val="single" w:color="000000" w:sz="4" w:space="0"/>
            </w:tcBorders>
            <w:vAlign w:val="center"/>
          </w:tcPr>
          <w:p w14:paraId="30C8C8AC">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小区名称</w:t>
            </w:r>
          </w:p>
        </w:tc>
        <w:tc>
          <w:tcPr>
            <w:tcW w:w="1772" w:type="dxa"/>
            <w:tcBorders>
              <w:left w:val="single" w:color="000000" w:sz="4" w:space="0"/>
              <w:bottom w:val="single" w:color="000000" w:sz="4" w:space="0"/>
            </w:tcBorders>
            <w:vAlign w:val="center"/>
          </w:tcPr>
          <w:p w14:paraId="72878BF7">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领军人才公寓</w:t>
            </w:r>
          </w:p>
        </w:tc>
        <w:tc>
          <w:tcPr>
            <w:tcW w:w="1772" w:type="dxa"/>
            <w:tcBorders>
              <w:left w:val="single" w:color="000000" w:sz="4" w:space="0"/>
              <w:bottom w:val="single" w:color="000000" w:sz="4" w:space="0"/>
            </w:tcBorders>
            <w:vAlign w:val="center"/>
          </w:tcPr>
          <w:p w14:paraId="2316087E">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招商臻珑府</w:t>
            </w:r>
          </w:p>
        </w:tc>
        <w:tc>
          <w:tcPr>
            <w:tcW w:w="1772" w:type="dxa"/>
            <w:tcBorders>
              <w:left w:val="single" w:color="000000" w:sz="4" w:space="0"/>
              <w:bottom w:val="single" w:color="000000" w:sz="4" w:space="0"/>
            </w:tcBorders>
            <w:vAlign w:val="center"/>
          </w:tcPr>
          <w:p w14:paraId="0334007E">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北京经开·汀塘</w:t>
            </w:r>
          </w:p>
        </w:tc>
        <w:tc>
          <w:tcPr>
            <w:tcW w:w="1762" w:type="dxa"/>
            <w:tcBorders>
              <w:left w:val="single" w:color="000000" w:sz="4" w:space="0"/>
              <w:bottom w:val="single" w:color="000000" w:sz="4" w:space="0"/>
              <w:right w:val="single" w:color="000000" w:sz="4" w:space="0"/>
            </w:tcBorders>
            <w:vAlign w:val="center"/>
          </w:tcPr>
          <w:p w14:paraId="49464171">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通泰国际公馆</w:t>
            </w:r>
          </w:p>
        </w:tc>
      </w:tr>
      <w:tr w14:paraId="5ED35BFC">
        <w:tblPrEx>
          <w:tblCellMar>
            <w:top w:w="0" w:type="dxa"/>
            <w:left w:w="108" w:type="dxa"/>
            <w:bottom w:w="0" w:type="dxa"/>
            <w:right w:w="108" w:type="dxa"/>
          </w:tblCellMar>
        </w:tblPrEx>
        <w:trPr>
          <w:trHeight w:val="270" w:hRule="atLeast"/>
        </w:trPr>
        <w:tc>
          <w:tcPr>
            <w:tcW w:w="2220" w:type="dxa"/>
            <w:gridSpan w:val="2"/>
            <w:tcBorders>
              <w:top w:val="single" w:color="000000" w:sz="4" w:space="0"/>
              <w:left w:val="single" w:color="000000" w:sz="4" w:space="0"/>
              <w:bottom w:val="single" w:color="000000" w:sz="4" w:space="0"/>
            </w:tcBorders>
            <w:vAlign w:val="center"/>
          </w:tcPr>
          <w:p w14:paraId="7AB433E9">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平均租金（元/平方米·月）</w:t>
            </w:r>
          </w:p>
        </w:tc>
        <w:tc>
          <w:tcPr>
            <w:tcW w:w="1772" w:type="dxa"/>
            <w:tcBorders>
              <w:left w:val="single" w:color="000000" w:sz="4" w:space="0"/>
              <w:bottom w:val="single" w:color="000000" w:sz="4" w:space="0"/>
            </w:tcBorders>
            <w:vAlign w:val="center"/>
          </w:tcPr>
          <w:p w14:paraId="5E14E574">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待估</w:t>
            </w:r>
          </w:p>
        </w:tc>
        <w:tc>
          <w:tcPr>
            <w:tcW w:w="1772" w:type="dxa"/>
            <w:tcBorders>
              <w:left w:val="single" w:color="000000" w:sz="4" w:space="0"/>
              <w:bottom w:val="single" w:color="000000" w:sz="4" w:space="0"/>
            </w:tcBorders>
            <w:vAlign w:val="center"/>
          </w:tcPr>
          <w:p w14:paraId="6DF089A3">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72.18</w:t>
            </w:r>
          </w:p>
        </w:tc>
        <w:tc>
          <w:tcPr>
            <w:tcW w:w="1772" w:type="dxa"/>
            <w:tcBorders>
              <w:left w:val="single" w:color="000000" w:sz="4" w:space="0"/>
              <w:bottom w:val="single" w:color="000000" w:sz="4" w:space="0"/>
            </w:tcBorders>
            <w:vAlign w:val="center"/>
          </w:tcPr>
          <w:p w14:paraId="16C25F12">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68.87</w:t>
            </w:r>
          </w:p>
        </w:tc>
        <w:tc>
          <w:tcPr>
            <w:tcW w:w="1762" w:type="dxa"/>
            <w:tcBorders>
              <w:left w:val="single" w:color="000000" w:sz="4" w:space="0"/>
              <w:bottom w:val="single" w:color="000000" w:sz="4" w:space="0"/>
              <w:right w:val="single" w:color="000000" w:sz="4" w:space="0"/>
            </w:tcBorders>
            <w:vAlign w:val="center"/>
          </w:tcPr>
          <w:p w14:paraId="388EC572">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71.60</w:t>
            </w:r>
          </w:p>
        </w:tc>
      </w:tr>
      <w:tr w14:paraId="51332901">
        <w:tblPrEx>
          <w:tblCellMar>
            <w:top w:w="0" w:type="dxa"/>
            <w:left w:w="108" w:type="dxa"/>
            <w:bottom w:w="0" w:type="dxa"/>
            <w:right w:w="108" w:type="dxa"/>
          </w:tblCellMar>
        </w:tblPrEx>
        <w:trPr>
          <w:trHeight w:val="495" w:hRule="atLeast"/>
        </w:trPr>
        <w:tc>
          <w:tcPr>
            <w:tcW w:w="2220" w:type="dxa"/>
            <w:gridSpan w:val="2"/>
            <w:tcBorders>
              <w:top w:val="single" w:color="000000" w:sz="4" w:space="0"/>
              <w:left w:val="single" w:color="000000" w:sz="4" w:space="0"/>
              <w:bottom w:val="single" w:color="000000" w:sz="4" w:space="0"/>
            </w:tcBorders>
            <w:vAlign w:val="center"/>
          </w:tcPr>
          <w:p w14:paraId="70025464">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交易时间</w:t>
            </w:r>
          </w:p>
        </w:tc>
        <w:tc>
          <w:tcPr>
            <w:tcW w:w="1772" w:type="dxa"/>
            <w:tcBorders>
              <w:left w:val="single" w:color="000000" w:sz="4" w:space="0"/>
              <w:bottom w:val="single" w:color="000000" w:sz="4" w:space="0"/>
            </w:tcBorders>
            <w:vAlign w:val="center"/>
          </w:tcPr>
          <w:p w14:paraId="4A808618">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于价值时点过去12个月</w:t>
            </w:r>
          </w:p>
        </w:tc>
        <w:tc>
          <w:tcPr>
            <w:tcW w:w="1772" w:type="dxa"/>
            <w:tcBorders>
              <w:left w:val="single" w:color="000000" w:sz="4" w:space="0"/>
              <w:bottom w:val="single" w:color="000000" w:sz="4" w:space="0"/>
            </w:tcBorders>
            <w:vAlign w:val="center"/>
          </w:tcPr>
          <w:p w14:paraId="6185A99E">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于价值时点过去12个月</w:t>
            </w:r>
          </w:p>
        </w:tc>
        <w:tc>
          <w:tcPr>
            <w:tcW w:w="1772" w:type="dxa"/>
            <w:tcBorders>
              <w:left w:val="single" w:color="000000" w:sz="4" w:space="0"/>
              <w:bottom w:val="single" w:color="000000" w:sz="4" w:space="0"/>
            </w:tcBorders>
            <w:vAlign w:val="center"/>
          </w:tcPr>
          <w:p w14:paraId="79A8E177">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于价值时点过去12个月</w:t>
            </w:r>
          </w:p>
        </w:tc>
        <w:tc>
          <w:tcPr>
            <w:tcW w:w="1762" w:type="dxa"/>
            <w:tcBorders>
              <w:left w:val="single" w:color="000000" w:sz="4" w:space="0"/>
              <w:bottom w:val="single" w:color="000000" w:sz="4" w:space="0"/>
              <w:right w:val="single" w:color="000000" w:sz="4" w:space="0"/>
            </w:tcBorders>
            <w:vAlign w:val="center"/>
          </w:tcPr>
          <w:p w14:paraId="1BCC917E">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于价值时点过去12个月</w:t>
            </w:r>
          </w:p>
        </w:tc>
      </w:tr>
      <w:tr w14:paraId="152E2999">
        <w:tblPrEx>
          <w:tblCellMar>
            <w:top w:w="0" w:type="dxa"/>
            <w:left w:w="108" w:type="dxa"/>
            <w:bottom w:w="0" w:type="dxa"/>
            <w:right w:w="108" w:type="dxa"/>
          </w:tblCellMar>
        </w:tblPrEx>
        <w:trPr>
          <w:trHeight w:val="270" w:hRule="atLeast"/>
        </w:trPr>
        <w:tc>
          <w:tcPr>
            <w:tcW w:w="2220" w:type="dxa"/>
            <w:gridSpan w:val="2"/>
            <w:tcBorders>
              <w:top w:val="single" w:color="000000" w:sz="4" w:space="0"/>
              <w:left w:val="single" w:color="000000" w:sz="4" w:space="0"/>
              <w:bottom w:val="single" w:color="000000" w:sz="4" w:space="0"/>
            </w:tcBorders>
            <w:vAlign w:val="center"/>
          </w:tcPr>
          <w:p w14:paraId="11A5D933">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交易情况</w:t>
            </w:r>
          </w:p>
        </w:tc>
        <w:tc>
          <w:tcPr>
            <w:tcW w:w="1772" w:type="dxa"/>
            <w:tcBorders>
              <w:left w:val="single" w:color="000000" w:sz="4" w:space="0"/>
              <w:bottom w:val="single" w:color="000000" w:sz="4" w:space="0"/>
            </w:tcBorders>
            <w:vAlign w:val="center"/>
          </w:tcPr>
          <w:p w14:paraId="51B0098D">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正常</w:t>
            </w:r>
          </w:p>
        </w:tc>
        <w:tc>
          <w:tcPr>
            <w:tcW w:w="1772" w:type="dxa"/>
            <w:tcBorders>
              <w:left w:val="single" w:color="000000" w:sz="4" w:space="0"/>
              <w:bottom w:val="single" w:color="000000" w:sz="4" w:space="0"/>
            </w:tcBorders>
            <w:vAlign w:val="center"/>
          </w:tcPr>
          <w:p w14:paraId="10A14C08">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正常</w:t>
            </w:r>
          </w:p>
        </w:tc>
        <w:tc>
          <w:tcPr>
            <w:tcW w:w="1772" w:type="dxa"/>
            <w:tcBorders>
              <w:left w:val="single" w:color="000000" w:sz="4" w:space="0"/>
              <w:bottom w:val="single" w:color="000000" w:sz="4" w:space="0"/>
            </w:tcBorders>
            <w:vAlign w:val="center"/>
          </w:tcPr>
          <w:p w14:paraId="4FAC865B">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正常</w:t>
            </w:r>
          </w:p>
        </w:tc>
        <w:tc>
          <w:tcPr>
            <w:tcW w:w="1762" w:type="dxa"/>
            <w:tcBorders>
              <w:left w:val="single" w:color="000000" w:sz="4" w:space="0"/>
              <w:bottom w:val="single" w:color="000000" w:sz="4" w:space="0"/>
              <w:right w:val="single" w:color="000000" w:sz="4" w:space="0"/>
            </w:tcBorders>
            <w:vAlign w:val="center"/>
          </w:tcPr>
          <w:p w14:paraId="284DBA34">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正常</w:t>
            </w:r>
          </w:p>
        </w:tc>
      </w:tr>
      <w:tr w14:paraId="4BF506E4">
        <w:tblPrEx>
          <w:tblCellMar>
            <w:top w:w="0" w:type="dxa"/>
            <w:left w:w="108" w:type="dxa"/>
            <w:bottom w:w="0" w:type="dxa"/>
            <w:right w:w="108" w:type="dxa"/>
          </w:tblCellMar>
        </w:tblPrEx>
        <w:trPr>
          <w:trHeight w:val="241" w:hRule="atLeast"/>
        </w:trPr>
        <w:tc>
          <w:tcPr>
            <w:tcW w:w="680" w:type="dxa"/>
            <w:vMerge w:val="restart"/>
            <w:tcBorders>
              <w:left w:val="single" w:color="000000" w:sz="4" w:space="0"/>
              <w:bottom w:val="single" w:color="000000" w:sz="4" w:space="0"/>
            </w:tcBorders>
            <w:vAlign w:val="center"/>
          </w:tcPr>
          <w:p w14:paraId="67969BC2">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区域状况</w:t>
            </w:r>
          </w:p>
        </w:tc>
        <w:tc>
          <w:tcPr>
            <w:tcW w:w="1540" w:type="dxa"/>
            <w:tcBorders>
              <w:left w:val="single" w:color="000000" w:sz="4" w:space="0"/>
              <w:bottom w:val="single" w:color="000000" w:sz="4" w:space="0"/>
            </w:tcBorders>
            <w:vAlign w:val="center"/>
          </w:tcPr>
          <w:p w14:paraId="4F6DFF7B">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居住区成熟度</w:t>
            </w:r>
          </w:p>
        </w:tc>
        <w:tc>
          <w:tcPr>
            <w:tcW w:w="1772" w:type="dxa"/>
            <w:tcBorders>
              <w:left w:val="single" w:color="000000" w:sz="4" w:space="0"/>
              <w:bottom w:val="single" w:color="000000" w:sz="4" w:space="0"/>
            </w:tcBorders>
            <w:vAlign w:val="center"/>
          </w:tcPr>
          <w:p w14:paraId="7428C781">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估价对象周边有禧瑞天著、次渠家园、玉江佳园、定海园等居住小区，居住小区规模较大，入住率较高，综合评价居住社区成熟度较好。</w:t>
            </w:r>
          </w:p>
        </w:tc>
        <w:tc>
          <w:tcPr>
            <w:tcW w:w="1772" w:type="dxa"/>
            <w:tcBorders>
              <w:left w:val="single" w:color="000000" w:sz="4" w:space="0"/>
              <w:bottom w:val="single" w:color="000000" w:sz="4" w:space="0"/>
            </w:tcBorders>
            <w:vAlign w:val="center"/>
          </w:tcPr>
          <w:p w14:paraId="3F8AAE8D">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可比实例1周边有禧瑞天著、次渠家园、玉江佳园、定海园等居住小区居住小区，居住小区规模较大，入住率较高，综合评价居住区成熟度较好。</w:t>
            </w:r>
          </w:p>
        </w:tc>
        <w:tc>
          <w:tcPr>
            <w:tcW w:w="1772" w:type="dxa"/>
            <w:tcBorders>
              <w:left w:val="single" w:color="000000" w:sz="4" w:space="0"/>
              <w:bottom w:val="single" w:color="000000" w:sz="4" w:space="0"/>
            </w:tcBorders>
            <w:vAlign w:val="center"/>
          </w:tcPr>
          <w:p w14:paraId="4DB60A27">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可比实例2周边有禧瑞天著、次渠家园、玉江佳园、定海园等居住小区，居住小区规模较大，入住率较高，综合评价居住社区成熟度较好。</w:t>
            </w:r>
          </w:p>
        </w:tc>
        <w:tc>
          <w:tcPr>
            <w:tcW w:w="1762" w:type="dxa"/>
            <w:tcBorders>
              <w:left w:val="single" w:color="000000" w:sz="4" w:space="0"/>
              <w:bottom w:val="single" w:color="000000" w:sz="4" w:space="0"/>
              <w:right w:val="single" w:color="000000" w:sz="4" w:space="0"/>
            </w:tcBorders>
            <w:vAlign w:val="center"/>
          </w:tcPr>
          <w:p w14:paraId="4AC1E358">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可比实例3周边有天骥智谷、经海广场、康定街21号等居住小区，居住小区规模一般，周边配套齐全，综合评价居住区成熟度较好。</w:t>
            </w:r>
          </w:p>
        </w:tc>
      </w:tr>
      <w:tr w14:paraId="30E0C10E">
        <w:tblPrEx>
          <w:tblCellMar>
            <w:top w:w="0" w:type="dxa"/>
            <w:left w:w="108" w:type="dxa"/>
            <w:bottom w:w="0" w:type="dxa"/>
            <w:right w:w="108" w:type="dxa"/>
          </w:tblCellMar>
        </w:tblPrEx>
        <w:trPr>
          <w:trHeight w:val="270" w:hRule="atLeast"/>
        </w:trPr>
        <w:tc>
          <w:tcPr>
            <w:tcW w:w="680" w:type="dxa"/>
            <w:vMerge w:val="continue"/>
            <w:tcBorders>
              <w:left w:val="single" w:color="000000" w:sz="4" w:space="0"/>
              <w:bottom w:val="single" w:color="000000" w:sz="4" w:space="0"/>
            </w:tcBorders>
            <w:vAlign w:val="center"/>
          </w:tcPr>
          <w:p w14:paraId="48DFA2F7">
            <w:pPr>
              <w:widowControl/>
              <w:spacing w:line="240" w:lineRule="auto"/>
              <w:jc w:val="center"/>
              <w:textAlignment w:val="auto"/>
              <w:rPr>
                <w:rFonts w:ascii="Arial" w:hAnsi="Arial" w:eastAsia="华文细黑" w:cs="Arial"/>
                <w:sz w:val="18"/>
                <w:szCs w:val="18"/>
              </w:rPr>
            </w:pPr>
          </w:p>
        </w:tc>
        <w:tc>
          <w:tcPr>
            <w:tcW w:w="1540" w:type="dxa"/>
            <w:tcBorders>
              <w:left w:val="single" w:color="000000" w:sz="4" w:space="0"/>
              <w:bottom w:val="single" w:color="000000" w:sz="4" w:space="0"/>
            </w:tcBorders>
            <w:vAlign w:val="center"/>
          </w:tcPr>
          <w:p w14:paraId="410B918B">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交通条件</w:t>
            </w:r>
          </w:p>
        </w:tc>
        <w:tc>
          <w:tcPr>
            <w:tcW w:w="1772" w:type="dxa"/>
            <w:tcBorders>
              <w:left w:val="single" w:color="000000" w:sz="4" w:space="0"/>
              <w:bottom w:val="single" w:color="000000" w:sz="4" w:space="0"/>
            </w:tcBorders>
            <w:vAlign w:val="center"/>
          </w:tcPr>
          <w:p w14:paraId="7056B180">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估价对象所属项目紧邻城市次干道——经海六路，附近有公交车站亦城景园、经海七路南口等，停靠线路有通68路、专159路、专184路、专232路、523路等多条线路及亦庄新城现代有轨电车T1线，周边段道路情况良好，道路通达度较好，综合评价交通便捷度较好。</w:t>
            </w:r>
          </w:p>
        </w:tc>
        <w:tc>
          <w:tcPr>
            <w:tcW w:w="1772" w:type="dxa"/>
            <w:tcBorders>
              <w:left w:val="single" w:color="000000" w:sz="4" w:space="0"/>
              <w:bottom w:val="single" w:color="000000" w:sz="4" w:space="0"/>
            </w:tcBorders>
            <w:vAlign w:val="center"/>
          </w:tcPr>
          <w:p w14:paraId="0E57007C">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可比实例1临近城市次干道——科创十街等，附近有公交车站亦城景园、经海七路南口等，停靠线路有通68路、专159路、专184路、专232路、523路等多条线路及亦庄新城现代有轨电车T1线，周边段道路情况良好，道路通达度较好，综合评价交通便捷度较好。</w:t>
            </w:r>
          </w:p>
        </w:tc>
        <w:tc>
          <w:tcPr>
            <w:tcW w:w="1772" w:type="dxa"/>
            <w:tcBorders>
              <w:left w:val="single" w:color="000000" w:sz="4" w:space="0"/>
              <w:bottom w:val="single" w:color="000000" w:sz="4" w:space="0"/>
            </w:tcBorders>
            <w:vAlign w:val="center"/>
          </w:tcPr>
          <w:p w14:paraId="63899F9C">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可比实例2紧邻城市次干道——科创十一街等，距地铁亦庄线（经海路站）约300米，附近有公交车站亦城景园、经海七路南口等，停靠线路有通68路、专159路、专184路、专232路、523路等多条线路及亦庄新城现代有轨电车T1线，周边段道路情况良好，道路通达度较好，综合评价交通便捷度好。</w:t>
            </w:r>
          </w:p>
        </w:tc>
        <w:tc>
          <w:tcPr>
            <w:tcW w:w="1762" w:type="dxa"/>
            <w:tcBorders>
              <w:left w:val="single" w:color="000000" w:sz="4" w:space="0"/>
              <w:bottom w:val="single" w:color="000000" w:sz="4" w:space="0"/>
              <w:right w:val="single" w:color="000000" w:sz="4" w:space="0"/>
            </w:tcBorders>
            <w:vAlign w:val="center"/>
          </w:tcPr>
          <w:p w14:paraId="0D7D2C6B">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可比实例3紧邻城市次干道——科创十二街等，距地铁亦庄线（次渠南站）约500米，附近有公交车站科创十三街西站、汇龙森科技园等，停靠线路有523路、专182路、专232路等多条线路，距地铁亦庄号线（经海路站）约0.4公里 ，周边段道路情况良好，道路通达度较好，综合评价交通便捷度好。</w:t>
            </w:r>
          </w:p>
        </w:tc>
      </w:tr>
      <w:tr w14:paraId="450CE3CA">
        <w:tblPrEx>
          <w:tblCellMar>
            <w:top w:w="0" w:type="dxa"/>
            <w:left w:w="108" w:type="dxa"/>
            <w:bottom w:w="0" w:type="dxa"/>
            <w:right w:w="108" w:type="dxa"/>
          </w:tblCellMar>
        </w:tblPrEx>
        <w:trPr>
          <w:trHeight w:val="270" w:hRule="atLeast"/>
        </w:trPr>
        <w:tc>
          <w:tcPr>
            <w:tcW w:w="680" w:type="dxa"/>
            <w:vMerge w:val="continue"/>
            <w:tcBorders>
              <w:left w:val="single" w:color="000000" w:sz="4" w:space="0"/>
              <w:bottom w:val="single" w:color="000000" w:sz="4" w:space="0"/>
            </w:tcBorders>
            <w:vAlign w:val="center"/>
          </w:tcPr>
          <w:p w14:paraId="046D7D88">
            <w:pPr>
              <w:widowControl/>
              <w:spacing w:line="240" w:lineRule="auto"/>
              <w:jc w:val="center"/>
              <w:textAlignment w:val="auto"/>
              <w:rPr>
                <w:rFonts w:ascii="Arial" w:hAnsi="Arial" w:eastAsia="华文细黑" w:cs="Arial"/>
                <w:sz w:val="18"/>
                <w:szCs w:val="18"/>
              </w:rPr>
            </w:pPr>
          </w:p>
        </w:tc>
        <w:tc>
          <w:tcPr>
            <w:tcW w:w="1540" w:type="dxa"/>
            <w:tcBorders>
              <w:left w:val="single" w:color="000000" w:sz="4" w:space="0"/>
              <w:bottom w:val="single" w:color="000000" w:sz="4" w:space="0"/>
            </w:tcBorders>
            <w:vAlign w:val="center"/>
          </w:tcPr>
          <w:p w14:paraId="4883DF01">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商业繁华度</w:t>
            </w:r>
          </w:p>
        </w:tc>
        <w:tc>
          <w:tcPr>
            <w:tcW w:w="1772" w:type="dxa"/>
            <w:tcBorders>
              <w:left w:val="single" w:color="000000" w:sz="4" w:space="0"/>
              <w:bottom w:val="single" w:color="000000" w:sz="4" w:space="0"/>
            </w:tcBorders>
            <w:vAlign w:val="center"/>
          </w:tcPr>
          <w:p w14:paraId="3BAACD7E">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估价对象位于北京经济技术开发区，周边百发隆购物中心、中福购物中心、百尚家居建材市场等商业设施，综合评价商业设施较好。</w:t>
            </w:r>
          </w:p>
        </w:tc>
        <w:tc>
          <w:tcPr>
            <w:tcW w:w="1772" w:type="dxa"/>
            <w:tcBorders>
              <w:left w:val="single" w:color="000000" w:sz="4" w:space="0"/>
              <w:bottom w:val="single" w:color="000000" w:sz="4" w:space="0"/>
            </w:tcBorders>
            <w:vAlign w:val="center"/>
          </w:tcPr>
          <w:p w14:paraId="7C6EDFC3">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可比实例1位于北京经济技术开发区，周边百发隆购物中心、中福购物中心、百尚家居建材市场等商业设施，综合评价商业设施较好。</w:t>
            </w:r>
          </w:p>
        </w:tc>
        <w:tc>
          <w:tcPr>
            <w:tcW w:w="1772" w:type="dxa"/>
            <w:tcBorders>
              <w:left w:val="single" w:color="000000" w:sz="4" w:space="0"/>
              <w:bottom w:val="single" w:color="000000" w:sz="4" w:space="0"/>
            </w:tcBorders>
            <w:vAlign w:val="center"/>
          </w:tcPr>
          <w:p w14:paraId="641E842B">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可比实例2位于北京经济技术开发区，周边百发隆购物中心、中福购物中心、百尚家居建材市场等商业设施，综合评价商业设施较好。</w:t>
            </w:r>
          </w:p>
        </w:tc>
        <w:tc>
          <w:tcPr>
            <w:tcW w:w="1762" w:type="dxa"/>
            <w:tcBorders>
              <w:left w:val="single" w:color="000000" w:sz="4" w:space="0"/>
              <w:bottom w:val="single" w:color="000000" w:sz="4" w:space="0"/>
              <w:right w:val="single" w:color="000000" w:sz="4" w:space="0"/>
            </w:tcBorders>
            <w:vAlign w:val="center"/>
          </w:tcPr>
          <w:p w14:paraId="242C1ED7">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可比实例3位于北京经济技术开发区，周边百发隆购物中心、中福购物中心、百尚家居建材市场等商业设施，综合评价商业设施较好。</w:t>
            </w:r>
          </w:p>
        </w:tc>
      </w:tr>
      <w:tr w14:paraId="0347767C">
        <w:tblPrEx>
          <w:tblCellMar>
            <w:top w:w="0" w:type="dxa"/>
            <w:left w:w="108" w:type="dxa"/>
            <w:bottom w:w="0" w:type="dxa"/>
            <w:right w:w="108" w:type="dxa"/>
          </w:tblCellMar>
        </w:tblPrEx>
        <w:trPr>
          <w:trHeight w:val="282" w:hRule="atLeast"/>
        </w:trPr>
        <w:tc>
          <w:tcPr>
            <w:tcW w:w="680" w:type="dxa"/>
            <w:vMerge w:val="continue"/>
            <w:tcBorders>
              <w:left w:val="single" w:color="000000" w:sz="4" w:space="0"/>
              <w:bottom w:val="single" w:color="000000" w:sz="4" w:space="0"/>
            </w:tcBorders>
            <w:vAlign w:val="center"/>
          </w:tcPr>
          <w:p w14:paraId="77E7EB2F">
            <w:pPr>
              <w:widowControl/>
              <w:spacing w:line="240" w:lineRule="auto"/>
              <w:jc w:val="center"/>
              <w:textAlignment w:val="auto"/>
              <w:rPr>
                <w:rFonts w:ascii="Arial" w:hAnsi="Arial" w:eastAsia="华文细黑" w:cs="Arial"/>
                <w:sz w:val="18"/>
                <w:szCs w:val="18"/>
              </w:rPr>
            </w:pPr>
          </w:p>
        </w:tc>
        <w:tc>
          <w:tcPr>
            <w:tcW w:w="1540" w:type="dxa"/>
            <w:tcBorders>
              <w:left w:val="single" w:color="000000" w:sz="4" w:space="0"/>
              <w:bottom w:val="single" w:color="000000" w:sz="4" w:space="0"/>
            </w:tcBorders>
            <w:vAlign w:val="center"/>
          </w:tcPr>
          <w:p w14:paraId="73605FFB">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环境状况</w:t>
            </w:r>
          </w:p>
        </w:tc>
        <w:tc>
          <w:tcPr>
            <w:tcW w:w="1772" w:type="dxa"/>
            <w:tcBorders>
              <w:left w:val="single" w:color="000000" w:sz="4" w:space="0"/>
              <w:bottom w:val="single" w:color="000000" w:sz="4" w:space="0"/>
            </w:tcBorders>
            <w:vAlign w:val="center"/>
          </w:tcPr>
          <w:p w14:paraId="6C3A6FAF">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估价对象东侧临近通惠北灌渠河、南侧临近通明湖公园，周边无高等教育学校或博物馆等人文场所，综合评价环境状况一般。</w:t>
            </w:r>
          </w:p>
        </w:tc>
        <w:tc>
          <w:tcPr>
            <w:tcW w:w="1772" w:type="dxa"/>
            <w:tcBorders>
              <w:left w:val="single" w:color="000000" w:sz="4" w:space="0"/>
              <w:bottom w:val="single" w:color="000000" w:sz="4" w:space="0"/>
            </w:tcBorders>
            <w:vAlign w:val="center"/>
          </w:tcPr>
          <w:p w14:paraId="0A2D7E8B">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可比实例1临近临近通惠北灌渠河、南侧临近通明湖公园，周边无高等教育学校或博物馆等人文场所，综合评价环境状况一般。</w:t>
            </w:r>
          </w:p>
        </w:tc>
        <w:tc>
          <w:tcPr>
            <w:tcW w:w="1772" w:type="dxa"/>
            <w:tcBorders>
              <w:left w:val="single" w:color="000000" w:sz="4" w:space="0"/>
              <w:bottom w:val="single" w:color="000000" w:sz="4" w:space="0"/>
            </w:tcBorders>
            <w:vAlign w:val="center"/>
          </w:tcPr>
          <w:p w14:paraId="1DB3DB6D">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可比实例2临近通惠北灌渠河、南侧临近通明湖公园，周边无高等教育学校或博物馆等人文场所，综合评价环境状况一般。</w:t>
            </w:r>
          </w:p>
        </w:tc>
        <w:tc>
          <w:tcPr>
            <w:tcW w:w="1762" w:type="dxa"/>
            <w:tcBorders>
              <w:left w:val="single" w:color="000000" w:sz="4" w:space="0"/>
              <w:bottom w:val="single" w:color="000000" w:sz="4" w:space="0"/>
              <w:right w:val="single" w:color="000000" w:sz="4" w:space="0"/>
            </w:tcBorders>
            <w:vAlign w:val="center"/>
          </w:tcPr>
          <w:p w14:paraId="3EB2A10E">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可比实例3临近通惠北灌渠河、南侧临近通明湖公园，周边无高等教育学校或博物馆等人文场所，综合评价环境状况一般。</w:t>
            </w:r>
          </w:p>
        </w:tc>
      </w:tr>
      <w:tr w14:paraId="1197B692">
        <w:tblPrEx>
          <w:tblCellMar>
            <w:top w:w="0" w:type="dxa"/>
            <w:left w:w="108" w:type="dxa"/>
            <w:bottom w:w="0" w:type="dxa"/>
            <w:right w:w="108" w:type="dxa"/>
          </w:tblCellMar>
        </w:tblPrEx>
        <w:trPr>
          <w:trHeight w:val="1200" w:hRule="atLeast"/>
        </w:trPr>
        <w:tc>
          <w:tcPr>
            <w:tcW w:w="680" w:type="dxa"/>
            <w:vMerge w:val="continue"/>
            <w:tcBorders>
              <w:left w:val="single" w:color="000000" w:sz="4" w:space="0"/>
              <w:bottom w:val="single" w:color="000000" w:sz="4" w:space="0"/>
            </w:tcBorders>
            <w:vAlign w:val="center"/>
          </w:tcPr>
          <w:p w14:paraId="64C74631">
            <w:pPr>
              <w:widowControl/>
              <w:spacing w:line="240" w:lineRule="auto"/>
              <w:jc w:val="center"/>
              <w:textAlignment w:val="auto"/>
              <w:rPr>
                <w:rFonts w:ascii="Arial" w:hAnsi="Arial" w:eastAsia="华文细黑" w:cs="Arial"/>
                <w:sz w:val="18"/>
                <w:szCs w:val="18"/>
              </w:rPr>
            </w:pPr>
          </w:p>
        </w:tc>
        <w:tc>
          <w:tcPr>
            <w:tcW w:w="1540" w:type="dxa"/>
            <w:tcBorders>
              <w:left w:val="single" w:color="000000" w:sz="4" w:space="0"/>
              <w:bottom w:val="single" w:color="000000" w:sz="4" w:space="0"/>
            </w:tcBorders>
            <w:vAlign w:val="center"/>
          </w:tcPr>
          <w:p w14:paraId="7A369731">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公共配套</w:t>
            </w:r>
          </w:p>
        </w:tc>
        <w:tc>
          <w:tcPr>
            <w:tcW w:w="1772" w:type="dxa"/>
            <w:tcBorders>
              <w:left w:val="single" w:color="000000" w:sz="4" w:space="0"/>
              <w:bottom w:val="single" w:color="000000" w:sz="4" w:space="0"/>
            </w:tcBorders>
            <w:vAlign w:val="center"/>
          </w:tcPr>
          <w:p w14:paraId="56CCBA07">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估价对象所在区域周边2公里范围内有北京银行、北京农商银行、中国农业银行等金融机构；家和新天地商业中心等商服机构；周边有北京市建华实验亦庄学校、亦庄小学、定海园幼儿园等教育机构；有通州区第三医院、次渠北里社区卫生服务站等医疗机构设施。公共配套设施较齐全。</w:t>
            </w:r>
          </w:p>
        </w:tc>
        <w:tc>
          <w:tcPr>
            <w:tcW w:w="1772" w:type="dxa"/>
            <w:tcBorders>
              <w:left w:val="single" w:color="000000" w:sz="4" w:space="0"/>
              <w:bottom w:val="single" w:color="000000" w:sz="4" w:space="0"/>
            </w:tcBorders>
            <w:vAlign w:val="center"/>
          </w:tcPr>
          <w:p w14:paraId="664699F6">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可比实例1所在区域周边2公里范围内有北京银行、北京农商银行、中国农业银行等金融机构；家和新天地商业中心等商服机构；周边有北京市建华实验亦庄学校、亦庄小学、定海园幼儿园等教育机构；有通州区第三医院、次渠北里社区卫生服务站等医疗机构设施。公共配套设施较齐全。</w:t>
            </w:r>
          </w:p>
        </w:tc>
        <w:tc>
          <w:tcPr>
            <w:tcW w:w="1772" w:type="dxa"/>
            <w:tcBorders>
              <w:left w:val="single" w:color="000000" w:sz="4" w:space="0"/>
              <w:bottom w:val="single" w:color="000000" w:sz="4" w:space="0"/>
            </w:tcBorders>
            <w:vAlign w:val="center"/>
          </w:tcPr>
          <w:p w14:paraId="38E2533E">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可比实例2所在区域周边2公里范围内有北京银行、北京农商银行、中国农业银行等金融机构；家和新天地商业中心等商服机构；周边有北京市建华实验亦庄学校、亦庄小学、定海园幼儿园等教育机构；有通州区第三医院、次渠北里社区卫生服务站等医疗机构设施。公共配套设施较齐全。</w:t>
            </w:r>
          </w:p>
        </w:tc>
        <w:tc>
          <w:tcPr>
            <w:tcW w:w="1762" w:type="dxa"/>
            <w:tcBorders>
              <w:left w:val="single" w:color="000000" w:sz="4" w:space="0"/>
              <w:bottom w:val="single" w:color="000000" w:sz="4" w:space="0"/>
              <w:right w:val="single" w:color="000000" w:sz="4" w:space="0"/>
            </w:tcBorders>
            <w:vAlign w:val="center"/>
          </w:tcPr>
          <w:p w14:paraId="2023E720">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可比实例3所在区域周边2公里范围内有北京银行、北京农商银行、中国农业银行等金融机构；家和新天地商业中心等商服机构；周边有北京市建华实验亦庄学校、亦庄小学、定海园幼儿园等教育机构；有通州区第三医院、次渠北里社区卫生服务站等医疗机构设施。公共配套设施较齐全。</w:t>
            </w:r>
          </w:p>
        </w:tc>
      </w:tr>
      <w:tr w14:paraId="58CBDC56">
        <w:tblPrEx>
          <w:tblCellMar>
            <w:top w:w="0" w:type="dxa"/>
            <w:left w:w="108" w:type="dxa"/>
            <w:bottom w:w="0" w:type="dxa"/>
            <w:right w:w="108" w:type="dxa"/>
          </w:tblCellMar>
        </w:tblPrEx>
        <w:trPr>
          <w:trHeight w:val="270" w:hRule="atLeast"/>
        </w:trPr>
        <w:tc>
          <w:tcPr>
            <w:tcW w:w="680" w:type="dxa"/>
            <w:vMerge w:val="restart"/>
            <w:tcBorders>
              <w:top w:val="single" w:color="000000" w:sz="4" w:space="0"/>
              <w:left w:val="single" w:color="000000" w:sz="4" w:space="0"/>
            </w:tcBorders>
            <w:vAlign w:val="center"/>
          </w:tcPr>
          <w:p w14:paraId="45EE95C2">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实物状况</w:t>
            </w:r>
          </w:p>
        </w:tc>
        <w:tc>
          <w:tcPr>
            <w:tcW w:w="1540" w:type="dxa"/>
            <w:tcBorders>
              <w:top w:val="single" w:color="000000" w:sz="4" w:space="0"/>
              <w:left w:val="single" w:color="000000" w:sz="4" w:space="0"/>
              <w:bottom w:val="single" w:color="000000" w:sz="4" w:space="0"/>
            </w:tcBorders>
            <w:vAlign w:val="center"/>
          </w:tcPr>
          <w:p w14:paraId="1FC3A4E9">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物业服务</w:t>
            </w:r>
          </w:p>
        </w:tc>
        <w:tc>
          <w:tcPr>
            <w:tcW w:w="1772" w:type="dxa"/>
            <w:tcBorders>
              <w:top w:val="single" w:color="000000" w:sz="4" w:space="0"/>
              <w:left w:val="single" w:color="000000" w:sz="4" w:space="0"/>
              <w:bottom w:val="single" w:color="000000" w:sz="4" w:space="0"/>
            </w:tcBorders>
            <w:vAlign w:val="center"/>
          </w:tcPr>
          <w:p w14:paraId="290E115D">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有专业物业公司，物业服务保障好。</w:t>
            </w:r>
          </w:p>
        </w:tc>
        <w:tc>
          <w:tcPr>
            <w:tcW w:w="1772" w:type="dxa"/>
            <w:tcBorders>
              <w:top w:val="single" w:color="000000" w:sz="4" w:space="0"/>
              <w:left w:val="single" w:color="000000" w:sz="4" w:space="0"/>
              <w:bottom w:val="single" w:color="000000" w:sz="4" w:space="0"/>
            </w:tcBorders>
            <w:vAlign w:val="center"/>
          </w:tcPr>
          <w:p w14:paraId="490F51B2">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有专业物业公司，物业服务保障好。</w:t>
            </w:r>
          </w:p>
        </w:tc>
        <w:tc>
          <w:tcPr>
            <w:tcW w:w="1772" w:type="dxa"/>
            <w:tcBorders>
              <w:top w:val="single" w:color="000000" w:sz="4" w:space="0"/>
              <w:left w:val="single" w:color="000000" w:sz="4" w:space="0"/>
              <w:bottom w:val="single" w:color="000000" w:sz="4" w:space="0"/>
            </w:tcBorders>
            <w:vAlign w:val="center"/>
          </w:tcPr>
          <w:p w14:paraId="20A7D7AF">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有专业物业公司，物业服务保障好。</w:t>
            </w:r>
          </w:p>
        </w:tc>
        <w:tc>
          <w:tcPr>
            <w:tcW w:w="1762" w:type="dxa"/>
            <w:tcBorders>
              <w:top w:val="single" w:color="000000" w:sz="4" w:space="0"/>
              <w:left w:val="single" w:color="000000" w:sz="4" w:space="0"/>
              <w:bottom w:val="single" w:color="000000" w:sz="4" w:space="0"/>
              <w:right w:val="single" w:color="000000" w:sz="4" w:space="0"/>
            </w:tcBorders>
            <w:vAlign w:val="center"/>
          </w:tcPr>
          <w:p w14:paraId="2800719A">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有专业物业公司，物业服务保障好。</w:t>
            </w:r>
          </w:p>
        </w:tc>
      </w:tr>
      <w:tr w14:paraId="7F6612AC">
        <w:tblPrEx>
          <w:tblCellMar>
            <w:top w:w="0" w:type="dxa"/>
            <w:left w:w="108" w:type="dxa"/>
            <w:bottom w:w="0" w:type="dxa"/>
            <w:right w:w="108" w:type="dxa"/>
          </w:tblCellMar>
        </w:tblPrEx>
        <w:trPr>
          <w:trHeight w:val="510" w:hRule="atLeast"/>
        </w:trPr>
        <w:tc>
          <w:tcPr>
            <w:tcW w:w="680" w:type="dxa"/>
            <w:vMerge w:val="continue"/>
            <w:tcBorders>
              <w:top w:val="single" w:color="000000" w:sz="4" w:space="0"/>
              <w:left w:val="single" w:color="000000" w:sz="4" w:space="0"/>
            </w:tcBorders>
            <w:vAlign w:val="center"/>
          </w:tcPr>
          <w:p w14:paraId="56FD4D7D">
            <w:pPr>
              <w:widowControl/>
              <w:spacing w:line="240" w:lineRule="auto"/>
              <w:jc w:val="center"/>
              <w:textAlignment w:val="auto"/>
              <w:rPr>
                <w:rFonts w:ascii="Arial" w:hAnsi="Arial" w:eastAsia="华文细黑" w:cs="Arial"/>
                <w:sz w:val="18"/>
                <w:szCs w:val="18"/>
              </w:rPr>
            </w:pPr>
          </w:p>
        </w:tc>
        <w:tc>
          <w:tcPr>
            <w:tcW w:w="1540" w:type="dxa"/>
            <w:tcBorders>
              <w:top w:val="single" w:color="000000" w:sz="4" w:space="0"/>
              <w:left w:val="single" w:color="000000" w:sz="4" w:space="0"/>
              <w:bottom w:val="single" w:color="000000" w:sz="4" w:space="0"/>
            </w:tcBorders>
            <w:vAlign w:val="center"/>
          </w:tcPr>
          <w:p w14:paraId="32ECCC8D">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小区环境</w:t>
            </w:r>
          </w:p>
        </w:tc>
        <w:tc>
          <w:tcPr>
            <w:tcW w:w="1772" w:type="dxa"/>
            <w:tcBorders>
              <w:top w:val="single" w:color="000000" w:sz="4" w:space="0"/>
              <w:left w:val="single" w:color="000000" w:sz="4" w:space="0"/>
              <w:bottom w:val="single" w:color="000000" w:sz="4" w:space="0"/>
            </w:tcBorders>
            <w:vAlign w:val="center"/>
          </w:tcPr>
          <w:p w14:paraId="24B7E1B0">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绿化率约为30%，较好</w:t>
            </w:r>
          </w:p>
        </w:tc>
        <w:tc>
          <w:tcPr>
            <w:tcW w:w="1772" w:type="dxa"/>
            <w:tcBorders>
              <w:top w:val="single" w:color="000000" w:sz="4" w:space="0"/>
              <w:left w:val="single" w:color="000000" w:sz="4" w:space="0"/>
              <w:bottom w:val="single" w:color="000000" w:sz="4" w:space="0"/>
            </w:tcBorders>
            <w:vAlign w:val="center"/>
          </w:tcPr>
          <w:p w14:paraId="0CB8C9BA">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绿化率约为30%，较好</w:t>
            </w:r>
          </w:p>
        </w:tc>
        <w:tc>
          <w:tcPr>
            <w:tcW w:w="1772" w:type="dxa"/>
            <w:tcBorders>
              <w:top w:val="single" w:color="000000" w:sz="4" w:space="0"/>
              <w:left w:val="single" w:color="000000" w:sz="4" w:space="0"/>
              <w:bottom w:val="single" w:color="000000" w:sz="4" w:space="0"/>
            </w:tcBorders>
            <w:vAlign w:val="center"/>
          </w:tcPr>
          <w:p w14:paraId="7F58F7E2">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绿化率约为30%，较好</w:t>
            </w:r>
          </w:p>
        </w:tc>
        <w:tc>
          <w:tcPr>
            <w:tcW w:w="1762" w:type="dxa"/>
            <w:tcBorders>
              <w:top w:val="single" w:color="000000" w:sz="4" w:space="0"/>
              <w:left w:val="single" w:color="000000" w:sz="4" w:space="0"/>
              <w:bottom w:val="single" w:color="000000" w:sz="4" w:space="0"/>
              <w:right w:val="single" w:color="000000" w:sz="4" w:space="0"/>
            </w:tcBorders>
            <w:vAlign w:val="center"/>
          </w:tcPr>
          <w:p w14:paraId="458C9417">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绿化率约为30%，较好</w:t>
            </w:r>
          </w:p>
        </w:tc>
      </w:tr>
      <w:tr w14:paraId="3055CD82">
        <w:tblPrEx>
          <w:tblCellMar>
            <w:top w:w="0" w:type="dxa"/>
            <w:left w:w="108" w:type="dxa"/>
            <w:bottom w:w="0" w:type="dxa"/>
            <w:right w:w="108" w:type="dxa"/>
          </w:tblCellMar>
        </w:tblPrEx>
        <w:trPr>
          <w:trHeight w:val="510" w:hRule="atLeast"/>
        </w:trPr>
        <w:tc>
          <w:tcPr>
            <w:tcW w:w="680" w:type="dxa"/>
            <w:vMerge w:val="continue"/>
            <w:tcBorders>
              <w:top w:val="single" w:color="000000" w:sz="4" w:space="0"/>
              <w:left w:val="single" w:color="000000" w:sz="4" w:space="0"/>
            </w:tcBorders>
            <w:vAlign w:val="center"/>
          </w:tcPr>
          <w:p w14:paraId="41257252">
            <w:pPr>
              <w:widowControl/>
              <w:spacing w:line="240" w:lineRule="auto"/>
              <w:jc w:val="center"/>
              <w:textAlignment w:val="auto"/>
              <w:rPr>
                <w:rFonts w:ascii="Arial" w:hAnsi="Arial" w:eastAsia="华文细黑" w:cs="Arial"/>
                <w:sz w:val="18"/>
                <w:szCs w:val="18"/>
              </w:rPr>
            </w:pPr>
          </w:p>
        </w:tc>
        <w:tc>
          <w:tcPr>
            <w:tcW w:w="1540" w:type="dxa"/>
            <w:tcBorders>
              <w:top w:val="single" w:color="000000" w:sz="4" w:space="0"/>
              <w:left w:val="single" w:color="000000" w:sz="4" w:space="0"/>
              <w:bottom w:val="single" w:color="000000" w:sz="4" w:space="0"/>
            </w:tcBorders>
            <w:vAlign w:val="center"/>
          </w:tcPr>
          <w:p w14:paraId="64D869D2">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配套设施</w:t>
            </w:r>
          </w:p>
        </w:tc>
        <w:tc>
          <w:tcPr>
            <w:tcW w:w="1772" w:type="dxa"/>
            <w:tcBorders>
              <w:top w:val="single" w:color="000000" w:sz="4" w:space="0"/>
              <w:left w:val="single" w:color="000000" w:sz="4" w:space="0"/>
              <w:bottom w:val="single" w:color="000000" w:sz="4" w:space="0"/>
            </w:tcBorders>
            <w:vAlign w:val="center"/>
          </w:tcPr>
          <w:p w14:paraId="08C33739">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配备健身房、活动空间、医疗站</w:t>
            </w:r>
          </w:p>
        </w:tc>
        <w:tc>
          <w:tcPr>
            <w:tcW w:w="1772" w:type="dxa"/>
            <w:tcBorders>
              <w:top w:val="single" w:color="000000" w:sz="4" w:space="0"/>
              <w:left w:val="single" w:color="000000" w:sz="4" w:space="0"/>
              <w:bottom w:val="single" w:color="000000" w:sz="4" w:space="0"/>
            </w:tcBorders>
            <w:vAlign w:val="center"/>
          </w:tcPr>
          <w:p w14:paraId="126BF382">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配备活动站、医疗站</w:t>
            </w:r>
          </w:p>
        </w:tc>
        <w:tc>
          <w:tcPr>
            <w:tcW w:w="1772" w:type="dxa"/>
            <w:tcBorders>
              <w:top w:val="single" w:color="000000" w:sz="4" w:space="0"/>
              <w:left w:val="single" w:color="000000" w:sz="4" w:space="0"/>
              <w:bottom w:val="single" w:color="000000" w:sz="4" w:space="0"/>
            </w:tcBorders>
            <w:vAlign w:val="center"/>
          </w:tcPr>
          <w:p w14:paraId="617A5FA3">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配备活动站、医疗站</w:t>
            </w:r>
          </w:p>
        </w:tc>
        <w:tc>
          <w:tcPr>
            <w:tcW w:w="1762" w:type="dxa"/>
            <w:tcBorders>
              <w:top w:val="single" w:color="000000" w:sz="4" w:space="0"/>
              <w:left w:val="single" w:color="000000" w:sz="4" w:space="0"/>
              <w:bottom w:val="single" w:color="000000" w:sz="4" w:space="0"/>
              <w:right w:val="single" w:color="000000" w:sz="4" w:space="0"/>
            </w:tcBorders>
            <w:vAlign w:val="center"/>
          </w:tcPr>
          <w:p w14:paraId="121BEB7A">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配备活动站、医疗站</w:t>
            </w:r>
          </w:p>
        </w:tc>
      </w:tr>
      <w:tr w14:paraId="7B8E4122">
        <w:tblPrEx>
          <w:tblCellMar>
            <w:top w:w="0" w:type="dxa"/>
            <w:left w:w="108" w:type="dxa"/>
            <w:bottom w:w="0" w:type="dxa"/>
            <w:right w:w="108" w:type="dxa"/>
          </w:tblCellMar>
        </w:tblPrEx>
        <w:trPr>
          <w:trHeight w:val="270" w:hRule="atLeast"/>
        </w:trPr>
        <w:tc>
          <w:tcPr>
            <w:tcW w:w="680" w:type="dxa"/>
            <w:vMerge w:val="continue"/>
            <w:tcBorders>
              <w:top w:val="single" w:color="000000" w:sz="4" w:space="0"/>
              <w:left w:val="single" w:color="000000" w:sz="4" w:space="0"/>
            </w:tcBorders>
            <w:vAlign w:val="center"/>
          </w:tcPr>
          <w:p w14:paraId="42F3976A">
            <w:pPr>
              <w:widowControl/>
              <w:spacing w:line="240" w:lineRule="auto"/>
              <w:jc w:val="center"/>
              <w:textAlignment w:val="auto"/>
              <w:rPr>
                <w:rFonts w:ascii="Arial" w:hAnsi="Arial" w:eastAsia="华文细黑" w:cs="Arial"/>
                <w:sz w:val="18"/>
                <w:szCs w:val="18"/>
              </w:rPr>
            </w:pPr>
          </w:p>
        </w:tc>
        <w:tc>
          <w:tcPr>
            <w:tcW w:w="1540" w:type="dxa"/>
            <w:tcBorders>
              <w:top w:val="single" w:color="000000" w:sz="4" w:space="0"/>
              <w:left w:val="single" w:color="000000" w:sz="4" w:space="0"/>
              <w:bottom w:val="single" w:color="000000" w:sz="4" w:space="0"/>
            </w:tcBorders>
            <w:vAlign w:val="center"/>
          </w:tcPr>
          <w:p w14:paraId="67BB2A64">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居住管理</w:t>
            </w:r>
          </w:p>
        </w:tc>
        <w:tc>
          <w:tcPr>
            <w:tcW w:w="1772" w:type="dxa"/>
            <w:tcBorders>
              <w:top w:val="single" w:color="000000" w:sz="4" w:space="0"/>
              <w:left w:val="single" w:color="000000" w:sz="4" w:space="0"/>
              <w:bottom w:val="single" w:color="000000" w:sz="4" w:space="0"/>
            </w:tcBorders>
            <w:vAlign w:val="center"/>
          </w:tcPr>
          <w:p w14:paraId="1A89CC40">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配备专业管理人员，数量充足，居住管理好</w:t>
            </w:r>
          </w:p>
        </w:tc>
        <w:tc>
          <w:tcPr>
            <w:tcW w:w="1772" w:type="dxa"/>
            <w:tcBorders>
              <w:top w:val="single" w:color="000000" w:sz="4" w:space="0"/>
              <w:left w:val="single" w:color="000000" w:sz="4" w:space="0"/>
              <w:bottom w:val="single" w:color="000000" w:sz="4" w:space="0"/>
            </w:tcBorders>
            <w:vAlign w:val="center"/>
          </w:tcPr>
          <w:p w14:paraId="2E926881">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配备管理人员，数量充足，居住管理较好</w:t>
            </w:r>
          </w:p>
        </w:tc>
        <w:tc>
          <w:tcPr>
            <w:tcW w:w="1772" w:type="dxa"/>
            <w:tcBorders>
              <w:top w:val="single" w:color="000000" w:sz="4" w:space="0"/>
              <w:left w:val="single" w:color="000000" w:sz="4" w:space="0"/>
              <w:bottom w:val="single" w:color="000000" w:sz="4" w:space="0"/>
            </w:tcBorders>
            <w:vAlign w:val="center"/>
          </w:tcPr>
          <w:p w14:paraId="3C33FF51">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配备管理人员，数量充足，居住管理较好</w:t>
            </w:r>
          </w:p>
        </w:tc>
        <w:tc>
          <w:tcPr>
            <w:tcW w:w="1762" w:type="dxa"/>
            <w:tcBorders>
              <w:top w:val="single" w:color="000000" w:sz="4" w:space="0"/>
              <w:left w:val="single" w:color="000000" w:sz="4" w:space="0"/>
              <w:bottom w:val="single" w:color="000000" w:sz="4" w:space="0"/>
              <w:right w:val="single" w:color="000000" w:sz="4" w:space="0"/>
            </w:tcBorders>
            <w:vAlign w:val="center"/>
          </w:tcPr>
          <w:p w14:paraId="3FB4DD7E">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配备管理人员，数量充足，居住管理较好</w:t>
            </w:r>
          </w:p>
        </w:tc>
      </w:tr>
      <w:tr w14:paraId="30FF84A1">
        <w:tblPrEx>
          <w:tblCellMar>
            <w:top w:w="0" w:type="dxa"/>
            <w:left w:w="108" w:type="dxa"/>
            <w:bottom w:w="0" w:type="dxa"/>
            <w:right w:w="108" w:type="dxa"/>
          </w:tblCellMar>
        </w:tblPrEx>
        <w:trPr>
          <w:trHeight w:val="549" w:hRule="atLeast"/>
        </w:trPr>
        <w:tc>
          <w:tcPr>
            <w:tcW w:w="680" w:type="dxa"/>
            <w:vMerge w:val="continue"/>
            <w:tcBorders>
              <w:top w:val="single" w:color="000000" w:sz="4" w:space="0"/>
              <w:left w:val="single" w:color="000000" w:sz="4" w:space="0"/>
            </w:tcBorders>
            <w:vAlign w:val="center"/>
          </w:tcPr>
          <w:p w14:paraId="3313F3EE">
            <w:pPr>
              <w:widowControl/>
              <w:spacing w:line="240" w:lineRule="auto"/>
              <w:jc w:val="center"/>
              <w:textAlignment w:val="auto"/>
              <w:rPr>
                <w:rFonts w:ascii="Arial" w:hAnsi="Arial" w:eastAsia="华文细黑" w:cs="Arial"/>
                <w:sz w:val="18"/>
                <w:szCs w:val="18"/>
              </w:rPr>
            </w:pPr>
          </w:p>
        </w:tc>
        <w:tc>
          <w:tcPr>
            <w:tcW w:w="1540" w:type="dxa"/>
            <w:tcBorders>
              <w:top w:val="single" w:color="000000" w:sz="4" w:space="0"/>
              <w:left w:val="single" w:color="000000" w:sz="4" w:space="0"/>
              <w:bottom w:val="single" w:color="000000" w:sz="4" w:space="0"/>
            </w:tcBorders>
            <w:vAlign w:val="center"/>
          </w:tcPr>
          <w:p w14:paraId="6BAF46D1">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户型</w:t>
            </w:r>
          </w:p>
        </w:tc>
        <w:tc>
          <w:tcPr>
            <w:tcW w:w="1772" w:type="dxa"/>
            <w:tcBorders>
              <w:top w:val="single" w:color="000000" w:sz="4" w:space="0"/>
              <w:left w:val="single" w:color="000000" w:sz="4" w:space="0"/>
              <w:bottom w:val="single" w:color="000000" w:sz="4" w:space="0"/>
            </w:tcBorders>
            <w:vAlign w:val="center"/>
          </w:tcPr>
          <w:p w14:paraId="7943B6BE">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主力户型为二居室，住宅套型较好</w:t>
            </w:r>
          </w:p>
        </w:tc>
        <w:tc>
          <w:tcPr>
            <w:tcW w:w="1772" w:type="dxa"/>
            <w:tcBorders>
              <w:top w:val="single" w:color="000000" w:sz="4" w:space="0"/>
              <w:left w:val="single" w:color="000000" w:sz="4" w:space="0"/>
              <w:bottom w:val="single" w:color="000000" w:sz="4" w:space="0"/>
            </w:tcBorders>
            <w:vAlign w:val="center"/>
          </w:tcPr>
          <w:p w14:paraId="521912E1">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主力户型为三居室，住宅套型较好</w:t>
            </w:r>
          </w:p>
        </w:tc>
        <w:tc>
          <w:tcPr>
            <w:tcW w:w="1772" w:type="dxa"/>
            <w:tcBorders>
              <w:top w:val="single" w:color="000000" w:sz="4" w:space="0"/>
              <w:left w:val="single" w:color="000000" w:sz="4" w:space="0"/>
              <w:bottom w:val="single" w:color="000000" w:sz="4" w:space="0"/>
            </w:tcBorders>
            <w:vAlign w:val="center"/>
          </w:tcPr>
          <w:p w14:paraId="4B6F80CB">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主力户型为二居室，住宅套型较好</w:t>
            </w:r>
          </w:p>
        </w:tc>
        <w:tc>
          <w:tcPr>
            <w:tcW w:w="1762" w:type="dxa"/>
            <w:tcBorders>
              <w:top w:val="single" w:color="000000" w:sz="4" w:space="0"/>
              <w:left w:val="single" w:color="000000" w:sz="4" w:space="0"/>
              <w:bottom w:val="single" w:color="000000" w:sz="4" w:space="0"/>
              <w:right w:val="single" w:color="000000" w:sz="4" w:space="0"/>
            </w:tcBorders>
            <w:vAlign w:val="center"/>
          </w:tcPr>
          <w:p w14:paraId="393851F2">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主力户型为二居室，住宅套型较好</w:t>
            </w:r>
          </w:p>
        </w:tc>
      </w:tr>
      <w:tr w14:paraId="34F344E9">
        <w:tblPrEx>
          <w:tblCellMar>
            <w:top w:w="0" w:type="dxa"/>
            <w:left w:w="108" w:type="dxa"/>
            <w:bottom w:w="0" w:type="dxa"/>
            <w:right w:w="108" w:type="dxa"/>
          </w:tblCellMar>
        </w:tblPrEx>
        <w:trPr>
          <w:trHeight w:val="549" w:hRule="atLeast"/>
        </w:trPr>
        <w:tc>
          <w:tcPr>
            <w:tcW w:w="680" w:type="dxa"/>
            <w:vMerge w:val="continue"/>
            <w:tcBorders>
              <w:top w:val="single" w:color="000000" w:sz="4" w:space="0"/>
              <w:left w:val="single" w:color="000000" w:sz="4" w:space="0"/>
            </w:tcBorders>
            <w:vAlign w:val="center"/>
          </w:tcPr>
          <w:p w14:paraId="4F74CA8B">
            <w:pPr>
              <w:widowControl/>
              <w:spacing w:line="240" w:lineRule="auto"/>
              <w:jc w:val="center"/>
              <w:textAlignment w:val="auto"/>
              <w:rPr>
                <w:rFonts w:ascii="Arial" w:hAnsi="Arial" w:eastAsia="华文细黑" w:cs="Arial"/>
                <w:sz w:val="18"/>
                <w:szCs w:val="18"/>
              </w:rPr>
            </w:pPr>
          </w:p>
        </w:tc>
        <w:tc>
          <w:tcPr>
            <w:tcW w:w="1540" w:type="dxa"/>
            <w:tcBorders>
              <w:top w:val="single" w:color="000000" w:sz="4" w:space="0"/>
              <w:left w:val="single" w:color="000000" w:sz="4" w:space="0"/>
              <w:bottom w:val="single" w:color="000000" w:sz="4" w:space="0"/>
            </w:tcBorders>
            <w:vAlign w:val="center"/>
          </w:tcPr>
          <w:p w14:paraId="7520BAD7">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朝向、采光、通风</w:t>
            </w:r>
          </w:p>
        </w:tc>
        <w:tc>
          <w:tcPr>
            <w:tcW w:w="1772" w:type="dxa"/>
            <w:tcBorders>
              <w:top w:val="single" w:color="000000" w:sz="4" w:space="0"/>
              <w:left w:val="single" w:color="000000" w:sz="4" w:space="0"/>
              <w:bottom w:val="single" w:color="000000" w:sz="4" w:space="0"/>
            </w:tcBorders>
            <w:vAlign w:val="center"/>
          </w:tcPr>
          <w:p w14:paraId="51FD6014">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朝向好，能保证较长时间的采光，通风较好，综合分析朝向、采光、通风状况较好（南）</w:t>
            </w:r>
          </w:p>
        </w:tc>
        <w:tc>
          <w:tcPr>
            <w:tcW w:w="1772" w:type="dxa"/>
            <w:tcBorders>
              <w:top w:val="single" w:color="000000" w:sz="4" w:space="0"/>
              <w:left w:val="single" w:color="000000" w:sz="4" w:space="0"/>
              <w:bottom w:val="single" w:color="000000" w:sz="4" w:space="0"/>
            </w:tcBorders>
            <w:vAlign w:val="center"/>
          </w:tcPr>
          <w:p w14:paraId="0802A681">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朝向好，能保证较长时间的采光，通风较好，综合分析朝向、采光、通风状况好（南北）</w:t>
            </w:r>
          </w:p>
        </w:tc>
        <w:tc>
          <w:tcPr>
            <w:tcW w:w="1772" w:type="dxa"/>
            <w:tcBorders>
              <w:top w:val="single" w:color="000000" w:sz="4" w:space="0"/>
              <w:left w:val="single" w:color="000000" w:sz="4" w:space="0"/>
              <w:bottom w:val="single" w:color="000000" w:sz="4" w:space="0"/>
            </w:tcBorders>
            <w:vAlign w:val="center"/>
          </w:tcPr>
          <w:p w14:paraId="46B40F92">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朝向好，能保证较长时间的采光，通风较好，综合分析朝向、采光、通风状况好（南北）</w:t>
            </w:r>
          </w:p>
        </w:tc>
        <w:tc>
          <w:tcPr>
            <w:tcW w:w="1762" w:type="dxa"/>
            <w:tcBorders>
              <w:top w:val="single" w:color="000000" w:sz="4" w:space="0"/>
              <w:left w:val="single" w:color="000000" w:sz="4" w:space="0"/>
              <w:bottom w:val="single" w:color="000000" w:sz="4" w:space="0"/>
              <w:right w:val="single" w:color="000000" w:sz="4" w:space="0"/>
            </w:tcBorders>
            <w:vAlign w:val="center"/>
          </w:tcPr>
          <w:p w14:paraId="6D1EB7E0">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朝向好，能保证较长时间的采光，通风较好，综合分析朝向、采光、通风状况好（南北）</w:t>
            </w:r>
          </w:p>
        </w:tc>
      </w:tr>
      <w:tr w14:paraId="3864D833">
        <w:tblPrEx>
          <w:tblCellMar>
            <w:top w:w="0" w:type="dxa"/>
            <w:left w:w="108" w:type="dxa"/>
            <w:bottom w:w="0" w:type="dxa"/>
            <w:right w:w="108" w:type="dxa"/>
          </w:tblCellMar>
        </w:tblPrEx>
        <w:trPr>
          <w:trHeight w:val="1020" w:hRule="atLeast"/>
        </w:trPr>
        <w:tc>
          <w:tcPr>
            <w:tcW w:w="680" w:type="dxa"/>
            <w:vMerge w:val="continue"/>
            <w:tcBorders>
              <w:top w:val="single" w:color="000000" w:sz="4" w:space="0"/>
              <w:left w:val="single" w:color="000000" w:sz="4" w:space="0"/>
            </w:tcBorders>
            <w:vAlign w:val="center"/>
          </w:tcPr>
          <w:p w14:paraId="70B92C83">
            <w:pPr>
              <w:widowControl/>
              <w:spacing w:line="240" w:lineRule="auto"/>
              <w:jc w:val="center"/>
              <w:textAlignment w:val="auto"/>
              <w:rPr>
                <w:rFonts w:ascii="Arial" w:hAnsi="Arial" w:eastAsia="华文细黑" w:cs="Arial"/>
                <w:sz w:val="18"/>
                <w:szCs w:val="18"/>
              </w:rPr>
            </w:pPr>
          </w:p>
        </w:tc>
        <w:tc>
          <w:tcPr>
            <w:tcW w:w="1540" w:type="dxa"/>
            <w:tcBorders>
              <w:top w:val="single" w:color="000000" w:sz="4" w:space="0"/>
              <w:left w:val="single" w:color="000000" w:sz="4" w:space="0"/>
              <w:bottom w:val="single" w:color="000000" w:sz="4" w:space="0"/>
            </w:tcBorders>
            <w:vAlign w:val="center"/>
          </w:tcPr>
          <w:p w14:paraId="00C3A57F">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装修</w:t>
            </w:r>
          </w:p>
        </w:tc>
        <w:tc>
          <w:tcPr>
            <w:tcW w:w="1772" w:type="dxa"/>
            <w:tcBorders>
              <w:top w:val="single" w:color="000000" w:sz="4" w:space="0"/>
              <w:left w:val="single" w:color="000000" w:sz="4" w:space="0"/>
              <w:bottom w:val="single" w:color="000000" w:sz="4" w:space="0"/>
            </w:tcBorders>
            <w:vAlign w:val="center"/>
          </w:tcPr>
          <w:p w14:paraId="05736ECE">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简单装修</w:t>
            </w:r>
          </w:p>
        </w:tc>
        <w:tc>
          <w:tcPr>
            <w:tcW w:w="1772" w:type="dxa"/>
            <w:tcBorders>
              <w:top w:val="single" w:color="000000" w:sz="4" w:space="0"/>
              <w:left w:val="single" w:color="000000" w:sz="4" w:space="0"/>
              <w:bottom w:val="single" w:color="000000" w:sz="4" w:space="0"/>
            </w:tcBorders>
            <w:vAlign w:val="center"/>
          </w:tcPr>
          <w:p w14:paraId="2C5AF518">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该小区装修为普通装修，装修用材环保，经过精心设计，提升居住体验，较好</w:t>
            </w:r>
          </w:p>
        </w:tc>
        <w:tc>
          <w:tcPr>
            <w:tcW w:w="1772" w:type="dxa"/>
            <w:tcBorders>
              <w:top w:val="single" w:color="000000" w:sz="4" w:space="0"/>
              <w:left w:val="single" w:color="000000" w:sz="4" w:space="0"/>
              <w:bottom w:val="single" w:color="000000" w:sz="4" w:space="0"/>
            </w:tcBorders>
            <w:vAlign w:val="center"/>
          </w:tcPr>
          <w:p w14:paraId="2DC10B1B">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该小区装修为普通装修，装修用材环保，经过精心设计，提升居住体验，较好</w:t>
            </w:r>
          </w:p>
        </w:tc>
        <w:tc>
          <w:tcPr>
            <w:tcW w:w="1762" w:type="dxa"/>
            <w:tcBorders>
              <w:top w:val="single" w:color="000000" w:sz="4" w:space="0"/>
              <w:left w:val="single" w:color="000000" w:sz="4" w:space="0"/>
              <w:bottom w:val="single" w:color="000000" w:sz="4" w:space="0"/>
              <w:right w:val="single" w:color="000000" w:sz="4" w:space="0"/>
            </w:tcBorders>
            <w:vAlign w:val="center"/>
          </w:tcPr>
          <w:p w14:paraId="13795660">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该小区装修为普通装修，装修用材环保，经过精心设计，提升居住体验，较好</w:t>
            </w:r>
          </w:p>
        </w:tc>
      </w:tr>
      <w:tr w14:paraId="53548A6F">
        <w:tblPrEx>
          <w:tblCellMar>
            <w:top w:w="0" w:type="dxa"/>
            <w:left w:w="108" w:type="dxa"/>
            <w:bottom w:w="0" w:type="dxa"/>
            <w:right w:w="108" w:type="dxa"/>
          </w:tblCellMar>
        </w:tblPrEx>
        <w:trPr>
          <w:trHeight w:val="354" w:hRule="atLeast"/>
        </w:trPr>
        <w:tc>
          <w:tcPr>
            <w:tcW w:w="680" w:type="dxa"/>
            <w:vMerge w:val="continue"/>
            <w:tcBorders>
              <w:top w:val="single" w:color="000000" w:sz="4" w:space="0"/>
              <w:left w:val="single" w:color="000000" w:sz="4" w:space="0"/>
            </w:tcBorders>
            <w:vAlign w:val="center"/>
          </w:tcPr>
          <w:p w14:paraId="09FD8728">
            <w:pPr>
              <w:widowControl/>
              <w:spacing w:line="240" w:lineRule="auto"/>
              <w:jc w:val="center"/>
              <w:textAlignment w:val="auto"/>
              <w:rPr>
                <w:rFonts w:ascii="Arial" w:hAnsi="Arial" w:eastAsia="华文细黑" w:cs="Arial"/>
                <w:sz w:val="18"/>
                <w:szCs w:val="18"/>
              </w:rPr>
            </w:pPr>
          </w:p>
        </w:tc>
        <w:tc>
          <w:tcPr>
            <w:tcW w:w="1540" w:type="dxa"/>
            <w:tcBorders>
              <w:top w:val="single" w:color="000000" w:sz="4" w:space="0"/>
              <w:left w:val="single" w:color="000000" w:sz="4" w:space="0"/>
              <w:bottom w:val="single" w:color="000000" w:sz="4" w:space="0"/>
            </w:tcBorders>
            <w:vAlign w:val="center"/>
          </w:tcPr>
          <w:p w14:paraId="787B67CF">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标准房面积（㎡）</w:t>
            </w:r>
          </w:p>
        </w:tc>
        <w:tc>
          <w:tcPr>
            <w:tcW w:w="1772" w:type="dxa"/>
            <w:tcBorders>
              <w:top w:val="single" w:color="000000" w:sz="4" w:space="0"/>
              <w:left w:val="single" w:color="000000" w:sz="4" w:space="0"/>
              <w:bottom w:val="single" w:color="000000" w:sz="4" w:space="0"/>
            </w:tcBorders>
            <w:vAlign w:val="center"/>
          </w:tcPr>
          <w:p w14:paraId="083608DA">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89.62（80-90）</w:t>
            </w:r>
          </w:p>
        </w:tc>
        <w:tc>
          <w:tcPr>
            <w:tcW w:w="1772" w:type="dxa"/>
            <w:tcBorders>
              <w:top w:val="single" w:color="000000" w:sz="4" w:space="0"/>
              <w:left w:val="single" w:color="000000" w:sz="4" w:space="0"/>
              <w:bottom w:val="single" w:color="000000" w:sz="4" w:space="0"/>
            </w:tcBorders>
            <w:vAlign w:val="center"/>
          </w:tcPr>
          <w:p w14:paraId="2889A9BC">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80-90</w:t>
            </w:r>
          </w:p>
        </w:tc>
        <w:tc>
          <w:tcPr>
            <w:tcW w:w="1772" w:type="dxa"/>
            <w:tcBorders>
              <w:top w:val="single" w:color="000000" w:sz="4" w:space="0"/>
              <w:left w:val="single" w:color="000000" w:sz="4" w:space="0"/>
              <w:bottom w:val="single" w:color="000000" w:sz="4" w:space="0"/>
            </w:tcBorders>
            <w:vAlign w:val="center"/>
          </w:tcPr>
          <w:p w14:paraId="014AF837">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80-90</w:t>
            </w:r>
          </w:p>
        </w:tc>
        <w:tc>
          <w:tcPr>
            <w:tcW w:w="1762" w:type="dxa"/>
            <w:tcBorders>
              <w:top w:val="single" w:color="000000" w:sz="4" w:space="0"/>
              <w:left w:val="single" w:color="000000" w:sz="4" w:space="0"/>
              <w:bottom w:val="single" w:color="000000" w:sz="4" w:space="0"/>
              <w:right w:val="single" w:color="000000" w:sz="4" w:space="0"/>
            </w:tcBorders>
            <w:vAlign w:val="center"/>
          </w:tcPr>
          <w:p w14:paraId="660E95A9">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80-90</w:t>
            </w:r>
          </w:p>
        </w:tc>
      </w:tr>
      <w:tr w14:paraId="0386CF91">
        <w:tblPrEx>
          <w:tblCellMar>
            <w:top w:w="0" w:type="dxa"/>
            <w:left w:w="108" w:type="dxa"/>
            <w:bottom w:w="0" w:type="dxa"/>
            <w:right w:w="108" w:type="dxa"/>
          </w:tblCellMar>
        </w:tblPrEx>
        <w:trPr>
          <w:trHeight w:val="951" w:hRule="atLeast"/>
        </w:trPr>
        <w:tc>
          <w:tcPr>
            <w:tcW w:w="680" w:type="dxa"/>
            <w:vMerge w:val="continue"/>
            <w:tcBorders>
              <w:top w:val="single" w:color="000000" w:sz="4" w:space="0"/>
              <w:left w:val="single" w:color="000000" w:sz="4" w:space="0"/>
            </w:tcBorders>
            <w:vAlign w:val="center"/>
          </w:tcPr>
          <w:p w14:paraId="1846F04C">
            <w:pPr>
              <w:widowControl/>
              <w:spacing w:line="240" w:lineRule="auto"/>
              <w:jc w:val="center"/>
              <w:textAlignment w:val="auto"/>
              <w:rPr>
                <w:rFonts w:ascii="Arial" w:hAnsi="Arial" w:eastAsia="华文细黑" w:cs="Arial"/>
                <w:sz w:val="18"/>
                <w:szCs w:val="18"/>
              </w:rPr>
            </w:pPr>
          </w:p>
        </w:tc>
        <w:tc>
          <w:tcPr>
            <w:tcW w:w="1540" w:type="dxa"/>
            <w:tcBorders>
              <w:top w:val="single" w:color="000000" w:sz="4" w:space="0"/>
              <w:left w:val="single" w:color="000000" w:sz="4" w:space="0"/>
              <w:bottom w:val="single" w:color="000000" w:sz="4" w:space="0"/>
            </w:tcBorders>
            <w:vAlign w:val="center"/>
          </w:tcPr>
          <w:p w14:paraId="6E562595">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设备</w:t>
            </w:r>
          </w:p>
        </w:tc>
        <w:tc>
          <w:tcPr>
            <w:tcW w:w="1772" w:type="dxa"/>
            <w:tcBorders>
              <w:top w:val="single" w:color="000000" w:sz="4" w:space="0"/>
              <w:left w:val="single" w:color="000000" w:sz="4" w:space="0"/>
              <w:bottom w:val="single" w:color="000000" w:sz="4" w:space="0"/>
            </w:tcBorders>
            <w:vAlign w:val="center"/>
          </w:tcPr>
          <w:p w14:paraId="25C499C6">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配备全新家具、家电；功能正常，质量有保证，好</w:t>
            </w:r>
          </w:p>
        </w:tc>
        <w:tc>
          <w:tcPr>
            <w:tcW w:w="1772" w:type="dxa"/>
            <w:tcBorders>
              <w:top w:val="single" w:color="000000" w:sz="4" w:space="0"/>
              <w:left w:val="single" w:color="000000" w:sz="4" w:space="0"/>
              <w:bottom w:val="single" w:color="000000" w:sz="4" w:space="0"/>
            </w:tcBorders>
            <w:vAlign w:val="center"/>
          </w:tcPr>
          <w:p w14:paraId="7CFF54A2">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配备家具、家电；功能正常，质量有保证，较好</w:t>
            </w:r>
          </w:p>
        </w:tc>
        <w:tc>
          <w:tcPr>
            <w:tcW w:w="1772" w:type="dxa"/>
            <w:tcBorders>
              <w:top w:val="single" w:color="000000" w:sz="4" w:space="0"/>
              <w:left w:val="single" w:color="000000" w:sz="4" w:space="0"/>
              <w:bottom w:val="single" w:color="000000" w:sz="4" w:space="0"/>
            </w:tcBorders>
            <w:vAlign w:val="center"/>
          </w:tcPr>
          <w:p w14:paraId="41166325">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配备家具、家电；功能正常，质量有保证，较好</w:t>
            </w:r>
          </w:p>
        </w:tc>
        <w:tc>
          <w:tcPr>
            <w:tcW w:w="1762" w:type="dxa"/>
            <w:tcBorders>
              <w:top w:val="single" w:color="000000" w:sz="4" w:space="0"/>
              <w:left w:val="single" w:color="000000" w:sz="4" w:space="0"/>
              <w:bottom w:val="single" w:color="000000" w:sz="4" w:space="0"/>
              <w:right w:val="single" w:color="000000" w:sz="4" w:space="0"/>
            </w:tcBorders>
            <w:vAlign w:val="center"/>
          </w:tcPr>
          <w:p w14:paraId="217F9D90">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配备家具、家电；功能正常，质量有保证，较好</w:t>
            </w:r>
          </w:p>
        </w:tc>
      </w:tr>
      <w:tr w14:paraId="50A55E67">
        <w:tblPrEx>
          <w:tblCellMar>
            <w:top w:w="0" w:type="dxa"/>
            <w:left w:w="108" w:type="dxa"/>
            <w:bottom w:w="0" w:type="dxa"/>
            <w:right w:w="108" w:type="dxa"/>
          </w:tblCellMar>
        </w:tblPrEx>
        <w:trPr>
          <w:trHeight w:val="157" w:hRule="atLeast"/>
        </w:trPr>
        <w:tc>
          <w:tcPr>
            <w:tcW w:w="680" w:type="dxa"/>
            <w:vMerge w:val="continue"/>
            <w:tcBorders>
              <w:top w:val="single" w:color="000000" w:sz="4" w:space="0"/>
              <w:left w:val="single" w:color="000000" w:sz="4" w:space="0"/>
            </w:tcBorders>
            <w:vAlign w:val="center"/>
          </w:tcPr>
          <w:p w14:paraId="5B9E1C83">
            <w:pPr>
              <w:widowControl/>
              <w:spacing w:line="240" w:lineRule="auto"/>
              <w:jc w:val="center"/>
              <w:textAlignment w:val="auto"/>
              <w:rPr>
                <w:rFonts w:ascii="Arial" w:hAnsi="Arial" w:eastAsia="华文细黑" w:cs="Arial"/>
                <w:sz w:val="18"/>
                <w:szCs w:val="18"/>
              </w:rPr>
            </w:pPr>
          </w:p>
        </w:tc>
        <w:tc>
          <w:tcPr>
            <w:tcW w:w="1540" w:type="dxa"/>
            <w:tcBorders>
              <w:top w:val="single" w:color="000000" w:sz="4" w:space="0"/>
              <w:left w:val="single" w:color="000000" w:sz="4" w:space="0"/>
              <w:bottom w:val="single" w:color="000000" w:sz="4" w:space="0"/>
            </w:tcBorders>
            <w:vAlign w:val="center"/>
          </w:tcPr>
          <w:p w14:paraId="6FAEC9A1">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成新度（%）</w:t>
            </w:r>
          </w:p>
        </w:tc>
        <w:tc>
          <w:tcPr>
            <w:tcW w:w="1772" w:type="dxa"/>
            <w:tcBorders>
              <w:top w:val="single" w:color="000000" w:sz="4" w:space="0"/>
              <w:left w:val="single" w:color="000000" w:sz="4" w:space="0"/>
              <w:bottom w:val="single" w:color="000000" w:sz="4" w:space="0"/>
            </w:tcBorders>
            <w:vAlign w:val="center"/>
          </w:tcPr>
          <w:p w14:paraId="1F625BBA">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90（含）-100</w:t>
            </w:r>
          </w:p>
        </w:tc>
        <w:tc>
          <w:tcPr>
            <w:tcW w:w="1772" w:type="dxa"/>
            <w:tcBorders>
              <w:top w:val="single" w:color="000000" w:sz="4" w:space="0"/>
              <w:left w:val="single" w:color="000000" w:sz="4" w:space="0"/>
              <w:bottom w:val="single" w:color="000000" w:sz="4" w:space="0"/>
            </w:tcBorders>
            <w:vAlign w:val="center"/>
          </w:tcPr>
          <w:p w14:paraId="5D1EA4C4">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90（含）-100</w:t>
            </w:r>
          </w:p>
        </w:tc>
        <w:tc>
          <w:tcPr>
            <w:tcW w:w="1772" w:type="dxa"/>
            <w:tcBorders>
              <w:top w:val="single" w:color="000000" w:sz="4" w:space="0"/>
              <w:left w:val="single" w:color="000000" w:sz="4" w:space="0"/>
              <w:bottom w:val="single" w:color="000000" w:sz="4" w:space="0"/>
            </w:tcBorders>
            <w:vAlign w:val="center"/>
          </w:tcPr>
          <w:p w14:paraId="57481A87">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90（含）-100</w:t>
            </w:r>
          </w:p>
        </w:tc>
        <w:tc>
          <w:tcPr>
            <w:tcW w:w="1762" w:type="dxa"/>
            <w:tcBorders>
              <w:top w:val="single" w:color="000000" w:sz="4" w:space="0"/>
              <w:left w:val="single" w:color="000000" w:sz="4" w:space="0"/>
              <w:bottom w:val="single" w:color="000000" w:sz="4" w:space="0"/>
              <w:right w:val="single" w:color="000000" w:sz="4" w:space="0"/>
            </w:tcBorders>
            <w:vAlign w:val="center"/>
          </w:tcPr>
          <w:p w14:paraId="514AF4C5">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90（含）-100</w:t>
            </w:r>
          </w:p>
        </w:tc>
      </w:tr>
      <w:tr w14:paraId="3573257F">
        <w:tblPrEx>
          <w:tblCellMar>
            <w:top w:w="0" w:type="dxa"/>
            <w:left w:w="108" w:type="dxa"/>
            <w:bottom w:w="0" w:type="dxa"/>
            <w:right w:w="108" w:type="dxa"/>
          </w:tblCellMar>
        </w:tblPrEx>
        <w:trPr>
          <w:trHeight w:val="97" w:hRule="atLeast"/>
        </w:trPr>
        <w:tc>
          <w:tcPr>
            <w:tcW w:w="680" w:type="dxa"/>
            <w:vMerge w:val="continue"/>
            <w:tcBorders>
              <w:top w:val="single" w:color="000000" w:sz="4" w:space="0"/>
              <w:left w:val="single" w:color="000000" w:sz="4" w:space="0"/>
            </w:tcBorders>
            <w:vAlign w:val="center"/>
          </w:tcPr>
          <w:p w14:paraId="3B34D9D2">
            <w:pPr>
              <w:widowControl/>
              <w:spacing w:line="240" w:lineRule="auto"/>
              <w:jc w:val="center"/>
              <w:textAlignment w:val="auto"/>
              <w:rPr>
                <w:rFonts w:ascii="Arial" w:hAnsi="Arial" w:eastAsia="华文细黑" w:cs="Arial"/>
                <w:sz w:val="18"/>
                <w:szCs w:val="18"/>
              </w:rPr>
            </w:pPr>
          </w:p>
        </w:tc>
        <w:tc>
          <w:tcPr>
            <w:tcW w:w="1540" w:type="dxa"/>
            <w:tcBorders>
              <w:top w:val="single" w:color="000000" w:sz="4" w:space="0"/>
              <w:left w:val="single" w:color="000000" w:sz="4" w:space="0"/>
              <w:bottom w:val="single" w:color="000000" w:sz="4" w:space="0"/>
            </w:tcBorders>
            <w:vAlign w:val="center"/>
          </w:tcPr>
          <w:p w14:paraId="18E5376E">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有无电梯</w:t>
            </w:r>
          </w:p>
        </w:tc>
        <w:tc>
          <w:tcPr>
            <w:tcW w:w="1772" w:type="dxa"/>
            <w:tcBorders>
              <w:top w:val="single" w:color="000000" w:sz="4" w:space="0"/>
              <w:left w:val="single" w:color="000000" w:sz="4" w:space="0"/>
              <w:bottom w:val="single" w:color="000000" w:sz="4" w:space="0"/>
            </w:tcBorders>
            <w:vAlign w:val="center"/>
          </w:tcPr>
          <w:p w14:paraId="0914C360">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有</w:t>
            </w:r>
          </w:p>
        </w:tc>
        <w:tc>
          <w:tcPr>
            <w:tcW w:w="1772" w:type="dxa"/>
            <w:tcBorders>
              <w:top w:val="single" w:color="000000" w:sz="4" w:space="0"/>
              <w:left w:val="single" w:color="000000" w:sz="4" w:space="0"/>
              <w:bottom w:val="single" w:color="000000" w:sz="4" w:space="0"/>
            </w:tcBorders>
            <w:vAlign w:val="center"/>
          </w:tcPr>
          <w:p w14:paraId="167B11FA">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有</w:t>
            </w:r>
          </w:p>
        </w:tc>
        <w:tc>
          <w:tcPr>
            <w:tcW w:w="1772" w:type="dxa"/>
            <w:tcBorders>
              <w:top w:val="single" w:color="000000" w:sz="4" w:space="0"/>
              <w:left w:val="single" w:color="000000" w:sz="4" w:space="0"/>
              <w:bottom w:val="single" w:color="000000" w:sz="4" w:space="0"/>
            </w:tcBorders>
            <w:vAlign w:val="center"/>
          </w:tcPr>
          <w:p w14:paraId="207B01BA">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有</w:t>
            </w:r>
          </w:p>
        </w:tc>
        <w:tc>
          <w:tcPr>
            <w:tcW w:w="1762" w:type="dxa"/>
            <w:tcBorders>
              <w:top w:val="single" w:color="000000" w:sz="4" w:space="0"/>
              <w:left w:val="single" w:color="000000" w:sz="4" w:space="0"/>
              <w:bottom w:val="single" w:color="000000" w:sz="4" w:space="0"/>
              <w:right w:val="single" w:color="000000" w:sz="4" w:space="0"/>
            </w:tcBorders>
            <w:vAlign w:val="center"/>
          </w:tcPr>
          <w:p w14:paraId="3CFAC58C">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有</w:t>
            </w:r>
          </w:p>
        </w:tc>
      </w:tr>
    </w:tbl>
    <w:p w14:paraId="73589EF2">
      <w:pPr>
        <w:widowControl/>
        <w:spacing w:line="240" w:lineRule="auto"/>
        <w:jc w:val="center"/>
        <w:textAlignment w:val="auto"/>
        <w:rPr>
          <w:rFonts w:ascii="Arial" w:hAnsi="Arial" w:cs="Arial"/>
          <w:sz w:val="18"/>
        </w:rPr>
      </w:pPr>
      <w:r>
        <w:br w:type="page"/>
      </w:r>
    </w:p>
    <w:p w14:paraId="1539F327">
      <w:pPr>
        <w:widowControl/>
        <w:spacing w:line="480" w:lineRule="auto"/>
        <w:textAlignment w:val="auto"/>
      </w:pPr>
      <w:r>
        <w:rPr>
          <w:rFonts w:ascii="Arial" w:hAnsi="Arial" w:cs="Arial"/>
          <w:sz w:val="21"/>
          <w:szCs w:val="21"/>
        </w:rPr>
        <w:t>（2）</w:t>
      </w:r>
      <w:r>
        <w:rPr>
          <w:rFonts w:ascii="Arial" w:hAnsi="Arial" w:eastAsia="Arial" w:cs="Arial"/>
          <w:sz w:val="21"/>
          <w:szCs w:val="21"/>
        </w:rPr>
        <w:t xml:space="preserve"> </w:t>
      </w:r>
      <w:r>
        <w:rPr>
          <w:rFonts w:ascii="Arial" w:hAnsi="Arial" w:cs="Arial"/>
          <w:sz w:val="21"/>
          <w:szCs w:val="21"/>
        </w:rPr>
        <w:t>建立比较因素条件指数表和因素比较修正系数表</w:t>
      </w:r>
      <w:r>
        <w:rPr>
          <w:rFonts w:ascii="Arial" w:hAnsi="Arial" w:eastAsia="Arial" w:cs="Arial"/>
          <w:sz w:val="21"/>
          <w:szCs w:val="21"/>
        </w:rPr>
        <w:t xml:space="preserve"> </w:t>
      </w:r>
    </w:p>
    <w:p w14:paraId="45949FA8">
      <w:pPr>
        <w:overflowPunct w:val="0"/>
        <w:spacing w:line="480" w:lineRule="auto"/>
        <w:ind w:firstLine="420"/>
      </w:pPr>
      <w:r>
        <w:rPr>
          <w:rFonts w:ascii="Arial" w:hAnsi="Arial" w:cs="Arial"/>
          <w:sz w:val="21"/>
          <w:szCs w:val="21"/>
        </w:rPr>
        <w:t>根据对估价对象和可比案例情况的分析，把各可比案例的自身状况按照参比因素分别与估价对象的相应状况进行比较，编制比较因素条件指数表。具体如下：</w:t>
      </w:r>
    </w:p>
    <w:p w14:paraId="1D098CEA">
      <w:pPr>
        <w:overflowPunct w:val="0"/>
        <w:spacing w:line="480" w:lineRule="auto"/>
        <w:ind w:firstLine="420"/>
        <w:jc w:val="center"/>
        <w:rPr>
          <w:rFonts w:ascii="Arial" w:hAnsi="Arial" w:cs="Arial"/>
          <w:sz w:val="21"/>
          <w:szCs w:val="21"/>
        </w:rPr>
      </w:pPr>
      <w:r>
        <w:rPr>
          <w:rFonts w:ascii="Arial" w:hAnsi="Arial" w:cs="Arial"/>
          <w:color w:val="000000"/>
          <w:sz w:val="21"/>
          <w:szCs w:val="21"/>
        </w:rPr>
        <w:t>E18</w:t>
      </w:r>
      <w:r>
        <w:rPr>
          <w:rFonts w:hint="eastAsia" w:ascii="Arial" w:hAnsi="Arial" w:cs="Arial"/>
          <w:color w:val="000000"/>
          <w:sz w:val="21"/>
          <w:szCs w:val="21"/>
        </w:rPr>
        <w:t>亦城景园国际人才公寓（领军人才公寓）</w:t>
      </w:r>
      <w:r>
        <w:rPr>
          <w:rFonts w:ascii="Arial" w:hAnsi="Arial" w:cs="Arial"/>
          <w:sz w:val="21"/>
          <w:szCs w:val="21"/>
        </w:rPr>
        <w:t>比较因素条件指数表</w:t>
      </w:r>
    </w:p>
    <w:tbl>
      <w:tblPr>
        <w:tblStyle w:val="33"/>
        <w:tblW w:w="5000" w:type="pct"/>
        <w:tblInd w:w="-113" w:type="dxa"/>
        <w:tblLayout w:type="autofit"/>
        <w:tblCellMar>
          <w:top w:w="0" w:type="dxa"/>
          <w:left w:w="108" w:type="dxa"/>
          <w:bottom w:w="0" w:type="dxa"/>
          <w:right w:w="108" w:type="dxa"/>
        </w:tblCellMar>
      </w:tblPr>
      <w:tblGrid>
        <w:gridCol w:w="595"/>
        <w:gridCol w:w="977"/>
        <w:gridCol w:w="1023"/>
        <w:gridCol w:w="1022"/>
        <w:gridCol w:w="1023"/>
        <w:gridCol w:w="1020"/>
        <w:gridCol w:w="3854"/>
      </w:tblGrid>
      <w:tr w14:paraId="75819892">
        <w:tblPrEx>
          <w:tblCellMar>
            <w:top w:w="0" w:type="dxa"/>
            <w:left w:w="108" w:type="dxa"/>
            <w:bottom w:w="0" w:type="dxa"/>
            <w:right w:w="108" w:type="dxa"/>
          </w:tblCellMar>
        </w:tblPrEx>
        <w:trPr>
          <w:trHeight w:val="405" w:hRule="atLeast"/>
          <w:tblHeader/>
        </w:trPr>
        <w:tc>
          <w:tcPr>
            <w:tcW w:w="1535" w:type="dxa"/>
            <w:gridSpan w:val="2"/>
            <w:vMerge w:val="restart"/>
            <w:tcBorders>
              <w:top w:val="single" w:color="000000" w:sz="4" w:space="0"/>
              <w:left w:val="single" w:color="000000" w:sz="4" w:space="0"/>
              <w:bottom w:val="single" w:color="000000" w:sz="4" w:space="0"/>
            </w:tcBorders>
          </w:tcPr>
          <w:p w14:paraId="5DAAFE64">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估价对象及</w:t>
            </w:r>
          </w:p>
          <w:p w14:paraId="52D92A0B">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可比实例</w:t>
            </w:r>
          </w:p>
          <w:p w14:paraId="1640C7F0">
            <w:pPr>
              <w:widowControl/>
              <w:spacing w:line="240" w:lineRule="auto"/>
              <w:jc w:val="center"/>
              <w:textAlignment w:val="auto"/>
              <w:rPr>
                <w:rFonts w:ascii="Arial" w:hAnsi="Arial" w:eastAsia="华文细黑" w:cs="Arial"/>
                <w:sz w:val="18"/>
                <w:szCs w:val="18"/>
              </w:rPr>
            </w:pPr>
          </w:p>
          <w:p w14:paraId="625C9B14">
            <w:pPr>
              <w:widowControl/>
              <w:spacing w:line="240" w:lineRule="auto"/>
              <w:jc w:val="center"/>
              <w:textAlignment w:val="auto"/>
              <w:rPr>
                <w:rFonts w:ascii="Arial" w:hAnsi="Arial" w:eastAsia="华文细黑" w:cs="Arial"/>
                <w:sz w:val="18"/>
                <w:szCs w:val="18"/>
              </w:rPr>
            </w:pPr>
          </w:p>
          <w:p w14:paraId="09AA1E6A">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比较因素</w:t>
            </w:r>
          </w:p>
        </w:tc>
        <w:tc>
          <w:tcPr>
            <w:tcW w:w="999" w:type="dxa"/>
            <w:tcBorders>
              <w:top w:val="single" w:color="000000" w:sz="4" w:space="0"/>
              <w:left w:val="single" w:color="000000" w:sz="4" w:space="0"/>
              <w:bottom w:val="single" w:color="000000" w:sz="4" w:space="0"/>
            </w:tcBorders>
            <w:vAlign w:val="center"/>
          </w:tcPr>
          <w:p w14:paraId="62E005BC">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估价对象</w:t>
            </w:r>
          </w:p>
        </w:tc>
        <w:tc>
          <w:tcPr>
            <w:tcW w:w="998" w:type="dxa"/>
            <w:tcBorders>
              <w:top w:val="single" w:color="000000" w:sz="4" w:space="0"/>
              <w:left w:val="single" w:color="000000" w:sz="4" w:space="0"/>
              <w:bottom w:val="single" w:color="000000" w:sz="4" w:space="0"/>
            </w:tcBorders>
            <w:vAlign w:val="center"/>
          </w:tcPr>
          <w:p w14:paraId="04D95E4D">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可比实例1</w:t>
            </w:r>
          </w:p>
        </w:tc>
        <w:tc>
          <w:tcPr>
            <w:tcW w:w="999" w:type="dxa"/>
            <w:tcBorders>
              <w:top w:val="single" w:color="000000" w:sz="4" w:space="0"/>
              <w:left w:val="single" w:color="000000" w:sz="4" w:space="0"/>
              <w:bottom w:val="single" w:color="000000" w:sz="4" w:space="0"/>
            </w:tcBorders>
            <w:vAlign w:val="center"/>
          </w:tcPr>
          <w:p w14:paraId="27DA8D70">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可比实例2</w:t>
            </w:r>
          </w:p>
        </w:tc>
        <w:tc>
          <w:tcPr>
            <w:tcW w:w="996" w:type="dxa"/>
            <w:tcBorders>
              <w:top w:val="single" w:color="000000" w:sz="4" w:space="0"/>
              <w:left w:val="single" w:color="000000" w:sz="4" w:space="0"/>
              <w:bottom w:val="single" w:color="000000" w:sz="4" w:space="0"/>
            </w:tcBorders>
            <w:vAlign w:val="center"/>
          </w:tcPr>
          <w:p w14:paraId="692756D3">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可比实例3</w:t>
            </w:r>
          </w:p>
        </w:tc>
        <w:tc>
          <w:tcPr>
            <w:tcW w:w="3761" w:type="dxa"/>
            <w:tcBorders>
              <w:top w:val="single" w:color="000000" w:sz="4" w:space="0"/>
              <w:left w:val="single" w:color="000000" w:sz="4" w:space="0"/>
              <w:bottom w:val="single" w:color="000000" w:sz="4" w:space="0"/>
              <w:right w:val="single" w:color="000000" w:sz="4" w:space="0"/>
            </w:tcBorders>
            <w:vAlign w:val="center"/>
          </w:tcPr>
          <w:p w14:paraId="2D29640B">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比较因素调整说明</w:t>
            </w:r>
          </w:p>
        </w:tc>
      </w:tr>
      <w:tr w14:paraId="7AC49506">
        <w:tblPrEx>
          <w:tblCellMar>
            <w:top w:w="0" w:type="dxa"/>
            <w:left w:w="108" w:type="dxa"/>
            <w:bottom w:w="0" w:type="dxa"/>
            <w:right w:w="108" w:type="dxa"/>
          </w:tblCellMar>
        </w:tblPrEx>
        <w:trPr>
          <w:trHeight w:val="555" w:hRule="atLeast"/>
          <w:tblHeader/>
        </w:trPr>
        <w:tc>
          <w:tcPr>
            <w:tcW w:w="1535" w:type="dxa"/>
            <w:gridSpan w:val="2"/>
            <w:vMerge w:val="continue"/>
            <w:tcBorders>
              <w:top w:val="single" w:color="000000" w:sz="4" w:space="0"/>
              <w:left w:val="single" w:color="000000" w:sz="4" w:space="0"/>
              <w:bottom w:val="single" w:color="000000" w:sz="4" w:space="0"/>
            </w:tcBorders>
          </w:tcPr>
          <w:p w14:paraId="7F32BBFA">
            <w:pPr>
              <w:widowControl/>
              <w:spacing w:line="240" w:lineRule="auto"/>
              <w:jc w:val="center"/>
              <w:textAlignment w:val="auto"/>
              <w:rPr>
                <w:rFonts w:ascii="Arial" w:hAnsi="Arial" w:eastAsia="华文细黑" w:cs="Arial"/>
                <w:sz w:val="18"/>
                <w:szCs w:val="18"/>
              </w:rPr>
            </w:pPr>
          </w:p>
        </w:tc>
        <w:tc>
          <w:tcPr>
            <w:tcW w:w="999" w:type="dxa"/>
            <w:tcBorders>
              <w:left w:val="single" w:color="000000" w:sz="4" w:space="0"/>
              <w:bottom w:val="single" w:color="000000" w:sz="4" w:space="0"/>
            </w:tcBorders>
            <w:vAlign w:val="center"/>
          </w:tcPr>
          <w:p w14:paraId="6AC579B8">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领军人才公寓</w:t>
            </w:r>
          </w:p>
        </w:tc>
        <w:tc>
          <w:tcPr>
            <w:tcW w:w="998" w:type="dxa"/>
            <w:tcBorders>
              <w:left w:val="single" w:color="000000" w:sz="4" w:space="0"/>
              <w:bottom w:val="single" w:color="000000" w:sz="4" w:space="0"/>
            </w:tcBorders>
            <w:vAlign w:val="center"/>
          </w:tcPr>
          <w:p w14:paraId="04D071AA">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招商臻珑府</w:t>
            </w:r>
          </w:p>
        </w:tc>
        <w:tc>
          <w:tcPr>
            <w:tcW w:w="999" w:type="dxa"/>
            <w:tcBorders>
              <w:left w:val="single" w:color="000000" w:sz="4" w:space="0"/>
              <w:bottom w:val="single" w:color="000000" w:sz="4" w:space="0"/>
            </w:tcBorders>
            <w:vAlign w:val="center"/>
          </w:tcPr>
          <w:p w14:paraId="4A682894">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北京经开·汀塘</w:t>
            </w:r>
          </w:p>
        </w:tc>
        <w:tc>
          <w:tcPr>
            <w:tcW w:w="996" w:type="dxa"/>
            <w:tcBorders>
              <w:left w:val="single" w:color="000000" w:sz="4" w:space="0"/>
              <w:bottom w:val="single" w:color="000000" w:sz="4" w:space="0"/>
            </w:tcBorders>
            <w:vAlign w:val="center"/>
          </w:tcPr>
          <w:p w14:paraId="55DA7D53">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通泰国际公馆</w:t>
            </w:r>
          </w:p>
        </w:tc>
        <w:tc>
          <w:tcPr>
            <w:tcW w:w="3761" w:type="dxa"/>
            <w:tcBorders>
              <w:left w:val="single" w:color="000000" w:sz="4" w:space="0"/>
              <w:bottom w:val="single" w:color="000000" w:sz="4" w:space="0"/>
              <w:right w:val="single" w:color="000000" w:sz="4" w:space="0"/>
            </w:tcBorders>
            <w:vAlign w:val="center"/>
          </w:tcPr>
          <w:p w14:paraId="6B3D2BE1">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w:t>
            </w:r>
          </w:p>
        </w:tc>
      </w:tr>
      <w:tr w14:paraId="039FFFE9">
        <w:tblPrEx>
          <w:tblCellMar>
            <w:top w:w="0" w:type="dxa"/>
            <w:left w:w="108" w:type="dxa"/>
            <w:bottom w:w="0" w:type="dxa"/>
            <w:right w:w="108" w:type="dxa"/>
          </w:tblCellMar>
        </w:tblPrEx>
        <w:trPr>
          <w:trHeight w:val="90" w:hRule="atLeast"/>
        </w:trPr>
        <w:tc>
          <w:tcPr>
            <w:tcW w:w="1535" w:type="dxa"/>
            <w:gridSpan w:val="2"/>
            <w:tcBorders>
              <w:top w:val="single" w:color="000000" w:sz="4" w:space="0"/>
              <w:left w:val="single" w:color="000000" w:sz="4" w:space="0"/>
              <w:bottom w:val="single" w:color="000000" w:sz="4" w:space="0"/>
            </w:tcBorders>
            <w:vAlign w:val="bottom"/>
          </w:tcPr>
          <w:p w14:paraId="2CAE97D8">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确定的交易价格</w:t>
            </w:r>
            <w:r>
              <w:rPr>
                <w:rFonts w:hint="eastAsia" w:ascii="Arial" w:hAnsi="Arial" w:eastAsia="华文细黑" w:cs="Arial"/>
                <w:sz w:val="18"/>
                <w:szCs w:val="18"/>
              </w:rPr>
              <w:br w:type="textWrapping"/>
            </w:r>
            <w:r>
              <w:rPr>
                <w:rFonts w:hint="eastAsia" w:ascii="Arial" w:hAnsi="Arial" w:eastAsia="华文细黑" w:cs="Arial"/>
                <w:sz w:val="18"/>
                <w:szCs w:val="18"/>
              </w:rPr>
              <w:t>（元/平方米·月）</w:t>
            </w:r>
          </w:p>
        </w:tc>
        <w:tc>
          <w:tcPr>
            <w:tcW w:w="999" w:type="dxa"/>
            <w:tcBorders>
              <w:left w:val="single" w:color="000000" w:sz="4" w:space="0"/>
              <w:bottom w:val="single" w:color="000000" w:sz="4" w:space="0"/>
            </w:tcBorders>
            <w:vAlign w:val="center"/>
          </w:tcPr>
          <w:p w14:paraId="1C68B05C">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待估</w:t>
            </w:r>
          </w:p>
        </w:tc>
        <w:tc>
          <w:tcPr>
            <w:tcW w:w="998" w:type="dxa"/>
            <w:tcBorders>
              <w:left w:val="single" w:color="000000" w:sz="4" w:space="0"/>
              <w:bottom w:val="single" w:color="000000" w:sz="4" w:space="0"/>
            </w:tcBorders>
            <w:vAlign w:val="center"/>
          </w:tcPr>
          <w:p w14:paraId="7F4CD1AE">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72.18</w:t>
            </w:r>
          </w:p>
        </w:tc>
        <w:tc>
          <w:tcPr>
            <w:tcW w:w="999" w:type="dxa"/>
            <w:tcBorders>
              <w:left w:val="single" w:color="000000" w:sz="4" w:space="0"/>
              <w:bottom w:val="single" w:color="000000" w:sz="4" w:space="0"/>
            </w:tcBorders>
            <w:vAlign w:val="center"/>
          </w:tcPr>
          <w:p w14:paraId="2F388D6A">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68.87</w:t>
            </w:r>
          </w:p>
        </w:tc>
        <w:tc>
          <w:tcPr>
            <w:tcW w:w="996" w:type="dxa"/>
            <w:tcBorders>
              <w:left w:val="single" w:color="000000" w:sz="4" w:space="0"/>
              <w:bottom w:val="single" w:color="000000" w:sz="4" w:space="0"/>
            </w:tcBorders>
            <w:vAlign w:val="center"/>
          </w:tcPr>
          <w:p w14:paraId="59F94C89">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71.60</w:t>
            </w:r>
          </w:p>
        </w:tc>
        <w:tc>
          <w:tcPr>
            <w:tcW w:w="3761" w:type="dxa"/>
            <w:tcBorders>
              <w:left w:val="single" w:color="000000" w:sz="4" w:space="0"/>
              <w:bottom w:val="single" w:color="000000" w:sz="4" w:space="0"/>
              <w:right w:val="single" w:color="000000" w:sz="4" w:space="0"/>
            </w:tcBorders>
            <w:vAlign w:val="center"/>
          </w:tcPr>
          <w:p w14:paraId="42851DA2">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w:t>
            </w:r>
          </w:p>
        </w:tc>
      </w:tr>
      <w:tr w14:paraId="4E257B9B">
        <w:tblPrEx>
          <w:tblCellMar>
            <w:top w:w="0" w:type="dxa"/>
            <w:left w:w="108" w:type="dxa"/>
            <w:bottom w:w="0" w:type="dxa"/>
            <w:right w:w="108" w:type="dxa"/>
          </w:tblCellMar>
        </w:tblPrEx>
        <w:trPr>
          <w:trHeight w:val="533" w:hRule="atLeast"/>
        </w:trPr>
        <w:tc>
          <w:tcPr>
            <w:tcW w:w="1535" w:type="dxa"/>
            <w:gridSpan w:val="2"/>
            <w:tcBorders>
              <w:top w:val="single" w:color="000000" w:sz="4" w:space="0"/>
              <w:left w:val="single" w:color="000000" w:sz="4" w:space="0"/>
              <w:bottom w:val="single" w:color="000000" w:sz="4" w:space="0"/>
            </w:tcBorders>
            <w:vAlign w:val="center"/>
          </w:tcPr>
          <w:p w14:paraId="3054C207">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交易时间</w:t>
            </w:r>
          </w:p>
        </w:tc>
        <w:tc>
          <w:tcPr>
            <w:tcW w:w="999" w:type="dxa"/>
            <w:tcBorders>
              <w:left w:val="single" w:color="000000" w:sz="4" w:space="0"/>
              <w:bottom w:val="single" w:color="000000" w:sz="4" w:space="0"/>
            </w:tcBorders>
            <w:vAlign w:val="center"/>
          </w:tcPr>
          <w:p w14:paraId="429E53B2">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998" w:type="dxa"/>
            <w:tcBorders>
              <w:left w:val="single" w:color="000000" w:sz="4" w:space="0"/>
              <w:bottom w:val="single" w:color="000000" w:sz="4" w:space="0"/>
            </w:tcBorders>
            <w:vAlign w:val="center"/>
          </w:tcPr>
          <w:p w14:paraId="742CD43E">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999" w:type="dxa"/>
            <w:tcBorders>
              <w:left w:val="single" w:color="000000" w:sz="4" w:space="0"/>
              <w:bottom w:val="single" w:color="000000" w:sz="4" w:space="0"/>
            </w:tcBorders>
            <w:vAlign w:val="center"/>
          </w:tcPr>
          <w:p w14:paraId="253B69DD">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996" w:type="dxa"/>
            <w:tcBorders>
              <w:left w:val="single" w:color="000000" w:sz="4" w:space="0"/>
              <w:bottom w:val="single" w:color="000000" w:sz="4" w:space="0"/>
            </w:tcBorders>
            <w:vAlign w:val="center"/>
          </w:tcPr>
          <w:p w14:paraId="46C592F7">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3761" w:type="dxa"/>
            <w:tcBorders>
              <w:left w:val="single" w:color="000000" w:sz="4" w:space="0"/>
              <w:bottom w:val="single" w:color="000000" w:sz="4" w:space="0"/>
              <w:right w:val="single" w:color="000000" w:sz="4" w:space="0"/>
            </w:tcBorders>
            <w:vAlign w:val="center"/>
          </w:tcPr>
          <w:p w14:paraId="6A36527B">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估价对象与可比实例的交易时间一致，因此确定估价对象与可比实例该因素指数均为100；</w:t>
            </w:r>
          </w:p>
        </w:tc>
      </w:tr>
      <w:tr w14:paraId="04EFFE3A">
        <w:tblPrEx>
          <w:tblCellMar>
            <w:top w:w="0" w:type="dxa"/>
            <w:left w:w="108" w:type="dxa"/>
            <w:bottom w:w="0" w:type="dxa"/>
            <w:right w:w="108" w:type="dxa"/>
          </w:tblCellMar>
        </w:tblPrEx>
        <w:trPr>
          <w:trHeight w:val="301" w:hRule="atLeast"/>
        </w:trPr>
        <w:tc>
          <w:tcPr>
            <w:tcW w:w="1535" w:type="dxa"/>
            <w:gridSpan w:val="2"/>
            <w:tcBorders>
              <w:top w:val="single" w:color="000000" w:sz="4" w:space="0"/>
              <w:left w:val="single" w:color="000000" w:sz="4" w:space="0"/>
              <w:bottom w:val="single" w:color="000000" w:sz="4" w:space="0"/>
            </w:tcBorders>
            <w:vAlign w:val="center"/>
          </w:tcPr>
          <w:p w14:paraId="13A1B3ED">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交易情况</w:t>
            </w:r>
          </w:p>
        </w:tc>
        <w:tc>
          <w:tcPr>
            <w:tcW w:w="999" w:type="dxa"/>
            <w:tcBorders>
              <w:left w:val="single" w:color="000000" w:sz="4" w:space="0"/>
              <w:bottom w:val="single" w:color="000000" w:sz="4" w:space="0"/>
            </w:tcBorders>
            <w:vAlign w:val="center"/>
          </w:tcPr>
          <w:p w14:paraId="5FD30300">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998" w:type="dxa"/>
            <w:tcBorders>
              <w:left w:val="single" w:color="000000" w:sz="4" w:space="0"/>
              <w:bottom w:val="single" w:color="000000" w:sz="4" w:space="0"/>
            </w:tcBorders>
            <w:vAlign w:val="center"/>
          </w:tcPr>
          <w:p w14:paraId="0FE4AEE0">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999" w:type="dxa"/>
            <w:tcBorders>
              <w:left w:val="single" w:color="000000" w:sz="4" w:space="0"/>
              <w:bottom w:val="single" w:color="000000" w:sz="4" w:space="0"/>
            </w:tcBorders>
            <w:vAlign w:val="center"/>
          </w:tcPr>
          <w:p w14:paraId="6319E32F">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996" w:type="dxa"/>
            <w:tcBorders>
              <w:left w:val="single" w:color="000000" w:sz="4" w:space="0"/>
              <w:bottom w:val="single" w:color="000000" w:sz="4" w:space="0"/>
            </w:tcBorders>
            <w:vAlign w:val="center"/>
          </w:tcPr>
          <w:p w14:paraId="0F795823">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3761" w:type="dxa"/>
            <w:tcBorders>
              <w:left w:val="single" w:color="000000" w:sz="4" w:space="0"/>
              <w:bottom w:val="single" w:color="000000" w:sz="4" w:space="0"/>
              <w:right w:val="single" w:color="000000" w:sz="4" w:space="0"/>
            </w:tcBorders>
            <w:vAlign w:val="center"/>
          </w:tcPr>
          <w:p w14:paraId="4A645030">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可比实例均为正常交易或已修正为正常交易，故不予修正，交易情况指数均100；</w:t>
            </w:r>
          </w:p>
        </w:tc>
      </w:tr>
      <w:tr w14:paraId="5A04ECB1">
        <w:tblPrEx>
          <w:tblCellMar>
            <w:top w:w="0" w:type="dxa"/>
            <w:left w:w="108" w:type="dxa"/>
            <w:bottom w:w="0" w:type="dxa"/>
            <w:right w:w="108" w:type="dxa"/>
          </w:tblCellMar>
        </w:tblPrEx>
        <w:trPr>
          <w:trHeight w:val="788" w:hRule="atLeast"/>
        </w:trPr>
        <w:tc>
          <w:tcPr>
            <w:tcW w:w="581" w:type="dxa"/>
            <w:vMerge w:val="restart"/>
            <w:tcBorders>
              <w:top w:val="single" w:color="000000" w:sz="4" w:space="0"/>
              <w:left w:val="single" w:color="000000" w:sz="4" w:space="0"/>
              <w:bottom w:val="single" w:color="000000" w:sz="4" w:space="0"/>
            </w:tcBorders>
            <w:vAlign w:val="center"/>
          </w:tcPr>
          <w:p w14:paraId="0C348161">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区域</w:t>
            </w:r>
          </w:p>
          <w:p w14:paraId="24A7BFED">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状况</w:t>
            </w:r>
          </w:p>
        </w:tc>
        <w:tc>
          <w:tcPr>
            <w:tcW w:w="954" w:type="dxa"/>
            <w:tcBorders>
              <w:left w:val="single" w:color="000000" w:sz="4" w:space="0"/>
              <w:bottom w:val="single" w:color="000000" w:sz="4" w:space="0"/>
            </w:tcBorders>
            <w:vAlign w:val="center"/>
          </w:tcPr>
          <w:p w14:paraId="6FD10A71">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居住区成熟度</w:t>
            </w:r>
          </w:p>
        </w:tc>
        <w:tc>
          <w:tcPr>
            <w:tcW w:w="999" w:type="dxa"/>
            <w:tcBorders>
              <w:left w:val="single" w:color="000000" w:sz="4" w:space="0"/>
              <w:bottom w:val="single" w:color="000000" w:sz="4" w:space="0"/>
            </w:tcBorders>
            <w:vAlign w:val="center"/>
          </w:tcPr>
          <w:p w14:paraId="5EE2B20E">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998" w:type="dxa"/>
            <w:tcBorders>
              <w:left w:val="single" w:color="000000" w:sz="4" w:space="0"/>
              <w:bottom w:val="single" w:color="000000" w:sz="4" w:space="0"/>
            </w:tcBorders>
            <w:vAlign w:val="center"/>
          </w:tcPr>
          <w:p w14:paraId="17C494D0">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999" w:type="dxa"/>
            <w:tcBorders>
              <w:left w:val="single" w:color="000000" w:sz="4" w:space="0"/>
              <w:bottom w:val="single" w:color="000000" w:sz="4" w:space="0"/>
            </w:tcBorders>
            <w:vAlign w:val="center"/>
          </w:tcPr>
          <w:p w14:paraId="7BAF9F5A">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996" w:type="dxa"/>
            <w:tcBorders>
              <w:left w:val="single" w:color="000000" w:sz="4" w:space="0"/>
              <w:bottom w:val="single" w:color="000000" w:sz="4" w:space="0"/>
            </w:tcBorders>
            <w:vAlign w:val="center"/>
          </w:tcPr>
          <w:p w14:paraId="54EE3146">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3761" w:type="dxa"/>
            <w:tcBorders>
              <w:left w:val="single" w:color="000000" w:sz="4" w:space="0"/>
              <w:bottom w:val="single" w:color="000000" w:sz="4" w:space="0"/>
              <w:right w:val="single" w:color="000000" w:sz="4" w:space="0"/>
            </w:tcBorders>
            <w:vAlign w:val="center"/>
          </w:tcPr>
          <w:p w14:paraId="6E18E784">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从好到差划分为好、较好、一般、较差、差五个等级，每个等级相差3分，确定可比实例1、2、3该因素指数分别为100、100、100；</w:t>
            </w:r>
          </w:p>
        </w:tc>
      </w:tr>
      <w:tr w14:paraId="26F86B2B">
        <w:tblPrEx>
          <w:tblCellMar>
            <w:top w:w="0" w:type="dxa"/>
            <w:left w:w="108" w:type="dxa"/>
            <w:bottom w:w="0" w:type="dxa"/>
            <w:right w:w="108" w:type="dxa"/>
          </w:tblCellMar>
        </w:tblPrEx>
        <w:trPr>
          <w:trHeight w:val="774" w:hRule="atLeast"/>
        </w:trPr>
        <w:tc>
          <w:tcPr>
            <w:tcW w:w="581" w:type="dxa"/>
            <w:vMerge w:val="continue"/>
            <w:tcBorders>
              <w:top w:val="single" w:color="000000" w:sz="4" w:space="0"/>
              <w:left w:val="single" w:color="000000" w:sz="4" w:space="0"/>
              <w:bottom w:val="single" w:color="000000" w:sz="4" w:space="0"/>
            </w:tcBorders>
            <w:vAlign w:val="center"/>
          </w:tcPr>
          <w:p w14:paraId="175AC649">
            <w:pPr>
              <w:widowControl/>
              <w:spacing w:line="240" w:lineRule="auto"/>
              <w:jc w:val="center"/>
              <w:textAlignment w:val="auto"/>
              <w:rPr>
                <w:rFonts w:ascii="Arial" w:hAnsi="Arial" w:eastAsia="华文细黑" w:cs="Arial"/>
                <w:sz w:val="18"/>
                <w:szCs w:val="18"/>
              </w:rPr>
            </w:pPr>
          </w:p>
        </w:tc>
        <w:tc>
          <w:tcPr>
            <w:tcW w:w="954" w:type="dxa"/>
            <w:tcBorders>
              <w:left w:val="single" w:color="000000" w:sz="4" w:space="0"/>
              <w:bottom w:val="single" w:color="000000" w:sz="4" w:space="0"/>
            </w:tcBorders>
            <w:vAlign w:val="center"/>
          </w:tcPr>
          <w:p w14:paraId="640F773C">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交通条件</w:t>
            </w:r>
          </w:p>
        </w:tc>
        <w:tc>
          <w:tcPr>
            <w:tcW w:w="999" w:type="dxa"/>
            <w:tcBorders>
              <w:left w:val="single" w:color="000000" w:sz="4" w:space="0"/>
              <w:bottom w:val="single" w:color="000000" w:sz="4" w:space="0"/>
            </w:tcBorders>
            <w:vAlign w:val="center"/>
          </w:tcPr>
          <w:p w14:paraId="3734E56A">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998" w:type="dxa"/>
            <w:tcBorders>
              <w:left w:val="single" w:color="000000" w:sz="4" w:space="0"/>
              <w:bottom w:val="single" w:color="000000" w:sz="4" w:space="0"/>
            </w:tcBorders>
            <w:vAlign w:val="center"/>
          </w:tcPr>
          <w:p w14:paraId="5C6A3A49">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999" w:type="dxa"/>
            <w:tcBorders>
              <w:left w:val="single" w:color="000000" w:sz="4" w:space="0"/>
              <w:bottom w:val="single" w:color="000000" w:sz="4" w:space="0"/>
            </w:tcBorders>
            <w:vAlign w:val="center"/>
          </w:tcPr>
          <w:p w14:paraId="0A518841">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103</w:t>
            </w:r>
          </w:p>
        </w:tc>
        <w:tc>
          <w:tcPr>
            <w:tcW w:w="996" w:type="dxa"/>
            <w:tcBorders>
              <w:left w:val="single" w:color="000000" w:sz="4" w:space="0"/>
              <w:bottom w:val="single" w:color="000000" w:sz="4" w:space="0"/>
            </w:tcBorders>
            <w:vAlign w:val="center"/>
          </w:tcPr>
          <w:p w14:paraId="1285A9D4">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103</w:t>
            </w:r>
          </w:p>
        </w:tc>
        <w:tc>
          <w:tcPr>
            <w:tcW w:w="3761" w:type="dxa"/>
            <w:tcBorders>
              <w:left w:val="single" w:color="000000" w:sz="4" w:space="0"/>
              <w:bottom w:val="single" w:color="000000" w:sz="4" w:space="0"/>
              <w:right w:val="single" w:color="000000" w:sz="4" w:space="0"/>
            </w:tcBorders>
            <w:vAlign w:val="center"/>
          </w:tcPr>
          <w:p w14:paraId="4FA2037C">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从好到差划分为好、较好、一般、较差、差五个等级，每个等级相差3分，确定可比实例1、2、3该因素指数分别为100、103、103；</w:t>
            </w:r>
          </w:p>
        </w:tc>
      </w:tr>
      <w:tr w14:paraId="5CE9E914">
        <w:tblPrEx>
          <w:tblCellMar>
            <w:top w:w="0" w:type="dxa"/>
            <w:left w:w="108" w:type="dxa"/>
            <w:bottom w:w="0" w:type="dxa"/>
            <w:right w:w="108" w:type="dxa"/>
          </w:tblCellMar>
        </w:tblPrEx>
        <w:trPr>
          <w:trHeight w:val="848" w:hRule="atLeast"/>
        </w:trPr>
        <w:tc>
          <w:tcPr>
            <w:tcW w:w="581" w:type="dxa"/>
            <w:vMerge w:val="continue"/>
            <w:tcBorders>
              <w:top w:val="single" w:color="000000" w:sz="4" w:space="0"/>
              <w:left w:val="single" w:color="000000" w:sz="4" w:space="0"/>
              <w:bottom w:val="single" w:color="000000" w:sz="4" w:space="0"/>
            </w:tcBorders>
            <w:vAlign w:val="center"/>
          </w:tcPr>
          <w:p w14:paraId="07F84DC0">
            <w:pPr>
              <w:widowControl/>
              <w:spacing w:line="240" w:lineRule="auto"/>
              <w:jc w:val="center"/>
              <w:textAlignment w:val="auto"/>
              <w:rPr>
                <w:rFonts w:ascii="Arial" w:hAnsi="Arial" w:eastAsia="华文细黑" w:cs="Arial"/>
                <w:sz w:val="18"/>
                <w:szCs w:val="18"/>
              </w:rPr>
            </w:pPr>
          </w:p>
        </w:tc>
        <w:tc>
          <w:tcPr>
            <w:tcW w:w="954" w:type="dxa"/>
            <w:tcBorders>
              <w:left w:val="single" w:color="000000" w:sz="4" w:space="0"/>
              <w:bottom w:val="single" w:color="000000" w:sz="4" w:space="0"/>
            </w:tcBorders>
            <w:vAlign w:val="center"/>
          </w:tcPr>
          <w:p w14:paraId="5031263F">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商业设施</w:t>
            </w:r>
          </w:p>
        </w:tc>
        <w:tc>
          <w:tcPr>
            <w:tcW w:w="999" w:type="dxa"/>
            <w:tcBorders>
              <w:left w:val="single" w:color="000000" w:sz="4" w:space="0"/>
              <w:bottom w:val="single" w:color="000000" w:sz="4" w:space="0"/>
            </w:tcBorders>
            <w:vAlign w:val="center"/>
          </w:tcPr>
          <w:p w14:paraId="3BD7079F">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998" w:type="dxa"/>
            <w:tcBorders>
              <w:left w:val="single" w:color="000000" w:sz="4" w:space="0"/>
              <w:bottom w:val="single" w:color="000000" w:sz="4" w:space="0"/>
            </w:tcBorders>
            <w:vAlign w:val="center"/>
          </w:tcPr>
          <w:p w14:paraId="1FB9DD63">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999" w:type="dxa"/>
            <w:tcBorders>
              <w:left w:val="single" w:color="000000" w:sz="4" w:space="0"/>
              <w:bottom w:val="single" w:color="000000" w:sz="4" w:space="0"/>
            </w:tcBorders>
            <w:vAlign w:val="center"/>
          </w:tcPr>
          <w:p w14:paraId="29CFF439">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996" w:type="dxa"/>
            <w:tcBorders>
              <w:left w:val="single" w:color="000000" w:sz="4" w:space="0"/>
              <w:bottom w:val="single" w:color="000000" w:sz="4" w:space="0"/>
            </w:tcBorders>
            <w:vAlign w:val="center"/>
          </w:tcPr>
          <w:p w14:paraId="45AC4A55">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3761" w:type="dxa"/>
            <w:tcBorders>
              <w:left w:val="single" w:color="000000" w:sz="4" w:space="0"/>
              <w:bottom w:val="single" w:color="000000" w:sz="4" w:space="0"/>
              <w:right w:val="single" w:color="000000" w:sz="4" w:space="0"/>
            </w:tcBorders>
            <w:vAlign w:val="center"/>
          </w:tcPr>
          <w:p w14:paraId="5DD519C6">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从好到差划分为好、较好、一般、较差、差五个等级，每个等级相差3分，确定可比实例1、2、3该因素指数分别为100、100、100；</w:t>
            </w:r>
          </w:p>
        </w:tc>
      </w:tr>
      <w:tr w14:paraId="1EF898CD">
        <w:tblPrEx>
          <w:tblCellMar>
            <w:top w:w="0" w:type="dxa"/>
            <w:left w:w="108" w:type="dxa"/>
            <w:bottom w:w="0" w:type="dxa"/>
            <w:right w:w="108" w:type="dxa"/>
          </w:tblCellMar>
        </w:tblPrEx>
        <w:trPr>
          <w:trHeight w:val="834" w:hRule="atLeast"/>
        </w:trPr>
        <w:tc>
          <w:tcPr>
            <w:tcW w:w="581" w:type="dxa"/>
            <w:vMerge w:val="continue"/>
            <w:tcBorders>
              <w:top w:val="single" w:color="000000" w:sz="4" w:space="0"/>
              <w:left w:val="single" w:color="000000" w:sz="4" w:space="0"/>
              <w:bottom w:val="single" w:color="000000" w:sz="4" w:space="0"/>
            </w:tcBorders>
            <w:vAlign w:val="center"/>
          </w:tcPr>
          <w:p w14:paraId="3FF8AC42">
            <w:pPr>
              <w:widowControl/>
              <w:spacing w:line="240" w:lineRule="auto"/>
              <w:jc w:val="center"/>
              <w:textAlignment w:val="auto"/>
              <w:rPr>
                <w:rFonts w:ascii="Arial" w:hAnsi="Arial" w:eastAsia="华文细黑" w:cs="Arial"/>
                <w:sz w:val="18"/>
                <w:szCs w:val="18"/>
              </w:rPr>
            </w:pPr>
          </w:p>
        </w:tc>
        <w:tc>
          <w:tcPr>
            <w:tcW w:w="954" w:type="dxa"/>
            <w:tcBorders>
              <w:left w:val="single" w:color="000000" w:sz="4" w:space="0"/>
              <w:bottom w:val="single" w:color="000000" w:sz="4" w:space="0"/>
            </w:tcBorders>
            <w:vAlign w:val="center"/>
          </w:tcPr>
          <w:p w14:paraId="6F0A0607">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自然环境</w:t>
            </w:r>
          </w:p>
        </w:tc>
        <w:tc>
          <w:tcPr>
            <w:tcW w:w="999" w:type="dxa"/>
            <w:tcBorders>
              <w:left w:val="single" w:color="000000" w:sz="4" w:space="0"/>
              <w:bottom w:val="single" w:color="000000" w:sz="4" w:space="0"/>
            </w:tcBorders>
            <w:vAlign w:val="center"/>
          </w:tcPr>
          <w:p w14:paraId="2A808BA4">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998" w:type="dxa"/>
            <w:tcBorders>
              <w:left w:val="single" w:color="000000" w:sz="4" w:space="0"/>
              <w:bottom w:val="single" w:color="000000" w:sz="4" w:space="0"/>
            </w:tcBorders>
            <w:vAlign w:val="center"/>
          </w:tcPr>
          <w:p w14:paraId="667055CA">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999" w:type="dxa"/>
            <w:tcBorders>
              <w:left w:val="single" w:color="000000" w:sz="4" w:space="0"/>
              <w:bottom w:val="single" w:color="000000" w:sz="4" w:space="0"/>
            </w:tcBorders>
            <w:vAlign w:val="center"/>
          </w:tcPr>
          <w:p w14:paraId="68C095CF">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996" w:type="dxa"/>
            <w:tcBorders>
              <w:left w:val="single" w:color="000000" w:sz="4" w:space="0"/>
              <w:bottom w:val="single" w:color="000000" w:sz="4" w:space="0"/>
            </w:tcBorders>
            <w:vAlign w:val="center"/>
          </w:tcPr>
          <w:p w14:paraId="6721BD92">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3761" w:type="dxa"/>
            <w:tcBorders>
              <w:left w:val="single" w:color="000000" w:sz="4" w:space="0"/>
              <w:bottom w:val="single" w:color="000000" w:sz="4" w:space="0"/>
              <w:right w:val="single" w:color="000000" w:sz="4" w:space="0"/>
            </w:tcBorders>
            <w:vAlign w:val="center"/>
          </w:tcPr>
          <w:p w14:paraId="111939CA">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从好到差划分为好、较好、一般、较差、差五个等级，每个等级相差3分，确定可比实例1、2、3该因素指数分别为100、100、100；</w:t>
            </w:r>
          </w:p>
        </w:tc>
      </w:tr>
      <w:tr w14:paraId="58850467">
        <w:tblPrEx>
          <w:tblCellMar>
            <w:top w:w="0" w:type="dxa"/>
            <w:left w:w="108" w:type="dxa"/>
            <w:bottom w:w="0" w:type="dxa"/>
            <w:right w:w="108" w:type="dxa"/>
          </w:tblCellMar>
        </w:tblPrEx>
        <w:trPr>
          <w:trHeight w:val="847" w:hRule="atLeast"/>
        </w:trPr>
        <w:tc>
          <w:tcPr>
            <w:tcW w:w="581" w:type="dxa"/>
            <w:vMerge w:val="continue"/>
            <w:tcBorders>
              <w:top w:val="single" w:color="000000" w:sz="4" w:space="0"/>
              <w:left w:val="single" w:color="000000" w:sz="4" w:space="0"/>
              <w:bottom w:val="single" w:color="000000" w:sz="4" w:space="0"/>
            </w:tcBorders>
            <w:vAlign w:val="center"/>
          </w:tcPr>
          <w:p w14:paraId="210EB263">
            <w:pPr>
              <w:widowControl/>
              <w:spacing w:line="240" w:lineRule="auto"/>
              <w:jc w:val="center"/>
              <w:textAlignment w:val="auto"/>
              <w:rPr>
                <w:rFonts w:ascii="Arial" w:hAnsi="Arial" w:eastAsia="华文细黑" w:cs="Arial"/>
                <w:sz w:val="18"/>
                <w:szCs w:val="18"/>
              </w:rPr>
            </w:pPr>
          </w:p>
        </w:tc>
        <w:tc>
          <w:tcPr>
            <w:tcW w:w="954" w:type="dxa"/>
            <w:tcBorders>
              <w:left w:val="single" w:color="000000" w:sz="4" w:space="0"/>
              <w:bottom w:val="single" w:color="000000" w:sz="4" w:space="0"/>
            </w:tcBorders>
            <w:vAlign w:val="center"/>
          </w:tcPr>
          <w:p w14:paraId="4B6E72E8">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公共配套</w:t>
            </w:r>
          </w:p>
        </w:tc>
        <w:tc>
          <w:tcPr>
            <w:tcW w:w="999" w:type="dxa"/>
            <w:tcBorders>
              <w:left w:val="single" w:color="000000" w:sz="4" w:space="0"/>
              <w:bottom w:val="single" w:color="000000" w:sz="4" w:space="0"/>
            </w:tcBorders>
            <w:vAlign w:val="center"/>
          </w:tcPr>
          <w:p w14:paraId="590E3F9B">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998" w:type="dxa"/>
            <w:tcBorders>
              <w:left w:val="single" w:color="000000" w:sz="4" w:space="0"/>
              <w:bottom w:val="single" w:color="000000" w:sz="4" w:space="0"/>
            </w:tcBorders>
            <w:vAlign w:val="center"/>
          </w:tcPr>
          <w:p w14:paraId="1B11CEBC">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999" w:type="dxa"/>
            <w:tcBorders>
              <w:left w:val="single" w:color="000000" w:sz="4" w:space="0"/>
              <w:bottom w:val="single" w:color="000000" w:sz="4" w:space="0"/>
            </w:tcBorders>
            <w:vAlign w:val="center"/>
          </w:tcPr>
          <w:p w14:paraId="18697E27">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996" w:type="dxa"/>
            <w:tcBorders>
              <w:left w:val="single" w:color="000000" w:sz="4" w:space="0"/>
              <w:bottom w:val="single" w:color="000000" w:sz="4" w:space="0"/>
            </w:tcBorders>
            <w:vAlign w:val="center"/>
          </w:tcPr>
          <w:p w14:paraId="2719E43B">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3761" w:type="dxa"/>
            <w:tcBorders>
              <w:left w:val="single" w:color="000000" w:sz="4" w:space="0"/>
              <w:bottom w:val="single" w:color="000000" w:sz="4" w:space="0"/>
              <w:right w:val="single" w:color="000000" w:sz="4" w:space="0"/>
            </w:tcBorders>
            <w:vAlign w:val="center"/>
          </w:tcPr>
          <w:p w14:paraId="611AB416">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从好到差划分为齐全、较齐全、一般、较不齐全、不齐全五个等级，每个等级相差3分，确定可比实例1、2、3该因素指数分别为100、100、100；</w:t>
            </w:r>
          </w:p>
        </w:tc>
      </w:tr>
      <w:tr w14:paraId="5C181004">
        <w:tblPrEx>
          <w:tblCellMar>
            <w:top w:w="0" w:type="dxa"/>
            <w:left w:w="108" w:type="dxa"/>
            <w:bottom w:w="0" w:type="dxa"/>
            <w:right w:w="108" w:type="dxa"/>
          </w:tblCellMar>
        </w:tblPrEx>
        <w:trPr>
          <w:trHeight w:val="975" w:hRule="atLeast"/>
        </w:trPr>
        <w:tc>
          <w:tcPr>
            <w:tcW w:w="581" w:type="dxa"/>
            <w:vMerge w:val="restart"/>
            <w:tcBorders>
              <w:top w:val="single" w:color="000000" w:sz="4" w:space="0"/>
              <w:left w:val="single" w:color="000000" w:sz="4" w:space="0"/>
            </w:tcBorders>
            <w:vAlign w:val="center"/>
          </w:tcPr>
          <w:p w14:paraId="7AB79A94">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实物</w:t>
            </w:r>
          </w:p>
          <w:p w14:paraId="7B8D55F1">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状况</w:t>
            </w:r>
          </w:p>
        </w:tc>
        <w:tc>
          <w:tcPr>
            <w:tcW w:w="954" w:type="dxa"/>
            <w:tcBorders>
              <w:left w:val="single" w:color="000000" w:sz="4" w:space="0"/>
              <w:bottom w:val="single" w:color="000000" w:sz="4" w:space="0"/>
            </w:tcBorders>
            <w:vAlign w:val="center"/>
          </w:tcPr>
          <w:p w14:paraId="64338BA4">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物业服务</w:t>
            </w:r>
          </w:p>
        </w:tc>
        <w:tc>
          <w:tcPr>
            <w:tcW w:w="999" w:type="dxa"/>
            <w:tcBorders>
              <w:left w:val="single" w:color="000000" w:sz="4" w:space="0"/>
              <w:bottom w:val="single" w:color="000000" w:sz="4" w:space="0"/>
            </w:tcBorders>
            <w:vAlign w:val="center"/>
          </w:tcPr>
          <w:p w14:paraId="19211F62">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998" w:type="dxa"/>
            <w:tcBorders>
              <w:left w:val="single" w:color="000000" w:sz="4" w:space="0"/>
              <w:bottom w:val="single" w:color="000000" w:sz="4" w:space="0"/>
            </w:tcBorders>
            <w:vAlign w:val="center"/>
          </w:tcPr>
          <w:p w14:paraId="0566D672">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999" w:type="dxa"/>
            <w:tcBorders>
              <w:left w:val="single" w:color="000000" w:sz="4" w:space="0"/>
              <w:bottom w:val="single" w:color="000000" w:sz="4" w:space="0"/>
            </w:tcBorders>
            <w:vAlign w:val="center"/>
          </w:tcPr>
          <w:p w14:paraId="3DBB5F36">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996" w:type="dxa"/>
            <w:tcBorders>
              <w:left w:val="single" w:color="000000" w:sz="4" w:space="0"/>
              <w:bottom w:val="single" w:color="000000" w:sz="4" w:space="0"/>
            </w:tcBorders>
            <w:vAlign w:val="center"/>
          </w:tcPr>
          <w:p w14:paraId="489CB6D6">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3761" w:type="dxa"/>
            <w:tcBorders>
              <w:left w:val="single" w:color="000000" w:sz="4" w:space="0"/>
              <w:bottom w:val="single" w:color="000000" w:sz="4" w:space="0"/>
              <w:right w:val="single" w:color="000000" w:sz="4" w:space="0"/>
            </w:tcBorders>
            <w:vAlign w:val="center"/>
          </w:tcPr>
          <w:p w14:paraId="25D5BEB5">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根据物业服务对其价值的影响，从好到差划分为有专业物业公司、无物业公司二个等级。以估价对象该因素指数为100，各可比实例与之相比，确定可比实例1、2、3该因素指数分别为100、100、100；</w:t>
            </w:r>
          </w:p>
        </w:tc>
      </w:tr>
      <w:tr w14:paraId="25084018">
        <w:tblPrEx>
          <w:tblCellMar>
            <w:top w:w="0" w:type="dxa"/>
            <w:left w:w="108" w:type="dxa"/>
            <w:bottom w:w="0" w:type="dxa"/>
            <w:right w:w="108" w:type="dxa"/>
          </w:tblCellMar>
        </w:tblPrEx>
        <w:trPr>
          <w:trHeight w:val="1360" w:hRule="atLeast"/>
        </w:trPr>
        <w:tc>
          <w:tcPr>
            <w:tcW w:w="581" w:type="dxa"/>
            <w:vMerge w:val="continue"/>
            <w:tcBorders>
              <w:top w:val="single" w:color="000000" w:sz="4" w:space="0"/>
              <w:left w:val="single" w:color="000000" w:sz="4" w:space="0"/>
            </w:tcBorders>
            <w:vAlign w:val="center"/>
          </w:tcPr>
          <w:p w14:paraId="7A53D1B5">
            <w:pPr>
              <w:widowControl/>
              <w:spacing w:line="240" w:lineRule="auto"/>
              <w:jc w:val="center"/>
              <w:textAlignment w:val="auto"/>
              <w:rPr>
                <w:rFonts w:ascii="Arial" w:hAnsi="Arial" w:eastAsia="华文细黑" w:cs="Arial"/>
                <w:sz w:val="18"/>
                <w:szCs w:val="18"/>
              </w:rPr>
            </w:pPr>
          </w:p>
        </w:tc>
        <w:tc>
          <w:tcPr>
            <w:tcW w:w="954" w:type="dxa"/>
            <w:tcBorders>
              <w:left w:val="single" w:color="000000" w:sz="4" w:space="0"/>
              <w:bottom w:val="single" w:color="000000" w:sz="4" w:space="0"/>
            </w:tcBorders>
            <w:vAlign w:val="center"/>
          </w:tcPr>
          <w:p w14:paraId="12C8B9BF">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小区环境</w:t>
            </w:r>
          </w:p>
        </w:tc>
        <w:tc>
          <w:tcPr>
            <w:tcW w:w="999" w:type="dxa"/>
            <w:tcBorders>
              <w:left w:val="single" w:color="000000" w:sz="4" w:space="0"/>
              <w:bottom w:val="single" w:color="000000" w:sz="4" w:space="0"/>
            </w:tcBorders>
            <w:vAlign w:val="center"/>
          </w:tcPr>
          <w:p w14:paraId="19B9EC0D">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998" w:type="dxa"/>
            <w:tcBorders>
              <w:left w:val="single" w:color="000000" w:sz="4" w:space="0"/>
              <w:bottom w:val="single" w:color="000000" w:sz="4" w:space="0"/>
            </w:tcBorders>
            <w:vAlign w:val="center"/>
          </w:tcPr>
          <w:p w14:paraId="514A2B17">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999" w:type="dxa"/>
            <w:tcBorders>
              <w:left w:val="single" w:color="000000" w:sz="4" w:space="0"/>
              <w:bottom w:val="single" w:color="000000" w:sz="4" w:space="0"/>
            </w:tcBorders>
            <w:vAlign w:val="center"/>
          </w:tcPr>
          <w:p w14:paraId="60B731F0">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996" w:type="dxa"/>
            <w:tcBorders>
              <w:left w:val="single" w:color="000000" w:sz="4" w:space="0"/>
              <w:bottom w:val="single" w:color="000000" w:sz="4" w:space="0"/>
            </w:tcBorders>
            <w:vAlign w:val="center"/>
          </w:tcPr>
          <w:p w14:paraId="5A7832D2">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3761" w:type="dxa"/>
            <w:tcBorders>
              <w:left w:val="single" w:color="000000" w:sz="4" w:space="0"/>
              <w:bottom w:val="single" w:color="000000" w:sz="4" w:space="0"/>
              <w:right w:val="single" w:color="000000" w:sz="4" w:space="0"/>
            </w:tcBorders>
            <w:vAlign w:val="center"/>
          </w:tcPr>
          <w:p w14:paraId="488A3C85">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根据小区环境对其价值的影响，从好到差划分为绿化率≥35%为好，35％&gt;绿化率≥30%为较好，30%&gt;绿化率≥25%&gt;为一般，25%&gt;绿化率≥20%为较差，绿化率&lt;20%为差五个等级。以估价对象该因素指数为100，各可比实例与之相比，确定可比实例1、2、3该因素指数分别为100、100、100；</w:t>
            </w:r>
          </w:p>
        </w:tc>
      </w:tr>
      <w:tr w14:paraId="613EFC2D">
        <w:tblPrEx>
          <w:tblCellMar>
            <w:top w:w="0" w:type="dxa"/>
            <w:left w:w="108" w:type="dxa"/>
            <w:bottom w:w="0" w:type="dxa"/>
            <w:right w:w="108" w:type="dxa"/>
          </w:tblCellMar>
        </w:tblPrEx>
        <w:trPr>
          <w:trHeight w:val="1127" w:hRule="atLeast"/>
        </w:trPr>
        <w:tc>
          <w:tcPr>
            <w:tcW w:w="581" w:type="dxa"/>
            <w:vMerge w:val="continue"/>
            <w:tcBorders>
              <w:top w:val="single" w:color="000000" w:sz="4" w:space="0"/>
              <w:left w:val="single" w:color="000000" w:sz="4" w:space="0"/>
            </w:tcBorders>
            <w:vAlign w:val="center"/>
          </w:tcPr>
          <w:p w14:paraId="05539672">
            <w:pPr>
              <w:widowControl/>
              <w:spacing w:line="240" w:lineRule="auto"/>
              <w:jc w:val="center"/>
              <w:textAlignment w:val="auto"/>
              <w:rPr>
                <w:rFonts w:ascii="Arial" w:hAnsi="Arial" w:eastAsia="华文细黑" w:cs="Arial"/>
                <w:sz w:val="18"/>
                <w:szCs w:val="18"/>
              </w:rPr>
            </w:pPr>
          </w:p>
        </w:tc>
        <w:tc>
          <w:tcPr>
            <w:tcW w:w="954" w:type="dxa"/>
            <w:tcBorders>
              <w:left w:val="single" w:color="000000" w:sz="4" w:space="0"/>
              <w:bottom w:val="single" w:color="000000" w:sz="4" w:space="0"/>
            </w:tcBorders>
            <w:vAlign w:val="center"/>
          </w:tcPr>
          <w:p w14:paraId="523DA9A5">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配套设施</w:t>
            </w:r>
          </w:p>
        </w:tc>
        <w:tc>
          <w:tcPr>
            <w:tcW w:w="999" w:type="dxa"/>
            <w:tcBorders>
              <w:left w:val="single" w:color="000000" w:sz="4" w:space="0"/>
              <w:bottom w:val="single" w:color="000000" w:sz="4" w:space="0"/>
            </w:tcBorders>
            <w:vAlign w:val="center"/>
          </w:tcPr>
          <w:p w14:paraId="51FB52A3">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998" w:type="dxa"/>
            <w:tcBorders>
              <w:left w:val="single" w:color="000000" w:sz="4" w:space="0"/>
              <w:bottom w:val="single" w:color="000000" w:sz="4" w:space="0"/>
            </w:tcBorders>
            <w:vAlign w:val="center"/>
          </w:tcPr>
          <w:p w14:paraId="4CFFA22F">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99</w:t>
            </w:r>
          </w:p>
        </w:tc>
        <w:tc>
          <w:tcPr>
            <w:tcW w:w="999" w:type="dxa"/>
            <w:tcBorders>
              <w:left w:val="single" w:color="000000" w:sz="4" w:space="0"/>
              <w:bottom w:val="single" w:color="000000" w:sz="4" w:space="0"/>
            </w:tcBorders>
            <w:vAlign w:val="center"/>
          </w:tcPr>
          <w:p w14:paraId="255CA3E2">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99</w:t>
            </w:r>
          </w:p>
        </w:tc>
        <w:tc>
          <w:tcPr>
            <w:tcW w:w="996" w:type="dxa"/>
            <w:tcBorders>
              <w:left w:val="single" w:color="000000" w:sz="4" w:space="0"/>
              <w:bottom w:val="single" w:color="000000" w:sz="4" w:space="0"/>
            </w:tcBorders>
            <w:vAlign w:val="center"/>
          </w:tcPr>
          <w:p w14:paraId="1E87B7D2">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99</w:t>
            </w:r>
          </w:p>
        </w:tc>
        <w:tc>
          <w:tcPr>
            <w:tcW w:w="3761" w:type="dxa"/>
            <w:tcBorders>
              <w:left w:val="single" w:color="000000" w:sz="4" w:space="0"/>
              <w:bottom w:val="single" w:color="000000" w:sz="4" w:space="0"/>
              <w:right w:val="single" w:color="000000" w:sz="4" w:space="0"/>
            </w:tcBorders>
            <w:vAlign w:val="center"/>
          </w:tcPr>
          <w:p w14:paraId="00C67722">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根据配套设施对其价值的影响，从好到差划分为配备健身房、活动空间、医疗站、配备医疗站、活动站；配备活动站、不配备医疗站或配备医疗站，无活动站；无医疗站、活动站等，等级以估价对象该因素指数为100，各可比实例与之相比，确定可比实例1、2、3该因素指数分别为99、99、99；</w:t>
            </w:r>
          </w:p>
        </w:tc>
      </w:tr>
      <w:tr w14:paraId="4B79FE13">
        <w:tblPrEx>
          <w:tblCellMar>
            <w:top w:w="0" w:type="dxa"/>
            <w:left w:w="108" w:type="dxa"/>
            <w:bottom w:w="0" w:type="dxa"/>
            <w:right w:w="108" w:type="dxa"/>
          </w:tblCellMar>
        </w:tblPrEx>
        <w:trPr>
          <w:trHeight w:val="1148" w:hRule="atLeast"/>
        </w:trPr>
        <w:tc>
          <w:tcPr>
            <w:tcW w:w="581" w:type="dxa"/>
            <w:vMerge w:val="continue"/>
            <w:tcBorders>
              <w:top w:val="single" w:color="000000" w:sz="4" w:space="0"/>
              <w:left w:val="single" w:color="000000" w:sz="4" w:space="0"/>
            </w:tcBorders>
            <w:vAlign w:val="center"/>
          </w:tcPr>
          <w:p w14:paraId="39F0C24E">
            <w:pPr>
              <w:widowControl/>
              <w:spacing w:line="240" w:lineRule="auto"/>
              <w:jc w:val="center"/>
              <w:textAlignment w:val="auto"/>
              <w:rPr>
                <w:rFonts w:ascii="Arial" w:hAnsi="Arial" w:eastAsia="华文细黑" w:cs="Arial"/>
                <w:sz w:val="18"/>
                <w:szCs w:val="18"/>
              </w:rPr>
            </w:pPr>
          </w:p>
        </w:tc>
        <w:tc>
          <w:tcPr>
            <w:tcW w:w="954" w:type="dxa"/>
            <w:tcBorders>
              <w:left w:val="single" w:color="000000" w:sz="4" w:space="0"/>
              <w:bottom w:val="single" w:color="000000" w:sz="4" w:space="0"/>
            </w:tcBorders>
            <w:vAlign w:val="center"/>
          </w:tcPr>
          <w:p w14:paraId="2D06FE12">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居住管理</w:t>
            </w:r>
          </w:p>
        </w:tc>
        <w:tc>
          <w:tcPr>
            <w:tcW w:w="999" w:type="dxa"/>
            <w:tcBorders>
              <w:left w:val="single" w:color="000000" w:sz="4" w:space="0"/>
              <w:bottom w:val="single" w:color="000000" w:sz="4" w:space="0"/>
            </w:tcBorders>
            <w:vAlign w:val="center"/>
          </w:tcPr>
          <w:p w14:paraId="5E6F7367">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998" w:type="dxa"/>
            <w:tcBorders>
              <w:left w:val="single" w:color="000000" w:sz="4" w:space="0"/>
              <w:bottom w:val="single" w:color="000000" w:sz="4" w:space="0"/>
            </w:tcBorders>
            <w:vAlign w:val="center"/>
          </w:tcPr>
          <w:p w14:paraId="6C11CE88">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99</w:t>
            </w:r>
          </w:p>
        </w:tc>
        <w:tc>
          <w:tcPr>
            <w:tcW w:w="999" w:type="dxa"/>
            <w:tcBorders>
              <w:left w:val="single" w:color="000000" w:sz="4" w:space="0"/>
              <w:bottom w:val="single" w:color="000000" w:sz="4" w:space="0"/>
            </w:tcBorders>
            <w:vAlign w:val="center"/>
          </w:tcPr>
          <w:p w14:paraId="03417F1E">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99</w:t>
            </w:r>
          </w:p>
        </w:tc>
        <w:tc>
          <w:tcPr>
            <w:tcW w:w="996" w:type="dxa"/>
            <w:tcBorders>
              <w:left w:val="single" w:color="000000" w:sz="4" w:space="0"/>
              <w:bottom w:val="single" w:color="000000" w:sz="4" w:space="0"/>
            </w:tcBorders>
            <w:vAlign w:val="center"/>
          </w:tcPr>
          <w:p w14:paraId="117B0E85">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99</w:t>
            </w:r>
          </w:p>
        </w:tc>
        <w:tc>
          <w:tcPr>
            <w:tcW w:w="3761" w:type="dxa"/>
            <w:tcBorders>
              <w:left w:val="single" w:color="000000" w:sz="4" w:space="0"/>
              <w:bottom w:val="single" w:color="000000" w:sz="4" w:space="0"/>
              <w:right w:val="single" w:color="000000" w:sz="4" w:space="0"/>
            </w:tcBorders>
            <w:vAlign w:val="center"/>
          </w:tcPr>
          <w:p w14:paraId="60C3DD46">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根据居住管理对其价值的影响，从好到差划分为有专业管理人员配置，房屋住户均有备案、有管理人员配置，房屋住户备案较少、无管理人员配置三个等级。以估价对象该因素指数为100，各可比实例与之相比，确定可比实例1、2、3该因素指数分别为99、99、99；</w:t>
            </w:r>
          </w:p>
        </w:tc>
      </w:tr>
      <w:tr w14:paraId="543BA068">
        <w:tblPrEx>
          <w:tblCellMar>
            <w:top w:w="0" w:type="dxa"/>
            <w:left w:w="108" w:type="dxa"/>
            <w:bottom w:w="0" w:type="dxa"/>
            <w:right w:w="108" w:type="dxa"/>
          </w:tblCellMar>
        </w:tblPrEx>
        <w:trPr>
          <w:trHeight w:val="1220" w:hRule="atLeast"/>
        </w:trPr>
        <w:tc>
          <w:tcPr>
            <w:tcW w:w="581" w:type="dxa"/>
            <w:vMerge w:val="continue"/>
            <w:tcBorders>
              <w:top w:val="single" w:color="000000" w:sz="4" w:space="0"/>
              <w:left w:val="single" w:color="000000" w:sz="4" w:space="0"/>
            </w:tcBorders>
            <w:vAlign w:val="center"/>
          </w:tcPr>
          <w:p w14:paraId="188F7670">
            <w:pPr>
              <w:widowControl/>
              <w:spacing w:line="240" w:lineRule="auto"/>
              <w:jc w:val="center"/>
              <w:textAlignment w:val="auto"/>
              <w:rPr>
                <w:rFonts w:ascii="Arial" w:hAnsi="Arial" w:eastAsia="华文细黑" w:cs="Arial"/>
                <w:sz w:val="18"/>
                <w:szCs w:val="18"/>
              </w:rPr>
            </w:pPr>
          </w:p>
        </w:tc>
        <w:tc>
          <w:tcPr>
            <w:tcW w:w="954" w:type="dxa"/>
            <w:tcBorders>
              <w:left w:val="single" w:color="000000" w:sz="4" w:space="0"/>
              <w:bottom w:val="single" w:color="000000" w:sz="4" w:space="0"/>
            </w:tcBorders>
            <w:vAlign w:val="center"/>
          </w:tcPr>
          <w:p w14:paraId="5D48F019">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户型</w:t>
            </w:r>
          </w:p>
        </w:tc>
        <w:tc>
          <w:tcPr>
            <w:tcW w:w="999" w:type="dxa"/>
            <w:tcBorders>
              <w:left w:val="single" w:color="000000" w:sz="4" w:space="0"/>
              <w:bottom w:val="single" w:color="000000" w:sz="4" w:space="0"/>
            </w:tcBorders>
            <w:vAlign w:val="center"/>
          </w:tcPr>
          <w:p w14:paraId="6411FAC1">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998" w:type="dxa"/>
            <w:tcBorders>
              <w:left w:val="single" w:color="000000" w:sz="4" w:space="0"/>
              <w:bottom w:val="single" w:color="000000" w:sz="4" w:space="0"/>
            </w:tcBorders>
            <w:vAlign w:val="center"/>
          </w:tcPr>
          <w:p w14:paraId="356150A1">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98</w:t>
            </w:r>
          </w:p>
        </w:tc>
        <w:tc>
          <w:tcPr>
            <w:tcW w:w="999" w:type="dxa"/>
            <w:tcBorders>
              <w:left w:val="single" w:color="000000" w:sz="4" w:space="0"/>
              <w:bottom w:val="single" w:color="000000" w:sz="4" w:space="0"/>
            </w:tcBorders>
            <w:vAlign w:val="center"/>
          </w:tcPr>
          <w:p w14:paraId="28DE92A8">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996" w:type="dxa"/>
            <w:tcBorders>
              <w:left w:val="single" w:color="000000" w:sz="4" w:space="0"/>
              <w:bottom w:val="single" w:color="000000" w:sz="4" w:space="0"/>
            </w:tcBorders>
            <w:vAlign w:val="center"/>
          </w:tcPr>
          <w:p w14:paraId="7F0F9874">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3761" w:type="dxa"/>
            <w:tcBorders>
              <w:left w:val="single" w:color="000000" w:sz="4" w:space="0"/>
              <w:bottom w:val="single" w:color="000000" w:sz="4" w:space="0"/>
              <w:right w:val="single" w:color="000000" w:sz="4" w:space="0"/>
            </w:tcBorders>
            <w:vAlign w:val="center"/>
          </w:tcPr>
          <w:p w14:paraId="6893F478">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根据户型对其价值的影响，分开间或一居室、两居室、三居室。合理范围内，户型越大利用越充分。以估价对象该因素指数为100，各可比实例与之相比，确定可比实例1、2、3该因素指数分别为98、100、100；</w:t>
            </w:r>
          </w:p>
        </w:tc>
      </w:tr>
      <w:tr w14:paraId="6F9CA875">
        <w:tblPrEx>
          <w:tblCellMar>
            <w:top w:w="0" w:type="dxa"/>
            <w:left w:w="108" w:type="dxa"/>
            <w:bottom w:w="0" w:type="dxa"/>
            <w:right w:w="108" w:type="dxa"/>
          </w:tblCellMar>
        </w:tblPrEx>
        <w:trPr>
          <w:trHeight w:val="1793" w:hRule="atLeast"/>
        </w:trPr>
        <w:tc>
          <w:tcPr>
            <w:tcW w:w="581" w:type="dxa"/>
            <w:vMerge w:val="continue"/>
            <w:tcBorders>
              <w:top w:val="single" w:color="000000" w:sz="4" w:space="0"/>
              <w:left w:val="single" w:color="000000" w:sz="4" w:space="0"/>
            </w:tcBorders>
            <w:vAlign w:val="center"/>
          </w:tcPr>
          <w:p w14:paraId="561FDCBA">
            <w:pPr>
              <w:widowControl/>
              <w:spacing w:line="240" w:lineRule="auto"/>
              <w:jc w:val="center"/>
              <w:textAlignment w:val="auto"/>
              <w:rPr>
                <w:rFonts w:ascii="Arial" w:hAnsi="Arial" w:eastAsia="华文细黑" w:cs="Arial"/>
                <w:sz w:val="18"/>
                <w:szCs w:val="18"/>
              </w:rPr>
            </w:pPr>
          </w:p>
        </w:tc>
        <w:tc>
          <w:tcPr>
            <w:tcW w:w="954" w:type="dxa"/>
            <w:tcBorders>
              <w:left w:val="single" w:color="000000" w:sz="4" w:space="0"/>
              <w:bottom w:val="single" w:color="000000" w:sz="4" w:space="0"/>
            </w:tcBorders>
            <w:vAlign w:val="center"/>
          </w:tcPr>
          <w:p w14:paraId="44F87013">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朝向、采光、通风</w:t>
            </w:r>
          </w:p>
        </w:tc>
        <w:tc>
          <w:tcPr>
            <w:tcW w:w="999" w:type="dxa"/>
            <w:tcBorders>
              <w:left w:val="single" w:color="000000" w:sz="4" w:space="0"/>
              <w:bottom w:val="single" w:color="000000" w:sz="4" w:space="0"/>
            </w:tcBorders>
            <w:vAlign w:val="center"/>
          </w:tcPr>
          <w:p w14:paraId="6A5C4722">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998" w:type="dxa"/>
            <w:tcBorders>
              <w:left w:val="single" w:color="000000" w:sz="4" w:space="0"/>
              <w:bottom w:val="single" w:color="000000" w:sz="4" w:space="0"/>
            </w:tcBorders>
            <w:vAlign w:val="center"/>
          </w:tcPr>
          <w:p w14:paraId="4A44CE68">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102</w:t>
            </w:r>
          </w:p>
        </w:tc>
        <w:tc>
          <w:tcPr>
            <w:tcW w:w="999" w:type="dxa"/>
            <w:tcBorders>
              <w:left w:val="single" w:color="000000" w:sz="4" w:space="0"/>
              <w:bottom w:val="single" w:color="000000" w:sz="4" w:space="0"/>
            </w:tcBorders>
            <w:vAlign w:val="center"/>
          </w:tcPr>
          <w:p w14:paraId="25B99F2D">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102</w:t>
            </w:r>
          </w:p>
        </w:tc>
        <w:tc>
          <w:tcPr>
            <w:tcW w:w="996" w:type="dxa"/>
            <w:tcBorders>
              <w:left w:val="single" w:color="000000" w:sz="4" w:space="0"/>
              <w:bottom w:val="single" w:color="000000" w:sz="4" w:space="0"/>
            </w:tcBorders>
            <w:vAlign w:val="center"/>
          </w:tcPr>
          <w:p w14:paraId="223166CD">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102</w:t>
            </w:r>
          </w:p>
        </w:tc>
        <w:tc>
          <w:tcPr>
            <w:tcW w:w="3761" w:type="dxa"/>
            <w:tcBorders>
              <w:left w:val="single" w:color="000000" w:sz="4" w:space="0"/>
              <w:bottom w:val="single" w:color="000000" w:sz="4" w:space="0"/>
              <w:right w:val="single" w:color="000000" w:sz="4" w:space="0"/>
            </w:tcBorders>
            <w:vAlign w:val="center"/>
          </w:tcPr>
          <w:p w14:paraId="6C99094D">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根据户型对其价值的影响，从好到差划分为好、较好、一般、较差、差五个等级。南北通透，多数房间、通风、采光好，好；朝向较好（南），能保证较长时间的采光，通风较好，较好；朝向一般，能保证一定时间的采光，通风一般，一般；采光时间较短、通风不良，较差；没有采光、不通风，差。以估价对象该因素指数为100，各可比实例与之相比，确定可比实例1、2、3该因素指数分别为102、102、102；</w:t>
            </w:r>
          </w:p>
        </w:tc>
      </w:tr>
      <w:tr w14:paraId="2897447B">
        <w:tblPrEx>
          <w:tblCellMar>
            <w:top w:w="0" w:type="dxa"/>
            <w:left w:w="108" w:type="dxa"/>
            <w:bottom w:w="0" w:type="dxa"/>
            <w:right w:w="108" w:type="dxa"/>
          </w:tblCellMar>
        </w:tblPrEx>
        <w:trPr>
          <w:trHeight w:val="870" w:hRule="atLeast"/>
        </w:trPr>
        <w:tc>
          <w:tcPr>
            <w:tcW w:w="581" w:type="dxa"/>
            <w:vMerge w:val="continue"/>
            <w:tcBorders>
              <w:top w:val="single" w:color="000000" w:sz="4" w:space="0"/>
              <w:left w:val="single" w:color="000000" w:sz="4" w:space="0"/>
            </w:tcBorders>
            <w:vAlign w:val="center"/>
          </w:tcPr>
          <w:p w14:paraId="2F8509F2">
            <w:pPr>
              <w:widowControl/>
              <w:spacing w:line="240" w:lineRule="auto"/>
              <w:jc w:val="center"/>
              <w:textAlignment w:val="auto"/>
              <w:rPr>
                <w:rFonts w:ascii="Arial" w:hAnsi="Arial" w:eastAsia="华文细黑" w:cs="Arial"/>
                <w:sz w:val="18"/>
                <w:szCs w:val="18"/>
              </w:rPr>
            </w:pPr>
          </w:p>
        </w:tc>
        <w:tc>
          <w:tcPr>
            <w:tcW w:w="954" w:type="dxa"/>
            <w:tcBorders>
              <w:top w:val="single" w:color="000000" w:sz="4" w:space="0"/>
              <w:left w:val="single" w:color="000000" w:sz="4" w:space="0"/>
              <w:bottom w:val="single" w:color="000000" w:sz="4" w:space="0"/>
            </w:tcBorders>
            <w:vAlign w:val="center"/>
          </w:tcPr>
          <w:p w14:paraId="072D7D71">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装修</w:t>
            </w:r>
          </w:p>
        </w:tc>
        <w:tc>
          <w:tcPr>
            <w:tcW w:w="999" w:type="dxa"/>
            <w:tcBorders>
              <w:top w:val="single" w:color="000000" w:sz="4" w:space="0"/>
              <w:left w:val="single" w:color="000000" w:sz="4" w:space="0"/>
              <w:bottom w:val="single" w:color="000000" w:sz="4" w:space="0"/>
            </w:tcBorders>
            <w:vAlign w:val="center"/>
          </w:tcPr>
          <w:p w14:paraId="5B7E0B77">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998" w:type="dxa"/>
            <w:tcBorders>
              <w:top w:val="single" w:color="000000" w:sz="4" w:space="0"/>
              <w:left w:val="single" w:color="000000" w:sz="4" w:space="0"/>
              <w:bottom w:val="single" w:color="000000" w:sz="4" w:space="0"/>
            </w:tcBorders>
            <w:vAlign w:val="center"/>
          </w:tcPr>
          <w:p w14:paraId="5A97CF71">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102</w:t>
            </w:r>
          </w:p>
        </w:tc>
        <w:tc>
          <w:tcPr>
            <w:tcW w:w="999" w:type="dxa"/>
            <w:tcBorders>
              <w:top w:val="single" w:color="000000" w:sz="4" w:space="0"/>
              <w:left w:val="single" w:color="000000" w:sz="4" w:space="0"/>
              <w:bottom w:val="single" w:color="000000" w:sz="4" w:space="0"/>
            </w:tcBorders>
            <w:vAlign w:val="center"/>
          </w:tcPr>
          <w:p w14:paraId="3B87ECAD">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102</w:t>
            </w:r>
          </w:p>
        </w:tc>
        <w:tc>
          <w:tcPr>
            <w:tcW w:w="996" w:type="dxa"/>
            <w:tcBorders>
              <w:top w:val="single" w:color="000000" w:sz="4" w:space="0"/>
              <w:left w:val="single" w:color="000000" w:sz="4" w:space="0"/>
              <w:bottom w:val="single" w:color="000000" w:sz="4" w:space="0"/>
            </w:tcBorders>
            <w:vAlign w:val="center"/>
          </w:tcPr>
          <w:p w14:paraId="6975EADE">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102</w:t>
            </w:r>
          </w:p>
        </w:tc>
        <w:tc>
          <w:tcPr>
            <w:tcW w:w="3761" w:type="dxa"/>
            <w:tcBorders>
              <w:top w:val="single" w:color="000000" w:sz="4" w:space="0"/>
              <w:left w:val="single" w:color="000000" w:sz="4" w:space="0"/>
              <w:bottom w:val="single" w:color="000000" w:sz="4" w:space="0"/>
              <w:right w:val="single" w:color="000000" w:sz="4" w:space="0"/>
            </w:tcBorders>
            <w:vAlign w:val="center"/>
          </w:tcPr>
          <w:p w14:paraId="51041E87">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根据装修对其价值的影响，从好到差划分为好、较好、一般、较差、差五个等级。装修用材环保，经过精心设计，提升居住体验，好；装修用村环保、与居住功能相适用，普通装修，较好；简单装修，未对居住产生不良影响，一般；基本装修或用材一般，有污染，对居住功能产生负面影响，较差；装修已经老化、装修材料较差，有污染，或刚装修不久，影响了居住，差。估价对象与各可比实例该因素一致，确定可比实例1、2、3该因素指数分别为102、102、102；；</w:t>
            </w:r>
          </w:p>
        </w:tc>
      </w:tr>
      <w:tr w14:paraId="4A3773C5">
        <w:tblPrEx>
          <w:tblCellMar>
            <w:top w:w="0" w:type="dxa"/>
            <w:left w:w="108" w:type="dxa"/>
            <w:bottom w:w="0" w:type="dxa"/>
            <w:right w:w="108" w:type="dxa"/>
          </w:tblCellMar>
        </w:tblPrEx>
        <w:trPr>
          <w:trHeight w:val="763" w:hRule="atLeast"/>
        </w:trPr>
        <w:tc>
          <w:tcPr>
            <w:tcW w:w="581" w:type="dxa"/>
            <w:vMerge w:val="continue"/>
            <w:tcBorders>
              <w:top w:val="single" w:color="000000" w:sz="4" w:space="0"/>
              <w:left w:val="single" w:color="000000" w:sz="4" w:space="0"/>
            </w:tcBorders>
            <w:vAlign w:val="center"/>
          </w:tcPr>
          <w:p w14:paraId="6A1185EF">
            <w:pPr>
              <w:widowControl/>
              <w:spacing w:line="240" w:lineRule="auto"/>
              <w:jc w:val="center"/>
              <w:textAlignment w:val="auto"/>
              <w:rPr>
                <w:rFonts w:ascii="Arial" w:hAnsi="Arial" w:eastAsia="华文细黑" w:cs="Arial"/>
                <w:sz w:val="18"/>
                <w:szCs w:val="18"/>
              </w:rPr>
            </w:pPr>
          </w:p>
        </w:tc>
        <w:tc>
          <w:tcPr>
            <w:tcW w:w="954" w:type="dxa"/>
            <w:tcBorders>
              <w:top w:val="single" w:color="000000" w:sz="4" w:space="0"/>
              <w:left w:val="single" w:color="000000" w:sz="4" w:space="0"/>
              <w:bottom w:val="single" w:color="000000" w:sz="4" w:space="0"/>
            </w:tcBorders>
            <w:vAlign w:val="center"/>
          </w:tcPr>
          <w:p w14:paraId="1FC2FCCF">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标准房面积</w:t>
            </w:r>
          </w:p>
        </w:tc>
        <w:tc>
          <w:tcPr>
            <w:tcW w:w="999" w:type="dxa"/>
            <w:tcBorders>
              <w:top w:val="single" w:color="000000" w:sz="4" w:space="0"/>
              <w:left w:val="single" w:color="000000" w:sz="4" w:space="0"/>
              <w:bottom w:val="single" w:color="000000" w:sz="4" w:space="0"/>
            </w:tcBorders>
            <w:vAlign w:val="center"/>
          </w:tcPr>
          <w:p w14:paraId="6B06EC40">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998" w:type="dxa"/>
            <w:tcBorders>
              <w:top w:val="single" w:color="000000" w:sz="4" w:space="0"/>
              <w:left w:val="single" w:color="000000" w:sz="4" w:space="0"/>
              <w:bottom w:val="single" w:color="000000" w:sz="4" w:space="0"/>
            </w:tcBorders>
            <w:vAlign w:val="center"/>
          </w:tcPr>
          <w:p w14:paraId="205BE95D">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999" w:type="dxa"/>
            <w:tcBorders>
              <w:top w:val="single" w:color="000000" w:sz="4" w:space="0"/>
              <w:left w:val="single" w:color="000000" w:sz="4" w:space="0"/>
              <w:bottom w:val="single" w:color="000000" w:sz="4" w:space="0"/>
            </w:tcBorders>
            <w:vAlign w:val="center"/>
          </w:tcPr>
          <w:p w14:paraId="4F1C3E2C">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996" w:type="dxa"/>
            <w:tcBorders>
              <w:top w:val="single" w:color="000000" w:sz="4" w:space="0"/>
              <w:left w:val="single" w:color="000000" w:sz="4" w:space="0"/>
              <w:bottom w:val="single" w:color="000000" w:sz="4" w:space="0"/>
            </w:tcBorders>
            <w:vAlign w:val="center"/>
          </w:tcPr>
          <w:p w14:paraId="5330F6CE">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3761" w:type="dxa"/>
            <w:tcBorders>
              <w:top w:val="single" w:color="000000" w:sz="4" w:space="0"/>
              <w:left w:val="single" w:color="000000" w:sz="4" w:space="0"/>
              <w:bottom w:val="single" w:color="000000" w:sz="4" w:space="0"/>
              <w:right w:val="single" w:color="000000" w:sz="4" w:space="0"/>
            </w:tcBorders>
            <w:vAlign w:val="center"/>
          </w:tcPr>
          <w:p w14:paraId="38413B6B">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根据面积大小对租金的影响，面积越大，租金单价越低，据此以估价对象为100，则该因素指数分别为100、100、100。</w:t>
            </w:r>
          </w:p>
        </w:tc>
      </w:tr>
      <w:tr w14:paraId="723CF4D4">
        <w:tblPrEx>
          <w:tblCellMar>
            <w:top w:w="0" w:type="dxa"/>
            <w:left w:w="108" w:type="dxa"/>
            <w:bottom w:w="0" w:type="dxa"/>
            <w:right w:w="108" w:type="dxa"/>
          </w:tblCellMar>
        </w:tblPrEx>
        <w:trPr>
          <w:trHeight w:val="870" w:hRule="atLeast"/>
        </w:trPr>
        <w:tc>
          <w:tcPr>
            <w:tcW w:w="581" w:type="dxa"/>
            <w:vMerge w:val="continue"/>
            <w:tcBorders>
              <w:top w:val="single" w:color="000000" w:sz="4" w:space="0"/>
              <w:left w:val="single" w:color="000000" w:sz="4" w:space="0"/>
            </w:tcBorders>
            <w:vAlign w:val="center"/>
          </w:tcPr>
          <w:p w14:paraId="2012EE0C">
            <w:pPr>
              <w:widowControl/>
              <w:spacing w:line="240" w:lineRule="auto"/>
              <w:jc w:val="center"/>
              <w:textAlignment w:val="auto"/>
              <w:rPr>
                <w:rFonts w:ascii="Arial" w:hAnsi="Arial" w:eastAsia="华文细黑" w:cs="Arial"/>
                <w:sz w:val="18"/>
                <w:szCs w:val="18"/>
              </w:rPr>
            </w:pPr>
          </w:p>
        </w:tc>
        <w:tc>
          <w:tcPr>
            <w:tcW w:w="954" w:type="dxa"/>
            <w:tcBorders>
              <w:top w:val="single" w:color="000000" w:sz="4" w:space="0"/>
              <w:left w:val="single" w:color="000000" w:sz="4" w:space="0"/>
              <w:bottom w:val="single" w:color="000000" w:sz="4" w:space="0"/>
            </w:tcBorders>
            <w:vAlign w:val="center"/>
          </w:tcPr>
          <w:p w14:paraId="089FA7B3">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设备</w:t>
            </w:r>
          </w:p>
        </w:tc>
        <w:tc>
          <w:tcPr>
            <w:tcW w:w="999" w:type="dxa"/>
            <w:tcBorders>
              <w:top w:val="single" w:color="000000" w:sz="4" w:space="0"/>
              <w:left w:val="single" w:color="000000" w:sz="4" w:space="0"/>
              <w:bottom w:val="single" w:color="000000" w:sz="4" w:space="0"/>
            </w:tcBorders>
            <w:vAlign w:val="center"/>
          </w:tcPr>
          <w:p w14:paraId="398046E6">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998" w:type="dxa"/>
            <w:tcBorders>
              <w:top w:val="single" w:color="000000" w:sz="4" w:space="0"/>
              <w:left w:val="single" w:color="000000" w:sz="4" w:space="0"/>
              <w:bottom w:val="single" w:color="000000" w:sz="4" w:space="0"/>
            </w:tcBorders>
            <w:vAlign w:val="center"/>
          </w:tcPr>
          <w:p w14:paraId="36F220FC">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99</w:t>
            </w:r>
          </w:p>
        </w:tc>
        <w:tc>
          <w:tcPr>
            <w:tcW w:w="999" w:type="dxa"/>
            <w:tcBorders>
              <w:top w:val="single" w:color="000000" w:sz="4" w:space="0"/>
              <w:left w:val="single" w:color="000000" w:sz="4" w:space="0"/>
              <w:bottom w:val="single" w:color="000000" w:sz="4" w:space="0"/>
            </w:tcBorders>
            <w:vAlign w:val="center"/>
          </w:tcPr>
          <w:p w14:paraId="47070A73">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99</w:t>
            </w:r>
          </w:p>
        </w:tc>
        <w:tc>
          <w:tcPr>
            <w:tcW w:w="996" w:type="dxa"/>
            <w:tcBorders>
              <w:top w:val="single" w:color="000000" w:sz="4" w:space="0"/>
              <w:left w:val="single" w:color="000000" w:sz="4" w:space="0"/>
              <w:bottom w:val="single" w:color="000000" w:sz="4" w:space="0"/>
            </w:tcBorders>
            <w:vAlign w:val="center"/>
          </w:tcPr>
          <w:p w14:paraId="75993F70">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99</w:t>
            </w:r>
          </w:p>
        </w:tc>
        <w:tc>
          <w:tcPr>
            <w:tcW w:w="3761" w:type="dxa"/>
            <w:tcBorders>
              <w:top w:val="single" w:color="000000" w:sz="4" w:space="0"/>
              <w:left w:val="single" w:color="000000" w:sz="4" w:space="0"/>
              <w:bottom w:val="single" w:color="000000" w:sz="4" w:space="0"/>
              <w:right w:val="single" w:color="000000" w:sz="4" w:space="0"/>
            </w:tcBorders>
            <w:vAlign w:val="center"/>
          </w:tcPr>
          <w:p w14:paraId="20EA4ACD">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根据设备对其价值的影响，从好到差划分为好、较好、一般、较差、差五个等级。</w:t>
            </w:r>
          </w:p>
          <w:p w14:paraId="473E678A">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使用新著名品牌家具、家电；功能与居住相适应；质量有可靠保证，好；使用品牌家具、家电；功能正常，质量有保证，较好；使用品牌家具、家电；虽然使用较长时间，但功能正常功能正常，质量有保证，一般；使用品牌家具、家电；虽然使用较长时间，但使用，或部分配备家具电器，较差；使用三无产品或不配备家具家电，差。以估价对象该因素指数为100，各可比实例与之相比，确定可比实例1、2、3该因素指数分别为99、99、99。</w:t>
            </w:r>
          </w:p>
        </w:tc>
      </w:tr>
      <w:tr w14:paraId="1D52961C">
        <w:tblPrEx>
          <w:tblCellMar>
            <w:top w:w="0" w:type="dxa"/>
            <w:left w:w="108" w:type="dxa"/>
            <w:bottom w:w="0" w:type="dxa"/>
            <w:right w:w="108" w:type="dxa"/>
          </w:tblCellMar>
        </w:tblPrEx>
        <w:trPr>
          <w:trHeight w:val="870" w:hRule="atLeast"/>
        </w:trPr>
        <w:tc>
          <w:tcPr>
            <w:tcW w:w="581" w:type="dxa"/>
            <w:vMerge w:val="continue"/>
            <w:tcBorders>
              <w:top w:val="single" w:color="000000" w:sz="4" w:space="0"/>
              <w:left w:val="single" w:color="000000" w:sz="4" w:space="0"/>
            </w:tcBorders>
            <w:vAlign w:val="center"/>
          </w:tcPr>
          <w:p w14:paraId="64E7D9A6">
            <w:pPr>
              <w:widowControl/>
              <w:spacing w:line="240" w:lineRule="auto"/>
              <w:jc w:val="center"/>
              <w:textAlignment w:val="auto"/>
              <w:rPr>
                <w:rFonts w:ascii="Arial" w:hAnsi="Arial" w:eastAsia="华文细黑" w:cs="Arial"/>
                <w:sz w:val="18"/>
                <w:szCs w:val="18"/>
              </w:rPr>
            </w:pPr>
          </w:p>
        </w:tc>
        <w:tc>
          <w:tcPr>
            <w:tcW w:w="954" w:type="dxa"/>
            <w:tcBorders>
              <w:top w:val="single" w:color="000000" w:sz="4" w:space="0"/>
              <w:left w:val="single" w:color="000000" w:sz="4" w:space="0"/>
              <w:bottom w:val="single" w:color="000000" w:sz="4" w:space="0"/>
            </w:tcBorders>
            <w:vAlign w:val="center"/>
          </w:tcPr>
          <w:p w14:paraId="109C9D90">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成新度</w:t>
            </w:r>
          </w:p>
        </w:tc>
        <w:tc>
          <w:tcPr>
            <w:tcW w:w="999" w:type="dxa"/>
            <w:tcBorders>
              <w:top w:val="single" w:color="000000" w:sz="4" w:space="0"/>
              <w:left w:val="single" w:color="000000" w:sz="4" w:space="0"/>
              <w:bottom w:val="single" w:color="000000" w:sz="4" w:space="0"/>
            </w:tcBorders>
            <w:vAlign w:val="center"/>
          </w:tcPr>
          <w:p w14:paraId="12123387">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998" w:type="dxa"/>
            <w:tcBorders>
              <w:top w:val="single" w:color="000000" w:sz="4" w:space="0"/>
              <w:left w:val="single" w:color="000000" w:sz="4" w:space="0"/>
              <w:bottom w:val="single" w:color="000000" w:sz="4" w:space="0"/>
            </w:tcBorders>
            <w:vAlign w:val="center"/>
          </w:tcPr>
          <w:p w14:paraId="3FEABE44">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999" w:type="dxa"/>
            <w:tcBorders>
              <w:top w:val="single" w:color="000000" w:sz="4" w:space="0"/>
              <w:left w:val="single" w:color="000000" w:sz="4" w:space="0"/>
              <w:bottom w:val="single" w:color="000000" w:sz="4" w:space="0"/>
            </w:tcBorders>
            <w:vAlign w:val="center"/>
          </w:tcPr>
          <w:p w14:paraId="177E779D">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996" w:type="dxa"/>
            <w:tcBorders>
              <w:top w:val="single" w:color="000000" w:sz="4" w:space="0"/>
              <w:left w:val="single" w:color="000000" w:sz="4" w:space="0"/>
              <w:bottom w:val="single" w:color="000000" w:sz="4" w:space="0"/>
            </w:tcBorders>
            <w:vAlign w:val="center"/>
          </w:tcPr>
          <w:p w14:paraId="5846DB5A">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3761" w:type="dxa"/>
            <w:tcBorders>
              <w:top w:val="single" w:color="000000" w:sz="4" w:space="0"/>
              <w:left w:val="single" w:color="000000" w:sz="4" w:space="0"/>
              <w:bottom w:val="single" w:color="000000" w:sz="4" w:space="0"/>
              <w:right w:val="single" w:color="000000" w:sz="4" w:space="0"/>
            </w:tcBorders>
            <w:vAlign w:val="center"/>
          </w:tcPr>
          <w:p w14:paraId="479FBC5E">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根据建成年代确定成新度，分为90%-100%（含）、80%-90%（含）、70%-80%（含）、60%-70%（含）、60%（含）以下共5档。以估价对象该因素指数为100，各可比实例与之相比，确定可比实例1、2、3该因素指数分别为100、100、100。</w:t>
            </w:r>
          </w:p>
        </w:tc>
      </w:tr>
      <w:tr w14:paraId="767BCF7E">
        <w:tblPrEx>
          <w:tblCellMar>
            <w:top w:w="0" w:type="dxa"/>
            <w:left w:w="108" w:type="dxa"/>
            <w:bottom w:w="0" w:type="dxa"/>
            <w:right w:w="108" w:type="dxa"/>
          </w:tblCellMar>
        </w:tblPrEx>
        <w:trPr>
          <w:trHeight w:val="870" w:hRule="atLeast"/>
        </w:trPr>
        <w:tc>
          <w:tcPr>
            <w:tcW w:w="581" w:type="dxa"/>
            <w:vMerge w:val="continue"/>
            <w:tcBorders>
              <w:top w:val="single" w:color="000000" w:sz="4" w:space="0"/>
              <w:left w:val="single" w:color="000000" w:sz="4" w:space="0"/>
            </w:tcBorders>
            <w:vAlign w:val="center"/>
          </w:tcPr>
          <w:p w14:paraId="7F862E94">
            <w:pPr>
              <w:widowControl/>
              <w:spacing w:line="240" w:lineRule="auto"/>
              <w:jc w:val="center"/>
              <w:textAlignment w:val="auto"/>
              <w:rPr>
                <w:rFonts w:ascii="Arial" w:hAnsi="Arial" w:eastAsia="华文细黑" w:cs="Arial"/>
                <w:sz w:val="18"/>
                <w:szCs w:val="18"/>
              </w:rPr>
            </w:pPr>
          </w:p>
        </w:tc>
        <w:tc>
          <w:tcPr>
            <w:tcW w:w="954" w:type="dxa"/>
            <w:tcBorders>
              <w:top w:val="single" w:color="000000" w:sz="4" w:space="0"/>
              <w:left w:val="single" w:color="000000" w:sz="4" w:space="0"/>
              <w:bottom w:val="single" w:color="000000" w:sz="4" w:space="0"/>
            </w:tcBorders>
            <w:vAlign w:val="center"/>
          </w:tcPr>
          <w:p w14:paraId="1746F61C">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有无电梯</w:t>
            </w:r>
          </w:p>
        </w:tc>
        <w:tc>
          <w:tcPr>
            <w:tcW w:w="999" w:type="dxa"/>
            <w:tcBorders>
              <w:top w:val="single" w:color="000000" w:sz="4" w:space="0"/>
              <w:left w:val="single" w:color="000000" w:sz="4" w:space="0"/>
              <w:bottom w:val="single" w:color="000000" w:sz="4" w:space="0"/>
            </w:tcBorders>
            <w:vAlign w:val="center"/>
          </w:tcPr>
          <w:p w14:paraId="21C61B6D">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998" w:type="dxa"/>
            <w:tcBorders>
              <w:top w:val="single" w:color="000000" w:sz="4" w:space="0"/>
              <w:left w:val="single" w:color="000000" w:sz="4" w:space="0"/>
              <w:bottom w:val="single" w:color="000000" w:sz="4" w:space="0"/>
            </w:tcBorders>
            <w:vAlign w:val="center"/>
          </w:tcPr>
          <w:p w14:paraId="2DB7AE6C">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999" w:type="dxa"/>
            <w:tcBorders>
              <w:top w:val="single" w:color="000000" w:sz="4" w:space="0"/>
              <w:left w:val="single" w:color="000000" w:sz="4" w:space="0"/>
              <w:bottom w:val="single" w:color="000000" w:sz="4" w:space="0"/>
            </w:tcBorders>
            <w:vAlign w:val="center"/>
          </w:tcPr>
          <w:p w14:paraId="4D735EA3">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996" w:type="dxa"/>
            <w:tcBorders>
              <w:top w:val="single" w:color="000000" w:sz="4" w:space="0"/>
              <w:left w:val="single" w:color="000000" w:sz="4" w:space="0"/>
              <w:bottom w:val="single" w:color="000000" w:sz="4" w:space="0"/>
            </w:tcBorders>
            <w:vAlign w:val="center"/>
          </w:tcPr>
          <w:p w14:paraId="48A4EE48">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3761" w:type="dxa"/>
            <w:tcBorders>
              <w:top w:val="single" w:color="000000" w:sz="4" w:space="0"/>
              <w:left w:val="single" w:color="000000" w:sz="4" w:space="0"/>
              <w:bottom w:val="single" w:color="000000" w:sz="4" w:space="0"/>
              <w:right w:val="single" w:color="000000" w:sz="4" w:space="0"/>
            </w:tcBorders>
            <w:vAlign w:val="center"/>
          </w:tcPr>
          <w:p w14:paraId="782E6594">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根据项目是否配备电梯分为有电梯、无电梯。以估价对象该因素指数为100，各可比实例与之相比，确定可比实例1、2、3该因素指数分别为100、100、100。</w:t>
            </w:r>
          </w:p>
        </w:tc>
      </w:tr>
    </w:tbl>
    <w:p w14:paraId="30A31E04">
      <w:pPr>
        <w:overflowPunct w:val="0"/>
        <w:spacing w:before="240" w:beforeLines="100" w:line="480" w:lineRule="auto"/>
        <w:ind w:firstLine="420"/>
      </w:pPr>
      <w:r>
        <w:rPr>
          <w:rFonts w:ascii="Arial" w:hAnsi="Arial" w:cs="Arial"/>
          <w:sz w:val="21"/>
          <w:szCs w:val="21"/>
        </w:rPr>
        <w:t>（3）编制因素比较修正系数表</w:t>
      </w:r>
      <w:r>
        <w:rPr>
          <w:rFonts w:ascii="Arial" w:hAnsi="Arial" w:eastAsia="Arial" w:cs="Arial"/>
          <w:sz w:val="21"/>
          <w:szCs w:val="21"/>
        </w:rPr>
        <w:t xml:space="preserve"> </w:t>
      </w:r>
    </w:p>
    <w:p w14:paraId="7C8746CF">
      <w:pPr>
        <w:overflowPunct w:val="0"/>
        <w:spacing w:line="480" w:lineRule="auto"/>
        <w:ind w:firstLine="420"/>
        <w:rPr>
          <w:rFonts w:ascii="Arial" w:hAnsi="Arial" w:cs="Arial"/>
          <w:sz w:val="21"/>
          <w:szCs w:val="21"/>
        </w:rPr>
      </w:pPr>
      <w:r>
        <w:rPr>
          <w:rFonts w:ascii="Arial" w:hAnsi="Arial" w:cs="Arial"/>
          <w:sz w:val="21"/>
          <w:szCs w:val="21"/>
        </w:rPr>
        <w:t>根据比较因素条件指数表，编制因素各项目比较修正系数表，详见下表：</w:t>
      </w:r>
    </w:p>
    <w:p w14:paraId="4EB3EEA7">
      <w:pPr>
        <w:overflowPunct w:val="0"/>
        <w:spacing w:line="480" w:lineRule="auto"/>
        <w:ind w:firstLine="1417" w:firstLineChars="675"/>
        <w:rPr>
          <w:rFonts w:ascii="Arial" w:hAnsi="Arial" w:cs="Arial"/>
          <w:sz w:val="21"/>
          <w:szCs w:val="21"/>
        </w:rPr>
      </w:pPr>
      <w:r>
        <w:rPr>
          <w:rFonts w:hint="eastAsia" w:ascii="Arial" w:hAnsi="Arial" w:cs="Arial"/>
          <w:sz w:val="21"/>
          <w:szCs w:val="21"/>
        </w:rPr>
        <w:t>E18亦城景园国际人才公寓（领军人才公寓）</w:t>
      </w:r>
      <w:r>
        <w:rPr>
          <w:rFonts w:ascii="Arial" w:hAnsi="Arial" w:cs="Arial"/>
          <w:sz w:val="21"/>
          <w:szCs w:val="21"/>
        </w:rPr>
        <w:t>因素比较修正系数表</w:t>
      </w:r>
    </w:p>
    <w:tbl>
      <w:tblPr>
        <w:tblStyle w:val="33"/>
        <w:tblW w:w="5000" w:type="pct"/>
        <w:tblInd w:w="-113" w:type="dxa"/>
        <w:tblLayout w:type="autofit"/>
        <w:tblCellMar>
          <w:top w:w="0" w:type="dxa"/>
          <w:left w:w="108" w:type="dxa"/>
          <w:bottom w:w="0" w:type="dxa"/>
          <w:right w:w="108" w:type="dxa"/>
        </w:tblCellMar>
      </w:tblPr>
      <w:tblGrid>
        <w:gridCol w:w="1507"/>
        <w:gridCol w:w="2881"/>
        <w:gridCol w:w="1705"/>
        <w:gridCol w:w="1705"/>
        <w:gridCol w:w="1716"/>
      </w:tblGrid>
      <w:tr w14:paraId="7F4225A5">
        <w:tblPrEx>
          <w:tblCellMar>
            <w:top w:w="0" w:type="dxa"/>
            <w:left w:w="108" w:type="dxa"/>
            <w:bottom w:w="0" w:type="dxa"/>
            <w:right w:w="108" w:type="dxa"/>
          </w:tblCellMar>
        </w:tblPrEx>
        <w:trPr>
          <w:trHeight w:val="227" w:hRule="atLeast"/>
        </w:trPr>
        <w:tc>
          <w:tcPr>
            <w:tcW w:w="4289" w:type="dxa"/>
            <w:gridSpan w:val="2"/>
            <w:tcBorders>
              <w:top w:val="single" w:color="000000" w:sz="4" w:space="0"/>
              <w:left w:val="single" w:color="000000" w:sz="4" w:space="0"/>
              <w:bottom w:val="single" w:color="000000" w:sz="4" w:space="0"/>
            </w:tcBorders>
            <w:vAlign w:val="center"/>
          </w:tcPr>
          <w:p w14:paraId="0E7DB0D3">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项目</w:t>
            </w:r>
          </w:p>
        </w:tc>
        <w:tc>
          <w:tcPr>
            <w:tcW w:w="1666" w:type="dxa"/>
            <w:tcBorders>
              <w:top w:val="single" w:color="000000" w:sz="4" w:space="0"/>
              <w:left w:val="single" w:color="000000" w:sz="4" w:space="0"/>
              <w:bottom w:val="single" w:color="000000" w:sz="4" w:space="0"/>
            </w:tcBorders>
            <w:vAlign w:val="center"/>
          </w:tcPr>
          <w:p w14:paraId="2FF74CE7">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可比实例1</w:t>
            </w:r>
          </w:p>
        </w:tc>
        <w:tc>
          <w:tcPr>
            <w:tcW w:w="1666" w:type="dxa"/>
            <w:tcBorders>
              <w:top w:val="single" w:color="000000" w:sz="4" w:space="0"/>
              <w:left w:val="single" w:color="000000" w:sz="4" w:space="0"/>
              <w:bottom w:val="single" w:color="000000" w:sz="4" w:space="0"/>
            </w:tcBorders>
            <w:vAlign w:val="center"/>
          </w:tcPr>
          <w:p w14:paraId="1BA09009">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可比实例2</w:t>
            </w:r>
          </w:p>
        </w:tc>
        <w:tc>
          <w:tcPr>
            <w:tcW w:w="1677" w:type="dxa"/>
            <w:tcBorders>
              <w:top w:val="single" w:color="000000" w:sz="4" w:space="0"/>
              <w:left w:val="single" w:color="000000" w:sz="4" w:space="0"/>
              <w:bottom w:val="single" w:color="000000" w:sz="4" w:space="0"/>
              <w:right w:val="single" w:color="000000" w:sz="4" w:space="0"/>
            </w:tcBorders>
            <w:vAlign w:val="center"/>
          </w:tcPr>
          <w:p w14:paraId="0ADB8B7A">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可比实例3</w:t>
            </w:r>
          </w:p>
        </w:tc>
      </w:tr>
      <w:tr w14:paraId="360AC89C">
        <w:tblPrEx>
          <w:tblCellMar>
            <w:top w:w="0" w:type="dxa"/>
            <w:left w:w="108" w:type="dxa"/>
            <w:bottom w:w="0" w:type="dxa"/>
            <w:right w:w="108" w:type="dxa"/>
          </w:tblCellMar>
        </w:tblPrEx>
        <w:trPr>
          <w:trHeight w:val="227" w:hRule="atLeast"/>
        </w:trPr>
        <w:tc>
          <w:tcPr>
            <w:tcW w:w="4289" w:type="dxa"/>
            <w:gridSpan w:val="2"/>
            <w:tcBorders>
              <w:top w:val="single" w:color="000000" w:sz="4" w:space="0"/>
              <w:left w:val="single" w:color="000000" w:sz="4" w:space="0"/>
              <w:bottom w:val="single" w:color="000000" w:sz="4" w:space="0"/>
            </w:tcBorders>
            <w:vAlign w:val="center"/>
          </w:tcPr>
          <w:p w14:paraId="01AD6355">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小区名称</w:t>
            </w:r>
          </w:p>
        </w:tc>
        <w:tc>
          <w:tcPr>
            <w:tcW w:w="1666" w:type="dxa"/>
            <w:tcBorders>
              <w:left w:val="single" w:color="000000" w:sz="4" w:space="0"/>
              <w:bottom w:val="single" w:color="000000" w:sz="4" w:space="0"/>
            </w:tcBorders>
            <w:vAlign w:val="center"/>
          </w:tcPr>
          <w:p w14:paraId="0D252E9D">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招商臻珑府</w:t>
            </w:r>
          </w:p>
        </w:tc>
        <w:tc>
          <w:tcPr>
            <w:tcW w:w="1666" w:type="dxa"/>
            <w:tcBorders>
              <w:left w:val="single" w:color="000000" w:sz="4" w:space="0"/>
              <w:bottom w:val="single" w:color="000000" w:sz="4" w:space="0"/>
            </w:tcBorders>
            <w:vAlign w:val="center"/>
          </w:tcPr>
          <w:p w14:paraId="4E2C9AF9">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北京经开·汀塘</w:t>
            </w:r>
          </w:p>
        </w:tc>
        <w:tc>
          <w:tcPr>
            <w:tcW w:w="1677" w:type="dxa"/>
            <w:tcBorders>
              <w:left w:val="single" w:color="000000" w:sz="4" w:space="0"/>
              <w:bottom w:val="single" w:color="000000" w:sz="4" w:space="0"/>
              <w:right w:val="single" w:color="000000" w:sz="4" w:space="0"/>
            </w:tcBorders>
            <w:vAlign w:val="center"/>
          </w:tcPr>
          <w:p w14:paraId="0AB1DD58">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通泰国际公馆</w:t>
            </w:r>
          </w:p>
        </w:tc>
      </w:tr>
      <w:tr w14:paraId="3BE5BC1E">
        <w:tblPrEx>
          <w:tblCellMar>
            <w:top w:w="0" w:type="dxa"/>
            <w:left w:w="108" w:type="dxa"/>
            <w:bottom w:w="0" w:type="dxa"/>
            <w:right w:w="108" w:type="dxa"/>
          </w:tblCellMar>
        </w:tblPrEx>
        <w:trPr>
          <w:trHeight w:val="227" w:hRule="atLeast"/>
        </w:trPr>
        <w:tc>
          <w:tcPr>
            <w:tcW w:w="4289" w:type="dxa"/>
            <w:gridSpan w:val="2"/>
            <w:tcBorders>
              <w:top w:val="single" w:color="000000" w:sz="4" w:space="0"/>
              <w:left w:val="single" w:color="000000" w:sz="4" w:space="0"/>
              <w:bottom w:val="single" w:color="000000" w:sz="4" w:space="0"/>
            </w:tcBorders>
            <w:vAlign w:val="center"/>
          </w:tcPr>
          <w:p w14:paraId="39F39955">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平均租金（元/平方米·月）</w:t>
            </w:r>
          </w:p>
        </w:tc>
        <w:tc>
          <w:tcPr>
            <w:tcW w:w="1666" w:type="dxa"/>
            <w:tcBorders>
              <w:left w:val="single" w:color="000000" w:sz="4" w:space="0"/>
              <w:bottom w:val="single" w:color="000000" w:sz="4" w:space="0"/>
            </w:tcBorders>
            <w:vAlign w:val="center"/>
          </w:tcPr>
          <w:p w14:paraId="443073CC">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72.18</w:t>
            </w:r>
          </w:p>
        </w:tc>
        <w:tc>
          <w:tcPr>
            <w:tcW w:w="1666" w:type="dxa"/>
            <w:tcBorders>
              <w:left w:val="single" w:color="000000" w:sz="4" w:space="0"/>
              <w:bottom w:val="single" w:color="000000" w:sz="4" w:space="0"/>
            </w:tcBorders>
            <w:vAlign w:val="center"/>
          </w:tcPr>
          <w:p w14:paraId="7E1E5A3F">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68.87</w:t>
            </w:r>
          </w:p>
        </w:tc>
        <w:tc>
          <w:tcPr>
            <w:tcW w:w="1677" w:type="dxa"/>
            <w:tcBorders>
              <w:left w:val="single" w:color="000000" w:sz="4" w:space="0"/>
              <w:bottom w:val="single" w:color="000000" w:sz="4" w:space="0"/>
              <w:right w:val="single" w:color="000000" w:sz="4" w:space="0"/>
            </w:tcBorders>
            <w:vAlign w:val="center"/>
          </w:tcPr>
          <w:p w14:paraId="13F28AF9">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71.60</w:t>
            </w:r>
          </w:p>
        </w:tc>
      </w:tr>
      <w:tr w14:paraId="3BCED008">
        <w:tblPrEx>
          <w:tblCellMar>
            <w:top w:w="0" w:type="dxa"/>
            <w:left w:w="108" w:type="dxa"/>
            <w:bottom w:w="0" w:type="dxa"/>
            <w:right w:w="108" w:type="dxa"/>
          </w:tblCellMar>
        </w:tblPrEx>
        <w:trPr>
          <w:trHeight w:val="227" w:hRule="atLeast"/>
        </w:trPr>
        <w:tc>
          <w:tcPr>
            <w:tcW w:w="4289" w:type="dxa"/>
            <w:gridSpan w:val="2"/>
            <w:tcBorders>
              <w:top w:val="single" w:color="000000" w:sz="4" w:space="0"/>
              <w:left w:val="single" w:color="000000" w:sz="4" w:space="0"/>
              <w:bottom w:val="single" w:color="000000" w:sz="4" w:space="0"/>
            </w:tcBorders>
            <w:vAlign w:val="center"/>
          </w:tcPr>
          <w:p w14:paraId="44DA13C3">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交易时间</w:t>
            </w:r>
          </w:p>
        </w:tc>
        <w:tc>
          <w:tcPr>
            <w:tcW w:w="1666" w:type="dxa"/>
            <w:tcBorders>
              <w:left w:val="single" w:color="000000" w:sz="4" w:space="0"/>
              <w:bottom w:val="single" w:color="000000" w:sz="4" w:space="0"/>
            </w:tcBorders>
            <w:vAlign w:val="center"/>
          </w:tcPr>
          <w:p w14:paraId="3E6F9183">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100/100</w:t>
            </w:r>
          </w:p>
        </w:tc>
        <w:tc>
          <w:tcPr>
            <w:tcW w:w="1666" w:type="dxa"/>
            <w:tcBorders>
              <w:left w:val="single" w:color="000000" w:sz="4" w:space="0"/>
              <w:bottom w:val="single" w:color="000000" w:sz="4" w:space="0"/>
            </w:tcBorders>
            <w:vAlign w:val="center"/>
          </w:tcPr>
          <w:p w14:paraId="739D4730">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100/100</w:t>
            </w:r>
          </w:p>
        </w:tc>
        <w:tc>
          <w:tcPr>
            <w:tcW w:w="1677" w:type="dxa"/>
            <w:tcBorders>
              <w:left w:val="single" w:color="000000" w:sz="4" w:space="0"/>
              <w:bottom w:val="single" w:color="000000" w:sz="4" w:space="0"/>
              <w:right w:val="single" w:color="000000" w:sz="4" w:space="0"/>
            </w:tcBorders>
            <w:vAlign w:val="center"/>
          </w:tcPr>
          <w:p w14:paraId="5E5BAAFC">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100/100</w:t>
            </w:r>
          </w:p>
        </w:tc>
      </w:tr>
      <w:tr w14:paraId="238ED136">
        <w:tblPrEx>
          <w:tblCellMar>
            <w:top w:w="0" w:type="dxa"/>
            <w:left w:w="108" w:type="dxa"/>
            <w:bottom w:w="0" w:type="dxa"/>
            <w:right w:w="108" w:type="dxa"/>
          </w:tblCellMar>
        </w:tblPrEx>
        <w:trPr>
          <w:trHeight w:val="227" w:hRule="atLeast"/>
        </w:trPr>
        <w:tc>
          <w:tcPr>
            <w:tcW w:w="4289" w:type="dxa"/>
            <w:gridSpan w:val="2"/>
            <w:tcBorders>
              <w:top w:val="single" w:color="000000" w:sz="4" w:space="0"/>
              <w:left w:val="single" w:color="000000" w:sz="4" w:space="0"/>
              <w:bottom w:val="single" w:color="000000" w:sz="4" w:space="0"/>
            </w:tcBorders>
            <w:vAlign w:val="center"/>
          </w:tcPr>
          <w:p w14:paraId="176D9889">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交易情况</w:t>
            </w:r>
          </w:p>
        </w:tc>
        <w:tc>
          <w:tcPr>
            <w:tcW w:w="1666" w:type="dxa"/>
            <w:tcBorders>
              <w:left w:val="single" w:color="000000" w:sz="4" w:space="0"/>
              <w:bottom w:val="single" w:color="000000" w:sz="4" w:space="0"/>
            </w:tcBorders>
            <w:vAlign w:val="center"/>
          </w:tcPr>
          <w:p w14:paraId="55749F34">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100/100</w:t>
            </w:r>
          </w:p>
        </w:tc>
        <w:tc>
          <w:tcPr>
            <w:tcW w:w="1666" w:type="dxa"/>
            <w:tcBorders>
              <w:left w:val="single" w:color="000000" w:sz="4" w:space="0"/>
              <w:bottom w:val="single" w:color="000000" w:sz="4" w:space="0"/>
            </w:tcBorders>
            <w:vAlign w:val="center"/>
          </w:tcPr>
          <w:p w14:paraId="274CDD50">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100/100</w:t>
            </w:r>
          </w:p>
        </w:tc>
        <w:tc>
          <w:tcPr>
            <w:tcW w:w="1677" w:type="dxa"/>
            <w:tcBorders>
              <w:left w:val="single" w:color="000000" w:sz="4" w:space="0"/>
              <w:bottom w:val="single" w:color="000000" w:sz="4" w:space="0"/>
              <w:right w:val="single" w:color="000000" w:sz="4" w:space="0"/>
            </w:tcBorders>
            <w:vAlign w:val="center"/>
          </w:tcPr>
          <w:p w14:paraId="4E364F6E">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100/100</w:t>
            </w:r>
          </w:p>
        </w:tc>
      </w:tr>
      <w:tr w14:paraId="10637697">
        <w:tblPrEx>
          <w:tblCellMar>
            <w:top w:w="0" w:type="dxa"/>
            <w:left w:w="108" w:type="dxa"/>
            <w:bottom w:w="0" w:type="dxa"/>
            <w:right w:w="108" w:type="dxa"/>
          </w:tblCellMar>
        </w:tblPrEx>
        <w:trPr>
          <w:trHeight w:val="227" w:hRule="atLeast"/>
        </w:trPr>
        <w:tc>
          <w:tcPr>
            <w:tcW w:w="1473" w:type="dxa"/>
            <w:vMerge w:val="restart"/>
            <w:tcBorders>
              <w:left w:val="single" w:color="000000" w:sz="4" w:space="0"/>
              <w:bottom w:val="single" w:color="000000" w:sz="4" w:space="0"/>
            </w:tcBorders>
            <w:vAlign w:val="center"/>
          </w:tcPr>
          <w:p w14:paraId="0DD8638B">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区域状况</w:t>
            </w:r>
          </w:p>
        </w:tc>
        <w:tc>
          <w:tcPr>
            <w:tcW w:w="2816" w:type="dxa"/>
            <w:tcBorders>
              <w:left w:val="single" w:color="000000" w:sz="4" w:space="0"/>
              <w:bottom w:val="single" w:color="000000" w:sz="4" w:space="0"/>
            </w:tcBorders>
            <w:vAlign w:val="center"/>
          </w:tcPr>
          <w:p w14:paraId="4EFC34A0">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居住区成熟度</w:t>
            </w:r>
          </w:p>
        </w:tc>
        <w:tc>
          <w:tcPr>
            <w:tcW w:w="1666" w:type="dxa"/>
            <w:tcBorders>
              <w:left w:val="single" w:color="000000" w:sz="4" w:space="0"/>
              <w:bottom w:val="single" w:color="000000" w:sz="4" w:space="0"/>
            </w:tcBorders>
            <w:vAlign w:val="center"/>
          </w:tcPr>
          <w:p w14:paraId="3D7DA5C5">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100/100</w:t>
            </w:r>
          </w:p>
        </w:tc>
        <w:tc>
          <w:tcPr>
            <w:tcW w:w="1666" w:type="dxa"/>
            <w:tcBorders>
              <w:left w:val="single" w:color="000000" w:sz="4" w:space="0"/>
              <w:bottom w:val="single" w:color="000000" w:sz="4" w:space="0"/>
            </w:tcBorders>
            <w:vAlign w:val="center"/>
          </w:tcPr>
          <w:p w14:paraId="67D86090">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100/100</w:t>
            </w:r>
          </w:p>
        </w:tc>
        <w:tc>
          <w:tcPr>
            <w:tcW w:w="1677" w:type="dxa"/>
            <w:tcBorders>
              <w:left w:val="single" w:color="000000" w:sz="4" w:space="0"/>
              <w:bottom w:val="single" w:color="000000" w:sz="4" w:space="0"/>
              <w:right w:val="single" w:color="000000" w:sz="4" w:space="0"/>
            </w:tcBorders>
            <w:vAlign w:val="center"/>
          </w:tcPr>
          <w:p w14:paraId="292DCBA7">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100/100</w:t>
            </w:r>
          </w:p>
        </w:tc>
      </w:tr>
      <w:tr w14:paraId="0A28F6DF">
        <w:tblPrEx>
          <w:tblCellMar>
            <w:top w:w="0" w:type="dxa"/>
            <w:left w:w="108" w:type="dxa"/>
            <w:bottom w:w="0" w:type="dxa"/>
            <w:right w:w="108" w:type="dxa"/>
          </w:tblCellMar>
        </w:tblPrEx>
        <w:trPr>
          <w:trHeight w:val="227" w:hRule="atLeast"/>
        </w:trPr>
        <w:tc>
          <w:tcPr>
            <w:tcW w:w="1473" w:type="dxa"/>
            <w:vMerge w:val="continue"/>
            <w:tcBorders>
              <w:left w:val="single" w:color="000000" w:sz="4" w:space="0"/>
              <w:bottom w:val="single" w:color="000000" w:sz="4" w:space="0"/>
            </w:tcBorders>
            <w:vAlign w:val="center"/>
          </w:tcPr>
          <w:p w14:paraId="65C9EF5B">
            <w:pPr>
              <w:widowControl/>
              <w:spacing w:line="240" w:lineRule="auto"/>
              <w:jc w:val="center"/>
              <w:textAlignment w:val="auto"/>
              <w:rPr>
                <w:rFonts w:ascii="Arial" w:hAnsi="Arial" w:eastAsia="华文细黑" w:cs="Arial"/>
                <w:sz w:val="18"/>
                <w:szCs w:val="18"/>
              </w:rPr>
            </w:pPr>
          </w:p>
        </w:tc>
        <w:tc>
          <w:tcPr>
            <w:tcW w:w="2816" w:type="dxa"/>
            <w:tcBorders>
              <w:left w:val="single" w:color="000000" w:sz="4" w:space="0"/>
              <w:bottom w:val="single" w:color="000000" w:sz="4" w:space="0"/>
            </w:tcBorders>
            <w:vAlign w:val="center"/>
          </w:tcPr>
          <w:p w14:paraId="5C7812CE">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交通条件</w:t>
            </w:r>
          </w:p>
        </w:tc>
        <w:tc>
          <w:tcPr>
            <w:tcW w:w="1666" w:type="dxa"/>
            <w:tcBorders>
              <w:left w:val="single" w:color="000000" w:sz="4" w:space="0"/>
              <w:bottom w:val="single" w:color="000000" w:sz="4" w:space="0"/>
            </w:tcBorders>
            <w:vAlign w:val="center"/>
          </w:tcPr>
          <w:p w14:paraId="4715CC30">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100/100</w:t>
            </w:r>
          </w:p>
        </w:tc>
        <w:tc>
          <w:tcPr>
            <w:tcW w:w="1666" w:type="dxa"/>
            <w:tcBorders>
              <w:left w:val="single" w:color="000000" w:sz="4" w:space="0"/>
              <w:bottom w:val="single" w:color="000000" w:sz="4" w:space="0"/>
            </w:tcBorders>
            <w:vAlign w:val="center"/>
          </w:tcPr>
          <w:p w14:paraId="3FA2E45C">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100/103</w:t>
            </w:r>
          </w:p>
        </w:tc>
        <w:tc>
          <w:tcPr>
            <w:tcW w:w="1677" w:type="dxa"/>
            <w:tcBorders>
              <w:left w:val="single" w:color="000000" w:sz="4" w:space="0"/>
              <w:bottom w:val="single" w:color="000000" w:sz="4" w:space="0"/>
              <w:right w:val="single" w:color="000000" w:sz="4" w:space="0"/>
            </w:tcBorders>
            <w:vAlign w:val="center"/>
          </w:tcPr>
          <w:p w14:paraId="7BC21CEB">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100/103</w:t>
            </w:r>
          </w:p>
        </w:tc>
      </w:tr>
      <w:tr w14:paraId="0D88978F">
        <w:tblPrEx>
          <w:tblCellMar>
            <w:top w:w="0" w:type="dxa"/>
            <w:left w:w="108" w:type="dxa"/>
            <w:bottom w:w="0" w:type="dxa"/>
            <w:right w:w="108" w:type="dxa"/>
          </w:tblCellMar>
        </w:tblPrEx>
        <w:trPr>
          <w:trHeight w:val="227" w:hRule="atLeast"/>
        </w:trPr>
        <w:tc>
          <w:tcPr>
            <w:tcW w:w="1473" w:type="dxa"/>
            <w:vMerge w:val="continue"/>
            <w:tcBorders>
              <w:left w:val="single" w:color="000000" w:sz="4" w:space="0"/>
              <w:bottom w:val="single" w:color="000000" w:sz="4" w:space="0"/>
            </w:tcBorders>
            <w:vAlign w:val="center"/>
          </w:tcPr>
          <w:p w14:paraId="047AD748">
            <w:pPr>
              <w:widowControl/>
              <w:spacing w:line="240" w:lineRule="auto"/>
              <w:jc w:val="center"/>
              <w:textAlignment w:val="auto"/>
              <w:rPr>
                <w:rFonts w:ascii="Arial" w:hAnsi="Arial" w:eastAsia="华文细黑" w:cs="Arial"/>
                <w:sz w:val="18"/>
                <w:szCs w:val="18"/>
              </w:rPr>
            </w:pPr>
          </w:p>
        </w:tc>
        <w:tc>
          <w:tcPr>
            <w:tcW w:w="2816" w:type="dxa"/>
            <w:tcBorders>
              <w:left w:val="single" w:color="000000" w:sz="4" w:space="0"/>
              <w:bottom w:val="single" w:color="000000" w:sz="4" w:space="0"/>
            </w:tcBorders>
            <w:vAlign w:val="center"/>
          </w:tcPr>
          <w:p w14:paraId="6EEA421C">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商业设施</w:t>
            </w:r>
          </w:p>
        </w:tc>
        <w:tc>
          <w:tcPr>
            <w:tcW w:w="1666" w:type="dxa"/>
            <w:tcBorders>
              <w:left w:val="single" w:color="000000" w:sz="4" w:space="0"/>
              <w:bottom w:val="single" w:color="000000" w:sz="4" w:space="0"/>
            </w:tcBorders>
            <w:vAlign w:val="center"/>
          </w:tcPr>
          <w:p w14:paraId="4800C030">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100/100</w:t>
            </w:r>
          </w:p>
        </w:tc>
        <w:tc>
          <w:tcPr>
            <w:tcW w:w="1666" w:type="dxa"/>
            <w:tcBorders>
              <w:left w:val="single" w:color="000000" w:sz="4" w:space="0"/>
              <w:bottom w:val="single" w:color="000000" w:sz="4" w:space="0"/>
            </w:tcBorders>
            <w:vAlign w:val="center"/>
          </w:tcPr>
          <w:p w14:paraId="14187E3B">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100/100</w:t>
            </w:r>
          </w:p>
        </w:tc>
        <w:tc>
          <w:tcPr>
            <w:tcW w:w="1677" w:type="dxa"/>
            <w:tcBorders>
              <w:left w:val="single" w:color="000000" w:sz="4" w:space="0"/>
              <w:bottom w:val="single" w:color="000000" w:sz="4" w:space="0"/>
              <w:right w:val="single" w:color="000000" w:sz="4" w:space="0"/>
            </w:tcBorders>
            <w:vAlign w:val="center"/>
          </w:tcPr>
          <w:p w14:paraId="40ACA8CE">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100/100</w:t>
            </w:r>
          </w:p>
        </w:tc>
      </w:tr>
      <w:tr w14:paraId="242CDBC4">
        <w:tblPrEx>
          <w:tblCellMar>
            <w:top w:w="0" w:type="dxa"/>
            <w:left w:w="108" w:type="dxa"/>
            <w:bottom w:w="0" w:type="dxa"/>
            <w:right w:w="108" w:type="dxa"/>
          </w:tblCellMar>
        </w:tblPrEx>
        <w:trPr>
          <w:trHeight w:val="227" w:hRule="atLeast"/>
        </w:trPr>
        <w:tc>
          <w:tcPr>
            <w:tcW w:w="1473" w:type="dxa"/>
            <w:vMerge w:val="continue"/>
            <w:tcBorders>
              <w:left w:val="single" w:color="000000" w:sz="4" w:space="0"/>
              <w:bottom w:val="single" w:color="000000" w:sz="4" w:space="0"/>
            </w:tcBorders>
            <w:vAlign w:val="center"/>
          </w:tcPr>
          <w:p w14:paraId="073D9ABC">
            <w:pPr>
              <w:widowControl/>
              <w:spacing w:line="240" w:lineRule="auto"/>
              <w:jc w:val="center"/>
              <w:textAlignment w:val="auto"/>
              <w:rPr>
                <w:rFonts w:ascii="Arial" w:hAnsi="Arial" w:eastAsia="华文细黑" w:cs="Arial"/>
                <w:sz w:val="18"/>
                <w:szCs w:val="18"/>
              </w:rPr>
            </w:pPr>
          </w:p>
        </w:tc>
        <w:tc>
          <w:tcPr>
            <w:tcW w:w="2816" w:type="dxa"/>
            <w:tcBorders>
              <w:left w:val="single" w:color="000000" w:sz="4" w:space="0"/>
              <w:bottom w:val="single" w:color="000000" w:sz="4" w:space="0"/>
            </w:tcBorders>
            <w:vAlign w:val="center"/>
          </w:tcPr>
          <w:p w14:paraId="17276455">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自然环境</w:t>
            </w:r>
          </w:p>
        </w:tc>
        <w:tc>
          <w:tcPr>
            <w:tcW w:w="1666" w:type="dxa"/>
            <w:tcBorders>
              <w:left w:val="single" w:color="000000" w:sz="4" w:space="0"/>
              <w:bottom w:val="single" w:color="000000" w:sz="4" w:space="0"/>
            </w:tcBorders>
            <w:vAlign w:val="center"/>
          </w:tcPr>
          <w:p w14:paraId="54B66915">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100/100</w:t>
            </w:r>
          </w:p>
        </w:tc>
        <w:tc>
          <w:tcPr>
            <w:tcW w:w="1666" w:type="dxa"/>
            <w:tcBorders>
              <w:left w:val="single" w:color="000000" w:sz="4" w:space="0"/>
              <w:bottom w:val="single" w:color="000000" w:sz="4" w:space="0"/>
            </w:tcBorders>
            <w:vAlign w:val="center"/>
          </w:tcPr>
          <w:p w14:paraId="4B14808C">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100/100</w:t>
            </w:r>
          </w:p>
        </w:tc>
        <w:tc>
          <w:tcPr>
            <w:tcW w:w="1677" w:type="dxa"/>
            <w:tcBorders>
              <w:left w:val="single" w:color="000000" w:sz="4" w:space="0"/>
              <w:bottom w:val="single" w:color="000000" w:sz="4" w:space="0"/>
              <w:right w:val="single" w:color="000000" w:sz="4" w:space="0"/>
            </w:tcBorders>
            <w:vAlign w:val="center"/>
          </w:tcPr>
          <w:p w14:paraId="295D6C33">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100/100</w:t>
            </w:r>
          </w:p>
        </w:tc>
      </w:tr>
      <w:tr w14:paraId="742F0052">
        <w:tblPrEx>
          <w:tblCellMar>
            <w:top w:w="0" w:type="dxa"/>
            <w:left w:w="108" w:type="dxa"/>
            <w:bottom w:w="0" w:type="dxa"/>
            <w:right w:w="108" w:type="dxa"/>
          </w:tblCellMar>
        </w:tblPrEx>
        <w:trPr>
          <w:trHeight w:val="227" w:hRule="atLeast"/>
        </w:trPr>
        <w:tc>
          <w:tcPr>
            <w:tcW w:w="1473" w:type="dxa"/>
            <w:vMerge w:val="continue"/>
            <w:tcBorders>
              <w:left w:val="single" w:color="000000" w:sz="4" w:space="0"/>
              <w:bottom w:val="single" w:color="000000" w:sz="4" w:space="0"/>
            </w:tcBorders>
            <w:vAlign w:val="center"/>
          </w:tcPr>
          <w:p w14:paraId="28981D06">
            <w:pPr>
              <w:widowControl/>
              <w:spacing w:line="240" w:lineRule="auto"/>
              <w:jc w:val="center"/>
              <w:textAlignment w:val="auto"/>
              <w:rPr>
                <w:rFonts w:ascii="Arial" w:hAnsi="Arial" w:eastAsia="华文细黑" w:cs="Arial"/>
                <w:sz w:val="18"/>
                <w:szCs w:val="18"/>
              </w:rPr>
            </w:pPr>
          </w:p>
        </w:tc>
        <w:tc>
          <w:tcPr>
            <w:tcW w:w="2816" w:type="dxa"/>
            <w:tcBorders>
              <w:left w:val="single" w:color="000000" w:sz="4" w:space="0"/>
              <w:bottom w:val="single" w:color="000000" w:sz="4" w:space="0"/>
            </w:tcBorders>
            <w:vAlign w:val="center"/>
          </w:tcPr>
          <w:p w14:paraId="30E4FBD6">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公共配套</w:t>
            </w:r>
          </w:p>
        </w:tc>
        <w:tc>
          <w:tcPr>
            <w:tcW w:w="1666" w:type="dxa"/>
            <w:tcBorders>
              <w:left w:val="single" w:color="000000" w:sz="4" w:space="0"/>
              <w:bottom w:val="single" w:color="000000" w:sz="4" w:space="0"/>
            </w:tcBorders>
            <w:vAlign w:val="center"/>
          </w:tcPr>
          <w:p w14:paraId="5FA00AB8">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100/100</w:t>
            </w:r>
          </w:p>
        </w:tc>
        <w:tc>
          <w:tcPr>
            <w:tcW w:w="1666" w:type="dxa"/>
            <w:tcBorders>
              <w:left w:val="single" w:color="000000" w:sz="4" w:space="0"/>
              <w:bottom w:val="single" w:color="000000" w:sz="4" w:space="0"/>
            </w:tcBorders>
            <w:vAlign w:val="center"/>
          </w:tcPr>
          <w:p w14:paraId="1BFB9DF4">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100/100</w:t>
            </w:r>
          </w:p>
        </w:tc>
        <w:tc>
          <w:tcPr>
            <w:tcW w:w="1677" w:type="dxa"/>
            <w:tcBorders>
              <w:left w:val="single" w:color="000000" w:sz="4" w:space="0"/>
              <w:bottom w:val="single" w:color="000000" w:sz="4" w:space="0"/>
              <w:right w:val="single" w:color="000000" w:sz="4" w:space="0"/>
            </w:tcBorders>
            <w:vAlign w:val="center"/>
          </w:tcPr>
          <w:p w14:paraId="4ED15923">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100/100</w:t>
            </w:r>
          </w:p>
        </w:tc>
      </w:tr>
      <w:tr w14:paraId="51D7AE22">
        <w:tblPrEx>
          <w:tblCellMar>
            <w:top w:w="0" w:type="dxa"/>
            <w:left w:w="108" w:type="dxa"/>
            <w:bottom w:w="0" w:type="dxa"/>
            <w:right w:w="108" w:type="dxa"/>
          </w:tblCellMar>
        </w:tblPrEx>
        <w:trPr>
          <w:trHeight w:val="227" w:hRule="atLeast"/>
        </w:trPr>
        <w:tc>
          <w:tcPr>
            <w:tcW w:w="1473" w:type="dxa"/>
            <w:vMerge w:val="restart"/>
            <w:tcBorders>
              <w:left w:val="single" w:color="000000" w:sz="4" w:space="0"/>
            </w:tcBorders>
            <w:vAlign w:val="center"/>
          </w:tcPr>
          <w:p w14:paraId="16D4234D">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实物状况</w:t>
            </w:r>
          </w:p>
        </w:tc>
        <w:tc>
          <w:tcPr>
            <w:tcW w:w="2816" w:type="dxa"/>
            <w:tcBorders>
              <w:left w:val="single" w:color="000000" w:sz="4" w:space="0"/>
              <w:bottom w:val="single" w:color="000000" w:sz="4" w:space="0"/>
            </w:tcBorders>
            <w:vAlign w:val="center"/>
          </w:tcPr>
          <w:p w14:paraId="663050EF">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物业服务</w:t>
            </w:r>
          </w:p>
        </w:tc>
        <w:tc>
          <w:tcPr>
            <w:tcW w:w="1666" w:type="dxa"/>
            <w:tcBorders>
              <w:left w:val="single" w:color="000000" w:sz="4" w:space="0"/>
              <w:bottom w:val="single" w:color="000000" w:sz="4" w:space="0"/>
            </w:tcBorders>
            <w:vAlign w:val="center"/>
          </w:tcPr>
          <w:p w14:paraId="12839642">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100/100</w:t>
            </w:r>
          </w:p>
        </w:tc>
        <w:tc>
          <w:tcPr>
            <w:tcW w:w="1666" w:type="dxa"/>
            <w:tcBorders>
              <w:left w:val="single" w:color="000000" w:sz="4" w:space="0"/>
              <w:bottom w:val="single" w:color="000000" w:sz="4" w:space="0"/>
            </w:tcBorders>
            <w:vAlign w:val="center"/>
          </w:tcPr>
          <w:p w14:paraId="2C1D8228">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100/100</w:t>
            </w:r>
          </w:p>
        </w:tc>
        <w:tc>
          <w:tcPr>
            <w:tcW w:w="1677" w:type="dxa"/>
            <w:tcBorders>
              <w:left w:val="single" w:color="000000" w:sz="4" w:space="0"/>
              <w:bottom w:val="single" w:color="000000" w:sz="4" w:space="0"/>
              <w:right w:val="single" w:color="000000" w:sz="4" w:space="0"/>
            </w:tcBorders>
            <w:vAlign w:val="center"/>
          </w:tcPr>
          <w:p w14:paraId="5D2F20E9">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100/100</w:t>
            </w:r>
          </w:p>
        </w:tc>
      </w:tr>
      <w:tr w14:paraId="72E21838">
        <w:tblPrEx>
          <w:tblCellMar>
            <w:top w:w="0" w:type="dxa"/>
            <w:left w:w="108" w:type="dxa"/>
            <w:bottom w:w="0" w:type="dxa"/>
            <w:right w:w="108" w:type="dxa"/>
          </w:tblCellMar>
        </w:tblPrEx>
        <w:trPr>
          <w:trHeight w:val="227" w:hRule="atLeast"/>
        </w:trPr>
        <w:tc>
          <w:tcPr>
            <w:tcW w:w="1473" w:type="dxa"/>
            <w:vMerge w:val="continue"/>
            <w:tcBorders>
              <w:left w:val="single" w:color="000000" w:sz="4" w:space="0"/>
            </w:tcBorders>
            <w:vAlign w:val="center"/>
          </w:tcPr>
          <w:p w14:paraId="33E82CE9">
            <w:pPr>
              <w:widowControl/>
              <w:spacing w:line="240" w:lineRule="auto"/>
              <w:jc w:val="center"/>
              <w:textAlignment w:val="auto"/>
              <w:rPr>
                <w:rFonts w:ascii="Arial" w:hAnsi="Arial" w:eastAsia="华文细黑" w:cs="Arial"/>
                <w:sz w:val="18"/>
                <w:szCs w:val="18"/>
              </w:rPr>
            </w:pPr>
          </w:p>
        </w:tc>
        <w:tc>
          <w:tcPr>
            <w:tcW w:w="2816" w:type="dxa"/>
            <w:tcBorders>
              <w:left w:val="single" w:color="000000" w:sz="4" w:space="0"/>
              <w:bottom w:val="single" w:color="000000" w:sz="4" w:space="0"/>
            </w:tcBorders>
            <w:vAlign w:val="center"/>
          </w:tcPr>
          <w:p w14:paraId="6C56439B">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小区环境</w:t>
            </w:r>
          </w:p>
        </w:tc>
        <w:tc>
          <w:tcPr>
            <w:tcW w:w="1666" w:type="dxa"/>
            <w:tcBorders>
              <w:left w:val="single" w:color="000000" w:sz="4" w:space="0"/>
              <w:bottom w:val="single" w:color="000000" w:sz="4" w:space="0"/>
            </w:tcBorders>
            <w:vAlign w:val="center"/>
          </w:tcPr>
          <w:p w14:paraId="77C9C7F1">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100/100</w:t>
            </w:r>
          </w:p>
        </w:tc>
        <w:tc>
          <w:tcPr>
            <w:tcW w:w="1666" w:type="dxa"/>
            <w:tcBorders>
              <w:left w:val="single" w:color="000000" w:sz="4" w:space="0"/>
              <w:bottom w:val="single" w:color="000000" w:sz="4" w:space="0"/>
            </w:tcBorders>
            <w:vAlign w:val="center"/>
          </w:tcPr>
          <w:p w14:paraId="7E776168">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100/100</w:t>
            </w:r>
          </w:p>
        </w:tc>
        <w:tc>
          <w:tcPr>
            <w:tcW w:w="1677" w:type="dxa"/>
            <w:tcBorders>
              <w:left w:val="single" w:color="000000" w:sz="4" w:space="0"/>
              <w:bottom w:val="single" w:color="000000" w:sz="4" w:space="0"/>
              <w:right w:val="single" w:color="000000" w:sz="4" w:space="0"/>
            </w:tcBorders>
            <w:vAlign w:val="center"/>
          </w:tcPr>
          <w:p w14:paraId="48AE3EA8">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100/100</w:t>
            </w:r>
          </w:p>
        </w:tc>
      </w:tr>
      <w:tr w14:paraId="1542B58F">
        <w:tblPrEx>
          <w:tblCellMar>
            <w:top w:w="0" w:type="dxa"/>
            <w:left w:w="108" w:type="dxa"/>
            <w:bottom w:w="0" w:type="dxa"/>
            <w:right w:w="108" w:type="dxa"/>
          </w:tblCellMar>
        </w:tblPrEx>
        <w:trPr>
          <w:trHeight w:val="227" w:hRule="atLeast"/>
        </w:trPr>
        <w:tc>
          <w:tcPr>
            <w:tcW w:w="1473" w:type="dxa"/>
            <w:vMerge w:val="continue"/>
            <w:tcBorders>
              <w:left w:val="single" w:color="000000" w:sz="4" w:space="0"/>
            </w:tcBorders>
            <w:vAlign w:val="center"/>
          </w:tcPr>
          <w:p w14:paraId="4034EDE3">
            <w:pPr>
              <w:widowControl/>
              <w:spacing w:line="240" w:lineRule="auto"/>
              <w:jc w:val="center"/>
              <w:textAlignment w:val="auto"/>
              <w:rPr>
                <w:rFonts w:ascii="Arial" w:hAnsi="Arial" w:eastAsia="华文细黑" w:cs="Arial"/>
                <w:sz w:val="18"/>
                <w:szCs w:val="18"/>
              </w:rPr>
            </w:pPr>
          </w:p>
        </w:tc>
        <w:tc>
          <w:tcPr>
            <w:tcW w:w="2816" w:type="dxa"/>
            <w:tcBorders>
              <w:left w:val="single" w:color="000000" w:sz="4" w:space="0"/>
              <w:bottom w:val="single" w:color="000000" w:sz="4" w:space="0"/>
            </w:tcBorders>
            <w:vAlign w:val="center"/>
          </w:tcPr>
          <w:p w14:paraId="427FED80">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配套设施</w:t>
            </w:r>
          </w:p>
        </w:tc>
        <w:tc>
          <w:tcPr>
            <w:tcW w:w="1666" w:type="dxa"/>
            <w:tcBorders>
              <w:left w:val="single" w:color="000000" w:sz="4" w:space="0"/>
              <w:bottom w:val="single" w:color="000000" w:sz="4" w:space="0"/>
            </w:tcBorders>
            <w:vAlign w:val="center"/>
          </w:tcPr>
          <w:p w14:paraId="36AF3D6C">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100/99</w:t>
            </w:r>
          </w:p>
        </w:tc>
        <w:tc>
          <w:tcPr>
            <w:tcW w:w="1666" w:type="dxa"/>
            <w:tcBorders>
              <w:left w:val="single" w:color="000000" w:sz="4" w:space="0"/>
              <w:bottom w:val="single" w:color="000000" w:sz="4" w:space="0"/>
            </w:tcBorders>
            <w:vAlign w:val="center"/>
          </w:tcPr>
          <w:p w14:paraId="724F93DC">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100/99</w:t>
            </w:r>
          </w:p>
        </w:tc>
        <w:tc>
          <w:tcPr>
            <w:tcW w:w="1677" w:type="dxa"/>
            <w:tcBorders>
              <w:left w:val="single" w:color="000000" w:sz="4" w:space="0"/>
              <w:bottom w:val="single" w:color="000000" w:sz="4" w:space="0"/>
              <w:right w:val="single" w:color="000000" w:sz="4" w:space="0"/>
            </w:tcBorders>
            <w:vAlign w:val="center"/>
          </w:tcPr>
          <w:p w14:paraId="1CA62E6A">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100/99</w:t>
            </w:r>
          </w:p>
        </w:tc>
      </w:tr>
      <w:tr w14:paraId="6870D34A">
        <w:tblPrEx>
          <w:tblCellMar>
            <w:top w:w="0" w:type="dxa"/>
            <w:left w:w="108" w:type="dxa"/>
            <w:bottom w:w="0" w:type="dxa"/>
            <w:right w:w="108" w:type="dxa"/>
          </w:tblCellMar>
        </w:tblPrEx>
        <w:trPr>
          <w:trHeight w:val="227" w:hRule="atLeast"/>
        </w:trPr>
        <w:tc>
          <w:tcPr>
            <w:tcW w:w="1473" w:type="dxa"/>
            <w:vMerge w:val="continue"/>
            <w:tcBorders>
              <w:left w:val="single" w:color="000000" w:sz="4" w:space="0"/>
            </w:tcBorders>
            <w:vAlign w:val="center"/>
          </w:tcPr>
          <w:p w14:paraId="238DE50D">
            <w:pPr>
              <w:widowControl/>
              <w:spacing w:line="240" w:lineRule="auto"/>
              <w:jc w:val="center"/>
              <w:textAlignment w:val="auto"/>
              <w:rPr>
                <w:rFonts w:ascii="Arial" w:hAnsi="Arial" w:eastAsia="华文细黑" w:cs="Arial"/>
                <w:sz w:val="18"/>
                <w:szCs w:val="18"/>
              </w:rPr>
            </w:pPr>
          </w:p>
        </w:tc>
        <w:tc>
          <w:tcPr>
            <w:tcW w:w="2816" w:type="dxa"/>
            <w:tcBorders>
              <w:left w:val="single" w:color="000000" w:sz="4" w:space="0"/>
              <w:bottom w:val="single" w:color="000000" w:sz="4" w:space="0"/>
            </w:tcBorders>
            <w:vAlign w:val="center"/>
          </w:tcPr>
          <w:p w14:paraId="1B6EA714">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居住管理</w:t>
            </w:r>
          </w:p>
        </w:tc>
        <w:tc>
          <w:tcPr>
            <w:tcW w:w="1666" w:type="dxa"/>
            <w:tcBorders>
              <w:left w:val="single" w:color="000000" w:sz="4" w:space="0"/>
              <w:bottom w:val="single" w:color="000000" w:sz="4" w:space="0"/>
            </w:tcBorders>
            <w:vAlign w:val="center"/>
          </w:tcPr>
          <w:p w14:paraId="42D9E911">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100/99</w:t>
            </w:r>
          </w:p>
        </w:tc>
        <w:tc>
          <w:tcPr>
            <w:tcW w:w="1666" w:type="dxa"/>
            <w:tcBorders>
              <w:left w:val="single" w:color="000000" w:sz="4" w:space="0"/>
              <w:bottom w:val="single" w:color="000000" w:sz="4" w:space="0"/>
            </w:tcBorders>
            <w:vAlign w:val="center"/>
          </w:tcPr>
          <w:p w14:paraId="44657998">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100/99</w:t>
            </w:r>
          </w:p>
        </w:tc>
        <w:tc>
          <w:tcPr>
            <w:tcW w:w="1677" w:type="dxa"/>
            <w:tcBorders>
              <w:left w:val="single" w:color="000000" w:sz="4" w:space="0"/>
              <w:bottom w:val="single" w:color="000000" w:sz="4" w:space="0"/>
              <w:right w:val="single" w:color="000000" w:sz="4" w:space="0"/>
            </w:tcBorders>
            <w:vAlign w:val="center"/>
          </w:tcPr>
          <w:p w14:paraId="5BBCC66F">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100/99</w:t>
            </w:r>
          </w:p>
        </w:tc>
      </w:tr>
      <w:tr w14:paraId="7C43C002">
        <w:tblPrEx>
          <w:tblCellMar>
            <w:top w:w="0" w:type="dxa"/>
            <w:left w:w="108" w:type="dxa"/>
            <w:bottom w:w="0" w:type="dxa"/>
            <w:right w:w="108" w:type="dxa"/>
          </w:tblCellMar>
        </w:tblPrEx>
        <w:trPr>
          <w:trHeight w:val="227" w:hRule="atLeast"/>
        </w:trPr>
        <w:tc>
          <w:tcPr>
            <w:tcW w:w="1473" w:type="dxa"/>
            <w:vMerge w:val="continue"/>
            <w:tcBorders>
              <w:left w:val="single" w:color="000000" w:sz="4" w:space="0"/>
            </w:tcBorders>
            <w:vAlign w:val="center"/>
          </w:tcPr>
          <w:p w14:paraId="0CB537A9">
            <w:pPr>
              <w:widowControl/>
              <w:spacing w:line="240" w:lineRule="auto"/>
              <w:jc w:val="center"/>
              <w:textAlignment w:val="auto"/>
              <w:rPr>
                <w:rFonts w:ascii="Arial" w:hAnsi="Arial" w:eastAsia="华文细黑" w:cs="Arial"/>
                <w:sz w:val="18"/>
                <w:szCs w:val="18"/>
              </w:rPr>
            </w:pPr>
          </w:p>
        </w:tc>
        <w:tc>
          <w:tcPr>
            <w:tcW w:w="2816" w:type="dxa"/>
            <w:tcBorders>
              <w:left w:val="single" w:color="000000" w:sz="4" w:space="0"/>
              <w:bottom w:val="single" w:color="000000" w:sz="4" w:space="0"/>
            </w:tcBorders>
            <w:vAlign w:val="center"/>
          </w:tcPr>
          <w:p w14:paraId="4DBD5E1A">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户型</w:t>
            </w:r>
          </w:p>
        </w:tc>
        <w:tc>
          <w:tcPr>
            <w:tcW w:w="1666" w:type="dxa"/>
            <w:tcBorders>
              <w:left w:val="single" w:color="000000" w:sz="4" w:space="0"/>
              <w:bottom w:val="single" w:color="000000" w:sz="4" w:space="0"/>
            </w:tcBorders>
            <w:vAlign w:val="center"/>
          </w:tcPr>
          <w:p w14:paraId="119CFB1A">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100/98</w:t>
            </w:r>
          </w:p>
        </w:tc>
        <w:tc>
          <w:tcPr>
            <w:tcW w:w="1666" w:type="dxa"/>
            <w:tcBorders>
              <w:left w:val="single" w:color="000000" w:sz="4" w:space="0"/>
              <w:bottom w:val="single" w:color="000000" w:sz="4" w:space="0"/>
            </w:tcBorders>
            <w:vAlign w:val="center"/>
          </w:tcPr>
          <w:p w14:paraId="1EA2E7DE">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100/100</w:t>
            </w:r>
          </w:p>
        </w:tc>
        <w:tc>
          <w:tcPr>
            <w:tcW w:w="1677" w:type="dxa"/>
            <w:tcBorders>
              <w:left w:val="single" w:color="000000" w:sz="4" w:space="0"/>
              <w:bottom w:val="single" w:color="000000" w:sz="4" w:space="0"/>
              <w:right w:val="single" w:color="000000" w:sz="4" w:space="0"/>
            </w:tcBorders>
            <w:vAlign w:val="center"/>
          </w:tcPr>
          <w:p w14:paraId="0D2E0847">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100/100</w:t>
            </w:r>
          </w:p>
        </w:tc>
      </w:tr>
      <w:tr w14:paraId="0E51A95E">
        <w:tblPrEx>
          <w:tblCellMar>
            <w:top w:w="0" w:type="dxa"/>
            <w:left w:w="108" w:type="dxa"/>
            <w:bottom w:w="0" w:type="dxa"/>
            <w:right w:w="108" w:type="dxa"/>
          </w:tblCellMar>
        </w:tblPrEx>
        <w:trPr>
          <w:trHeight w:val="227" w:hRule="atLeast"/>
        </w:trPr>
        <w:tc>
          <w:tcPr>
            <w:tcW w:w="1473" w:type="dxa"/>
            <w:vMerge w:val="continue"/>
            <w:tcBorders>
              <w:left w:val="single" w:color="000000" w:sz="4" w:space="0"/>
            </w:tcBorders>
            <w:vAlign w:val="center"/>
          </w:tcPr>
          <w:p w14:paraId="027C1012">
            <w:pPr>
              <w:widowControl/>
              <w:spacing w:line="240" w:lineRule="auto"/>
              <w:jc w:val="center"/>
              <w:textAlignment w:val="auto"/>
              <w:rPr>
                <w:rFonts w:ascii="Arial" w:hAnsi="Arial" w:eastAsia="华文细黑" w:cs="Arial"/>
                <w:sz w:val="18"/>
                <w:szCs w:val="18"/>
              </w:rPr>
            </w:pPr>
          </w:p>
        </w:tc>
        <w:tc>
          <w:tcPr>
            <w:tcW w:w="2816" w:type="dxa"/>
            <w:tcBorders>
              <w:left w:val="single" w:color="000000" w:sz="4" w:space="0"/>
              <w:bottom w:val="single" w:color="000000" w:sz="4" w:space="0"/>
            </w:tcBorders>
            <w:vAlign w:val="center"/>
          </w:tcPr>
          <w:p w14:paraId="0EDE3F2E">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朝向</w:t>
            </w:r>
          </w:p>
        </w:tc>
        <w:tc>
          <w:tcPr>
            <w:tcW w:w="1666" w:type="dxa"/>
            <w:tcBorders>
              <w:left w:val="single" w:color="000000" w:sz="4" w:space="0"/>
              <w:bottom w:val="single" w:color="000000" w:sz="4" w:space="0"/>
            </w:tcBorders>
            <w:vAlign w:val="center"/>
          </w:tcPr>
          <w:p w14:paraId="44A196D5">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100/102</w:t>
            </w:r>
          </w:p>
        </w:tc>
        <w:tc>
          <w:tcPr>
            <w:tcW w:w="1666" w:type="dxa"/>
            <w:tcBorders>
              <w:left w:val="single" w:color="000000" w:sz="4" w:space="0"/>
              <w:bottom w:val="single" w:color="000000" w:sz="4" w:space="0"/>
            </w:tcBorders>
            <w:vAlign w:val="center"/>
          </w:tcPr>
          <w:p w14:paraId="52E14DD1">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100/102</w:t>
            </w:r>
          </w:p>
        </w:tc>
        <w:tc>
          <w:tcPr>
            <w:tcW w:w="1677" w:type="dxa"/>
            <w:tcBorders>
              <w:left w:val="single" w:color="000000" w:sz="4" w:space="0"/>
              <w:bottom w:val="single" w:color="000000" w:sz="4" w:space="0"/>
              <w:right w:val="single" w:color="000000" w:sz="4" w:space="0"/>
            </w:tcBorders>
            <w:vAlign w:val="center"/>
          </w:tcPr>
          <w:p w14:paraId="62B82656">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100/102</w:t>
            </w:r>
          </w:p>
        </w:tc>
      </w:tr>
      <w:tr w14:paraId="5F0FFF38">
        <w:tblPrEx>
          <w:tblCellMar>
            <w:top w:w="0" w:type="dxa"/>
            <w:left w:w="108" w:type="dxa"/>
            <w:bottom w:w="0" w:type="dxa"/>
            <w:right w:w="108" w:type="dxa"/>
          </w:tblCellMar>
        </w:tblPrEx>
        <w:trPr>
          <w:trHeight w:val="227" w:hRule="atLeast"/>
        </w:trPr>
        <w:tc>
          <w:tcPr>
            <w:tcW w:w="1473" w:type="dxa"/>
            <w:vMerge w:val="continue"/>
            <w:tcBorders>
              <w:left w:val="single" w:color="000000" w:sz="4" w:space="0"/>
            </w:tcBorders>
            <w:vAlign w:val="center"/>
          </w:tcPr>
          <w:p w14:paraId="399E0CEA">
            <w:pPr>
              <w:widowControl/>
              <w:spacing w:line="240" w:lineRule="auto"/>
              <w:jc w:val="center"/>
              <w:textAlignment w:val="auto"/>
              <w:rPr>
                <w:rFonts w:ascii="Arial" w:hAnsi="Arial" w:eastAsia="华文细黑" w:cs="Arial"/>
                <w:sz w:val="18"/>
                <w:szCs w:val="18"/>
              </w:rPr>
            </w:pPr>
          </w:p>
        </w:tc>
        <w:tc>
          <w:tcPr>
            <w:tcW w:w="2816" w:type="dxa"/>
            <w:tcBorders>
              <w:left w:val="single" w:color="000000" w:sz="4" w:space="0"/>
              <w:bottom w:val="single" w:color="000000" w:sz="4" w:space="0"/>
            </w:tcBorders>
            <w:vAlign w:val="center"/>
          </w:tcPr>
          <w:p w14:paraId="4D643D86">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装修</w:t>
            </w:r>
          </w:p>
        </w:tc>
        <w:tc>
          <w:tcPr>
            <w:tcW w:w="1666" w:type="dxa"/>
            <w:tcBorders>
              <w:left w:val="single" w:color="000000" w:sz="4" w:space="0"/>
              <w:bottom w:val="single" w:color="000000" w:sz="4" w:space="0"/>
            </w:tcBorders>
            <w:vAlign w:val="center"/>
          </w:tcPr>
          <w:p w14:paraId="32E624B4">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100/102</w:t>
            </w:r>
          </w:p>
        </w:tc>
        <w:tc>
          <w:tcPr>
            <w:tcW w:w="1666" w:type="dxa"/>
            <w:tcBorders>
              <w:left w:val="single" w:color="000000" w:sz="4" w:space="0"/>
              <w:bottom w:val="single" w:color="000000" w:sz="4" w:space="0"/>
            </w:tcBorders>
            <w:vAlign w:val="center"/>
          </w:tcPr>
          <w:p w14:paraId="0EB667F3">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100/102</w:t>
            </w:r>
          </w:p>
        </w:tc>
        <w:tc>
          <w:tcPr>
            <w:tcW w:w="1677" w:type="dxa"/>
            <w:tcBorders>
              <w:left w:val="single" w:color="000000" w:sz="4" w:space="0"/>
              <w:bottom w:val="single" w:color="000000" w:sz="4" w:space="0"/>
              <w:right w:val="single" w:color="000000" w:sz="4" w:space="0"/>
            </w:tcBorders>
            <w:vAlign w:val="center"/>
          </w:tcPr>
          <w:p w14:paraId="267DDC18">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100/102</w:t>
            </w:r>
          </w:p>
        </w:tc>
      </w:tr>
      <w:tr w14:paraId="06CFFB5E">
        <w:tblPrEx>
          <w:tblCellMar>
            <w:top w:w="0" w:type="dxa"/>
            <w:left w:w="108" w:type="dxa"/>
            <w:bottom w:w="0" w:type="dxa"/>
            <w:right w:w="108" w:type="dxa"/>
          </w:tblCellMar>
        </w:tblPrEx>
        <w:trPr>
          <w:trHeight w:val="227" w:hRule="atLeast"/>
        </w:trPr>
        <w:tc>
          <w:tcPr>
            <w:tcW w:w="1473" w:type="dxa"/>
            <w:vMerge w:val="continue"/>
            <w:tcBorders>
              <w:left w:val="single" w:color="000000" w:sz="4" w:space="0"/>
            </w:tcBorders>
            <w:vAlign w:val="center"/>
          </w:tcPr>
          <w:p w14:paraId="5490B90E">
            <w:pPr>
              <w:widowControl/>
              <w:spacing w:line="240" w:lineRule="auto"/>
              <w:jc w:val="center"/>
              <w:textAlignment w:val="auto"/>
              <w:rPr>
                <w:rFonts w:ascii="Arial" w:hAnsi="Arial" w:eastAsia="华文细黑" w:cs="Arial"/>
                <w:sz w:val="18"/>
                <w:szCs w:val="18"/>
              </w:rPr>
            </w:pPr>
          </w:p>
        </w:tc>
        <w:tc>
          <w:tcPr>
            <w:tcW w:w="2816" w:type="dxa"/>
            <w:tcBorders>
              <w:left w:val="single" w:color="000000" w:sz="4" w:space="0"/>
              <w:bottom w:val="single" w:color="000000" w:sz="4" w:space="0"/>
            </w:tcBorders>
            <w:vAlign w:val="center"/>
          </w:tcPr>
          <w:p w14:paraId="5AC18347">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标准房面积</w:t>
            </w:r>
          </w:p>
        </w:tc>
        <w:tc>
          <w:tcPr>
            <w:tcW w:w="1666" w:type="dxa"/>
            <w:tcBorders>
              <w:left w:val="single" w:color="000000" w:sz="4" w:space="0"/>
              <w:bottom w:val="single" w:color="000000" w:sz="4" w:space="0"/>
            </w:tcBorders>
            <w:vAlign w:val="center"/>
          </w:tcPr>
          <w:p w14:paraId="03E46D34">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100/100</w:t>
            </w:r>
          </w:p>
        </w:tc>
        <w:tc>
          <w:tcPr>
            <w:tcW w:w="1666" w:type="dxa"/>
            <w:tcBorders>
              <w:left w:val="single" w:color="000000" w:sz="4" w:space="0"/>
              <w:bottom w:val="single" w:color="000000" w:sz="4" w:space="0"/>
            </w:tcBorders>
            <w:vAlign w:val="center"/>
          </w:tcPr>
          <w:p w14:paraId="6A2A8FD2">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100/100</w:t>
            </w:r>
          </w:p>
        </w:tc>
        <w:tc>
          <w:tcPr>
            <w:tcW w:w="1677" w:type="dxa"/>
            <w:tcBorders>
              <w:left w:val="single" w:color="000000" w:sz="4" w:space="0"/>
              <w:bottom w:val="single" w:color="000000" w:sz="4" w:space="0"/>
              <w:right w:val="single" w:color="000000" w:sz="4" w:space="0"/>
            </w:tcBorders>
            <w:vAlign w:val="center"/>
          </w:tcPr>
          <w:p w14:paraId="21A105AA">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100/100</w:t>
            </w:r>
          </w:p>
        </w:tc>
      </w:tr>
      <w:tr w14:paraId="602DA8AA">
        <w:tblPrEx>
          <w:tblCellMar>
            <w:top w:w="0" w:type="dxa"/>
            <w:left w:w="108" w:type="dxa"/>
            <w:bottom w:w="0" w:type="dxa"/>
            <w:right w:w="108" w:type="dxa"/>
          </w:tblCellMar>
        </w:tblPrEx>
        <w:trPr>
          <w:trHeight w:val="227" w:hRule="atLeast"/>
        </w:trPr>
        <w:tc>
          <w:tcPr>
            <w:tcW w:w="1473" w:type="dxa"/>
            <w:vMerge w:val="continue"/>
            <w:tcBorders>
              <w:left w:val="single" w:color="000000" w:sz="4" w:space="0"/>
            </w:tcBorders>
            <w:vAlign w:val="center"/>
          </w:tcPr>
          <w:p w14:paraId="6B064B7D">
            <w:pPr>
              <w:widowControl/>
              <w:spacing w:line="240" w:lineRule="auto"/>
              <w:jc w:val="center"/>
              <w:textAlignment w:val="auto"/>
              <w:rPr>
                <w:rFonts w:ascii="Arial" w:hAnsi="Arial" w:eastAsia="华文细黑" w:cs="Arial"/>
                <w:sz w:val="18"/>
                <w:szCs w:val="18"/>
              </w:rPr>
            </w:pPr>
          </w:p>
        </w:tc>
        <w:tc>
          <w:tcPr>
            <w:tcW w:w="2816" w:type="dxa"/>
            <w:tcBorders>
              <w:left w:val="single" w:color="000000" w:sz="4" w:space="0"/>
              <w:bottom w:val="single" w:color="000000" w:sz="4" w:space="0"/>
            </w:tcBorders>
            <w:vAlign w:val="center"/>
          </w:tcPr>
          <w:p w14:paraId="7FF1E13B">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设备</w:t>
            </w:r>
          </w:p>
        </w:tc>
        <w:tc>
          <w:tcPr>
            <w:tcW w:w="1666" w:type="dxa"/>
            <w:tcBorders>
              <w:left w:val="single" w:color="000000" w:sz="4" w:space="0"/>
              <w:bottom w:val="single" w:color="000000" w:sz="4" w:space="0"/>
            </w:tcBorders>
            <w:vAlign w:val="center"/>
          </w:tcPr>
          <w:p w14:paraId="263CF6FB">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100/99</w:t>
            </w:r>
          </w:p>
        </w:tc>
        <w:tc>
          <w:tcPr>
            <w:tcW w:w="1666" w:type="dxa"/>
            <w:tcBorders>
              <w:left w:val="single" w:color="000000" w:sz="4" w:space="0"/>
              <w:bottom w:val="single" w:color="000000" w:sz="4" w:space="0"/>
            </w:tcBorders>
            <w:vAlign w:val="center"/>
          </w:tcPr>
          <w:p w14:paraId="72F0DDA2">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100/99</w:t>
            </w:r>
          </w:p>
        </w:tc>
        <w:tc>
          <w:tcPr>
            <w:tcW w:w="1677" w:type="dxa"/>
            <w:tcBorders>
              <w:left w:val="single" w:color="000000" w:sz="4" w:space="0"/>
              <w:bottom w:val="single" w:color="000000" w:sz="4" w:space="0"/>
              <w:right w:val="single" w:color="000000" w:sz="4" w:space="0"/>
            </w:tcBorders>
            <w:vAlign w:val="center"/>
          </w:tcPr>
          <w:p w14:paraId="27556609">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100/99</w:t>
            </w:r>
          </w:p>
        </w:tc>
      </w:tr>
      <w:tr w14:paraId="20F7A152">
        <w:tblPrEx>
          <w:tblCellMar>
            <w:top w:w="0" w:type="dxa"/>
            <w:left w:w="108" w:type="dxa"/>
            <w:bottom w:w="0" w:type="dxa"/>
            <w:right w:w="108" w:type="dxa"/>
          </w:tblCellMar>
        </w:tblPrEx>
        <w:trPr>
          <w:trHeight w:val="227" w:hRule="atLeast"/>
        </w:trPr>
        <w:tc>
          <w:tcPr>
            <w:tcW w:w="1473" w:type="dxa"/>
            <w:vMerge w:val="continue"/>
            <w:tcBorders>
              <w:left w:val="single" w:color="000000" w:sz="4" w:space="0"/>
            </w:tcBorders>
            <w:vAlign w:val="center"/>
          </w:tcPr>
          <w:p w14:paraId="77B22F70">
            <w:pPr>
              <w:widowControl/>
              <w:spacing w:line="240" w:lineRule="auto"/>
              <w:jc w:val="center"/>
              <w:textAlignment w:val="auto"/>
              <w:rPr>
                <w:rFonts w:ascii="Arial" w:hAnsi="Arial" w:eastAsia="华文细黑" w:cs="Arial"/>
                <w:sz w:val="18"/>
                <w:szCs w:val="18"/>
              </w:rPr>
            </w:pPr>
          </w:p>
        </w:tc>
        <w:tc>
          <w:tcPr>
            <w:tcW w:w="2816" w:type="dxa"/>
            <w:tcBorders>
              <w:left w:val="single" w:color="000000" w:sz="4" w:space="0"/>
              <w:bottom w:val="single" w:color="000000" w:sz="4" w:space="0"/>
            </w:tcBorders>
            <w:vAlign w:val="center"/>
          </w:tcPr>
          <w:p w14:paraId="08065E8A">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成新度</w:t>
            </w:r>
          </w:p>
        </w:tc>
        <w:tc>
          <w:tcPr>
            <w:tcW w:w="1666" w:type="dxa"/>
            <w:tcBorders>
              <w:left w:val="single" w:color="000000" w:sz="4" w:space="0"/>
              <w:bottom w:val="single" w:color="000000" w:sz="4" w:space="0"/>
            </w:tcBorders>
            <w:vAlign w:val="center"/>
          </w:tcPr>
          <w:p w14:paraId="60CB39C4">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100/100</w:t>
            </w:r>
          </w:p>
        </w:tc>
        <w:tc>
          <w:tcPr>
            <w:tcW w:w="1666" w:type="dxa"/>
            <w:tcBorders>
              <w:left w:val="single" w:color="000000" w:sz="4" w:space="0"/>
              <w:bottom w:val="single" w:color="000000" w:sz="4" w:space="0"/>
            </w:tcBorders>
            <w:vAlign w:val="center"/>
          </w:tcPr>
          <w:p w14:paraId="3B737D72">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100/100</w:t>
            </w:r>
          </w:p>
        </w:tc>
        <w:tc>
          <w:tcPr>
            <w:tcW w:w="1677" w:type="dxa"/>
            <w:tcBorders>
              <w:left w:val="single" w:color="000000" w:sz="4" w:space="0"/>
              <w:bottom w:val="single" w:color="000000" w:sz="4" w:space="0"/>
              <w:right w:val="single" w:color="000000" w:sz="4" w:space="0"/>
            </w:tcBorders>
            <w:vAlign w:val="center"/>
          </w:tcPr>
          <w:p w14:paraId="71967620">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100/100</w:t>
            </w:r>
          </w:p>
        </w:tc>
      </w:tr>
      <w:tr w14:paraId="34380650">
        <w:tblPrEx>
          <w:tblCellMar>
            <w:top w:w="0" w:type="dxa"/>
            <w:left w:w="108" w:type="dxa"/>
            <w:bottom w:w="0" w:type="dxa"/>
            <w:right w:w="108" w:type="dxa"/>
          </w:tblCellMar>
        </w:tblPrEx>
        <w:trPr>
          <w:trHeight w:val="227" w:hRule="atLeast"/>
        </w:trPr>
        <w:tc>
          <w:tcPr>
            <w:tcW w:w="1473" w:type="dxa"/>
            <w:vMerge w:val="continue"/>
            <w:tcBorders>
              <w:left w:val="single" w:color="000000" w:sz="4" w:space="0"/>
            </w:tcBorders>
            <w:vAlign w:val="center"/>
          </w:tcPr>
          <w:p w14:paraId="0CA500AB">
            <w:pPr>
              <w:widowControl/>
              <w:spacing w:line="240" w:lineRule="auto"/>
              <w:jc w:val="center"/>
              <w:textAlignment w:val="auto"/>
              <w:rPr>
                <w:rFonts w:ascii="Arial" w:hAnsi="Arial" w:eastAsia="华文细黑" w:cs="Arial"/>
                <w:sz w:val="18"/>
                <w:szCs w:val="18"/>
              </w:rPr>
            </w:pPr>
          </w:p>
        </w:tc>
        <w:tc>
          <w:tcPr>
            <w:tcW w:w="2816" w:type="dxa"/>
            <w:tcBorders>
              <w:left w:val="single" w:color="000000" w:sz="4" w:space="0"/>
              <w:bottom w:val="single" w:color="000000" w:sz="4" w:space="0"/>
            </w:tcBorders>
            <w:vAlign w:val="center"/>
          </w:tcPr>
          <w:p w14:paraId="4E2F8F6B">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有无电梯</w:t>
            </w:r>
          </w:p>
        </w:tc>
        <w:tc>
          <w:tcPr>
            <w:tcW w:w="1666" w:type="dxa"/>
            <w:tcBorders>
              <w:left w:val="single" w:color="000000" w:sz="4" w:space="0"/>
              <w:bottom w:val="single" w:color="000000" w:sz="4" w:space="0"/>
            </w:tcBorders>
            <w:vAlign w:val="center"/>
          </w:tcPr>
          <w:p w14:paraId="04B6642C">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100/100</w:t>
            </w:r>
          </w:p>
        </w:tc>
        <w:tc>
          <w:tcPr>
            <w:tcW w:w="1666" w:type="dxa"/>
            <w:tcBorders>
              <w:left w:val="single" w:color="000000" w:sz="4" w:space="0"/>
              <w:bottom w:val="single" w:color="000000" w:sz="4" w:space="0"/>
            </w:tcBorders>
            <w:vAlign w:val="center"/>
          </w:tcPr>
          <w:p w14:paraId="67AF76DE">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100/100</w:t>
            </w:r>
          </w:p>
        </w:tc>
        <w:tc>
          <w:tcPr>
            <w:tcW w:w="1677" w:type="dxa"/>
            <w:tcBorders>
              <w:left w:val="single" w:color="000000" w:sz="4" w:space="0"/>
              <w:bottom w:val="single" w:color="000000" w:sz="4" w:space="0"/>
              <w:right w:val="single" w:color="000000" w:sz="4" w:space="0"/>
            </w:tcBorders>
            <w:vAlign w:val="center"/>
          </w:tcPr>
          <w:p w14:paraId="243DC924">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100/100</w:t>
            </w:r>
          </w:p>
        </w:tc>
      </w:tr>
      <w:tr w14:paraId="7256AB0E">
        <w:tblPrEx>
          <w:tblCellMar>
            <w:top w:w="0" w:type="dxa"/>
            <w:left w:w="108" w:type="dxa"/>
            <w:bottom w:w="0" w:type="dxa"/>
            <w:right w:w="108" w:type="dxa"/>
          </w:tblCellMar>
        </w:tblPrEx>
        <w:trPr>
          <w:trHeight w:val="227" w:hRule="atLeast"/>
        </w:trPr>
        <w:tc>
          <w:tcPr>
            <w:tcW w:w="4289" w:type="dxa"/>
            <w:gridSpan w:val="2"/>
            <w:tcBorders>
              <w:top w:val="single" w:color="000000" w:sz="4" w:space="0"/>
              <w:left w:val="single" w:color="000000" w:sz="4" w:space="0"/>
              <w:bottom w:val="single" w:color="000000" w:sz="4" w:space="0"/>
            </w:tcBorders>
            <w:vAlign w:val="center"/>
          </w:tcPr>
          <w:p w14:paraId="208BD777">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修正系数</w:t>
            </w:r>
          </w:p>
        </w:tc>
        <w:tc>
          <w:tcPr>
            <w:tcW w:w="1666" w:type="dxa"/>
            <w:tcBorders>
              <w:top w:val="single" w:color="000000" w:sz="4" w:space="0"/>
              <w:left w:val="single" w:color="000000" w:sz="4" w:space="0"/>
              <w:bottom w:val="single" w:color="000000" w:sz="4" w:space="0"/>
            </w:tcBorders>
            <w:vAlign w:val="center"/>
          </w:tcPr>
          <w:p w14:paraId="21545518">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1.0108</w:t>
            </w:r>
          </w:p>
        </w:tc>
        <w:tc>
          <w:tcPr>
            <w:tcW w:w="1666" w:type="dxa"/>
            <w:tcBorders>
              <w:top w:val="single" w:color="000000" w:sz="4" w:space="0"/>
              <w:left w:val="single" w:color="000000" w:sz="4" w:space="0"/>
              <w:bottom w:val="single" w:color="000000" w:sz="4" w:space="0"/>
            </w:tcBorders>
            <w:vAlign w:val="center"/>
          </w:tcPr>
          <w:p w14:paraId="64B59A4A">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0.9616</w:t>
            </w:r>
          </w:p>
        </w:tc>
        <w:tc>
          <w:tcPr>
            <w:tcW w:w="1677" w:type="dxa"/>
            <w:tcBorders>
              <w:top w:val="single" w:color="000000" w:sz="4" w:space="0"/>
              <w:left w:val="single" w:color="000000" w:sz="4" w:space="0"/>
              <w:bottom w:val="single" w:color="000000" w:sz="4" w:space="0"/>
              <w:right w:val="single" w:color="000000" w:sz="4" w:space="0"/>
            </w:tcBorders>
            <w:vAlign w:val="center"/>
          </w:tcPr>
          <w:p w14:paraId="723064E0">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0.9617</w:t>
            </w:r>
          </w:p>
        </w:tc>
      </w:tr>
      <w:tr w14:paraId="4185B617">
        <w:tblPrEx>
          <w:tblCellMar>
            <w:top w:w="0" w:type="dxa"/>
            <w:left w:w="108" w:type="dxa"/>
            <w:bottom w:w="0" w:type="dxa"/>
            <w:right w:w="108" w:type="dxa"/>
          </w:tblCellMar>
        </w:tblPrEx>
        <w:trPr>
          <w:trHeight w:val="227" w:hRule="atLeast"/>
        </w:trPr>
        <w:tc>
          <w:tcPr>
            <w:tcW w:w="4289" w:type="dxa"/>
            <w:gridSpan w:val="2"/>
            <w:tcBorders>
              <w:top w:val="single" w:color="000000" w:sz="4" w:space="0"/>
              <w:left w:val="single" w:color="000000" w:sz="4" w:space="0"/>
              <w:bottom w:val="single" w:color="000000" w:sz="4" w:space="0"/>
            </w:tcBorders>
            <w:vAlign w:val="center"/>
          </w:tcPr>
          <w:p w14:paraId="3E4AB431">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比准价格（元/平方米·月）</w:t>
            </w:r>
          </w:p>
        </w:tc>
        <w:tc>
          <w:tcPr>
            <w:tcW w:w="1666" w:type="dxa"/>
            <w:tcBorders>
              <w:top w:val="single" w:color="000000" w:sz="4" w:space="0"/>
              <w:left w:val="single" w:color="000000" w:sz="4" w:space="0"/>
              <w:bottom w:val="single" w:color="000000" w:sz="4" w:space="0"/>
            </w:tcBorders>
            <w:vAlign w:val="center"/>
          </w:tcPr>
          <w:p w14:paraId="40820DEF">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72.96</w:t>
            </w:r>
          </w:p>
        </w:tc>
        <w:tc>
          <w:tcPr>
            <w:tcW w:w="1666" w:type="dxa"/>
            <w:tcBorders>
              <w:top w:val="single" w:color="000000" w:sz="4" w:space="0"/>
              <w:left w:val="single" w:color="000000" w:sz="4" w:space="0"/>
              <w:bottom w:val="single" w:color="000000" w:sz="4" w:space="0"/>
            </w:tcBorders>
            <w:vAlign w:val="center"/>
          </w:tcPr>
          <w:p w14:paraId="7387BB02">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66.23</w:t>
            </w:r>
          </w:p>
        </w:tc>
        <w:tc>
          <w:tcPr>
            <w:tcW w:w="1677" w:type="dxa"/>
            <w:tcBorders>
              <w:top w:val="single" w:color="000000" w:sz="4" w:space="0"/>
              <w:left w:val="single" w:color="000000" w:sz="4" w:space="0"/>
              <w:bottom w:val="single" w:color="000000" w:sz="4" w:space="0"/>
              <w:right w:val="single" w:color="000000" w:sz="4" w:space="0"/>
            </w:tcBorders>
            <w:vAlign w:val="center"/>
          </w:tcPr>
          <w:p w14:paraId="723F66C3">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68.86</w:t>
            </w:r>
          </w:p>
        </w:tc>
      </w:tr>
    </w:tbl>
    <w:p w14:paraId="13F2679E">
      <w:pPr>
        <w:overflowPunct w:val="0"/>
        <w:spacing w:before="240" w:line="480" w:lineRule="auto"/>
        <w:ind w:firstLine="420"/>
        <w:rPr>
          <w:rFonts w:ascii="Arial" w:hAnsi="Arial" w:cs="Arial"/>
          <w:sz w:val="21"/>
          <w:szCs w:val="21"/>
        </w:rPr>
      </w:pPr>
      <w:r>
        <w:rPr>
          <w:rFonts w:ascii="Arial" w:hAnsi="Arial" w:cs="Arial"/>
          <w:sz w:val="21"/>
          <w:szCs w:val="21"/>
        </w:rPr>
        <w:t>注：比准价格＝比较实例年平均租金×（待估房地产交易日期房地产价租赁格指数/可比实例交易日期房地产租赁价格指数）×（待估房地产交易情况指数/可比实例交易情况指数）×（待估房地产区域状况条件指数/可比实例房地产区域状况条件指数）×（待估房地产实物状况条件指数/可比实例房地产实物状况条件指数）</w:t>
      </w:r>
    </w:p>
    <w:p w14:paraId="4BC2877A">
      <w:pPr>
        <w:overflowPunct w:val="0"/>
        <w:spacing w:line="480" w:lineRule="auto"/>
        <w:ind w:firstLine="420"/>
      </w:pPr>
      <w:r>
        <w:rPr>
          <w:rFonts w:ascii="Arial" w:hAnsi="Arial" w:cs="Arial"/>
          <w:sz w:val="21"/>
          <w:szCs w:val="21"/>
        </w:rPr>
        <w:t>（4）影响因素选择实例修正后的价值计算</w:t>
      </w:r>
      <w:r>
        <w:rPr>
          <w:rFonts w:ascii="Arial" w:hAnsi="Arial" w:eastAsia="Arial" w:cs="Arial"/>
          <w:sz w:val="21"/>
          <w:szCs w:val="21"/>
        </w:rPr>
        <w:t xml:space="preserve"> </w:t>
      </w:r>
    </w:p>
    <w:p w14:paraId="6539C054">
      <w:pPr>
        <w:overflowPunct w:val="0"/>
        <w:spacing w:line="480" w:lineRule="auto"/>
        <w:ind w:firstLine="420"/>
        <w:jc w:val="both"/>
      </w:pPr>
      <w:r>
        <w:rPr>
          <w:rFonts w:ascii="Arial" w:hAnsi="Arial" w:cs="Arial"/>
          <w:sz w:val="21"/>
          <w:szCs w:val="21"/>
        </w:rPr>
        <w:t>经过比较分析，采用各因素修正系数连乘法，求算各可比案例经因素修正后达到估价对象条件时的比准价格，虽然有一定的差距，但案例均选取真实，修正过程客观合理，修正后能反映客观水平，因此本次估价确定取以上3个可比案例的比准价格的简单算术平均值作为E18</w:t>
      </w:r>
      <w:r>
        <w:rPr>
          <w:rFonts w:hint="eastAsia" w:ascii="Arial" w:hAnsi="Arial" w:cs="Arial"/>
          <w:sz w:val="21"/>
          <w:szCs w:val="21"/>
        </w:rPr>
        <w:t>亦城景园国际人才公寓（领军人才公寓）</w:t>
      </w:r>
      <w:r>
        <w:rPr>
          <w:rFonts w:ascii="Arial" w:hAnsi="Arial" w:cs="Arial"/>
          <w:sz w:val="21"/>
          <w:szCs w:val="21"/>
        </w:rPr>
        <w:t>项目的评估价格。</w:t>
      </w:r>
    </w:p>
    <w:p w14:paraId="48DBCF9D">
      <w:pPr>
        <w:overflowPunct w:val="0"/>
        <w:spacing w:line="480" w:lineRule="auto"/>
        <w:ind w:firstLine="420"/>
      </w:pPr>
      <w:r>
        <w:rPr>
          <w:rFonts w:ascii="Arial" w:hAnsi="Arial" w:cs="Arial"/>
          <w:sz w:val="21"/>
          <w:szCs w:val="21"/>
        </w:rPr>
        <w:t>即：（</w:t>
      </w:r>
      <w:r>
        <w:rPr>
          <w:rFonts w:hint="eastAsia" w:ascii="Arial" w:hAnsi="Arial" w:cs="Arial"/>
          <w:sz w:val="21"/>
          <w:szCs w:val="21"/>
        </w:rPr>
        <w:t>72.96</w:t>
      </w:r>
      <w:r>
        <w:rPr>
          <w:rFonts w:ascii="Arial" w:hAnsi="Arial" w:cs="Arial"/>
          <w:sz w:val="21"/>
          <w:szCs w:val="21"/>
        </w:rPr>
        <w:t>+6</w:t>
      </w:r>
      <w:r>
        <w:rPr>
          <w:rFonts w:hint="eastAsia" w:ascii="Arial" w:hAnsi="Arial" w:cs="Arial"/>
          <w:sz w:val="21"/>
          <w:szCs w:val="21"/>
        </w:rPr>
        <w:t>6.23</w:t>
      </w:r>
      <w:r>
        <w:rPr>
          <w:rFonts w:ascii="Arial" w:hAnsi="Arial" w:cs="Arial"/>
          <w:sz w:val="21"/>
          <w:szCs w:val="21"/>
        </w:rPr>
        <w:t>+6</w:t>
      </w:r>
      <w:r>
        <w:rPr>
          <w:rFonts w:hint="eastAsia" w:ascii="Arial" w:hAnsi="Arial" w:cs="Arial"/>
          <w:sz w:val="21"/>
          <w:szCs w:val="21"/>
        </w:rPr>
        <w:t>8.86</w:t>
      </w:r>
      <w:r>
        <w:rPr>
          <w:rFonts w:ascii="Arial" w:hAnsi="Arial" w:cs="Arial"/>
          <w:sz w:val="21"/>
          <w:szCs w:val="21"/>
        </w:rPr>
        <w:t>）÷3</w:t>
      </w:r>
    </w:p>
    <w:p w14:paraId="11F82631">
      <w:pPr>
        <w:overflowPunct w:val="0"/>
        <w:spacing w:line="480" w:lineRule="auto"/>
        <w:ind w:firstLine="420"/>
        <w:rPr>
          <w:rFonts w:ascii="Arial" w:hAnsi="Arial" w:cs="Arial"/>
          <w:sz w:val="21"/>
          <w:szCs w:val="21"/>
        </w:rPr>
      </w:pPr>
      <w:r>
        <w:rPr>
          <w:rFonts w:ascii="Arial" w:hAnsi="Arial" w:eastAsia="Arial" w:cs="Arial"/>
          <w:sz w:val="21"/>
          <w:szCs w:val="21"/>
        </w:rPr>
        <w:t xml:space="preserve">  </w:t>
      </w:r>
      <w:r>
        <w:rPr>
          <w:rFonts w:ascii="Arial" w:hAnsi="Arial" w:cs="Arial"/>
          <w:sz w:val="21"/>
          <w:szCs w:val="21"/>
        </w:rPr>
        <w:t>=</w:t>
      </w:r>
      <w:r>
        <w:rPr>
          <w:rFonts w:hint="eastAsia" w:ascii="Arial" w:hAnsi="Arial" w:cs="Arial"/>
          <w:sz w:val="21"/>
          <w:szCs w:val="21"/>
        </w:rPr>
        <w:t>69.35</w:t>
      </w:r>
      <w:r>
        <w:rPr>
          <w:rFonts w:ascii="Arial" w:hAnsi="Arial" w:cs="Arial"/>
          <w:sz w:val="21"/>
          <w:szCs w:val="21"/>
        </w:rPr>
        <w:t>（元/平方米·月）</w:t>
      </w:r>
    </w:p>
    <w:p w14:paraId="1C63EC63">
      <w:pPr>
        <w:overflowPunct w:val="0"/>
        <w:spacing w:line="480" w:lineRule="auto"/>
        <w:ind w:firstLine="420" w:firstLineChars="200"/>
        <w:jc w:val="both"/>
        <w:rPr>
          <w:rFonts w:ascii="Arial" w:hAnsi="Arial"/>
          <w:sz w:val="21"/>
          <w:szCs w:val="21"/>
        </w:rPr>
      </w:pPr>
      <w:r>
        <w:rPr>
          <w:rFonts w:ascii="Arial" w:hAnsi="Arial"/>
          <w:sz w:val="21"/>
          <w:szCs w:val="21"/>
        </w:rPr>
        <w:t>比较法评估估价对象房地产于价值时点过去 12 个月的月平均市场租金水平为</w:t>
      </w:r>
      <w:r>
        <w:rPr>
          <w:rFonts w:hint="eastAsia" w:ascii="Arial" w:hAnsi="Arial"/>
          <w:sz w:val="21"/>
          <w:szCs w:val="21"/>
        </w:rPr>
        <w:t>69.35元/平方米·</w:t>
      </w:r>
      <w:r>
        <w:rPr>
          <w:rFonts w:ascii="Arial" w:hAnsi="Arial"/>
          <w:sz w:val="21"/>
          <w:szCs w:val="21"/>
        </w:rPr>
        <w:t>月</w:t>
      </w:r>
      <w:r>
        <w:rPr>
          <w:rFonts w:hint="eastAsia" w:ascii="Arial" w:hAnsi="Arial"/>
          <w:sz w:val="21"/>
          <w:szCs w:val="21"/>
        </w:rPr>
        <w:t>。</w:t>
      </w:r>
      <w:r>
        <w:rPr>
          <w:rFonts w:ascii="Arial" w:hAnsi="Arial"/>
          <w:sz w:val="21"/>
          <w:szCs w:val="21"/>
        </w:rPr>
        <w:t xml:space="preserve"> </w:t>
      </w:r>
    </w:p>
    <w:p w14:paraId="578FCD0C">
      <w:pPr>
        <w:wordWrap w:val="0"/>
        <w:overflowPunct w:val="0"/>
        <w:spacing w:line="480" w:lineRule="auto"/>
        <w:ind w:firstLine="420" w:firstLineChars="200"/>
        <w:rPr>
          <w:rFonts w:ascii="Arial" w:hAnsi="Arial"/>
          <w:sz w:val="21"/>
          <w:szCs w:val="21"/>
        </w:rPr>
      </w:pPr>
      <w:r>
        <w:rPr>
          <w:rFonts w:hint="eastAsia" w:ascii="Arial" w:hAnsi="Arial"/>
          <w:sz w:val="21"/>
          <w:szCs w:val="21"/>
        </w:rPr>
        <w:t>（5）根据</w:t>
      </w:r>
      <w:r>
        <w:rPr>
          <w:rFonts w:hint="eastAsia" w:ascii="Arial" w:hAnsi="Arial" w:cs="Arial"/>
          <w:color w:val="000000"/>
          <w:sz w:val="21"/>
          <w:szCs w:val="21"/>
        </w:rPr>
        <w:t>领军人才公寓</w:t>
      </w:r>
      <w:r>
        <w:rPr>
          <w:rFonts w:hint="eastAsia" w:ascii="Arial" w:hAnsi="Arial"/>
          <w:sz w:val="21"/>
          <w:szCs w:val="21"/>
        </w:rPr>
        <w:t>标准房租金修后得到杰出</w:t>
      </w:r>
      <w:r>
        <w:rPr>
          <w:rFonts w:hint="eastAsia" w:ascii="Arial" w:hAnsi="Arial" w:cs="Arial"/>
          <w:color w:val="000000"/>
          <w:sz w:val="21"/>
          <w:szCs w:val="21"/>
        </w:rPr>
        <w:t>人才公寓</w:t>
      </w:r>
      <w:r>
        <w:rPr>
          <w:rFonts w:hint="eastAsia" w:ascii="Arial" w:hAnsi="Arial"/>
          <w:sz w:val="21"/>
          <w:szCs w:val="21"/>
        </w:rPr>
        <w:t>租金</w:t>
      </w:r>
    </w:p>
    <w:tbl>
      <w:tblPr>
        <w:tblStyle w:val="33"/>
        <w:tblW w:w="5000" w:type="pct"/>
        <w:jc w:val="center"/>
        <w:tblLayout w:type="autofit"/>
        <w:tblCellMar>
          <w:top w:w="0" w:type="dxa"/>
          <w:left w:w="108" w:type="dxa"/>
          <w:bottom w:w="0" w:type="dxa"/>
          <w:right w:w="108" w:type="dxa"/>
        </w:tblCellMar>
      </w:tblPr>
      <w:tblGrid>
        <w:gridCol w:w="953"/>
        <w:gridCol w:w="1424"/>
        <w:gridCol w:w="2823"/>
        <w:gridCol w:w="720"/>
        <w:gridCol w:w="2880"/>
        <w:gridCol w:w="714"/>
      </w:tblGrid>
      <w:tr w14:paraId="5A034401">
        <w:tblPrEx>
          <w:tblCellMar>
            <w:top w:w="0" w:type="dxa"/>
            <w:left w:w="108" w:type="dxa"/>
            <w:bottom w:w="0" w:type="dxa"/>
            <w:right w:w="108" w:type="dxa"/>
          </w:tblCellMar>
        </w:tblPrEx>
        <w:trPr>
          <w:trHeight w:val="270" w:hRule="atLeast"/>
          <w:jc w:val="center"/>
        </w:trPr>
        <w:tc>
          <w:tcPr>
            <w:tcW w:w="1249" w:type="pct"/>
            <w:gridSpan w:val="2"/>
            <w:tcBorders>
              <w:top w:val="single" w:color="auto" w:sz="4" w:space="0"/>
              <w:left w:val="single" w:color="auto" w:sz="4" w:space="0"/>
              <w:bottom w:val="single" w:color="auto" w:sz="4" w:space="0"/>
              <w:right w:val="single" w:color="auto" w:sz="4" w:space="0"/>
            </w:tcBorders>
            <w:vAlign w:val="center"/>
          </w:tcPr>
          <w:p w14:paraId="4CC37F45">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小区名称</w:t>
            </w:r>
          </w:p>
        </w:tc>
        <w:tc>
          <w:tcPr>
            <w:tcW w:w="1861" w:type="pct"/>
            <w:gridSpan w:val="2"/>
            <w:tcBorders>
              <w:top w:val="single" w:color="auto" w:sz="4" w:space="0"/>
              <w:left w:val="nil"/>
              <w:bottom w:val="single" w:color="auto" w:sz="4" w:space="0"/>
              <w:right w:val="single" w:color="000000" w:sz="4" w:space="0"/>
            </w:tcBorders>
            <w:vAlign w:val="center"/>
          </w:tcPr>
          <w:p w14:paraId="730D5B1E">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领军人才公寓</w:t>
            </w:r>
          </w:p>
        </w:tc>
        <w:tc>
          <w:tcPr>
            <w:tcW w:w="1888" w:type="pct"/>
            <w:gridSpan w:val="2"/>
            <w:tcBorders>
              <w:top w:val="single" w:color="auto" w:sz="4" w:space="0"/>
              <w:left w:val="nil"/>
              <w:bottom w:val="single" w:color="auto" w:sz="4" w:space="0"/>
              <w:right w:val="single" w:color="000000" w:sz="4" w:space="0"/>
            </w:tcBorders>
            <w:vAlign w:val="center"/>
          </w:tcPr>
          <w:p w14:paraId="533E717D">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杰出人才公寓</w:t>
            </w:r>
          </w:p>
        </w:tc>
      </w:tr>
      <w:tr w14:paraId="51589D4D">
        <w:tblPrEx>
          <w:tblCellMar>
            <w:top w:w="0" w:type="dxa"/>
            <w:left w:w="108" w:type="dxa"/>
            <w:bottom w:w="0" w:type="dxa"/>
            <w:right w:w="108" w:type="dxa"/>
          </w:tblCellMar>
        </w:tblPrEx>
        <w:trPr>
          <w:trHeight w:val="303" w:hRule="atLeast"/>
          <w:jc w:val="center"/>
        </w:trPr>
        <w:tc>
          <w:tcPr>
            <w:tcW w:w="1249" w:type="pct"/>
            <w:gridSpan w:val="2"/>
            <w:tcBorders>
              <w:top w:val="single" w:color="auto" w:sz="4" w:space="0"/>
              <w:left w:val="single" w:color="auto" w:sz="4" w:space="0"/>
              <w:bottom w:val="single" w:color="auto" w:sz="4" w:space="0"/>
              <w:right w:val="single" w:color="auto" w:sz="4" w:space="0"/>
            </w:tcBorders>
            <w:vAlign w:val="center"/>
          </w:tcPr>
          <w:p w14:paraId="11C09AAF">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平均租金（元/平方米·月）</w:t>
            </w:r>
          </w:p>
        </w:tc>
        <w:tc>
          <w:tcPr>
            <w:tcW w:w="1861" w:type="pct"/>
            <w:gridSpan w:val="2"/>
            <w:tcBorders>
              <w:top w:val="single" w:color="auto" w:sz="4" w:space="0"/>
              <w:left w:val="nil"/>
              <w:bottom w:val="single" w:color="auto" w:sz="4" w:space="0"/>
              <w:right w:val="single" w:color="000000" w:sz="4" w:space="0"/>
            </w:tcBorders>
            <w:vAlign w:val="center"/>
          </w:tcPr>
          <w:p w14:paraId="48312B19">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69.35</w:t>
            </w:r>
          </w:p>
        </w:tc>
        <w:tc>
          <w:tcPr>
            <w:tcW w:w="1888" w:type="pct"/>
            <w:gridSpan w:val="2"/>
            <w:tcBorders>
              <w:top w:val="single" w:color="auto" w:sz="4" w:space="0"/>
              <w:left w:val="nil"/>
              <w:bottom w:val="single" w:color="auto" w:sz="4" w:space="0"/>
              <w:right w:val="single" w:color="000000" w:sz="4" w:space="0"/>
            </w:tcBorders>
            <w:vAlign w:val="center"/>
          </w:tcPr>
          <w:p w14:paraId="575B9639">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待估</w:t>
            </w:r>
          </w:p>
        </w:tc>
      </w:tr>
      <w:tr w14:paraId="14A773C1">
        <w:tblPrEx>
          <w:tblCellMar>
            <w:top w:w="0" w:type="dxa"/>
            <w:left w:w="108" w:type="dxa"/>
            <w:bottom w:w="0" w:type="dxa"/>
            <w:right w:w="108" w:type="dxa"/>
          </w:tblCellMar>
        </w:tblPrEx>
        <w:trPr>
          <w:trHeight w:val="264" w:hRule="atLeast"/>
          <w:jc w:val="center"/>
        </w:trPr>
        <w:tc>
          <w:tcPr>
            <w:tcW w:w="1249" w:type="pct"/>
            <w:gridSpan w:val="2"/>
            <w:tcBorders>
              <w:top w:val="single" w:color="auto" w:sz="4" w:space="0"/>
              <w:left w:val="single" w:color="auto" w:sz="4" w:space="0"/>
              <w:bottom w:val="single" w:color="auto" w:sz="4" w:space="0"/>
              <w:right w:val="single" w:color="auto" w:sz="4" w:space="0"/>
            </w:tcBorders>
            <w:vAlign w:val="center"/>
          </w:tcPr>
          <w:p w14:paraId="7AECB1B6">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交易时间</w:t>
            </w:r>
          </w:p>
        </w:tc>
        <w:tc>
          <w:tcPr>
            <w:tcW w:w="1483" w:type="pct"/>
            <w:tcBorders>
              <w:top w:val="nil"/>
              <w:left w:val="nil"/>
              <w:bottom w:val="single" w:color="auto" w:sz="4" w:space="0"/>
              <w:right w:val="single" w:color="auto" w:sz="4" w:space="0"/>
            </w:tcBorders>
            <w:vAlign w:val="center"/>
          </w:tcPr>
          <w:p w14:paraId="1FBC4DA3">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于价值时点过去12个月</w:t>
            </w:r>
          </w:p>
        </w:tc>
        <w:tc>
          <w:tcPr>
            <w:tcW w:w="378" w:type="pct"/>
            <w:tcBorders>
              <w:top w:val="nil"/>
              <w:left w:val="nil"/>
              <w:bottom w:val="single" w:color="auto" w:sz="4" w:space="0"/>
              <w:right w:val="single" w:color="auto" w:sz="4" w:space="0"/>
            </w:tcBorders>
            <w:noWrap/>
            <w:vAlign w:val="center"/>
          </w:tcPr>
          <w:p w14:paraId="0A545820">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1513" w:type="pct"/>
            <w:tcBorders>
              <w:top w:val="nil"/>
              <w:left w:val="nil"/>
              <w:bottom w:val="single" w:color="auto" w:sz="4" w:space="0"/>
              <w:right w:val="single" w:color="auto" w:sz="4" w:space="0"/>
            </w:tcBorders>
            <w:vAlign w:val="center"/>
          </w:tcPr>
          <w:p w14:paraId="3F48E81B">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于价值时点过去12个月</w:t>
            </w:r>
          </w:p>
        </w:tc>
        <w:tc>
          <w:tcPr>
            <w:tcW w:w="375" w:type="pct"/>
            <w:tcBorders>
              <w:top w:val="nil"/>
              <w:left w:val="nil"/>
              <w:bottom w:val="single" w:color="auto" w:sz="4" w:space="0"/>
              <w:right w:val="single" w:color="auto" w:sz="4" w:space="0"/>
            </w:tcBorders>
            <w:noWrap/>
            <w:vAlign w:val="center"/>
          </w:tcPr>
          <w:p w14:paraId="725FAD46">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r>
      <w:tr w14:paraId="500AF43D">
        <w:tblPrEx>
          <w:tblCellMar>
            <w:top w:w="0" w:type="dxa"/>
            <w:left w:w="108" w:type="dxa"/>
            <w:bottom w:w="0" w:type="dxa"/>
            <w:right w:w="108" w:type="dxa"/>
          </w:tblCellMar>
        </w:tblPrEx>
        <w:trPr>
          <w:trHeight w:val="270" w:hRule="atLeast"/>
          <w:jc w:val="center"/>
        </w:trPr>
        <w:tc>
          <w:tcPr>
            <w:tcW w:w="1249" w:type="pct"/>
            <w:gridSpan w:val="2"/>
            <w:tcBorders>
              <w:top w:val="single" w:color="auto" w:sz="4" w:space="0"/>
              <w:left w:val="single" w:color="auto" w:sz="4" w:space="0"/>
              <w:bottom w:val="single" w:color="auto" w:sz="4" w:space="0"/>
              <w:right w:val="single" w:color="auto" w:sz="4" w:space="0"/>
            </w:tcBorders>
            <w:vAlign w:val="center"/>
          </w:tcPr>
          <w:p w14:paraId="4883FCBB">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交易情况</w:t>
            </w:r>
          </w:p>
        </w:tc>
        <w:tc>
          <w:tcPr>
            <w:tcW w:w="1483" w:type="pct"/>
            <w:tcBorders>
              <w:top w:val="nil"/>
              <w:left w:val="nil"/>
              <w:bottom w:val="single" w:color="auto" w:sz="4" w:space="0"/>
              <w:right w:val="single" w:color="auto" w:sz="4" w:space="0"/>
            </w:tcBorders>
            <w:vAlign w:val="center"/>
          </w:tcPr>
          <w:p w14:paraId="2840D43B">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正常</w:t>
            </w:r>
          </w:p>
        </w:tc>
        <w:tc>
          <w:tcPr>
            <w:tcW w:w="378" w:type="pct"/>
            <w:tcBorders>
              <w:top w:val="nil"/>
              <w:left w:val="nil"/>
              <w:bottom w:val="single" w:color="auto" w:sz="4" w:space="0"/>
              <w:right w:val="single" w:color="auto" w:sz="4" w:space="0"/>
            </w:tcBorders>
            <w:vAlign w:val="center"/>
          </w:tcPr>
          <w:p w14:paraId="0B5E91C1">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1513" w:type="pct"/>
            <w:tcBorders>
              <w:top w:val="nil"/>
              <w:left w:val="nil"/>
              <w:bottom w:val="single" w:color="auto" w:sz="4" w:space="0"/>
              <w:right w:val="single" w:color="auto" w:sz="4" w:space="0"/>
            </w:tcBorders>
            <w:vAlign w:val="center"/>
          </w:tcPr>
          <w:p w14:paraId="49BD0A71">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正常</w:t>
            </w:r>
          </w:p>
        </w:tc>
        <w:tc>
          <w:tcPr>
            <w:tcW w:w="375" w:type="pct"/>
            <w:tcBorders>
              <w:top w:val="nil"/>
              <w:left w:val="nil"/>
              <w:bottom w:val="single" w:color="auto" w:sz="4" w:space="0"/>
              <w:right w:val="single" w:color="auto" w:sz="4" w:space="0"/>
            </w:tcBorders>
            <w:vAlign w:val="center"/>
          </w:tcPr>
          <w:p w14:paraId="1570F32F">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r>
      <w:tr w14:paraId="722AD681">
        <w:tblPrEx>
          <w:tblCellMar>
            <w:top w:w="0" w:type="dxa"/>
            <w:left w:w="108" w:type="dxa"/>
            <w:bottom w:w="0" w:type="dxa"/>
            <w:right w:w="108" w:type="dxa"/>
          </w:tblCellMar>
        </w:tblPrEx>
        <w:trPr>
          <w:trHeight w:val="893" w:hRule="atLeast"/>
          <w:jc w:val="center"/>
        </w:trPr>
        <w:tc>
          <w:tcPr>
            <w:tcW w:w="501" w:type="pct"/>
            <w:vMerge w:val="restart"/>
            <w:tcBorders>
              <w:top w:val="nil"/>
              <w:left w:val="single" w:color="auto" w:sz="4" w:space="0"/>
              <w:bottom w:val="single" w:color="000000" w:sz="4" w:space="0"/>
              <w:right w:val="single" w:color="auto" w:sz="4" w:space="0"/>
            </w:tcBorders>
            <w:noWrap/>
            <w:vAlign w:val="center"/>
          </w:tcPr>
          <w:p w14:paraId="7697B35D">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区域状况</w:t>
            </w:r>
          </w:p>
        </w:tc>
        <w:tc>
          <w:tcPr>
            <w:tcW w:w="747" w:type="pct"/>
            <w:tcBorders>
              <w:top w:val="nil"/>
              <w:left w:val="nil"/>
              <w:bottom w:val="single" w:color="auto" w:sz="4" w:space="0"/>
              <w:right w:val="single" w:color="auto" w:sz="4" w:space="0"/>
            </w:tcBorders>
            <w:vAlign w:val="center"/>
          </w:tcPr>
          <w:p w14:paraId="74B4D58B">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居住区成熟度</w:t>
            </w:r>
          </w:p>
        </w:tc>
        <w:tc>
          <w:tcPr>
            <w:tcW w:w="1483" w:type="pct"/>
            <w:tcBorders>
              <w:top w:val="nil"/>
              <w:left w:val="nil"/>
              <w:bottom w:val="single" w:color="auto" w:sz="4" w:space="0"/>
              <w:right w:val="single" w:color="auto" w:sz="4" w:space="0"/>
            </w:tcBorders>
            <w:vAlign w:val="center"/>
          </w:tcPr>
          <w:p w14:paraId="16E2E46A">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周边有禧瑞天著、次渠家园、玉江佳园、定海园等居住小区，居住小区规模较大，入住率较高，综合评价居住社区成熟度较好。</w:t>
            </w:r>
          </w:p>
        </w:tc>
        <w:tc>
          <w:tcPr>
            <w:tcW w:w="378" w:type="pct"/>
            <w:tcBorders>
              <w:top w:val="nil"/>
              <w:left w:val="nil"/>
              <w:bottom w:val="single" w:color="auto" w:sz="4" w:space="0"/>
              <w:right w:val="single" w:color="auto" w:sz="4" w:space="0"/>
            </w:tcBorders>
            <w:vAlign w:val="center"/>
          </w:tcPr>
          <w:p w14:paraId="78A1C315">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1513" w:type="pct"/>
            <w:tcBorders>
              <w:top w:val="nil"/>
              <w:left w:val="nil"/>
              <w:bottom w:val="single" w:color="auto" w:sz="4" w:space="0"/>
              <w:right w:val="single" w:color="auto" w:sz="4" w:space="0"/>
            </w:tcBorders>
            <w:vAlign w:val="center"/>
          </w:tcPr>
          <w:p w14:paraId="1861289D">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周边有禧瑞天著、次渠家园、玉江佳园、定海园等居住小区，居住小区规模较大，入住率较高，综合评价居住社区成熟度较好。</w:t>
            </w:r>
          </w:p>
        </w:tc>
        <w:tc>
          <w:tcPr>
            <w:tcW w:w="375" w:type="pct"/>
            <w:tcBorders>
              <w:top w:val="nil"/>
              <w:left w:val="nil"/>
              <w:bottom w:val="single" w:color="auto" w:sz="4" w:space="0"/>
              <w:right w:val="single" w:color="auto" w:sz="4" w:space="0"/>
            </w:tcBorders>
            <w:vAlign w:val="center"/>
          </w:tcPr>
          <w:p w14:paraId="5511CCC3">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r>
      <w:tr w14:paraId="103AA0F6">
        <w:tblPrEx>
          <w:tblCellMar>
            <w:top w:w="0" w:type="dxa"/>
            <w:left w:w="108" w:type="dxa"/>
            <w:bottom w:w="0" w:type="dxa"/>
            <w:right w:w="108" w:type="dxa"/>
          </w:tblCellMar>
        </w:tblPrEx>
        <w:trPr>
          <w:trHeight w:val="2134" w:hRule="atLeast"/>
          <w:jc w:val="center"/>
        </w:trPr>
        <w:tc>
          <w:tcPr>
            <w:tcW w:w="501" w:type="pct"/>
            <w:vMerge w:val="continue"/>
            <w:tcBorders>
              <w:top w:val="nil"/>
              <w:left w:val="single" w:color="auto" w:sz="4" w:space="0"/>
              <w:bottom w:val="single" w:color="000000" w:sz="4" w:space="0"/>
              <w:right w:val="single" w:color="auto" w:sz="4" w:space="0"/>
            </w:tcBorders>
            <w:vAlign w:val="center"/>
          </w:tcPr>
          <w:p w14:paraId="1C994375">
            <w:pPr>
              <w:widowControl/>
              <w:spacing w:line="240" w:lineRule="auto"/>
              <w:jc w:val="center"/>
              <w:textAlignment w:val="auto"/>
              <w:rPr>
                <w:rFonts w:ascii="Arial" w:hAnsi="Arial" w:eastAsia="华文细黑" w:cs="Arial"/>
                <w:sz w:val="18"/>
                <w:szCs w:val="18"/>
              </w:rPr>
            </w:pPr>
          </w:p>
        </w:tc>
        <w:tc>
          <w:tcPr>
            <w:tcW w:w="747" w:type="pct"/>
            <w:tcBorders>
              <w:top w:val="nil"/>
              <w:left w:val="nil"/>
              <w:bottom w:val="single" w:color="auto" w:sz="4" w:space="0"/>
              <w:right w:val="single" w:color="auto" w:sz="4" w:space="0"/>
            </w:tcBorders>
            <w:vAlign w:val="center"/>
          </w:tcPr>
          <w:p w14:paraId="0F6771AD">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交通条件</w:t>
            </w:r>
          </w:p>
        </w:tc>
        <w:tc>
          <w:tcPr>
            <w:tcW w:w="1483" w:type="pct"/>
            <w:tcBorders>
              <w:top w:val="nil"/>
              <w:left w:val="nil"/>
              <w:bottom w:val="single" w:color="auto" w:sz="4" w:space="0"/>
              <w:right w:val="single" w:color="auto" w:sz="4" w:space="0"/>
            </w:tcBorders>
            <w:vAlign w:val="center"/>
          </w:tcPr>
          <w:p w14:paraId="6378B6AD">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所属项目紧邻城市次干道——经海六路，附近有公交车站亦城景园、经海七路南口等，停靠线路有通68路、专159路、专184路、专232路、523路等多条线路及亦庄新城现代有轨电车T1线，周边段道路情况良好，道路通达度较好，综合评价交通便捷度较好。</w:t>
            </w:r>
          </w:p>
        </w:tc>
        <w:tc>
          <w:tcPr>
            <w:tcW w:w="378" w:type="pct"/>
            <w:tcBorders>
              <w:top w:val="nil"/>
              <w:left w:val="nil"/>
              <w:bottom w:val="single" w:color="auto" w:sz="4" w:space="0"/>
              <w:right w:val="single" w:color="auto" w:sz="4" w:space="0"/>
            </w:tcBorders>
            <w:vAlign w:val="center"/>
          </w:tcPr>
          <w:p w14:paraId="59B649B8">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1513" w:type="pct"/>
            <w:tcBorders>
              <w:top w:val="nil"/>
              <w:left w:val="nil"/>
              <w:bottom w:val="single" w:color="auto" w:sz="4" w:space="0"/>
              <w:right w:val="single" w:color="auto" w:sz="4" w:space="0"/>
            </w:tcBorders>
            <w:vAlign w:val="center"/>
          </w:tcPr>
          <w:p w14:paraId="1020A2C1">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所属项目紧邻城市次干道——经海六路，附近有公交车站亦城景园、经海七路南口等，停靠线路有通68路、专159路、专184路、专232路、523路等多条线路及亦庄新城现代有轨电车T1线，周边段道路情况良好，道路通达度较好，综合评价交通便捷度较好。</w:t>
            </w:r>
          </w:p>
        </w:tc>
        <w:tc>
          <w:tcPr>
            <w:tcW w:w="375" w:type="pct"/>
            <w:tcBorders>
              <w:top w:val="nil"/>
              <w:left w:val="nil"/>
              <w:bottom w:val="single" w:color="auto" w:sz="4" w:space="0"/>
              <w:right w:val="single" w:color="auto" w:sz="4" w:space="0"/>
            </w:tcBorders>
            <w:vAlign w:val="center"/>
          </w:tcPr>
          <w:p w14:paraId="71BF8CE6">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r>
      <w:tr w14:paraId="57FC0628">
        <w:tblPrEx>
          <w:tblCellMar>
            <w:top w:w="0" w:type="dxa"/>
            <w:left w:w="108" w:type="dxa"/>
            <w:bottom w:w="0" w:type="dxa"/>
            <w:right w:w="108" w:type="dxa"/>
          </w:tblCellMar>
        </w:tblPrEx>
        <w:trPr>
          <w:trHeight w:val="637" w:hRule="atLeast"/>
          <w:jc w:val="center"/>
        </w:trPr>
        <w:tc>
          <w:tcPr>
            <w:tcW w:w="501" w:type="pct"/>
            <w:vMerge w:val="continue"/>
            <w:tcBorders>
              <w:top w:val="nil"/>
              <w:left w:val="single" w:color="auto" w:sz="4" w:space="0"/>
              <w:bottom w:val="single" w:color="000000" w:sz="4" w:space="0"/>
              <w:right w:val="single" w:color="auto" w:sz="4" w:space="0"/>
            </w:tcBorders>
            <w:vAlign w:val="center"/>
          </w:tcPr>
          <w:p w14:paraId="026238EA">
            <w:pPr>
              <w:widowControl/>
              <w:spacing w:line="240" w:lineRule="auto"/>
              <w:jc w:val="center"/>
              <w:textAlignment w:val="auto"/>
              <w:rPr>
                <w:rFonts w:ascii="Arial" w:hAnsi="Arial" w:eastAsia="华文细黑" w:cs="Arial"/>
                <w:sz w:val="18"/>
                <w:szCs w:val="18"/>
              </w:rPr>
            </w:pPr>
          </w:p>
        </w:tc>
        <w:tc>
          <w:tcPr>
            <w:tcW w:w="747" w:type="pct"/>
            <w:tcBorders>
              <w:top w:val="nil"/>
              <w:left w:val="nil"/>
              <w:bottom w:val="single" w:color="auto" w:sz="4" w:space="0"/>
              <w:right w:val="single" w:color="auto" w:sz="4" w:space="0"/>
            </w:tcBorders>
            <w:vAlign w:val="center"/>
          </w:tcPr>
          <w:p w14:paraId="1D2881BC">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商业设施</w:t>
            </w:r>
          </w:p>
        </w:tc>
        <w:tc>
          <w:tcPr>
            <w:tcW w:w="1483" w:type="pct"/>
            <w:tcBorders>
              <w:top w:val="nil"/>
              <w:left w:val="nil"/>
              <w:bottom w:val="single" w:color="auto" w:sz="4" w:space="0"/>
              <w:right w:val="single" w:color="auto" w:sz="4" w:space="0"/>
            </w:tcBorders>
            <w:vAlign w:val="center"/>
          </w:tcPr>
          <w:p w14:paraId="724F98E2">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周边商业设施以小区配套为主，且数量一般，综合评价商业繁华度一般。</w:t>
            </w:r>
          </w:p>
        </w:tc>
        <w:tc>
          <w:tcPr>
            <w:tcW w:w="378" w:type="pct"/>
            <w:tcBorders>
              <w:top w:val="nil"/>
              <w:left w:val="nil"/>
              <w:bottom w:val="single" w:color="auto" w:sz="4" w:space="0"/>
              <w:right w:val="single" w:color="auto" w:sz="4" w:space="0"/>
            </w:tcBorders>
            <w:vAlign w:val="center"/>
          </w:tcPr>
          <w:p w14:paraId="435D69A2">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1513" w:type="pct"/>
            <w:tcBorders>
              <w:top w:val="nil"/>
              <w:left w:val="nil"/>
              <w:bottom w:val="single" w:color="auto" w:sz="4" w:space="0"/>
              <w:right w:val="single" w:color="auto" w:sz="4" w:space="0"/>
            </w:tcBorders>
            <w:vAlign w:val="center"/>
          </w:tcPr>
          <w:p w14:paraId="6A0E013B">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周边商业设施以小区配套为主，且数量一般，综合评价商业繁华度一般。</w:t>
            </w:r>
          </w:p>
        </w:tc>
        <w:tc>
          <w:tcPr>
            <w:tcW w:w="375" w:type="pct"/>
            <w:tcBorders>
              <w:top w:val="nil"/>
              <w:left w:val="nil"/>
              <w:bottom w:val="single" w:color="auto" w:sz="4" w:space="0"/>
              <w:right w:val="single" w:color="auto" w:sz="4" w:space="0"/>
            </w:tcBorders>
            <w:vAlign w:val="center"/>
          </w:tcPr>
          <w:p w14:paraId="2BE97D1C">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r>
      <w:tr w14:paraId="72E613DC">
        <w:tblPrEx>
          <w:tblCellMar>
            <w:top w:w="0" w:type="dxa"/>
            <w:left w:w="108" w:type="dxa"/>
            <w:bottom w:w="0" w:type="dxa"/>
            <w:right w:w="108" w:type="dxa"/>
          </w:tblCellMar>
        </w:tblPrEx>
        <w:trPr>
          <w:trHeight w:val="972" w:hRule="atLeast"/>
          <w:jc w:val="center"/>
        </w:trPr>
        <w:tc>
          <w:tcPr>
            <w:tcW w:w="501" w:type="pct"/>
            <w:vMerge w:val="continue"/>
            <w:tcBorders>
              <w:top w:val="nil"/>
              <w:left w:val="single" w:color="auto" w:sz="4" w:space="0"/>
              <w:bottom w:val="single" w:color="000000" w:sz="4" w:space="0"/>
              <w:right w:val="single" w:color="auto" w:sz="4" w:space="0"/>
            </w:tcBorders>
            <w:vAlign w:val="center"/>
          </w:tcPr>
          <w:p w14:paraId="3320CD08">
            <w:pPr>
              <w:widowControl/>
              <w:spacing w:line="240" w:lineRule="auto"/>
              <w:jc w:val="center"/>
              <w:textAlignment w:val="auto"/>
              <w:rPr>
                <w:rFonts w:ascii="Arial" w:hAnsi="Arial" w:eastAsia="华文细黑" w:cs="Arial"/>
                <w:sz w:val="18"/>
                <w:szCs w:val="18"/>
              </w:rPr>
            </w:pPr>
          </w:p>
        </w:tc>
        <w:tc>
          <w:tcPr>
            <w:tcW w:w="747" w:type="pct"/>
            <w:tcBorders>
              <w:top w:val="nil"/>
              <w:left w:val="nil"/>
              <w:bottom w:val="single" w:color="auto" w:sz="4" w:space="0"/>
              <w:right w:val="single" w:color="auto" w:sz="4" w:space="0"/>
            </w:tcBorders>
            <w:vAlign w:val="center"/>
          </w:tcPr>
          <w:p w14:paraId="0DFD1A0A">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自然环境</w:t>
            </w:r>
          </w:p>
        </w:tc>
        <w:tc>
          <w:tcPr>
            <w:tcW w:w="1483" w:type="pct"/>
            <w:tcBorders>
              <w:top w:val="nil"/>
              <w:left w:val="nil"/>
              <w:bottom w:val="single" w:color="auto" w:sz="4" w:space="0"/>
              <w:right w:val="single" w:color="auto" w:sz="4" w:space="0"/>
            </w:tcBorders>
            <w:vAlign w:val="center"/>
          </w:tcPr>
          <w:p w14:paraId="396B82C4">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临近通惠北灌渠河、南侧临近通明湖公园，周边无高等教育学校或博物馆等人文场所，综合评价环境状况一般。</w:t>
            </w:r>
          </w:p>
        </w:tc>
        <w:tc>
          <w:tcPr>
            <w:tcW w:w="378" w:type="pct"/>
            <w:tcBorders>
              <w:top w:val="nil"/>
              <w:left w:val="nil"/>
              <w:bottom w:val="single" w:color="auto" w:sz="4" w:space="0"/>
              <w:right w:val="single" w:color="auto" w:sz="4" w:space="0"/>
            </w:tcBorders>
            <w:vAlign w:val="center"/>
          </w:tcPr>
          <w:p w14:paraId="27EFEA17">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1513" w:type="pct"/>
            <w:tcBorders>
              <w:top w:val="nil"/>
              <w:left w:val="nil"/>
              <w:bottom w:val="single" w:color="auto" w:sz="4" w:space="0"/>
              <w:right w:val="single" w:color="auto" w:sz="4" w:space="0"/>
            </w:tcBorders>
            <w:vAlign w:val="center"/>
          </w:tcPr>
          <w:p w14:paraId="7B6A2624">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临近通惠北灌渠河、南侧临近通明湖公园，周边无高等教育学校或博物馆等人文场所，综合评价环境状况一般。</w:t>
            </w:r>
          </w:p>
        </w:tc>
        <w:tc>
          <w:tcPr>
            <w:tcW w:w="375" w:type="pct"/>
            <w:tcBorders>
              <w:top w:val="nil"/>
              <w:left w:val="nil"/>
              <w:bottom w:val="single" w:color="auto" w:sz="4" w:space="0"/>
              <w:right w:val="single" w:color="auto" w:sz="4" w:space="0"/>
            </w:tcBorders>
            <w:vAlign w:val="center"/>
          </w:tcPr>
          <w:p w14:paraId="5A5F8DEA">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r>
      <w:tr w14:paraId="2171C346">
        <w:tblPrEx>
          <w:tblCellMar>
            <w:top w:w="0" w:type="dxa"/>
            <w:left w:w="108" w:type="dxa"/>
            <w:bottom w:w="0" w:type="dxa"/>
            <w:right w:w="108" w:type="dxa"/>
          </w:tblCellMar>
        </w:tblPrEx>
        <w:trPr>
          <w:trHeight w:val="550" w:hRule="atLeast"/>
          <w:jc w:val="center"/>
        </w:trPr>
        <w:tc>
          <w:tcPr>
            <w:tcW w:w="501" w:type="pct"/>
            <w:vMerge w:val="continue"/>
            <w:tcBorders>
              <w:top w:val="nil"/>
              <w:left w:val="single" w:color="auto" w:sz="4" w:space="0"/>
              <w:bottom w:val="single" w:color="auto" w:sz="4" w:space="0"/>
              <w:right w:val="single" w:color="auto" w:sz="4" w:space="0"/>
            </w:tcBorders>
            <w:vAlign w:val="center"/>
          </w:tcPr>
          <w:p w14:paraId="514A30A3">
            <w:pPr>
              <w:widowControl/>
              <w:spacing w:line="240" w:lineRule="auto"/>
              <w:jc w:val="center"/>
              <w:textAlignment w:val="auto"/>
              <w:rPr>
                <w:rFonts w:ascii="Arial" w:hAnsi="Arial" w:eastAsia="华文细黑" w:cs="Arial"/>
                <w:sz w:val="18"/>
                <w:szCs w:val="18"/>
              </w:rPr>
            </w:pPr>
          </w:p>
        </w:tc>
        <w:tc>
          <w:tcPr>
            <w:tcW w:w="747" w:type="pct"/>
            <w:tcBorders>
              <w:top w:val="nil"/>
              <w:left w:val="nil"/>
              <w:bottom w:val="single" w:color="auto" w:sz="4" w:space="0"/>
              <w:right w:val="single" w:color="auto" w:sz="4" w:space="0"/>
            </w:tcBorders>
            <w:vAlign w:val="center"/>
          </w:tcPr>
          <w:p w14:paraId="144C23A6">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公共配套</w:t>
            </w:r>
          </w:p>
        </w:tc>
        <w:tc>
          <w:tcPr>
            <w:tcW w:w="1483" w:type="pct"/>
            <w:tcBorders>
              <w:top w:val="nil"/>
              <w:left w:val="nil"/>
              <w:bottom w:val="single" w:color="auto" w:sz="4" w:space="0"/>
              <w:right w:val="single" w:color="auto" w:sz="4" w:space="0"/>
            </w:tcBorders>
            <w:vAlign w:val="center"/>
          </w:tcPr>
          <w:p w14:paraId="0BE4EC1B">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区域内银行、超市学校、餐饮、医院等公共配套设施较齐全。</w:t>
            </w:r>
          </w:p>
        </w:tc>
        <w:tc>
          <w:tcPr>
            <w:tcW w:w="378" w:type="pct"/>
            <w:tcBorders>
              <w:top w:val="nil"/>
              <w:left w:val="nil"/>
              <w:bottom w:val="single" w:color="auto" w:sz="4" w:space="0"/>
              <w:right w:val="single" w:color="auto" w:sz="4" w:space="0"/>
            </w:tcBorders>
            <w:vAlign w:val="center"/>
          </w:tcPr>
          <w:p w14:paraId="1D245C9F">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1513" w:type="pct"/>
            <w:tcBorders>
              <w:top w:val="nil"/>
              <w:left w:val="nil"/>
              <w:bottom w:val="single" w:color="auto" w:sz="4" w:space="0"/>
              <w:right w:val="single" w:color="auto" w:sz="4" w:space="0"/>
            </w:tcBorders>
            <w:vAlign w:val="center"/>
          </w:tcPr>
          <w:p w14:paraId="387FD5F2">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区域内银行、超市学校、餐饮、医院等公共配套设施较齐全。</w:t>
            </w:r>
          </w:p>
        </w:tc>
        <w:tc>
          <w:tcPr>
            <w:tcW w:w="375" w:type="pct"/>
            <w:tcBorders>
              <w:top w:val="nil"/>
              <w:left w:val="nil"/>
              <w:bottom w:val="single" w:color="auto" w:sz="4" w:space="0"/>
              <w:right w:val="single" w:color="auto" w:sz="4" w:space="0"/>
            </w:tcBorders>
            <w:vAlign w:val="center"/>
          </w:tcPr>
          <w:p w14:paraId="2A9B565D">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r>
      <w:tr w14:paraId="5466BCDC">
        <w:tblPrEx>
          <w:tblCellMar>
            <w:top w:w="0" w:type="dxa"/>
            <w:left w:w="108" w:type="dxa"/>
            <w:bottom w:w="0" w:type="dxa"/>
            <w:right w:w="108" w:type="dxa"/>
          </w:tblCellMar>
        </w:tblPrEx>
        <w:trPr>
          <w:trHeight w:val="480" w:hRule="atLeast"/>
          <w:jc w:val="center"/>
        </w:trPr>
        <w:tc>
          <w:tcPr>
            <w:tcW w:w="501" w:type="pct"/>
            <w:vMerge w:val="restart"/>
            <w:tcBorders>
              <w:top w:val="single" w:color="auto" w:sz="4" w:space="0"/>
              <w:left w:val="single" w:color="auto" w:sz="4" w:space="0"/>
              <w:bottom w:val="single" w:color="auto" w:sz="4" w:space="0"/>
              <w:right w:val="single" w:color="auto" w:sz="4" w:space="0"/>
            </w:tcBorders>
            <w:noWrap/>
            <w:vAlign w:val="center"/>
          </w:tcPr>
          <w:p w14:paraId="61420D1F">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实物状况</w:t>
            </w:r>
          </w:p>
        </w:tc>
        <w:tc>
          <w:tcPr>
            <w:tcW w:w="747" w:type="pct"/>
            <w:tcBorders>
              <w:top w:val="single" w:color="auto" w:sz="4" w:space="0"/>
              <w:left w:val="nil"/>
              <w:bottom w:val="single" w:color="auto" w:sz="4" w:space="0"/>
              <w:right w:val="single" w:color="auto" w:sz="4" w:space="0"/>
            </w:tcBorders>
            <w:vAlign w:val="center"/>
          </w:tcPr>
          <w:p w14:paraId="2FFA7A51">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物业服务</w:t>
            </w:r>
          </w:p>
        </w:tc>
        <w:tc>
          <w:tcPr>
            <w:tcW w:w="1483" w:type="pct"/>
            <w:tcBorders>
              <w:top w:val="nil"/>
              <w:left w:val="nil"/>
              <w:bottom w:val="single" w:color="auto" w:sz="4" w:space="0"/>
              <w:right w:val="single" w:color="auto" w:sz="4" w:space="0"/>
            </w:tcBorders>
            <w:vAlign w:val="center"/>
          </w:tcPr>
          <w:p w14:paraId="7B34A745">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有专业物业公司，物业服务保障好。</w:t>
            </w:r>
          </w:p>
        </w:tc>
        <w:tc>
          <w:tcPr>
            <w:tcW w:w="378" w:type="pct"/>
            <w:tcBorders>
              <w:top w:val="nil"/>
              <w:left w:val="nil"/>
              <w:bottom w:val="single" w:color="auto" w:sz="4" w:space="0"/>
              <w:right w:val="single" w:color="auto" w:sz="4" w:space="0"/>
            </w:tcBorders>
            <w:vAlign w:val="center"/>
          </w:tcPr>
          <w:p w14:paraId="71ABF356">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1513" w:type="pct"/>
            <w:tcBorders>
              <w:top w:val="nil"/>
              <w:left w:val="nil"/>
              <w:bottom w:val="single" w:color="auto" w:sz="4" w:space="0"/>
              <w:right w:val="single" w:color="auto" w:sz="4" w:space="0"/>
            </w:tcBorders>
            <w:vAlign w:val="center"/>
          </w:tcPr>
          <w:p w14:paraId="049DDE08">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有专业物业公司，物业服务保障好。</w:t>
            </w:r>
          </w:p>
        </w:tc>
        <w:tc>
          <w:tcPr>
            <w:tcW w:w="375" w:type="pct"/>
            <w:tcBorders>
              <w:top w:val="nil"/>
              <w:left w:val="nil"/>
              <w:bottom w:val="single" w:color="auto" w:sz="4" w:space="0"/>
              <w:right w:val="single" w:color="auto" w:sz="4" w:space="0"/>
            </w:tcBorders>
            <w:vAlign w:val="center"/>
          </w:tcPr>
          <w:p w14:paraId="0FDBC722">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r>
      <w:tr w14:paraId="6157FD9E">
        <w:tblPrEx>
          <w:tblCellMar>
            <w:top w:w="0" w:type="dxa"/>
            <w:left w:w="108" w:type="dxa"/>
            <w:bottom w:w="0" w:type="dxa"/>
            <w:right w:w="108" w:type="dxa"/>
          </w:tblCellMar>
        </w:tblPrEx>
        <w:trPr>
          <w:trHeight w:val="211" w:hRule="atLeast"/>
          <w:jc w:val="center"/>
        </w:trPr>
        <w:tc>
          <w:tcPr>
            <w:tcW w:w="501" w:type="pct"/>
            <w:vMerge w:val="continue"/>
            <w:tcBorders>
              <w:top w:val="single" w:color="auto" w:sz="4" w:space="0"/>
              <w:left w:val="single" w:color="auto" w:sz="4" w:space="0"/>
              <w:bottom w:val="single" w:color="auto" w:sz="4" w:space="0"/>
              <w:right w:val="single" w:color="auto" w:sz="4" w:space="0"/>
            </w:tcBorders>
            <w:vAlign w:val="center"/>
          </w:tcPr>
          <w:p w14:paraId="010EA9A8">
            <w:pPr>
              <w:widowControl/>
              <w:spacing w:line="240" w:lineRule="auto"/>
              <w:jc w:val="center"/>
              <w:textAlignment w:val="auto"/>
              <w:rPr>
                <w:rFonts w:ascii="Arial" w:hAnsi="Arial" w:eastAsia="华文细黑" w:cs="Arial"/>
                <w:sz w:val="18"/>
                <w:szCs w:val="18"/>
              </w:rPr>
            </w:pPr>
          </w:p>
        </w:tc>
        <w:tc>
          <w:tcPr>
            <w:tcW w:w="747" w:type="pct"/>
            <w:tcBorders>
              <w:top w:val="single" w:color="auto" w:sz="4" w:space="0"/>
              <w:left w:val="nil"/>
              <w:bottom w:val="single" w:color="auto" w:sz="4" w:space="0"/>
              <w:right w:val="single" w:color="auto" w:sz="4" w:space="0"/>
            </w:tcBorders>
            <w:vAlign w:val="center"/>
          </w:tcPr>
          <w:p w14:paraId="73907B87">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小区环境</w:t>
            </w:r>
          </w:p>
        </w:tc>
        <w:tc>
          <w:tcPr>
            <w:tcW w:w="1483" w:type="pct"/>
            <w:tcBorders>
              <w:top w:val="nil"/>
              <w:left w:val="nil"/>
              <w:bottom w:val="single" w:color="auto" w:sz="4" w:space="0"/>
              <w:right w:val="single" w:color="auto" w:sz="4" w:space="0"/>
            </w:tcBorders>
            <w:vAlign w:val="center"/>
          </w:tcPr>
          <w:p w14:paraId="5DA6690B">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绿化率约为30%，较好</w:t>
            </w:r>
          </w:p>
        </w:tc>
        <w:tc>
          <w:tcPr>
            <w:tcW w:w="378" w:type="pct"/>
            <w:tcBorders>
              <w:top w:val="nil"/>
              <w:left w:val="nil"/>
              <w:bottom w:val="single" w:color="auto" w:sz="4" w:space="0"/>
              <w:right w:val="single" w:color="auto" w:sz="4" w:space="0"/>
            </w:tcBorders>
            <w:vAlign w:val="center"/>
          </w:tcPr>
          <w:p w14:paraId="269F8BAF">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1513" w:type="pct"/>
            <w:tcBorders>
              <w:top w:val="nil"/>
              <w:left w:val="nil"/>
              <w:bottom w:val="single" w:color="auto" w:sz="4" w:space="0"/>
              <w:right w:val="single" w:color="auto" w:sz="4" w:space="0"/>
            </w:tcBorders>
            <w:vAlign w:val="center"/>
          </w:tcPr>
          <w:p w14:paraId="12E776E0">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绿化率约为32%，较好</w:t>
            </w:r>
          </w:p>
        </w:tc>
        <w:tc>
          <w:tcPr>
            <w:tcW w:w="375" w:type="pct"/>
            <w:tcBorders>
              <w:top w:val="nil"/>
              <w:left w:val="nil"/>
              <w:bottom w:val="single" w:color="auto" w:sz="4" w:space="0"/>
              <w:right w:val="single" w:color="auto" w:sz="4" w:space="0"/>
            </w:tcBorders>
            <w:vAlign w:val="center"/>
          </w:tcPr>
          <w:p w14:paraId="4FBC4BFA">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r>
      <w:tr w14:paraId="51F08040">
        <w:tblPrEx>
          <w:tblCellMar>
            <w:top w:w="0" w:type="dxa"/>
            <w:left w:w="108" w:type="dxa"/>
            <w:bottom w:w="0" w:type="dxa"/>
            <w:right w:w="108" w:type="dxa"/>
          </w:tblCellMar>
        </w:tblPrEx>
        <w:trPr>
          <w:trHeight w:val="244" w:hRule="atLeast"/>
          <w:jc w:val="center"/>
        </w:trPr>
        <w:tc>
          <w:tcPr>
            <w:tcW w:w="501" w:type="pct"/>
            <w:vMerge w:val="continue"/>
            <w:tcBorders>
              <w:top w:val="single" w:color="auto" w:sz="4" w:space="0"/>
              <w:left w:val="single" w:color="auto" w:sz="4" w:space="0"/>
              <w:bottom w:val="single" w:color="auto" w:sz="4" w:space="0"/>
              <w:right w:val="single" w:color="auto" w:sz="4" w:space="0"/>
            </w:tcBorders>
            <w:vAlign w:val="center"/>
          </w:tcPr>
          <w:p w14:paraId="3AC924DC">
            <w:pPr>
              <w:widowControl/>
              <w:spacing w:line="240" w:lineRule="auto"/>
              <w:jc w:val="center"/>
              <w:textAlignment w:val="auto"/>
              <w:rPr>
                <w:rFonts w:ascii="Arial" w:hAnsi="Arial" w:eastAsia="华文细黑" w:cs="Arial"/>
                <w:sz w:val="18"/>
                <w:szCs w:val="18"/>
              </w:rPr>
            </w:pPr>
          </w:p>
        </w:tc>
        <w:tc>
          <w:tcPr>
            <w:tcW w:w="747" w:type="pct"/>
            <w:tcBorders>
              <w:top w:val="single" w:color="auto" w:sz="4" w:space="0"/>
              <w:left w:val="nil"/>
              <w:bottom w:val="single" w:color="auto" w:sz="4" w:space="0"/>
              <w:right w:val="single" w:color="auto" w:sz="4" w:space="0"/>
            </w:tcBorders>
            <w:vAlign w:val="center"/>
          </w:tcPr>
          <w:p w14:paraId="67DFB94B">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配套设施</w:t>
            </w:r>
          </w:p>
        </w:tc>
        <w:tc>
          <w:tcPr>
            <w:tcW w:w="1483" w:type="pct"/>
            <w:tcBorders>
              <w:top w:val="nil"/>
              <w:left w:val="nil"/>
              <w:bottom w:val="single" w:color="auto" w:sz="4" w:space="0"/>
              <w:right w:val="single" w:color="auto" w:sz="4" w:space="0"/>
            </w:tcBorders>
            <w:vAlign w:val="center"/>
          </w:tcPr>
          <w:p w14:paraId="11A52D43">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配备健身房、活动空间、医疗站</w:t>
            </w:r>
          </w:p>
        </w:tc>
        <w:tc>
          <w:tcPr>
            <w:tcW w:w="378" w:type="pct"/>
            <w:tcBorders>
              <w:top w:val="nil"/>
              <w:left w:val="nil"/>
              <w:bottom w:val="single" w:color="auto" w:sz="4" w:space="0"/>
              <w:right w:val="single" w:color="auto" w:sz="4" w:space="0"/>
            </w:tcBorders>
            <w:vAlign w:val="center"/>
          </w:tcPr>
          <w:p w14:paraId="03027BC1">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1513" w:type="pct"/>
            <w:tcBorders>
              <w:top w:val="nil"/>
              <w:left w:val="nil"/>
              <w:bottom w:val="single" w:color="auto" w:sz="4" w:space="0"/>
              <w:right w:val="single" w:color="auto" w:sz="4" w:space="0"/>
            </w:tcBorders>
            <w:vAlign w:val="center"/>
          </w:tcPr>
          <w:p w14:paraId="73BC9383">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配备健身房、活动空间、医疗站</w:t>
            </w:r>
          </w:p>
        </w:tc>
        <w:tc>
          <w:tcPr>
            <w:tcW w:w="375" w:type="pct"/>
            <w:tcBorders>
              <w:top w:val="nil"/>
              <w:left w:val="nil"/>
              <w:bottom w:val="single" w:color="auto" w:sz="4" w:space="0"/>
              <w:right w:val="single" w:color="auto" w:sz="4" w:space="0"/>
            </w:tcBorders>
            <w:vAlign w:val="center"/>
          </w:tcPr>
          <w:p w14:paraId="58664BE9">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r>
      <w:tr w14:paraId="39A7BD39">
        <w:tblPrEx>
          <w:tblCellMar>
            <w:top w:w="0" w:type="dxa"/>
            <w:left w:w="108" w:type="dxa"/>
            <w:bottom w:w="0" w:type="dxa"/>
            <w:right w:w="108" w:type="dxa"/>
          </w:tblCellMar>
        </w:tblPrEx>
        <w:trPr>
          <w:trHeight w:val="559" w:hRule="atLeast"/>
          <w:jc w:val="center"/>
        </w:trPr>
        <w:tc>
          <w:tcPr>
            <w:tcW w:w="501" w:type="pct"/>
            <w:vMerge w:val="continue"/>
            <w:tcBorders>
              <w:top w:val="single" w:color="auto" w:sz="4" w:space="0"/>
              <w:left w:val="single" w:color="auto" w:sz="4" w:space="0"/>
              <w:bottom w:val="single" w:color="auto" w:sz="4" w:space="0"/>
              <w:right w:val="single" w:color="auto" w:sz="4" w:space="0"/>
            </w:tcBorders>
            <w:vAlign w:val="center"/>
          </w:tcPr>
          <w:p w14:paraId="3C54C2C7">
            <w:pPr>
              <w:widowControl/>
              <w:spacing w:line="240" w:lineRule="auto"/>
              <w:jc w:val="center"/>
              <w:textAlignment w:val="auto"/>
              <w:rPr>
                <w:rFonts w:ascii="Arial" w:hAnsi="Arial" w:eastAsia="华文细黑" w:cs="Arial"/>
                <w:sz w:val="18"/>
                <w:szCs w:val="18"/>
              </w:rPr>
            </w:pPr>
          </w:p>
        </w:tc>
        <w:tc>
          <w:tcPr>
            <w:tcW w:w="747" w:type="pct"/>
            <w:tcBorders>
              <w:top w:val="single" w:color="auto" w:sz="4" w:space="0"/>
              <w:left w:val="nil"/>
              <w:bottom w:val="single" w:color="auto" w:sz="4" w:space="0"/>
              <w:right w:val="single" w:color="auto" w:sz="4" w:space="0"/>
            </w:tcBorders>
            <w:vAlign w:val="center"/>
          </w:tcPr>
          <w:p w14:paraId="507A7BCC">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居住管理</w:t>
            </w:r>
          </w:p>
        </w:tc>
        <w:tc>
          <w:tcPr>
            <w:tcW w:w="1483" w:type="pct"/>
            <w:tcBorders>
              <w:top w:val="nil"/>
              <w:left w:val="nil"/>
              <w:bottom w:val="single" w:color="auto" w:sz="4" w:space="0"/>
              <w:right w:val="single" w:color="auto" w:sz="4" w:space="0"/>
            </w:tcBorders>
            <w:vAlign w:val="center"/>
          </w:tcPr>
          <w:p w14:paraId="40C5803F">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配备专业管理人员，数量充足，居住管理好</w:t>
            </w:r>
          </w:p>
        </w:tc>
        <w:tc>
          <w:tcPr>
            <w:tcW w:w="378" w:type="pct"/>
            <w:tcBorders>
              <w:top w:val="nil"/>
              <w:left w:val="nil"/>
              <w:bottom w:val="single" w:color="auto" w:sz="4" w:space="0"/>
              <w:right w:val="single" w:color="auto" w:sz="4" w:space="0"/>
            </w:tcBorders>
            <w:vAlign w:val="center"/>
          </w:tcPr>
          <w:p w14:paraId="3910CBD4">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1513" w:type="pct"/>
            <w:tcBorders>
              <w:top w:val="nil"/>
              <w:left w:val="nil"/>
              <w:bottom w:val="single" w:color="auto" w:sz="4" w:space="0"/>
              <w:right w:val="single" w:color="auto" w:sz="4" w:space="0"/>
            </w:tcBorders>
            <w:vAlign w:val="center"/>
          </w:tcPr>
          <w:p w14:paraId="18718CCB">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配备专业管理人员，数量充足，居住管理好</w:t>
            </w:r>
          </w:p>
        </w:tc>
        <w:tc>
          <w:tcPr>
            <w:tcW w:w="375" w:type="pct"/>
            <w:tcBorders>
              <w:top w:val="nil"/>
              <w:left w:val="nil"/>
              <w:bottom w:val="single" w:color="auto" w:sz="4" w:space="0"/>
              <w:right w:val="single" w:color="auto" w:sz="4" w:space="0"/>
            </w:tcBorders>
            <w:vAlign w:val="center"/>
          </w:tcPr>
          <w:p w14:paraId="542B5B21">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r>
      <w:tr w14:paraId="37D95595">
        <w:tblPrEx>
          <w:tblCellMar>
            <w:top w:w="0" w:type="dxa"/>
            <w:left w:w="108" w:type="dxa"/>
            <w:bottom w:w="0" w:type="dxa"/>
            <w:right w:w="108" w:type="dxa"/>
          </w:tblCellMar>
        </w:tblPrEx>
        <w:trPr>
          <w:trHeight w:val="99" w:hRule="atLeast"/>
          <w:jc w:val="center"/>
        </w:trPr>
        <w:tc>
          <w:tcPr>
            <w:tcW w:w="501" w:type="pct"/>
            <w:vMerge w:val="continue"/>
            <w:tcBorders>
              <w:top w:val="single" w:color="auto" w:sz="4" w:space="0"/>
              <w:left w:val="single" w:color="auto" w:sz="4" w:space="0"/>
              <w:bottom w:val="single" w:color="auto" w:sz="4" w:space="0"/>
              <w:right w:val="single" w:color="auto" w:sz="4" w:space="0"/>
            </w:tcBorders>
            <w:vAlign w:val="center"/>
          </w:tcPr>
          <w:p w14:paraId="75559D50">
            <w:pPr>
              <w:widowControl/>
              <w:spacing w:line="240" w:lineRule="auto"/>
              <w:jc w:val="center"/>
              <w:textAlignment w:val="auto"/>
              <w:rPr>
                <w:rFonts w:ascii="Arial" w:hAnsi="Arial" w:eastAsia="华文细黑" w:cs="Arial"/>
                <w:sz w:val="18"/>
                <w:szCs w:val="18"/>
              </w:rPr>
            </w:pPr>
          </w:p>
        </w:tc>
        <w:tc>
          <w:tcPr>
            <w:tcW w:w="747" w:type="pct"/>
            <w:tcBorders>
              <w:top w:val="single" w:color="auto" w:sz="4" w:space="0"/>
              <w:left w:val="nil"/>
              <w:bottom w:val="single" w:color="auto" w:sz="4" w:space="0"/>
              <w:right w:val="single" w:color="auto" w:sz="4" w:space="0"/>
            </w:tcBorders>
            <w:vAlign w:val="center"/>
          </w:tcPr>
          <w:p w14:paraId="29018609">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朝向</w:t>
            </w:r>
          </w:p>
        </w:tc>
        <w:tc>
          <w:tcPr>
            <w:tcW w:w="1483" w:type="pct"/>
            <w:tcBorders>
              <w:top w:val="nil"/>
              <w:left w:val="nil"/>
              <w:bottom w:val="single" w:color="auto" w:sz="4" w:space="0"/>
              <w:right w:val="single" w:color="auto" w:sz="4" w:space="0"/>
            </w:tcBorders>
            <w:vAlign w:val="center"/>
          </w:tcPr>
          <w:p w14:paraId="7B3F1DF4">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南</w:t>
            </w:r>
          </w:p>
        </w:tc>
        <w:tc>
          <w:tcPr>
            <w:tcW w:w="378" w:type="pct"/>
            <w:tcBorders>
              <w:top w:val="nil"/>
              <w:left w:val="nil"/>
              <w:bottom w:val="single" w:color="auto" w:sz="4" w:space="0"/>
              <w:right w:val="single" w:color="auto" w:sz="4" w:space="0"/>
            </w:tcBorders>
            <w:vAlign w:val="center"/>
          </w:tcPr>
          <w:p w14:paraId="2C0CABA2">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1513" w:type="pct"/>
            <w:tcBorders>
              <w:top w:val="nil"/>
              <w:left w:val="nil"/>
              <w:bottom w:val="single" w:color="auto" w:sz="4" w:space="0"/>
              <w:right w:val="single" w:color="auto" w:sz="4" w:space="0"/>
            </w:tcBorders>
            <w:vAlign w:val="center"/>
          </w:tcPr>
          <w:p w14:paraId="6C5091A8">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南北</w:t>
            </w:r>
          </w:p>
        </w:tc>
        <w:tc>
          <w:tcPr>
            <w:tcW w:w="375" w:type="pct"/>
            <w:tcBorders>
              <w:top w:val="nil"/>
              <w:left w:val="nil"/>
              <w:bottom w:val="single" w:color="auto" w:sz="4" w:space="0"/>
              <w:right w:val="single" w:color="auto" w:sz="4" w:space="0"/>
            </w:tcBorders>
            <w:vAlign w:val="center"/>
          </w:tcPr>
          <w:p w14:paraId="286F41B0">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102</w:t>
            </w:r>
          </w:p>
        </w:tc>
      </w:tr>
      <w:tr w14:paraId="2707D6D8">
        <w:tblPrEx>
          <w:tblCellMar>
            <w:top w:w="0" w:type="dxa"/>
            <w:left w:w="108" w:type="dxa"/>
            <w:bottom w:w="0" w:type="dxa"/>
            <w:right w:w="108" w:type="dxa"/>
          </w:tblCellMar>
        </w:tblPrEx>
        <w:trPr>
          <w:trHeight w:val="251" w:hRule="atLeast"/>
          <w:jc w:val="center"/>
        </w:trPr>
        <w:tc>
          <w:tcPr>
            <w:tcW w:w="501" w:type="pct"/>
            <w:vMerge w:val="continue"/>
            <w:tcBorders>
              <w:top w:val="single" w:color="auto" w:sz="4" w:space="0"/>
              <w:left w:val="single" w:color="auto" w:sz="4" w:space="0"/>
              <w:bottom w:val="single" w:color="auto" w:sz="4" w:space="0"/>
              <w:right w:val="single" w:color="auto" w:sz="4" w:space="0"/>
            </w:tcBorders>
            <w:vAlign w:val="center"/>
          </w:tcPr>
          <w:p w14:paraId="3FE71E36">
            <w:pPr>
              <w:widowControl/>
              <w:spacing w:line="240" w:lineRule="auto"/>
              <w:jc w:val="center"/>
              <w:textAlignment w:val="auto"/>
              <w:rPr>
                <w:rFonts w:ascii="Arial" w:hAnsi="Arial" w:eastAsia="华文细黑" w:cs="Arial"/>
                <w:sz w:val="18"/>
                <w:szCs w:val="18"/>
              </w:rPr>
            </w:pPr>
          </w:p>
        </w:tc>
        <w:tc>
          <w:tcPr>
            <w:tcW w:w="747" w:type="pct"/>
            <w:tcBorders>
              <w:top w:val="single" w:color="auto" w:sz="4" w:space="0"/>
              <w:left w:val="nil"/>
              <w:bottom w:val="single" w:color="auto" w:sz="4" w:space="0"/>
              <w:right w:val="single" w:color="auto" w:sz="4" w:space="0"/>
            </w:tcBorders>
            <w:vAlign w:val="center"/>
          </w:tcPr>
          <w:p w14:paraId="32BF8E06">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户型</w:t>
            </w:r>
          </w:p>
        </w:tc>
        <w:tc>
          <w:tcPr>
            <w:tcW w:w="1483" w:type="pct"/>
            <w:tcBorders>
              <w:top w:val="nil"/>
              <w:left w:val="nil"/>
              <w:bottom w:val="single" w:color="auto" w:sz="4" w:space="0"/>
              <w:right w:val="single" w:color="auto" w:sz="4" w:space="0"/>
            </w:tcBorders>
            <w:vAlign w:val="center"/>
          </w:tcPr>
          <w:p w14:paraId="0A334522">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主力户型为两居室</w:t>
            </w:r>
          </w:p>
        </w:tc>
        <w:tc>
          <w:tcPr>
            <w:tcW w:w="378" w:type="pct"/>
            <w:tcBorders>
              <w:top w:val="nil"/>
              <w:left w:val="nil"/>
              <w:bottom w:val="single" w:color="auto" w:sz="4" w:space="0"/>
              <w:right w:val="single" w:color="auto" w:sz="4" w:space="0"/>
            </w:tcBorders>
            <w:vAlign w:val="center"/>
          </w:tcPr>
          <w:p w14:paraId="40A0A40F">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1513" w:type="pct"/>
            <w:tcBorders>
              <w:top w:val="nil"/>
              <w:left w:val="nil"/>
              <w:bottom w:val="single" w:color="auto" w:sz="4" w:space="0"/>
              <w:right w:val="single" w:color="auto" w:sz="4" w:space="0"/>
            </w:tcBorders>
            <w:vAlign w:val="center"/>
          </w:tcPr>
          <w:p w14:paraId="19ED35DE">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主力户型为一居室</w:t>
            </w:r>
          </w:p>
        </w:tc>
        <w:tc>
          <w:tcPr>
            <w:tcW w:w="375" w:type="pct"/>
            <w:tcBorders>
              <w:top w:val="nil"/>
              <w:left w:val="nil"/>
              <w:bottom w:val="single" w:color="auto" w:sz="4" w:space="0"/>
              <w:right w:val="single" w:color="auto" w:sz="4" w:space="0"/>
            </w:tcBorders>
            <w:vAlign w:val="center"/>
          </w:tcPr>
          <w:p w14:paraId="4E3FFD03">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101</w:t>
            </w:r>
          </w:p>
        </w:tc>
      </w:tr>
      <w:tr w14:paraId="51123C4C">
        <w:tblPrEx>
          <w:tblCellMar>
            <w:top w:w="0" w:type="dxa"/>
            <w:left w:w="108" w:type="dxa"/>
            <w:bottom w:w="0" w:type="dxa"/>
            <w:right w:w="108" w:type="dxa"/>
          </w:tblCellMar>
        </w:tblPrEx>
        <w:trPr>
          <w:trHeight w:val="397" w:hRule="atLeast"/>
          <w:jc w:val="center"/>
        </w:trPr>
        <w:tc>
          <w:tcPr>
            <w:tcW w:w="501" w:type="pct"/>
            <w:vMerge w:val="continue"/>
            <w:tcBorders>
              <w:top w:val="single" w:color="auto" w:sz="4" w:space="0"/>
              <w:left w:val="single" w:color="auto" w:sz="4" w:space="0"/>
              <w:bottom w:val="single" w:color="auto" w:sz="4" w:space="0"/>
              <w:right w:val="single" w:color="auto" w:sz="4" w:space="0"/>
            </w:tcBorders>
            <w:vAlign w:val="center"/>
          </w:tcPr>
          <w:p w14:paraId="1C5A910F">
            <w:pPr>
              <w:widowControl/>
              <w:spacing w:line="240" w:lineRule="auto"/>
              <w:jc w:val="center"/>
              <w:textAlignment w:val="auto"/>
              <w:rPr>
                <w:rFonts w:ascii="Arial" w:hAnsi="Arial" w:eastAsia="华文细黑" w:cs="Arial"/>
                <w:sz w:val="18"/>
                <w:szCs w:val="18"/>
              </w:rPr>
            </w:pPr>
          </w:p>
        </w:tc>
        <w:tc>
          <w:tcPr>
            <w:tcW w:w="747" w:type="pct"/>
            <w:tcBorders>
              <w:top w:val="single" w:color="auto" w:sz="4" w:space="0"/>
              <w:left w:val="nil"/>
              <w:bottom w:val="single" w:color="auto" w:sz="4" w:space="0"/>
              <w:right w:val="single" w:color="auto" w:sz="4" w:space="0"/>
            </w:tcBorders>
            <w:vAlign w:val="center"/>
          </w:tcPr>
          <w:p w14:paraId="18F0864A">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装修</w:t>
            </w:r>
          </w:p>
        </w:tc>
        <w:tc>
          <w:tcPr>
            <w:tcW w:w="1483" w:type="pct"/>
            <w:tcBorders>
              <w:top w:val="nil"/>
              <w:left w:val="nil"/>
              <w:bottom w:val="single" w:color="auto" w:sz="4" w:space="0"/>
              <w:right w:val="single" w:color="auto" w:sz="4" w:space="0"/>
            </w:tcBorders>
            <w:vAlign w:val="center"/>
          </w:tcPr>
          <w:p w14:paraId="1B6B7FBE">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简单装修</w:t>
            </w:r>
          </w:p>
        </w:tc>
        <w:tc>
          <w:tcPr>
            <w:tcW w:w="378" w:type="pct"/>
            <w:tcBorders>
              <w:top w:val="nil"/>
              <w:left w:val="nil"/>
              <w:bottom w:val="single" w:color="auto" w:sz="4" w:space="0"/>
              <w:right w:val="single" w:color="auto" w:sz="4" w:space="0"/>
            </w:tcBorders>
            <w:vAlign w:val="center"/>
          </w:tcPr>
          <w:p w14:paraId="0DE63BEE">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1513" w:type="pct"/>
            <w:tcBorders>
              <w:top w:val="nil"/>
              <w:left w:val="nil"/>
              <w:bottom w:val="single" w:color="auto" w:sz="4" w:space="0"/>
              <w:right w:val="single" w:color="auto" w:sz="4" w:space="0"/>
            </w:tcBorders>
            <w:vAlign w:val="center"/>
          </w:tcPr>
          <w:p w14:paraId="63273194">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精装修</w:t>
            </w:r>
          </w:p>
        </w:tc>
        <w:tc>
          <w:tcPr>
            <w:tcW w:w="375" w:type="pct"/>
            <w:tcBorders>
              <w:top w:val="nil"/>
              <w:left w:val="nil"/>
              <w:bottom w:val="single" w:color="auto" w:sz="4" w:space="0"/>
              <w:right w:val="single" w:color="auto" w:sz="4" w:space="0"/>
            </w:tcBorders>
            <w:vAlign w:val="center"/>
          </w:tcPr>
          <w:p w14:paraId="50CE95D4">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105</w:t>
            </w:r>
          </w:p>
        </w:tc>
      </w:tr>
      <w:tr w14:paraId="37455C26">
        <w:tblPrEx>
          <w:tblCellMar>
            <w:top w:w="0" w:type="dxa"/>
            <w:left w:w="108" w:type="dxa"/>
            <w:bottom w:w="0" w:type="dxa"/>
            <w:right w:w="108" w:type="dxa"/>
          </w:tblCellMar>
        </w:tblPrEx>
        <w:trPr>
          <w:trHeight w:val="347" w:hRule="atLeast"/>
          <w:jc w:val="center"/>
        </w:trPr>
        <w:tc>
          <w:tcPr>
            <w:tcW w:w="501" w:type="pct"/>
            <w:vMerge w:val="continue"/>
            <w:tcBorders>
              <w:top w:val="single" w:color="auto" w:sz="4" w:space="0"/>
              <w:left w:val="single" w:color="auto" w:sz="4" w:space="0"/>
              <w:bottom w:val="single" w:color="auto" w:sz="4" w:space="0"/>
              <w:right w:val="single" w:color="auto" w:sz="4" w:space="0"/>
            </w:tcBorders>
            <w:vAlign w:val="center"/>
          </w:tcPr>
          <w:p w14:paraId="6A359A5D">
            <w:pPr>
              <w:widowControl/>
              <w:spacing w:line="240" w:lineRule="auto"/>
              <w:jc w:val="center"/>
              <w:textAlignment w:val="auto"/>
              <w:rPr>
                <w:rFonts w:ascii="Arial" w:hAnsi="Arial" w:eastAsia="华文细黑" w:cs="Arial"/>
                <w:sz w:val="18"/>
                <w:szCs w:val="18"/>
              </w:rPr>
            </w:pPr>
          </w:p>
        </w:tc>
        <w:tc>
          <w:tcPr>
            <w:tcW w:w="747" w:type="pct"/>
            <w:tcBorders>
              <w:top w:val="single" w:color="auto" w:sz="4" w:space="0"/>
              <w:left w:val="nil"/>
              <w:bottom w:val="single" w:color="auto" w:sz="4" w:space="0"/>
              <w:right w:val="single" w:color="auto" w:sz="4" w:space="0"/>
            </w:tcBorders>
            <w:vAlign w:val="center"/>
          </w:tcPr>
          <w:p w14:paraId="32832FD5">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设备</w:t>
            </w:r>
          </w:p>
        </w:tc>
        <w:tc>
          <w:tcPr>
            <w:tcW w:w="1483" w:type="pct"/>
            <w:tcBorders>
              <w:top w:val="nil"/>
              <w:left w:val="nil"/>
              <w:bottom w:val="single" w:color="auto" w:sz="4" w:space="0"/>
              <w:right w:val="single" w:color="auto" w:sz="4" w:space="0"/>
            </w:tcBorders>
            <w:vAlign w:val="center"/>
          </w:tcPr>
          <w:p w14:paraId="0F21193C">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配备全新家具、家电；功能正常，质量有保证，好</w:t>
            </w:r>
          </w:p>
        </w:tc>
        <w:tc>
          <w:tcPr>
            <w:tcW w:w="378" w:type="pct"/>
            <w:tcBorders>
              <w:top w:val="nil"/>
              <w:left w:val="nil"/>
              <w:bottom w:val="single" w:color="auto" w:sz="4" w:space="0"/>
              <w:right w:val="single" w:color="auto" w:sz="4" w:space="0"/>
            </w:tcBorders>
            <w:vAlign w:val="center"/>
          </w:tcPr>
          <w:p w14:paraId="2A712155">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1513" w:type="pct"/>
            <w:tcBorders>
              <w:top w:val="nil"/>
              <w:left w:val="nil"/>
              <w:bottom w:val="single" w:color="auto" w:sz="4" w:space="0"/>
              <w:right w:val="single" w:color="auto" w:sz="4" w:space="0"/>
            </w:tcBorders>
            <w:vAlign w:val="center"/>
          </w:tcPr>
          <w:p w14:paraId="40A5DB19">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配备全新家具、家电；功能正常，质量有保证，好</w:t>
            </w:r>
          </w:p>
        </w:tc>
        <w:tc>
          <w:tcPr>
            <w:tcW w:w="375" w:type="pct"/>
            <w:tcBorders>
              <w:top w:val="nil"/>
              <w:left w:val="nil"/>
              <w:bottom w:val="single" w:color="auto" w:sz="4" w:space="0"/>
              <w:right w:val="single" w:color="auto" w:sz="4" w:space="0"/>
            </w:tcBorders>
            <w:vAlign w:val="center"/>
          </w:tcPr>
          <w:p w14:paraId="13AE5C45">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r>
      <w:tr w14:paraId="45ABE22A">
        <w:tblPrEx>
          <w:tblCellMar>
            <w:top w:w="0" w:type="dxa"/>
            <w:left w:w="108" w:type="dxa"/>
            <w:bottom w:w="0" w:type="dxa"/>
            <w:right w:w="108" w:type="dxa"/>
          </w:tblCellMar>
        </w:tblPrEx>
        <w:trPr>
          <w:trHeight w:val="216" w:hRule="atLeast"/>
          <w:jc w:val="center"/>
        </w:trPr>
        <w:tc>
          <w:tcPr>
            <w:tcW w:w="1249" w:type="pct"/>
            <w:gridSpan w:val="2"/>
            <w:tcBorders>
              <w:top w:val="single" w:color="auto" w:sz="4" w:space="0"/>
              <w:left w:val="single" w:color="auto" w:sz="4" w:space="0"/>
              <w:bottom w:val="single" w:color="auto" w:sz="4" w:space="0"/>
              <w:right w:val="single" w:color="auto" w:sz="4" w:space="0"/>
            </w:tcBorders>
            <w:vAlign w:val="center"/>
          </w:tcPr>
          <w:p w14:paraId="5D2D9DC0">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比较价值（元/平米）</w:t>
            </w:r>
          </w:p>
        </w:tc>
        <w:tc>
          <w:tcPr>
            <w:tcW w:w="1861" w:type="pct"/>
            <w:gridSpan w:val="2"/>
            <w:tcBorders>
              <w:top w:val="single" w:color="auto" w:sz="4" w:space="0"/>
              <w:left w:val="nil"/>
              <w:bottom w:val="single" w:color="auto" w:sz="4" w:space="0"/>
              <w:right w:val="single" w:color="auto" w:sz="4" w:space="0"/>
            </w:tcBorders>
            <w:vAlign w:val="center"/>
          </w:tcPr>
          <w:p w14:paraId="61C1C3B2">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69.35</w:t>
            </w:r>
          </w:p>
        </w:tc>
        <w:tc>
          <w:tcPr>
            <w:tcW w:w="1888" w:type="pct"/>
            <w:gridSpan w:val="2"/>
            <w:tcBorders>
              <w:top w:val="single" w:color="auto" w:sz="4" w:space="0"/>
              <w:left w:val="nil"/>
              <w:bottom w:val="single" w:color="auto" w:sz="4" w:space="0"/>
              <w:right w:val="single" w:color="auto" w:sz="4" w:space="0"/>
            </w:tcBorders>
            <w:vAlign w:val="center"/>
          </w:tcPr>
          <w:p w14:paraId="6ECC3471">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75.02</w:t>
            </w:r>
          </w:p>
        </w:tc>
      </w:tr>
    </w:tbl>
    <w:p w14:paraId="5504C29F">
      <w:pPr>
        <w:overflowPunct w:val="0"/>
        <w:spacing w:before="240" w:beforeLines="100" w:line="480" w:lineRule="auto"/>
        <w:ind w:firstLine="420"/>
        <w:rPr>
          <w:rFonts w:ascii="Arial" w:hAnsi="Arial" w:cs="Arial"/>
          <w:sz w:val="21"/>
          <w:szCs w:val="21"/>
        </w:rPr>
      </w:pPr>
      <w:r>
        <w:rPr>
          <w:rFonts w:ascii="Arial" w:hAnsi="Arial" w:cs="Arial"/>
          <w:sz w:val="21"/>
          <w:szCs w:val="21"/>
        </w:rPr>
        <w:t>根据估价委托人介绍，估价对象</w:t>
      </w:r>
      <w:r>
        <w:rPr>
          <w:rFonts w:ascii="Arial" w:hAnsi="Arial" w:cs="Arial"/>
          <w:kern w:val="2"/>
          <w:sz w:val="21"/>
          <w:szCs w:val="21"/>
        </w:rPr>
        <w:t>E18</w:t>
      </w:r>
      <w:r>
        <w:rPr>
          <w:rFonts w:hint="eastAsia" w:ascii="Arial" w:hAnsi="Arial" w:cs="Arial"/>
          <w:kern w:val="2"/>
          <w:sz w:val="21"/>
          <w:szCs w:val="21"/>
        </w:rPr>
        <w:t>亦城景园国际人才公寓</w:t>
      </w:r>
      <w:r>
        <w:rPr>
          <w:rFonts w:ascii="Arial" w:hAnsi="Arial" w:cs="Arial"/>
          <w:kern w:val="2"/>
          <w:sz w:val="21"/>
          <w:szCs w:val="21"/>
        </w:rPr>
        <w:t>项目</w:t>
      </w:r>
      <w:r>
        <w:rPr>
          <w:rFonts w:ascii="Arial" w:hAnsi="Arial" w:cs="Arial"/>
          <w:color w:val="000000"/>
          <w:sz w:val="21"/>
          <w:szCs w:val="21"/>
        </w:rPr>
        <w:t>物业费7.6元/平方米•月，</w:t>
      </w:r>
      <w:r>
        <w:rPr>
          <w:rFonts w:ascii="Arial" w:hAnsi="Arial" w:cs="Arial"/>
          <w:kern w:val="2"/>
          <w:sz w:val="21"/>
          <w:szCs w:val="21"/>
        </w:rPr>
        <w:t>故，</w:t>
      </w:r>
      <w:r>
        <w:rPr>
          <w:rFonts w:ascii="Arial" w:hAnsi="Arial" w:cs="Arial"/>
          <w:sz w:val="21"/>
          <w:szCs w:val="21"/>
        </w:rPr>
        <w:t>估价对象于价值时点</w:t>
      </w:r>
      <w:r>
        <w:rPr>
          <w:rFonts w:hint="eastAsia" w:ascii="Arial" w:hAnsi="Arial" w:cs="Arial"/>
          <w:sz w:val="21"/>
          <w:szCs w:val="21"/>
        </w:rPr>
        <w:t>2025年10月1日</w:t>
      </w:r>
      <w:r>
        <w:rPr>
          <w:rFonts w:ascii="Arial" w:hAnsi="Arial" w:cs="Arial"/>
          <w:sz w:val="21"/>
          <w:szCs w:val="21"/>
        </w:rPr>
        <w:t>前一年内（</w:t>
      </w:r>
      <w:r>
        <w:rPr>
          <w:rFonts w:hint="eastAsia" w:ascii="Arial" w:hAnsi="Arial" w:cs="Arial"/>
          <w:sz w:val="21"/>
          <w:szCs w:val="21"/>
        </w:rPr>
        <w:t>2024年10月1日至2025年9月30日</w:t>
      </w:r>
      <w:r>
        <w:rPr>
          <w:rFonts w:ascii="Arial" w:hAnsi="Arial" w:cs="Arial"/>
          <w:sz w:val="21"/>
          <w:szCs w:val="21"/>
        </w:rPr>
        <w:t>）的月平均市场租金水平：</w:t>
      </w:r>
    </w:p>
    <w:p w14:paraId="0764910E">
      <w:pPr>
        <w:wordWrap w:val="0"/>
        <w:overflowPunct w:val="0"/>
        <w:spacing w:line="480" w:lineRule="auto"/>
        <w:ind w:firstLine="420" w:firstLineChars="200"/>
        <w:rPr>
          <w:rFonts w:ascii="Arial" w:hAnsi="Arial" w:cs="Arial"/>
          <w:color w:val="000000"/>
          <w:sz w:val="21"/>
          <w:szCs w:val="21"/>
        </w:rPr>
      </w:pPr>
      <w:r>
        <w:rPr>
          <w:rFonts w:hint="eastAsia" w:ascii="Arial" w:hAnsi="Arial" w:cs="Arial"/>
          <w:color w:val="000000"/>
          <w:sz w:val="21"/>
          <w:szCs w:val="21"/>
        </w:rPr>
        <w:t xml:space="preserve"> 领军人才公寓平均租金=69.35</w:t>
      </w:r>
      <w:r>
        <w:rPr>
          <w:rFonts w:ascii="Arial" w:hAnsi="Arial" w:cs="Arial"/>
          <w:color w:val="000000"/>
          <w:sz w:val="21"/>
          <w:szCs w:val="21"/>
        </w:rPr>
        <w:t>+</w:t>
      </w:r>
      <w:r>
        <w:rPr>
          <w:rFonts w:hint="eastAsia" w:ascii="Arial" w:hAnsi="Arial" w:cs="Arial"/>
          <w:color w:val="000000"/>
          <w:sz w:val="21"/>
          <w:szCs w:val="21"/>
        </w:rPr>
        <w:t>7.6</w:t>
      </w:r>
    </w:p>
    <w:p w14:paraId="6E083768">
      <w:pPr>
        <w:wordWrap w:val="0"/>
        <w:overflowPunct w:val="0"/>
        <w:spacing w:line="480" w:lineRule="auto"/>
        <w:ind w:firstLine="1890" w:firstLineChars="900"/>
        <w:rPr>
          <w:rFonts w:ascii="Arial" w:hAnsi="Arial" w:cs="Arial"/>
          <w:kern w:val="2"/>
          <w:sz w:val="21"/>
          <w:szCs w:val="21"/>
        </w:rPr>
      </w:pPr>
      <w:r>
        <w:rPr>
          <w:rFonts w:hint="eastAsia" w:ascii="Arial" w:hAnsi="Arial" w:cs="Arial"/>
          <w:color w:val="000000"/>
          <w:sz w:val="21"/>
          <w:szCs w:val="21"/>
        </w:rPr>
        <w:t xml:space="preserve"> </w:t>
      </w:r>
      <w:r>
        <w:rPr>
          <w:rFonts w:hint="eastAsia" w:ascii="Arial" w:hAnsi="Arial"/>
          <w:sz w:val="21"/>
          <w:szCs w:val="21"/>
        </w:rPr>
        <w:t xml:space="preserve"> </w:t>
      </w:r>
      <w:r>
        <w:rPr>
          <w:rFonts w:ascii="Arial" w:hAnsi="Arial"/>
          <w:sz w:val="21"/>
          <w:szCs w:val="21"/>
        </w:rPr>
        <w:t xml:space="preserve">  </w:t>
      </w:r>
      <w:r>
        <w:rPr>
          <w:rFonts w:hint="eastAsia" w:ascii="Arial" w:hAnsi="Arial"/>
          <w:sz w:val="21"/>
          <w:szCs w:val="21"/>
        </w:rPr>
        <w:t xml:space="preserve">       </w:t>
      </w:r>
      <w:r>
        <w:rPr>
          <w:rFonts w:hint="eastAsia" w:ascii="Arial" w:hAnsi="Arial" w:cs="Arial"/>
          <w:color w:val="000000"/>
          <w:sz w:val="21"/>
          <w:szCs w:val="21"/>
        </w:rPr>
        <w:t>=76.95（元/平方米•月）</w:t>
      </w:r>
    </w:p>
    <w:p w14:paraId="3051BFAE">
      <w:pPr>
        <w:wordWrap w:val="0"/>
        <w:overflowPunct w:val="0"/>
        <w:spacing w:line="480" w:lineRule="auto"/>
        <w:ind w:firstLine="420" w:firstLineChars="200"/>
        <w:rPr>
          <w:rFonts w:ascii="Arial" w:hAnsi="Arial" w:cs="Arial"/>
          <w:color w:val="000000"/>
          <w:sz w:val="21"/>
          <w:szCs w:val="21"/>
        </w:rPr>
      </w:pPr>
      <w:r>
        <w:rPr>
          <w:rFonts w:hint="eastAsia" w:ascii="Arial" w:hAnsi="Arial" w:cs="Arial"/>
          <w:color w:val="000000"/>
          <w:sz w:val="21"/>
          <w:szCs w:val="21"/>
        </w:rPr>
        <w:t>杰出人才公寓平均租金=75.02</w:t>
      </w:r>
      <w:r>
        <w:rPr>
          <w:rFonts w:ascii="Arial" w:hAnsi="Arial" w:cs="Arial"/>
          <w:color w:val="000000"/>
          <w:sz w:val="21"/>
          <w:szCs w:val="21"/>
        </w:rPr>
        <w:t>+</w:t>
      </w:r>
      <w:r>
        <w:rPr>
          <w:rFonts w:hint="eastAsia" w:ascii="Arial" w:hAnsi="Arial" w:cs="Arial"/>
          <w:color w:val="000000"/>
          <w:sz w:val="21"/>
          <w:szCs w:val="21"/>
        </w:rPr>
        <w:t>7.6</w:t>
      </w:r>
    </w:p>
    <w:p w14:paraId="2B10312D">
      <w:pPr>
        <w:wordWrap w:val="0"/>
        <w:overflowPunct w:val="0"/>
        <w:spacing w:line="480" w:lineRule="auto"/>
        <w:ind w:firstLine="420" w:firstLineChars="200"/>
        <w:rPr>
          <w:rFonts w:ascii="Arial" w:hAnsi="Arial"/>
          <w:sz w:val="21"/>
        </w:rPr>
      </w:pPr>
      <w:r>
        <w:rPr>
          <w:rFonts w:hint="eastAsia" w:ascii="Arial" w:hAnsi="Arial" w:cs="Arial"/>
          <w:color w:val="000000"/>
          <w:sz w:val="21"/>
          <w:szCs w:val="21"/>
        </w:rPr>
        <w:t xml:space="preserve"> </w:t>
      </w:r>
      <w:r>
        <w:rPr>
          <w:rFonts w:hint="eastAsia" w:ascii="Arial" w:hAnsi="Arial"/>
          <w:sz w:val="21"/>
          <w:szCs w:val="21"/>
        </w:rPr>
        <w:t xml:space="preserve"> </w:t>
      </w:r>
      <w:r>
        <w:rPr>
          <w:rFonts w:ascii="Arial" w:hAnsi="Arial"/>
          <w:sz w:val="21"/>
          <w:szCs w:val="21"/>
        </w:rPr>
        <w:t xml:space="preserve">              </w:t>
      </w:r>
      <w:r>
        <w:rPr>
          <w:rFonts w:hint="eastAsia" w:ascii="Arial" w:hAnsi="Arial"/>
          <w:sz w:val="21"/>
          <w:szCs w:val="21"/>
        </w:rPr>
        <w:t xml:space="preserve">                  </w:t>
      </w:r>
      <w:r>
        <w:rPr>
          <w:rFonts w:ascii="Arial" w:hAnsi="Arial"/>
          <w:sz w:val="21"/>
          <w:szCs w:val="21"/>
        </w:rPr>
        <w:t xml:space="preserve">  </w:t>
      </w:r>
      <w:r>
        <w:rPr>
          <w:rFonts w:hint="eastAsia" w:ascii="Arial" w:hAnsi="Arial" w:cs="Arial"/>
          <w:color w:val="000000"/>
          <w:sz w:val="21"/>
          <w:szCs w:val="21"/>
        </w:rPr>
        <w:t>=82.62（元/平方米•月）</w:t>
      </w:r>
    </w:p>
    <w:p w14:paraId="43EBD865">
      <w:pPr>
        <w:overflowPunct w:val="0"/>
        <w:spacing w:line="480" w:lineRule="auto"/>
        <w:ind w:firstLine="420"/>
        <w:rPr>
          <w:rFonts w:ascii="Arial" w:hAnsi="Arial" w:cs="Arial"/>
          <w:b/>
          <w:kern w:val="2"/>
          <w:sz w:val="21"/>
          <w:szCs w:val="21"/>
        </w:rPr>
      </w:pPr>
    </w:p>
    <w:p w14:paraId="4C2FCEB6">
      <w:pPr>
        <w:rPr>
          <w:kern w:val="2"/>
          <w:sz w:val="21"/>
          <w:szCs w:val="21"/>
        </w:rPr>
      </w:pPr>
      <w:bookmarkStart w:id="39" w:name="_Toc155340504"/>
      <w:r>
        <w:rPr>
          <w:kern w:val="2"/>
          <w:sz w:val="21"/>
          <w:szCs w:val="21"/>
        </w:rPr>
        <w:br w:type="page"/>
      </w:r>
    </w:p>
    <w:p w14:paraId="43E28369">
      <w:pPr>
        <w:pStyle w:val="3"/>
        <w:numPr>
          <w:ilvl w:val="0"/>
          <w:numId w:val="0"/>
        </w:numPr>
        <w:spacing w:line="480" w:lineRule="auto"/>
        <w:ind w:left="357" w:hanging="357"/>
        <w:jc w:val="both"/>
        <w:rPr>
          <w:rFonts w:eastAsia="宋体;SimSun"/>
          <w:kern w:val="2"/>
          <w:sz w:val="21"/>
          <w:szCs w:val="21"/>
        </w:rPr>
      </w:pPr>
      <w:r>
        <w:rPr>
          <w:rFonts w:eastAsia="宋体;SimSun"/>
          <w:kern w:val="2"/>
          <w:sz w:val="21"/>
          <w:szCs w:val="21"/>
        </w:rPr>
        <w:t>六、估价结果确定</w:t>
      </w:r>
      <w:bookmarkEnd w:id="39"/>
    </w:p>
    <w:p w14:paraId="17E5C680">
      <w:pPr>
        <w:overflowPunct w:val="0"/>
        <w:spacing w:line="480" w:lineRule="auto"/>
        <w:ind w:firstLine="420"/>
        <w:jc w:val="both"/>
        <w:textAlignment w:val="auto"/>
        <w:rPr>
          <w:rFonts w:ascii="Arial" w:hAnsi="Arial" w:cs="Arial"/>
          <w:sz w:val="21"/>
          <w:szCs w:val="21"/>
        </w:rPr>
      </w:pPr>
      <w:r>
        <w:rPr>
          <w:rFonts w:ascii="Arial" w:hAnsi="Arial" w:cs="Arial"/>
          <w:sz w:val="21"/>
          <w:szCs w:val="21"/>
        </w:rPr>
        <w:t>评估专业人员根据估价的目的，遵循估价原则，按照估价的程序，采用科学的估价方法，在认真分析现有资料的基础上，通过仔细测算和认真分析各种影响房地产租赁价格的因素，最终确定估价对象同地块、同类型普通住宅房地产于价值时点</w:t>
      </w:r>
      <w:r>
        <w:rPr>
          <w:rFonts w:hint="eastAsia" w:ascii="Arial" w:hAnsi="Arial" w:cs="Arial"/>
          <w:sz w:val="21"/>
          <w:szCs w:val="21"/>
        </w:rPr>
        <w:t>2025年10月1日</w:t>
      </w:r>
      <w:r>
        <w:rPr>
          <w:rFonts w:ascii="Arial" w:hAnsi="Arial" w:cs="Arial"/>
          <w:sz w:val="21"/>
          <w:szCs w:val="21"/>
        </w:rPr>
        <w:t>前一年内（</w:t>
      </w:r>
      <w:r>
        <w:rPr>
          <w:rFonts w:hint="eastAsia" w:ascii="Arial" w:hAnsi="Arial" w:cs="Arial"/>
          <w:sz w:val="21"/>
          <w:szCs w:val="21"/>
        </w:rPr>
        <w:t>2024年10月1日至2025年9月30日</w:t>
      </w:r>
      <w:r>
        <w:rPr>
          <w:rFonts w:ascii="Arial" w:hAnsi="Arial" w:cs="Arial"/>
          <w:sz w:val="21"/>
          <w:szCs w:val="21"/>
        </w:rPr>
        <w:t>）平均市场租金水平为：</w:t>
      </w:r>
      <w:r>
        <w:rPr>
          <w:rFonts w:ascii="Arial" w:hAnsi="Arial" w:eastAsia="Arial" w:cs="Arial"/>
          <w:sz w:val="21"/>
          <w:szCs w:val="21"/>
        </w:rPr>
        <w:t xml:space="preserve"> </w:t>
      </w:r>
    </w:p>
    <w:p w14:paraId="20FCEF8A">
      <w:pPr>
        <w:overflowPunct w:val="0"/>
        <w:spacing w:line="480" w:lineRule="auto"/>
        <w:ind w:firstLine="422" w:firstLineChars="200"/>
        <w:textAlignment w:val="auto"/>
        <w:rPr>
          <w:rFonts w:ascii="Arial" w:hAnsi="Arial" w:cs="Arial"/>
          <w:b/>
          <w:bCs/>
          <w:sz w:val="21"/>
          <w:szCs w:val="21"/>
        </w:rPr>
      </w:pPr>
      <w:r>
        <w:rPr>
          <w:rFonts w:hint="eastAsia" w:ascii="Arial" w:hAnsi="Arial" w:cs="Arial"/>
          <w:b/>
          <w:bCs/>
          <w:sz w:val="21"/>
          <w:szCs w:val="21"/>
        </w:rPr>
        <w:t>区域租金单价： 领军人才公寓：76.95元/平方米·月（货币种类：人民币）</w:t>
      </w:r>
    </w:p>
    <w:p w14:paraId="43484468">
      <w:pPr>
        <w:overflowPunct w:val="0"/>
        <w:spacing w:line="480" w:lineRule="auto"/>
        <w:ind w:firstLine="1897" w:firstLineChars="900"/>
        <w:textAlignment w:val="auto"/>
        <w:rPr>
          <w:rFonts w:ascii="Arial" w:hAnsi="Arial" w:cs="Arial"/>
          <w:b/>
          <w:bCs/>
          <w:sz w:val="21"/>
          <w:szCs w:val="21"/>
        </w:rPr>
      </w:pPr>
      <w:r>
        <w:rPr>
          <w:rFonts w:hint="eastAsia" w:ascii="Arial" w:hAnsi="Arial" w:cs="Arial"/>
          <w:b/>
          <w:bCs/>
          <w:sz w:val="21"/>
          <w:szCs w:val="21"/>
        </w:rPr>
        <w:t>杰出人才公寓：82.62元/平方米·月（货币种类：人民币）</w:t>
      </w:r>
    </w:p>
    <w:p w14:paraId="64399390">
      <w:pPr>
        <w:overflowPunct w:val="0"/>
        <w:spacing w:line="480" w:lineRule="auto"/>
        <w:ind w:firstLine="360"/>
        <w:jc w:val="both"/>
        <w:textAlignment w:val="auto"/>
        <w:rPr>
          <w:rFonts w:ascii="Arial" w:hAnsi="Arial" w:cs="Arial"/>
          <w:sz w:val="18"/>
          <w:szCs w:val="18"/>
        </w:rPr>
      </w:pPr>
      <w:r>
        <w:rPr>
          <w:rFonts w:ascii="Arial" w:hAnsi="Arial" w:cs="Arial"/>
          <w:sz w:val="18"/>
          <w:szCs w:val="18"/>
        </w:rPr>
        <w:t>注：1、评估的详细结果、过程及有关说明，详见《估价结果报告》、《估价技术报告》。</w:t>
      </w:r>
    </w:p>
    <w:p w14:paraId="77A615D1">
      <w:pPr>
        <w:overflowPunct w:val="0"/>
        <w:spacing w:line="480" w:lineRule="auto"/>
        <w:ind w:left="360"/>
        <w:jc w:val="both"/>
        <w:textAlignment w:val="auto"/>
        <w:rPr>
          <w:rFonts w:ascii="Arial" w:hAnsi="Arial" w:cs="Arial"/>
          <w:sz w:val="18"/>
          <w:szCs w:val="18"/>
        </w:rPr>
      </w:pPr>
      <w:r>
        <w:rPr>
          <w:rFonts w:ascii="Arial" w:hAnsi="Arial" w:eastAsia="Arial" w:cs="Arial"/>
          <w:sz w:val="18"/>
          <w:szCs w:val="18"/>
        </w:rPr>
        <w:t xml:space="preserve">    </w:t>
      </w:r>
      <w:r>
        <w:rPr>
          <w:rFonts w:ascii="Arial" w:hAnsi="Arial" w:cs="Arial"/>
          <w:sz w:val="18"/>
          <w:szCs w:val="18"/>
        </w:rPr>
        <w:t>2、估价结果为项目同地段、同类型普通住宅前12个月的市场平均月租金价格。</w:t>
      </w:r>
    </w:p>
    <w:p w14:paraId="1F5D8760">
      <w:pPr>
        <w:overflowPunct w:val="0"/>
        <w:spacing w:line="480" w:lineRule="auto"/>
        <w:ind w:left="720" w:hanging="360"/>
        <w:jc w:val="both"/>
        <w:textAlignment w:val="auto"/>
      </w:pPr>
      <w:r>
        <w:rPr>
          <w:rFonts w:ascii="Arial" w:hAnsi="Arial" w:eastAsia="Arial" w:cs="Arial"/>
          <w:sz w:val="18"/>
          <w:szCs w:val="18"/>
        </w:rPr>
        <w:t xml:space="preserve">    </w:t>
      </w:r>
      <w:r>
        <w:rPr>
          <w:rFonts w:ascii="Arial" w:hAnsi="Arial" w:cs="Arial"/>
          <w:sz w:val="18"/>
          <w:szCs w:val="18"/>
        </w:rPr>
        <w:t>3、本次估价采取标准房进行评估设定，标准房是指参照被评估住宅项目的户型、面积、朝向、楼层、装修及设备等因素按照众数原则设定的房屋状况。</w:t>
      </w:r>
      <w:r>
        <w:rPr>
          <w:rFonts w:ascii="Arial" w:hAnsi="Arial" w:eastAsia="Arial" w:cs="Arial"/>
          <w:sz w:val="18"/>
          <w:szCs w:val="18"/>
        </w:rPr>
        <w:t xml:space="preserve">  </w:t>
      </w:r>
    </w:p>
    <w:p w14:paraId="7077B1CC">
      <w:pPr>
        <w:overflowPunct w:val="0"/>
        <w:spacing w:line="480" w:lineRule="auto"/>
        <w:ind w:left="720" w:hanging="360"/>
        <w:jc w:val="both"/>
        <w:textAlignment w:val="auto"/>
        <w:rPr>
          <w:rFonts w:ascii="Arial" w:hAnsi="Arial" w:cs="Arial"/>
          <w:sz w:val="18"/>
          <w:szCs w:val="18"/>
        </w:rPr>
      </w:pPr>
      <w:r>
        <w:rPr>
          <w:rFonts w:ascii="Arial" w:hAnsi="Arial" w:eastAsia="Arial" w:cs="Arial"/>
          <w:sz w:val="18"/>
          <w:szCs w:val="18"/>
        </w:rPr>
        <w:t xml:space="preserve">    </w:t>
      </w:r>
      <w:r>
        <w:rPr>
          <w:rFonts w:ascii="Arial" w:hAnsi="Arial" w:cs="Arial"/>
          <w:sz w:val="18"/>
          <w:szCs w:val="18"/>
        </w:rPr>
        <w:t>4、估价结果</w:t>
      </w:r>
      <w:r>
        <w:rPr>
          <w:rFonts w:hint="eastAsia" w:ascii="Arial" w:hAnsi="Arial" w:cs="Arial"/>
          <w:sz w:val="18"/>
          <w:szCs w:val="18"/>
        </w:rPr>
        <w:t>包括地租、房屋折旧、家具及家电租赁费、设备折旧、维修费、保险费、物业费、管理费、利息、利润等；不含供暖费、水电费、天然气费、通信费、有线电视费、上网宽带费和租赁税费等</w:t>
      </w:r>
      <w:r>
        <w:rPr>
          <w:rFonts w:ascii="Arial" w:hAnsi="Arial" w:cs="Arial"/>
          <w:sz w:val="18"/>
          <w:szCs w:val="18"/>
        </w:rPr>
        <w:t>。</w:t>
      </w:r>
    </w:p>
    <w:p w14:paraId="13536369">
      <w:pPr>
        <w:overflowPunct w:val="0"/>
        <w:spacing w:line="480" w:lineRule="auto"/>
        <w:ind w:left="720" w:hanging="360"/>
        <w:jc w:val="both"/>
        <w:textAlignment w:val="auto"/>
        <w:rPr>
          <w:rFonts w:ascii="Arial" w:hAnsi="Arial" w:cs="Arial"/>
          <w:sz w:val="18"/>
          <w:szCs w:val="18"/>
        </w:rPr>
      </w:pPr>
    </w:p>
    <w:p w14:paraId="6C262CEF">
      <w:pPr>
        <w:spacing w:line="240" w:lineRule="auto"/>
        <w:jc w:val="center"/>
        <w:rPr>
          <w:rFonts w:ascii="Arial" w:hAnsi="Arial" w:cs="Arial"/>
          <w:b/>
          <w:sz w:val="21"/>
          <w:szCs w:val="21"/>
        </w:rPr>
        <w:sectPr>
          <w:headerReference r:id="rId21" w:type="default"/>
          <w:footerReference r:id="rId22" w:type="default"/>
          <w:pgSz w:w="11906" w:h="16838"/>
          <w:pgMar w:top="1843" w:right="1134" w:bottom="1134" w:left="1474" w:header="1134" w:footer="907" w:gutter="0"/>
          <w:cols w:space="720" w:num="1"/>
          <w:formProt w:val="0"/>
          <w:docGrid w:linePitch="326" w:charSpace="0"/>
        </w:sectPr>
      </w:pPr>
    </w:p>
    <w:p w14:paraId="4CEC367F">
      <w:pPr>
        <w:pStyle w:val="2"/>
        <w:spacing w:line="480" w:lineRule="auto"/>
        <w:jc w:val="center"/>
        <w:rPr>
          <w:b w:val="0"/>
          <w:kern w:val="2"/>
          <w:sz w:val="32"/>
          <w:szCs w:val="32"/>
        </w:rPr>
      </w:pPr>
      <w:bookmarkStart w:id="40" w:name="_Toc155340505"/>
      <w:r>
        <w:rPr>
          <w:rFonts w:eastAsia="方正黑体简体"/>
          <w:b w:val="0"/>
          <w:kern w:val="2"/>
          <w:sz w:val="32"/>
          <w:szCs w:val="32"/>
        </w:rPr>
        <w:t>附</w:t>
      </w:r>
      <w:r>
        <w:rPr>
          <w:rFonts w:eastAsia="Arial"/>
          <w:b w:val="0"/>
          <w:kern w:val="2"/>
          <w:sz w:val="32"/>
          <w:szCs w:val="32"/>
        </w:rPr>
        <w:t xml:space="preserve">   </w:t>
      </w:r>
      <w:r>
        <w:rPr>
          <w:rFonts w:eastAsia="方正黑体简体"/>
          <w:b w:val="0"/>
          <w:kern w:val="2"/>
          <w:sz w:val="32"/>
          <w:szCs w:val="32"/>
        </w:rPr>
        <w:t>件</w:t>
      </w:r>
      <w:bookmarkEnd w:id="40"/>
    </w:p>
    <w:p w14:paraId="03DA1D56">
      <w:pPr>
        <w:numPr>
          <w:ilvl w:val="0"/>
          <w:numId w:val="11"/>
        </w:numPr>
        <w:spacing w:line="360" w:lineRule="auto"/>
        <w:jc w:val="both"/>
        <w:rPr>
          <w:rFonts w:ascii="Arial" w:hAnsi="Arial" w:cs="Arial"/>
          <w:sz w:val="21"/>
          <w:szCs w:val="21"/>
        </w:rPr>
      </w:pPr>
      <w:r>
        <w:rPr>
          <w:rFonts w:ascii="Arial" w:hAnsi="Arial" w:cs="Arial"/>
          <w:sz w:val="21"/>
          <w:szCs w:val="21"/>
        </w:rPr>
        <w:t>《估价委托书》复印件</w:t>
      </w:r>
    </w:p>
    <w:p w14:paraId="7DD34E42">
      <w:pPr>
        <w:numPr>
          <w:ilvl w:val="0"/>
          <w:numId w:val="11"/>
        </w:numPr>
        <w:spacing w:line="360" w:lineRule="auto"/>
        <w:jc w:val="both"/>
        <w:rPr>
          <w:rFonts w:ascii="Arial" w:hAnsi="Arial" w:cs="Arial"/>
          <w:sz w:val="21"/>
          <w:szCs w:val="21"/>
        </w:rPr>
      </w:pPr>
      <w:r>
        <w:rPr>
          <w:rFonts w:ascii="Arial" w:hAnsi="Arial" w:cs="Arial"/>
          <w:sz w:val="21"/>
          <w:szCs w:val="21"/>
        </w:rPr>
        <w:t>估价对象所在位置示意图</w:t>
      </w:r>
    </w:p>
    <w:p w14:paraId="00E264E9">
      <w:pPr>
        <w:numPr>
          <w:ilvl w:val="0"/>
          <w:numId w:val="11"/>
        </w:numPr>
        <w:spacing w:line="360" w:lineRule="auto"/>
        <w:jc w:val="both"/>
        <w:rPr>
          <w:rFonts w:ascii="Arial" w:hAnsi="Arial" w:cs="Arial"/>
          <w:sz w:val="21"/>
          <w:szCs w:val="21"/>
        </w:rPr>
      </w:pPr>
      <w:r>
        <w:rPr>
          <w:rFonts w:ascii="Arial" w:hAnsi="Arial" w:cs="Arial"/>
          <w:sz w:val="21"/>
          <w:szCs w:val="21"/>
        </w:rPr>
        <w:t>估价对象现状照片</w:t>
      </w:r>
    </w:p>
    <w:p w14:paraId="18E3DD47">
      <w:pPr>
        <w:numPr>
          <w:ilvl w:val="0"/>
          <w:numId w:val="11"/>
        </w:numPr>
        <w:spacing w:line="360" w:lineRule="auto"/>
        <w:jc w:val="both"/>
        <w:rPr>
          <w:rFonts w:ascii="Arial" w:hAnsi="Arial" w:cs="Arial"/>
          <w:sz w:val="21"/>
          <w:szCs w:val="21"/>
        </w:rPr>
      </w:pPr>
      <w:r>
        <w:rPr>
          <w:rFonts w:ascii="Arial" w:hAnsi="Arial" w:cs="Arial"/>
          <w:sz w:val="21"/>
          <w:szCs w:val="21"/>
        </w:rPr>
        <w:t>《不动产权证书》[京（2018）开不动产权第0015356号]复印件</w:t>
      </w:r>
    </w:p>
    <w:p w14:paraId="43AB3A4F">
      <w:pPr>
        <w:numPr>
          <w:ilvl w:val="0"/>
          <w:numId w:val="11"/>
        </w:numPr>
        <w:spacing w:line="360" w:lineRule="auto"/>
        <w:jc w:val="both"/>
        <w:rPr>
          <w:rFonts w:ascii="Arial" w:hAnsi="Arial" w:cs="Arial"/>
          <w:sz w:val="21"/>
          <w:szCs w:val="21"/>
        </w:rPr>
      </w:pPr>
      <w:r>
        <w:rPr>
          <w:rFonts w:ascii="Arial" w:hAnsi="Arial" w:cs="Arial"/>
          <w:kern w:val="2"/>
          <w:sz w:val="21"/>
          <w:szCs w:val="21"/>
        </w:rPr>
        <w:t>《E18国际人才公寓房屋明细》</w:t>
      </w:r>
      <w:r>
        <w:rPr>
          <w:rFonts w:ascii="Arial" w:hAnsi="Arial" w:cs="Arial"/>
          <w:sz w:val="21"/>
          <w:szCs w:val="21"/>
        </w:rPr>
        <w:t>复印件</w:t>
      </w:r>
    </w:p>
    <w:p w14:paraId="496D4888">
      <w:pPr>
        <w:numPr>
          <w:ilvl w:val="0"/>
          <w:numId w:val="11"/>
        </w:numPr>
        <w:spacing w:line="360" w:lineRule="auto"/>
        <w:jc w:val="both"/>
        <w:rPr>
          <w:rFonts w:ascii="Arial" w:hAnsi="Arial" w:cs="Arial"/>
          <w:sz w:val="21"/>
          <w:szCs w:val="21"/>
        </w:rPr>
      </w:pPr>
      <w:r>
        <w:rPr>
          <w:rFonts w:ascii="Arial" w:hAnsi="Arial" w:cs="Arial"/>
          <w:sz w:val="21"/>
          <w:szCs w:val="21"/>
        </w:rPr>
        <w:t>估价委托人《营业执照（副本）》复印件</w:t>
      </w:r>
    </w:p>
    <w:p w14:paraId="3B718B5E">
      <w:pPr>
        <w:numPr>
          <w:ilvl w:val="0"/>
          <w:numId w:val="11"/>
        </w:numPr>
        <w:spacing w:line="360" w:lineRule="auto"/>
        <w:jc w:val="both"/>
      </w:pPr>
      <w:r>
        <w:rPr>
          <w:rFonts w:ascii="Arial" w:hAnsi="Arial" w:cs="Arial"/>
          <w:color w:val="000000"/>
          <w:sz w:val="21"/>
          <w:szCs w:val="21"/>
        </w:rPr>
        <w:t>房地产估价机构《营业执照（副本）》</w:t>
      </w:r>
      <w:r>
        <w:rPr>
          <w:rFonts w:ascii="Arial" w:hAnsi="Arial" w:cs="Arial"/>
          <w:sz w:val="21"/>
          <w:szCs w:val="21"/>
        </w:rPr>
        <w:t>复印件</w:t>
      </w:r>
    </w:p>
    <w:p w14:paraId="7CF088A8">
      <w:pPr>
        <w:numPr>
          <w:ilvl w:val="0"/>
          <w:numId w:val="11"/>
        </w:numPr>
        <w:spacing w:line="360" w:lineRule="auto"/>
        <w:jc w:val="both"/>
        <w:rPr>
          <w:rFonts w:ascii="Arial" w:hAnsi="Arial" w:cs="Arial"/>
          <w:sz w:val="21"/>
          <w:szCs w:val="21"/>
        </w:rPr>
      </w:pPr>
      <w:r>
        <w:rPr>
          <w:rFonts w:ascii="Arial" w:hAnsi="Arial" w:cs="Arial"/>
          <w:sz w:val="21"/>
          <w:szCs w:val="21"/>
        </w:rPr>
        <w:t>房地产估价机构资质证书复印件</w:t>
      </w:r>
    </w:p>
    <w:p w14:paraId="3C5732FC">
      <w:pPr>
        <w:numPr>
          <w:ilvl w:val="0"/>
          <w:numId w:val="11"/>
        </w:numPr>
        <w:spacing w:line="360" w:lineRule="auto"/>
        <w:jc w:val="both"/>
        <w:rPr>
          <w:rFonts w:ascii="Arial" w:hAnsi="Arial" w:cs="Arial"/>
          <w:sz w:val="21"/>
          <w:szCs w:val="21"/>
        </w:rPr>
      </w:pPr>
      <w:r>
        <w:rPr>
          <w:rFonts w:ascii="Arial" w:hAnsi="Arial" w:cs="Arial"/>
          <w:sz w:val="21"/>
          <w:szCs w:val="21"/>
        </w:rPr>
        <w:t>评估专业人员执业证书复印件</w:t>
      </w:r>
    </w:p>
    <w:sectPr>
      <w:headerReference r:id="rId23" w:type="default"/>
      <w:footerReference r:id="rId24" w:type="default"/>
      <w:pgSz w:w="11906" w:h="16838"/>
      <w:pgMar w:top="1843" w:right="1134" w:bottom="1134" w:left="1474" w:header="1134" w:footer="907" w:gutter="0"/>
      <w:cols w:space="720" w:num="1"/>
      <w:formProt w:val="0"/>
      <w:docGrid w:linePitch="326"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hp" w:date="2025-10-30T15:26:00Z" w:initials="h">
    <w:p w14:paraId="46AC76F8">
      <w:pPr>
        <w:pStyle w:val="10"/>
      </w:pPr>
      <w:r>
        <w:t>不通顺</w:t>
      </w:r>
    </w:p>
  </w:comment>
  <w:comment w:id="1" w:author="hp" w:date="2025-10-30T15:28:00Z" w:initials="h">
    <w:p w14:paraId="3CCF8C02">
      <w:pPr>
        <w:pStyle w:val="10"/>
      </w:pPr>
      <w:r>
        <w:t>排版，下页空白</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46AC76F8" w15:done="0"/>
  <w15:commentEx w15:paraId="3CCF8C02"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宋体;SimSun">
    <w:altName w:val="宋体"/>
    <w:panose1 w:val="00000000000000000000"/>
    <w:charset w:val="00"/>
    <w:family w:val="auto"/>
    <w:pitch w:val="default"/>
    <w:sig w:usb0="00000000" w:usb1="00000000" w:usb2="00000000" w:usb3="00000000" w:csb0="00000000" w:csb1="00000000"/>
  </w:font>
  <w:font w:name="Arial">
    <w:panose1 w:val="020B0604020202020204"/>
    <w:charset w:val="00"/>
    <w:family w:val="swiss"/>
    <w:pitch w:val="default"/>
    <w:sig w:usb0="E0002EFF" w:usb1="C000785B" w:usb2="00000009" w:usb3="00000000" w:csb0="400001FF" w:csb1="FFFF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黑体;SimHei">
    <w:altName w:val="黑体"/>
    <w:panose1 w:val="00000000000000000000"/>
    <w:charset w:val="86"/>
    <w:family w:val="roman"/>
    <w:pitch w:val="default"/>
    <w:sig w:usb0="00000000" w:usb1="00000000" w:usb2="00000000" w:usb3="00000000" w:csb0="00000000"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Courier New">
    <w:panose1 w:val="02070309020205020404"/>
    <w:charset w:val="00"/>
    <w:family w:val="modern"/>
    <w:pitch w:val="default"/>
    <w:sig w:usb0="E0002EFF" w:usb1="C0007843" w:usb2="00000009" w:usb3="00000000" w:csb0="400001FF" w:csb1="FFFF0000"/>
  </w:font>
  <w:font w:name="Lucida Sans">
    <w:panose1 w:val="020B0602030504020204"/>
    <w:charset w:val="00"/>
    <w:family w:val="swiss"/>
    <w:pitch w:val="default"/>
    <w:sig w:usb0="00000003" w:usb1="00000000" w:usb2="00000000" w:usb3="00000000" w:csb0="20000001" w:csb1="00000000"/>
  </w:font>
  <w:font w:name="Arial Unicode MS">
    <w:panose1 w:val="020B0604020202020204"/>
    <w:charset w:val="86"/>
    <w:family w:val="swiss"/>
    <w:pitch w:val="default"/>
    <w:sig w:usb0="FFFFFFFF" w:usb1="E9FFFFFF" w:usb2="0000003F" w:usb3="00000000" w:csb0="603F01FF" w:csb1="FFFF0000"/>
  </w:font>
  <w:font w:name="微软雅黑">
    <w:panose1 w:val="020B0503020204020204"/>
    <w:charset w:val="86"/>
    <w:family w:val="swiss"/>
    <w:pitch w:val="default"/>
    <w:sig w:usb0="80000287" w:usb1="2ACF3C50" w:usb2="00000016" w:usb3="00000000" w:csb0="0004001F" w:csb1="00000000"/>
  </w:font>
  <w:font w:name="Liberation Sans">
    <w:altName w:val="宋体"/>
    <w:panose1 w:val="00000000000000000000"/>
    <w:charset w:val="86"/>
    <w:family w:val="swiss"/>
    <w:pitch w:val="default"/>
    <w:sig w:usb0="00000000" w:usb1="00000000" w:usb2="00000000" w:usb3="00000000" w:csb0="00000000" w:csb1="00000000"/>
  </w:font>
  <w:font w:name="方正黑体简体">
    <w:altName w:val="微软雅黑"/>
    <w:panose1 w:val="00000000000000000000"/>
    <w:charset w:val="86"/>
    <w:family w:val="script"/>
    <w:pitch w:val="default"/>
    <w:sig w:usb0="00000000" w:usb1="00000000" w:usb2="00000010" w:usb3="00000000" w:csb0="00040000" w:csb1="00000000"/>
  </w:font>
  <w:font w:name="华文细黑">
    <w:panose1 w:val="02010600040101010101"/>
    <w:charset w:val="86"/>
    <w:family w:val="auto"/>
    <w:pitch w:val="default"/>
    <w:sig w:usb0="00000287" w:usb1="080F0000" w:usb2="00000000" w:usb3="00000000" w:csb0="0004009F" w:csb1="DFD70000"/>
  </w:font>
  <w:font w:name="等线">
    <w:panose1 w:val="02010600030101010101"/>
    <w:charset w:val="86"/>
    <w:family w:val="auto"/>
    <w:pitch w:val="default"/>
    <w:sig w:usb0="A00002BF" w:usb1="38CF7CFA" w:usb2="00000016" w:usb3="00000000" w:csb0="0004000F" w:csb1="00000000"/>
  </w:font>
  <w:font w:name="Liberation Serif">
    <w:altName w:val="宋体"/>
    <w:panose1 w:val="00000000000000000000"/>
    <w:charset w:val="86"/>
    <w:family w:val="roman"/>
    <w:pitch w:val="default"/>
    <w:sig w:usb0="00000000" w:usb1="00000000" w:usb2="00000000" w:usb3="00000000" w:csb0="00000000" w:csb1="00000000"/>
  </w:font>
  <w:font w:name="Roboto">
    <w:altName w:val="Segoe Print"/>
    <w:panose1 w:val="00000000000000000000"/>
    <w:charset w:val="00"/>
    <w:family w:val="auto"/>
    <w:pitch w:val="default"/>
    <w:sig w:usb0="00000000" w:usb1="00000000" w:usb2="00000021" w:usb3="00000000" w:csb0="0000019F"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1B3356">
    <w:pPr>
      <w:pStyle w:val="20"/>
      <w:pBdr>
        <w:top w:val="single" w:color="404040" w:sz="4" w:space="1"/>
      </w:pBdr>
      <w:jc w:val="center"/>
      <w:rPr>
        <w:rFonts w:ascii="Arial" w:hAnsi="Arial" w:cs="Arial"/>
      </w:rPr>
    </w:pPr>
    <w:r>
      <w:rPr>
        <w:rFonts w:ascii="Arial" w:hAnsi="Arial" w:cs="Arial"/>
      </w:rPr>
      <w:fldChar w:fldCharType="begin"/>
    </w:r>
    <w:r>
      <w:rPr>
        <w:rFonts w:ascii="Arial" w:hAnsi="Arial" w:cs="Arial"/>
      </w:rPr>
      <w:instrText xml:space="preserve">PAGE</w:instrText>
    </w:r>
    <w:r>
      <w:rPr>
        <w:rFonts w:ascii="Arial" w:hAnsi="Arial" w:cs="Arial"/>
      </w:rPr>
      <w:fldChar w:fldCharType="separate"/>
    </w:r>
    <w:r>
      <w:rPr>
        <w:rFonts w:ascii="Arial" w:hAnsi="Arial" w:cs="Arial"/>
      </w:rPr>
      <w:t>2</w:t>
    </w:r>
    <w:r>
      <w:rPr>
        <w:rFonts w:ascii="Arial" w:hAnsi="Arial" w:cs="Arial"/>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F540D1">
    <w:pPr>
      <w:pStyle w:val="2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47B116">
    <w:pPr>
      <w:pStyle w:val="20"/>
      <w:pBdr>
        <w:top w:val="single" w:color="404040" w:sz="4" w:space="1"/>
      </w:pBdr>
      <w:jc w:val="center"/>
      <w:rPr>
        <w:rFonts w:ascii="Arial" w:hAnsi="Arial" w:cs="Arial"/>
      </w:rPr>
    </w:pPr>
    <w:r>
      <w:rPr>
        <w:rFonts w:ascii="Arial" w:hAnsi="Arial" w:cs="Arial"/>
      </w:rPr>
      <w:fldChar w:fldCharType="begin"/>
    </w:r>
    <w:r>
      <w:rPr>
        <w:rFonts w:ascii="Arial" w:hAnsi="Arial" w:cs="Arial"/>
      </w:rPr>
      <w:instrText xml:space="preserve">PAGE</w:instrText>
    </w:r>
    <w:r>
      <w:rPr>
        <w:rFonts w:ascii="Arial" w:hAnsi="Arial" w:cs="Arial"/>
      </w:rPr>
      <w:fldChar w:fldCharType="separate"/>
    </w:r>
    <w:r>
      <w:rPr>
        <w:rFonts w:ascii="Arial" w:hAnsi="Arial" w:cs="Arial"/>
      </w:rPr>
      <w:t>2</w:t>
    </w:r>
    <w:r>
      <w:rPr>
        <w:rFonts w:ascii="Arial" w:hAnsi="Arial" w:cs="Arial"/>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F48630">
    <w:pPr>
      <w:pStyle w:val="20"/>
      <w:pBdr>
        <w:top w:val="single" w:color="404040" w:sz="4" w:space="1"/>
      </w:pBdr>
      <w:jc w:val="center"/>
      <w:rPr>
        <w:rFonts w:ascii="Arial" w:hAnsi="Arial" w:cs="Arial"/>
      </w:rPr>
    </w:pPr>
    <w:r>
      <w:rPr>
        <w:rFonts w:ascii="Arial" w:hAnsi="Arial" w:cs="Arial"/>
      </w:rPr>
      <w:fldChar w:fldCharType="begin"/>
    </w:r>
    <w:r>
      <w:rPr>
        <w:rFonts w:ascii="Arial" w:hAnsi="Arial" w:cs="Arial"/>
      </w:rPr>
      <w:instrText xml:space="preserve">PAGE</w:instrText>
    </w:r>
    <w:r>
      <w:rPr>
        <w:rFonts w:ascii="Arial" w:hAnsi="Arial" w:cs="Arial"/>
      </w:rPr>
      <w:fldChar w:fldCharType="separate"/>
    </w:r>
    <w:r>
      <w:rPr>
        <w:rFonts w:ascii="Arial" w:hAnsi="Arial" w:cs="Arial"/>
      </w:rPr>
      <w:t>5</w:t>
    </w:r>
    <w:r>
      <w:rPr>
        <w:rFonts w:ascii="Arial" w:hAnsi="Arial" w:cs="Arial"/>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B53A0B">
    <w:pPr>
      <w:pStyle w:val="20"/>
      <w:pBdr>
        <w:top w:val="single" w:color="404040" w:sz="4" w:space="1"/>
      </w:pBdr>
      <w:jc w:val="center"/>
      <w:rPr>
        <w:rFonts w:ascii="Arial" w:hAnsi="Arial" w:cs="Arial"/>
      </w:rPr>
    </w:pPr>
    <w:r>
      <w:rPr>
        <w:rFonts w:ascii="Arial" w:hAnsi="Arial" w:cs="Arial"/>
      </w:rPr>
      <w:fldChar w:fldCharType="begin"/>
    </w:r>
    <w:r>
      <w:rPr>
        <w:rFonts w:ascii="Arial" w:hAnsi="Arial" w:cs="Arial"/>
      </w:rPr>
      <w:instrText xml:space="preserve">PAGE</w:instrText>
    </w:r>
    <w:r>
      <w:rPr>
        <w:rFonts w:ascii="Arial" w:hAnsi="Arial" w:cs="Arial"/>
      </w:rPr>
      <w:fldChar w:fldCharType="separate"/>
    </w:r>
    <w:r>
      <w:rPr>
        <w:rFonts w:ascii="Arial" w:hAnsi="Arial" w:cs="Arial"/>
      </w:rPr>
      <w:t>6</w:t>
    </w:r>
    <w:r>
      <w:rPr>
        <w:rFonts w:ascii="Arial" w:hAnsi="Arial" w:cs="Arial"/>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6C4B66">
    <w:pPr>
      <w:pStyle w:val="20"/>
      <w:pBdr>
        <w:top w:val="single" w:color="404040" w:sz="4" w:space="1"/>
      </w:pBdr>
      <w:jc w:val="center"/>
      <w:rPr>
        <w:rFonts w:ascii="Arial" w:hAnsi="Arial" w:cs="Arial"/>
      </w:rPr>
    </w:pPr>
    <w:r>
      <w:rPr>
        <w:rFonts w:ascii="Arial" w:hAnsi="Arial" w:cs="Arial"/>
      </w:rPr>
      <w:fldChar w:fldCharType="begin"/>
    </w:r>
    <w:r>
      <w:rPr>
        <w:rFonts w:ascii="Arial" w:hAnsi="Arial" w:cs="Arial"/>
      </w:rPr>
      <w:instrText xml:space="preserve">PAGE</w:instrText>
    </w:r>
    <w:r>
      <w:rPr>
        <w:rFonts w:ascii="Arial" w:hAnsi="Arial" w:cs="Arial"/>
      </w:rPr>
      <w:fldChar w:fldCharType="separate"/>
    </w:r>
    <w:r>
      <w:rPr>
        <w:rFonts w:ascii="Arial" w:hAnsi="Arial" w:cs="Arial"/>
      </w:rPr>
      <w:t>9</w:t>
    </w:r>
    <w:r>
      <w:rPr>
        <w:rFonts w:ascii="Arial" w:hAnsi="Arial" w:cs="Arial"/>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A9D56A">
    <w:pPr>
      <w:pStyle w:val="20"/>
      <w:pBdr>
        <w:top w:val="single" w:color="404040" w:sz="4" w:space="1"/>
      </w:pBdr>
      <w:tabs>
        <w:tab w:val="right" w:pos="9027"/>
        <w:tab w:val="clear" w:pos="4153"/>
        <w:tab w:val="clear" w:pos="8306"/>
      </w:tabs>
      <w:jc w:val="center"/>
      <w:rPr>
        <w:rFonts w:ascii="Calibri" w:hAnsi="Calibri" w:cs="Calibri"/>
      </w:rPr>
    </w:pPr>
    <w:r>
      <w:rPr>
        <w:rFonts w:ascii="Calibri" w:hAnsi="Calibri" w:cs="Calibri"/>
      </w:rPr>
      <w:fldChar w:fldCharType="begin"/>
    </w:r>
    <w:r>
      <w:rPr>
        <w:rFonts w:ascii="Calibri" w:hAnsi="Calibri" w:cs="Calibri"/>
      </w:rPr>
      <w:instrText xml:space="preserve">PAGE</w:instrText>
    </w:r>
    <w:r>
      <w:rPr>
        <w:rFonts w:ascii="Calibri" w:hAnsi="Calibri" w:cs="Calibri"/>
      </w:rPr>
      <w:fldChar w:fldCharType="separate"/>
    </w:r>
    <w:r>
      <w:rPr>
        <w:rFonts w:ascii="Calibri" w:hAnsi="Calibri" w:cs="Calibri"/>
      </w:rPr>
      <w:t>21</w:t>
    </w:r>
    <w:r>
      <w:rPr>
        <w:rFonts w:ascii="Calibri" w:hAnsi="Calibri" w:cs="Calibri"/>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1A420D">
    <w:pPr>
      <w:pStyle w:val="20"/>
      <w:pBdr>
        <w:top w:val="single" w:color="404040" w:sz="4" w:space="1"/>
      </w:pBdr>
      <w:tabs>
        <w:tab w:val="right" w:pos="9027"/>
        <w:tab w:val="clear" w:pos="4153"/>
        <w:tab w:val="clear" w:pos="8306"/>
      </w:tabs>
      <w:jc w:val="center"/>
    </w:pPr>
    <w:r>
      <w:rPr>
        <w:rFonts w:ascii="Calibri" w:hAnsi="Calibri"/>
      </w:rPr>
      <w:fldChar w:fldCharType="begin"/>
    </w:r>
    <w:r>
      <w:instrText xml:space="preserve">PAGE   \* MERGEFORMAT</w:instrText>
    </w:r>
    <w:r>
      <w:rPr>
        <w:rFonts w:ascii="Calibri" w:hAnsi="Calibri"/>
      </w:rPr>
      <w:fldChar w:fldCharType="separate"/>
    </w:r>
    <w:r>
      <w:rPr>
        <w:rFonts w:ascii="Arial" w:hAnsi="Arial"/>
        <w:lang w:val="zh-CN"/>
      </w:rPr>
      <w:t>76</w:t>
    </w:r>
    <w:r>
      <w:rPr>
        <w:rFonts w:ascii="Cambria" w:hAnsi="Cambria"/>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73E527">
    <w:pPr>
      <w:pStyle w:val="20"/>
      <w:pBdr>
        <w:top w:val="single" w:color="404040" w:sz="4" w:space="1"/>
      </w:pBdr>
      <w:tabs>
        <w:tab w:val="right" w:pos="9027"/>
        <w:tab w:val="clear" w:pos="4153"/>
        <w:tab w:val="clear" w:pos="8306"/>
      </w:tabs>
      <w:jc w:val="center"/>
      <w:rPr>
        <w:rFonts w:ascii="Calibri" w:hAnsi="Calibri" w:cs="Calibri"/>
      </w:rPr>
    </w:pPr>
    <w:r>
      <w:rPr>
        <w:rFonts w:ascii="Calibri" w:hAnsi="Calibri" w:cs="Calibri"/>
      </w:rPr>
      <w:fldChar w:fldCharType="begin"/>
    </w:r>
    <w:r>
      <w:rPr>
        <w:rFonts w:ascii="Calibri" w:hAnsi="Calibri" w:cs="Calibri"/>
      </w:rPr>
      <w:instrText xml:space="preserve">PAGE</w:instrText>
    </w:r>
    <w:r>
      <w:rPr>
        <w:rFonts w:ascii="Calibri" w:hAnsi="Calibri" w:cs="Calibri"/>
      </w:rPr>
      <w:fldChar w:fldCharType="separate"/>
    </w:r>
    <w:r>
      <w:rPr>
        <w:rFonts w:ascii="Calibri" w:hAnsi="Calibri" w:cs="Calibri"/>
      </w:rPr>
      <w:t>77</w:t>
    </w:r>
    <w:r>
      <w:rPr>
        <w:rFonts w:ascii="Calibri" w:hAnsi="Calibri" w:cs="Calibri"/>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3A2B86">
    <w:pPr>
      <w:pStyle w:val="21"/>
      <w:pBdr>
        <w:bottom w:val="none" w:color="auto" w:sz="0" w:space="0"/>
      </w:pBdr>
      <w:rPr>
        <w:lang w:val="zh-CN"/>
      </w:rPr>
    </w:pPr>
    <w:r>
      <w:drawing>
        <wp:inline distT="0" distB="0" distL="0" distR="0">
          <wp:extent cx="5908675" cy="288290"/>
          <wp:effectExtent l="0" t="0" r="0" b="0"/>
          <wp:docPr id="1" name="图片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0"/>
                  <pic:cNvPicPr>
                    <a:picLocks noChangeAspect="1" noChangeArrowheads="1"/>
                  </pic:cNvPicPr>
                </pic:nvPicPr>
                <pic:blipFill>
                  <a:blip r:embed="rId1"/>
                  <a:stretch>
                    <a:fillRect/>
                  </a:stretch>
                </pic:blipFill>
                <pic:spPr>
                  <a:xfrm>
                    <a:off x="0" y="0"/>
                    <a:ext cx="5908675" cy="28829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A59645">
    <w:pPr>
      <w:pStyle w:val="21"/>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20CAF9">
    <w:pPr>
      <w:pStyle w:val="21"/>
      <w:pBdr>
        <w:bottom w:val="none" w:color="auto" w:sz="0" w:space="0"/>
      </w:pBdr>
      <w:jc w:val="both"/>
      <w:rPr>
        <w:lang w:val="zh-CN"/>
      </w:rPr>
    </w:pPr>
    <w:r>
      <w:drawing>
        <wp:inline distT="0" distB="0" distL="0" distR="0">
          <wp:extent cx="5908675" cy="288290"/>
          <wp:effectExtent l="0" t="0" r="0" b="0"/>
          <wp:docPr id="4" name="图像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像18"/>
                  <pic:cNvPicPr>
                    <a:picLocks noChangeAspect="1" noChangeArrowheads="1"/>
                  </pic:cNvPicPr>
                </pic:nvPicPr>
                <pic:blipFill>
                  <a:blip r:embed="rId1"/>
                  <a:srcRect l="-1" t="-40" r="-1" b="-40"/>
                  <a:stretch>
                    <a:fillRect/>
                  </a:stretch>
                </pic:blipFill>
                <pic:spPr>
                  <a:xfrm>
                    <a:off x="0" y="0"/>
                    <a:ext cx="5908675" cy="288290"/>
                  </a:xfrm>
                  <a:prstGeom prst="rect">
                    <a:avLst/>
                  </a:prstGeom>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267EB4">
    <w:pPr>
      <w:pStyle w:val="21"/>
      <w:pBdr>
        <w:bottom w:val="none" w:color="auto" w:sz="0" w:space="0"/>
      </w:pBdr>
      <w:rPr>
        <w:lang w:val="zh-CN"/>
      </w:rPr>
    </w:pPr>
    <w:r>
      <w:drawing>
        <wp:inline distT="0" distB="0" distL="0" distR="0">
          <wp:extent cx="5908675" cy="288290"/>
          <wp:effectExtent l="0" t="0" r="0" b="0"/>
          <wp:docPr id="5" name="图像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像19"/>
                  <pic:cNvPicPr>
                    <a:picLocks noChangeAspect="1" noChangeArrowheads="1"/>
                  </pic:cNvPicPr>
                </pic:nvPicPr>
                <pic:blipFill>
                  <a:blip r:embed="rId1"/>
                  <a:srcRect l="-1" t="-40" r="-1" b="-40"/>
                  <a:stretch>
                    <a:fillRect/>
                  </a:stretch>
                </pic:blipFill>
                <pic:spPr>
                  <a:xfrm>
                    <a:off x="0" y="0"/>
                    <a:ext cx="5908675" cy="288290"/>
                  </a:xfrm>
                  <a:prstGeom prst="rect">
                    <a:avLst/>
                  </a:prstGeom>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FCBA85">
    <w:pPr>
      <w:pStyle w:val="21"/>
      <w:pBdr>
        <w:bottom w:val="none" w:color="auto" w:sz="0" w:space="0"/>
      </w:pBdr>
      <w:jc w:val="both"/>
      <w:rPr>
        <w:lang w:val="zh-CN"/>
      </w:rPr>
    </w:pPr>
    <w:r>
      <w:drawing>
        <wp:inline distT="0" distB="0" distL="0" distR="0">
          <wp:extent cx="5908675" cy="288290"/>
          <wp:effectExtent l="0" t="0" r="0" b="0"/>
          <wp:docPr id="6" name="图像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像20"/>
                  <pic:cNvPicPr>
                    <a:picLocks noChangeAspect="1" noChangeArrowheads="1"/>
                  </pic:cNvPicPr>
                </pic:nvPicPr>
                <pic:blipFill>
                  <a:blip r:embed="rId1"/>
                  <a:srcRect l="-1" t="-40" r="-1" b="-40"/>
                  <a:stretch>
                    <a:fillRect/>
                  </a:stretch>
                </pic:blipFill>
                <pic:spPr>
                  <a:xfrm>
                    <a:off x="0" y="0"/>
                    <a:ext cx="5908675" cy="288290"/>
                  </a:xfrm>
                  <a:prstGeom prst="rect">
                    <a:avLst/>
                  </a:prstGeom>
                </pic:spPr>
              </pic:pic>
            </a:graphicData>
          </a:graphic>
        </wp:inline>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D919B8">
    <w:pPr>
      <w:pStyle w:val="21"/>
      <w:pBdr>
        <w:bottom w:val="none" w:color="auto" w:sz="0" w:space="0"/>
      </w:pBdr>
      <w:jc w:val="both"/>
      <w:rPr>
        <w:lang w:val="zh-CN"/>
      </w:rPr>
    </w:pPr>
    <w:r>
      <w:drawing>
        <wp:inline distT="0" distB="0" distL="0" distR="0">
          <wp:extent cx="5908675" cy="288290"/>
          <wp:effectExtent l="0" t="0" r="0" b="0"/>
          <wp:docPr id="7" name="图像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像21"/>
                  <pic:cNvPicPr>
                    <a:picLocks noChangeAspect="1" noChangeArrowheads="1"/>
                  </pic:cNvPicPr>
                </pic:nvPicPr>
                <pic:blipFill>
                  <a:blip r:embed="rId1"/>
                  <a:srcRect l="-1" t="-40" r="-1" b="-40"/>
                  <a:stretch>
                    <a:fillRect/>
                  </a:stretch>
                </pic:blipFill>
                <pic:spPr>
                  <a:xfrm>
                    <a:off x="0" y="0"/>
                    <a:ext cx="5908675" cy="288290"/>
                  </a:xfrm>
                  <a:prstGeom prst="rect">
                    <a:avLst/>
                  </a:prstGeom>
                </pic:spPr>
              </pic:pic>
            </a:graphicData>
          </a:graphic>
        </wp:inline>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2AF36F">
    <w:pPr>
      <w:pStyle w:val="21"/>
      <w:pBdr>
        <w:bottom w:val="none" w:color="auto" w:sz="0" w:space="0"/>
      </w:pBdr>
      <w:jc w:val="both"/>
      <w:rPr>
        <w:lang w:val="zh-CN"/>
      </w:rPr>
    </w:pPr>
    <w:r>
      <w:drawing>
        <wp:inline distT="0" distB="0" distL="0" distR="0">
          <wp:extent cx="5908675" cy="288290"/>
          <wp:effectExtent l="0" t="0" r="0" b="0"/>
          <wp:docPr id="10" name="图像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像22"/>
                  <pic:cNvPicPr>
                    <a:picLocks noChangeAspect="1" noChangeArrowheads="1"/>
                  </pic:cNvPicPr>
                </pic:nvPicPr>
                <pic:blipFill>
                  <a:blip r:embed="rId1"/>
                  <a:srcRect l="-1" t="-40" r="-1" b="-40"/>
                  <a:stretch>
                    <a:fillRect/>
                  </a:stretch>
                </pic:blipFill>
                <pic:spPr>
                  <a:xfrm>
                    <a:off x="0" y="0"/>
                    <a:ext cx="5908675" cy="288290"/>
                  </a:xfrm>
                  <a:prstGeom prst="rect">
                    <a:avLst/>
                  </a:prstGeom>
                </pic:spPr>
              </pic:pic>
            </a:graphicData>
          </a:graphic>
        </wp:inline>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6E336B">
    <w:pPr>
      <w:pStyle w:val="21"/>
    </w:pPr>
    <w:r>
      <w:drawing>
        <wp:inline distT="0" distB="0" distL="114300" distR="114300">
          <wp:extent cx="5908675" cy="288290"/>
          <wp:effectExtent l="0" t="0" r="4445" b="1270"/>
          <wp:docPr id="26" name="图片 17" descr="评估报告内页页眉.jpg"/>
          <wp:cNvGraphicFramePr/>
          <a:graphic xmlns:a="http://schemas.openxmlformats.org/drawingml/2006/main">
            <a:graphicData uri="http://schemas.openxmlformats.org/drawingml/2006/picture">
              <pic:pic xmlns:pic="http://schemas.openxmlformats.org/drawingml/2006/picture">
                <pic:nvPicPr>
                  <pic:cNvPr id="26" name="图片 17" descr="评估报告内页页眉.jpg"/>
                  <pic:cNvPicPr preferRelativeResize="0"/>
                </pic:nvPicPr>
                <pic:blipFill>
                  <a:blip r:embed="rId1"/>
                  <a:stretch>
                    <a:fillRect/>
                  </a:stretch>
                </pic:blipFill>
                <pic:spPr>
                  <a:xfrm>
                    <a:off x="0" y="0"/>
                    <a:ext cx="5908675" cy="288290"/>
                  </a:xfrm>
                  <a:prstGeom prst="rect">
                    <a:avLst/>
                  </a:prstGeom>
                  <a:noFill/>
                  <a:ln>
                    <a:noFill/>
                  </a:ln>
                </pic:spPr>
              </pic:pic>
            </a:graphicData>
          </a:graphic>
        </wp:inline>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6A604B">
    <w:pPr>
      <w:pStyle w:val="21"/>
      <w:pBdr>
        <w:bottom w:val="none" w:color="auto" w:sz="0" w:space="0"/>
      </w:pBdr>
      <w:rPr>
        <w:lang w:val="zh-CN"/>
      </w:rPr>
    </w:pPr>
    <w:r>
      <w:drawing>
        <wp:inline distT="0" distB="0" distL="0" distR="0">
          <wp:extent cx="5908675" cy="288290"/>
          <wp:effectExtent l="0" t="0" r="0" b="0"/>
          <wp:docPr id="28" name="图像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像23"/>
                  <pic:cNvPicPr>
                    <a:picLocks noChangeAspect="1" noChangeArrowheads="1"/>
                  </pic:cNvPicPr>
                </pic:nvPicPr>
                <pic:blipFill>
                  <a:blip r:embed="rId1"/>
                  <a:srcRect l="-1" t="-40" r="-1" b="-40"/>
                  <a:stretch>
                    <a:fillRect/>
                  </a:stretch>
                </pic:blipFill>
                <pic:spPr>
                  <a:xfrm>
                    <a:off x="0" y="0"/>
                    <a:ext cx="5908675" cy="28829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9006CE5"/>
    <w:multiLevelType w:val="multilevel"/>
    <w:tmpl w:val="09006CE5"/>
    <w:lvl w:ilvl="0" w:tentative="0">
      <w:start w:val="1"/>
      <w:numFmt w:val="decimal"/>
      <w:lvlText w:val="%1."/>
      <w:lvlJc w:val="left"/>
      <w:pPr>
        <w:ind w:left="840" w:hanging="420"/>
      </w:pPr>
      <w:rPr>
        <w:rFonts w:ascii="Arial" w:hAnsi="Arial" w:cs="Arial"/>
        <w:sz w:val="21"/>
        <w:szCs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1784658E"/>
    <w:multiLevelType w:val="multilevel"/>
    <w:tmpl w:val="1784658E"/>
    <w:lvl w:ilvl="0" w:tentative="0">
      <w:start w:val="1"/>
      <w:numFmt w:val="upperLetter"/>
      <w:pStyle w:val="3"/>
      <w:lvlText w:val="%1."/>
      <w:lvlJc w:val="left"/>
      <w:pPr>
        <w:tabs>
          <w:tab w:val="left" w:pos="360"/>
        </w:tabs>
        <w:ind w:left="360" w:hanging="360"/>
      </w:pPr>
      <w:rPr>
        <w:b w:val="0"/>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1BAC494C"/>
    <w:multiLevelType w:val="multilevel"/>
    <w:tmpl w:val="1BAC494C"/>
    <w:lvl w:ilvl="0" w:tentative="0">
      <w:start w:val="1"/>
      <w:numFmt w:val="decimal"/>
      <w:lvlText w:val="%1、"/>
      <w:lvlJc w:val="left"/>
      <w:pPr>
        <w:ind w:left="780" w:hanging="360"/>
      </w:pPr>
      <w:rPr>
        <w:rFonts w:ascii="Arial" w:hAnsi="Arial" w:cs="Arial"/>
        <w:color w:val="000000"/>
        <w:sz w:val="21"/>
        <w:szCs w:val="21"/>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
    <w:nsid w:val="28F16962"/>
    <w:multiLevelType w:val="multilevel"/>
    <w:tmpl w:val="28F16962"/>
    <w:lvl w:ilvl="0" w:tentative="0">
      <w:start w:val="0"/>
      <w:numFmt w:val="bullet"/>
      <w:lvlText w:val="—"/>
      <w:lvlJc w:val="left"/>
      <w:pPr>
        <w:ind w:left="360" w:hanging="360"/>
      </w:pPr>
      <w:rPr>
        <w:rFonts w:hint="default" w:ascii="微软雅黑" w:hAnsi="微软雅黑" w:cs="Times New Roman"/>
      </w:rPr>
    </w:lvl>
    <w:lvl w:ilvl="1" w:tentative="0">
      <w:start w:val="1"/>
      <w:numFmt w:val="bullet"/>
      <w:lvlText w:val=""/>
      <w:lvlJc w:val="left"/>
      <w:pPr>
        <w:ind w:left="840" w:hanging="420"/>
      </w:pPr>
      <w:rPr>
        <w:rFonts w:hint="default" w:ascii="Wingdings" w:hAnsi="Wingdings" w:cs="Wingdings"/>
      </w:rPr>
    </w:lvl>
    <w:lvl w:ilvl="2" w:tentative="0">
      <w:start w:val="1"/>
      <w:numFmt w:val="bullet"/>
      <w:lvlText w:val=""/>
      <w:lvlJc w:val="left"/>
      <w:pPr>
        <w:ind w:left="1260" w:hanging="420"/>
      </w:pPr>
      <w:rPr>
        <w:rFonts w:hint="default" w:ascii="Wingdings" w:hAnsi="Wingdings" w:cs="Wingdings"/>
      </w:rPr>
    </w:lvl>
    <w:lvl w:ilvl="3" w:tentative="0">
      <w:start w:val="1"/>
      <w:numFmt w:val="bullet"/>
      <w:lvlText w:val=""/>
      <w:lvlJc w:val="left"/>
      <w:pPr>
        <w:ind w:left="1680" w:hanging="420"/>
      </w:pPr>
      <w:rPr>
        <w:rFonts w:hint="default" w:ascii="Wingdings" w:hAnsi="Wingdings" w:cs="Wingdings"/>
      </w:rPr>
    </w:lvl>
    <w:lvl w:ilvl="4" w:tentative="0">
      <w:start w:val="1"/>
      <w:numFmt w:val="bullet"/>
      <w:lvlText w:val=""/>
      <w:lvlJc w:val="left"/>
      <w:pPr>
        <w:ind w:left="2100" w:hanging="420"/>
      </w:pPr>
      <w:rPr>
        <w:rFonts w:hint="default" w:ascii="Wingdings" w:hAnsi="Wingdings" w:cs="Wingdings"/>
      </w:rPr>
    </w:lvl>
    <w:lvl w:ilvl="5" w:tentative="0">
      <w:start w:val="1"/>
      <w:numFmt w:val="bullet"/>
      <w:lvlText w:val=""/>
      <w:lvlJc w:val="left"/>
      <w:pPr>
        <w:ind w:left="2520" w:hanging="420"/>
      </w:pPr>
      <w:rPr>
        <w:rFonts w:hint="default" w:ascii="Wingdings" w:hAnsi="Wingdings" w:cs="Wingdings"/>
      </w:rPr>
    </w:lvl>
    <w:lvl w:ilvl="6" w:tentative="0">
      <w:start w:val="1"/>
      <w:numFmt w:val="bullet"/>
      <w:lvlText w:val=""/>
      <w:lvlJc w:val="left"/>
      <w:pPr>
        <w:ind w:left="2940" w:hanging="420"/>
      </w:pPr>
      <w:rPr>
        <w:rFonts w:hint="default" w:ascii="Wingdings" w:hAnsi="Wingdings" w:cs="Wingdings"/>
      </w:rPr>
    </w:lvl>
    <w:lvl w:ilvl="7" w:tentative="0">
      <w:start w:val="1"/>
      <w:numFmt w:val="bullet"/>
      <w:lvlText w:val=""/>
      <w:lvlJc w:val="left"/>
      <w:pPr>
        <w:ind w:left="3360" w:hanging="420"/>
      </w:pPr>
      <w:rPr>
        <w:rFonts w:hint="default" w:ascii="Wingdings" w:hAnsi="Wingdings" w:cs="Wingdings"/>
      </w:rPr>
    </w:lvl>
    <w:lvl w:ilvl="8" w:tentative="0">
      <w:start w:val="1"/>
      <w:numFmt w:val="bullet"/>
      <w:lvlText w:val=""/>
      <w:lvlJc w:val="left"/>
      <w:pPr>
        <w:ind w:left="3780" w:hanging="420"/>
      </w:pPr>
      <w:rPr>
        <w:rFonts w:hint="default" w:ascii="Wingdings" w:hAnsi="Wingdings" w:cs="Wingdings"/>
      </w:rPr>
    </w:lvl>
  </w:abstractNum>
  <w:abstractNum w:abstractNumId="4">
    <w:nsid w:val="31F11FF9"/>
    <w:multiLevelType w:val="multilevel"/>
    <w:tmpl w:val="31F11FF9"/>
    <w:lvl w:ilvl="0" w:tentative="0">
      <w:start w:val="1"/>
      <w:numFmt w:val="decimal"/>
      <w:lvlText w:val="%1."/>
      <w:lvlJc w:val="left"/>
      <w:pPr>
        <w:ind w:left="420" w:hanging="420"/>
      </w:pPr>
      <w:rPr>
        <w:rFonts w:cs="Arial"/>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45DB1E09"/>
    <w:multiLevelType w:val="multilevel"/>
    <w:tmpl w:val="45DB1E09"/>
    <w:lvl w:ilvl="0" w:tentative="0">
      <w:start w:val="2"/>
      <w:numFmt w:val="japaneseCounting"/>
      <w:lvlText w:val="（%1）"/>
      <w:lvlJc w:val="left"/>
      <w:pPr>
        <w:ind w:left="720" w:hanging="720"/>
      </w:pPr>
      <w:rPr>
        <w:rFonts w:hint="default"/>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4A556446"/>
    <w:multiLevelType w:val="multilevel"/>
    <w:tmpl w:val="4A556446"/>
    <w:lvl w:ilvl="0" w:tentative="0">
      <w:start w:val="9"/>
      <w:numFmt w:val="chineseCountingThousand"/>
      <w:lvlText w:val="%1、"/>
      <w:lvlJc w:val="left"/>
      <w:pPr>
        <w:ind w:left="450" w:hanging="450"/>
      </w:p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7">
    <w:nsid w:val="4E251B44"/>
    <w:multiLevelType w:val="multilevel"/>
    <w:tmpl w:val="4E251B44"/>
    <w:lvl w:ilvl="0" w:tentative="0">
      <w:start w:val="4"/>
      <w:numFmt w:val="chineseCountingThousand"/>
      <w:lvlText w:val="%1、"/>
      <w:lvlJc w:val="left"/>
      <w:pPr>
        <w:ind w:left="450" w:hanging="450"/>
      </w:p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8">
    <w:nsid w:val="605D1EB0"/>
    <w:multiLevelType w:val="multilevel"/>
    <w:tmpl w:val="605D1EB0"/>
    <w:lvl w:ilvl="0" w:tentative="0">
      <w:start w:val="1"/>
      <w:numFmt w:val="decimal"/>
      <w:lvlText w:val="%1."/>
      <w:lvlJc w:val="left"/>
      <w:pPr>
        <w:ind w:left="840" w:hanging="420"/>
      </w:pPr>
      <w:rPr>
        <w:rFonts w:ascii="Arial" w:hAnsi="Arial" w:cs="Arial"/>
        <w:sz w:val="21"/>
        <w:szCs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65D90AE1"/>
    <w:multiLevelType w:val="multilevel"/>
    <w:tmpl w:val="65D90AE1"/>
    <w:lvl w:ilvl="0" w:tentative="0">
      <w:start w:val="3"/>
      <w:numFmt w:val="decimal"/>
      <w:pStyle w:val="4"/>
      <w:lvlText w:val="（%1）"/>
      <w:lvlJc w:val="left"/>
      <w:pPr>
        <w:tabs>
          <w:tab w:val="left" w:pos="1320"/>
        </w:tabs>
        <w:ind w:left="1320" w:hanging="720"/>
      </w:pPr>
    </w:lvl>
    <w:lvl w:ilvl="1" w:tentative="0">
      <w:start w:val="1"/>
      <w:numFmt w:val="upperLetter"/>
      <w:lvlText w:val="%2、"/>
      <w:lvlJc w:val="left"/>
      <w:pPr>
        <w:tabs>
          <w:tab w:val="left" w:pos="1740"/>
        </w:tabs>
        <w:ind w:left="1740" w:hanging="720"/>
      </w:pPr>
    </w:lvl>
    <w:lvl w:ilvl="2" w:tentative="0">
      <w:start w:val="1"/>
      <w:numFmt w:val="lowerRoman"/>
      <w:lvlText w:val="%3."/>
      <w:lvlJc w:val="right"/>
      <w:pPr>
        <w:tabs>
          <w:tab w:val="left" w:pos="1860"/>
        </w:tabs>
        <w:ind w:left="1860" w:hanging="420"/>
      </w:pPr>
    </w:lvl>
    <w:lvl w:ilvl="3" w:tentative="0">
      <w:start w:val="1"/>
      <w:numFmt w:val="decimal"/>
      <w:lvlText w:val="%4."/>
      <w:lvlJc w:val="left"/>
      <w:pPr>
        <w:tabs>
          <w:tab w:val="left" w:pos="2280"/>
        </w:tabs>
        <w:ind w:left="2280" w:hanging="420"/>
      </w:pPr>
    </w:lvl>
    <w:lvl w:ilvl="4" w:tentative="0">
      <w:start w:val="1"/>
      <w:numFmt w:val="lowerLetter"/>
      <w:lvlText w:val="%5)"/>
      <w:lvlJc w:val="left"/>
      <w:pPr>
        <w:tabs>
          <w:tab w:val="left" w:pos="2700"/>
        </w:tabs>
        <w:ind w:left="2700" w:hanging="420"/>
      </w:pPr>
    </w:lvl>
    <w:lvl w:ilvl="5" w:tentative="0">
      <w:start w:val="1"/>
      <w:numFmt w:val="lowerRoman"/>
      <w:lvlText w:val="%6."/>
      <w:lvlJc w:val="right"/>
      <w:pPr>
        <w:tabs>
          <w:tab w:val="left" w:pos="3120"/>
        </w:tabs>
        <w:ind w:left="3120" w:hanging="420"/>
      </w:pPr>
    </w:lvl>
    <w:lvl w:ilvl="6" w:tentative="0">
      <w:start w:val="1"/>
      <w:numFmt w:val="decimal"/>
      <w:lvlText w:val="%7."/>
      <w:lvlJc w:val="left"/>
      <w:pPr>
        <w:tabs>
          <w:tab w:val="left" w:pos="3540"/>
        </w:tabs>
        <w:ind w:left="3540" w:hanging="420"/>
      </w:pPr>
    </w:lvl>
    <w:lvl w:ilvl="7" w:tentative="0">
      <w:start w:val="1"/>
      <w:numFmt w:val="lowerLetter"/>
      <w:lvlText w:val="%8)"/>
      <w:lvlJc w:val="left"/>
      <w:pPr>
        <w:tabs>
          <w:tab w:val="left" w:pos="3960"/>
        </w:tabs>
        <w:ind w:left="3960" w:hanging="420"/>
      </w:pPr>
    </w:lvl>
    <w:lvl w:ilvl="8" w:tentative="0">
      <w:start w:val="1"/>
      <w:numFmt w:val="lowerRoman"/>
      <w:lvlText w:val="%9."/>
      <w:lvlJc w:val="right"/>
      <w:pPr>
        <w:tabs>
          <w:tab w:val="left" w:pos="4380"/>
        </w:tabs>
        <w:ind w:left="4380" w:hanging="420"/>
      </w:pPr>
    </w:lvl>
  </w:abstractNum>
  <w:abstractNum w:abstractNumId="10">
    <w:nsid w:val="680D76CF"/>
    <w:multiLevelType w:val="multilevel"/>
    <w:tmpl w:val="680D76CF"/>
    <w:lvl w:ilvl="0" w:tentative="0">
      <w:start w:val="1"/>
      <w:numFmt w:val="upperRoman"/>
      <w:pStyle w:val="5"/>
      <w:lvlText w:val="%1、"/>
      <w:lvlJc w:val="left"/>
      <w:pPr>
        <w:tabs>
          <w:tab w:val="left" w:pos="1605"/>
        </w:tabs>
        <w:ind w:left="1605" w:hanging="1080"/>
      </w:pPr>
    </w:lvl>
    <w:lvl w:ilvl="1" w:tentative="0">
      <w:start w:val="1"/>
      <w:numFmt w:val="lowerLetter"/>
      <w:lvlText w:val="%2)"/>
      <w:lvlJc w:val="left"/>
      <w:pPr>
        <w:tabs>
          <w:tab w:val="left" w:pos="1365"/>
        </w:tabs>
        <w:ind w:left="1365" w:hanging="420"/>
      </w:pPr>
    </w:lvl>
    <w:lvl w:ilvl="2" w:tentative="0">
      <w:start w:val="1"/>
      <w:numFmt w:val="lowerRoman"/>
      <w:lvlText w:val="%3."/>
      <w:lvlJc w:val="right"/>
      <w:pPr>
        <w:tabs>
          <w:tab w:val="left" w:pos="1785"/>
        </w:tabs>
        <w:ind w:left="1785" w:hanging="420"/>
      </w:pPr>
    </w:lvl>
    <w:lvl w:ilvl="3" w:tentative="0">
      <w:start w:val="1"/>
      <w:numFmt w:val="decimal"/>
      <w:lvlText w:val="%4."/>
      <w:lvlJc w:val="left"/>
      <w:pPr>
        <w:tabs>
          <w:tab w:val="left" w:pos="2205"/>
        </w:tabs>
        <w:ind w:left="2205" w:hanging="420"/>
      </w:pPr>
    </w:lvl>
    <w:lvl w:ilvl="4" w:tentative="0">
      <w:start w:val="1"/>
      <w:numFmt w:val="lowerLetter"/>
      <w:lvlText w:val="%5)"/>
      <w:lvlJc w:val="left"/>
      <w:pPr>
        <w:tabs>
          <w:tab w:val="left" w:pos="2625"/>
        </w:tabs>
        <w:ind w:left="2625" w:hanging="420"/>
      </w:pPr>
    </w:lvl>
    <w:lvl w:ilvl="5" w:tentative="0">
      <w:start w:val="1"/>
      <w:numFmt w:val="lowerRoman"/>
      <w:lvlText w:val="%6."/>
      <w:lvlJc w:val="right"/>
      <w:pPr>
        <w:tabs>
          <w:tab w:val="left" w:pos="3045"/>
        </w:tabs>
        <w:ind w:left="3045" w:hanging="420"/>
      </w:pPr>
    </w:lvl>
    <w:lvl w:ilvl="6" w:tentative="0">
      <w:start w:val="1"/>
      <w:numFmt w:val="decimal"/>
      <w:lvlText w:val="%7."/>
      <w:lvlJc w:val="left"/>
      <w:pPr>
        <w:tabs>
          <w:tab w:val="left" w:pos="3465"/>
        </w:tabs>
        <w:ind w:left="3465" w:hanging="420"/>
      </w:pPr>
    </w:lvl>
    <w:lvl w:ilvl="7" w:tentative="0">
      <w:start w:val="1"/>
      <w:numFmt w:val="lowerLetter"/>
      <w:lvlText w:val="%8)"/>
      <w:lvlJc w:val="left"/>
      <w:pPr>
        <w:tabs>
          <w:tab w:val="left" w:pos="3885"/>
        </w:tabs>
        <w:ind w:left="3885" w:hanging="420"/>
      </w:pPr>
    </w:lvl>
    <w:lvl w:ilvl="8" w:tentative="0">
      <w:start w:val="1"/>
      <w:numFmt w:val="lowerRoman"/>
      <w:lvlText w:val="%9."/>
      <w:lvlJc w:val="right"/>
      <w:pPr>
        <w:tabs>
          <w:tab w:val="left" w:pos="4305"/>
        </w:tabs>
        <w:ind w:left="4305" w:hanging="420"/>
      </w:pPr>
    </w:lvl>
  </w:abstractNum>
  <w:num w:numId="1">
    <w:abstractNumId w:val="1"/>
  </w:num>
  <w:num w:numId="2">
    <w:abstractNumId w:val="9"/>
  </w:num>
  <w:num w:numId="3">
    <w:abstractNumId w:val="10"/>
  </w:num>
  <w:num w:numId="4">
    <w:abstractNumId w:val="3"/>
  </w:num>
  <w:num w:numId="5">
    <w:abstractNumId w:val="0"/>
  </w:num>
  <w:num w:numId="6">
    <w:abstractNumId w:val="5"/>
  </w:num>
  <w:num w:numId="7">
    <w:abstractNumId w:val="4"/>
  </w:num>
  <w:num w:numId="8">
    <w:abstractNumId w:val="6"/>
  </w:num>
  <w:num w:numId="9">
    <w:abstractNumId w:val="7"/>
  </w:num>
  <w:num w:numId="10">
    <w:abstractNumId w:val="2"/>
  </w:num>
  <w:num w:numId="11">
    <w:abstractNumId w:val="8"/>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hp">
    <w15:presenceInfo w15:providerId="None" w15:userId="hp"/>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noPunctuationKerning w:val="1"/>
  <w:characterSpacingControl w:val="doNotCompress"/>
  <w:footnotePr>
    <w:footnote w:id="0"/>
    <w:footnote w:id="1"/>
  </w:footnotePr>
  <w:endnotePr>
    <w:endnote w:id="0"/>
    <w:endnote w:id="1"/>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1ECA"/>
    <w:rsid w:val="00076F0E"/>
    <w:rsid w:val="00340E4A"/>
    <w:rsid w:val="003B4720"/>
    <w:rsid w:val="003D147A"/>
    <w:rsid w:val="003F3DF8"/>
    <w:rsid w:val="0042011F"/>
    <w:rsid w:val="00492938"/>
    <w:rsid w:val="00571A38"/>
    <w:rsid w:val="005F05E6"/>
    <w:rsid w:val="00600082"/>
    <w:rsid w:val="00642995"/>
    <w:rsid w:val="006B0E38"/>
    <w:rsid w:val="00700049"/>
    <w:rsid w:val="007472AA"/>
    <w:rsid w:val="00771ECA"/>
    <w:rsid w:val="00782FD0"/>
    <w:rsid w:val="007D7ADF"/>
    <w:rsid w:val="00804931"/>
    <w:rsid w:val="00824106"/>
    <w:rsid w:val="008D51A1"/>
    <w:rsid w:val="0090196A"/>
    <w:rsid w:val="0091633D"/>
    <w:rsid w:val="00966854"/>
    <w:rsid w:val="009C45D9"/>
    <w:rsid w:val="009D4D09"/>
    <w:rsid w:val="00B3235C"/>
    <w:rsid w:val="00B87340"/>
    <w:rsid w:val="00C61AD1"/>
    <w:rsid w:val="00CE4F92"/>
    <w:rsid w:val="00D45128"/>
    <w:rsid w:val="00D97405"/>
    <w:rsid w:val="00DA0E56"/>
    <w:rsid w:val="00E90D88"/>
    <w:rsid w:val="00E97F86"/>
    <w:rsid w:val="00F2377C"/>
    <w:rsid w:val="00FB167A"/>
    <w:rsid w:val="016C0FA1"/>
    <w:rsid w:val="02C32E43"/>
    <w:rsid w:val="06112117"/>
    <w:rsid w:val="08152BCE"/>
    <w:rsid w:val="0AFE7196"/>
    <w:rsid w:val="0D9B7981"/>
    <w:rsid w:val="0E6809A5"/>
    <w:rsid w:val="0ECA1AD7"/>
    <w:rsid w:val="11F32600"/>
    <w:rsid w:val="13692257"/>
    <w:rsid w:val="1569298A"/>
    <w:rsid w:val="1780244D"/>
    <w:rsid w:val="19561AFE"/>
    <w:rsid w:val="26B4291F"/>
    <w:rsid w:val="2D621327"/>
    <w:rsid w:val="2E9846E0"/>
    <w:rsid w:val="30D81900"/>
    <w:rsid w:val="32C43EEA"/>
    <w:rsid w:val="33743B62"/>
    <w:rsid w:val="39D92970"/>
    <w:rsid w:val="3A83350C"/>
    <w:rsid w:val="3DCC459A"/>
    <w:rsid w:val="3E300685"/>
    <w:rsid w:val="3EC67B46"/>
    <w:rsid w:val="3F95733A"/>
    <w:rsid w:val="42396A92"/>
    <w:rsid w:val="46040D75"/>
    <w:rsid w:val="49900B72"/>
    <w:rsid w:val="4D626381"/>
    <w:rsid w:val="523E560F"/>
    <w:rsid w:val="52C35B14"/>
    <w:rsid w:val="534F3CD7"/>
    <w:rsid w:val="547F5A6B"/>
    <w:rsid w:val="5E3213C1"/>
    <w:rsid w:val="5EB33A2C"/>
    <w:rsid w:val="622C04E0"/>
    <w:rsid w:val="627E733B"/>
    <w:rsid w:val="633A3BD0"/>
    <w:rsid w:val="634E142A"/>
    <w:rsid w:val="65A62799"/>
    <w:rsid w:val="66F950B0"/>
    <w:rsid w:val="67646FD9"/>
    <w:rsid w:val="684E0144"/>
    <w:rsid w:val="68534CF9"/>
    <w:rsid w:val="6F3809B5"/>
    <w:rsid w:val="70C4665A"/>
    <w:rsid w:val="729A1F96"/>
    <w:rsid w:val="74296299"/>
    <w:rsid w:val="777B48F4"/>
    <w:rsid w:val="79CE0777"/>
    <w:rsid w:val="7A6B246A"/>
    <w:rsid w:val="7BB12CFB"/>
    <w:rsid w:val="7CEA58C8"/>
    <w:rsid w:val="7F1F511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iPriority="99"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uiPriority="99" w:name="Body Text First Indent 2"/>
    <w:lsdException w:uiPriority="99" w:name="Note Heading"/>
    <w:lsdException w:qFormat="1" w:unhideWhenUsed="0" w:uiPriority="0" w:semiHidden="0"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unhideWhenUsed="0" w:uiPriority="3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tLeast"/>
      <w:textAlignment w:val="baseline"/>
    </w:pPr>
    <w:rPr>
      <w:rFonts w:ascii="Times New Roman" w:hAnsi="Times New Roman" w:eastAsia="宋体;SimSun" w:cs="Times New Roman"/>
      <w:sz w:val="24"/>
      <w:lang w:val="en-US" w:eastAsia="zh-CN" w:bidi="ar-SA"/>
    </w:rPr>
  </w:style>
  <w:style w:type="paragraph" w:styleId="2">
    <w:name w:val="heading 1"/>
    <w:basedOn w:val="1"/>
    <w:next w:val="1"/>
    <w:qFormat/>
    <w:uiPriority w:val="9"/>
    <w:pPr>
      <w:keepNext/>
      <w:spacing w:line="300" w:lineRule="auto"/>
      <w:jc w:val="both"/>
      <w:outlineLvl w:val="0"/>
    </w:pPr>
    <w:rPr>
      <w:rFonts w:ascii="Arial" w:hAnsi="Arial" w:eastAsia="仿宋_GB2312" w:cs="Arial"/>
      <w:b/>
      <w:sz w:val="28"/>
    </w:rPr>
  </w:style>
  <w:style w:type="paragraph" w:styleId="3">
    <w:name w:val="heading 2"/>
    <w:basedOn w:val="1"/>
    <w:next w:val="1"/>
    <w:unhideWhenUsed/>
    <w:qFormat/>
    <w:uiPriority w:val="9"/>
    <w:pPr>
      <w:keepNext/>
      <w:numPr>
        <w:ilvl w:val="0"/>
        <w:numId w:val="1"/>
      </w:numPr>
      <w:spacing w:line="300" w:lineRule="auto"/>
      <w:outlineLvl w:val="1"/>
    </w:pPr>
    <w:rPr>
      <w:rFonts w:ascii="Arial" w:hAnsi="Arial" w:eastAsia="仿宋_GB2312" w:cs="Arial"/>
      <w:b/>
      <w:bCs/>
      <w:sz w:val="28"/>
    </w:rPr>
  </w:style>
  <w:style w:type="paragraph" w:styleId="4">
    <w:name w:val="heading 3"/>
    <w:basedOn w:val="1"/>
    <w:next w:val="1"/>
    <w:semiHidden/>
    <w:unhideWhenUsed/>
    <w:qFormat/>
    <w:uiPriority w:val="9"/>
    <w:pPr>
      <w:keepNext/>
      <w:numPr>
        <w:ilvl w:val="0"/>
        <w:numId w:val="2"/>
      </w:numPr>
      <w:tabs>
        <w:tab w:val="left" w:pos="0"/>
        <w:tab w:val="left" w:pos="1200"/>
      </w:tabs>
      <w:spacing w:line="440" w:lineRule="atLeast"/>
      <w:ind w:hanging="600"/>
      <w:jc w:val="both"/>
      <w:outlineLvl w:val="2"/>
    </w:pPr>
    <w:rPr>
      <w:rFonts w:ascii="仿宋_GB2312" w:hAnsi="仿宋_GB2312" w:eastAsia="仿宋_GB2312" w:cs="Arial"/>
      <w:sz w:val="28"/>
    </w:rPr>
  </w:style>
  <w:style w:type="paragraph" w:styleId="5">
    <w:name w:val="heading 4"/>
    <w:basedOn w:val="1"/>
    <w:next w:val="1"/>
    <w:semiHidden/>
    <w:unhideWhenUsed/>
    <w:qFormat/>
    <w:uiPriority w:val="9"/>
    <w:pPr>
      <w:keepNext/>
      <w:numPr>
        <w:ilvl w:val="0"/>
        <w:numId w:val="3"/>
      </w:numPr>
      <w:spacing w:line="440" w:lineRule="atLeast"/>
      <w:ind w:right="-22" w:firstLine="0"/>
      <w:outlineLvl w:val="3"/>
    </w:pPr>
    <w:rPr>
      <w:rFonts w:ascii="仿宋_GB2312" w:hAnsi="仿宋_GB2312" w:eastAsia="仿宋_GB2312"/>
      <w:sz w:val="28"/>
    </w:rPr>
  </w:style>
  <w:style w:type="paragraph" w:styleId="6">
    <w:name w:val="heading 5"/>
    <w:basedOn w:val="1"/>
    <w:next w:val="1"/>
    <w:semiHidden/>
    <w:unhideWhenUsed/>
    <w:qFormat/>
    <w:uiPriority w:val="9"/>
    <w:pPr>
      <w:keepNext/>
      <w:spacing w:line="500" w:lineRule="exact"/>
      <w:jc w:val="center"/>
      <w:outlineLvl w:val="4"/>
    </w:pPr>
    <w:rPr>
      <w:color w:val="000000"/>
    </w:rPr>
  </w:style>
  <w:style w:type="character" w:default="1" w:styleId="34">
    <w:name w:val="Default Paragraph Font"/>
    <w:semiHidden/>
    <w:unhideWhenUsed/>
    <w:qFormat/>
    <w:uiPriority w:val="1"/>
  </w:style>
  <w:style w:type="table" w:default="1" w:styleId="33">
    <w:name w:val="Normal Table"/>
    <w:semiHidden/>
    <w:unhideWhenUsed/>
    <w:qFormat/>
    <w:uiPriority w:val="99"/>
    <w:tblPr>
      <w:tblCellMar>
        <w:top w:w="0" w:type="dxa"/>
        <w:left w:w="108" w:type="dxa"/>
        <w:bottom w:w="0" w:type="dxa"/>
        <w:right w:w="108" w:type="dxa"/>
      </w:tblCellMar>
    </w:tblPr>
  </w:style>
  <w:style w:type="paragraph" w:styleId="7">
    <w:name w:val="toc 7"/>
    <w:basedOn w:val="1"/>
    <w:next w:val="1"/>
    <w:qFormat/>
    <w:uiPriority w:val="0"/>
    <w:pPr>
      <w:ind w:left="2520"/>
    </w:pPr>
  </w:style>
  <w:style w:type="paragraph" w:styleId="8">
    <w:name w:val="caption"/>
    <w:basedOn w:val="1"/>
    <w:next w:val="1"/>
    <w:qFormat/>
    <w:uiPriority w:val="0"/>
    <w:rPr>
      <w:rFonts w:ascii="Cambria" w:hAnsi="Cambria" w:eastAsia="黑体;SimHei"/>
      <w:sz w:val="20"/>
    </w:rPr>
  </w:style>
  <w:style w:type="paragraph" w:styleId="9">
    <w:name w:val="Document Map"/>
    <w:basedOn w:val="1"/>
    <w:qFormat/>
    <w:uiPriority w:val="0"/>
    <w:pPr>
      <w:shd w:val="clear" w:color="auto" w:fill="000080"/>
    </w:pPr>
  </w:style>
  <w:style w:type="paragraph" w:styleId="10">
    <w:name w:val="annotation text"/>
    <w:basedOn w:val="1"/>
    <w:qFormat/>
    <w:uiPriority w:val="0"/>
  </w:style>
  <w:style w:type="paragraph" w:styleId="11">
    <w:name w:val="Body Text"/>
    <w:basedOn w:val="1"/>
    <w:qFormat/>
    <w:uiPriority w:val="0"/>
    <w:rPr>
      <w:rFonts w:eastAsia="隶书"/>
      <w:sz w:val="52"/>
    </w:rPr>
  </w:style>
  <w:style w:type="paragraph" w:styleId="12">
    <w:name w:val="Body Text Indent"/>
    <w:basedOn w:val="1"/>
    <w:qFormat/>
    <w:uiPriority w:val="0"/>
    <w:pPr>
      <w:spacing w:before="120" w:line="360" w:lineRule="auto"/>
      <w:ind w:left="1145"/>
    </w:pPr>
    <w:rPr>
      <w:rFonts w:ascii="楷体_GB2312" w:hAnsi="楷体_GB2312" w:eastAsia="楷体_GB2312"/>
      <w:kern w:val="2"/>
      <w:sz w:val="28"/>
    </w:rPr>
  </w:style>
  <w:style w:type="paragraph" w:styleId="13">
    <w:name w:val="toc 5"/>
    <w:basedOn w:val="1"/>
    <w:next w:val="1"/>
    <w:qFormat/>
    <w:uiPriority w:val="0"/>
    <w:pPr>
      <w:ind w:left="1680"/>
    </w:pPr>
  </w:style>
  <w:style w:type="paragraph" w:styleId="14">
    <w:name w:val="toc 3"/>
    <w:basedOn w:val="1"/>
    <w:next w:val="1"/>
    <w:qFormat/>
    <w:uiPriority w:val="0"/>
    <w:pPr>
      <w:ind w:left="840"/>
    </w:pPr>
  </w:style>
  <w:style w:type="paragraph" w:styleId="15">
    <w:name w:val="Plain Text"/>
    <w:basedOn w:val="1"/>
    <w:qFormat/>
    <w:uiPriority w:val="0"/>
    <w:pPr>
      <w:spacing w:line="240" w:lineRule="auto"/>
      <w:jc w:val="both"/>
      <w:textAlignment w:val="auto"/>
    </w:pPr>
    <w:rPr>
      <w:rFonts w:ascii="宋体;SimSun" w:hAnsi="宋体;SimSun" w:cs="Courier New"/>
      <w:kern w:val="2"/>
      <w:sz w:val="21"/>
    </w:rPr>
  </w:style>
  <w:style w:type="paragraph" w:styleId="16">
    <w:name w:val="toc 8"/>
    <w:basedOn w:val="1"/>
    <w:next w:val="1"/>
    <w:qFormat/>
    <w:uiPriority w:val="0"/>
    <w:pPr>
      <w:ind w:left="2940"/>
    </w:pPr>
  </w:style>
  <w:style w:type="paragraph" w:styleId="17">
    <w:name w:val="Date"/>
    <w:basedOn w:val="1"/>
    <w:next w:val="1"/>
    <w:qFormat/>
    <w:uiPriority w:val="0"/>
    <w:pPr>
      <w:jc w:val="both"/>
    </w:pPr>
    <w:rPr>
      <w:rFonts w:ascii="楷体_GB2312" w:hAnsi="楷体_GB2312" w:eastAsia="楷体_GB2312"/>
      <w:b/>
      <w:sz w:val="28"/>
    </w:rPr>
  </w:style>
  <w:style w:type="paragraph" w:styleId="18">
    <w:name w:val="Body Text Indent 2"/>
    <w:basedOn w:val="1"/>
    <w:qFormat/>
    <w:uiPriority w:val="0"/>
    <w:pPr>
      <w:spacing w:before="120" w:line="360" w:lineRule="auto"/>
      <w:ind w:left="600" w:firstLine="480"/>
    </w:pPr>
    <w:rPr>
      <w:rFonts w:ascii="楷体_GB2312" w:hAnsi="楷体_GB2312" w:eastAsia="楷体_GB2312"/>
      <w:kern w:val="2"/>
      <w:sz w:val="28"/>
    </w:rPr>
  </w:style>
  <w:style w:type="paragraph" w:styleId="19">
    <w:name w:val="Balloon Text"/>
    <w:basedOn w:val="1"/>
    <w:qFormat/>
    <w:uiPriority w:val="0"/>
    <w:rPr>
      <w:sz w:val="18"/>
      <w:szCs w:val="18"/>
    </w:rPr>
  </w:style>
  <w:style w:type="paragraph" w:styleId="20">
    <w:name w:val="footer"/>
    <w:basedOn w:val="1"/>
    <w:qFormat/>
    <w:uiPriority w:val="0"/>
    <w:pPr>
      <w:tabs>
        <w:tab w:val="center" w:pos="4153"/>
        <w:tab w:val="right" w:pos="8306"/>
      </w:tabs>
      <w:spacing w:line="240" w:lineRule="atLeast"/>
    </w:pPr>
    <w:rPr>
      <w:sz w:val="18"/>
    </w:rPr>
  </w:style>
  <w:style w:type="paragraph" w:styleId="21">
    <w:name w:val="header"/>
    <w:basedOn w:val="1"/>
    <w:qFormat/>
    <w:uiPriority w:val="0"/>
    <w:pPr>
      <w:pBdr>
        <w:bottom w:val="single" w:color="000000" w:sz="6" w:space="1"/>
      </w:pBdr>
      <w:tabs>
        <w:tab w:val="center" w:pos="4153"/>
        <w:tab w:val="right" w:pos="8306"/>
      </w:tabs>
      <w:snapToGrid w:val="0"/>
      <w:spacing w:line="240" w:lineRule="atLeast"/>
      <w:jc w:val="center"/>
    </w:pPr>
    <w:rPr>
      <w:sz w:val="18"/>
    </w:rPr>
  </w:style>
  <w:style w:type="paragraph" w:styleId="22">
    <w:name w:val="toc 1"/>
    <w:basedOn w:val="1"/>
    <w:next w:val="1"/>
    <w:qFormat/>
    <w:uiPriority w:val="39"/>
    <w:pPr>
      <w:tabs>
        <w:tab w:val="right" w:leader="dot" w:pos="9072"/>
      </w:tabs>
      <w:spacing w:line="360" w:lineRule="auto"/>
    </w:pPr>
    <w:rPr>
      <w:rFonts w:ascii="楷体_GB2312" w:hAnsi="楷体_GB2312" w:eastAsia="楷体_GB2312"/>
      <w:b/>
      <w:bCs/>
      <w:sz w:val="30"/>
      <w:szCs w:val="30"/>
      <w:lang w:val="zh-CN"/>
    </w:rPr>
  </w:style>
  <w:style w:type="paragraph" w:styleId="23">
    <w:name w:val="toc 4"/>
    <w:basedOn w:val="1"/>
    <w:next w:val="1"/>
    <w:qFormat/>
    <w:uiPriority w:val="0"/>
    <w:pPr>
      <w:ind w:left="1260"/>
    </w:pPr>
  </w:style>
  <w:style w:type="paragraph" w:styleId="24">
    <w:name w:val="List"/>
    <w:basedOn w:val="11"/>
    <w:qFormat/>
    <w:uiPriority w:val="0"/>
    <w:rPr>
      <w:rFonts w:cs="Lucida Sans"/>
    </w:rPr>
  </w:style>
  <w:style w:type="paragraph" w:styleId="25">
    <w:name w:val="toc 6"/>
    <w:basedOn w:val="1"/>
    <w:next w:val="1"/>
    <w:qFormat/>
    <w:uiPriority w:val="0"/>
    <w:pPr>
      <w:ind w:left="2100"/>
    </w:pPr>
  </w:style>
  <w:style w:type="paragraph" w:styleId="26">
    <w:name w:val="Body Text Indent 3"/>
    <w:basedOn w:val="1"/>
    <w:qFormat/>
    <w:uiPriority w:val="0"/>
    <w:pPr>
      <w:spacing w:line="360" w:lineRule="auto"/>
      <w:ind w:left="600" w:firstLine="555"/>
      <w:outlineLvl w:val="0"/>
    </w:pPr>
    <w:rPr>
      <w:rFonts w:ascii="楷体_GB2312" w:hAnsi="楷体_GB2312" w:eastAsia="楷体_GB2312"/>
      <w:kern w:val="2"/>
      <w:sz w:val="28"/>
    </w:rPr>
  </w:style>
  <w:style w:type="paragraph" w:styleId="27">
    <w:name w:val="toc 2"/>
    <w:basedOn w:val="1"/>
    <w:next w:val="1"/>
    <w:qFormat/>
    <w:uiPriority w:val="39"/>
    <w:pPr>
      <w:tabs>
        <w:tab w:val="right" w:leader="dot" w:pos="9072"/>
      </w:tabs>
      <w:spacing w:line="360" w:lineRule="auto"/>
      <w:ind w:left="480"/>
    </w:pPr>
    <w:rPr>
      <w:rFonts w:eastAsia="楷体_GB2312"/>
      <w:lang w:val="zh-CN"/>
    </w:rPr>
  </w:style>
  <w:style w:type="paragraph" w:styleId="28">
    <w:name w:val="toc 9"/>
    <w:basedOn w:val="1"/>
    <w:next w:val="1"/>
    <w:qFormat/>
    <w:uiPriority w:val="0"/>
    <w:pPr>
      <w:ind w:left="3360"/>
    </w:pPr>
  </w:style>
  <w:style w:type="paragraph" w:styleId="29">
    <w:name w:val="Body Text 2"/>
    <w:basedOn w:val="1"/>
    <w:qFormat/>
    <w:uiPriority w:val="0"/>
    <w:pPr>
      <w:spacing w:line="360" w:lineRule="auto"/>
      <w:ind w:right="2"/>
    </w:pPr>
    <w:rPr>
      <w:rFonts w:eastAsia="仿宋_GB2312"/>
      <w:sz w:val="28"/>
    </w:rPr>
  </w:style>
  <w:style w:type="paragraph" w:styleId="30">
    <w:name w:val="Normal (Web)"/>
    <w:basedOn w:val="1"/>
    <w:qFormat/>
    <w:uiPriority w:val="0"/>
    <w:pPr>
      <w:widowControl/>
      <w:spacing w:line="360" w:lineRule="auto"/>
      <w:textAlignment w:val="auto"/>
    </w:pPr>
    <w:rPr>
      <w:rFonts w:ascii="宋体;SimSun" w:hAnsi="宋体;SimSun" w:cs="宋体;SimSun"/>
      <w:sz w:val="18"/>
      <w:szCs w:val="18"/>
    </w:rPr>
  </w:style>
  <w:style w:type="paragraph" w:styleId="31">
    <w:name w:val="annotation subject"/>
    <w:basedOn w:val="10"/>
    <w:next w:val="10"/>
    <w:qFormat/>
    <w:uiPriority w:val="0"/>
    <w:rPr>
      <w:b/>
      <w:bCs/>
    </w:rPr>
  </w:style>
  <w:style w:type="paragraph" w:styleId="32">
    <w:name w:val="Body Text First Indent"/>
    <w:basedOn w:val="11"/>
    <w:qFormat/>
    <w:uiPriority w:val="0"/>
    <w:pPr>
      <w:spacing w:after="120" w:line="240" w:lineRule="auto"/>
      <w:ind w:firstLine="420"/>
      <w:jc w:val="both"/>
      <w:textAlignment w:val="auto"/>
    </w:pPr>
    <w:rPr>
      <w:rFonts w:eastAsia="宋体;SimSun"/>
      <w:kern w:val="2"/>
      <w:sz w:val="21"/>
    </w:rPr>
  </w:style>
  <w:style w:type="character" w:styleId="35">
    <w:name w:val="page number"/>
    <w:basedOn w:val="34"/>
    <w:qFormat/>
    <w:uiPriority w:val="0"/>
  </w:style>
  <w:style w:type="character" w:styleId="36">
    <w:name w:val="Hyperlink"/>
    <w:basedOn w:val="34"/>
    <w:unhideWhenUsed/>
    <w:qFormat/>
    <w:uiPriority w:val="99"/>
    <w:rPr>
      <w:color w:val="0563C1" w:themeColor="hyperlink"/>
      <w:u w:val="single"/>
      <w14:textFill>
        <w14:solidFill>
          <w14:schemeClr w14:val="hlink"/>
        </w14:solidFill>
      </w14:textFill>
    </w:rPr>
  </w:style>
  <w:style w:type="character" w:styleId="37">
    <w:name w:val="annotation reference"/>
    <w:qFormat/>
    <w:uiPriority w:val="0"/>
    <w:rPr>
      <w:sz w:val="21"/>
      <w:szCs w:val="21"/>
    </w:rPr>
  </w:style>
  <w:style w:type="character" w:customStyle="1" w:styleId="38">
    <w:name w:val="WW8Num1z0"/>
    <w:qFormat/>
    <w:uiPriority w:val="0"/>
  </w:style>
  <w:style w:type="character" w:customStyle="1" w:styleId="39">
    <w:name w:val="WW8Num1z1"/>
    <w:qFormat/>
    <w:uiPriority w:val="0"/>
  </w:style>
  <w:style w:type="character" w:customStyle="1" w:styleId="40">
    <w:name w:val="WW8Num1z2"/>
    <w:qFormat/>
    <w:uiPriority w:val="0"/>
  </w:style>
  <w:style w:type="character" w:customStyle="1" w:styleId="41">
    <w:name w:val="WW8Num1z3"/>
    <w:qFormat/>
    <w:uiPriority w:val="0"/>
  </w:style>
  <w:style w:type="character" w:customStyle="1" w:styleId="42">
    <w:name w:val="WW8Num1z4"/>
    <w:qFormat/>
    <w:uiPriority w:val="0"/>
  </w:style>
  <w:style w:type="character" w:customStyle="1" w:styleId="43">
    <w:name w:val="WW8Num1z5"/>
    <w:qFormat/>
    <w:uiPriority w:val="0"/>
  </w:style>
  <w:style w:type="character" w:customStyle="1" w:styleId="44">
    <w:name w:val="WW8Num1z6"/>
    <w:qFormat/>
    <w:uiPriority w:val="0"/>
  </w:style>
  <w:style w:type="character" w:customStyle="1" w:styleId="45">
    <w:name w:val="WW8Num1z7"/>
    <w:qFormat/>
    <w:uiPriority w:val="0"/>
  </w:style>
  <w:style w:type="character" w:customStyle="1" w:styleId="46">
    <w:name w:val="WW8Num1z8"/>
    <w:qFormat/>
    <w:uiPriority w:val="0"/>
  </w:style>
  <w:style w:type="character" w:customStyle="1" w:styleId="47">
    <w:name w:val="WW8Num2z0"/>
    <w:qFormat/>
    <w:uiPriority w:val="0"/>
  </w:style>
  <w:style w:type="character" w:customStyle="1" w:styleId="48">
    <w:name w:val="WW8Num2z1"/>
    <w:qFormat/>
    <w:uiPriority w:val="0"/>
  </w:style>
  <w:style w:type="character" w:customStyle="1" w:styleId="49">
    <w:name w:val="WW8Num2z2"/>
    <w:qFormat/>
    <w:uiPriority w:val="0"/>
  </w:style>
  <w:style w:type="character" w:customStyle="1" w:styleId="50">
    <w:name w:val="WW8Num2z3"/>
    <w:qFormat/>
    <w:uiPriority w:val="0"/>
  </w:style>
  <w:style w:type="character" w:customStyle="1" w:styleId="51">
    <w:name w:val="WW8Num2z4"/>
    <w:qFormat/>
    <w:uiPriority w:val="0"/>
  </w:style>
  <w:style w:type="character" w:customStyle="1" w:styleId="52">
    <w:name w:val="WW8Num2z5"/>
    <w:qFormat/>
    <w:uiPriority w:val="0"/>
  </w:style>
  <w:style w:type="character" w:customStyle="1" w:styleId="53">
    <w:name w:val="WW8Num2z6"/>
    <w:qFormat/>
    <w:uiPriority w:val="0"/>
  </w:style>
  <w:style w:type="character" w:customStyle="1" w:styleId="54">
    <w:name w:val="WW8Num2z7"/>
    <w:qFormat/>
    <w:uiPriority w:val="0"/>
  </w:style>
  <w:style w:type="character" w:customStyle="1" w:styleId="55">
    <w:name w:val="WW8Num2z8"/>
    <w:qFormat/>
    <w:uiPriority w:val="0"/>
  </w:style>
  <w:style w:type="character" w:customStyle="1" w:styleId="56">
    <w:name w:val="WW8Num3z0"/>
    <w:qFormat/>
    <w:uiPriority w:val="0"/>
    <w:rPr>
      <w:rFonts w:ascii="宋体;SimSun" w:hAnsi="宋体;SimSun" w:cs="宋体;SimSun"/>
    </w:rPr>
  </w:style>
  <w:style w:type="character" w:customStyle="1" w:styleId="57">
    <w:name w:val="WW8Num3z1"/>
    <w:qFormat/>
    <w:uiPriority w:val="0"/>
  </w:style>
  <w:style w:type="character" w:customStyle="1" w:styleId="58">
    <w:name w:val="WW8Num3z2"/>
    <w:qFormat/>
    <w:uiPriority w:val="0"/>
  </w:style>
  <w:style w:type="character" w:customStyle="1" w:styleId="59">
    <w:name w:val="WW8Num3z3"/>
    <w:qFormat/>
    <w:uiPriority w:val="0"/>
  </w:style>
  <w:style w:type="character" w:customStyle="1" w:styleId="60">
    <w:name w:val="WW8Num3z4"/>
    <w:qFormat/>
    <w:uiPriority w:val="0"/>
  </w:style>
  <w:style w:type="character" w:customStyle="1" w:styleId="61">
    <w:name w:val="WW8Num3z5"/>
    <w:qFormat/>
    <w:uiPriority w:val="0"/>
  </w:style>
  <w:style w:type="character" w:customStyle="1" w:styleId="62">
    <w:name w:val="WW8Num3z6"/>
    <w:qFormat/>
    <w:uiPriority w:val="0"/>
  </w:style>
  <w:style w:type="character" w:customStyle="1" w:styleId="63">
    <w:name w:val="WW8Num3z7"/>
    <w:qFormat/>
    <w:uiPriority w:val="0"/>
  </w:style>
  <w:style w:type="character" w:customStyle="1" w:styleId="64">
    <w:name w:val="WW8Num3z8"/>
    <w:qFormat/>
    <w:uiPriority w:val="0"/>
  </w:style>
  <w:style w:type="character" w:customStyle="1" w:styleId="65">
    <w:name w:val="WW8Num4z0"/>
    <w:qFormat/>
    <w:uiPriority w:val="0"/>
    <w:rPr>
      <w:rFonts w:ascii="Arial" w:hAnsi="Arial" w:cs="Arial"/>
      <w:sz w:val="21"/>
      <w:szCs w:val="21"/>
    </w:rPr>
  </w:style>
  <w:style w:type="character" w:customStyle="1" w:styleId="66">
    <w:name w:val="WW8Num4z1"/>
    <w:qFormat/>
    <w:uiPriority w:val="0"/>
  </w:style>
  <w:style w:type="character" w:customStyle="1" w:styleId="67">
    <w:name w:val="WW8Num4z2"/>
    <w:qFormat/>
    <w:uiPriority w:val="0"/>
  </w:style>
  <w:style w:type="character" w:customStyle="1" w:styleId="68">
    <w:name w:val="WW8Num4z3"/>
    <w:qFormat/>
    <w:uiPriority w:val="0"/>
  </w:style>
  <w:style w:type="character" w:customStyle="1" w:styleId="69">
    <w:name w:val="WW8Num4z4"/>
    <w:qFormat/>
    <w:uiPriority w:val="0"/>
  </w:style>
  <w:style w:type="character" w:customStyle="1" w:styleId="70">
    <w:name w:val="WW8Num4z5"/>
    <w:qFormat/>
    <w:uiPriority w:val="0"/>
  </w:style>
  <w:style w:type="character" w:customStyle="1" w:styleId="71">
    <w:name w:val="WW8Num4z6"/>
    <w:qFormat/>
    <w:uiPriority w:val="0"/>
  </w:style>
  <w:style w:type="character" w:customStyle="1" w:styleId="72">
    <w:name w:val="WW8Num4z7"/>
    <w:qFormat/>
    <w:uiPriority w:val="0"/>
  </w:style>
  <w:style w:type="character" w:customStyle="1" w:styleId="73">
    <w:name w:val="WW8Num4z8"/>
    <w:qFormat/>
    <w:uiPriority w:val="0"/>
  </w:style>
  <w:style w:type="character" w:customStyle="1" w:styleId="74">
    <w:name w:val="WW8Num5z0"/>
    <w:qFormat/>
    <w:uiPriority w:val="0"/>
  </w:style>
  <w:style w:type="character" w:customStyle="1" w:styleId="75">
    <w:name w:val="WW8Num5z2"/>
    <w:qFormat/>
    <w:uiPriority w:val="0"/>
  </w:style>
  <w:style w:type="character" w:customStyle="1" w:styleId="76">
    <w:name w:val="WW8Num5z3"/>
    <w:qFormat/>
    <w:uiPriority w:val="0"/>
  </w:style>
  <w:style w:type="character" w:customStyle="1" w:styleId="77">
    <w:name w:val="WW8Num5z4"/>
    <w:qFormat/>
    <w:uiPriority w:val="0"/>
  </w:style>
  <w:style w:type="character" w:customStyle="1" w:styleId="78">
    <w:name w:val="WW8Num5z5"/>
    <w:qFormat/>
    <w:uiPriority w:val="0"/>
  </w:style>
  <w:style w:type="character" w:customStyle="1" w:styleId="79">
    <w:name w:val="WW8Num5z6"/>
    <w:qFormat/>
    <w:uiPriority w:val="0"/>
  </w:style>
  <w:style w:type="character" w:customStyle="1" w:styleId="80">
    <w:name w:val="WW8Num5z7"/>
    <w:qFormat/>
    <w:uiPriority w:val="0"/>
  </w:style>
  <w:style w:type="character" w:customStyle="1" w:styleId="81">
    <w:name w:val="WW8Num5z8"/>
    <w:qFormat/>
    <w:uiPriority w:val="0"/>
  </w:style>
  <w:style w:type="character" w:customStyle="1" w:styleId="82">
    <w:name w:val="WW8Num6z0"/>
    <w:qFormat/>
    <w:uiPriority w:val="0"/>
  </w:style>
  <w:style w:type="character" w:customStyle="1" w:styleId="83">
    <w:name w:val="WW8Num6z1"/>
    <w:qFormat/>
    <w:uiPriority w:val="0"/>
  </w:style>
  <w:style w:type="character" w:customStyle="1" w:styleId="84">
    <w:name w:val="WW8Num6z2"/>
    <w:qFormat/>
    <w:uiPriority w:val="0"/>
  </w:style>
  <w:style w:type="character" w:customStyle="1" w:styleId="85">
    <w:name w:val="WW8Num6z3"/>
    <w:qFormat/>
    <w:uiPriority w:val="0"/>
  </w:style>
  <w:style w:type="character" w:customStyle="1" w:styleId="86">
    <w:name w:val="WW8Num6z4"/>
    <w:qFormat/>
    <w:uiPriority w:val="0"/>
  </w:style>
  <w:style w:type="character" w:customStyle="1" w:styleId="87">
    <w:name w:val="WW8Num6z5"/>
    <w:qFormat/>
    <w:uiPriority w:val="0"/>
  </w:style>
  <w:style w:type="character" w:customStyle="1" w:styleId="88">
    <w:name w:val="WW8Num6z6"/>
    <w:qFormat/>
    <w:uiPriority w:val="0"/>
  </w:style>
  <w:style w:type="character" w:customStyle="1" w:styleId="89">
    <w:name w:val="WW8Num6z7"/>
    <w:qFormat/>
    <w:uiPriority w:val="0"/>
  </w:style>
  <w:style w:type="character" w:customStyle="1" w:styleId="90">
    <w:name w:val="WW8Num6z8"/>
    <w:qFormat/>
    <w:uiPriority w:val="0"/>
  </w:style>
  <w:style w:type="character" w:customStyle="1" w:styleId="91">
    <w:name w:val="WW8Num7z0"/>
    <w:qFormat/>
    <w:uiPriority w:val="0"/>
  </w:style>
  <w:style w:type="character" w:customStyle="1" w:styleId="92">
    <w:name w:val="WW8Num7z1"/>
    <w:qFormat/>
    <w:uiPriority w:val="0"/>
  </w:style>
  <w:style w:type="character" w:customStyle="1" w:styleId="93">
    <w:name w:val="WW8Num7z2"/>
    <w:qFormat/>
    <w:uiPriority w:val="0"/>
  </w:style>
  <w:style w:type="character" w:customStyle="1" w:styleId="94">
    <w:name w:val="WW8Num7z3"/>
    <w:qFormat/>
    <w:uiPriority w:val="0"/>
  </w:style>
  <w:style w:type="character" w:customStyle="1" w:styleId="95">
    <w:name w:val="WW8Num7z4"/>
    <w:qFormat/>
    <w:uiPriority w:val="0"/>
  </w:style>
  <w:style w:type="character" w:customStyle="1" w:styleId="96">
    <w:name w:val="WW8Num7z5"/>
    <w:qFormat/>
    <w:uiPriority w:val="0"/>
  </w:style>
  <w:style w:type="character" w:customStyle="1" w:styleId="97">
    <w:name w:val="WW8Num7z6"/>
    <w:qFormat/>
    <w:uiPriority w:val="0"/>
  </w:style>
  <w:style w:type="character" w:customStyle="1" w:styleId="98">
    <w:name w:val="WW8Num7z7"/>
    <w:qFormat/>
    <w:uiPriority w:val="0"/>
  </w:style>
  <w:style w:type="character" w:customStyle="1" w:styleId="99">
    <w:name w:val="WW8Num7z8"/>
    <w:qFormat/>
    <w:uiPriority w:val="0"/>
  </w:style>
  <w:style w:type="character" w:customStyle="1" w:styleId="100">
    <w:name w:val="WW8Num8z0"/>
    <w:qFormat/>
    <w:uiPriority w:val="0"/>
  </w:style>
  <w:style w:type="character" w:customStyle="1" w:styleId="101">
    <w:name w:val="WW8Num8z1"/>
    <w:qFormat/>
    <w:uiPriority w:val="0"/>
  </w:style>
  <w:style w:type="character" w:customStyle="1" w:styleId="102">
    <w:name w:val="WW8Num8z2"/>
    <w:qFormat/>
    <w:uiPriority w:val="0"/>
  </w:style>
  <w:style w:type="character" w:customStyle="1" w:styleId="103">
    <w:name w:val="WW8Num8z3"/>
    <w:qFormat/>
    <w:uiPriority w:val="0"/>
  </w:style>
  <w:style w:type="character" w:customStyle="1" w:styleId="104">
    <w:name w:val="WW8Num8z4"/>
    <w:qFormat/>
    <w:uiPriority w:val="0"/>
  </w:style>
  <w:style w:type="character" w:customStyle="1" w:styleId="105">
    <w:name w:val="WW8Num8z5"/>
    <w:qFormat/>
    <w:uiPriority w:val="0"/>
  </w:style>
  <w:style w:type="character" w:customStyle="1" w:styleId="106">
    <w:name w:val="WW8Num8z6"/>
    <w:qFormat/>
    <w:uiPriority w:val="0"/>
  </w:style>
  <w:style w:type="character" w:customStyle="1" w:styleId="107">
    <w:name w:val="WW8Num8z7"/>
    <w:qFormat/>
    <w:uiPriority w:val="0"/>
  </w:style>
  <w:style w:type="character" w:customStyle="1" w:styleId="108">
    <w:name w:val="WW8Num8z8"/>
    <w:qFormat/>
    <w:uiPriority w:val="0"/>
  </w:style>
  <w:style w:type="character" w:customStyle="1" w:styleId="109">
    <w:name w:val="WW8Num9z0"/>
    <w:qFormat/>
    <w:uiPriority w:val="0"/>
  </w:style>
  <w:style w:type="character" w:customStyle="1" w:styleId="110">
    <w:name w:val="WW8Num9z1"/>
    <w:qFormat/>
    <w:uiPriority w:val="0"/>
  </w:style>
  <w:style w:type="character" w:customStyle="1" w:styleId="111">
    <w:name w:val="WW8Num9z2"/>
    <w:qFormat/>
    <w:uiPriority w:val="0"/>
  </w:style>
  <w:style w:type="character" w:customStyle="1" w:styleId="112">
    <w:name w:val="WW8Num9z3"/>
    <w:qFormat/>
    <w:uiPriority w:val="0"/>
  </w:style>
  <w:style w:type="character" w:customStyle="1" w:styleId="113">
    <w:name w:val="WW8Num9z4"/>
    <w:qFormat/>
    <w:uiPriority w:val="0"/>
  </w:style>
  <w:style w:type="character" w:customStyle="1" w:styleId="114">
    <w:name w:val="WW8Num9z5"/>
    <w:qFormat/>
    <w:uiPriority w:val="0"/>
  </w:style>
  <w:style w:type="character" w:customStyle="1" w:styleId="115">
    <w:name w:val="WW8Num9z6"/>
    <w:qFormat/>
    <w:uiPriority w:val="0"/>
  </w:style>
  <w:style w:type="character" w:customStyle="1" w:styleId="116">
    <w:name w:val="WW8Num9z7"/>
    <w:qFormat/>
    <w:uiPriority w:val="0"/>
  </w:style>
  <w:style w:type="character" w:customStyle="1" w:styleId="117">
    <w:name w:val="WW8Num9z8"/>
    <w:qFormat/>
    <w:uiPriority w:val="0"/>
  </w:style>
  <w:style w:type="character" w:customStyle="1" w:styleId="118">
    <w:name w:val="WW8Num10z0"/>
    <w:qFormat/>
    <w:uiPriority w:val="0"/>
  </w:style>
  <w:style w:type="character" w:customStyle="1" w:styleId="119">
    <w:name w:val="WW8Num10z1"/>
    <w:qFormat/>
    <w:uiPriority w:val="0"/>
  </w:style>
  <w:style w:type="character" w:customStyle="1" w:styleId="120">
    <w:name w:val="WW8Num10z2"/>
    <w:qFormat/>
    <w:uiPriority w:val="0"/>
  </w:style>
  <w:style w:type="character" w:customStyle="1" w:styleId="121">
    <w:name w:val="WW8Num10z3"/>
    <w:qFormat/>
    <w:uiPriority w:val="0"/>
  </w:style>
  <w:style w:type="character" w:customStyle="1" w:styleId="122">
    <w:name w:val="WW8Num10z4"/>
    <w:qFormat/>
    <w:uiPriority w:val="0"/>
  </w:style>
  <w:style w:type="character" w:customStyle="1" w:styleId="123">
    <w:name w:val="WW8Num10z5"/>
    <w:qFormat/>
    <w:uiPriority w:val="0"/>
  </w:style>
  <w:style w:type="character" w:customStyle="1" w:styleId="124">
    <w:name w:val="WW8Num10z6"/>
    <w:qFormat/>
    <w:uiPriority w:val="0"/>
  </w:style>
  <w:style w:type="character" w:customStyle="1" w:styleId="125">
    <w:name w:val="WW8Num10z7"/>
    <w:qFormat/>
    <w:uiPriority w:val="0"/>
  </w:style>
  <w:style w:type="character" w:customStyle="1" w:styleId="126">
    <w:name w:val="WW8Num10z8"/>
    <w:qFormat/>
    <w:uiPriority w:val="0"/>
  </w:style>
  <w:style w:type="character" w:customStyle="1" w:styleId="127">
    <w:name w:val="WW8Num11z0"/>
    <w:qFormat/>
    <w:uiPriority w:val="0"/>
    <w:rPr>
      <w:rFonts w:ascii="Arial" w:hAnsi="Arial" w:cs="Arial"/>
      <w:color w:val="000000"/>
      <w:sz w:val="21"/>
      <w:szCs w:val="21"/>
    </w:rPr>
  </w:style>
  <w:style w:type="character" w:customStyle="1" w:styleId="128">
    <w:name w:val="WW8Num11z1"/>
    <w:qFormat/>
    <w:uiPriority w:val="0"/>
  </w:style>
  <w:style w:type="character" w:customStyle="1" w:styleId="129">
    <w:name w:val="WW8Num11z2"/>
    <w:qFormat/>
    <w:uiPriority w:val="0"/>
  </w:style>
  <w:style w:type="character" w:customStyle="1" w:styleId="130">
    <w:name w:val="WW8Num11z3"/>
    <w:qFormat/>
    <w:uiPriority w:val="0"/>
  </w:style>
  <w:style w:type="character" w:customStyle="1" w:styleId="131">
    <w:name w:val="WW8Num11z4"/>
    <w:qFormat/>
    <w:uiPriority w:val="0"/>
  </w:style>
  <w:style w:type="character" w:customStyle="1" w:styleId="132">
    <w:name w:val="WW8Num11z5"/>
    <w:qFormat/>
    <w:uiPriority w:val="0"/>
  </w:style>
  <w:style w:type="character" w:customStyle="1" w:styleId="133">
    <w:name w:val="WW8Num11z6"/>
    <w:qFormat/>
    <w:uiPriority w:val="0"/>
  </w:style>
  <w:style w:type="character" w:customStyle="1" w:styleId="134">
    <w:name w:val="WW8Num11z7"/>
    <w:qFormat/>
    <w:uiPriority w:val="0"/>
  </w:style>
  <w:style w:type="character" w:customStyle="1" w:styleId="135">
    <w:name w:val="WW8Num11z8"/>
    <w:qFormat/>
    <w:uiPriority w:val="0"/>
  </w:style>
  <w:style w:type="character" w:customStyle="1" w:styleId="136">
    <w:name w:val="WW8Num12z0"/>
    <w:qFormat/>
    <w:uiPriority w:val="0"/>
    <w:rPr>
      <w:rFonts w:ascii="Arial" w:hAnsi="Arial" w:eastAsia="Arial Unicode MS" w:cs="Arial"/>
    </w:rPr>
  </w:style>
  <w:style w:type="character" w:customStyle="1" w:styleId="137">
    <w:name w:val="WW8Num12z1"/>
    <w:qFormat/>
    <w:uiPriority w:val="0"/>
  </w:style>
  <w:style w:type="character" w:customStyle="1" w:styleId="138">
    <w:name w:val="WW8Num12z2"/>
    <w:qFormat/>
    <w:uiPriority w:val="0"/>
  </w:style>
  <w:style w:type="character" w:customStyle="1" w:styleId="139">
    <w:name w:val="WW8Num12z3"/>
    <w:qFormat/>
    <w:uiPriority w:val="0"/>
  </w:style>
  <w:style w:type="character" w:customStyle="1" w:styleId="140">
    <w:name w:val="WW8Num12z4"/>
    <w:qFormat/>
    <w:uiPriority w:val="0"/>
  </w:style>
  <w:style w:type="character" w:customStyle="1" w:styleId="141">
    <w:name w:val="WW8Num12z5"/>
    <w:qFormat/>
    <w:uiPriority w:val="0"/>
  </w:style>
  <w:style w:type="character" w:customStyle="1" w:styleId="142">
    <w:name w:val="WW8Num12z6"/>
    <w:qFormat/>
    <w:uiPriority w:val="0"/>
  </w:style>
  <w:style w:type="character" w:customStyle="1" w:styleId="143">
    <w:name w:val="WW8Num12z7"/>
    <w:qFormat/>
    <w:uiPriority w:val="0"/>
  </w:style>
  <w:style w:type="character" w:customStyle="1" w:styleId="144">
    <w:name w:val="WW8Num12z8"/>
    <w:qFormat/>
    <w:uiPriority w:val="0"/>
  </w:style>
  <w:style w:type="character" w:customStyle="1" w:styleId="145">
    <w:name w:val="WW8Num13z0"/>
    <w:qFormat/>
    <w:uiPriority w:val="0"/>
  </w:style>
  <w:style w:type="character" w:customStyle="1" w:styleId="146">
    <w:name w:val="WW8Num13z1"/>
    <w:qFormat/>
    <w:uiPriority w:val="0"/>
  </w:style>
  <w:style w:type="character" w:customStyle="1" w:styleId="147">
    <w:name w:val="WW8Num13z2"/>
    <w:qFormat/>
    <w:uiPriority w:val="0"/>
  </w:style>
  <w:style w:type="character" w:customStyle="1" w:styleId="148">
    <w:name w:val="WW8Num13z3"/>
    <w:qFormat/>
    <w:uiPriority w:val="0"/>
  </w:style>
  <w:style w:type="character" w:customStyle="1" w:styleId="149">
    <w:name w:val="WW8Num13z4"/>
    <w:qFormat/>
    <w:uiPriority w:val="0"/>
  </w:style>
  <w:style w:type="character" w:customStyle="1" w:styleId="150">
    <w:name w:val="WW8Num13z5"/>
    <w:qFormat/>
    <w:uiPriority w:val="0"/>
  </w:style>
  <w:style w:type="character" w:customStyle="1" w:styleId="151">
    <w:name w:val="WW8Num13z6"/>
    <w:qFormat/>
    <w:uiPriority w:val="0"/>
  </w:style>
  <w:style w:type="character" w:customStyle="1" w:styleId="152">
    <w:name w:val="WW8Num13z7"/>
    <w:qFormat/>
    <w:uiPriority w:val="0"/>
  </w:style>
  <w:style w:type="character" w:customStyle="1" w:styleId="153">
    <w:name w:val="WW8Num13z8"/>
    <w:qFormat/>
    <w:uiPriority w:val="0"/>
  </w:style>
  <w:style w:type="character" w:customStyle="1" w:styleId="154">
    <w:name w:val="WW8Num14z0"/>
    <w:qFormat/>
    <w:uiPriority w:val="0"/>
    <w:rPr>
      <w:rFonts w:cs="Arial"/>
    </w:rPr>
  </w:style>
  <w:style w:type="character" w:customStyle="1" w:styleId="155">
    <w:name w:val="WW8Num14z1"/>
    <w:qFormat/>
    <w:uiPriority w:val="0"/>
  </w:style>
  <w:style w:type="character" w:customStyle="1" w:styleId="156">
    <w:name w:val="WW8Num14z2"/>
    <w:qFormat/>
    <w:uiPriority w:val="0"/>
  </w:style>
  <w:style w:type="character" w:customStyle="1" w:styleId="157">
    <w:name w:val="WW8Num14z3"/>
    <w:qFormat/>
    <w:uiPriority w:val="0"/>
  </w:style>
  <w:style w:type="character" w:customStyle="1" w:styleId="158">
    <w:name w:val="WW8Num14z4"/>
    <w:qFormat/>
    <w:uiPriority w:val="0"/>
  </w:style>
  <w:style w:type="character" w:customStyle="1" w:styleId="159">
    <w:name w:val="WW8Num14z5"/>
    <w:qFormat/>
    <w:uiPriority w:val="0"/>
  </w:style>
  <w:style w:type="character" w:customStyle="1" w:styleId="160">
    <w:name w:val="WW8Num14z6"/>
    <w:qFormat/>
    <w:uiPriority w:val="0"/>
  </w:style>
  <w:style w:type="character" w:customStyle="1" w:styleId="161">
    <w:name w:val="WW8Num14z7"/>
    <w:qFormat/>
    <w:uiPriority w:val="0"/>
  </w:style>
  <w:style w:type="character" w:customStyle="1" w:styleId="162">
    <w:name w:val="WW8Num14z8"/>
    <w:qFormat/>
    <w:uiPriority w:val="0"/>
  </w:style>
  <w:style w:type="character" w:customStyle="1" w:styleId="163">
    <w:name w:val="WW8Num15z0"/>
    <w:qFormat/>
    <w:uiPriority w:val="0"/>
    <w:rPr>
      <w:rFonts w:ascii="Arial" w:hAnsi="Arial" w:cs="Arial"/>
      <w:sz w:val="21"/>
      <w:szCs w:val="21"/>
    </w:rPr>
  </w:style>
  <w:style w:type="character" w:customStyle="1" w:styleId="164">
    <w:name w:val="WW8Num15z1"/>
    <w:qFormat/>
    <w:uiPriority w:val="0"/>
  </w:style>
  <w:style w:type="character" w:customStyle="1" w:styleId="165">
    <w:name w:val="WW8Num15z2"/>
    <w:qFormat/>
    <w:uiPriority w:val="0"/>
  </w:style>
  <w:style w:type="character" w:customStyle="1" w:styleId="166">
    <w:name w:val="WW8Num15z3"/>
    <w:qFormat/>
    <w:uiPriority w:val="0"/>
  </w:style>
  <w:style w:type="character" w:customStyle="1" w:styleId="167">
    <w:name w:val="WW8Num15z4"/>
    <w:qFormat/>
    <w:uiPriority w:val="0"/>
  </w:style>
  <w:style w:type="character" w:customStyle="1" w:styleId="168">
    <w:name w:val="WW8Num15z5"/>
    <w:qFormat/>
    <w:uiPriority w:val="0"/>
  </w:style>
  <w:style w:type="character" w:customStyle="1" w:styleId="169">
    <w:name w:val="WW8Num15z6"/>
    <w:qFormat/>
    <w:uiPriority w:val="0"/>
  </w:style>
  <w:style w:type="character" w:customStyle="1" w:styleId="170">
    <w:name w:val="WW8Num15z7"/>
    <w:qFormat/>
    <w:uiPriority w:val="0"/>
  </w:style>
  <w:style w:type="character" w:customStyle="1" w:styleId="171">
    <w:name w:val="WW8Num15z8"/>
    <w:qFormat/>
    <w:uiPriority w:val="0"/>
  </w:style>
  <w:style w:type="character" w:customStyle="1" w:styleId="172">
    <w:name w:val="WW8Num16z0"/>
    <w:qFormat/>
    <w:uiPriority w:val="0"/>
  </w:style>
  <w:style w:type="character" w:customStyle="1" w:styleId="173">
    <w:name w:val="WW8Num16z1"/>
    <w:qFormat/>
    <w:uiPriority w:val="0"/>
  </w:style>
  <w:style w:type="character" w:customStyle="1" w:styleId="174">
    <w:name w:val="WW8Num16z2"/>
    <w:qFormat/>
    <w:uiPriority w:val="0"/>
  </w:style>
  <w:style w:type="character" w:customStyle="1" w:styleId="175">
    <w:name w:val="WW8Num16z3"/>
    <w:qFormat/>
    <w:uiPriority w:val="0"/>
  </w:style>
  <w:style w:type="character" w:customStyle="1" w:styleId="176">
    <w:name w:val="WW8Num16z4"/>
    <w:qFormat/>
    <w:uiPriority w:val="0"/>
  </w:style>
  <w:style w:type="character" w:customStyle="1" w:styleId="177">
    <w:name w:val="WW8Num16z5"/>
    <w:qFormat/>
    <w:uiPriority w:val="0"/>
  </w:style>
  <w:style w:type="character" w:customStyle="1" w:styleId="178">
    <w:name w:val="WW8Num16z6"/>
    <w:qFormat/>
    <w:uiPriority w:val="0"/>
  </w:style>
  <w:style w:type="character" w:customStyle="1" w:styleId="179">
    <w:name w:val="WW8Num16z7"/>
    <w:qFormat/>
    <w:uiPriority w:val="0"/>
  </w:style>
  <w:style w:type="character" w:customStyle="1" w:styleId="180">
    <w:name w:val="WW8Num16z8"/>
    <w:qFormat/>
    <w:uiPriority w:val="0"/>
  </w:style>
  <w:style w:type="character" w:customStyle="1" w:styleId="181">
    <w:name w:val="WW8Num17z0"/>
    <w:qFormat/>
    <w:uiPriority w:val="0"/>
    <w:rPr>
      <w:rFonts w:ascii="Arial" w:hAnsi="Arial" w:cs="Arial"/>
      <w:sz w:val="21"/>
      <w:szCs w:val="21"/>
    </w:rPr>
  </w:style>
  <w:style w:type="character" w:customStyle="1" w:styleId="182">
    <w:name w:val="WW8Num17z1"/>
    <w:qFormat/>
    <w:uiPriority w:val="0"/>
  </w:style>
  <w:style w:type="character" w:customStyle="1" w:styleId="183">
    <w:name w:val="WW8Num17z2"/>
    <w:qFormat/>
    <w:uiPriority w:val="0"/>
  </w:style>
  <w:style w:type="character" w:customStyle="1" w:styleId="184">
    <w:name w:val="WW8Num17z3"/>
    <w:qFormat/>
    <w:uiPriority w:val="0"/>
  </w:style>
  <w:style w:type="character" w:customStyle="1" w:styleId="185">
    <w:name w:val="WW8Num17z4"/>
    <w:qFormat/>
    <w:uiPriority w:val="0"/>
  </w:style>
  <w:style w:type="character" w:customStyle="1" w:styleId="186">
    <w:name w:val="WW8Num17z5"/>
    <w:qFormat/>
    <w:uiPriority w:val="0"/>
  </w:style>
  <w:style w:type="character" w:customStyle="1" w:styleId="187">
    <w:name w:val="WW8Num17z6"/>
    <w:qFormat/>
    <w:uiPriority w:val="0"/>
  </w:style>
  <w:style w:type="character" w:customStyle="1" w:styleId="188">
    <w:name w:val="WW8Num17z7"/>
    <w:qFormat/>
    <w:uiPriority w:val="0"/>
  </w:style>
  <w:style w:type="character" w:customStyle="1" w:styleId="189">
    <w:name w:val="WW8Num17z8"/>
    <w:qFormat/>
    <w:uiPriority w:val="0"/>
  </w:style>
  <w:style w:type="character" w:customStyle="1" w:styleId="190">
    <w:name w:val="WW8Num18z0"/>
    <w:qFormat/>
    <w:uiPriority w:val="0"/>
    <w:rPr>
      <w:rFonts w:ascii="微软雅黑" w:hAnsi="微软雅黑" w:eastAsia="微软雅黑" w:cs="Times New Roman"/>
    </w:rPr>
  </w:style>
  <w:style w:type="character" w:customStyle="1" w:styleId="191">
    <w:name w:val="WW8Num18z1"/>
    <w:qFormat/>
    <w:uiPriority w:val="0"/>
    <w:rPr>
      <w:rFonts w:ascii="Wingdings" w:hAnsi="Wingdings" w:cs="Wingdings"/>
    </w:rPr>
  </w:style>
  <w:style w:type="character" w:customStyle="1" w:styleId="192">
    <w:name w:val="WW8Num19z0"/>
    <w:qFormat/>
    <w:uiPriority w:val="0"/>
  </w:style>
  <w:style w:type="character" w:customStyle="1" w:styleId="193">
    <w:name w:val="WW8Num19z1"/>
    <w:qFormat/>
    <w:uiPriority w:val="0"/>
  </w:style>
  <w:style w:type="character" w:customStyle="1" w:styleId="194">
    <w:name w:val="WW8Num19z2"/>
    <w:qFormat/>
    <w:uiPriority w:val="0"/>
  </w:style>
  <w:style w:type="character" w:customStyle="1" w:styleId="195">
    <w:name w:val="WW8Num19z3"/>
    <w:qFormat/>
    <w:uiPriority w:val="0"/>
  </w:style>
  <w:style w:type="character" w:customStyle="1" w:styleId="196">
    <w:name w:val="WW8Num19z4"/>
    <w:qFormat/>
    <w:uiPriority w:val="0"/>
  </w:style>
  <w:style w:type="character" w:customStyle="1" w:styleId="197">
    <w:name w:val="WW8Num19z5"/>
    <w:qFormat/>
    <w:uiPriority w:val="0"/>
  </w:style>
  <w:style w:type="character" w:customStyle="1" w:styleId="198">
    <w:name w:val="WW8Num19z6"/>
    <w:qFormat/>
    <w:uiPriority w:val="0"/>
  </w:style>
  <w:style w:type="character" w:customStyle="1" w:styleId="199">
    <w:name w:val="WW8Num19z7"/>
    <w:qFormat/>
    <w:uiPriority w:val="0"/>
  </w:style>
  <w:style w:type="character" w:customStyle="1" w:styleId="200">
    <w:name w:val="WW8Num19z8"/>
    <w:qFormat/>
    <w:uiPriority w:val="0"/>
  </w:style>
  <w:style w:type="character" w:customStyle="1" w:styleId="201">
    <w:name w:val="WW8Num20z0"/>
    <w:qFormat/>
    <w:uiPriority w:val="0"/>
  </w:style>
  <w:style w:type="character" w:customStyle="1" w:styleId="202">
    <w:name w:val="WW8Num20z1"/>
    <w:qFormat/>
    <w:uiPriority w:val="0"/>
  </w:style>
  <w:style w:type="character" w:customStyle="1" w:styleId="203">
    <w:name w:val="WW8Num20z2"/>
    <w:qFormat/>
    <w:uiPriority w:val="0"/>
  </w:style>
  <w:style w:type="character" w:customStyle="1" w:styleId="204">
    <w:name w:val="WW8Num20z3"/>
    <w:qFormat/>
    <w:uiPriority w:val="0"/>
  </w:style>
  <w:style w:type="character" w:customStyle="1" w:styleId="205">
    <w:name w:val="WW8Num20z4"/>
    <w:qFormat/>
    <w:uiPriority w:val="0"/>
  </w:style>
  <w:style w:type="character" w:customStyle="1" w:styleId="206">
    <w:name w:val="WW8Num20z5"/>
    <w:qFormat/>
    <w:uiPriority w:val="0"/>
  </w:style>
  <w:style w:type="character" w:customStyle="1" w:styleId="207">
    <w:name w:val="WW8Num20z6"/>
    <w:qFormat/>
    <w:uiPriority w:val="0"/>
  </w:style>
  <w:style w:type="character" w:customStyle="1" w:styleId="208">
    <w:name w:val="WW8Num20z7"/>
    <w:qFormat/>
    <w:uiPriority w:val="0"/>
  </w:style>
  <w:style w:type="character" w:customStyle="1" w:styleId="209">
    <w:name w:val="WW8Num20z8"/>
    <w:qFormat/>
    <w:uiPriority w:val="0"/>
  </w:style>
  <w:style w:type="character" w:customStyle="1" w:styleId="210">
    <w:name w:val="WW8Num21z0"/>
    <w:qFormat/>
    <w:uiPriority w:val="0"/>
  </w:style>
  <w:style w:type="character" w:customStyle="1" w:styleId="211">
    <w:name w:val="WW8Num21z1"/>
    <w:qFormat/>
    <w:uiPriority w:val="0"/>
  </w:style>
  <w:style w:type="character" w:customStyle="1" w:styleId="212">
    <w:name w:val="WW8Num21z2"/>
    <w:qFormat/>
    <w:uiPriority w:val="0"/>
  </w:style>
  <w:style w:type="character" w:customStyle="1" w:styleId="213">
    <w:name w:val="WW8Num21z3"/>
    <w:qFormat/>
    <w:uiPriority w:val="0"/>
  </w:style>
  <w:style w:type="character" w:customStyle="1" w:styleId="214">
    <w:name w:val="WW8Num21z4"/>
    <w:qFormat/>
    <w:uiPriority w:val="0"/>
  </w:style>
  <w:style w:type="character" w:customStyle="1" w:styleId="215">
    <w:name w:val="WW8Num21z5"/>
    <w:qFormat/>
    <w:uiPriority w:val="0"/>
  </w:style>
  <w:style w:type="character" w:customStyle="1" w:styleId="216">
    <w:name w:val="WW8Num21z6"/>
    <w:qFormat/>
    <w:uiPriority w:val="0"/>
  </w:style>
  <w:style w:type="character" w:customStyle="1" w:styleId="217">
    <w:name w:val="WW8Num21z7"/>
    <w:qFormat/>
    <w:uiPriority w:val="0"/>
  </w:style>
  <w:style w:type="character" w:customStyle="1" w:styleId="218">
    <w:name w:val="WW8Num21z8"/>
    <w:qFormat/>
    <w:uiPriority w:val="0"/>
  </w:style>
  <w:style w:type="character" w:customStyle="1" w:styleId="219">
    <w:name w:val="WW8Num22z0"/>
    <w:qFormat/>
    <w:uiPriority w:val="0"/>
    <w:rPr>
      <w:rFonts w:ascii="宋体;SimSun" w:hAnsi="宋体;SimSun" w:cs="宋体;SimSun"/>
    </w:rPr>
  </w:style>
  <w:style w:type="character" w:customStyle="1" w:styleId="220">
    <w:name w:val="WW8Num22z1"/>
    <w:qFormat/>
    <w:uiPriority w:val="0"/>
  </w:style>
  <w:style w:type="character" w:customStyle="1" w:styleId="221">
    <w:name w:val="WW8Num22z2"/>
    <w:qFormat/>
    <w:uiPriority w:val="0"/>
  </w:style>
  <w:style w:type="character" w:customStyle="1" w:styleId="222">
    <w:name w:val="WW8Num22z3"/>
    <w:qFormat/>
    <w:uiPriority w:val="0"/>
  </w:style>
  <w:style w:type="character" w:customStyle="1" w:styleId="223">
    <w:name w:val="WW8Num22z4"/>
    <w:qFormat/>
    <w:uiPriority w:val="0"/>
  </w:style>
  <w:style w:type="character" w:customStyle="1" w:styleId="224">
    <w:name w:val="WW8Num22z5"/>
    <w:qFormat/>
    <w:uiPriority w:val="0"/>
  </w:style>
  <w:style w:type="character" w:customStyle="1" w:styleId="225">
    <w:name w:val="WW8Num22z6"/>
    <w:qFormat/>
    <w:uiPriority w:val="0"/>
  </w:style>
  <w:style w:type="character" w:customStyle="1" w:styleId="226">
    <w:name w:val="WW8Num22z7"/>
    <w:qFormat/>
    <w:uiPriority w:val="0"/>
  </w:style>
  <w:style w:type="character" w:customStyle="1" w:styleId="227">
    <w:name w:val="WW8Num22z8"/>
    <w:qFormat/>
    <w:uiPriority w:val="0"/>
  </w:style>
  <w:style w:type="character" w:customStyle="1" w:styleId="228">
    <w:name w:val="WW8Num23z0"/>
    <w:qFormat/>
    <w:uiPriority w:val="0"/>
  </w:style>
  <w:style w:type="character" w:customStyle="1" w:styleId="229">
    <w:name w:val="WW8Num23z1"/>
    <w:qFormat/>
    <w:uiPriority w:val="0"/>
  </w:style>
  <w:style w:type="character" w:customStyle="1" w:styleId="230">
    <w:name w:val="WW8Num23z2"/>
    <w:qFormat/>
    <w:uiPriority w:val="0"/>
  </w:style>
  <w:style w:type="character" w:customStyle="1" w:styleId="231">
    <w:name w:val="WW8Num23z3"/>
    <w:qFormat/>
    <w:uiPriority w:val="0"/>
  </w:style>
  <w:style w:type="character" w:customStyle="1" w:styleId="232">
    <w:name w:val="WW8Num23z4"/>
    <w:qFormat/>
    <w:uiPriority w:val="0"/>
  </w:style>
  <w:style w:type="character" w:customStyle="1" w:styleId="233">
    <w:name w:val="WW8Num23z5"/>
    <w:qFormat/>
    <w:uiPriority w:val="0"/>
  </w:style>
  <w:style w:type="character" w:customStyle="1" w:styleId="234">
    <w:name w:val="WW8Num23z6"/>
    <w:qFormat/>
    <w:uiPriority w:val="0"/>
  </w:style>
  <w:style w:type="character" w:customStyle="1" w:styleId="235">
    <w:name w:val="WW8Num23z7"/>
    <w:qFormat/>
    <w:uiPriority w:val="0"/>
  </w:style>
  <w:style w:type="character" w:customStyle="1" w:styleId="236">
    <w:name w:val="WW8Num23z8"/>
    <w:qFormat/>
    <w:uiPriority w:val="0"/>
  </w:style>
  <w:style w:type="character" w:customStyle="1" w:styleId="237">
    <w:name w:val="WW8Num24z0"/>
    <w:qFormat/>
    <w:uiPriority w:val="0"/>
  </w:style>
  <w:style w:type="character" w:customStyle="1" w:styleId="238">
    <w:name w:val="WW8Num24z1"/>
    <w:qFormat/>
    <w:uiPriority w:val="0"/>
  </w:style>
  <w:style w:type="character" w:customStyle="1" w:styleId="239">
    <w:name w:val="WW8Num24z2"/>
    <w:qFormat/>
    <w:uiPriority w:val="0"/>
  </w:style>
  <w:style w:type="character" w:customStyle="1" w:styleId="240">
    <w:name w:val="WW8Num24z3"/>
    <w:qFormat/>
    <w:uiPriority w:val="0"/>
  </w:style>
  <w:style w:type="character" w:customStyle="1" w:styleId="241">
    <w:name w:val="WW8Num24z4"/>
    <w:qFormat/>
    <w:uiPriority w:val="0"/>
  </w:style>
  <w:style w:type="character" w:customStyle="1" w:styleId="242">
    <w:name w:val="WW8Num24z5"/>
    <w:qFormat/>
    <w:uiPriority w:val="0"/>
  </w:style>
  <w:style w:type="character" w:customStyle="1" w:styleId="243">
    <w:name w:val="WW8Num24z6"/>
    <w:qFormat/>
    <w:uiPriority w:val="0"/>
  </w:style>
  <w:style w:type="character" w:customStyle="1" w:styleId="244">
    <w:name w:val="WW8Num24z7"/>
    <w:qFormat/>
    <w:uiPriority w:val="0"/>
  </w:style>
  <w:style w:type="character" w:customStyle="1" w:styleId="245">
    <w:name w:val="WW8Num24z8"/>
    <w:qFormat/>
    <w:uiPriority w:val="0"/>
  </w:style>
  <w:style w:type="character" w:customStyle="1" w:styleId="246">
    <w:name w:val="无间隔 字符"/>
    <w:qFormat/>
    <w:uiPriority w:val="0"/>
    <w:rPr>
      <w:rFonts w:ascii="Calibri" w:hAnsi="Calibri" w:cs="Calibri"/>
      <w:sz w:val="22"/>
      <w:szCs w:val="22"/>
      <w:lang w:bidi="ar-SA"/>
    </w:rPr>
  </w:style>
  <w:style w:type="character" w:customStyle="1" w:styleId="247">
    <w:name w:val="页眉 字符"/>
    <w:qFormat/>
    <w:uiPriority w:val="0"/>
    <w:rPr>
      <w:sz w:val="18"/>
    </w:rPr>
  </w:style>
  <w:style w:type="character" w:customStyle="1" w:styleId="248">
    <w:name w:val="页脚 字符"/>
    <w:qFormat/>
    <w:uiPriority w:val="0"/>
    <w:rPr>
      <w:sz w:val="18"/>
    </w:rPr>
  </w:style>
  <w:style w:type="character" w:customStyle="1" w:styleId="249">
    <w:name w:val="unnamed11"/>
    <w:qFormat/>
    <w:uiPriority w:val="0"/>
    <w:rPr>
      <w:rFonts w:ascii="宋体;SimSun" w:hAnsi="宋体;SimSun" w:eastAsia="宋体;SimSun" w:cs="宋体;SimSun"/>
      <w:color w:val="000000"/>
      <w:sz w:val="18"/>
      <w:u w:val="none"/>
    </w:rPr>
  </w:style>
  <w:style w:type="character" w:customStyle="1" w:styleId="250">
    <w:name w:val="text1"/>
    <w:qFormat/>
    <w:uiPriority w:val="0"/>
    <w:rPr>
      <w:spacing w:val="10"/>
      <w:sz w:val="28"/>
      <w:szCs w:val="28"/>
    </w:rPr>
  </w:style>
  <w:style w:type="character" w:customStyle="1" w:styleId="251">
    <w:name w:val="批注文字 字符"/>
    <w:qFormat/>
    <w:uiPriority w:val="0"/>
    <w:rPr>
      <w:sz w:val="24"/>
    </w:rPr>
  </w:style>
  <w:style w:type="character" w:customStyle="1" w:styleId="252">
    <w:name w:val="访问过的 Internet 链接"/>
    <w:qFormat/>
    <w:uiPriority w:val="0"/>
    <w:rPr>
      <w:color w:val="800080"/>
      <w:u w:val="single"/>
    </w:rPr>
  </w:style>
  <w:style w:type="character" w:customStyle="1" w:styleId="253">
    <w:name w:val="nr1"/>
    <w:qFormat/>
    <w:uiPriority w:val="0"/>
    <w:rPr>
      <w:rFonts w:ascii="楷体_GB2312" w:hAnsi="楷体_GB2312" w:eastAsia="楷体_GB2312"/>
      <w:color w:val="000000"/>
      <w:sz w:val="24"/>
    </w:rPr>
  </w:style>
  <w:style w:type="character" w:customStyle="1" w:styleId="254">
    <w:name w:val="文档结构图 字符"/>
    <w:qFormat/>
    <w:uiPriority w:val="0"/>
    <w:rPr>
      <w:sz w:val="24"/>
      <w:shd w:val="clear" w:color="auto" w:fill="000080"/>
    </w:rPr>
  </w:style>
  <w:style w:type="character" w:customStyle="1" w:styleId="255">
    <w:name w:val="特别强调"/>
    <w:qFormat/>
    <w:uiPriority w:val="0"/>
    <w:rPr>
      <w:b/>
      <w:bCs/>
    </w:rPr>
  </w:style>
  <w:style w:type="character" w:customStyle="1" w:styleId="256">
    <w:name w:val="t12h291"/>
    <w:qFormat/>
    <w:uiPriority w:val="0"/>
    <w:rPr>
      <w:color w:val="000000"/>
      <w:sz w:val="24"/>
    </w:rPr>
  </w:style>
  <w:style w:type="character" w:customStyle="1" w:styleId="257">
    <w:name w:val="Internet 链接"/>
    <w:qFormat/>
    <w:uiPriority w:val="0"/>
    <w:rPr>
      <w:color w:val="0000FF"/>
      <w:u w:val="single"/>
    </w:rPr>
  </w:style>
  <w:style w:type="character" w:customStyle="1" w:styleId="258">
    <w:name w:val="标题 5 Char"/>
    <w:qFormat/>
    <w:uiPriority w:val="0"/>
    <w:rPr>
      <w:rFonts w:ascii="楷体_GB2312" w:hAnsi="楷体_GB2312" w:eastAsia="楷体_GB2312"/>
      <w:color w:val="000000"/>
      <w:sz w:val="28"/>
    </w:rPr>
  </w:style>
  <w:style w:type="paragraph" w:customStyle="1" w:styleId="259">
    <w:name w:val="标题样式"/>
    <w:basedOn w:val="1"/>
    <w:next w:val="11"/>
    <w:qFormat/>
    <w:uiPriority w:val="0"/>
    <w:pPr>
      <w:keepNext/>
      <w:spacing w:before="240" w:after="120"/>
    </w:pPr>
    <w:rPr>
      <w:rFonts w:ascii="Liberation Sans" w:hAnsi="Liberation Sans" w:eastAsia="微软雅黑" w:cs="Lucida Sans"/>
      <w:sz w:val="28"/>
      <w:szCs w:val="28"/>
    </w:rPr>
  </w:style>
  <w:style w:type="paragraph" w:customStyle="1" w:styleId="260">
    <w:name w:val="索引"/>
    <w:basedOn w:val="1"/>
    <w:qFormat/>
    <w:uiPriority w:val="0"/>
    <w:pPr>
      <w:suppressLineNumbers/>
    </w:pPr>
    <w:rPr>
      <w:rFonts w:cs="Lucida Sans"/>
    </w:rPr>
  </w:style>
  <w:style w:type="paragraph" w:customStyle="1" w:styleId="261">
    <w:name w:val="Table Paragraph"/>
    <w:basedOn w:val="1"/>
    <w:qFormat/>
    <w:uiPriority w:val="0"/>
    <w:pPr>
      <w:autoSpaceDE w:val="0"/>
      <w:spacing w:line="240" w:lineRule="auto"/>
      <w:textAlignment w:val="auto"/>
    </w:pPr>
    <w:rPr>
      <w:rFonts w:ascii="宋体;SimSun" w:hAnsi="宋体;SimSun" w:cs="宋体;SimSun"/>
      <w:sz w:val="22"/>
      <w:szCs w:val="22"/>
      <w:lang w:val="zh-CN" w:bidi="zh-CN"/>
    </w:rPr>
  </w:style>
  <w:style w:type="paragraph" w:customStyle="1" w:styleId="262">
    <w:name w:val="无间隔1"/>
    <w:qFormat/>
    <w:uiPriority w:val="0"/>
    <w:pPr>
      <w:widowControl w:val="0"/>
      <w:jc w:val="both"/>
    </w:pPr>
    <w:rPr>
      <w:rFonts w:ascii="Calibri" w:hAnsi="Calibri" w:eastAsia="宋体;SimSun" w:cs="Calibri"/>
      <w:kern w:val="2"/>
      <w:sz w:val="24"/>
      <w:szCs w:val="22"/>
      <w:lang w:val="en-US" w:eastAsia="zh-CN" w:bidi="ar-SA"/>
    </w:rPr>
  </w:style>
  <w:style w:type="paragraph" w:styleId="263">
    <w:name w:val="No Spacing"/>
    <w:qFormat/>
    <w:uiPriority w:val="0"/>
    <w:rPr>
      <w:rFonts w:ascii="Calibri" w:hAnsi="Calibri" w:eastAsia="宋体;SimSun" w:cs="Calibri"/>
      <w:sz w:val="22"/>
      <w:szCs w:val="22"/>
      <w:lang w:val="en-US" w:eastAsia="zh-CN" w:bidi="ar-SA"/>
    </w:rPr>
  </w:style>
  <w:style w:type="paragraph" w:styleId="264">
    <w:name w:val="List Paragraph"/>
    <w:basedOn w:val="1"/>
    <w:qFormat/>
    <w:uiPriority w:val="0"/>
    <w:pPr>
      <w:ind w:firstLine="420"/>
    </w:pPr>
  </w:style>
  <w:style w:type="paragraph" w:customStyle="1" w:styleId="265">
    <w:name w:val="xl25"/>
    <w:basedOn w:val="1"/>
    <w:qFormat/>
    <w:uiPriority w:val="0"/>
    <w:pPr>
      <w:widowControl/>
      <w:spacing w:before="100" w:after="100" w:line="240" w:lineRule="auto"/>
      <w:jc w:val="center"/>
      <w:textAlignment w:val="auto"/>
    </w:pPr>
    <w:rPr>
      <w:rFonts w:ascii="宋体;SimSun" w:hAnsi="宋体;SimSun" w:cs="宋体;SimSun"/>
      <w:szCs w:val="24"/>
    </w:rPr>
  </w:style>
  <w:style w:type="paragraph" w:customStyle="1" w:styleId="266">
    <w:name w:val="xl28"/>
    <w:basedOn w:val="1"/>
    <w:qFormat/>
    <w:uiPriority w:val="0"/>
    <w:pPr>
      <w:widowControl/>
      <w:pBdr>
        <w:left w:val="single" w:color="000000" w:sz="4" w:space="0"/>
        <w:bottom w:val="single" w:color="000000" w:sz="4" w:space="0"/>
        <w:right w:val="single" w:color="000000" w:sz="4" w:space="0"/>
      </w:pBdr>
      <w:spacing w:before="100" w:after="100" w:line="240" w:lineRule="auto"/>
      <w:jc w:val="center"/>
      <w:textAlignment w:val="auto"/>
    </w:pPr>
    <w:rPr>
      <w:rFonts w:eastAsia="Arial Unicode MS"/>
      <w:szCs w:val="24"/>
    </w:rPr>
  </w:style>
  <w:style w:type="paragraph" w:customStyle="1" w:styleId="267">
    <w:name w:val="xl30"/>
    <w:basedOn w:val="1"/>
    <w:qFormat/>
    <w:uiPriority w:val="0"/>
    <w:pPr>
      <w:widowControl/>
      <w:pBdr>
        <w:top w:val="single" w:color="000000" w:sz="4" w:space="0"/>
        <w:left w:val="single" w:color="000000" w:sz="4" w:space="0"/>
        <w:bottom w:val="single" w:color="000000" w:sz="4" w:space="0"/>
      </w:pBdr>
      <w:spacing w:before="100" w:after="100" w:line="240" w:lineRule="auto"/>
      <w:jc w:val="center"/>
      <w:textAlignment w:val="auto"/>
    </w:pPr>
    <w:rPr>
      <w:rFonts w:ascii="Arial Unicode MS" w:hAnsi="Arial Unicode MS" w:cs="Arial Unicode MS"/>
      <w:sz w:val="20"/>
    </w:rPr>
  </w:style>
  <w:style w:type="paragraph" w:customStyle="1" w:styleId="268">
    <w:name w:val="Default"/>
    <w:qFormat/>
    <w:uiPriority w:val="0"/>
    <w:pPr>
      <w:widowControl w:val="0"/>
      <w:autoSpaceDE w:val="0"/>
    </w:pPr>
    <w:rPr>
      <w:rFonts w:ascii="仿宋" w:hAnsi="仿宋" w:eastAsia="仿宋" w:cs="仿宋"/>
      <w:color w:val="000000"/>
      <w:sz w:val="24"/>
      <w:szCs w:val="24"/>
      <w:lang w:val="en-US" w:eastAsia="zh-CN" w:bidi="ar-SA"/>
    </w:rPr>
  </w:style>
  <w:style w:type="paragraph" w:customStyle="1" w:styleId="269">
    <w:name w:val="font5"/>
    <w:basedOn w:val="1"/>
    <w:qFormat/>
    <w:uiPriority w:val="0"/>
    <w:pPr>
      <w:widowControl/>
      <w:spacing w:before="100" w:after="100" w:line="240" w:lineRule="auto"/>
      <w:textAlignment w:val="auto"/>
    </w:pPr>
    <w:rPr>
      <w:rFonts w:ascii="宋体;SimSun" w:hAnsi="宋体;SimSun" w:cs="宋体;SimSun"/>
      <w:sz w:val="18"/>
      <w:szCs w:val="18"/>
    </w:rPr>
  </w:style>
  <w:style w:type="paragraph" w:customStyle="1" w:styleId="270">
    <w:name w:val="LO-Normal"/>
    <w:qFormat/>
    <w:uiPriority w:val="0"/>
    <w:pPr>
      <w:widowControl w:val="0"/>
      <w:spacing w:line="360" w:lineRule="atLeast"/>
      <w:textAlignment w:val="baseline"/>
    </w:pPr>
    <w:rPr>
      <w:rFonts w:ascii="宋体;SimSun" w:hAnsi="宋体;SimSun" w:eastAsia="宋体;SimSun" w:cs="Times New Roman"/>
      <w:sz w:val="34"/>
      <w:lang w:val="en-US" w:eastAsia="zh-CN" w:bidi="ar-SA"/>
    </w:rPr>
  </w:style>
  <w:style w:type="paragraph" w:customStyle="1" w:styleId="271">
    <w:name w:val="WW-正文缩进"/>
    <w:basedOn w:val="1"/>
    <w:qFormat/>
    <w:uiPriority w:val="0"/>
    <w:pPr>
      <w:spacing w:line="240" w:lineRule="auto"/>
      <w:ind w:firstLine="560"/>
      <w:jc w:val="both"/>
      <w:textAlignment w:val="auto"/>
    </w:pPr>
    <w:rPr>
      <w:color w:val="FF0000"/>
    </w:rPr>
  </w:style>
  <w:style w:type="paragraph" w:customStyle="1" w:styleId="272">
    <w:name w:val="正文1"/>
    <w:qFormat/>
    <w:uiPriority w:val="0"/>
    <w:pPr>
      <w:widowControl w:val="0"/>
      <w:spacing w:line="360" w:lineRule="atLeast"/>
      <w:jc w:val="center"/>
      <w:textAlignment w:val="baseline"/>
    </w:pPr>
    <w:rPr>
      <w:rFonts w:ascii="宋体;SimSun" w:hAnsi="宋体;SimSun" w:eastAsia="宋体;SimSun" w:cs="Times New Roman"/>
      <w:sz w:val="34"/>
      <w:lang w:val="en-US" w:eastAsia="zh-CN" w:bidi="ar-SA"/>
    </w:rPr>
  </w:style>
  <w:style w:type="paragraph" w:customStyle="1" w:styleId="273">
    <w:name w:val="Char Char1 Char"/>
    <w:basedOn w:val="1"/>
    <w:qFormat/>
    <w:uiPriority w:val="0"/>
    <w:pPr>
      <w:spacing w:line="240" w:lineRule="auto"/>
      <w:jc w:val="both"/>
      <w:textAlignment w:val="auto"/>
    </w:pPr>
    <w:rPr>
      <w:rFonts w:ascii="宋体;SimSun" w:hAnsi="宋体;SimSun" w:cs="Courier New"/>
      <w:kern w:val="2"/>
      <w:sz w:val="32"/>
      <w:szCs w:val="32"/>
    </w:rPr>
  </w:style>
  <w:style w:type="paragraph" w:customStyle="1" w:styleId="274">
    <w:name w:val="xl33"/>
    <w:basedOn w:val="1"/>
    <w:qFormat/>
    <w:uiPriority w:val="0"/>
    <w:pPr>
      <w:widowControl/>
      <w:pBdr>
        <w:top w:val="single" w:color="000000" w:sz="4" w:space="0"/>
        <w:bottom w:val="single" w:color="000000" w:sz="4" w:space="0"/>
      </w:pBdr>
      <w:spacing w:before="100" w:after="100" w:line="240" w:lineRule="auto"/>
      <w:jc w:val="center"/>
      <w:textAlignment w:val="center"/>
    </w:pPr>
    <w:rPr>
      <w:rFonts w:ascii="Arial Unicode MS" w:hAnsi="Arial Unicode MS" w:cs="Arial Unicode MS"/>
      <w:b/>
      <w:bCs/>
      <w:szCs w:val="24"/>
    </w:rPr>
  </w:style>
  <w:style w:type="paragraph" w:customStyle="1" w:styleId="275">
    <w:name w:val="表格内容"/>
    <w:basedOn w:val="1"/>
    <w:qFormat/>
    <w:uiPriority w:val="0"/>
    <w:pPr>
      <w:suppressLineNumbers/>
    </w:pPr>
  </w:style>
  <w:style w:type="paragraph" w:customStyle="1" w:styleId="276">
    <w:name w:val="表格标题"/>
    <w:basedOn w:val="275"/>
    <w:qFormat/>
    <w:uiPriority w:val="0"/>
    <w:pPr>
      <w:jc w:val="center"/>
    </w:pPr>
    <w:rPr>
      <w:b/>
      <w:bCs/>
    </w:rPr>
  </w:style>
  <w:style w:type="paragraph" w:customStyle="1" w:styleId="277">
    <w:name w:val="框架内容"/>
    <w:basedOn w:val="1"/>
    <w:qFormat/>
    <w:uiPriority w:val="0"/>
  </w:style>
  <w:style w:type="paragraph" w:customStyle="1" w:styleId="278">
    <w:name w:val="正文2"/>
    <w:qFormat/>
    <w:uiPriority w:val="0"/>
    <w:pPr>
      <w:widowControl w:val="0"/>
      <w:adjustRightInd w:val="0"/>
      <w:spacing w:line="360" w:lineRule="atLeast"/>
      <w:textAlignment w:val="baseline"/>
    </w:pPr>
    <w:rPr>
      <w:rFonts w:ascii="宋体" w:hAnsi="Times New Roman" w:eastAsia="宋体" w:cs="Times New Roman"/>
      <w:sz w:val="34"/>
      <w:lang w:val="en-US" w:eastAsia="zh-CN" w:bidi="ar-SA"/>
    </w:rPr>
  </w:style>
  <w:style w:type="paragraph" w:customStyle="1" w:styleId="279">
    <w:name w:val="正文21"/>
    <w:qFormat/>
    <w:uiPriority w:val="0"/>
    <w:pPr>
      <w:widowControl w:val="0"/>
      <w:adjustRightInd w:val="0"/>
      <w:spacing w:line="360" w:lineRule="atLeast"/>
      <w:textAlignment w:val="baseline"/>
    </w:pPr>
    <w:rPr>
      <w:rFonts w:ascii="宋体" w:hAnsi="Times New Roman" w:eastAsia="宋体" w:cs="Times New Roman"/>
      <w:sz w:val="34"/>
      <w:lang w:val="en-US" w:eastAsia="zh-CN" w:bidi="ar-SA"/>
    </w:rPr>
  </w:style>
  <w:style w:type="paragraph" w:customStyle="1" w:styleId="280">
    <w:name w:val="正文3"/>
    <w:qFormat/>
    <w:uiPriority w:val="0"/>
    <w:pPr>
      <w:widowControl w:val="0"/>
      <w:adjustRightInd w:val="0"/>
      <w:spacing w:line="360" w:lineRule="atLeast"/>
      <w:textAlignment w:val="baseline"/>
    </w:pPr>
    <w:rPr>
      <w:rFonts w:ascii="宋体" w:hAnsi="Times New Roman" w:eastAsia="宋体" w:cs="Times New Roman"/>
      <w:sz w:val="3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1.xml"/><Relationship Id="rId8" Type="http://schemas.openxmlformats.org/officeDocument/2006/relationships/header" Target="header2.xml"/><Relationship Id="rId7" Type="http://schemas.openxmlformats.org/officeDocument/2006/relationships/header" Target="header1.xml"/><Relationship Id="rId6" Type="http://schemas.openxmlformats.org/officeDocument/2006/relationships/endnotes" Target="endnotes.xml"/><Relationship Id="rId54" Type="http://schemas.microsoft.com/office/2011/relationships/people" Target="people.xml"/><Relationship Id="rId53" Type="http://schemas.openxmlformats.org/officeDocument/2006/relationships/fontTable" Target="fontTable.xml"/><Relationship Id="rId52" Type="http://schemas.openxmlformats.org/officeDocument/2006/relationships/customXml" Target="../customXml/item2.xml"/><Relationship Id="rId51" Type="http://schemas.openxmlformats.org/officeDocument/2006/relationships/numbering" Target="numbering.xml"/><Relationship Id="rId50" Type="http://schemas.openxmlformats.org/officeDocument/2006/relationships/customXml" Target="../customXml/item1.xml"/><Relationship Id="rId5" Type="http://schemas.openxmlformats.org/officeDocument/2006/relationships/footnotes" Target="footnotes.xml"/><Relationship Id="rId49" Type="http://schemas.openxmlformats.org/officeDocument/2006/relationships/image" Target="media/image24.png"/><Relationship Id="rId48" Type="http://schemas.openxmlformats.org/officeDocument/2006/relationships/image" Target="media/image23.png"/><Relationship Id="rId47" Type="http://schemas.openxmlformats.org/officeDocument/2006/relationships/image" Target="media/image22.png"/><Relationship Id="rId46" Type="http://schemas.openxmlformats.org/officeDocument/2006/relationships/image" Target="media/image21.png"/><Relationship Id="rId45" Type="http://schemas.openxmlformats.org/officeDocument/2006/relationships/image" Target="media/image20.png"/><Relationship Id="rId44" Type="http://schemas.openxmlformats.org/officeDocument/2006/relationships/image" Target="media/image19.png"/><Relationship Id="rId43" Type="http://schemas.openxmlformats.org/officeDocument/2006/relationships/image" Target="media/image18.png"/><Relationship Id="rId42" Type="http://schemas.openxmlformats.org/officeDocument/2006/relationships/chart" Target="charts/chart2.xml"/><Relationship Id="rId41" Type="http://schemas.openxmlformats.org/officeDocument/2006/relationships/image" Target="media/image17.png"/><Relationship Id="rId40" Type="http://schemas.openxmlformats.org/officeDocument/2006/relationships/image" Target="media/image16.png"/><Relationship Id="rId4" Type="http://schemas.microsoft.com/office/2011/relationships/commentsExtended" Target="commentsExtended.xml"/><Relationship Id="rId39" Type="http://schemas.openxmlformats.org/officeDocument/2006/relationships/image" Target="media/image15.png"/><Relationship Id="rId38" Type="http://schemas.openxmlformats.org/officeDocument/2006/relationships/image" Target="media/image14.png"/><Relationship Id="rId37" Type="http://schemas.openxmlformats.org/officeDocument/2006/relationships/image" Target="media/image13.png"/><Relationship Id="rId36" Type="http://schemas.openxmlformats.org/officeDocument/2006/relationships/image" Target="media/image12.png"/><Relationship Id="rId35" Type="http://schemas.openxmlformats.org/officeDocument/2006/relationships/image" Target="media/image11.png"/><Relationship Id="rId34" Type="http://schemas.openxmlformats.org/officeDocument/2006/relationships/image" Target="media/image10.png"/><Relationship Id="rId33" Type="http://schemas.openxmlformats.org/officeDocument/2006/relationships/image" Target="media/image9.png"/><Relationship Id="rId32" Type="http://schemas.openxmlformats.org/officeDocument/2006/relationships/image" Target="media/image8.png"/><Relationship Id="rId31" Type="http://schemas.openxmlformats.org/officeDocument/2006/relationships/image" Target="media/image7.png"/><Relationship Id="rId30" Type="http://schemas.openxmlformats.org/officeDocument/2006/relationships/image" Target="media/image6.png"/><Relationship Id="rId3" Type="http://schemas.openxmlformats.org/officeDocument/2006/relationships/comments" Target="comments.xml"/><Relationship Id="rId29" Type="http://schemas.openxmlformats.org/officeDocument/2006/relationships/image" Target="media/image5.png"/><Relationship Id="rId28" Type="http://schemas.openxmlformats.org/officeDocument/2006/relationships/image" Target="media/image4.png"/><Relationship Id="rId27" Type="http://schemas.openxmlformats.org/officeDocument/2006/relationships/chart" Target="charts/chart1.xml"/><Relationship Id="rId26" Type="http://schemas.openxmlformats.org/officeDocument/2006/relationships/image" Target="media/image3.png"/><Relationship Id="rId25" Type="http://schemas.openxmlformats.org/officeDocument/2006/relationships/theme" Target="theme/theme1.xml"/><Relationship Id="rId24" Type="http://schemas.openxmlformats.org/officeDocument/2006/relationships/footer" Target="footer9.xml"/><Relationship Id="rId23" Type="http://schemas.openxmlformats.org/officeDocument/2006/relationships/header" Target="header9.xml"/><Relationship Id="rId22" Type="http://schemas.openxmlformats.org/officeDocument/2006/relationships/footer" Target="footer8.xml"/><Relationship Id="rId21" Type="http://schemas.openxmlformats.org/officeDocument/2006/relationships/header" Target="header8.xml"/><Relationship Id="rId20" Type="http://schemas.openxmlformats.org/officeDocument/2006/relationships/footer" Target="footer7.xml"/><Relationship Id="rId2" Type="http://schemas.openxmlformats.org/officeDocument/2006/relationships/settings" Target="settings.xml"/><Relationship Id="rId19" Type="http://schemas.openxmlformats.org/officeDocument/2006/relationships/header" Target="header7.xml"/><Relationship Id="rId18" Type="http://schemas.openxmlformats.org/officeDocument/2006/relationships/footer" Target="footer6.xml"/><Relationship Id="rId17" Type="http://schemas.openxmlformats.org/officeDocument/2006/relationships/header" Target="header6.xml"/><Relationship Id="rId16" Type="http://schemas.openxmlformats.org/officeDocument/2006/relationships/footer" Target="footer5.xml"/><Relationship Id="rId15" Type="http://schemas.openxmlformats.org/officeDocument/2006/relationships/header" Target="header5.xml"/><Relationship Id="rId14" Type="http://schemas.openxmlformats.org/officeDocument/2006/relationships/footer" Target="footer4.xml"/><Relationship Id="rId13" Type="http://schemas.openxmlformats.org/officeDocument/2006/relationships/header" Target="header4.xml"/><Relationship Id="rId12" Type="http://schemas.openxmlformats.org/officeDocument/2006/relationships/footer" Target="footer3.xml"/><Relationship Id="rId11" Type="http://schemas.openxmlformats.org/officeDocument/2006/relationships/header" Target="header3.xml"/><Relationship Id="rId10" Type="http://schemas.openxmlformats.org/officeDocument/2006/relationships/footer" Target="footer2.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themeOverride" Target="../theme/themeOverride2.xml"/><Relationship Id="rId1" Type="http://schemas.openxmlformats.org/officeDocument/2006/relationships/oleObject" Target="file:///D:\&#23457;&#26680;&#32452;\2025&#24180;\&#24066;&#22330;&#20998;&#26512;\2025&#24180;1&#23395;&#24230;\&#25968;&#25454;&#27719;&#38598;&#20998;&#26512;&#65288;&#24635;&#34920;&#65289;.xlsx" TargetMode="External"/></Relationships>
</file>

<file path=word/charts/_rels/chart2.xml.rels><?xml version="1.0" encoding="UTF-8" standalone="yes"?>
<Relationships xmlns="http://schemas.openxmlformats.org/package/2006/relationships"><Relationship Id="rId2" Type="http://schemas.openxmlformats.org/officeDocument/2006/relationships/themeOverride" Target="../theme/themeOverride1.xml"/><Relationship Id="rId1" Type="http://schemas.openxmlformats.org/officeDocument/2006/relationships/oleObject" Target="file:///D:\&#23457;&#26680;&#32452;\2025&#24180;\&#24066;&#22330;&#20998;&#26512;\2025&#24180;1&#23395;&#24230;\&#25968;&#25454;&#27719;&#38598;&#20998;&#26512;&#65288;&#24635;&#34920;&#6528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954582239720035"/>
          <c:y val="0.0902062352338116"/>
          <c:w val="0.784083552055993"/>
          <c:h val="0.694440012179094"/>
        </c:manualLayout>
      </c:layout>
      <c:barChart>
        <c:barDir val="col"/>
        <c:grouping val="clustered"/>
        <c:varyColors val="0"/>
        <c:ser>
          <c:idx val="0"/>
          <c:order val="0"/>
          <c:tx>
            <c:strRef>
              <c:f>人口!$D$92</c:f>
              <c:strCache>
                <c:ptCount val="1"/>
                <c:pt idx="0">
                  <c:v>常住人口总量</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trendline>
            <c:trendlineType val="linear"/>
            <c:dispRSqr val="0"/>
            <c:dispEq val="0"/>
          </c:trendline>
          <c:cat>
            <c:strRef>
              <c:f>人口!$A$87:$A$91</c:f>
              <c:strCache>
                <c:ptCount val="5"/>
                <c:pt idx="0">
                  <c:v>2020年</c:v>
                </c:pt>
                <c:pt idx="1">
                  <c:v>2021年</c:v>
                </c:pt>
                <c:pt idx="2">
                  <c:v>2022年</c:v>
                </c:pt>
                <c:pt idx="3">
                  <c:v>2023年</c:v>
                </c:pt>
                <c:pt idx="4">
                  <c:v>2024年</c:v>
                </c:pt>
              </c:strCache>
            </c:strRef>
          </c:cat>
          <c:val>
            <c:numRef>
              <c:f>人口!$D$87:$D$91</c:f>
              <c:numCache>
                <c:formatCode>General</c:formatCode>
                <c:ptCount val="5"/>
                <c:pt idx="0">
                  <c:v>2189.3</c:v>
                </c:pt>
                <c:pt idx="1">
                  <c:v>2188.6</c:v>
                </c:pt>
                <c:pt idx="2">
                  <c:v>2184.3</c:v>
                </c:pt>
                <c:pt idx="3">
                  <c:v>2185.8</c:v>
                </c:pt>
                <c:pt idx="4">
                  <c:v>2183.2</c:v>
                </c:pt>
              </c:numCache>
            </c:numRef>
          </c:val>
        </c:ser>
        <c:dLbls>
          <c:showLegendKey val="0"/>
          <c:showVal val="0"/>
          <c:showCatName val="0"/>
          <c:showSerName val="0"/>
          <c:showPercent val="0"/>
          <c:showBubbleSize val="0"/>
        </c:dLbls>
        <c:gapWidth val="150"/>
        <c:axId val="561271552"/>
        <c:axId val="561273088"/>
      </c:barChart>
      <c:lineChart>
        <c:grouping val="standard"/>
        <c:varyColors val="0"/>
        <c:ser>
          <c:idx val="1"/>
          <c:order val="1"/>
          <c:tx>
            <c:strRef>
              <c:f>人口!$M$92</c:f>
              <c:strCache>
                <c:ptCount val="1"/>
                <c:pt idx="0">
                  <c:v>比上年增长</c:v>
                </c:pt>
              </c:strCache>
            </c:strRef>
          </c:tx>
          <c:marker>
            <c:symbol val="none"/>
          </c:marker>
          <c:dLbls>
            <c:dLbl>
              <c:idx val="0"/>
              <c:layout>
                <c:manualLayout>
                  <c:x val="-0.0472222222222222"/>
                  <c:y val="-0.0324074074074074"/>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527777777777778"/>
                  <c:y val="-0.041666666666666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527777777777778"/>
                  <c:y val="-0.03703703703703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555555555555556"/>
                  <c:y val="-0.027777777777777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555555555555555"/>
                  <c:y val="-0.041666666666666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人口!$A$86:$A$90</c:f>
              <c:strCache>
                <c:ptCount val="5"/>
                <c:pt idx="0">
                  <c:v>2019年</c:v>
                </c:pt>
                <c:pt idx="1">
                  <c:v>2020年</c:v>
                </c:pt>
                <c:pt idx="2">
                  <c:v>2021年</c:v>
                </c:pt>
                <c:pt idx="3">
                  <c:v>2022年</c:v>
                </c:pt>
                <c:pt idx="4">
                  <c:v>2023年</c:v>
                </c:pt>
              </c:strCache>
            </c:strRef>
          </c:cat>
          <c:val>
            <c:numRef>
              <c:f>人口!$M$87:$M$91</c:f>
              <c:numCache>
                <c:formatCode>0.00%</c:formatCode>
                <c:ptCount val="5"/>
                <c:pt idx="0">
                  <c:v>0.0165768945022289</c:v>
                </c:pt>
                <c:pt idx="1">
                  <c:v>-0.000319736902206325</c:v>
                </c:pt>
                <c:pt idx="2">
                  <c:v>-0.00196472630905586</c:v>
                </c:pt>
                <c:pt idx="3">
                  <c:v>0.000686718857299873</c:v>
                </c:pt>
                <c:pt idx="4">
                  <c:v>-0.00118949583676475</c:v>
                </c:pt>
              </c:numCache>
            </c:numRef>
          </c:val>
          <c:smooth val="0"/>
        </c:ser>
        <c:dLbls>
          <c:showLegendKey val="0"/>
          <c:showVal val="0"/>
          <c:showCatName val="0"/>
          <c:showSerName val="0"/>
          <c:showPercent val="0"/>
          <c:showBubbleSize val="0"/>
        </c:dLbls>
        <c:marker val="0"/>
        <c:smooth val="0"/>
        <c:axId val="561287168"/>
        <c:axId val="561288704"/>
      </c:lineChart>
      <c:catAx>
        <c:axId val="561271552"/>
        <c:scaling>
          <c:orientation val="minMax"/>
        </c:scaling>
        <c:delete val="0"/>
        <c:axPos val="b"/>
        <c:numFmt formatCode="General" sourceLinked="1"/>
        <c:majorTickMark val="none"/>
        <c:minorTickMark val="none"/>
        <c:tickLblPos val="low"/>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crossAx val="561273088"/>
        <c:crosses val="autoZero"/>
        <c:auto val="1"/>
        <c:lblAlgn val="ctr"/>
        <c:lblOffset val="100"/>
        <c:noMultiLvlLbl val="0"/>
      </c:catAx>
      <c:valAx>
        <c:axId val="561273088"/>
        <c:scaling>
          <c:orientation val="minMax"/>
          <c:max val="2500"/>
          <c:min val="-500"/>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crossAx val="561271552"/>
        <c:crosses val="autoZero"/>
        <c:crossBetween val="between"/>
        <c:majorUnit val="500"/>
      </c:valAx>
      <c:catAx>
        <c:axId val="561287168"/>
        <c:scaling>
          <c:orientation val="minMax"/>
        </c:scaling>
        <c:delete val="1"/>
        <c:axPos val="b"/>
        <c:numFmt formatCode="General"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crossAx val="561288704"/>
        <c:crosses val="autoZero"/>
        <c:auto val="1"/>
        <c:lblAlgn val="ctr"/>
        <c:lblOffset val="100"/>
        <c:noMultiLvlLbl val="0"/>
      </c:catAx>
      <c:valAx>
        <c:axId val="561288704"/>
        <c:scaling>
          <c:orientation val="minMax"/>
          <c:max val="0.05"/>
          <c:min val="-0.01"/>
        </c:scaling>
        <c:delete val="0"/>
        <c:axPos val="r"/>
        <c:numFmt formatCode="0.00%"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crossAx val="561287168"/>
        <c:crosses val="max"/>
        <c:crossBetween val="between"/>
      </c:valAx>
    </c:plotArea>
    <c:legend>
      <c:legendPos val="r"/>
      <c:legendEntry>
        <c:idx val="2"/>
        <c:delete val="1"/>
      </c:legendEntry>
      <c:layout>
        <c:manualLayout>
          <c:xMode val="edge"/>
          <c:yMode val="edge"/>
          <c:x val="0.111111111111111"/>
          <c:y val="0.893981481481481"/>
          <c:w val="0.744444444444444"/>
          <c:h val="0.087037037037037"/>
        </c:manualLayout>
      </c:layout>
      <c:overlay val="0"/>
      <c:txPr>
        <a:bodyPr rot="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legend>
    <c:plotVisOnly val="1"/>
    <c:dispBlanksAs val="gap"/>
    <c:showDLblsOverMax val="0"/>
    <c:extLst>
      <c:ext uri="{0b15fc19-7d7d-44ad-8c2d-2c3a37ce22c3}">
        <chartProps xmlns="https://web.wps.cn/et/2018/main" chartId="{f86bfd0e-8b27-4a8b-9c32-2799b83042b8}"/>
      </c:ext>
    </c:extLst>
  </c:chart>
  <c:txPr>
    <a:bodyPr/>
    <a:lstStyle/>
    <a:p>
      <a:pPr>
        <a:defRPr lang="zh-CN" sz="800">
          <a:latin typeface="Arial" panose="020B0604020202020204" pitchFamily="2" charset="0"/>
          <a:cs typeface="Arial" panose="020B0604020202020204" pitchFamily="2" charset="0"/>
        </a:defRPr>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954582239720035"/>
          <c:y val="0.0902062352338116"/>
          <c:w val="0.784083552055993"/>
          <c:h val="0.694440012179094"/>
        </c:manualLayout>
      </c:layout>
      <c:barChart>
        <c:barDir val="col"/>
        <c:grouping val="clustered"/>
        <c:varyColors val="0"/>
        <c:ser>
          <c:idx val="0"/>
          <c:order val="0"/>
          <c:tx>
            <c:strRef>
              <c:f>人口!$D$92</c:f>
              <c:strCache>
                <c:ptCount val="1"/>
                <c:pt idx="0">
                  <c:v>常住人口总量</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trendline>
            <c:trendlineType val="linear"/>
            <c:dispRSqr val="0"/>
            <c:dispEq val="0"/>
          </c:trendline>
          <c:cat>
            <c:strRef>
              <c:f>人口!$A$87:$A$91</c:f>
              <c:strCache>
                <c:ptCount val="5"/>
                <c:pt idx="0">
                  <c:v>2020年</c:v>
                </c:pt>
                <c:pt idx="1">
                  <c:v>2021年</c:v>
                </c:pt>
                <c:pt idx="2">
                  <c:v>2022年</c:v>
                </c:pt>
                <c:pt idx="3">
                  <c:v>2023年</c:v>
                </c:pt>
                <c:pt idx="4">
                  <c:v>2024年</c:v>
                </c:pt>
              </c:strCache>
            </c:strRef>
          </c:cat>
          <c:val>
            <c:numRef>
              <c:f>人口!$D$87:$D$91</c:f>
              <c:numCache>
                <c:formatCode>General</c:formatCode>
                <c:ptCount val="5"/>
                <c:pt idx="0">
                  <c:v>2189.3</c:v>
                </c:pt>
                <c:pt idx="1">
                  <c:v>2188.6</c:v>
                </c:pt>
                <c:pt idx="2">
                  <c:v>2184.3</c:v>
                </c:pt>
                <c:pt idx="3">
                  <c:v>2185.8</c:v>
                </c:pt>
                <c:pt idx="4">
                  <c:v>2183.2</c:v>
                </c:pt>
              </c:numCache>
            </c:numRef>
          </c:val>
        </c:ser>
        <c:dLbls>
          <c:showLegendKey val="0"/>
          <c:showVal val="0"/>
          <c:showCatName val="0"/>
          <c:showSerName val="0"/>
          <c:showPercent val="0"/>
          <c:showBubbleSize val="0"/>
        </c:dLbls>
        <c:gapWidth val="150"/>
        <c:axId val="561309184"/>
        <c:axId val="561310720"/>
      </c:barChart>
      <c:lineChart>
        <c:grouping val="standard"/>
        <c:varyColors val="0"/>
        <c:ser>
          <c:idx val="1"/>
          <c:order val="1"/>
          <c:tx>
            <c:strRef>
              <c:f>人口!$M$92</c:f>
              <c:strCache>
                <c:ptCount val="1"/>
                <c:pt idx="0">
                  <c:v>比上年增长</c:v>
                </c:pt>
              </c:strCache>
            </c:strRef>
          </c:tx>
          <c:marker>
            <c:symbol val="none"/>
          </c:marker>
          <c:dLbls>
            <c:dLbl>
              <c:idx val="0"/>
              <c:layout>
                <c:manualLayout>
                  <c:x val="-0.0472222222222222"/>
                  <c:y val="-0.0324074074074074"/>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527777777777778"/>
                  <c:y val="-0.041666666666666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527777777777778"/>
                  <c:y val="-0.03703703703703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555555555555556"/>
                  <c:y val="-0.027777777777777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555555555555555"/>
                  <c:y val="-0.041666666666666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人口!$A$86:$A$90</c:f>
              <c:strCache>
                <c:ptCount val="5"/>
                <c:pt idx="0">
                  <c:v>2019年</c:v>
                </c:pt>
                <c:pt idx="1">
                  <c:v>2020年</c:v>
                </c:pt>
                <c:pt idx="2">
                  <c:v>2021年</c:v>
                </c:pt>
                <c:pt idx="3">
                  <c:v>2022年</c:v>
                </c:pt>
                <c:pt idx="4">
                  <c:v>2023年</c:v>
                </c:pt>
              </c:strCache>
            </c:strRef>
          </c:cat>
          <c:val>
            <c:numRef>
              <c:f>人口!$M$87:$M$91</c:f>
              <c:numCache>
                <c:formatCode>0.00%</c:formatCode>
                <c:ptCount val="5"/>
                <c:pt idx="0">
                  <c:v>0.0165768945022289</c:v>
                </c:pt>
                <c:pt idx="1">
                  <c:v>-0.000319736902206325</c:v>
                </c:pt>
                <c:pt idx="2">
                  <c:v>-0.00196472630905586</c:v>
                </c:pt>
                <c:pt idx="3">
                  <c:v>0.000686718857299873</c:v>
                </c:pt>
                <c:pt idx="4">
                  <c:v>-0.00118949583676475</c:v>
                </c:pt>
              </c:numCache>
            </c:numRef>
          </c:val>
          <c:smooth val="0"/>
        </c:ser>
        <c:dLbls>
          <c:showLegendKey val="0"/>
          <c:showVal val="0"/>
          <c:showCatName val="0"/>
          <c:showSerName val="0"/>
          <c:showPercent val="0"/>
          <c:showBubbleSize val="0"/>
        </c:dLbls>
        <c:marker val="0"/>
        <c:smooth val="0"/>
        <c:axId val="561386240"/>
        <c:axId val="561387776"/>
      </c:lineChart>
      <c:catAx>
        <c:axId val="561309184"/>
        <c:scaling>
          <c:orientation val="minMax"/>
        </c:scaling>
        <c:delete val="0"/>
        <c:axPos val="b"/>
        <c:numFmt formatCode="General" sourceLinked="1"/>
        <c:majorTickMark val="none"/>
        <c:minorTickMark val="none"/>
        <c:tickLblPos val="low"/>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crossAx val="561310720"/>
        <c:crosses val="autoZero"/>
        <c:auto val="1"/>
        <c:lblAlgn val="ctr"/>
        <c:lblOffset val="100"/>
        <c:noMultiLvlLbl val="0"/>
      </c:catAx>
      <c:valAx>
        <c:axId val="561310720"/>
        <c:scaling>
          <c:orientation val="minMax"/>
          <c:max val="2500"/>
          <c:min val="-500"/>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crossAx val="561309184"/>
        <c:crosses val="autoZero"/>
        <c:crossBetween val="between"/>
        <c:majorUnit val="500"/>
      </c:valAx>
      <c:catAx>
        <c:axId val="561386240"/>
        <c:scaling>
          <c:orientation val="minMax"/>
        </c:scaling>
        <c:delete val="1"/>
        <c:axPos val="b"/>
        <c:numFmt formatCode="General"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crossAx val="561387776"/>
        <c:crosses val="autoZero"/>
        <c:auto val="1"/>
        <c:lblAlgn val="ctr"/>
        <c:lblOffset val="100"/>
        <c:noMultiLvlLbl val="0"/>
      </c:catAx>
      <c:valAx>
        <c:axId val="561387776"/>
        <c:scaling>
          <c:orientation val="minMax"/>
          <c:max val="0.05"/>
          <c:min val="-0.01"/>
        </c:scaling>
        <c:delete val="0"/>
        <c:axPos val="r"/>
        <c:numFmt formatCode="0.00%"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crossAx val="561386240"/>
        <c:crosses val="max"/>
        <c:crossBetween val="between"/>
      </c:valAx>
    </c:plotArea>
    <c:legend>
      <c:legendPos val="r"/>
      <c:legendEntry>
        <c:idx val="2"/>
        <c:delete val="1"/>
      </c:legendEntry>
      <c:layout>
        <c:manualLayout>
          <c:xMode val="edge"/>
          <c:yMode val="edge"/>
          <c:x val="0.111111111111111"/>
          <c:y val="0.893981481481481"/>
          <c:w val="0.744444444444444"/>
          <c:h val="0.087037037037037"/>
        </c:manualLayout>
      </c:layout>
      <c:overlay val="0"/>
      <c:txPr>
        <a:bodyPr rot="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legend>
    <c:plotVisOnly val="1"/>
    <c:dispBlanksAs val="gap"/>
    <c:showDLblsOverMax val="0"/>
    <c:extLst>
      <c:ext uri="{0b15fc19-7d7d-44ad-8c2d-2c3a37ce22c3}">
        <chartProps xmlns="https://web.wps.cn/et/2018/main" chartId="{b69b6f17-9e72-40a2-9270-5f64ba887eb2}"/>
      </c:ext>
    </c:extLst>
  </c:chart>
  <c:txPr>
    <a:bodyPr/>
    <a:lstStyle/>
    <a:p>
      <a:pPr>
        <a:defRPr lang="zh-CN" sz="800">
          <a:latin typeface="Arial" panose="020B0604020202020204" pitchFamily="2" charset="0"/>
          <a:cs typeface="Arial" panose="020B0604020202020204" pitchFamily="2" charset="0"/>
        </a:defRPr>
      </a:pPr>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920F53A-96B5-44A1-AB75-4FABBFDB139A}">
  <ds:schemaRefs/>
</ds:datastoreItem>
</file>

<file path=docProps/app.xml><?xml version="1.0" encoding="utf-8"?>
<Properties xmlns="http://schemas.openxmlformats.org/officeDocument/2006/extended-properties" xmlns:vt="http://schemas.openxmlformats.org/officeDocument/2006/docPropsVTypes">
  <Template>Normal.dotm</Template>
  <Company>HP</Company>
  <Pages>76</Pages>
  <Words>1892</Words>
  <Characters>2147</Characters>
  <Lines>374</Lines>
  <Paragraphs>105</Paragraphs>
  <TotalTime>2</TotalTime>
  <ScaleCrop>false</ScaleCrop>
  <LinksUpToDate>false</LinksUpToDate>
  <CharactersWithSpaces>2298</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2025-10-30T07:33:00Z</dcterms:created>
  <dc:creator>djg</dc:creator>
  <cp:lastModifiedBy>诗霖</cp:lastModifiedBy>
  <cp:lastPrinted>2024-01-08T09:22:00Z</cp:lastPrinted>
  <dcterms:modified xsi:type="dcterms:W3CDTF">2025-10-30T07:41:43Z</dcterms:modified>
  <dc:title>电 话：82253558  传真：82253565</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KSOTemplateDocerSaveRecord">
    <vt:lpwstr>eyJoZGlkIjoiOTcwMTMwZTgwZjBhOWY5ZDIzMzA3YjZmYWI3ZGQ5NjUiLCJ1c2VySWQiOiIyMDkxMDc5NzUifQ==</vt:lpwstr>
  </property>
  <property fmtid="{D5CDD505-2E9C-101B-9397-08002B2CF9AE}" pid="4" name="ICV">
    <vt:lpwstr>58AA1C35F422401997FE9A3D11BA2921_13</vt:lpwstr>
  </property>
</Properties>
</file>