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49"/>
        <w:gridCol w:w="3405"/>
      </w:tblGrid>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备案号：</w:t>
            </w:r>
          </w:p>
        </w:tc>
        <w:tc>
          <w:tcPr>
            <w:tcW w:w="1939" w:type="pct"/>
            <w:vMerge w:val="restart"/>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查询码：</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bl>
    <w:p>
      <w:pPr>
        <w:spacing w:line="300" w:lineRule="auto"/>
        <w:jc w:val="center"/>
        <w:rPr>
          <w:rFonts w:ascii="Arial" w:hAnsi="Arial" w:eastAsia="楷体_GB2312" w:cs="Arial"/>
          <w:b/>
          <w:sz w:val="32"/>
          <w:highlight w:val="none"/>
        </w:rPr>
      </w:pPr>
    </w:p>
    <w:p>
      <w:pPr>
        <w:spacing w:line="300" w:lineRule="auto"/>
        <w:jc w:val="center"/>
        <w:rPr>
          <w:rFonts w:ascii="Arial" w:hAnsi="Arial" w:eastAsia="楷体_GB2312" w:cs="Arial"/>
          <w:b/>
          <w:sz w:val="32"/>
          <w:highlight w:val="none"/>
        </w:rPr>
      </w:pPr>
    </w:p>
    <w:p>
      <w:pPr>
        <w:spacing w:line="300" w:lineRule="auto"/>
        <w:jc w:val="center"/>
        <w:rPr>
          <w:rFonts w:ascii="Arial" w:hAnsi="Arial" w:cs="Arial"/>
          <w:b/>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p>
    <w:p>
      <w:pPr>
        <w:spacing w:line="300" w:lineRule="auto"/>
        <w:jc w:val="center"/>
        <w:rPr>
          <w:rFonts w:ascii="Arial" w:hAnsi="Arial" w:eastAsia="昆仑仿宋" w:cs="Arial"/>
          <w:b/>
          <w:sz w:val="44"/>
          <w:highlight w:val="none"/>
        </w:rPr>
      </w:pPr>
    </w:p>
    <w:p>
      <w:pPr>
        <w:spacing w:line="300" w:lineRule="auto"/>
        <w:jc w:val="center"/>
        <w:rPr>
          <w:rFonts w:ascii="Arial" w:hAnsi="Arial" w:eastAsia="楷体_GB2312" w:cs="Arial"/>
          <w:b/>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8号楼1-2层104号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jc w:val="both"/>
        <w:rPr>
          <w:rFonts w:ascii="Arial" w:hAnsi="Arial" w:eastAsia="楷体_GB2312" w:cs="Arial"/>
          <w:b/>
          <w:sz w:val="32"/>
          <w:highlight w:val="none"/>
        </w:rPr>
      </w:pPr>
      <w:r>
        <w:rPr>
          <w:rFonts w:ascii="Arial" w:hAnsi="Arial" w:eastAsia="楷体_GB2312" w:cs="Arial"/>
          <w:b/>
          <w:sz w:val="32"/>
          <w:highlight w:val="none"/>
        </w:rPr>
        <w:t>受托估价单位：北京康正宏基房地产评估有限公司</w:t>
      </w:r>
    </w:p>
    <w:p>
      <w:pPr>
        <w:spacing w:line="300" w:lineRule="auto"/>
        <w:jc w:val="both"/>
        <w:rPr>
          <w:rFonts w:ascii="Arial" w:hAnsi="Arial" w:eastAsia="楷体_GB2312" w:cs="Arial"/>
          <w:b/>
          <w:sz w:val="32"/>
          <w:highlight w:val="none"/>
        </w:rPr>
      </w:pPr>
    </w:p>
    <w:p>
      <w:pPr>
        <w:spacing w:line="300" w:lineRule="auto"/>
        <w:ind w:left="3213" w:hanging="3213" w:hangingChars="1000"/>
        <w:jc w:val="both"/>
        <w:rPr>
          <w:rFonts w:hint="eastAsia" w:ascii="Arial" w:hAnsi="Arial" w:eastAsia="楷体_GB2312" w:cs="Arial"/>
          <w:b/>
          <w:sz w:val="32"/>
          <w:highlight w:val="none"/>
          <w:lang w:eastAsia="zh-CN"/>
        </w:rPr>
      </w:pPr>
      <w:r>
        <w:rPr>
          <w:rFonts w:ascii="Arial" w:hAnsi="Arial" w:eastAsia="楷体_GB2312" w:cs="Arial"/>
          <w:b/>
          <w:sz w:val="32"/>
          <w:highlight w:val="none"/>
        </w:rPr>
        <w:t>土地估价报告编号：</w:t>
      </w:r>
      <w:r>
        <w:rPr>
          <w:rFonts w:hint="eastAsia" w:ascii="Arial" w:hAnsi="Arial" w:eastAsia="楷体_GB2312" w:cs="Arial"/>
          <w:b/>
          <w:sz w:val="32"/>
          <w:highlight w:val="none"/>
          <w:lang w:eastAsia="zh-CN"/>
        </w:rPr>
        <w:t>北京康正2023（估）字第0014号</w:t>
      </w:r>
    </w:p>
    <w:p>
      <w:pPr>
        <w:spacing w:line="300" w:lineRule="auto"/>
        <w:ind w:left="2400" w:leftChars="1000" w:firstLine="482" w:firstLineChars="150"/>
        <w:jc w:val="both"/>
        <w:rPr>
          <w:rFonts w:hint="eastAsia" w:ascii="Arial" w:hAnsi="Arial" w:eastAsia="楷体_GB2312" w:cs="Arial"/>
          <w:b/>
          <w:sz w:val="32"/>
          <w:highlight w:val="none"/>
          <w:lang w:eastAsia="zh-CN"/>
        </w:rPr>
      </w:pPr>
      <w:r>
        <w:rPr>
          <w:rFonts w:hint="eastAsia" w:ascii="Arial" w:hAnsi="Arial" w:eastAsia="楷体_GB2312" w:cs="Arial"/>
          <w:b/>
          <w:sz w:val="32"/>
          <w:highlight w:val="none"/>
          <w:lang w:eastAsia="zh-CN"/>
        </w:rPr>
        <w:t>2023-1-0449-F01TDCR6</w:t>
      </w:r>
    </w:p>
    <w:p>
      <w:pPr>
        <w:spacing w:line="300" w:lineRule="auto"/>
        <w:jc w:val="both"/>
        <w:rPr>
          <w:rFonts w:ascii="Arial" w:hAnsi="Arial" w:eastAsia="楷体_GB2312" w:cs="Arial"/>
          <w:b/>
          <w:sz w:val="32"/>
          <w:highlight w:val="none"/>
        </w:rPr>
      </w:pPr>
    </w:p>
    <w:p>
      <w:pPr>
        <w:tabs>
          <w:tab w:val="left" w:pos="6413"/>
        </w:tabs>
        <w:spacing w:line="300" w:lineRule="auto"/>
        <w:jc w:val="both"/>
        <w:rPr>
          <w:rFonts w:ascii="Arial" w:hAnsi="Arial" w:eastAsia="仿宋_GB2312" w:cs="Arial"/>
          <w:sz w:val="44"/>
          <w:highlight w:val="none"/>
        </w:rPr>
      </w:pPr>
      <w:r>
        <w:rPr>
          <w:rFonts w:ascii="Arial" w:hAnsi="Arial" w:eastAsia="楷体_GB2312" w:cs="Arial"/>
          <w:b/>
          <w:sz w:val="32"/>
          <w:highlight w:val="none"/>
        </w:rPr>
        <w:t>提交估价报告日期：</w:t>
      </w:r>
      <w:r>
        <w:rPr>
          <w:rFonts w:hint="eastAsia" w:ascii="Arial" w:hAnsi="Arial" w:eastAsia="楷体_GB2312" w:cs="Arial"/>
          <w:b/>
          <w:sz w:val="32"/>
          <w:highlight w:val="none"/>
        </w:rPr>
        <w:t>2023年6月</w:t>
      </w:r>
      <w:r>
        <w:rPr>
          <w:rFonts w:hint="eastAsia" w:ascii="Arial" w:hAnsi="Arial" w:eastAsia="楷体_GB2312" w:cs="Arial"/>
          <w:b/>
          <w:sz w:val="32"/>
          <w:highlight w:val="none"/>
          <w:lang w:val="en-US" w:eastAsia="zh-CN"/>
        </w:rPr>
        <w:t>12</w:t>
      </w:r>
      <w:r>
        <w:rPr>
          <w:rFonts w:hint="eastAsia" w:ascii="Arial" w:hAnsi="Arial" w:eastAsia="楷体_GB2312" w:cs="Arial"/>
          <w:b/>
          <w:sz w:val="32"/>
          <w:highlight w:val="none"/>
        </w:rPr>
        <w:t>日</w:t>
      </w:r>
      <w:r>
        <w:rPr>
          <w:rFonts w:ascii="Arial" w:hAnsi="Arial" w:eastAsia="楷体_GB2312" w:cs="Arial"/>
          <w:b/>
          <w:sz w:val="32"/>
          <w:highlight w:val="none"/>
        </w:rPr>
        <w:tab/>
      </w:r>
      <w:r>
        <w:rPr>
          <w:rFonts w:ascii="Arial" w:hAnsi="Arial" w:eastAsia="仿宋_GB2312" w:cs="Arial"/>
          <w:sz w:val="44"/>
          <w:highlight w:val="none"/>
        </w:rPr>
        <w:tab/>
      </w:r>
    </w:p>
    <w:p>
      <w:pPr>
        <w:widowControl/>
        <w:adjustRightInd/>
        <w:spacing w:line="300" w:lineRule="auto"/>
        <w:textAlignment w:val="auto"/>
        <w:rPr>
          <w:rFonts w:ascii="Arial" w:hAnsi="Arial" w:eastAsia="仿宋_GB2312" w:cs="Arial"/>
          <w:sz w:val="44"/>
          <w:highlight w:val="none"/>
        </w:rPr>
      </w:pPr>
      <w:r>
        <w:rPr>
          <w:rFonts w:ascii="Arial" w:hAnsi="Arial" w:eastAsia="仿宋_GB2312" w:cs="Arial"/>
          <w:sz w:val="44"/>
          <w:highlight w:val="none"/>
        </w:rPr>
        <w:br w:type="page"/>
      </w:r>
    </w:p>
    <w:p>
      <w:pPr>
        <w:tabs>
          <w:tab w:val="left" w:pos="6413"/>
        </w:tabs>
        <w:spacing w:line="300" w:lineRule="auto"/>
        <w:jc w:val="both"/>
        <w:rPr>
          <w:rFonts w:ascii="Arial" w:hAnsi="Arial" w:eastAsia="仿宋_GB2312" w:cs="Arial"/>
          <w:sz w:val="44"/>
          <w:highlight w:val="none"/>
        </w:rPr>
        <w:sectPr>
          <w:footerReference r:id="rId9" w:type="first"/>
          <w:headerReference r:id="rId5" w:type="default"/>
          <w:footerReference r:id="rId7" w:type="default"/>
          <w:headerReference r:id="rId6" w:type="even"/>
          <w:footerReference r:id="rId8" w:type="even"/>
          <w:pgSz w:w="11907" w:h="16840"/>
          <w:pgMar w:top="1440" w:right="1440" w:bottom="1440" w:left="1803" w:header="851" w:footer="1134" w:gutter="0"/>
          <w:pgNumType w:start="0"/>
          <w:cols w:space="720" w:num="1"/>
          <w:titlePg/>
        </w:sectPr>
      </w:pPr>
    </w:p>
    <w:p>
      <w:pPr>
        <w:spacing w:line="300" w:lineRule="auto"/>
        <w:jc w:val="center"/>
        <w:rPr>
          <w:rFonts w:ascii="Arial" w:hAnsi="Arial" w:cs="Arial"/>
          <w:b/>
          <w:sz w:val="32"/>
          <w:szCs w:val="32"/>
          <w:highlight w:val="none"/>
        </w:rPr>
      </w:pPr>
      <w:r>
        <w:rPr>
          <w:rFonts w:ascii="Arial" w:hAnsi="Arial" w:cs="Arial"/>
          <w:b/>
          <w:sz w:val="32"/>
          <w:szCs w:val="32"/>
          <w:highlight w:val="none"/>
        </w:rPr>
        <w:t>目录</w:t>
      </w:r>
    </w:p>
    <w:p>
      <w:pPr>
        <w:pStyle w:val="23"/>
        <w:spacing w:line="300" w:lineRule="auto"/>
        <w:rPr>
          <w:rFonts w:ascii="Arial" w:cs="Arial" w:eastAsiaTheme="minorEastAsia"/>
          <w:kern w:val="2"/>
          <w:sz w:val="21"/>
          <w:szCs w:val="22"/>
          <w:highlight w:val="none"/>
        </w:rPr>
      </w:pPr>
      <w:r>
        <w:rPr>
          <w:rFonts w:ascii="Arial" w:cs="Arial"/>
          <w:highlight w:val="none"/>
        </w:rPr>
        <w:fldChar w:fldCharType="begin"/>
      </w:r>
      <w:r>
        <w:rPr>
          <w:rFonts w:ascii="Arial" w:cs="Arial"/>
          <w:highlight w:val="none"/>
        </w:rPr>
        <w:instrText xml:space="preserve"> TOC \o "1-2" \h \z \u </w:instrText>
      </w:r>
      <w:r>
        <w:rPr>
          <w:rFonts w:ascii="Arial" w:cs="Arial"/>
          <w:highlight w:val="none"/>
        </w:rPr>
        <w:fldChar w:fldCharType="separate"/>
      </w:r>
      <w:r>
        <w:rPr>
          <w:highlight w:val="none"/>
        </w:rPr>
        <w:fldChar w:fldCharType="begin"/>
      </w:r>
      <w:r>
        <w:rPr>
          <w:highlight w:val="none"/>
        </w:rPr>
        <w:instrText xml:space="preserve"> HYPERLINK \l "_Toc69393366" </w:instrText>
      </w:r>
      <w:r>
        <w:rPr>
          <w:highlight w:val="none"/>
        </w:rPr>
        <w:fldChar w:fldCharType="separate"/>
      </w:r>
      <w:r>
        <w:rPr>
          <w:rStyle w:val="40"/>
          <w:rFonts w:ascii="Arial" w:cs="Arial"/>
          <w:b/>
          <w:highlight w:val="none"/>
        </w:rPr>
        <w:t>第一部分  摘  要</w:t>
      </w:r>
      <w:r>
        <w:rPr>
          <w:rFonts w:ascii="Arial" w:cs="Arial"/>
          <w:highlight w:val="none"/>
        </w:rPr>
        <w:tab/>
      </w:r>
      <w:r>
        <w:rPr>
          <w:rFonts w:ascii="Arial" w:cs="Arial"/>
          <w:highlight w:val="none"/>
        </w:rPr>
        <w:fldChar w:fldCharType="begin"/>
      </w:r>
      <w:r>
        <w:rPr>
          <w:rFonts w:ascii="Arial" w:cs="Arial"/>
          <w:highlight w:val="none"/>
        </w:rPr>
        <w:instrText xml:space="preserve"> PAGEREF _Toc69393366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"_Toc69393367" </w:instrText>
      </w:r>
      <w:r>
        <w:rPr>
          <w:highlight w:val="none"/>
        </w:rPr>
        <w:fldChar w:fldCharType="separate"/>
      </w:r>
      <w:r>
        <w:rPr>
          <w:rStyle w:val="40"/>
          <w:rFonts w:ascii="Arial" w:hAnsi="Arial" w:eastAsia="仿宋_GB2312" w:cs="Arial"/>
          <w:b/>
          <w:bCs/>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"_Toc69393368" </w:instrText>
      </w:r>
      <w:r>
        <w:rPr>
          <w:highlight w:val="none"/>
        </w:rPr>
        <w:fldChar w:fldCharType="separate"/>
      </w:r>
      <w:r>
        <w:rPr>
          <w:rStyle w:val="40"/>
          <w:rFonts w:ascii="Arial" w:hAnsi="Arial" w:eastAsia="仿宋_GB2312" w:cs="Arial"/>
          <w:b/>
          <w:bCs/>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"_Toc69393369" </w:instrText>
      </w:r>
      <w:r>
        <w:rPr>
          <w:highlight w:val="none"/>
        </w:rPr>
        <w:fldChar w:fldCharType="separate"/>
      </w:r>
      <w:r>
        <w:rPr>
          <w:rStyle w:val="40"/>
          <w:rFonts w:ascii="Arial" w:hAnsi="Arial" w:eastAsia="仿宋_GB2312" w:cs="Arial"/>
          <w:b/>
          <w:bCs/>
          <w:highlight w:val="none"/>
        </w:rPr>
        <w:t>三、估价目的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_Toc69393369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"_Toc69393370" </w:instrText>
      </w:r>
      <w:r>
        <w:rPr>
          <w:highlight w:val="none"/>
        </w:rPr>
        <w:fldChar w:fldCharType="separate"/>
      </w:r>
      <w:r>
        <w:rPr>
          <w:rStyle w:val="40"/>
          <w:rFonts w:ascii="Arial" w:hAnsi="Arial" w:eastAsia="仿宋_GB2312" w:cs="Arial"/>
          <w:b/>
          <w:bCs/>
          <w:highlight w:val="none"/>
        </w:rPr>
        <w:t>四、估价期日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_Toc69393370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"_Toc69393371" </w:instrText>
      </w:r>
      <w:r>
        <w:rPr>
          <w:highlight w:val="none"/>
        </w:rPr>
        <w:fldChar w:fldCharType="separate"/>
      </w:r>
      <w:r>
        <w:rPr>
          <w:rStyle w:val="40"/>
          <w:rFonts w:ascii="Arial" w:hAnsi="Arial" w:eastAsia="仿宋_GB2312" w:cs="Arial"/>
          <w:b/>
          <w:bCs/>
          <w:highlight w:val="none"/>
        </w:rPr>
        <w:t>五、估价日期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_Toc69393371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"_Toc69393372" </w:instrText>
      </w:r>
      <w:r>
        <w:rPr>
          <w:highlight w:val="none"/>
        </w:rPr>
        <w:fldChar w:fldCharType="separate"/>
      </w:r>
      <w:r>
        <w:rPr>
          <w:rStyle w:val="40"/>
          <w:rFonts w:ascii="Arial" w:hAnsi="Arial" w:eastAsia="仿宋_GB2312" w:cs="Arial"/>
          <w:b/>
          <w:bCs/>
          <w:highlight w:val="none"/>
        </w:rPr>
        <w:t>六、地价定义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_Toc69393372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"_Toc69393373" </w:instrText>
      </w:r>
      <w:r>
        <w:rPr>
          <w:highlight w:val="none"/>
        </w:rPr>
        <w:fldChar w:fldCharType="separate"/>
      </w:r>
      <w:r>
        <w:rPr>
          <w:rStyle w:val="40"/>
          <w:rFonts w:ascii="Arial" w:hAnsi="Arial" w:eastAsia="仿宋_GB2312" w:cs="Arial"/>
          <w:b/>
          <w:highlight w:val="none"/>
        </w:rPr>
        <w:t>七、估价结果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_Toc69393373 \h </w:instrText>
      </w:r>
      <w:r>
        <w:rPr>
          <w:rFonts w:ascii="Arial" w:hAnsi="Arial" w:cs="Arial"/>
          <w:highlight w:val="none"/>
        </w:rPr>
        <w:fldChar w:fldCharType="separate"/>
      </w:r>
      <w:r>
        <w:rPr>
          <w:rFonts w:ascii="Arial" w:hAnsi="Arial" w:cs="Arial"/>
          <w:highlight w:val="none"/>
        </w:rPr>
        <w:t>5</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"_Toc69393374" </w:instrText>
      </w:r>
      <w:r>
        <w:rPr>
          <w:highlight w:val="none"/>
        </w:rPr>
        <w:fldChar w:fldCharType="separate"/>
      </w:r>
      <w:r>
        <w:rPr>
          <w:rStyle w:val="40"/>
          <w:rFonts w:ascii="Arial" w:hAnsi="Arial" w:cs="Arial"/>
          <w:b/>
          <w:bCs/>
          <w:highlight w:val="none"/>
        </w:rPr>
        <w:t>八</w:t>
      </w:r>
      <w:r>
        <w:rPr>
          <w:rStyle w:val="40"/>
          <w:rFonts w:ascii="Arial" w:hAnsi="Arial" w:eastAsia="仿宋_GB2312" w:cs="Arial"/>
          <w:b/>
          <w:bCs/>
          <w:highlight w:val="none"/>
        </w:rPr>
        <w:t>、评估专业人员签字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_Toc69393374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"_Toc69393375" </w:instrText>
      </w:r>
      <w:r>
        <w:rPr>
          <w:highlight w:val="none"/>
        </w:rPr>
        <w:fldChar w:fldCharType="separate"/>
      </w:r>
      <w:r>
        <w:rPr>
          <w:rStyle w:val="40"/>
          <w:rFonts w:ascii="Arial" w:hAnsi="Arial" w:eastAsia="仿宋_GB2312" w:cs="Arial"/>
          <w:b/>
          <w:highlight w:val="none"/>
        </w:rPr>
        <w:t>九、土地估价机构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_Toc69393375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"_Toc69393376" </w:instrText>
      </w:r>
      <w:r>
        <w:rPr>
          <w:highlight w:val="none"/>
        </w:rPr>
        <w:fldChar w:fldCharType="separate"/>
      </w:r>
      <w:r>
        <w:rPr>
          <w:rStyle w:val="40"/>
          <w:rFonts w:ascii="Arial" w:cs="Arial"/>
          <w:b/>
          <w:highlight w:val="none"/>
        </w:rPr>
        <w:t>第二部分  估价对象界定</w:t>
      </w:r>
      <w:r>
        <w:rPr>
          <w:rFonts w:ascii="Arial" w:cs="Arial"/>
          <w:highlight w:val="none"/>
        </w:rPr>
        <w:tab/>
      </w:r>
      <w:r>
        <w:rPr>
          <w:rFonts w:ascii="Arial" w:cs="Arial"/>
          <w:highlight w:val="none"/>
        </w:rPr>
        <w:fldChar w:fldCharType="begin"/>
      </w:r>
      <w:r>
        <w:rPr>
          <w:rFonts w:ascii="Arial" w:cs="Arial"/>
          <w:highlight w:val="none"/>
        </w:rPr>
        <w:instrText xml:space="preserve"> PAGEREF _Toc69393376 \h </w:instrText>
      </w:r>
      <w:r>
        <w:rPr>
          <w:rFonts w:ascii="Arial" w:cs="Arial"/>
          <w:highlight w:val="none"/>
        </w:rPr>
        <w:fldChar w:fldCharType="separate"/>
      </w:r>
      <w:r>
        <w:rPr>
          <w:rFonts w:ascii="Arial" w:cs="Arial"/>
          <w:highlight w:val="none"/>
        </w:rPr>
        <w:t>11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"_Toc69393377" </w:instrText>
      </w:r>
      <w:r>
        <w:rPr>
          <w:highlight w:val="none"/>
        </w:rPr>
        <w:fldChar w:fldCharType="separate"/>
      </w:r>
      <w:r>
        <w:rPr>
          <w:rStyle w:val="40"/>
          <w:rFonts w:ascii="Arial" w:hAnsi="Arial" w:eastAsia="仿宋_GB2312" w:cs="Arial"/>
          <w:b/>
          <w:highlight w:val="none"/>
        </w:rPr>
        <w:t>一、委托估价方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_Toc69393377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"_Toc69393378" </w:instrText>
      </w:r>
      <w:r>
        <w:rPr>
          <w:highlight w:val="none"/>
        </w:rPr>
        <w:fldChar w:fldCharType="separate"/>
      </w:r>
      <w:r>
        <w:rPr>
          <w:rStyle w:val="40"/>
          <w:rFonts w:ascii="Arial" w:hAnsi="Arial" w:eastAsia="仿宋_GB2312" w:cs="Arial"/>
          <w:b/>
          <w:highlight w:val="none"/>
        </w:rPr>
        <w:t>二、估价对象</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_Toc69393378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"_Toc69393379" </w:instrText>
      </w:r>
      <w:r>
        <w:rPr>
          <w:highlight w:val="none"/>
        </w:rPr>
        <w:fldChar w:fldCharType="separate"/>
      </w:r>
      <w:r>
        <w:rPr>
          <w:rStyle w:val="40"/>
          <w:rFonts w:ascii="Arial" w:hAnsi="Arial" w:eastAsia="仿宋_GB2312" w:cs="Arial"/>
          <w:b/>
          <w:highlight w:val="none"/>
        </w:rPr>
        <w:t>三、估价对象概况</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_Toc69393379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"_Toc69393380" </w:instrText>
      </w:r>
      <w:r>
        <w:rPr>
          <w:highlight w:val="none"/>
        </w:rPr>
        <w:fldChar w:fldCharType="separate"/>
      </w:r>
      <w:r>
        <w:rPr>
          <w:rStyle w:val="40"/>
          <w:rFonts w:ascii="Arial" w:hAnsi="Arial" w:eastAsia="仿宋_GB2312" w:cs="Arial"/>
          <w:b/>
          <w:bCs/>
          <w:highlight w:val="none"/>
        </w:rPr>
        <w:t>四、影响地价的因素说明</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_Toc69393380 \h </w:instrText>
      </w:r>
      <w:r>
        <w:rPr>
          <w:rFonts w:ascii="Arial" w:hAnsi="Arial" w:cs="Arial"/>
          <w:highlight w:val="none"/>
        </w:rPr>
        <w:fldChar w:fldCharType="separate"/>
      </w:r>
      <w:r>
        <w:rPr>
          <w:rFonts w:ascii="Arial" w:hAnsi="Arial" w:cs="Arial"/>
          <w:highlight w:val="none"/>
        </w:rPr>
        <w:t>13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"_Toc69393381" </w:instrText>
      </w:r>
      <w:r>
        <w:rPr>
          <w:highlight w:val="none"/>
        </w:rPr>
        <w:fldChar w:fldCharType="separate"/>
      </w:r>
      <w:r>
        <w:rPr>
          <w:rStyle w:val="40"/>
          <w:rFonts w:ascii="Arial" w:cs="Arial"/>
          <w:b/>
          <w:highlight w:val="none"/>
        </w:rPr>
        <w:t>第三部分  土地估价结果及其使用</w:t>
      </w:r>
      <w:r>
        <w:rPr>
          <w:rFonts w:ascii="Arial" w:cs="Arial"/>
          <w:highlight w:val="none"/>
        </w:rPr>
        <w:tab/>
      </w:r>
      <w:r>
        <w:rPr>
          <w:rFonts w:ascii="Arial" w:cs="Arial"/>
          <w:highlight w:val="none"/>
        </w:rPr>
        <w:fldChar w:fldCharType="begin"/>
      </w:r>
      <w:r>
        <w:rPr>
          <w:rFonts w:ascii="Arial" w:cs="Arial"/>
          <w:highlight w:val="none"/>
        </w:rPr>
        <w:instrText xml:space="preserve"> PAGEREF _Toc69393381 \h </w:instrText>
      </w:r>
      <w:r>
        <w:rPr>
          <w:rFonts w:ascii="Arial" w:cs="Arial"/>
          <w:highlight w:val="none"/>
        </w:rPr>
        <w:fldChar w:fldCharType="separate"/>
      </w:r>
      <w:r>
        <w:rPr>
          <w:rFonts w:ascii="Arial" w:cs="Arial"/>
          <w:highlight w:val="none"/>
        </w:rPr>
        <w:t>30</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"_Toc69393382" </w:instrText>
      </w:r>
      <w:r>
        <w:rPr>
          <w:highlight w:val="none"/>
        </w:rPr>
        <w:fldChar w:fldCharType="separate"/>
      </w:r>
      <w:r>
        <w:rPr>
          <w:rStyle w:val="40"/>
          <w:rFonts w:ascii="Arial" w:hAnsi="Arial" w:eastAsia="仿宋_GB2312" w:cs="Arial"/>
          <w:b/>
          <w:highlight w:val="none"/>
        </w:rPr>
        <w:t>一、估价依据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_Toc69393382 \h </w:instrText>
      </w:r>
      <w:r>
        <w:rPr>
          <w:rFonts w:ascii="Arial" w:hAnsi="Arial" w:cs="Arial"/>
          <w:highlight w:val="none"/>
        </w:rPr>
        <w:fldChar w:fldCharType="separate"/>
      </w:r>
      <w:r>
        <w:rPr>
          <w:rFonts w:ascii="Arial" w:hAnsi="Arial" w:cs="Arial"/>
          <w:highlight w:val="none"/>
        </w:rPr>
        <w:t>30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"_Toc69393383" </w:instrText>
      </w:r>
      <w:r>
        <w:rPr>
          <w:highlight w:val="none"/>
        </w:rPr>
        <w:fldChar w:fldCharType="separate"/>
      </w:r>
      <w:r>
        <w:rPr>
          <w:rStyle w:val="40"/>
          <w:rFonts w:ascii="Arial" w:hAnsi="Arial" w:eastAsia="仿宋_GB2312" w:cs="Arial"/>
          <w:b/>
          <w:highlight w:val="none"/>
        </w:rPr>
        <w:t>二、土地估价原则</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_Toc69393383 \h </w:instrText>
      </w:r>
      <w:r>
        <w:rPr>
          <w:rFonts w:ascii="Arial" w:hAnsi="Arial" w:cs="Arial"/>
          <w:highlight w:val="none"/>
        </w:rPr>
        <w:fldChar w:fldCharType="separate"/>
      </w:r>
      <w:r>
        <w:rPr>
          <w:rFonts w:ascii="Arial" w:hAnsi="Arial" w:cs="Arial"/>
          <w:highlight w:val="none"/>
        </w:rPr>
        <w:t>34</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"_Toc69393384" </w:instrText>
      </w:r>
      <w:r>
        <w:rPr>
          <w:highlight w:val="none"/>
        </w:rPr>
        <w:fldChar w:fldCharType="separate"/>
      </w:r>
      <w:r>
        <w:rPr>
          <w:rStyle w:val="40"/>
          <w:rFonts w:ascii="Arial" w:hAnsi="Arial" w:eastAsia="仿宋_GB2312" w:cs="Arial"/>
          <w:b/>
          <w:highlight w:val="none"/>
        </w:rPr>
        <w:t>三、估价结果和估价报告的使用</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_Toc69393384 \h </w:instrText>
      </w:r>
      <w:r>
        <w:rPr>
          <w:rFonts w:ascii="Arial" w:hAnsi="Arial" w:cs="Arial"/>
          <w:highlight w:val="none"/>
        </w:rPr>
        <w:fldChar w:fldCharType="separate"/>
      </w:r>
      <w:r>
        <w:rPr>
          <w:rFonts w:ascii="Arial" w:hAnsi="Arial" w:cs="Arial"/>
          <w:highlight w:val="none"/>
        </w:rPr>
        <w:t>43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"_Toc69393385" </w:instrText>
      </w:r>
      <w:r>
        <w:rPr>
          <w:highlight w:val="none"/>
        </w:rPr>
        <w:fldChar w:fldCharType="separate"/>
      </w:r>
      <w:r>
        <w:rPr>
          <w:rStyle w:val="40"/>
          <w:rFonts w:ascii="Arial" w:cs="Arial"/>
          <w:b/>
          <w:highlight w:val="none"/>
        </w:rPr>
        <w:t>第四部分  附  件</w:t>
      </w:r>
      <w:r>
        <w:rPr>
          <w:rFonts w:ascii="Arial" w:cs="Arial"/>
          <w:highlight w:val="none"/>
        </w:rPr>
        <w:tab/>
      </w:r>
      <w:r>
        <w:rPr>
          <w:rFonts w:ascii="Arial" w:cs="Arial"/>
          <w:highlight w:val="none"/>
        </w:rPr>
        <w:fldChar w:fldCharType="begin"/>
      </w:r>
      <w:r>
        <w:rPr>
          <w:rFonts w:ascii="Arial" w:cs="Arial"/>
          <w:highlight w:val="none"/>
        </w:rPr>
        <w:instrText xml:space="preserve"> PAGEREF _Toc69393385 \h </w:instrText>
      </w:r>
      <w:r>
        <w:rPr>
          <w:rFonts w:ascii="Arial" w:cs="Arial"/>
          <w:highlight w:val="none"/>
        </w:rPr>
        <w:fldChar w:fldCharType="separate"/>
      </w:r>
      <w:r>
        <w:rPr>
          <w:rFonts w:ascii="Arial" w:cs="Arial"/>
          <w:highlight w:val="none"/>
        </w:rPr>
        <w:t>47</w:t>
      </w:r>
      <w:r>
        <w:rPr>
          <w:rFonts w:ascii="Arial" w:cs="Arial"/>
          <w:highlight w:val="none"/>
        </w:rPr>
        <w:fldChar w:fldCharType="end"/>
      </w:r>
      <w:r>
        <w:rPr>
          <w:rFonts w:ascii="Arial" w:cs="Arial"/>
          <w:highlight w:val="none"/>
        </w:rPr>
        <w:fldChar w:fldCharType="end"/>
      </w:r>
    </w:p>
    <w:p>
      <w:pPr>
        <w:spacing w:line="300" w:lineRule="auto"/>
        <w:rPr>
          <w:rFonts w:ascii="Arial" w:hAnsi="Arial" w:eastAsia="仿宋_GB2312" w:cs="Arial"/>
          <w:sz w:val="44"/>
          <w:highlight w:val="none"/>
        </w:rPr>
        <w:sectPr>
          <w:headerReference r:id="rId10"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highlight w:val="none"/>
        </w:rPr>
        <w:fldChar w:fldCharType="end"/>
      </w:r>
    </w:p>
    <w:p>
      <w:pPr>
        <w:spacing w:line="300" w:lineRule="auto"/>
        <w:rPr>
          <w:rFonts w:ascii="Arial" w:hAnsi="Arial" w:eastAsia="仿宋_GB2312" w:cs="Arial"/>
          <w:sz w:val="44"/>
          <w:highlight w:val="none"/>
        </w:rPr>
        <w:sectPr>
          <w:headerReference r:id="rId12" w:type="first"/>
          <w:footerReference r:id="rId15" w:type="first"/>
          <w:headerReference r:id="rId11" w:type="default"/>
          <w:footerReference r:id="rId13" w:type="default"/>
          <w:footerReference r:id="rId14" w:type="even"/>
          <w:type w:val="continuous"/>
          <w:pgSz w:w="11907" w:h="16840"/>
          <w:pgMar w:top="1440" w:right="1440" w:bottom="1440" w:left="1803" w:header="851" w:footer="1134" w:gutter="0"/>
          <w:pgNumType w:start="1"/>
          <w:cols w:space="720" w:num="1"/>
          <w:titlePg/>
        </w:sectPr>
      </w:pPr>
    </w:p>
    <w:p>
      <w:pPr>
        <w:spacing w:line="300" w:lineRule="auto"/>
        <w:jc w:val="center"/>
        <w:rPr>
          <w:rFonts w:ascii="Arial" w:hAnsi="Arial" w:cs="Arial"/>
          <w:b/>
          <w:sz w:val="32"/>
          <w:highlight w:val="none"/>
        </w:rPr>
      </w:pPr>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p>
    <w:p>
      <w:pPr>
        <w:spacing w:line="300" w:lineRule="auto"/>
        <w:rPr>
          <w:rFonts w:ascii="Arial" w:hAnsi="Arial" w:eastAsia="楷体_GB2312" w:cs="Arial"/>
          <w:b/>
          <w:sz w:val="32"/>
          <w:highlight w:val="none"/>
        </w:rPr>
      </w:pPr>
    </w:p>
    <w:p>
      <w:pPr>
        <w:tabs>
          <w:tab w:val="center" w:pos="4332"/>
          <w:tab w:val="right" w:pos="8664"/>
        </w:tabs>
        <w:spacing w:line="300" w:lineRule="auto"/>
        <w:ind w:firstLine="3534" w:firstLineChars="1100"/>
        <w:outlineLvl w:val="0"/>
        <w:rPr>
          <w:rFonts w:ascii="Arial" w:hAnsi="Arial" w:cs="Arial"/>
          <w:sz w:val="32"/>
          <w:highlight w:val="none"/>
        </w:rPr>
      </w:pPr>
      <w:bookmarkStart w:id="0" w:name="_Toc524335054"/>
      <w:bookmarkStart w:id="1" w:name="_Toc469066300"/>
      <w:bookmarkStart w:id="2" w:name="_Toc418750878"/>
      <w:bookmarkStart w:id="3" w:name="_Toc69393366"/>
      <w:bookmarkStart w:id="4" w:name="_Toc416783516"/>
      <w:bookmarkStart w:id="5" w:name="_Toc425250300"/>
      <w:bookmarkStart w:id="6" w:name="_Hlk82856123"/>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摘</w:t>
      </w:r>
      <w:r>
        <w:rPr>
          <w:rFonts w:ascii="Arial" w:hAnsi="Arial" w:eastAsia="仿宋_GB2312" w:cs="Arial"/>
          <w:b/>
          <w:sz w:val="32"/>
          <w:highlight w:val="none"/>
        </w:rPr>
        <w:t xml:space="preserve">  </w:t>
      </w:r>
      <w:r>
        <w:rPr>
          <w:rFonts w:ascii="Arial" w:hAnsi="Arial" w:cs="Arial"/>
          <w:b/>
          <w:sz w:val="32"/>
          <w:highlight w:val="none"/>
        </w:rPr>
        <w:t>要</w:t>
      </w:r>
      <w:bookmarkEnd w:id="0"/>
      <w:bookmarkEnd w:id="1"/>
      <w:bookmarkEnd w:id="2"/>
      <w:bookmarkEnd w:id="3"/>
      <w:bookmarkEnd w:id="4"/>
      <w:bookmarkEnd w:id="5"/>
      <w:r>
        <w:rPr>
          <w:rFonts w:ascii="Arial" w:hAnsi="Arial" w:cs="Arial"/>
          <w:b/>
          <w:sz w:val="32"/>
          <w:highlight w:val="none"/>
        </w:rPr>
        <w:tab/>
      </w:r>
    </w:p>
    <w:p>
      <w:pPr>
        <w:spacing w:line="300" w:lineRule="auto"/>
        <w:rPr>
          <w:rFonts w:ascii="Arial" w:hAnsi="Arial" w:eastAsia="仿宋_GB2312" w:cs="Arial"/>
          <w:sz w:val="28"/>
          <w:highlight w:val="none"/>
        </w:rPr>
      </w:pPr>
    </w:p>
    <w:p>
      <w:pPr>
        <w:spacing w:line="300" w:lineRule="auto"/>
        <w:jc w:val="both"/>
        <w:outlineLvl w:val="1"/>
        <w:rPr>
          <w:rFonts w:ascii="Arial" w:hAnsi="Arial" w:eastAsia="仿宋_GB2312" w:cs="Arial"/>
          <w:b/>
          <w:bCs/>
          <w:sz w:val="28"/>
          <w:highlight w:val="none"/>
        </w:rPr>
      </w:pPr>
      <w:bookmarkStart w:id="7" w:name="_Toc515458358"/>
      <w:bookmarkStart w:id="8" w:name="_Toc524335055"/>
      <w:bookmarkStart w:id="9" w:name="_Toc425250301"/>
      <w:bookmarkStart w:id="10" w:name="_Toc469066301"/>
      <w:bookmarkStart w:id="11" w:name="_Toc416783517"/>
      <w:bookmarkStart w:id="12" w:name="_Toc418750879"/>
      <w:bookmarkStart w:id="13" w:name="_Toc69393367"/>
      <w:r>
        <w:rPr>
          <w:rFonts w:ascii="Arial" w:hAnsi="Arial" w:eastAsia="仿宋_GB2312" w:cs="Arial"/>
          <w:b/>
          <w:bCs/>
          <w:sz w:val="28"/>
          <w:highlight w:val="none"/>
        </w:rPr>
        <w:t>一、估价项目名称</w:t>
      </w:r>
      <w:bookmarkEnd w:id="7"/>
      <w:bookmarkEnd w:id="8"/>
      <w:bookmarkEnd w:id="9"/>
      <w:bookmarkEnd w:id="10"/>
      <w:bookmarkEnd w:id="11"/>
      <w:bookmarkEnd w:id="12"/>
      <w:bookmarkEnd w:id="13"/>
    </w:p>
    <w:p>
      <w:pPr>
        <w:spacing w:line="300" w:lineRule="auto"/>
        <w:ind w:firstLine="557" w:firstLineChars="199"/>
        <w:jc w:val="both"/>
        <w:rPr>
          <w:rFonts w:ascii="Arial" w:hAnsi="Arial" w:eastAsia="仿宋_GB2312" w:cs="Arial"/>
          <w:sz w:val="28"/>
          <w:highlight w:val="none"/>
        </w:rPr>
      </w:pPr>
      <w:bookmarkStart w:id="14" w:name="_Hlk79696906"/>
      <w:bookmarkStart w:id="15" w:name="_Hlk79698272"/>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现状商业用地国有建设用地使用权出让价格评估</w:t>
      </w:r>
    </w:p>
    <w:p>
      <w:pPr>
        <w:spacing w:line="300" w:lineRule="auto"/>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6" w:name="_Toc69393368"/>
      <w:r>
        <w:rPr>
          <w:rFonts w:ascii="Arial" w:hAnsi="Arial" w:eastAsia="仿宋_GB2312" w:cs="Arial"/>
          <w:b/>
          <w:bCs/>
          <w:sz w:val="28"/>
          <w:highlight w:val="none"/>
        </w:rPr>
        <w:t>二、委托估价方</w:t>
      </w:r>
      <w:bookmarkEnd w:id="16"/>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ind w:left="1" w:right="-85"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7" w:name="_Toc425250303"/>
      <w:bookmarkStart w:id="18" w:name="_Toc524335057"/>
      <w:bookmarkStart w:id="19" w:name="_Toc515261587"/>
      <w:bookmarkStart w:id="20" w:name="_Toc69393369"/>
      <w:bookmarkStart w:id="21" w:name="_Toc416783519"/>
      <w:bookmarkStart w:id="22" w:name="_Toc515458360"/>
      <w:bookmarkStart w:id="23" w:name="_Toc469066303"/>
      <w:bookmarkStart w:id="24" w:name="_Toc418750881"/>
      <w:r>
        <w:rPr>
          <w:rFonts w:ascii="Arial" w:hAnsi="Arial" w:eastAsia="仿宋_GB2312" w:cs="Arial"/>
          <w:b/>
          <w:bCs/>
          <w:sz w:val="28"/>
          <w:highlight w:val="none"/>
        </w:rPr>
        <w:t>三、估价目的</w:t>
      </w:r>
      <w:bookmarkEnd w:id="17"/>
      <w:bookmarkEnd w:id="18"/>
      <w:bookmarkEnd w:id="19"/>
      <w:bookmarkEnd w:id="20"/>
      <w:bookmarkEnd w:id="21"/>
      <w:bookmarkEnd w:id="22"/>
      <w:bookmarkEnd w:id="23"/>
      <w:bookmarkEnd w:id="24"/>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ind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25" w:name="_Toc469066304"/>
      <w:bookmarkStart w:id="26" w:name="_Toc515261588"/>
      <w:bookmarkStart w:id="27" w:name="_Toc524335058"/>
      <w:bookmarkStart w:id="28" w:name="_Toc418750882"/>
      <w:bookmarkStart w:id="29" w:name="_Toc69393370"/>
      <w:bookmarkStart w:id="30" w:name="_Toc515458361"/>
      <w:bookmarkStart w:id="31" w:name="_Toc416783520"/>
      <w:bookmarkStart w:id="32" w:name="_Toc425250304"/>
      <w:r>
        <w:rPr>
          <w:rFonts w:ascii="Arial" w:hAnsi="Arial" w:eastAsia="仿宋_GB2312" w:cs="Arial"/>
          <w:b/>
          <w:bCs/>
          <w:sz w:val="28"/>
          <w:highlight w:val="none"/>
        </w:rPr>
        <w:t>四、估价期日</w:t>
      </w:r>
      <w:bookmarkEnd w:id="25"/>
      <w:bookmarkEnd w:id="26"/>
      <w:bookmarkEnd w:id="27"/>
      <w:bookmarkEnd w:id="28"/>
      <w:bookmarkEnd w:id="29"/>
      <w:bookmarkEnd w:id="30"/>
      <w:bookmarkEnd w:id="31"/>
      <w:bookmarkEnd w:id="32"/>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2023年6月7日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33" w:name="_Toc69393371"/>
      <w:bookmarkStart w:id="34" w:name="_Toc515458362"/>
      <w:bookmarkStart w:id="35" w:name="_Toc524335059"/>
      <w:bookmarkStart w:id="36" w:name="_Toc418750883"/>
      <w:bookmarkStart w:id="37" w:name="_Toc416783521"/>
      <w:bookmarkStart w:id="38" w:name="_Toc515261589"/>
      <w:bookmarkStart w:id="39" w:name="_Toc425250305"/>
      <w:bookmarkStart w:id="40" w:name="_Toc469066305"/>
      <w:r>
        <w:rPr>
          <w:rFonts w:ascii="Arial" w:hAnsi="Arial" w:eastAsia="仿宋_GB2312" w:cs="Arial"/>
          <w:b/>
          <w:bCs/>
          <w:sz w:val="28"/>
          <w:highlight w:val="none"/>
        </w:rPr>
        <w:t>五、估价日期</w:t>
      </w:r>
      <w:bookmarkEnd w:id="33"/>
      <w:bookmarkEnd w:id="34"/>
      <w:bookmarkEnd w:id="35"/>
      <w:bookmarkEnd w:id="36"/>
      <w:bookmarkEnd w:id="37"/>
      <w:bookmarkEnd w:id="38"/>
      <w:bookmarkEnd w:id="39"/>
      <w:bookmarkEnd w:id="40"/>
      <w:r>
        <w:rPr>
          <w:rFonts w:ascii="Arial" w:hAnsi="Arial" w:eastAsia="仿宋_GB2312" w:cs="Arial"/>
          <w:b/>
          <w:bCs/>
          <w:sz w:val="28"/>
          <w:highlight w:val="none"/>
        </w:rPr>
        <w:tab/>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日</w:t>
      </w:r>
      <w:r>
        <w:rPr>
          <w:rFonts w:ascii="Arial" w:hAnsi="Arial" w:eastAsia="仿宋_GB2312" w:cs="Arial"/>
          <w:sz w:val="28"/>
          <w:highlight w:val="none"/>
        </w:rPr>
        <w:t>至</w:t>
      </w:r>
      <w:bookmarkStart w:id="41" w:name="_Toc425250306"/>
      <w:bookmarkStart w:id="42" w:name="_Toc416783522"/>
      <w:bookmarkStart w:id="43" w:name="_Toc418750884"/>
      <w:bookmarkStart w:id="44" w:name="_Toc469066306"/>
      <w:r>
        <w:rPr>
          <w:rFonts w:hint="eastAsia" w:ascii="Arial" w:hAnsi="Arial" w:eastAsia="仿宋_GB2312" w:cs="Arial"/>
          <w:sz w:val="28"/>
          <w:highlight w:val="none"/>
        </w:rPr>
        <w:t>2023年6月</w:t>
      </w:r>
      <w:r>
        <w:rPr>
          <w:rFonts w:hint="eastAsia" w:ascii="Arial" w:hAnsi="Arial" w:eastAsia="仿宋_GB2312" w:cs="Arial"/>
          <w:sz w:val="28"/>
          <w:highlight w:val="none"/>
          <w:lang w:val="en-US" w:eastAsia="zh-CN"/>
        </w:rPr>
        <w:t>12</w:t>
      </w:r>
      <w:r>
        <w:rPr>
          <w:rFonts w:hint="eastAsia" w:ascii="Arial" w:hAnsi="Arial" w:eastAsia="仿宋_GB2312" w:cs="Arial"/>
          <w:sz w:val="28"/>
          <w:highlight w:val="none"/>
        </w:rPr>
        <w:t>日</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45" w:name="_Toc69393372"/>
      <w:bookmarkStart w:id="46" w:name="_Toc524335060"/>
      <w:r>
        <w:rPr>
          <w:rFonts w:ascii="Arial" w:hAnsi="Arial" w:eastAsia="仿宋_GB2312" w:cs="Arial"/>
          <w:b/>
          <w:bCs/>
          <w:sz w:val="28"/>
          <w:highlight w:val="none"/>
        </w:rPr>
        <w:t>六、地价定义</w:t>
      </w:r>
      <w:bookmarkEnd w:id="41"/>
      <w:bookmarkEnd w:id="42"/>
      <w:bookmarkEnd w:id="43"/>
      <w:bookmarkEnd w:id="44"/>
      <w:bookmarkEnd w:id="45"/>
      <w:bookmarkEnd w:id="46"/>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李成岳</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李成岳</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widowControl/>
        <w:snapToGrid w:val="0"/>
        <w:spacing w:line="300" w:lineRule="auto"/>
        <w:ind w:firstLine="560" w:firstLineChars="200"/>
        <w:jc w:val="both"/>
        <w:rPr>
          <w:rFonts w:ascii="Arial" w:hAnsi="Arial" w:eastAsia="仿宋_GB2312" w:cs="Arial"/>
          <w:sz w:val="28"/>
          <w:szCs w:val="28"/>
          <w:highlight w:val="none"/>
        </w:rPr>
      </w:pPr>
      <w:bookmarkStart w:id="47" w:name="_Toc515458363"/>
      <w:bookmarkStart w:id="48" w:name="_Toc524335061"/>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p>
    <w:p>
      <w:pPr>
        <w:spacing w:line="300" w:lineRule="auto"/>
        <w:outlineLvl w:val="1"/>
        <w:rPr>
          <w:rFonts w:ascii="Arial" w:hAnsi="Arial" w:eastAsia="仿宋_GB2312" w:cs="Arial"/>
          <w:b/>
          <w:sz w:val="28"/>
          <w:highlight w:val="none"/>
        </w:rPr>
      </w:pPr>
      <w:bookmarkStart w:id="49" w:name="_Toc69393373"/>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七、估价结果</w:t>
      </w:r>
      <w:bookmarkEnd w:id="47"/>
      <w:bookmarkEnd w:id="48"/>
      <w:bookmarkEnd w:id="49"/>
    </w:p>
    <w:p>
      <w:pPr>
        <w:spacing w:line="300" w:lineRule="auto"/>
        <w:ind w:firstLine="560" w:firstLineChars="200"/>
        <w:jc w:val="both"/>
        <w:rPr>
          <w:rFonts w:ascii="Arial" w:hAnsi="Arial" w:eastAsia="仿宋_GB2312" w:cs="Arial"/>
          <w:sz w:val="28"/>
          <w:highlight w:val="none"/>
        </w:rPr>
      </w:pPr>
      <w:bookmarkStart w:id="50" w:name="_Toc418750886"/>
      <w:bookmarkStart w:id="51" w:name="_Toc416783524"/>
      <w:bookmarkStart w:id="52" w:name="_Toc425250308"/>
      <w:bookmarkStart w:id="53" w:name="_Toc469066308"/>
      <w:bookmarkStart w:id="54" w:name="_Toc524335062"/>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219.8140</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贰佰壹拾玖万捌仟壹佰肆拾</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10596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val="en-US" w:eastAsia="zh-CN"/>
        </w:rPr>
        <w:t>21616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161.6658</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壹佰陆拾壹万陆仟陆佰伍拾捌</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7793</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w:t>
      </w:r>
      <w:r>
        <w:rPr>
          <w:rFonts w:hint="eastAsia" w:ascii="Arial" w:hAnsi="Arial" w:eastAsia="仿宋_GB2312" w:cs="Arial"/>
          <w:kern w:val="2"/>
          <w:sz w:val="28"/>
          <w:highlight w:val="none"/>
          <w:lang w:val="en-US" w:eastAsia="zh-CN"/>
        </w:rPr>
        <w:t>5898</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58.1482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伍拾捌万壹仟肆佰捌拾贰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2803</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both"/>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both"/>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101.6894</w:t>
            </w:r>
          </w:p>
        </w:tc>
        <w:tc>
          <w:tcPr>
            <w:tcW w:w="956" w:type="dxa"/>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207.45</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10596</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219.8140</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7793</w:t>
            </w:r>
          </w:p>
        </w:tc>
        <w:tc>
          <w:tcPr>
            <w:tcW w:w="1020"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161.6658</w:t>
            </w:r>
          </w:p>
        </w:tc>
        <w:tc>
          <w:tcPr>
            <w:tcW w:w="1631"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2803</w:t>
            </w:r>
          </w:p>
        </w:tc>
        <w:tc>
          <w:tcPr>
            <w:tcW w:w="1246" w:type="dxa"/>
            <w:tcBorders>
              <w:right w:val="single" w:color="000000" w:sz="6" w:space="0"/>
            </w:tcBorders>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58.1482</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jc w:val="both"/>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10596</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val="en-US" w:eastAsia="zh-CN"/>
        </w:rPr>
        <w:t>219.8140</w:t>
      </w:r>
      <w:r>
        <w:rPr>
          <w:rFonts w:hint="eastAsia" w:ascii="Arial" w:hAnsi="Arial" w:cs="Arial"/>
          <w:szCs w:val="28"/>
          <w:highlight w:val="none"/>
        </w:rPr>
        <w:t>万元</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val="en-US" w:eastAsia="zh-CN"/>
        </w:rPr>
        <w:t>7793</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val="en-US" w:eastAsia="zh-CN"/>
        </w:rPr>
        <w:t>161.6658</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val="en-US" w:eastAsia="zh-CN"/>
        </w:rPr>
        <w:t>10596</w:t>
      </w:r>
      <w:r>
        <w:rPr>
          <w:rFonts w:hint="eastAsia" w:ascii="Arial" w:hAnsi="Arial" w:cs="Arial"/>
          <w:szCs w:val="28"/>
          <w:highlight w:val="none"/>
        </w:rPr>
        <w:t>－</w:t>
      </w:r>
      <w:r>
        <w:rPr>
          <w:rFonts w:hint="eastAsia" w:ascii="Arial" w:hAnsi="Arial" w:cs="Arial"/>
          <w:szCs w:val="28"/>
          <w:highlight w:val="none"/>
          <w:lang w:val="en-US" w:eastAsia="zh-CN"/>
        </w:rPr>
        <w:t>7793</w:t>
      </w:r>
      <w:r>
        <w:rPr>
          <w:rFonts w:hint="eastAsia" w:ascii="Arial" w:hAnsi="Arial" w:cs="Arial"/>
          <w:szCs w:val="28"/>
          <w:highlight w:val="none"/>
        </w:rPr>
        <w:t>＝</w:t>
      </w:r>
      <w:r>
        <w:rPr>
          <w:rFonts w:hint="eastAsia" w:ascii="Arial" w:hAnsi="Arial" w:cs="Arial"/>
          <w:szCs w:val="28"/>
          <w:highlight w:val="none"/>
          <w:lang w:val="en-US" w:eastAsia="zh-CN"/>
        </w:rPr>
        <w:t>2803</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val="en-US" w:eastAsia="zh-CN"/>
        </w:rPr>
        <w:t>2803</w:t>
      </w:r>
      <w:r>
        <w:rPr>
          <w:rFonts w:hint="eastAsia" w:ascii="Arial" w:hAnsi="Arial" w:cs="Arial"/>
          <w:szCs w:val="28"/>
          <w:highlight w:val="none"/>
        </w:rPr>
        <w:t>×</w:t>
      </w:r>
      <w:r>
        <w:rPr>
          <w:rFonts w:hint="eastAsia" w:ascii="Arial" w:hAnsi="Arial" w:cs="Arial"/>
          <w:szCs w:val="28"/>
          <w:highlight w:val="none"/>
          <w:lang w:eastAsia="zh-CN"/>
        </w:rPr>
        <w:t>207.45</w:t>
      </w:r>
      <w:r>
        <w:rPr>
          <w:rFonts w:hint="eastAsia" w:ascii="Arial" w:hAnsi="Arial" w:cs="Arial"/>
          <w:szCs w:val="28"/>
          <w:highlight w:val="none"/>
        </w:rPr>
        <w:t>÷10000＝</w:t>
      </w:r>
      <w:r>
        <w:rPr>
          <w:rFonts w:hint="eastAsia" w:ascii="Arial" w:hAnsi="Arial" w:cs="Arial"/>
          <w:szCs w:val="28"/>
          <w:highlight w:val="none"/>
          <w:lang w:val="en-US" w:eastAsia="zh-CN"/>
        </w:rPr>
        <w:t>58.1482</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jc w:val="both"/>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val="en-US" w:eastAsia="zh-CN"/>
        </w:rPr>
        <w:t>10596</w:t>
      </w:r>
      <w:r>
        <w:rPr>
          <w:rFonts w:hint="eastAsia" w:ascii="Arial" w:hAnsi="Arial" w:cs="Arial"/>
          <w:szCs w:val="28"/>
          <w:highlight w:val="none"/>
        </w:rPr>
        <w:t>×25%＝</w:t>
      </w:r>
      <w:r>
        <w:rPr>
          <w:rFonts w:hint="eastAsia" w:ascii="Arial" w:hAnsi="Arial" w:eastAsia="仿宋" w:cs="Arial"/>
          <w:highlight w:val="none"/>
          <w:lang w:val="en-US" w:eastAsia="zh-CN"/>
        </w:rPr>
        <w:t>2649</w:t>
      </w:r>
      <w:r>
        <w:rPr>
          <w:rFonts w:hint="eastAsia" w:ascii="Arial" w:hAnsi="Arial" w:cs="Arial"/>
          <w:szCs w:val="28"/>
          <w:highlight w:val="none"/>
        </w:rPr>
        <w:t>（元/平方米）</w:t>
      </w:r>
    </w:p>
    <w:p>
      <w:pPr>
        <w:pStyle w:val="52"/>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2649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÷10000＝</w:t>
      </w:r>
      <w:r>
        <w:rPr>
          <w:rFonts w:hint="eastAsia" w:ascii="Arial" w:hAnsi="Arial" w:eastAsia="仿宋" w:cs="Arial"/>
          <w:highlight w:val="none"/>
          <w:lang w:val="en-US" w:eastAsia="zh-CN"/>
        </w:rPr>
        <w:t>54.9535</w:t>
      </w:r>
      <w:r>
        <w:rPr>
          <w:rFonts w:hint="eastAsia" w:ascii="Arial" w:hAnsi="Arial" w:cs="Arial"/>
          <w:szCs w:val="28"/>
          <w:highlight w:val="none"/>
        </w:rPr>
        <w:t>（万元）</w:t>
      </w:r>
    </w:p>
    <w:p>
      <w:pPr>
        <w:pStyle w:val="52"/>
        <w:adjustRightInd w:val="0"/>
        <w:spacing w:line="300" w:lineRule="auto"/>
        <w:jc w:val="both"/>
        <w:rPr>
          <w:rFonts w:ascii="Arial" w:hAnsi="Arial" w:eastAsia="仿宋" w:cs="Arial"/>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val="en-US" w:eastAsia="zh-CN"/>
        </w:rPr>
        <w:t>2803</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val="en-US" w:eastAsia="zh-CN"/>
        </w:rPr>
        <w:t>58.1482</w:t>
      </w:r>
      <w:r>
        <w:rPr>
          <w:rFonts w:ascii="Arial" w:hAnsi="Arial" w:eastAsia="仿宋" w:cs="Arial"/>
          <w:sz w:val="28"/>
          <w:szCs w:val="28"/>
          <w:highlight w:val="none"/>
        </w:rPr>
        <w:t>万元</w:t>
      </w:r>
      <w:r>
        <w:rPr>
          <w:rFonts w:hint="eastAsia" w:ascii="Arial" w:hAnsi="Arial" w:eastAsia="仿宋" w:cs="Arial"/>
          <w:highlight w:val="none"/>
        </w:rPr>
        <w:t>。</w:t>
      </w:r>
    </w:p>
    <w:p>
      <w:pPr>
        <w:pStyle w:val="52"/>
        <w:spacing w:line="300" w:lineRule="auto"/>
        <w:jc w:val="both"/>
        <w:rPr>
          <w:rFonts w:ascii="Arial" w:hAnsi="Arial" w:cs="Arial"/>
          <w:szCs w:val="28"/>
          <w:highlight w:val="none"/>
        </w:rPr>
        <w:sectPr>
          <w:footerReference r:id="rId16" w:type="first"/>
          <w:pgSz w:w="11907" w:h="16840"/>
          <w:pgMar w:top="1843" w:right="1134" w:bottom="1134" w:left="1134" w:header="1134" w:footer="907" w:gutter="340"/>
          <w:pgNumType w:start="1"/>
          <w:cols w:space="720" w:num="1"/>
          <w:titlePg/>
          <w:docGrid w:linePitch="326" w:charSpace="0"/>
        </w:sectPr>
      </w:pPr>
    </w:p>
    <w:p>
      <w:pPr>
        <w:spacing w:line="300" w:lineRule="auto"/>
        <w:outlineLvl w:val="1"/>
        <w:rPr>
          <w:rStyle w:val="38"/>
          <w:rFonts w:ascii="Arial" w:hAnsi="Arial" w:cs="Arial"/>
          <w:highlight w:val="none"/>
        </w:rPr>
      </w:pPr>
      <w:bookmarkStart w:id="55" w:name="_Toc69393374"/>
      <w:r>
        <w:rPr>
          <w:rStyle w:val="38"/>
          <w:rFonts w:ascii="Arial" w:hAnsi="Arial" w:cs="Arial"/>
          <w:highlight w:val="none"/>
        </w:rPr>
        <w:t>八</w:t>
      </w:r>
      <w:r>
        <w:rPr>
          <w:rFonts w:ascii="Arial" w:hAnsi="Arial" w:eastAsia="仿宋_GB2312" w:cs="Arial"/>
          <w:b/>
          <w:bCs/>
          <w:sz w:val="28"/>
          <w:highlight w:val="none"/>
        </w:rPr>
        <w:t>、</w:t>
      </w:r>
      <w:bookmarkEnd w:id="50"/>
      <w:bookmarkEnd w:id="51"/>
      <w:bookmarkEnd w:id="52"/>
      <w:bookmarkEnd w:id="53"/>
      <w:bookmarkEnd w:id="54"/>
      <w:bookmarkEnd w:id="55"/>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56" w:name="_Toc69393375"/>
      <w:bookmarkStart w:id="57" w:name="_Toc469066309"/>
      <w:bookmarkStart w:id="58" w:name="_Toc425250311"/>
      <w:bookmarkStart w:id="59" w:name="_Toc418750889"/>
      <w:bookmarkStart w:id="60" w:name="_Toc416783526"/>
      <w:bookmarkStart w:id="61" w:name="_Toc524335063"/>
      <w:bookmarkStart w:id="62" w:name="_Toc515458364"/>
      <w:r>
        <w:rPr>
          <w:rFonts w:ascii="Arial" w:hAnsi="Arial" w:eastAsia="仿宋_GB2312" w:cs="Arial"/>
          <w:b/>
          <w:sz w:val="28"/>
          <w:highlight w:val="none"/>
        </w:rPr>
        <w:t>九、土地估价机构</w:t>
      </w:r>
      <w:bookmarkEnd w:id="56"/>
      <w:bookmarkEnd w:id="57"/>
      <w:bookmarkEnd w:id="58"/>
      <w:bookmarkEnd w:id="59"/>
      <w:bookmarkEnd w:id="60"/>
      <w:bookmarkEnd w:id="61"/>
      <w:bookmarkEnd w:id="62"/>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w:t>
            </w:r>
            <w:r>
              <w:rPr>
                <w:rFonts w:hint="eastAsia" w:ascii="仿宋_GB2312" w:hAnsi="仿宋_GB2312" w:eastAsia="仿宋_GB2312" w:cs="仿宋_GB2312"/>
                <w:sz w:val="28"/>
                <w:szCs w:val="21"/>
                <w:highlight w:val="none"/>
                <w:lang w:eastAsia="zh-CN"/>
              </w:rPr>
              <w:t>十二</w:t>
            </w:r>
            <w:r>
              <w:rPr>
                <w:rFonts w:hint="eastAsia" w:ascii="仿宋_GB2312" w:hAnsi="仿宋_GB2312" w:eastAsia="仿宋_GB2312" w:cs="仿宋_GB2312"/>
                <w:sz w:val="28"/>
                <w:szCs w:val="21"/>
                <w:highlight w:val="none"/>
              </w:rPr>
              <w:t>日</w:t>
            </w:r>
          </w:p>
        </w:tc>
      </w:tr>
    </w:tbl>
    <w:p>
      <w:pPr>
        <w:spacing w:line="300" w:lineRule="auto"/>
        <w:rPr>
          <w:rFonts w:ascii="Arial" w:hAnsi="Arial" w:eastAsia="仿宋_GB2312" w:cs="Arial"/>
          <w:sz w:val="28"/>
          <w:highlight w:val="none"/>
        </w:rPr>
        <w:sectPr>
          <w:pgSz w:w="11907" w:h="16840"/>
          <w:pgMar w:top="1843" w:right="1134" w:bottom="1134" w:left="1134" w:header="1134" w:footer="907" w:gutter="340"/>
          <w:cols w:space="720" w:num="1"/>
          <w:titlePg/>
          <w:docGrid w:linePitch="326" w:charSpace="0"/>
        </w:sectPr>
      </w:pP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2023-1-0449-F01TDCR6</w:t>
      </w:r>
      <w:r>
        <w:rPr>
          <w:rFonts w:ascii="Arial" w:hAnsi="Arial" w:eastAsia="仿宋_GB2312" w:cs="Arial"/>
          <w:bCs/>
          <w:sz w:val="18"/>
          <w:highlight w:val="none"/>
        </w:rPr>
        <w:t xml:space="preserve">    </w:t>
      </w:r>
      <w:r>
        <w:rPr>
          <w:rFonts w:hint="eastAsia" w:ascii="Arial" w:hAnsi="Arial" w:eastAsia="仿宋_GB2312" w:cs="Arial"/>
          <w:bCs/>
          <w:sz w:val="18"/>
          <w:highlight w:val="none"/>
          <w:lang w:eastAsia="zh-CN"/>
        </w:rPr>
        <w:t>估价期日：2023年6月7日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732"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95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32"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5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李成岳</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8号楼1-2层104号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101.6894</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207.45</w:t>
            </w:r>
            <w:r>
              <w:rPr>
                <w:rFonts w:hint="eastAsia" w:ascii="Arial" w:hAnsi="Arial" w:eastAsia="仿宋_GB2312" w:cs="Arial"/>
                <w:bCs/>
                <w:sz w:val="18"/>
                <w:szCs w:val="18"/>
                <w:highlight w:val="none"/>
              </w:rPr>
              <w:t xml:space="preserve"> </w:t>
            </w:r>
          </w:p>
        </w:tc>
        <w:tc>
          <w:tcPr>
            <w:tcW w:w="732"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10596</w:t>
            </w:r>
          </w:p>
        </w:tc>
        <w:tc>
          <w:tcPr>
            <w:tcW w:w="955"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219.814</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7793</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161.6658</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2803</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58.1482</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58.1482</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18" w:type="first"/>
          <w:headerReference r:id="rId17" w:type="default"/>
          <w:footerReference r:id="rId19" w:type="default"/>
          <w:pgSz w:w="16840" w:h="11907" w:orient="landscape"/>
          <w:pgMar w:top="2041" w:right="1134" w:bottom="1134" w:left="1134" w:header="1134" w:footer="907" w:gutter="340"/>
          <w:cols w:space="720" w:num="1"/>
          <w:titlePg/>
          <w:docGrid w:linePitch="326" w:charSpace="0"/>
        </w:sectPr>
      </w:pPr>
    </w:p>
    <w:bookmarkEnd w:id="6"/>
    <w:p>
      <w:pPr>
        <w:spacing w:line="300" w:lineRule="auto"/>
        <w:ind w:left="1"/>
        <w:jc w:val="both"/>
        <w:rPr>
          <w:rFonts w:ascii="Arial" w:hAnsi="Arial" w:eastAsia="仿宋_GB2312" w:cs="Arial"/>
          <w:b/>
          <w:highlight w:val="none"/>
        </w:rPr>
      </w:pPr>
      <w:r>
        <w:rPr>
          <w:rFonts w:ascii="Arial" w:hAnsi="Arial" w:eastAsia="仿宋_GB2312" w:cs="Arial"/>
          <w:b/>
          <w:highlight w:val="none"/>
        </w:rPr>
        <w:t>一、上述估价结果的限定条件</w:t>
      </w:r>
    </w:p>
    <w:p>
      <w:pPr>
        <w:spacing w:line="300" w:lineRule="auto"/>
        <w:jc w:val="both"/>
        <w:rPr>
          <w:rFonts w:ascii="Arial" w:hAnsi="Arial" w:eastAsia="仿宋_GB2312" w:cs="Arial"/>
          <w:bCs/>
          <w:highlight w:val="none"/>
        </w:rPr>
      </w:pPr>
      <w:r>
        <w:rPr>
          <w:rFonts w:ascii="Arial" w:hAnsi="Arial" w:eastAsia="仿宋_GB2312" w:cs="Arial"/>
          <w:bCs/>
          <w:highlight w:val="none"/>
        </w:rPr>
        <w:t>（一）土地权利限制：至估价期日，估价对象未见抵押权登记。根据估价目的，设定待估宗地无抵押权、担保权等他项权利；</w:t>
      </w:r>
    </w:p>
    <w:p>
      <w:pPr>
        <w:spacing w:line="300" w:lineRule="auto"/>
        <w:jc w:val="both"/>
        <w:rPr>
          <w:rFonts w:ascii="Arial" w:hAnsi="Arial" w:eastAsia="仿宋_GB2312" w:cs="Arial"/>
          <w:bCs/>
          <w:highlight w:val="none"/>
        </w:rPr>
      </w:pPr>
      <w:r>
        <w:rPr>
          <w:rFonts w:ascii="Arial" w:hAnsi="Arial" w:eastAsia="仿宋_GB2312" w:cs="Arial"/>
          <w:bCs/>
          <w:highlight w:val="none"/>
        </w:rPr>
        <w:t>（二）基础设施条件：估价对象实际土地开发程度为宗地</w:t>
      </w:r>
      <w:r>
        <w:rPr>
          <w:rFonts w:hint="eastAsia" w:ascii="Arial" w:hAnsi="Arial" w:eastAsia="仿宋_GB2312" w:cs="Arial"/>
          <w:bCs/>
          <w:highlight w:val="none"/>
        </w:rPr>
        <w:t>红线</w:t>
      </w:r>
      <w:r>
        <w:rPr>
          <w:rFonts w:ascii="Arial" w:hAnsi="Arial" w:eastAsia="仿宋_GB2312" w:cs="Arial"/>
          <w:bCs/>
          <w:highlight w:val="none"/>
        </w:rPr>
        <w:t>外</w:t>
      </w:r>
      <w:r>
        <w:rPr>
          <w:rFonts w:hint="eastAsia" w:ascii="Arial" w:hAnsi="Arial" w:eastAsia="仿宋_GB2312" w:cs="Arial"/>
          <w:bCs/>
          <w:highlight w:val="none"/>
        </w:rPr>
        <w:t>”七通”（即通路、通上水、通下水、通电、通讯、通燃气、通热）</w:t>
      </w:r>
      <w:r>
        <w:rPr>
          <w:rFonts w:ascii="Arial" w:hAnsi="Arial" w:eastAsia="仿宋_GB2312" w:cs="Arial"/>
          <w:bCs/>
          <w:highlight w:val="none"/>
        </w:rPr>
        <w:t>及宗地红线内建筑物</w:t>
      </w:r>
      <w:r>
        <w:rPr>
          <w:rFonts w:hint="eastAsia" w:ascii="Arial" w:hAnsi="Arial" w:eastAsia="仿宋_GB2312" w:cs="Arial"/>
          <w:bCs/>
          <w:highlight w:val="none"/>
        </w:rPr>
        <w:t>已建成完工</w:t>
      </w:r>
      <w:r>
        <w:rPr>
          <w:rFonts w:ascii="Arial" w:hAnsi="Arial" w:eastAsia="仿宋_GB2312" w:cs="Arial"/>
          <w:bCs/>
          <w:highlight w:val="none"/>
        </w:rPr>
        <w:t>；</w:t>
      </w:r>
      <w:r>
        <w:rPr>
          <w:rFonts w:hint="eastAsia" w:ascii="Arial" w:hAnsi="Arial" w:eastAsia="仿宋_GB2312" w:cs="Arial"/>
          <w:bCs/>
          <w:highlight w:val="none"/>
        </w:rPr>
        <w:t>根据估价目的，</w:t>
      </w:r>
      <w:r>
        <w:rPr>
          <w:rFonts w:ascii="Arial" w:hAnsi="Arial" w:eastAsia="仿宋_GB2312" w:cs="Arial"/>
          <w:bCs/>
          <w:highlight w:val="none"/>
        </w:rPr>
        <w:t>设定开发程度为</w:t>
      </w:r>
      <w:r>
        <w:rPr>
          <w:rFonts w:hint="eastAsia" w:ascii="Arial" w:hAnsi="Arial" w:eastAsia="仿宋_GB2312" w:cs="Arial"/>
          <w:bCs/>
          <w:highlight w:val="none"/>
        </w:rPr>
        <w:t>宗地红线外”七通”（即通路、通上水、通下水、通电、通讯、通燃气、通热）</w:t>
      </w:r>
      <w:r>
        <w:rPr>
          <w:rFonts w:ascii="Arial" w:hAnsi="Arial" w:eastAsia="仿宋_GB2312" w:cs="Arial"/>
          <w:bCs/>
          <w:highlight w:val="none"/>
        </w:rPr>
        <w:t>及宗地红线内</w:t>
      </w:r>
      <w:r>
        <w:rPr>
          <w:rFonts w:hint="eastAsia" w:ascii="Arial" w:hAnsi="Arial" w:eastAsia="仿宋_GB2312" w:cs="Arial"/>
          <w:bCs/>
          <w:highlight w:val="none"/>
        </w:rPr>
        <w:t>“</w:t>
      </w:r>
      <w:r>
        <w:rPr>
          <w:rFonts w:ascii="Arial" w:hAnsi="Arial" w:eastAsia="仿宋_GB2312" w:cs="Arial"/>
          <w:bCs/>
          <w:highlight w:val="none"/>
        </w:rPr>
        <w:t>场地平整</w:t>
      </w:r>
      <w:r>
        <w:rPr>
          <w:rFonts w:hint="eastAsia" w:ascii="Arial" w:hAnsi="Arial" w:eastAsia="仿宋_GB2312" w:cs="Arial"/>
          <w:bCs/>
          <w:highlight w:val="none"/>
        </w:rPr>
        <w:t>”</w:t>
      </w:r>
      <w:r>
        <w:rPr>
          <w:rFonts w:ascii="Arial" w:hAnsi="Arial" w:eastAsia="仿宋_GB2312" w:cs="Arial"/>
          <w:bCs/>
          <w:highlight w:val="none"/>
        </w:rPr>
        <w:t>；</w:t>
      </w:r>
    </w:p>
    <w:p>
      <w:pPr>
        <w:spacing w:line="300" w:lineRule="auto"/>
        <w:jc w:val="both"/>
        <w:rPr>
          <w:rFonts w:ascii="Arial" w:hAnsi="Arial" w:eastAsia="仿宋_GB2312" w:cs="Arial"/>
          <w:bCs/>
          <w:szCs w:val="24"/>
          <w:highlight w:val="none"/>
        </w:rPr>
      </w:pPr>
      <w:r>
        <w:rPr>
          <w:rFonts w:ascii="Arial" w:hAnsi="Arial" w:eastAsia="仿宋_GB2312" w:cs="Arial"/>
          <w:bCs/>
          <w:highlight w:val="none"/>
        </w:rPr>
        <w:t>（三）规划限制条件：</w:t>
      </w:r>
      <w:r>
        <w:rPr>
          <w:rFonts w:hint="eastAsia" w:ascii="Arial" w:hAnsi="Arial" w:eastAsia="仿宋_GB2312" w:cs="Arial"/>
          <w:bCs/>
          <w:highlight w:val="none"/>
        </w:rPr>
        <w:t>根据《土地权属审查告知书》[</w:t>
      </w:r>
      <w:r>
        <w:rPr>
          <w:rFonts w:hint="eastAsia" w:ascii="Arial" w:hAnsi="Arial" w:eastAsia="仿宋_GB2312" w:cs="Arial"/>
          <w:bCs/>
          <w:highlight w:val="none"/>
          <w:lang w:eastAsia="zh-CN"/>
        </w:rPr>
        <w:t>密权属审〔2023〕字第020号</w:t>
      </w:r>
      <w:r>
        <w:rPr>
          <w:rFonts w:hint="eastAsia" w:ascii="Arial" w:hAnsi="Arial" w:eastAsia="仿宋_GB2312" w:cs="Arial"/>
          <w:bCs/>
          <w:highlight w:val="none"/>
        </w:rPr>
        <w:t>]</w:t>
      </w:r>
      <w:r>
        <w:rPr>
          <w:rFonts w:ascii="Arial" w:hAnsi="Arial" w:eastAsia="仿宋_GB2312" w:cs="Arial"/>
          <w:bCs/>
          <w:kern w:val="2"/>
          <w:szCs w:val="24"/>
          <w:highlight w:val="none"/>
        </w:rPr>
        <w:t>、</w:t>
      </w:r>
      <w:r>
        <w:rPr>
          <w:rFonts w:hint="eastAsia" w:ascii="Arial" w:hAnsi="Arial" w:eastAsia="仿宋_GB2312" w:cs="Arial"/>
          <w:bCs/>
          <w:highlight w:val="none"/>
        </w:rPr>
        <w:t>《国有建设用地使用权出让地价评估委托书》及</w:t>
      </w:r>
      <w:r>
        <w:rPr>
          <w:rFonts w:hint="eastAsia" w:ascii="Arial" w:hAnsi="Arial" w:eastAsia="仿宋_GB2312" w:cs="Arial"/>
          <w:bCs/>
          <w:kern w:val="2"/>
          <w:szCs w:val="24"/>
          <w:highlight w:val="none"/>
        </w:rPr>
        <w:t>《北京市房屋土地登记表》[宗地号：110228002001GB00135]</w:t>
      </w:r>
      <w:r>
        <w:rPr>
          <w:rFonts w:ascii="Arial" w:hAnsi="Arial" w:eastAsia="仿宋_GB2312" w:cs="Arial"/>
          <w:bCs/>
          <w:kern w:val="2"/>
          <w:szCs w:val="24"/>
          <w:highlight w:val="none"/>
        </w:rPr>
        <w:t>；</w:t>
      </w:r>
    </w:p>
    <w:p>
      <w:pPr>
        <w:spacing w:line="300" w:lineRule="auto"/>
        <w:ind w:left="2"/>
        <w:jc w:val="both"/>
        <w:rPr>
          <w:rFonts w:ascii="Arial" w:hAnsi="Arial" w:eastAsia="仿宋_GB2312" w:cs="Arial"/>
          <w:bCs/>
          <w:highlight w:val="none"/>
        </w:rPr>
      </w:pPr>
      <w:r>
        <w:rPr>
          <w:rFonts w:ascii="Arial" w:hAnsi="Arial" w:eastAsia="仿宋_GB2312" w:cs="Arial"/>
          <w:bCs/>
          <w:szCs w:val="24"/>
          <w:highlight w:val="none"/>
        </w:rPr>
        <w:t>（四）影响土地价格的其他限定条件：</w:t>
      </w:r>
      <w:r>
        <w:rPr>
          <w:rFonts w:hint="eastAsia" w:ascii="Arial" w:hAnsi="Arial" w:eastAsia="仿宋_GB2312" w:cs="Arial"/>
          <w:bCs/>
          <w:szCs w:val="24"/>
          <w:highlight w:val="none"/>
        </w:rPr>
        <w:t>无</w:t>
      </w:r>
      <w:r>
        <w:rPr>
          <w:rFonts w:ascii="Arial" w:hAnsi="Arial" w:eastAsia="仿宋_GB2312" w:cs="Arial"/>
          <w:bCs/>
          <w:highlight w:val="none"/>
        </w:rPr>
        <w:t>。</w:t>
      </w:r>
    </w:p>
    <w:p>
      <w:pPr>
        <w:spacing w:line="300" w:lineRule="auto"/>
        <w:jc w:val="both"/>
        <w:rPr>
          <w:rFonts w:ascii="Arial" w:hAnsi="Arial" w:eastAsia="仿宋_GB2312" w:cs="Arial"/>
          <w:bCs/>
          <w:highlight w:val="none"/>
        </w:rPr>
      </w:pPr>
      <w:r>
        <w:rPr>
          <w:rFonts w:ascii="Arial" w:hAnsi="Arial" w:eastAsia="仿宋_GB2312" w:cs="Arial"/>
          <w:b/>
          <w:highlight w:val="none"/>
        </w:rPr>
        <w:t>二、其他需要说明的事项</w:t>
      </w:r>
      <w:r>
        <w:rPr>
          <w:rFonts w:ascii="Arial" w:hAnsi="Arial" w:eastAsia="仿宋_GB2312" w:cs="Arial"/>
          <w:bCs/>
          <w:highlight w:val="none"/>
        </w:rPr>
        <w:t>：详见报告中的特殊事项说明及假设和限制条件。</w:t>
      </w:r>
    </w:p>
    <w:p>
      <w:pPr>
        <w:spacing w:line="300" w:lineRule="auto"/>
        <w:rPr>
          <w:rFonts w:ascii="Arial" w:hAnsi="Arial" w:eastAsia="仿宋_GB2312" w:cs="Arial"/>
          <w:bCs/>
          <w:highlight w:val="none"/>
        </w:rPr>
      </w:pPr>
      <w:r>
        <w:rPr>
          <w:rFonts w:ascii="Arial" w:hAnsi="Arial" w:eastAsia="仿宋_GB2312" w:cs="Arial"/>
          <w:bCs/>
          <w:highlight w:val="none"/>
        </w:rPr>
        <w:t xml:space="preserve"> </w:t>
      </w:r>
    </w:p>
    <w:p>
      <w:pPr>
        <w:spacing w:line="300" w:lineRule="auto"/>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3828"/>
        <w:jc w:val="right"/>
        <w:rPr>
          <w:rFonts w:ascii="Arial" w:hAnsi="Arial" w:eastAsia="仿宋_GB2312" w:cs="Arial"/>
          <w:bCs/>
          <w:highlight w:val="none"/>
        </w:rPr>
      </w:pPr>
      <w:r>
        <w:rPr>
          <w:rFonts w:ascii="Arial" w:hAnsi="Arial" w:eastAsia="仿宋_GB2312" w:cs="Arial"/>
          <w:bCs/>
          <w:highlight w:val="none"/>
        </w:rPr>
        <w:t>估价机构：北京康正宏基房地产评估有限公司</w:t>
      </w:r>
    </w:p>
    <w:p>
      <w:pPr>
        <w:spacing w:line="300" w:lineRule="auto"/>
        <w:ind w:firstLine="7384" w:firstLineChars="3077"/>
        <w:jc w:val="right"/>
        <w:rPr>
          <w:rFonts w:ascii="Arial" w:hAnsi="Arial" w:eastAsia="仿宋_GB2312" w:cs="Arial"/>
          <w:sz w:val="28"/>
          <w:highlight w:val="none"/>
        </w:rPr>
      </w:pPr>
      <w:r>
        <w:rPr>
          <w:rFonts w:ascii="Arial" w:hAnsi="Arial" w:eastAsia="仿宋_GB2312" w:cs="Arial"/>
          <w:bCs/>
          <w:highlight w:val="none"/>
        </w:rPr>
        <w:t xml:space="preserve">                </w:t>
      </w:r>
      <w:r>
        <w:rPr>
          <w:rFonts w:hint="eastAsia" w:ascii="Arial" w:hAnsi="Arial" w:eastAsia="仿宋_GB2312" w:cs="Arial"/>
          <w:bCs/>
          <w:highlight w:val="none"/>
        </w:rPr>
        <w:t>2023年6月</w:t>
      </w:r>
      <w:r>
        <w:rPr>
          <w:rFonts w:hint="eastAsia" w:ascii="Arial" w:hAnsi="Arial" w:eastAsia="仿宋_GB2312" w:cs="Arial"/>
          <w:bCs/>
          <w:highlight w:val="none"/>
          <w:lang w:val="en-US" w:eastAsia="zh-CN"/>
        </w:rPr>
        <w:t>12</w:t>
      </w:r>
      <w:r>
        <w:rPr>
          <w:rFonts w:hint="eastAsia" w:ascii="Arial" w:hAnsi="Arial" w:eastAsia="仿宋_GB2312" w:cs="Arial"/>
          <w:bCs/>
          <w:highlight w:val="none"/>
        </w:rPr>
        <w:t>日</w:t>
      </w:r>
    </w:p>
    <w:p>
      <w:pPr>
        <w:spacing w:line="300" w:lineRule="auto"/>
        <w:ind w:firstLine="7384" w:firstLineChars="3077"/>
        <w:jc w:val="right"/>
        <w:rPr>
          <w:rFonts w:ascii="Arial" w:hAnsi="Arial" w:eastAsia="仿宋_GB2312" w:cs="Arial"/>
          <w:bCs/>
          <w:highlight w:val="none"/>
        </w:rPr>
      </w:pPr>
    </w:p>
    <w:p>
      <w:pPr>
        <w:spacing w:line="300" w:lineRule="auto"/>
        <w:ind w:firstLine="7384" w:firstLineChars="3077"/>
        <w:jc w:val="right"/>
        <w:rPr>
          <w:rFonts w:ascii="Arial" w:hAnsi="Arial" w:eastAsia="仿宋_GB2312" w:cs="Arial"/>
          <w:bCs/>
          <w:highlight w:val="none"/>
        </w:rPr>
      </w:pPr>
    </w:p>
    <w:p>
      <w:pPr>
        <w:spacing w:line="300" w:lineRule="auto"/>
        <w:ind w:firstLine="8615" w:firstLineChars="3077"/>
        <w:jc w:val="right"/>
        <w:rPr>
          <w:rFonts w:ascii="Arial" w:hAnsi="Arial" w:eastAsia="仿宋_GB2312" w:cs="Arial"/>
          <w:sz w:val="28"/>
          <w:highlight w:val="none"/>
        </w:rPr>
      </w:pPr>
    </w:p>
    <w:p>
      <w:pPr>
        <w:spacing w:line="300" w:lineRule="auto"/>
        <w:ind w:firstLine="4480" w:firstLineChars="1600"/>
        <w:rPr>
          <w:rFonts w:ascii="Arial" w:hAnsi="Arial" w:eastAsia="仿宋_GB2312" w:cs="Arial"/>
          <w:sz w:val="28"/>
          <w:highlight w:val="none"/>
        </w:rPr>
        <w:sectPr>
          <w:headerReference r:id="rId20" w:type="first"/>
          <w:pgSz w:w="11907" w:h="16840"/>
          <w:pgMar w:top="1843" w:right="1134" w:bottom="1134" w:left="1134" w:header="1134" w:footer="850" w:gutter="340"/>
          <w:cols w:space="720" w:num="1"/>
          <w:titlePg/>
          <w:docGrid w:linePitch="326" w:charSpace="0"/>
        </w:sectPr>
      </w:pPr>
    </w:p>
    <w:p>
      <w:pPr>
        <w:spacing w:line="300" w:lineRule="auto"/>
        <w:jc w:val="center"/>
        <w:outlineLvl w:val="0"/>
        <w:rPr>
          <w:rFonts w:ascii="Arial" w:hAnsi="Arial" w:cs="Arial"/>
          <w:b/>
          <w:sz w:val="32"/>
          <w:highlight w:val="none"/>
        </w:rPr>
      </w:pPr>
      <w:bookmarkStart w:id="63" w:name="_Toc524335065"/>
      <w:bookmarkStart w:id="64" w:name="_Toc418750891"/>
      <w:bookmarkStart w:id="65" w:name="_Toc69393376"/>
      <w:bookmarkStart w:id="66" w:name="_Toc469066311"/>
      <w:bookmarkStart w:id="67" w:name="_Toc515458366"/>
      <w:bookmarkStart w:id="68" w:name="_Toc416783528"/>
      <w:bookmarkStart w:id="69" w:name="_Toc425250313"/>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估价对象界定</w:t>
      </w:r>
      <w:bookmarkEnd w:id="63"/>
      <w:bookmarkEnd w:id="64"/>
      <w:bookmarkEnd w:id="65"/>
      <w:bookmarkEnd w:id="66"/>
      <w:bookmarkEnd w:id="67"/>
      <w:bookmarkEnd w:id="68"/>
      <w:bookmarkEnd w:id="69"/>
    </w:p>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70" w:name="_Toc416783529"/>
      <w:bookmarkStart w:id="71" w:name="_Toc515261594"/>
      <w:bookmarkStart w:id="72" w:name="_Toc524335066"/>
      <w:bookmarkStart w:id="73" w:name="_Toc418750892"/>
      <w:bookmarkStart w:id="74" w:name="_Toc469066312"/>
      <w:bookmarkStart w:id="75" w:name="_Toc425250314"/>
      <w:bookmarkStart w:id="76" w:name="_Toc69393377"/>
      <w:bookmarkStart w:id="77" w:name="_Toc515458367"/>
      <w:bookmarkStart w:id="78" w:name="_Toc469066315"/>
      <w:bookmarkStart w:id="79" w:name="_Toc416783532"/>
      <w:bookmarkStart w:id="80" w:name="_Toc425250317"/>
      <w:bookmarkStart w:id="81" w:name="_Toc418750895"/>
      <w:r>
        <w:rPr>
          <w:rFonts w:ascii="Arial" w:hAnsi="Arial" w:eastAsia="仿宋_GB2312" w:cs="Arial"/>
          <w:b/>
          <w:sz w:val="28"/>
          <w:highlight w:val="none"/>
        </w:rPr>
        <w:t>一、委托估价方</w:t>
      </w:r>
      <w:bookmarkEnd w:id="70"/>
      <w:bookmarkEnd w:id="71"/>
      <w:bookmarkEnd w:id="72"/>
      <w:bookmarkEnd w:id="73"/>
      <w:bookmarkEnd w:id="74"/>
      <w:bookmarkEnd w:id="75"/>
      <w:bookmarkEnd w:id="76"/>
      <w:bookmarkEnd w:id="77"/>
    </w:p>
    <w:p>
      <w:pPr>
        <w:spacing w:line="300" w:lineRule="auto"/>
        <w:ind w:firstLine="570"/>
        <w:jc w:val="both"/>
        <w:rPr>
          <w:rFonts w:ascii="Arial" w:hAnsi="Arial" w:eastAsia="仿宋_GB2312" w:cs="Arial"/>
          <w:sz w:val="28"/>
          <w:highlight w:val="none"/>
        </w:rPr>
      </w:pPr>
      <w:r>
        <w:rPr>
          <w:rFonts w:ascii="Arial" w:hAnsi="Arial" w:eastAsia="仿宋_GB2312" w:cs="Arial"/>
          <w:sz w:val="28"/>
          <w:highlight w:val="none"/>
        </w:rPr>
        <w:t>本次评估委托估价方为北京市规划和自然资源委员会，非估价对象的不动产权利人。</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单位名称：北京市规划和自然资源委员会</w:t>
      </w:r>
    </w:p>
    <w:p>
      <w:pPr>
        <w:snapToGrid w:val="0"/>
        <w:spacing w:line="300" w:lineRule="auto"/>
        <w:ind w:firstLine="556"/>
        <w:rPr>
          <w:rFonts w:ascii="Arial" w:hAnsi="Arial" w:eastAsia="仿宋_GB2312" w:cs="Arial"/>
          <w:sz w:val="28"/>
          <w:szCs w:val="28"/>
          <w:highlight w:val="none"/>
        </w:rPr>
      </w:pPr>
      <w:r>
        <w:rPr>
          <w:rFonts w:ascii="Arial" w:hAnsi="Arial" w:eastAsia="仿宋_GB2312" w:cs="Arial"/>
          <w:sz w:val="28"/>
          <w:szCs w:val="28"/>
          <w:highlight w:val="none"/>
        </w:rPr>
        <w:t>单位地址：北京市通州区承安街1号</w:t>
      </w:r>
    </w:p>
    <w:p>
      <w:pPr>
        <w:snapToGrid w:val="0"/>
        <w:spacing w:line="300" w:lineRule="auto"/>
        <w:ind w:firstLine="556"/>
        <w:rPr>
          <w:rFonts w:ascii="Arial" w:hAnsi="Arial" w:eastAsia="仿宋_GB2312" w:cs="Arial"/>
          <w:sz w:val="28"/>
          <w:szCs w:val="28"/>
          <w:highlight w:val="none"/>
        </w:rPr>
      </w:pPr>
    </w:p>
    <w:p>
      <w:pPr>
        <w:snapToGrid w:val="0"/>
        <w:spacing w:line="300" w:lineRule="auto"/>
        <w:ind w:firstLine="556"/>
        <w:rPr>
          <w:rFonts w:hint="eastAsia" w:ascii="Arial" w:hAnsi="Arial" w:eastAsia="仿宋_GB2312" w:cs="Arial"/>
          <w:sz w:val="28"/>
          <w:highlight w:val="none"/>
          <w:lang w:eastAsia="zh-CN"/>
        </w:rPr>
      </w:pPr>
      <w:r>
        <w:rPr>
          <w:rFonts w:ascii="Arial" w:hAnsi="Arial" w:eastAsia="仿宋_GB2312" w:cs="Arial"/>
          <w:sz w:val="28"/>
          <w:highlight w:val="none"/>
        </w:rPr>
        <w:t>受让方：</w:t>
      </w:r>
      <w:r>
        <w:rPr>
          <w:rFonts w:hint="eastAsia" w:ascii="Arial" w:hAnsi="Arial" w:eastAsia="仿宋_GB2312" w:cs="Arial"/>
          <w:sz w:val="28"/>
          <w:highlight w:val="none"/>
          <w:lang w:eastAsia="zh-CN"/>
        </w:rPr>
        <w:t>李成岳</w:t>
      </w:r>
    </w:p>
    <w:p>
      <w:pPr>
        <w:snapToGrid w:val="0"/>
        <w:spacing w:line="300" w:lineRule="auto"/>
        <w:ind w:firstLine="556"/>
        <w:rPr>
          <w:rFonts w:ascii="Arial" w:hAnsi="Arial" w:eastAsia="仿宋_GB2312" w:cs="Arial"/>
          <w:sz w:val="28"/>
          <w:highlight w:val="none"/>
        </w:rPr>
      </w:pP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郭艳伶</w:t>
      </w:r>
    </w:p>
    <w:p>
      <w:pPr>
        <w:spacing w:line="300" w:lineRule="auto"/>
        <w:ind w:firstLine="560" w:firstLineChars="200"/>
        <w:jc w:val="both"/>
        <w:rPr>
          <w:rFonts w:hint="default" w:ascii="Arial" w:hAnsi="Arial" w:eastAsia="仿宋_GB2312" w:cs="Arial"/>
          <w:sz w:val="28"/>
          <w:szCs w:val="28"/>
          <w:highlight w:val="none"/>
          <w:lang w:val="en-US" w:eastAsia="zh-CN"/>
        </w:rPr>
      </w:pPr>
      <w:r>
        <w:rPr>
          <w:rFonts w:ascii="Arial" w:hAnsi="Arial" w:eastAsia="仿宋_GB2312" w:cs="Arial"/>
          <w:sz w:val="28"/>
          <w:szCs w:val="28"/>
          <w:highlight w:val="none"/>
        </w:rPr>
        <w:t>联系电话：1</w:t>
      </w:r>
      <w:r>
        <w:rPr>
          <w:rFonts w:hint="eastAsia" w:ascii="Arial" w:hAnsi="Arial" w:eastAsia="仿宋_GB2312" w:cs="Arial"/>
          <w:sz w:val="28"/>
          <w:szCs w:val="28"/>
          <w:highlight w:val="none"/>
          <w:lang w:val="en-US" w:eastAsia="zh-CN"/>
        </w:rPr>
        <w:t>7627839857</w:t>
      </w:r>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82" w:name="_Toc515458368"/>
      <w:bookmarkStart w:id="83" w:name="_Toc524335067"/>
      <w:bookmarkStart w:id="84" w:name="_Toc418750893"/>
      <w:bookmarkStart w:id="85" w:name="_Toc69393378"/>
      <w:bookmarkStart w:id="86" w:name="_Toc469066313"/>
      <w:bookmarkStart w:id="87" w:name="_Toc425250315"/>
      <w:bookmarkStart w:id="88" w:name="_Toc416783530"/>
      <w:bookmarkStart w:id="89" w:name="_Toc515261595"/>
      <w:r>
        <w:rPr>
          <w:rFonts w:ascii="Arial" w:hAnsi="Arial" w:eastAsia="仿宋_GB2312" w:cs="Arial"/>
          <w:b/>
          <w:sz w:val="28"/>
          <w:highlight w:val="none"/>
        </w:rPr>
        <w:t>二、估价对象</w:t>
      </w:r>
      <w:bookmarkEnd w:id="82"/>
      <w:bookmarkEnd w:id="83"/>
      <w:bookmarkEnd w:id="84"/>
      <w:bookmarkEnd w:id="85"/>
      <w:bookmarkEnd w:id="86"/>
      <w:bookmarkEnd w:id="87"/>
      <w:bookmarkEnd w:id="88"/>
      <w:bookmarkEnd w:id="89"/>
    </w:p>
    <w:p>
      <w:pPr>
        <w:snapToGrid w:val="0"/>
        <w:spacing w:line="300" w:lineRule="auto"/>
        <w:ind w:firstLine="556"/>
        <w:jc w:val="both"/>
        <w:rPr>
          <w:rFonts w:hint="default" w:ascii="Arial" w:hAnsi="Arial" w:eastAsia="仿宋_GB2312" w:cs="Arial"/>
          <w:sz w:val="28"/>
          <w:szCs w:val="28"/>
          <w:highlight w:val="none"/>
          <w:lang w:val="en-US" w:eastAsia="zh-CN"/>
        </w:rPr>
      </w:pPr>
      <w:r>
        <w:rPr>
          <w:rFonts w:ascii="Arial" w:hAnsi="Arial" w:eastAsia="仿宋_GB2312" w:cs="Arial"/>
          <w:sz w:val="28"/>
          <w:highlight w:val="none"/>
        </w:rPr>
        <w:t>估价对象为</w:t>
      </w:r>
      <w:r>
        <w:rPr>
          <w:rFonts w:hint="eastAsia" w:ascii="Arial" w:hAnsi="Arial" w:eastAsia="仿宋_GB2312" w:cs="Arial"/>
          <w:sz w:val="28"/>
          <w:highlight w:val="none"/>
        </w:rPr>
        <w:t>北京市密云区西门外大街8号楼</w:t>
      </w:r>
      <w:r>
        <w:rPr>
          <w:rFonts w:hint="eastAsia" w:ascii="Arial" w:hAnsi="Arial" w:eastAsia="仿宋_GB2312" w:cs="Arial"/>
          <w:sz w:val="28"/>
          <w:highlight w:val="none"/>
          <w:lang w:val="en-US" w:eastAsia="zh-CN"/>
        </w:rPr>
        <w:t>1-2层104</w:t>
      </w:r>
      <w:r>
        <w:rPr>
          <w:rFonts w:hint="eastAsia" w:ascii="Arial" w:hAnsi="Arial" w:eastAsia="仿宋_GB2312" w:cs="Arial"/>
          <w:sz w:val="28"/>
          <w:highlight w:val="none"/>
        </w:rPr>
        <w:t>号现状商业用地，位于北京市密云区西门外大街</w:t>
      </w:r>
      <w:r>
        <w:rPr>
          <w:rFonts w:ascii="Arial" w:hAnsi="Arial" w:eastAsia="仿宋_GB2312" w:cs="Arial"/>
          <w:sz w:val="28"/>
          <w:highlight w:val="none"/>
        </w:rPr>
        <w:t>。</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jc w:val="both"/>
        <w:rPr>
          <w:rFonts w:ascii="Arial" w:hAnsi="Arial" w:eastAsia="仿宋_GB2312" w:cs="Arial"/>
          <w:b/>
          <w:sz w:val="28"/>
          <w:szCs w:val="28"/>
          <w:highlight w:val="none"/>
        </w:rPr>
      </w:pPr>
    </w:p>
    <w:p>
      <w:pPr>
        <w:spacing w:line="300" w:lineRule="auto"/>
        <w:outlineLvl w:val="1"/>
        <w:rPr>
          <w:rFonts w:ascii="Arial" w:hAnsi="Arial" w:eastAsia="仿宋_GB2312" w:cs="Arial"/>
          <w:b/>
          <w:sz w:val="28"/>
          <w:highlight w:val="none"/>
        </w:rPr>
      </w:pPr>
      <w:bookmarkStart w:id="90" w:name="_Toc416783531"/>
      <w:bookmarkStart w:id="91" w:name="_Toc425250316"/>
      <w:bookmarkStart w:id="92" w:name="_Toc515458369"/>
      <w:bookmarkStart w:id="93" w:name="_Toc524335068"/>
      <w:bookmarkStart w:id="94" w:name="_Toc69393379"/>
      <w:bookmarkStart w:id="95" w:name="_Toc418750894"/>
      <w:bookmarkStart w:id="96" w:name="_Toc469066314"/>
      <w:bookmarkStart w:id="97" w:name="_Toc515261596"/>
      <w:r>
        <w:rPr>
          <w:rFonts w:ascii="Arial" w:hAnsi="Arial" w:eastAsia="仿宋_GB2312" w:cs="Arial"/>
          <w:b/>
          <w:sz w:val="28"/>
          <w:highlight w:val="none"/>
        </w:rPr>
        <w:t>三、估价对象概况</w:t>
      </w:r>
      <w:bookmarkEnd w:id="90"/>
      <w:bookmarkEnd w:id="91"/>
      <w:bookmarkEnd w:id="92"/>
      <w:bookmarkEnd w:id="93"/>
      <w:bookmarkEnd w:id="94"/>
      <w:bookmarkEnd w:id="95"/>
      <w:bookmarkEnd w:id="96"/>
      <w:bookmarkEnd w:id="97"/>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8号楼1-2层104号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李成岳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101.6894</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李成岳</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101.6894</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lang w:eastAsia="zh-CN"/>
        </w:rPr>
        <w:t>2023年6月7日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w:t>
      </w:r>
      <w:r>
        <w:rPr>
          <w:rFonts w:hint="eastAsia" w:ascii="Arial" w:hAnsi="Arial" w:eastAsia="仿宋_GB2312" w:cs="Arial"/>
          <w:sz w:val="28"/>
          <w:szCs w:val="28"/>
          <w:highlight w:val="none"/>
          <w:lang w:eastAsia="zh-CN"/>
        </w:rPr>
        <w:t>估价对象位于其6层</w:t>
      </w:r>
      <w:r>
        <w:rPr>
          <w:rFonts w:hint="eastAsia" w:ascii="Arial" w:hAnsi="Arial" w:eastAsia="仿宋_GB2312" w:cs="Arial"/>
          <w:sz w:val="28"/>
          <w:szCs w:val="28"/>
          <w:highlight w:val="none"/>
        </w:rPr>
        <w:t>；</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p>
    <w:p>
      <w:pPr>
        <w:snapToGrid w:val="0"/>
        <w:spacing w:line="300" w:lineRule="auto"/>
        <w:ind w:firstLine="560" w:firstLineChars="200"/>
        <w:jc w:val="both"/>
        <w:rPr>
          <w:rFonts w:ascii="Arial" w:hAnsi="Arial" w:eastAsia="仿宋_GB2312" w:cs="Arial"/>
          <w:sz w:val="28"/>
          <w:szCs w:val="28"/>
          <w:highlight w:val="none"/>
        </w:rPr>
      </w:pPr>
    </w:p>
    <w:bookmarkEnd w:id="14"/>
    <w:bookmarkEnd w:id="78"/>
    <w:bookmarkEnd w:id="79"/>
    <w:bookmarkEnd w:id="80"/>
    <w:bookmarkEnd w:id="81"/>
    <w:p>
      <w:pPr>
        <w:spacing w:line="300" w:lineRule="auto"/>
        <w:jc w:val="both"/>
        <w:outlineLvl w:val="1"/>
        <w:rPr>
          <w:rFonts w:ascii="Arial" w:hAnsi="Arial" w:eastAsia="仿宋_GB2312" w:cs="Arial"/>
          <w:b/>
          <w:bCs/>
          <w:sz w:val="28"/>
          <w:highlight w:val="none"/>
        </w:rPr>
      </w:pPr>
      <w:bookmarkStart w:id="98" w:name="_Toc69393380"/>
      <w:bookmarkStart w:id="99" w:name="_Toc524335069"/>
      <w:bookmarkStart w:id="100" w:name="_Toc515458370"/>
      <w:bookmarkStart w:id="101" w:name="_Toc515261597"/>
      <w:r>
        <w:rPr>
          <w:rFonts w:ascii="Arial" w:hAnsi="Arial" w:eastAsia="仿宋_GB2312" w:cs="Arial"/>
          <w:b/>
          <w:bCs/>
          <w:sz w:val="28"/>
          <w:highlight w:val="none"/>
        </w:rPr>
        <w:t>四、影响地价的因素说明</w:t>
      </w:r>
      <w:bookmarkEnd w:id="98"/>
      <w:bookmarkEnd w:id="99"/>
      <w:bookmarkEnd w:id="100"/>
      <w:bookmarkEnd w:id="101"/>
    </w:p>
    <w:p>
      <w:pPr>
        <w:spacing w:line="300" w:lineRule="auto"/>
        <w:jc w:val="both"/>
        <w:rPr>
          <w:rFonts w:ascii="Arial" w:hAnsi="Arial" w:eastAsia="仿宋_GB2312"/>
          <w:sz w:val="28"/>
          <w:highlight w:val="none"/>
        </w:rPr>
      </w:pPr>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hint="eastAsia" w:ascii="Arial" w:hAnsi="Arial" w:eastAsia="仿宋_GB2312" w:cs="Arial"/>
          <w:bCs/>
          <w:color w:val="000000"/>
          <w:sz w:val="28"/>
          <w:szCs w:val="28"/>
          <w:highlight w:val="none"/>
        </w:rPr>
      </w:pPr>
      <w:bookmarkStart w:id="102" w:name="OLE_LINK33"/>
      <w:bookmarkStart w:id="103" w:name="OLE_LINK38"/>
      <w:bookmarkStart w:id="104" w:name="OLE_LINK34"/>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widowControl/>
        <w:spacing w:line="300" w:lineRule="auto"/>
        <w:ind w:firstLine="560" w:firstLineChars="200"/>
        <w:jc w:val="both"/>
        <w:rPr>
          <w:rFonts w:hint="eastAsia" w:ascii="Arial" w:hAnsi="Arial" w:eastAsia="仿宋_GB2312" w:cs="Arial"/>
          <w:bCs/>
          <w:color w:val="000000"/>
          <w:sz w:val="28"/>
          <w:szCs w:val="28"/>
          <w:highlight w:val="none"/>
        </w:rPr>
      </w:pP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bookmarkEnd w:id="102"/>
    <w:bookmarkEnd w:id="103"/>
    <w:bookmarkEnd w:id="104"/>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hint="eastAsia"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widowControl/>
        <w:spacing w:line="300" w:lineRule="auto"/>
        <w:jc w:val="center"/>
        <w:rPr>
          <w:highlight w:val="none"/>
        </w:rPr>
      </w:pPr>
      <w:r>
        <w:rPr>
          <w:highlight w:val="none"/>
        </w:rP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w:t>
      </w:r>
      <w:bookmarkStart w:id="105" w:name="OLE_LINK30"/>
      <w:bookmarkStart w:id="106" w:name="OLE_LINK31"/>
      <w:bookmarkStart w:id="107" w:name="OLE_LINK32"/>
      <w:r>
        <w:rPr>
          <w:rFonts w:hint="eastAsia" w:ascii="Arial" w:hAnsi="Arial" w:eastAsia="仿宋_GB2312" w:cs="Arial"/>
          <w:bCs/>
          <w:color w:val="000000"/>
          <w:sz w:val="28"/>
          <w:szCs w:val="28"/>
          <w:highlight w:val="none"/>
        </w:rPr>
        <w:t>，</w:t>
      </w:r>
      <w:bookmarkStart w:id="108" w:name="OLE_LINK1"/>
      <w:r>
        <w:rPr>
          <w:rFonts w:hint="eastAsia" w:ascii="Arial" w:hAnsi="Arial" w:eastAsia="仿宋_GB2312" w:cs="Arial"/>
          <w:bCs/>
          <w:color w:val="000000"/>
          <w:sz w:val="28"/>
          <w:szCs w:val="28"/>
          <w:highlight w:val="none"/>
        </w:rPr>
        <w:t>2023年1季度北京市</w:t>
      </w:r>
      <w:bookmarkEnd w:id="105"/>
      <w:bookmarkEnd w:id="106"/>
      <w:bookmarkEnd w:id="107"/>
      <w:bookmarkEnd w:id="108"/>
      <w:r>
        <w:rPr>
          <w:rFonts w:hint="eastAsia" w:ascii="Arial" w:hAnsi="Arial" w:eastAsia="仿宋_GB2312" w:cs="Arial"/>
          <w:bCs/>
          <w:color w:val="000000"/>
          <w:sz w:val="28"/>
          <w:szCs w:val="28"/>
          <w:highlight w:val="none"/>
        </w:rPr>
        <w:t>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bookmarkStart w:id="109" w:name="_Hlk79697274"/>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bookmarkEnd w:id="109"/>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szCs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bookmarkStart w:id="110" w:name="_Toc416783534"/>
      <w:bookmarkStart w:id="111" w:name="_Toc469066317"/>
      <w:bookmarkStart w:id="112" w:name="_Toc418750897"/>
      <w:bookmarkStart w:id="113" w:name="_Toc425250319"/>
      <w:bookmarkStart w:id="114" w:name="_Toc524335079"/>
      <w:bookmarkStart w:id="115" w:name="_Toc515458374"/>
      <w:r>
        <w:rPr>
          <w:rFonts w:ascii="Arial" w:hAnsi="Arial" w:eastAsia="仿宋_GB2312" w:cs="Arial"/>
          <w:sz w:val="28"/>
          <w:szCs w:val="28"/>
          <w:highlight w:val="none"/>
        </w:rPr>
        <w:br w:type="page"/>
      </w:r>
    </w:p>
    <w:p>
      <w:pPr>
        <w:spacing w:line="300" w:lineRule="auto"/>
        <w:jc w:val="center"/>
        <w:outlineLvl w:val="0"/>
        <w:rPr>
          <w:rFonts w:ascii="Arial" w:hAnsi="Arial" w:cs="Arial"/>
          <w:b/>
          <w:sz w:val="32"/>
          <w:highlight w:val="none"/>
        </w:rPr>
      </w:pPr>
      <w:bookmarkStart w:id="116" w:name="_Toc69393381"/>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土地估价结果及其使用</w:t>
      </w:r>
      <w:bookmarkEnd w:id="110"/>
      <w:bookmarkEnd w:id="111"/>
      <w:bookmarkEnd w:id="112"/>
      <w:bookmarkEnd w:id="113"/>
      <w:bookmarkEnd w:id="114"/>
      <w:bookmarkEnd w:id="115"/>
      <w:bookmarkEnd w:id="116"/>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17" w:name="_Toc469066318"/>
      <w:bookmarkStart w:id="118" w:name="_Toc524335080"/>
      <w:bookmarkStart w:id="119" w:name="_Toc416783535"/>
      <w:bookmarkStart w:id="120" w:name="_Toc515261602"/>
      <w:bookmarkStart w:id="121" w:name="_Toc515458375"/>
      <w:bookmarkStart w:id="122" w:name="_Toc425250320"/>
      <w:bookmarkStart w:id="123" w:name="_Toc418750898"/>
      <w:bookmarkStart w:id="124" w:name="_Toc69393382"/>
      <w:r>
        <w:rPr>
          <w:rFonts w:ascii="Arial" w:hAnsi="Arial" w:eastAsia="仿宋_GB2312" w:cs="Arial"/>
          <w:b/>
          <w:sz w:val="28"/>
          <w:highlight w:val="none"/>
        </w:rPr>
        <w:t>一、估价依据</w:t>
      </w:r>
      <w:bookmarkEnd w:id="117"/>
      <w:bookmarkEnd w:id="118"/>
      <w:bookmarkEnd w:id="119"/>
      <w:bookmarkEnd w:id="120"/>
      <w:bookmarkEnd w:id="121"/>
      <w:bookmarkEnd w:id="122"/>
      <w:bookmarkEnd w:id="123"/>
      <w:bookmarkEnd w:id="124"/>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bookmarkStart w:id="125" w:name="_Hlk136539666"/>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bookmarkEnd w:id="125"/>
      <w:r>
        <w:rPr>
          <w:rFonts w:hint="eastAsia" w:ascii="Arial" w:hAnsi="Arial" w:eastAsia="仿宋" w:cs="Arial"/>
          <w:sz w:val="28"/>
          <w:szCs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ind w:firstLine="560" w:firstLineChars="200"/>
        <w:jc w:val="both"/>
        <w:rPr>
          <w:rFonts w:hint="default" w:ascii="Arial" w:hAnsi="Arial" w:eastAsia="仿宋_GB2312" w:cs="Arial"/>
          <w:sz w:val="28"/>
          <w:highlight w:val="none"/>
          <w:lang w:val="en-US" w:eastAsia="zh-CN"/>
        </w:rPr>
      </w:pPr>
      <w:r>
        <w:rPr>
          <w:rFonts w:hint="eastAsia" w:ascii="Arial" w:hAnsi="Arial" w:eastAsia="仿宋_GB2312" w:cs="Arial"/>
          <w:sz w:val="28"/>
          <w:highlight w:val="none"/>
          <w:lang w:val="en-US" w:eastAsia="zh-CN"/>
        </w:rPr>
        <w:t>4.《情况说明》复印件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26" w:name="_Toc469066319"/>
      <w:bookmarkStart w:id="127" w:name="_Toc425250321"/>
      <w:bookmarkStart w:id="128" w:name="_Toc416783536"/>
      <w:bookmarkStart w:id="129" w:name="_Toc418750899"/>
      <w:bookmarkStart w:id="130" w:name="_Toc515458376"/>
      <w:bookmarkStart w:id="131" w:name="_Toc524335081"/>
      <w:bookmarkStart w:id="132" w:name="_Toc69393383"/>
      <w:r>
        <w:rPr>
          <w:rFonts w:ascii="Arial" w:hAnsi="Arial" w:eastAsia="仿宋_GB2312" w:cs="Arial"/>
          <w:b/>
          <w:sz w:val="28"/>
          <w:highlight w:val="none"/>
        </w:rPr>
        <w:t>二、土地估价</w:t>
      </w:r>
      <w:bookmarkEnd w:id="126"/>
      <w:bookmarkEnd w:id="127"/>
      <w:bookmarkEnd w:id="128"/>
      <w:bookmarkEnd w:id="129"/>
      <w:bookmarkEnd w:id="130"/>
      <w:r>
        <w:rPr>
          <w:rFonts w:ascii="Arial" w:hAnsi="Arial" w:eastAsia="仿宋_GB2312" w:cs="Arial"/>
          <w:b/>
          <w:sz w:val="28"/>
          <w:highlight w:val="none"/>
        </w:rPr>
        <w:t>原则</w:t>
      </w:r>
      <w:bookmarkEnd w:id="131"/>
      <w:bookmarkEnd w:id="132"/>
    </w:p>
    <w:p>
      <w:pPr>
        <w:kinsoku w:val="0"/>
        <w:overflowPunct w:val="0"/>
        <w:autoSpaceDE w:val="0"/>
        <w:autoSpaceDN w:val="0"/>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2.最有效利用原则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3.预期收益原则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4.供需原则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5.贡献原则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（二）估价方法</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（三）估价结果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219.8140</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贰佰壹拾玖万捌仟壹佰肆拾</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10596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val="en-US" w:eastAsia="zh-CN"/>
        </w:rPr>
        <w:t>21616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161.6658</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壹佰陆拾壹万陆仟陆佰伍拾捌</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7793</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w:t>
      </w:r>
      <w:r>
        <w:rPr>
          <w:rFonts w:hint="eastAsia" w:ascii="Arial" w:hAnsi="Arial" w:eastAsia="仿宋_GB2312" w:cs="Arial"/>
          <w:kern w:val="2"/>
          <w:sz w:val="28"/>
          <w:highlight w:val="none"/>
          <w:lang w:val="en-US" w:eastAsia="zh-CN"/>
        </w:rPr>
        <w:t>5898</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58.1482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伍拾捌万壹仟肆佰捌拾贰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2803</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101.6894</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207.45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10596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219.8140</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7793</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161.6658</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2803</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58.1482</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10596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val="en-US" w:eastAsia="zh-CN"/>
        </w:rPr>
        <w:t>219.8140</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val="en-US" w:eastAsia="zh-CN"/>
        </w:rPr>
        <w:t>7793</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val="en-US" w:eastAsia="zh-CN"/>
        </w:rPr>
        <w:t>161.6658</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val="en-US" w:eastAsia="zh-CN"/>
        </w:rPr>
        <w:t>10596</w:t>
      </w:r>
      <w:r>
        <w:rPr>
          <w:rFonts w:hint="eastAsia" w:ascii="Arial" w:hAnsi="Arial" w:cs="Arial"/>
          <w:szCs w:val="28"/>
          <w:highlight w:val="none"/>
        </w:rPr>
        <w:t>－</w:t>
      </w:r>
      <w:r>
        <w:rPr>
          <w:rFonts w:hint="eastAsia" w:ascii="Arial" w:hAnsi="Arial" w:cs="Arial"/>
          <w:szCs w:val="28"/>
          <w:highlight w:val="none"/>
          <w:lang w:val="en-US" w:eastAsia="zh-CN"/>
        </w:rPr>
        <w:t>7793</w:t>
      </w:r>
      <w:r>
        <w:rPr>
          <w:rFonts w:hint="eastAsia" w:ascii="Arial" w:hAnsi="Arial" w:cs="Arial"/>
          <w:szCs w:val="28"/>
          <w:highlight w:val="none"/>
        </w:rPr>
        <w:t>＝</w:t>
      </w:r>
      <w:r>
        <w:rPr>
          <w:rFonts w:hint="eastAsia" w:ascii="Arial" w:hAnsi="Arial" w:cs="Arial"/>
          <w:szCs w:val="28"/>
          <w:highlight w:val="none"/>
          <w:lang w:val="en-US" w:eastAsia="zh-CN"/>
        </w:rPr>
        <w:t>2803</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val="en-US" w:eastAsia="zh-CN"/>
        </w:rPr>
        <w:t>2803</w:t>
      </w:r>
      <w:r>
        <w:rPr>
          <w:rFonts w:hint="eastAsia" w:ascii="Arial" w:hAnsi="Arial" w:cs="Arial"/>
          <w:szCs w:val="28"/>
          <w:highlight w:val="none"/>
        </w:rPr>
        <w:t>×</w:t>
      </w:r>
      <w:r>
        <w:rPr>
          <w:rFonts w:hint="eastAsia" w:ascii="Arial" w:hAnsi="Arial" w:cs="Arial"/>
          <w:szCs w:val="28"/>
          <w:highlight w:val="none"/>
          <w:lang w:eastAsia="zh-CN"/>
        </w:rPr>
        <w:t>207.45</w:t>
      </w:r>
      <w:r>
        <w:rPr>
          <w:rFonts w:hint="eastAsia" w:ascii="Arial" w:hAnsi="Arial" w:cs="Arial"/>
          <w:szCs w:val="28"/>
          <w:highlight w:val="none"/>
        </w:rPr>
        <w:t>÷10000＝</w:t>
      </w:r>
      <w:r>
        <w:rPr>
          <w:rFonts w:hint="eastAsia" w:ascii="Arial" w:hAnsi="Arial" w:cs="Arial"/>
          <w:szCs w:val="28"/>
          <w:highlight w:val="none"/>
          <w:lang w:val="en-US" w:eastAsia="zh-CN"/>
        </w:rPr>
        <w:t>58.1482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val="en-US" w:eastAsia="zh-CN"/>
        </w:rPr>
        <w:t>10596</w:t>
      </w:r>
      <w:r>
        <w:rPr>
          <w:rFonts w:hint="eastAsia" w:ascii="Arial" w:hAnsi="Arial" w:cs="Arial"/>
          <w:szCs w:val="28"/>
          <w:highlight w:val="none"/>
        </w:rPr>
        <w:t>×25%＝</w:t>
      </w:r>
      <w:r>
        <w:rPr>
          <w:rFonts w:hint="eastAsia" w:ascii="Arial" w:hAnsi="Arial" w:eastAsia="仿宋" w:cs="Arial"/>
          <w:highlight w:val="none"/>
          <w:lang w:val="en-US" w:eastAsia="zh-CN"/>
        </w:rPr>
        <w:t>2649</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2649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÷10000＝</w:t>
      </w:r>
      <w:r>
        <w:rPr>
          <w:rFonts w:hint="eastAsia" w:ascii="Arial" w:hAnsi="Arial" w:eastAsia="仿宋" w:cs="Arial"/>
          <w:highlight w:val="none"/>
          <w:lang w:val="en-US" w:eastAsia="zh-CN"/>
        </w:rPr>
        <w:t>54.9535</w:t>
      </w:r>
      <w:r>
        <w:rPr>
          <w:rFonts w:hint="eastAsia" w:ascii="Arial" w:hAnsi="Arial" w:cs="Arial"/>
          <w:szCs w:val="28"/>
          <w:highlight w:val="none"/>
        </w:rPr>
        <w:t>（万元）</w:t>
      </w:r>
    </w:p>
    <w:p>
      <w:pPr>
        <w:spacing w:line="300" w:lineRule="auto"/>
        <w:ind w:firstLine="560" w:firstLineChars="200"/>
        <w:jc w:val="both"/>
        <w:rPr>
          <w:rFonts w:hint="eastAsia" w:ascii="仿宋" w:hAnsi="仿宋" w:eastAsia="仿宋" w:cs="仿宋"/>
          <w:sz w:val="28"/>
          <w:szCs w:val="28"/>
          <w:highlight w:val="none"/>
        </w:rPr>
        <w:sectPr>
          <w:pgSz w:w="11907" w:h="16840"/>
          <w:pgMar w:top="1843" w:right="1134" w:bottom="1134" w:left="1134" w:header="1134" w:footer="907" w:gutter="340"/>
          <w:cols w:space="720" w:num="1"/>
          <w:titlePg/>
          <w:docGrid w:linePitch="326" w:charSpace="0"/>
        </w:sect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val="en-US" w:eastAsia="zh-CN"/>
        </w:rPr>
        <w:t>2803</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val="en-US" w:eastAsia="zh-CN"/>
        </w:rPr>
        <w:t>58.1482</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2023-1-0449-F01TDCR6</w:t>
      </w:r>
      <w:r>
        <w:rPr>
          <w:rFonts w:ascii="Arial" w:hAnsi="Arial" w:eastAsia="仿宋_GB2312" w:cs="Arial"/>
          <w:bCs/>
          <w:sz w:val="18"/>
          <w:highlight w:val="none"/>
        </w:rPr>
        <w:t xml:space="preserve">    </w:t>
      </w:r>
      <w:r>
        <w:rPr>
          <w:rFonts w:hint="eastAsia" w:ascii="Arial" w:hAnsi="Arial" w:eastAsia="仿宋_GB2312" w:cs="Arial"/>
          <w:bCs/>
          <w:sz w:val="18"/>
          <w:highlight w:val="none"/>
          <w:lang w:eastAsia="zh-CN"/>
        </w:rPr>
        <w:t>估价期日：2023年6月7日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732"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95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32"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5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李成岳</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8号楼1-2层104号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101.6894</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207.45</w:t>
            </w:r>
            <w:r>
              <w:rPr>
                <w:rFonts w:hint="eastAsia" w:ascii="Arial" w:hAnsi="Arial" w:eastAsia="仿宋_GB2312" w:cs="Arial"/>
                <w:bCs/>
                <w:sz w:val="18"/>
                <w:szCs w:val="18"/>
                <w:highlight w:val="none"/>
              </w:rPr>
              <w:t xml:space="preserve"> </w:t>
            </w:r>
          </w:p>
        </w:tc>
        <w:tc>
          <w:tcPr>
            <w:tcW w:w="732"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10596</w:t>
            </w:r>
          </w:p>
        </w:tc>
        <w:tc>
          <w:tcPr>
            <w:tcW w:w="955"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219.814</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7793</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161.6658</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2803</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58.1482</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58.1482</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ind w:firstLine="561"/>
        <w:rPr>
          <w:rFonts w:ascii="Arial" w:hAnsi="Arial" w:eastAsia="仿宋_GB2312" w:cs="Arial"/>
          <w:sz w:val="28"/>
          <w:szCs w:val="28"/>
          <w:highlight w:val="none"/>
        </w:rPr>
        <w:sectPr>
          <w:headerReference r:id="rId21" w:type="default"/>
          <w:footerReference r:id="rId22" w:type="default"/>
          <w:pgSz w:w="16840" w:h="11907" w:orient="landscape"/>
          <w:pgMar w:top="2041" w:right="1134" w:bottom="1134" w:left="1134" w:header="1134" w:footer="907" w:gutter="340"/>
          <w:cols w:space="425" w:num="1"/>
          <w:docGrid w:linePitch="326" w:charSpace="0"/>
        </w:sectPr>
      </w:pPr>
    </w:p>
    <w:p>
      <w:pPr>
        <w:spacing w:line="300" w:lineRule="auto"/>
        <w:outlineLvl w:val="1"/>
        <w:rPr>
          <w:rFonts w:ascii="Arial" w:hAnsi="Arial" w:eastAsia="仿宋_GB2312" w:cs="Arial"/>
          <w:b/>
          <w:sz w:val="28"/>
          <w:highlight w:val="none"/>
        </w:rPr>
      </w:pPr>
      <w:bookmarkStart w:id="133" w:name="_Toc425250322"/>
      <w:bookmarkStart w:id="134" w:name="_Toc69393384"/>
      <w:bookmarkStart w:id="135" w:name="_Toc524335082"/>
      <w:bookmarkStart w:id="136" w:name="_Toc515458377"/>
      <w:bookmarkStart w:id="137" w:name="_Toc416783537"/>
      <w:bookmarkStart w:id="138" w:name="_Toc469066320"/>
      <w:bookmarkStart w:id="139" w:name="_Toc418750900"/>
      <w:r>
        <w:rPr>
          <w:rFonts w:ascii="Arial" w:hAnsi="Arial" w:eastAsia="仿宋_GB2312" w:cs="Arial"/>
          <w:b/>
          <w:sz w:val="28"/>
          <w:highlight w:val="none"/>
        </w:rPr>
        <w:t>三、估价结果和估价报告的使用</w:t>
      </w:r>
      <w:bookmarkEnd w:id="133"/>
      <w:bookmarkEnd w:id="134"/>
      <w:bookmarkEnd w:id="135"/>
      <w:bookmarkEnd w:id="136"/>
      <w:bookmarkEnd w:id="137"/>
      <w:bookmarkEnd w:id="138"/>
      <w:bookmarkEnd w:id="139"/>
    </w:p>
    <w:p>
      <w:pPr>
        <w:spacing w:line="300" w:lineRule="auto"/>
        <w:ind w:firstLine="560" w:firstLineChars="200"/>
        <w:rPr>
          <w:rFonts w:ascii="Arial" w:hAnsi="Arial" w:eastAsia="仿宋_GB2312" w:cs="Arial"/>
          <w:sz w:val="28"/>
          <w:szCs w:val="28"/>
          <w:highlight w:val="none"/>
        </w:rPr>
      </w:pPr>
      <w:bookmarkStart w:id="140" w:name="_Toc425250323"/>
      <w:bookmarkStart w:id="141" w:name="_Toc416783538"/>
      <w:bookmarkStart w:id="142" w:name="_Toc418750901"/>
      <w:bookmarkStart w:id="143" w:name="_Toc469066321"/>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w:t>
      </w:r>
      <w:r>
        <w:rPr>
          <w:rFonts w:hint="eastAsia" w:ascii="Arial" w:hAnsi="Arial" w:eastAsia="仿宋_GB2312" w:cs="Arial"/>
          <w:sz w:val="28"/>
          <w:szCs w:val="28"/>
          <w:highlight w:val="none"/>
          <w:lang w:val="en-US" w:eastAsia="zh-CN"/>
        </w:rPr>
        <w:t>12</w:t>
      </w:r>
      <w:r>
        <w:rPr>
          <w:rFonts w:hint="eastAsia" w:ascii="Arial" w:hAnsi="Arial" w:eastAsia="仿宋_GB2312" w:cs="Arial"/>
          <w:sz w:val="28"/>
          <w:szCs w:val="28"/>
          <w:highlight w:val="none"/>
        </w:rPr>
        <w:t>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lang w:val="en-US" w:eastAsia="zh-CN"/>
        </w:rPr>
        <w:t>11</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ind w:firstLine="560" w:firstLineChars="200"/>
        <w:rPr>
          <w:rFonts w:ascii="Arial" w:hAnsi="Arial" w:eastAsia="仿宋_GB2312" w:cs="Arial"/>
          <w:sz w:val="28"/>
          <w:szCs w:val="28"/>
          <w:highlight w:val="none"/>
        </w:rPr>
      </w:pPr>
      <w:bookmarkStart w:id="144" w:name="_Hlk79697750"/>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lang w:val="en-US" w:eastAsia="zh-CN"/>
        </w:rPr>
        <w:t>6</w:t>
      </w:r>
      <w:r>
        <w:rPr>
          <w:rFonts w:ascii="Arial" w:hAnsi="Arial" w:eastAsia="仿宋_GB2312" w:cs="Arial"/>
          <w:sz w:val="28"/>
          <w:highlight w:val="none"/>
        </w:rPr>
        <w:t>日正式委托进行评估，确定估价期日为</w:t>
      </w:r>
      <w:r>
        <w:rPr>
          <w:rFonts w:hint="eastAsia" w:ascii="Arial" w:hAnsi="Arial" w:eastAsia="仿宋_GB2312" w:cs="Arial"/>
          <w:sz w:val="28"/>
          <w:highlight w:val="none"/>
          <w:lang w:eastAsia="zh-CN"/>
        </w:rPr>
        <w:t>2023年6月7日</w:t>
      </w:r>
      <w:r>
        <w:rPr>
          <w:rFonts w:ascii="Arial" w:hAnsi="Arial" w:eastAsia="仿宋_GB2312" w:cs="Arial"/>
          <w:sz w:val="28"/>
          <w:highlight w:val="none"/>
        </w:rPr>
        <w:t>。评估专业人员于</w:t>
      </w:r>
      <w:r>
        <w:rPr>
          <w:rFonts w:hint="eastAsia" w:ascii="Arial" w:hAnsi="Arial" w:eastAsia="仿宋_GB2312" w:cs="Arial"/>
          <w:sz w:val="28"/>
          <w:highlight w:val="none"/>
          <w:lang w:eastAsia="zh-CN"/>
        </w:rPr>
        <w:t>2023年6月</w:t>
      </w:r>
      <w:r>
        <w:rPr>
          <w:rFonts w:hint="eastAsia" w:ascii="Arial" w:hAnsi="Arial" w:eastAsia="仿宋_GB2312" w:cs="Arial"/>
          <w:sz w:val="28"/>
          <w:highlight w:val="none"/>
          <w:lang w:val="en-US" w:eastAsia="zh-CN"/>
        </w:rPr>
        <w:t>8</w:t>
      </w:r>
      <w:r>
        <w:rPr>
          <w:rFonts w:hint="eastAsia" w:ascii="Arial" w:hAnsi="Arial" w:eastAsia="仿宋_GB2312" w:cs="Arial"/>
          <w:sz w:val="28"/>
          <w:highlight w:val="none"/>
          <w:lang w:eastAsia="zh-CN"/>
        </w:rPr>
        <w:t>日</w:t>
      </w:r>
      <w:r>
        <w:rPr>
          <w:rFonts w:ascii="Arial" w:hAnsi="Arial" w:eastAsia="仿宋_GB2312" w:cs="Arial"/>
          <w:sz w:val="28"/>
          <w:highlight w:val="none"/>
        </w:rPr>
        <w:t>进行实地查勘，</w:t>
      </w:r>
      <w:r>
        <w:rPr>
          <w:rFonts w:hint="eastAsia" w:ascii="Arial" w:hAnsi="Arial" w:eastAsia="仿宋_GB2312" w:cs="Arial"/>
          <w:sz w:val="28"/>
          <w:highlight w:val="none"/>
          <w:lang w:eastAsia="zh-CN"/>
        </w:rPr>
        <w:t>本次评估设定</w:t>
      </w:r>
      <w:r>
        <w:rPr>
          <w:rFonts w:ascii="Arial" w:hAnsi="Arial" w:eastAsia="仿宋_GB2312" w:cs="Arial"/>
          <w:sz w:val="28"/>
          <w:highlight w:val="none"/>
        </w:rPr>
        <w:t>评估专业人员</w:t>
      </w:r>
      <w:r>
        <w:rPr>
          <w:rFonts w:hint="eastAsia" w:ascii="Arial" w:hAnsi="Arial" w:eastAsia="仿宋_GB2312" w:cs="Arial"/>
          <w:sz w:val="28"/>
          <w:highlight w:val="none"/>
          <w:lang w:eastAsia="zh-CN"/>
        </w:rPr>
        <w:t>实地查勘日（2023年6月</w:t>
      </w:r>
      <w:r>
        <w:rPr>
          <w:rFonts w:hint="eastAsia" w:ascii="Arial" w:hAnsi="Arial" w:eastAsia="仿宋_GB2312" w:cs="Arial"/>
          <w:sz w:val="28"/>
          <w:highlight w:val="none"/>
          <w:lang w:val="en-US" w:eastAsia="zh-CN"/>
        </w:rPr>
        <w:t>8</w:t>
      </w:r>
      <w:r>
        <w:rPr>
          <w:rFonts w:hint="eastAsia" w:ascii="Arial" w:hAnsi="Arial" w:eastAsia="仿宋_GB2312" w:cs="Arial"/>
          <w:sz w:val="28"/>
          <w:highlight w:val="none"/>
          <w:lang w:eastAsia="zh-CN"/>
        </w:rPr>
        <w:t>日）的土地状况与</w:t>
      </w:r>
      <w:r>
        <w:rPr>
          <w:rFonts w:ascii="Arial" w:hAnsi="Arial" w:eastAsia="仿宋_GB2312" w:cs="Arial"/>
          <w:sz w:val="28"/>
          <w:highlight w:val="none"/>
        </w:rPr>
        <w:t>估价期日</w:t>
      </w:r>
      <w:r>
        <w:rPr>
          <w:rFonts w:hint="eastAsia" w:ascii="Arial" w:hAnsi="Arial" w:eastAsia="仿宋_GB2312" w:cs="Arial"/>
          <w:sz w:val="28"/>
          <w:highlight w:val="none"/>
          <w:lang w:eastAsia="zh-CN"/>
        </w:rPr>
        <w:t>（2023年6月7日）相同，</w:t>
      </w:r>
      <w:r>
        <w:rPr>
          <w:rFonts w:ascii="Arial" w:hAnsi="Arial" w:eastAsia="仿宋_GB2312" w:cs="Arial"/>
          <w:sz w:val="28"/>
          <w:highlight w:val="none"/>
        </w:rPr>
        <w:t>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23"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bookmarkEnd w:id="15"/>
    <w:p>
      <w:pPr>
        <w:spacing w:line="300" w:lineRule="auto"/>
        <w:jc w:val="center"/>
        <w:outlineLvl w:val="0"/>
        <w:rPr>
          <w:rFonts w:ascii="Arial" w:hAnsi="Arial" w:eastAsia="仿宋_GB2312" w:cs="Arial"/>
          <w:sz w:val="28"/>
          <w:highlight w:val="none"/>
        </w:rPr>
      </w:pPr>
      <w:bookmarkStart w:id="145" w:name="_Toc69393385"/>
      <w:bookmarkStart w:id="146" w:name="_Toc524335083"/>
      <w:bookmarkStart w:id="147" w:name="_Toc515458378"/>
      <w:r>
        <w:rPr>
          <w:rFonts w:ascii="Arial" w:hAnsi="Arial" w:cs="Arial"/>
          <w:b/>
          <w:sz w:val="32"/>
          <w:highlight w:val="none"/>
        </w:rPr>
        <w:t>第四部分</w:t>
      </w:r>
      <w:r>
        <w:rPr>
          <w:rFonts w:ascii="Arial" w:hAnsi="Arial" w:eastAsia="仿宋_GB2312" w:cs="Arial"/>
          <w:b/>
          <w:sz w:val="32"/>
          <w:highlight w:val="none"/>
        </w:rPr>
        <w:t xml:space="preserve">  </w:t>
      </w:r>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140"/>
      <w:bookmarkEnd w:id="141"/>
      <w:bookmarkEnd w:id="142"/>
      <w:bookmarkEnd w:id="143"/>
      <w:bookmarkEnd w:id="145"/>
      <w:bookmarkEnd w:id="146"/>
      <w:bookmarkEnd w:id="147"/>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pacing w:line="300" w:lineRule="auto"/>
        <w:ind w:firstLine="560" w:firstLineChars="200"/>
        <w:jc w:val="both"/>
        <w:rPr>
          <w:rFonts w:hint="default" w:ascii="Arial" w:hAnsi="Arial" w:eastAsia="仿宋_GB2312" w:cs="Arial"/>
          <w:sz w:val="28"/>
          <w:highlight w:val="none"/>
          <w:lang w:val="en-US" w:eastAsia="zh-CN"/>
        </w:rPr>
      </w:pPr>
      <w:r>
        <w:rPr>
          <w:rFonts w:hint="eastAsia" w:ascii="Arial" w:hAnsi="Arial" w:eastAsia="仿宋_GB2312" w:cs="Arial"/>
          <w:sz w:val="28"/>
          <w:highlight w:val="none"/>
          <w:lang w:val="en-US" w:eastAsia="zh-CN"/>
        </w:rPr>
        <w:t>6.《情况说明》复印件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val="en-US" w:eastAsia="zh-CN"/>
        </w:rPr>
        <w:t>7</w:t>
      </w:r>
      <w:r>
        <w:rPr>
          <w:rFonts w:ascii="Arial" w:hAnsi="Arial" w:eastAsia="仿宋_GB2312" w:cs="Arial"/>
          <w:sz w:val="28"/>
          <w:highlight w:val="none"/>
        </w:rPr>
        <w:t>.估价机构《营业执照（副本）》复印件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val="en-US" w:eastAsia="zh-CN"/>
        </w:rPr>
        <w:t>8</w:t>
      </w:r>
      <w:r>
        <w:rPr>
          <w:rFonts w:ascii="Arial" w:hAnsi="Arial" w:eastAsia="仿宋_GB2312" w:cs="Arial"/>
          <w:sz w:val="28"/>
          <w:highlight w:val="none"/>
        </w:rPr>
        <w:t>.估价机构评估资质复印件</w:t>
      </w:r>
    </w:p>
    <w:p>
      <w:pPr>
        <w:spacing w:line="300" w:lineRule="auto"/>
        <w:ind w:firstLine="560" w:firstLineChars="200"/>
        <w:jc w:val="both"/>
        <w:rPr>
          <w:rFonts w:ascii="Arial" w:hAnsi="Arial" w:cs="Arial"/>
          <w:highlight w:val="none"/>
        </w:rPr>
      </w:pPr>
      <w:r>
        <w:rPr>
          <w:rFonts w:hint="eastAsia" w:ascii="Arial" w:hAnsi="Arial" w:eastAsia="楷体_GB2312" w:cs="Arial"/>
          <w:sz w:val="28"/>
          <w:highlight w:val="none"/>
          <w:lang w:val="en-US" w:eastAsia="zh-CN"/>
        </w:rPr>
        <w:t>9</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p>
      <w:pPr>
        <w:spacing w:line="300" w:lineRule="auto"/>
        <w:jc w:val="center"/>
        <w:rPr>
          <w:rFonts w:ascii="Arial" w:hAnsi="Arial" w:cs="Arial"/>
          <w:b/>
          <w:sz w:val="44"/>
          <w:highlight w:val="none"/>
        </w:rPr>
        <w:sectPr>
          <w:footerReference r:id="rId24" w:type="default"/>
          <w:pgSz w:w="11907" w:h="16840"/>
          <w:pgMar w:top="1843" w:right="1134" w:bottom="1134" w:left="1134" w:header="1134" w:footer="907" w:gutter="340"/>
          <w:cols w:space="720" w:num="1"/>
          <w:docGrid w:linePitch="326" w:charSpace="0"/>
        </w:sectPr>
      </w:pPr>
      <w:bookmarkStart w:id="148" w:name="_Toc416783539"/>
      <w:bookmarkStart w:id="149" w:name="_Toc416783635"/>
      <w:bookmarkStart w:id="150" w:name="_Toc418750902"/>
    </w:p>
    <w:p>
      <w:pPr>
        <w:spacing w:line="300" w:lineRule="auto"/>
        <w:jc w:val="center"/>
        <w:rPr>
          <w:rFonts w:ascii="Arial" w:hAnsi="Arial" w:cs="Arial"/>
          <w:b/>
          <w:sz w:val="44"/>
          <w:highlight w:val="none"/>
        </w:rPr>
      </w:pPr>
    </w:p>
    <w:p>
      <w:pPr>
        <w:spacing w:line="300" w:lineRule="auto"/>
        <w:jc w:val="center"/>
        <w:rPr>
          <w:rFonts w:ascii="Arial" w:hAnsi="Arial" w:cs="Arial"/>
          <w:b/>
          <w:sz w:val="44"/>
          <w:highlight w:val="none"/>
        </w:rPr>
      </w:pPr>
    </w:p>
    <w:p>
      <w:pPr>
        <w:spacing w:line="300" w:lineRule="auto"/>
        <w:jc w:val="center"/>
        <w:rPr>
          <w:rFonts w:ascii="Arial" w:hAnsi="Arial" w:cs="Arial"/>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技</w:t>
      </w:r>
      <w:r>
        <w:rPr>
          <w:rFonts w:ascii="Arial" w:hAnsi="Arial" w:eastAsia="仿宋_GB2312" w:cs="Arial"/>
          <w:b/>
          <w:sz w:val="44"/>
          <w:highlight w:val="none"/>
        </w:rPr>
        <w:t xml:space="preserve"> </w:t>
      </w:r>
      <w:r>
        <w:rPr>
          <w:rFonts w:ascii="Arial" w:hAnsi="Arial" w:cs="Arial"/>
          <w:b/>
          <w:sz w:val="44"/>
          <w:highlight w:val="none"/>
        </w:rPr>
        <w:t>术</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bookmarkEnd w:id="148"/>
      <w:bookmarkEnd w:id="149"/>
      <w:bookmarkEnd w:id="150"/>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8号楼1-2层104号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rPr>
          <w:rFonts w:ascii="Arial" w:hAnsi="Arial" w:eastAsia="楷体_GB2312" w:cs="Arial"/>
          <w:b/>
          <w:bCs/>
          <w:sz w:val="32"/>
          <w:highlight w:val="none"/>
        </w:rPr>
      </w:pPr>
      <w:r>
        <w:rPr>
          <w:rFonts w:ascii="Arial" w:hAnsi="Arial" w:eastAsia="楷体_GB2312" w:cs="Arial"/>
          <w:b/>
          <w:sz w:val="32"/>
          <w:highlight w:val="none"/>
        </w:rPr>
        <w:t>受托估价单位：北京康正宏基房地产评估有限公司</w:t>
      </w:r>
    </w:p>
    <w:p>
      <w:pPr>
        <w:spacing w:line="300" w:lineRule="auto"/>
        <w:ind w:right="-327"/>
        <w:rPr>
          <w:rFonts w:ascii="Arial" w:hAnsi="Arial" w:eastAsia="楷体_GB2312" w:cs="Arial"/>
          <w:b/>
          <w:bCs/>
          <w:sz w:val="32"/>
          <w:highlight w:val="none"/>
        </w:rPr>
      </w:pPr>
      <w:bookmarkStart w:id="151" w:name="_Toc416783636"/>
      <w:bookmarkStart w:id="152" w:name="_Toc416783540"/>
    </w:p>
    <w:bookmarkEnd w:id="151"/>
    <w:bookmarkEnd w:id="152"/>
    <w:p>
      <w:pPr>
        <w:spacing w:line="300" w:lineRule="auto"/>
        <w:ind w:left="2891" w:right="-327" w:hanging="2891" w:hangingChars="900"/>
        <w:rPr>
          <w:rFonts w:hint="eastAsia" w:ascii="Arial" w:hAnsi="Arial" w:eastAsia="楷体_GB2312" w:cs="Arial"/>
          <w:b/>
          <w:sz w:val="32"/>
          <w:highlight w:val="none"/>
          <w:lang w:eastAsia="zh-CN"/>
        </w:rPr>
      </w:pPr>
      <w:bookmarkStart w:id="153" w:name="_Toc418750903"/>
      <w:r>
        <w:rPr>
          <w:rFonts w:ascii="Arial" w:hAnsi="Arial" w:eastAsia="楷体_GB2312" w:cs="Arial"/>
          <w:b/>
          <w:sz w:val="32"/>
          <w:highlight w:val="none"/>
        </w:rPr>
        <w:t>土地估价报告编号：</w:t>
      </w:r>
      <w:bookmarkEnd w:id="153"/>
      <w:bookmarkStart w:id="154" w:name="_Toc416783541"/>
      <w:bookmarkStart w:id="155" w:name="_Toc416783637"/>
      <w:r>
        <w:rPr>
          <w:rFonts w:hint="eastAsia" w:ascii="Arial" w:hAnsi="Arial" w:eastAsia="楷体_GB2312" w:cs="Arial"/>
          <w:b/>
          <w:sz w:val="32"/>
          <w:highlight w:val="none"/>
          <w:lang w:eastAsia="zh-CN"/>
        </w:rPr>
        <w:t>北京康正2023（估）字第0014号2023-1-0449-F01TDCR6</w:t>
      </w:r>
    </w:p>
    <w:p>
      <w:pPr>
        <w:spacing w:line="300" w:lineRule="auto"/>
        <w:ind w:right="-327"/>
        <w:rPr>
          <w:rFonts w:ascii="Arial" w:hAnsi="Arial" w:eastAsia="楷体_GB2312" w:cs="Arial"/>
          <w:b/>
          <w:bCs/>
          <w:spacing w:val="-10"/>
          <w:sz w:val="32"/>
          <w:highlight w:val="none"/>
        </w:rPr>
      </w:pPr>
    </w:p>
    <w:p>
      <w:pPr>
        <w:spacing w:line="300" w:lineRule="auto"/>
        <w:ind w:left="3314" w:right="-207" w:hanging="3314" w:hangingChars="1100"/>
        <w:rPr>
          <w:rFonts w:hint="eastAsia" w:ascii="Arial" w:hAnsi="Arial" w:eastAsia="楷体_GB2312" w:cs="Arial"/>
          <w:b/>
          <w:sz w:val="32"/>
          <w:highlight w:val="none"/>
          <w:lang w:eastAsia="zh-CN"/>
        </w:rPr>
      </w:pPr>
      <w:bookmarkStart w:id="156" w:name="_Toc418750904"/>
      <w:r>
        <w:rPr>
          <w:rFonts w:ascii="Arial" w:hAnsi="Arial" w:eastAsia="楷体_GB2312" w:cs="Arial"/>
          <w:b/>
          <w:bCs/>
          <w:spacing w:val="-10"/>
          <w:sz w:val="32"/>
          <w:highlight w:val="none"/>
        </w:rPr>
        <w:t>土地估价技术报告编号：</w:t>
      </w:r>
      <w:bookmarkEnd w:id="154"/>
      <w:bookmarkEnd w:id="155"/>
      <w:bookmarkEnd w:id="156"/>
      <w:r>
        <w:rPr>
          <w:rFonts w:hint="eastAsia" w:ascii="Arial" w:hAnsi="Arial" w:eastAsia="楷体_GB2312" w:cs="Arial"/>
          <w:b/>
          <w:sz w:val="32"/>
          <w:highlight w:val="none"/>
          <w:lang w:eastAsia="zh-CN"/>
        </w:rPr>
        <w:t>北京康正2023（估）字第0014号2023-1-0449-F01TDCR6</w:t>
      </w:r>
    </w:p>
    <w:p>
      <w:pPr>
        <w:spacing w:line="300" w:lineRule="auto"/>
        <w:ind w:right="-207"/>
        <w:rPr>
          <w:rFonts w:ascii="Arial" w:hAnsi="Arial" w:eastAsia="楷体_GB2312" w:cs="Arial"/>
          <w:b/>
          <w:sz w:val="32"/>
          <w:highlight w:val="none"/>
        </w:rPr>
      </w:pPr>
    </w:p>
    <w:p>
      <w:pPr>
        <w:spacing w:line="300" w:lineRule="auto"/>
        <w:rPr>
          <w:rFonts w:ascii="Arial" w:hAnsi="Arial" w:eastAsia="楷体_GB2312" w:cs="Arial"/>
          <w:b/>
          <w:bCs/>
          <w:spacing w:val="-20"/>
          <w:sz w:val="32"/>
          <w:highlight w:val="none"/>
        </w:rPr>
      </w:pPr>
      <w:r>
        <w:rPr>
          <w:rFonts w:ascii="Arial" w:hAnsi="Arial" w:eastAsia="楷体_GB2312" w:cs="Arial"/>
          <w:b/>
          <w:bCs/>
          <w:sz w:val="32"/>
          <w:highlight w:val="none"/>
        </w:rPr>
        <w:t>提交估价报告日期：</w:t>
      </w:r>
      <w:r>
        <w:rPr>
          <w:rFonts w:hint="eastAsia" w:ascii="Arial" w:hAnsi="Arial" w:eastAsia="楷体_GB2312" w:cs="Arial"/>
          <w:b/>
          <w:sz w:val="32"/>
          <w:highlight w:val="none"/>
        </w:rPr>
        <w:t>2023年6月</w:t>
      </w:r>
      <w:r>
        <w:rPr>
          <w:rFonts w:hint="eastAsia" w:ascii="Arial" w:hAnsi="Arial" w:eastAsia="楷体_GB2312" w:cs="Arial"/>
          <w:b/>
          <w:sz w:val="32"/>
          <w:highlight w:val="none"/>
          <w:lang w:val="en-US" w:eastAsia="zh-CN"/>
        </w:rPr>
        <w:t>12</w:t>
      </w:r>
      <w:r>
        <w:rPr>
          <w:rFonts w:hint="eastAsia" w:ascii="Arial" w:hAnsi="Arial" w:eastAsia="楷体_GB2312" w:cs="Arial"/>
          <w:b/>
          <w:sz w:val="32"/>
          <w:highlight w:val="none"/>
        </w:rPr>
        <w:t>日</w:t>
      </w:r>
    </w:p>
    <w:p>
      <w:pPr>
        <w:spacing w:line="300" w:lineRule="auto"/>
        <w:rPr>
          <w:rFonts w:ascii="Arial" w:hAnsi="Arial" w:eastAsia="楷体_GB2312" w:cs="Arial"/>
          <w:b/>
          <w:bCs/>
          <w:sz w:val="32"/>
          <w:highlight w:val="none"/>
        </w:rPr>
      </w:pPr>
    </w:p>
    <w:p>
      <w:pPr>
        <w:spacing w:line="300" w:lineRule="auto"/>
        <w:rPr>
          <w:rFonts w:ascii="Arial" w:hAnsi="Arial" w:eastAsia="楷体_GB2312" w:cs="Arial"/>
          <w:b/>
          <w:bCs/>
          <w:sz w:val="32"/>
          <w:highlight w:val="none"/>
        </w:rPr>
      </w:pPr>
      <w:r>
        <w:rPr>
          <w:rFonts w:ascii="Arial" w:hAnsi="Arial" w:eastAsia="楷体_GB2312" w:cs="Arial"/>
          <w:b/>
          <w:bCs/>
          <w:sz w:val="32"/>
          <w:highlight w:val="none"/>
        </w:rPr>
        <w:t>关键词：北京市、</w:t>
      </w:r>
      <w:r>
        <w:rPr>
          <w:rFonts w:hint="eastAsia" w:ascii="Arial" w:hAnsi="Arial" w:eastAsia="楷体_GB2312" w:cs="Arial"/>
          <w:b/>
          <w:bCs/>
          <w:sz w:val="32"/>
          <w:highlight w:val="none"/>
        </w:rPr>
        <w:t>密云</w:t>
      </w:r>
      <w:r>
        <w:rPr>
          <w:rFonts w:ascii="Arial" w:hAnsi="Arial" w:eastAsia="楷体_GB2312" w:cs="Arial"/>
          <w:b/>
          <w:bCs/>
          <w:sz w:val="32"/>
          <w:highlight w:val="none"/>
        </w:rPr>
        <w:t>区</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出让</w:t>
      </w:r>
      <w:r>
        <w:rPr>
          <w:rFonts w:hint="eastAsia" w:ascii="Arial" w:hAnsi="Arial" w:eastAsia="楷体_GB2312" w:cs="Arial"/>
          <w:b/>
          <w:bCs/>
          <w:sz w:val="32"/>
          <w:highlight w:val="none"/>
        </w:rPr>
        <w:t>、划拨</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北京康正宏基房地产评估有限公司</w:t>
      </w:r>
    </w:p>
    <w:p>
      <w:pPr>
        <w:spacing w:line="300" w:lineRule="auto"/>
        <w:rPr>
          <w:rFonts w:ascii="Arial" w:hAnsi="Arial" w:eastAsia="楷体_GB2312" w:cs="Arial"/>
          <w:b/>
          <w:bCs/>
          <w:spacing w:val="-20"/>
          <w:sz w:val="32"/>
          <w:highlight w:val="none"/>
        </w:rPr>
      </w:pPr>
      <w:r>
        <w:rPr>
          <w:rFonts w:ascii="Arial" w:hAnsi="Arial" w:eastAsia="仿宋_GB2312" w:cs="Arial"/>
          <w:b/>
          <w:bCs/>
          <w:sz w:val="32"/>
          <w:highlight w:val="none"/>
        </w:rPr>
        <w:t xml:space="preserve">        </w:t>
      </w:r>
      <w:r>
        <w:rPr>
          <w:rFonts w:ascii="Arial" w:hAnsi="Arial" w:eastAsia="楷体_GB2312" w:cs="Arial"/>
          <w:b/>
          <w:bCs/>
          <w:sz w:val="32"/>
          <w:highlight w:val="none"/>
        </w:rPr>
        <w:t>二Ｏ二</w:t>
      </w:r>
      <w:r>
        <w:rPr>
          <w:rFonts w:hint="eastAsia" w:ascii="Arial" w:hAnsi="Arial" w:eastAsia="楷体_GB2312" w:cs="Arial"/>
          <w:b/>
          <w:bCs/>
          <w:sz w:val="32"/>
          <w:highlight w:val="none"/>
        </w:rPr>
        <w:t>三</w:t>
      </w:r>
      <w:r>
        <w:rPr>
          <w:rFonts w:ascii="Arial" w:hAnsi="Arial" w:eastAsia="楷体_GB2312" w:cs="Arial"/>
          <w:b/>
          <w:bCs/>
          <w:sz w:val="32"/>
          <w:highlight w:val="none"/>
        </w:rPr>
        <w:t>年</w:t>
      </w:r>
    </w:p>
    <w:p>
      <w:pPr>
        <w:tabs>
          <w:tab w:val="center" w:pos="4649"/>
        </w:tabs>
        <w:spacing w:line="300" w:lineRule="auto"/>
        <w:rPr>
          <w:rFonts w:ascii="Arial" w:hAnsi="Arial" w:eastAsia="楷体" w:cs="Arial"/>
          <w:bCs/>
          <w:sz w:val="32"/>
          <w:highlight w:val="none"/>
        </w:rPr>
        <w:sectPr>
          <w:footerReference r:id="rId25" w:type="default"/>
          <w:pgSz w:w="11907" w:h="16840"/>
          <w:pgMar w:top="1843" w:right="1134" w:bottom="1134" w:left="1134" w:header="1134" w:footer="907" w:gutter="340"/>
          <w:pgNumType w:start="1"/>
          <w:cols w:space="720" w:num="1"/>
          <w:docGrid w:linePitch="326" w:charSpace="0"/>
        </w:sectPr>
      </w:pPr>
      <w:r>
        <w:rPr>
          <w:rFonts w:ascii="Arial" w:hAnsi="Arial" w:eastAsia="楷体" w:cs="Arial"/>
          <w:bCs/>
          <w:sz w:val="32"/>
          <w:highlight w:val="none"/>
        </w:rPr>
        <w:tab/>
      </w:r>
    </w:p>
    <w:p>
      <w:pPr>
        <w:pStyle w:val="23"/>
        <w:spacing w:line="300" w:lineRule="auto"/>
        <w:rPr>
          <w:rFonts w:ascii="Arial" w:cs="Arial"/>
          <w:highlight w:val="none"/>
        </w:rPr>
      </w:pPr>
      <w:r>
        <w:rPr>
          <w:rFonts w:ascii="Arial" w:cs="Arial"/>
          <w:b/>
          <w:sz w:val="32"/>
          <w:szCs w:val="32"/>
          <w:highlight w:val="none"/>
        </w:rPr>
        <w:t>目录</w:t>
      </w:r>
      <w:r>
        <w:rPr>
          <w:rStyle w:val="40"/>
          <w:rFonts w:ascii="Arial" w:cs="Arial"/>
          <w:color w:val="auto"/>
          <w:sz w:val="24"/>
          <w:szCs w:val="24"/>
          <w:highlight w:val="none"/>
        </w:rPr>
        <w:fldChar w:fldCharType="begin"/>
      </w:r>
      <w:r>
        <w:rPr>
          <w:rStyle w:val="40"/>
          <w:rFonts w:ascii="Arial" w:cs="Arial"/>
          <w:color w:val="auto"/>
          <w:sz w:val="24"/>
          <w:szCs w:val="24"/>
          <w:highlight w:val="none"/>
        </w:rPr>
        <w:instrText xml:space="preserve"> TOC \o "1-2" \h \z \u </w:instrText>
      </w:r>
      <w:r>
        <w:rPr>
          <w:rStyle w:val="40"/>
          <w:rFonts w:ascii="Arial" w:cs="Arial"/>
          <w:color w:val="auto"/>
          <w:sz w:val="24"/>
          <w:szCs w:val="24"/>
          <w:highlight w:val="none"/>
        </w:rPr>
        <w:fldChar w:fldCharType="separate"/>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"_Toc524335084" </w:instrText>
      </w:r>
      <w:r>
        <w:rPr>
          <w:highlight w:val="none"/>
        </w:rPr>
        <w:fldChar w:fldCharType="separate"/>
      </w:r>
      <w:r>
        <w:rPr>
          <w:rStyle w:val="40"/>
          <w:rFonts w:ascii="Arial" w:cs="Arial"/>
          <w:b/>
          <w:color w:val="auto"/>
          <w:highlight w:val="none"/>
        </w:rPr>
        <w:t>第一部分  总  述</w:t>
      </w:r>
      <w:r>
        <w:rPr>
          <w:rFonts w:ascii="Arial" w:cs="Arial"/>
          <w:highlight w:val="none"/>
        </w:rPr>
        <w:tab/>
      </w:r>
      <w:r>
        <w:rPr>
          <w:rFonts w:ascii="Arial" w:cs="Arial"/>
          <w:highlight w:val="none"/>
        </w:rPr>
        <w:fldChar w:fldCharType="begin"/>
      </w:r>
      <w:r>
        <w:rPr>
          <w:rFonts w:ascii="Arial" w:cs="Arial"/>
          <w:highlight w:val="none"/>
        </w:rPr>
        <w:instrText xml:space="preserve"> PAGEREF _Toc524335084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"_Toc524335085" </w:instrText>
      </w:r>
      <w:r>
        <w:rPr>
          <w:highlight w:val="none"/>
        </w:rPr>
        <w:fldChar w:fldCharType="separate"/>
      </w:r>
      <w:r>
        <w:rPr>
          <w:rStyle w:val="40"/>
          <w:rFonts w:ascii="Arial" w:hAnsi="Arial" w:eastAsia="仿宋_GB2312" w:cs="Arial"/>
          <w:b/>
          <w:color w:val="auto"/>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_Toc524335085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"_Toc524335086" </w:instrText>
      </w:r>
      <w:r>
        <w:rPr>
          <w:highlight w:val="none"/>
        </w:rPr>
        <w:fldChar w:fldCharType="separate"/>
      </w:r>
      <w:r>
        <w:rPr>
          <w:rStyle w:val="40"/>
          <w:rFonts w:ascii="Arial" w:hAnsi="Arial" w:eastAsia="仿宋_GB2312" w:cs="Arial"/>
          <w:b/>
          <w:color w:val="auto"/>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_Toc524335086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"_Toc524335087" </w:instrText>
      </w:r>
      <w:r>
        <w:rPr>
          <w:highlight w:val="none"/>
        </w:rPr>
        <w:fldChar w:fldCharType="separate"/>
      </w:r>
      <w:r>
        <w:rPr>
          <w:rStyle w:val="40"/>
          <w:rFonts w:ascii="Arial" w:hAnsi="Arial" w:eastAsia="仿宋_GB2312" w:cs="Arial"/>
          <w:b/>
          <w:color w:val="auto"/>
          <w:highlight w:val="none"/>
        </w:rPr>
        <w:t>三、受托估价方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"_Toc524335088" </w:instrText>
      </w:r>
      <w:r>
        <w:rPr>
          <w:highlight w:val="none"/>
        </w:rPr>
        <w:fldChar w:fldCharType="separate"/>
      </w:r>
      <w:r>
        <w:rPr>
          <w:rStyle w:val="40"/>
          <w:rFonts w:ascii="Arial" w:hAnsi="Arial" w:eastAsia="仿宋_GB2312" w:cs="Arial"/>
          <w:b/>
          <w:color w:val="auto"/>
          <w:highlight w:val="none"/>
        </w:rPr>
        <w:t>四、估价目的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"_Toc524335089" </w:instrText>
      </w:r>
      <w:r>
        <w:rPr>
          <w:highlight w:val="none"/>
        </w:rPr>
        <w:fldChar w:fldCharType="separate"/>
      </w:r>
      <w:r>
        <w:rPr>
          <w:rStyle w:val="40"/>
          <w:rFonts w:ascii="Arial" w:hAnsi="Arial" w:eastAsia="仿宋_GB2312" w:cs="Arial"/>
          <w:b/>
          <w:color w:val="auto"/>
          <w:highlight w:val="none"/>
        </w:rPr>
        <w:t>五、估价依据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_Toc524335089 \h </w:instrText>
      </w:r>
      <w:r>
        <w:rPr>
          <w:rFonts w:ascii="Arial" w:hAnsi="Arial" w:cs="Arial"/>
          <w:highlight w:val="none"/>
        </w:rPr>
        <w:fldChar w:fldCharType="separate"/>
      </w:r>
      <w:r>
        <w:rPr>
          <w:rFonts w:ascii="Arial" w:hAnsi="Arial" w:cs="Arial"/>
          <w:highlight w:val="none"/>
        </w:rPr>
        <w:t>2</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"_Toc524335090" </w:instrText>
      </w:r>
      <w:r>
        <w:rPr>
          <w:highlight w:val="none"/>
        </w:rPr>
        <w:fldChar w:fldCharType="separate"/>
      </w:r>
      <w:r>
        <w:rPr>
          <w:rStyle w:val="40"/>
          <w:rFonts w:ascii="Arial" w:hAnsi="Arial" w:eastAsia="仿宋_GB2312" w:cs="Arial"/>
          <w:b/>
          <w:color w:val="auto"/>
          <w:highlight w:val="none"/>
        </w:rPr>
        <w:t>六、估价期日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_Toc524335090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"_Toc524335091" </w:instrText>
      </w:r>
      <w:r>
        <w:rPr>
          <w:highlight w:val="none"/>
        </w:rPr>
        <w:fldChar w:fldCharType="separate"/>
      </w:r>
      <w:r>
        <w:rPr>
          <w:rStyle w:val="40"/>
          <w:rFonts w:ascii="Arial" w:hAnsi="Arial" w:eastAsia="仿宋_GB2312" w:cs="Arial"/>
          <w:b/>
          <w:bCs/>
          <w:color w:val="auto"/>
          <w:highlight w:val="none"/>
        </w:rPr>
        <w:t>七、估价日期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_Toc524335091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"_Toc524335092" </w:instrText>
      </w:r>
      <w:r>
        <w:rPr>
          <w:highlight w:val="none"/>
        </w:rPr>
        <w:fldChar w:fldCharType="separate"/>
      </w:r>
      <w:r>
        <w:rPr>
          <w:rStyle w:val="40"/>
          <w:rFonts w:ascii="Arial" w:hAnsi="Arial" w:eastAsia="仿宋_GB2312" w:cs="Arial"/>
          <w:b/>
          <w:bCs/>
          <w:color w:val="auto"/>
          <w:highlight w:val="none"/>
        </w:rPr>
        <w:t>八、地价定义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_Toc524335092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"_Toc524335093" </w:instrText>
      </w:r>
      <w:r>
        <w:rPr>
          <w:highlight w:val="none"/>
        </w:rPr>
        <w:fldChar w:fldCharType="separate"/>
      </w:r>
      <w:r>
        <w:rPr>
          <w:rStyle w:val="40"/>
          <w:rFonts w:ascii="Arial" w:hAnsi="Arial" w:eastAsia="仿宋_GB2312" w:cs="Arial"/>
          <w:b/>
          <w:color w:val="auto"/>
          <w:highlight w:val="none"/>
        </w:rPr>
        <w:t>九、估价结果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_Toc524335093 \h </w:instrText>
      </w:r>
      <w:r>
        <w:rPr>
          <w:rFonts w:ascii="Arial" w:hAnsi="Arial" w:cs="Arial"/>
          <w:highlight w:val="none"/>
        </w:rPr>
        <w:fldChar w:fldCharType="separate"/>
      </w:r>
      <w:r>
        <w:rPr>
          <w:rFonts w:ascii="Arial" w:hAnsi="Arial" w:cs="Arial"/>
          <w:highlight w:val="none"/>
        </w:rPr>
        <w:t>10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"_Toc524335095" </w:instrText>
      </w:r>
      <w:r>
        <w:rPr>
          <w:highlight w:val="none"/>
        </w:rPr>
        <w:fldChar w:fldCharType="separate"/>
      </w:r>
      <w:r>
        <w:rPr>
          <w:rStyle w:val="40"/>
          <w:rFonts w:ascii="Arial" w:hAnsi="Arial" w:eastAsia="仿宋_GB2312" w:cs="Arial"/>
          <w:b/>
          <w:color w:val="auto"/>
          <w:highlight w:val="none"/>
        </w:rPr>
        <w:t>十、需要特殊说明的事项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_Toc524335095 \h </w:instrText>
      </w:r>
      <w:r>
        <w:rPr>
          <w:rFonts w:ascii="Arial" w:hAnsi="Arial" w:cs="Arial"/>
          <w:highlight w:val="none"/>
        </w:rPr>
        <w:fldChar w:fldCharType="separate"/>
      </w:r>
      <w:r>
        <w:rPr>
          <w:rFonts w:ascii="Arial" w:hAnsi="Arial" w:cs="Arial"/>
          <w:highlight w:val="none"/>
        </w:rPr>
        <w:t>14</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"_Toc524335096" </w:instrText>
      </w:r>
      <w:r>
        <w:rPr>
          <w:highlight w:val="none"/>
        </w:rPr>
        <w:fldChar w:fldCharType="separate"/>
      </w:r>
      <w:r>
        <w:rPr>
          <w:rStyle w:val="40"/>
          <w:rFonts w:ascii="Arial" w:hAnsi="Arial" w:eastAsia="仿宋_GB2312" w:cs="Arial"/>
          <w:b/>
          <w:color w:val="auto"/>
          <w:highlight w:val="none"/>
        </w:rPr>
        <w:t>十一、评估专业人员签字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_Toc524335096 \h </w:instrText>
      </w:r>
      <w:r>
        <w:rPr>
          <w:rFonts w:ascii="Arial" w:hAnsi="Arial" w:cs="Arial"/>
          <w:highlight w:val="none"/>
        </w:rPr>
        <w:fldChar w:fldCharType="separate"/>
      </w:r>
      <w:r>
        <w:rPr>
          <w:rFonts w:ascii="Arial" w:hAnsi="Arial" w:cs="Arial"/>
          <w:highlight w:val="none"/>
        </w:rPr>
        <w:t>18</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"_Toc524335097" </w:instrText>
      </w:r>
      <w:r>
        <w:rPr>
          <w:highlight w:val="none"/>
        </w:rPr>
        <w:fldChar w:fldCharType="separate"/>
      </w:r>
      <w:r>
        <w:rPr>
          <w:rStyle w:val="40"/>
          <w:rFonts w:ascii="Arial" w:hAnsi="Arial" w:eastAsia="仿宋_GB2312" w:cs="Arial"/>
          <w:b/>
          <w:color w:val="auto"/>
          <w:highlight w:val="none"/>
        </w:rPr>
        <w:t>十二、土地估价机构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_Toc524335097 \h </w:instrText>
      </w:r>
      <w:r>
        <w:rPr>
          <w:rFonts w:ascii="Arial" w:hAnsi="Arial" w:cs="Arial"/>
          <w:highlight w:val="none"/>
        </w:rPr>
        <w:fldChar w:fldCharType="separate"/>
      </w:r>
      <w:r>
        <w:rPr>
          <w:rFonts w:ascii="Arial" w:hAnsi="Arial" w:cs="Arial"/>
          <w:highlight w:val="none"/>
        </w:rPr>
        <w:t>18</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"_Toc524335098" </w:instrText>
      </w:r>
      <w:r>
        <w:rPr>
          <w:highlight w:val="none"/>
        </w:rPr>
        <w:fldChar w:fldCharType="separate"/>
      </w:r>
      <w:r>
        <w:rPr>
          <w:rStyle w:val="40"/>
          <w:rFonts w:ascii="Arial" w:cs="Arial"/>
          <w:b/>
          <w:color w:val="auto"/>
          <w:highlight w:val="none"/>
        </w:rPr>
        <w:t>第二部分  估价对象描述及土地价格影响因素分析</w:t>
      </w:r>
      <w:r>
        <w:rPr>
          <w:rFonts w:ascii="Arial" w:cs="Arial"/>
          <w:highlight w:val="none"/>
        </w:rPr>
        <w:tab/>
      </w:r>
      <w:r>
        <w:rPr>
          <w:rFonts w:ascii="Arial" w:cs="Arial"/>
          <w:highlight w:val="none"/>
        </w:rPr>
        <w:fldChar w:fldCharType="begin"/>
      </w:r>
      <w:r>
        <w:rPr>
          <w:rFonts w:ascii="Arial" w:cs="Arial"/>
          <w:highlight w:val="none"/>
        </w:rPr>
        <w:instrText xml:space="preserve"> PAGEREF _Toc524335098 \h </w:instrText>
      </w:r>
      <w:r>
        <w:rPr>
          <w:rFonts w:ascii="Arial" w:cs="Arial"/>
          <w:highlight w:val="none"/>
        </w:rPr>
        <w:fldChar w:fldCharType="separate"/>
      </w:r>
      <w:r>
        <w:rPr>
          <w:rFonts w:ascii="Arial" w:cs="Arial"/>
          <w:highlight w:val="none"/>
        </w:rPr>
        <w:t>19</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"_Toc524335099" </w:instrText>
      </w:r>
      <w:r>
        <w:rPr>
          <w:highlight w:val="none"/>
        </w:rPr>
        <w:fldChar w:fldCharType="separate"/>
      </w:r>
      <w:r>
        <w:rPr>
          <w:rStyle w:val="40"/>
          <w:rFonts w:ascii="Arial" w:hAnsi="Arial" w:eastAsia="仿宋_GB2312" w:cs="Arial"/>
          <w:b/>
          <w:color w:val="auto"/>
          <w:highlight w:val="none"/>
        </w:rPr>
        <w:t>一、估价对象描述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_Toc524335099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"_Toc524335100" </w:instrText>
      </w:r>
      <w:r>
        <w:rPr>
          <w:highlight w:val="none"/>
        </w:rPr>
        <w:fldChar w:fldCharType="separate"/>
      </w:r>
      <w:r>
        <w:rPr>
          <w:rStyle w:val="40"/>
          <w:rFonts w:ascii="Arial" w:hAnsi="Arial" w:eastAsia="仿宋_GB2312" w:cs="Arial"/>
          <w:b/>
          <w:color w:val="auto"/>
          <w:highlight w:val="none"/>
        </w:rPr>
        <w:t>二、地价影响因素分析</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_Toc524335100 \h </w:instrText>
      </w:r>
      <w:r>
        <w:rPr>
          <w:rFonts w:ascii="Arial" w:hAnsi="Arial" w:cs="Arial"/>
          <w:highlight w:val="none"/>
        </w:rPr>
        <w:fldChar w:fldCharType="separate"/>
      </w:r>
      <w:r>
        <w:rPr>
          <w:rFonts w:ascii="Arial" w:hAnsi="Arial" w:cs="Arial"/>
          <w:highlight w:val="none"/>
        </w:rPr>
        <w:t>20</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hint="eastAsia" w:ascii="Arial" w:eastAsia="仿宋_GB2312" w:cs="Arial"/>
          <w:kern w:val="2"/>
          <w:sz w:val="21"/>
          <w:szCs w:val="22"/>
          <w:highlight w:val="none"/>
          <w:lang w:val="en-US" w:eastAsia="zh-CN"/>
        </w:rPr>
      </w:pPr>
      <w:r>
        <w:rPr>
          <w:highlight w:val="none"/>
        </w:rPr>
        <w:fldChar w:fldCharType="begin"/>
      </w:r>
      <w:r>
        <w:rPr>
          <w:highlight w:val="none"/>
        </w:rPr>
        <w:instrText xml:space="preserve"> HYPERLINK \l "_Toc524335110" </w:instrText>
      </w:r>
      <w:r>
        <w:rPr>
          <w:highlight w:val="none"/>
        </w:rPr>
        <w:fldChar w:fldCharType="separate"/>
      </w:r>
      <w:r>
        <w:rPr>
          <w:rStyle w:val="40"/>
          <w:rFonts w:ascii="Arial" w:cs="Arial"/>
          <w:b/>
          <w:color w:val="auto"/>
          <w:highlight w:val="none"/>
        </w:rPr>
        <w:t>第三部分  土地估价</w:t>
      </w:r>
      <w:r>
        <w:rPr>
          <w:rStyle w:val="40"/>
          <w:rFonts w:hint="eastAsia" w:ascii="Arial" w:cs="Arial"/>
          <w:b/>
          <w:color w:val="auto"/>
          <w:highlight w:val="none"/>
          <w:lang w:val="en-US" w:eastAsia="zh-CN"/>
        </w:rPr>
        <w:t xml:space="preserve"> </w:t>
      </w:r>
      <w:r>
        <w:rPr>
          <w:rFonts w:ascii="Arial" w:cs="Arial"/>
          <w:highlight w:val="none"/>
        </w:rPr>
        <w:tab/>
      </w:r>
      <w:r>
        <w:rPr>
          <w:rFonts w:hint="eastAsia" w:ascii="Arial" w:cs="Arial"/>
          <w:highlight w:val="none"/>
          <w:lang w:val="en-US" w:eastAsia="zh-CN"/>
        </w:rPr>
        <w:t>3</w:t>
      </w:r>
      <w:r>
        <w:rPr>
          <w:rFonts w:ascii="Arial" w:cs="Arial"/>
          <w:highlight w:val="none"/>
        </w:rPr>
        <w:fldChar w:fldCharType="end"/>
      </w:r>
      <w:r>
        <w:rPr>
          <w:rFonts w:hint="eastAsia" w:ascii="Arial" w:cs="Arial"/>
          <w:highlight w:val="none"/>
          <w:lang w:val="en-US" w:eastAsia="zh-CN"/>
        </w:rPr>
        <w:t>7</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"_Toc524335111" </w:instrText>
      </w:r>
      <w:r>
        <w:rPr>
          <w:highlight w:val="none"/>
        </w:rPr>
        <w:fldChar w:fldCharType="separate"/>
      </w:r>
      <w:r>
        <w:rPr>
          <w:rStyle w:val="40"/>
          <w:rFonts w:ascii="Arial" w:hAnsi="Arial" w:eastAsia="仿宋_GB2312" w:cs="Arial"/>
          <w:b/>
          <w:color w:val="auto"/>
          <w:highlight w:val="none"/>
        </w:rPr>
        <w:t>一、估价原则</w:t>
      </w:r>
      <w:r>
        <w:rPr>
          <w:rFonts w:ascii="Arial" w:hAnsi="Arial" w:cs="Arial"/>
          <w:highlight w:val="none"/>
        </w:rPr>
        <w:tab/>
      </w:r>
      <w:r>
        <w:rPr>
          <w:rFonts w:hint="eastAsia" w:ascii="Arial" w:hAnsi="Arial" w:cs="Arial"/>
          <w:highlight w:val="none"/>
          <w:lang w:val="en-US" w:eastAsia="zh-CN"/>
        </w:rPr>
        <w:t>3</w:t>
      </w:r>
      <w:r>
        <w:rPr>
          <w:rFonts w:ascii="Arial" w:hAnsi="Arial" w:cs="Arial"/>
          <w:highlight w:val="none"/>
        </w:rPr>
        <w:fldChar w:fldCharType="end"/>
      </w:r>
      <w:r>
        <w:rPr>
          <w:rFonts w:hint="eastAsia" w:ascii="Arial" w:hAnsi="Arial" w:cs="Arial"/>
          <w:highlight w:val="none"/>
          <w:lang w:val="en-US" w:eastAsia="zh-CN"/>
        </w:rPr>
        <w:t>7</w:t>
      </w:r>
      <w:bookmarkStart w:id="321" w:name="_GoBack"/>
      <w:bookmarkEnd w:id="321"/>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"_Toc524335112" </w:instrText>
      </w:r>
      <w:r>
        <w:rPr>
          <w:highlight w:val="none"/>
        </w:rPr>
        <w:fldChar w:fldCharType="separate"/>
      </w:r>
      <w:r>
        <w:rPr>
          <w:rStyle w:val="40"/>
          <w:rFonts w:ascii="Arial" w:hAnsi="Arial" w:eastAsia="仿宋_GB2312" w:cs="Arial"/>
          <w:b/>
          <w:color w:val="auto"/>
          <w:highlight w:val="none"/>
        </w:rPr>
        <w:t>二、估价方法与估价过程</w:t>
      </w:r>
      <w:r>
        <w:rPr>
          <w:rFonts w:ascii="Arial" w:hAnsi="Arial" w:cs="Arial"/>
          <w:highlight w:val="none"/>
        </w:rPr>
        <w:tab/>
      </w:r>
      <w:r>
        <w:rPr>
          <w:rFonts w:hint="eastAsia" w:ascii="Arial" w:hAnsi="Arial" w:cs="Arial"/>
          <w:highlight w:val="none"/>
          <w:lang w:val="en-US" w:eastAsia="zh-CN"/>
        </w:rPr>
        <w:t>3</w:t>
      </w:r>
      <w:r>
        <w:rPr>
          <w:rFonts w:ascii="Arial" w:hAnsi="Arial" w:cs="Arial"/>
          <w:highlight w:val="none"/>
        </w:rPr>
        <w:fldChar w:fldCharType="end"/>
      </w:r>
      <w:r>
        <w:rPr>
          <w:rFonts w:hint="eastAsia" w:ascii="Arial" w:hAnsi="Arial" w:cs="Arial"/>
          <w:highlight w:val="none"/>
          <w:lang w:val="en-US" w:eastAsia="zh-CN"/>
        </w:rPr>
        <w:t>9</w:t>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"_Toc524335123" </w:instrText>
      </w:r>
      <w:r>
        <w:rPr>
          <w:highlight w:val="none"/>
        </w:rPr>
        <w:fldChar w:fldCharType="separate"/>
      </w:r>
      <w:r>
        <w:rPr>
          <w:rStyle w:val="40"/>
          <w:rFonts w:ascii="Arial" w:cs="Arial"/>
          <w:b/>
          <w:color w:val="auto"/>
          <w:highlight w:val="none"/>
        </w:rPr>
        <w:t>附  件</w:t>
      </w:r>
      <w:r>
        <w:rPr>
          <w:rFonts w:ascii="Arial" w:cs="Arial"/>
          <w:highlight w:val="none"/>
        </w:rPr>
        <w:tab/>
      </w:r>
      <w:r>
        <w:rPr>
          <w:rFonts w:ascii="Arial" w:cs="Arial"/>
          <w:highlight w:val="none"/>
        </w:rPr>
        <w:fldChar w:fldCharType="begin"/>
      </w:r>
      <w:r>
        <w:rPr>
          <w:rFonts w:ascii="Arial" w:cs="Arial"/>
          <w:highlight w:val="none"/>
        </w:rPr>
        <w:instrText xml:space="preserve"> PAGEREF _Toc524335123 \h </w:instrText>
      </w:r>
      <w:r>
        <w:rPr>
          <w:rFonts w:ascii="Arial" w:cs="Arial"/>
          <w:highlight w:val="none"/>
        </w:rPr>
        <w:fldChar w:fldCharType="separate"/>
      </w:r>
      <w:r>
        <w:rPr>
          <w:rFonts w:ascii="Arial" w:cs="Arial"/>
          <w:highlight w:val="none"/>
        </w:rPr>
        <w:t>84</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eastAsia="楷体" w:cs="Arial"/>
          <w:sz w:val="32"/>
          <w:highlight w:val="none"/>
        </w:rPr>
        <w:sectPr>
          <w:headerReference r:id="rId26" w:type="first"/>
          <w:footerReference r:id="rId27" w:type="first"/>
          <w:pgSz w:w="11907" w:h="16840"/>
          <w:pgMar w:top="1843" w:right="1134" w:bottom="1134" w:left="1134" w:header="1134" w:footer="907" w:gutter="340"/>
          <w:cols w:space="720" w:num="1"/>
          <w:titlePg/>
          <w:docGrid w:linePitch="326" w:charSpace="0"/>
        </w:sectPr>
      </w:pPr>
      <w:r>
        <w:rPr>
          <w:rStyle w:val="40"/>
          <w:rFonts w:ascii="Arial" w:hAnsi="Arial" w:eastAsia="仿宋_GB2312" w:cs="Arial"/>
          <w:color w:val="auto"/>
          <w:szCs w:val="24"/>
          <w:highlight w:val="none"/>
        </w:rPr>
        <w:fldChar w:fldCharType="end"/>
      </w:r>
    </w:p>
    <w:p>
      <w:pPr>
        <w:spacing w:line="300" w:lineRule="auto"/>
        <w:jc w:val="center"/>
        <w:rPr>
          <w:rFonts w:ascii="Arial" w:hAnsi="Arial" w:cs="Arial"/>
          <w:sz w:val="32"/>
          <w:highlight w:val="none"/>
        </w:rPr>
      </w:pPr>
      <w:bookmarkStart w:id="157" w:name="_Toc416783542"/>
      <w:bookmarkStart w:id="158" w:name="_Toc416783638"/>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技</w:t>
      </w:r>
      <w:r>
        <w:rPr>
          <w:rFonts w:ascii="Arial" w:hAnsi="Arial" w:eastAsia="仿宋_GB2312" w:cs="Arial"/>
          <w:b/>
          <w:sz w:val="32"/>
          <w:highlight w:val="none"/>
        </w:rPr>
        <w:t xml:space="preserve"> </w:t>
      </w:r>
      <w:r>
        <w:rPr>
          <w:rFonts w:ascii="Arial" w:hAnsi="Arial" w:cs="Arial"/>
          <w:b/>
          <w:sz w:val="32"/>
          <w:highlight w:val="none"/>
        </w:rPr>
        <w:t>术</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bookmarkEnd w:id="157"/>
      <w:bookmarkEnd w:id="158"/>
    </w:p>
    <w:p>
      <w:pPr>
        <w:spacing w:line="300" w:lineRule="auto"/>
        <w:jc w:val="center"/>
        <w:rPr>
          <w:rFonts w:ascii="Arial" w:hAnsi="Arial" w:cs="Arial"/>
          <w:sz w:val="32"/>
          <w:highlight w:val="none"/>
        </w:rPr>
      </w:pPr>
    </w:p>
    <w:p>
      <w:pPr>
        <w:spacing w:line="300" w:lineRule="auto"/>
        <w:jc w:val="center"/>
        <w:outlineLvl w:val="0"/>
        <w:rPr>
          <w:rFonts w:ascii="Arial" w:hAnsi="Arial" w:cs="Arial"/>
          <w:sz w:val="32"/>
          <w:highlight w:val="none"/>
        </w:rPr>
      </w:pPr>
      <w:bookmarkStart w:id="159" w:name="_Toc416783543"/>
      <w:bookmarkStart w:id="160" w:name="_Toc69393386"/>
      <w:bookmarkStart w:id="161" w:name="_Toc515457801"/>
      <w:bookmarkStart w:id="162" w:name="_Toc66929511"/>
      <w:bookmarkStart w:id="163" w:name="_Toc469066149"/>
      <w:bookmarkStart w:id="164" w:name="_Toc524335084"/>
      <w:bookmarkStart w:id="165" w:name="_Toc416783639"/>
      <w:bookmarkStart w:id="166" w:name="_Toc516488179"/>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总</w:t>
      </w:r>
      <w:r>
        <w:rPr>
          <w:rFonts w:ascii="Arial" w:hAnsi="Arial" w:eastAsia="仿宋_GB2312" w:cs="Arial"/>
          <w:b/>
          <w:sz w:val="32"/>
          <w:highlight w:val="none"/>
        </w:rPr>
        <w:t xml:space="preserve">  </w:t>
      </w:r>
      <w:r>
        <w:rPr>
          <w:rFonts w:ascii="Arial" w:hAnsi="Arial" w:cs="Arial"/>
          <w:b/>
          <w:sz w:val="32"/>
          <w:highlight w:val="none"/>
        </w:rPr>
        <w:t>述</w:t>
      </w:r>
      <w:bookmarkEnd w:id="159"/>
      <w:bookmarkEnd w:id="160"/>
      <w:bookmarkEnd w:id="161"/>
      <w:bookmarkEnd w:id="162"/>
      <w:bookmarkEnd w:id="163"/>
      <w:bookmarkEnd w:id="164"/>
      <w:bookmarkEnd w:id="165"/>
      <w:bookmarkEnd w:id="166"/>
    </w:p>
    <w:p>
      <w:pPr>
        <w:spacing w:line="300" w:lineRule="auto"/>
        <w:jc w:val="center"/>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67" w:name="_Toc416783640"/>
      <w:bookmarkStart w:id="168" w:name="_Toc515457802"/>
      <w:bookmarkStart w:id="169" w:name="_Toc516488180"/>
      <w:bookmarkStart w:id="170" w:name="_Toc524335085"/>
      <w:bookmarkStart w:id="171" w:name="_Toc416783544"/>
      <w:bookmarkStart w:id="172" w:name="_Toc66929512"/>
      <w:bookmarkStart w:id="173" w:name="_Toc469066150"/>
      <w:bookmarkStart w:id="174" w:name="_Toc69393387"/>
      <w:r>
        <w:rPr>
          <w:rFonts w:ascii="Arial" w:hAnsi="Arial" w:eastAsia="仿宋_GB2312" w:cs="Arial"/>
          <w:b/>
          <w:sz w:val="28"/>
          <w:highlight w:val="none"/>
        </w:rPr>
        <w:t>一、估价项目名称</w:t>
      </w:r>
      <w:bookmarkEnd w:id="167"/>
      <w:bookmarkEnd w:id="168"/>
      <w:bookmarkEnd w:id="169"/>
      <w:bookmarkEnd w:id="170"/>
      <w:bookmarkEnd w:id="171"/>
      <w:bookmarkEnd w:id="172"/>
      <w:bookmarkEnd w:id="173"/>
      <w:bookmarkEnd w:id="174"/>
    </w:p>
    <w:p>
      <w:pPr>
        <w:spacing w:line="300" w:lineRule="auto"/>
        <w:ind w:firstLine="557" w:firstLineChars="199"/>
        <w:jc w:val="both"/>
        <w:rPr>
          <w:rFonts w:ascii="Arial" w:hAnsi="Arial" w:eastAsia="仿宋_GB2312" w:cs="Arial"/>
          <w:sz w:val="28"/>
          <w:highlight w:val="none"/>
        </w:rPr>
      </w:pP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现状商业用地国有建设用地使用权出让价格评估</w:t>
      </w:r>
    </w:p>
    <w:p>
      <w:pPr>
        <w:spacing w:line="300" w:lineRule="auto"/>
        <w:ind w:right="-327"/>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75" w:name="_Toc416783546"/>
      <w:bookmarkStart w:id="176" w:name="_Toc66929513"/>
      <w:bookmarkStart w:id="177" w:name="_Toc69393388"/>
      <w:bookmarkStart w:id="178" w:name="_Toc469066151"/>
      <w:bookmarkStart w:id="179" w:name="_Toc524335086"/>
      <w:bookmarkStart w:id="180" w:name="_Toc516488181"/>
      <w:bookmarkStart w:id="181" w:name="_Toc515457803"/>
      <w:bookmarkStart w:id="182" w:name="_Toc416783642"/>
      <w:r>
        <w:rPr>
          <w:rFonts w:ascii="Arial" w:hAnsi="Arial" w:eastAsia="仿宋_GB2312" w:cs="Arial"/>
          <w:b/>
          <w:sz w:val="28"/>
          <w:highlight w:val="none"/>
        </w:rPr>
        <w:t>二、委托估价方</w:t>
      </w:r>
      <w:bookmarkEnd w:id="175"/>
      <w:bookmarkEnd w:id="176"/>
      <w:bookmarkEnd w:id="177"/>
      <w:bookmarkEnd w:id="178"/>
      <w:bookmarkEnd w:id="179"/>
      <w:bookmarkEnd w:id="180"/>
      <w:bookmarkEnd w:id="181"/>
      <w:bookmarkEnd w:id="182"/>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83" w:name="_Toc515457804"/>
      <w:bookmarkStart w:id="184" w:name="_Toc416783547"/>
      <w:bookmarkStart w:id="185" w:name="_Toc524335087"/>
      <w:bookmarkStart w:id="186" w:name="_Toc69393389"/>
      <w:bookmarkStart w:id="187" w:name="_Toc416783643"/>
      <w:bookmarkStart w:id="188" w:name="_Toc66929514"/>
      <w:bookmarkStart w:id="189" w:name="_Toc469066152"/>
      <w:bookmarkStart w:id="190" w:name="_Toc516488182"/>
      <w:r>
        <w:rPr>
          <w:rFonts w:ascii="Arial" w:hAnsi="Arial" w:eastAsia="仿宋_GB2312" w:cs="Arial"/>
          <w:b/>
          <w:sz w:val="28"/>
          <w:highlight w:val="none"/>
        </w:rPr>
        <w:t>三、受托估价方</w:t>
      </w:r>
      <w:bookmarkEnd w:id="183"/>
      <w:bookmarkEnd w:id="184"/>
      <w:bookmarkEnd w:id="185"/>
      <w:bookmarkEnd w:id="186"/>
      <w:bookmarkEnd w:id="187"/>
      <w:bookmarkEnd w:id="188"/>
      <w:bookmarkEnd w:id="189"/>
      <w:bookmarkEnd w:id="190"/>
    </w:p>
    <w:p>
      <w:pPr>
        <w:spacing w:line="300" w:lineRule="auto"/>
        <w:ind w:firstLine="570"/>
        <w:jc w:val="both"/>
        <w:rPr>
          <w:rFonts w:ascii="Arial" w:hAnsi="Arial" w:eastAsia="仿宋_GB2312" w:cs="Arial"/>
          <w:sz w:val="28"/>
          <w:highlight w:val="none"/>
        </w:rPr>
      </w:pPr>
      <w:bookmarkStart w:id="191" w:name="_Toc416783548"/>
      <w:bookmarkStart w:id="192" w:name="_Toc416783644"/>
      <w:r>
        <w:rPr>
          <w:rFonts w:ascii="Arial" w:hAnsi="Arial" w:eastAsia="仿宋_GB2312" w:cs="Arial"/>
          <w:sz w:val="28"/>
          <w:highlight w:val="none"/>
        </w:rPr>
        <w:t>受托机构：北京康正宏基房地产评估有限公司</w:t>
      </w:r>
      <w:bookmarkEnd w:id="191"/>
      <w:bookmarkEnd w:id="192"/>
    </w:p>
    <w:p>
      <w:pPr>
        <w:spacing w:line="300" w:lineRule="auto"/>
        <w:ind w:left="1960" w:hanging="1960" w:hangingChars="700"/>
        <w:rPr>
          <w:rFonts w:ascii="Arial" w:hAnsi="Arial" w:eastAsia="仿宋_GB2312" w:cs="Arial"/>
          <w:sz w:val="28"/>
          <w:highlight w:val="none"/>
        </w:rPr>
      </w:pPr>
      <w:r>
        <w:rPr>
          <w:rFonts w:ascii="Arial" w:hAnsi="Arial" w:eastAsia="仿宋_GB2312" w:cs="Arial"/>
          <w:sz w:val="28"/>
          <w:highlight w:val="none"/>
        </w:rPr>
        <w:t xml:space="preserve">    地    址：北京市朝阳区裕民路12号中国国际科技会展中心B 座10层1003室</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资质级别：在全国范围内从事土地估价业务</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资质证书号：A201111009</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法人代表：齐  宏</w:t>
      </w:r>
    </w:p>
    <w:p>
      <w:pPr>
        <w:spacing w:line="300" w:lineRule="auto"/>
        <w:rPr>
          <w:rFonts w:hint="eastAsia" w:ascii="Arial" w:hAnsi="Arial" w:eastAsia="仿宋_GB2312" w:cs="Arial"/>
          <w:sz w:val="28"/>
          <w:highlight w:val="none"/>
          <w:lang w:val="en-US" w:eastAsia="zh-CN"/>
        </w:rPr>
      </w:pPr>
      <w:r>
        <w:rPr>
          <w:rFonts w:ascii="Arial" w:hAnsi="Arial" w:eastAsia="仿宋_GB2312" w:cs="Arial"/>
          <w:sz w:val="28"/>
          <w:highlight w:val="none"/>
        </w:rPr>
        <w:t xml:space="preserve">    </w:t>
      </w: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李诗霖</w:t>
      </w:r>
    </w:p>
    <w:p>
      <w:pPr>
        <w:keepNext w:val="0"/>
        <w:keepLines w:val="0"/>
        <w:pageBreakBefore w:val="0"/>
        <w:widowControl w:val="0"/>
        <w:kinsoku/>
        <w:wordWrap/>
        <w:overflowPunct/>
        <w:topLinePunct w:val="0"/>
        <w:autoSpaceDE/>
        <w:autoSpaceDN/>
        <w:bidi w:val="0"/>
        <w:adjustRightInd w:val="0"/>
        <w:snapToGrid w:val="0"/>
        <w:spacing w:line="300" w:lineRule="auto"/>
        <w:ind w:firstLine="560" w:firstLineChars="200"/>
        <w:textAlignment w:val="baseline"/>
        <w:outlineLvl w:val="1"/>
        <w:rPr>
          <w:rFonts w:ascii="Arial" w:hAnsi="Arial" w:eastAsia="仿宋_GB2312" w:cs="Arial"/>
          <w:sz w:val="28"/>
          <w:highlight w:val="none"/>
        </w:rPr>
      </w:pPr>
      <w:r>
        <w:rPr>
          <w:rFonts w:hint="eastAsia" w:ascii="Arial" w:hAnsi="Arial" w:eastAsia="仿宋_GB2312" w:cs="Arial"/>
          <w:sz w:val="28"/>
          <w:highlight w:val="none"/>
        </w:rPr>
        <w:t>联系电话：</w:t>
      </w:r>
      <w:r>
        <w:rPr>
          <w:rFonts w:ascii="Arial" w:hAnsi="Arial" w:eastAsia="仿宋_GB2312" w:cs="Arial"/>
          <w:sz w:val="28"/>
          <w:highlight w:val="none"/>
        </w:rPr>
        <w:t>010-82253558</w:t>
      </w:r>
      <w:bookmarkStart w:id="193" w:name="_Toc416783549"/>
      <w:bookmarkStart w:id="194" w:name="_Toc515457805"/>
      <w:bookmarkStart w:id="195" w:name="_Toc66929515"/>
      <w:bookmarkStart w:id="196" w:name="_Toc416783645"/>
      <w:bookmarkStart w:id="197" w:name="_Toc69393390"/>
      <w:bookmarkStart w:id="198" w:name="_Toc516488183"/>
      <w:bookmarkStart w:id="199" w:name="_Toc469066153"/>
      <w:bookmarkStart w:id="200" w:name="_Toc524335088"/>
    </w:p>
    <w:p>
      <w:pPr>
        <w:spacing w:line="300" w:lineRule="auto"/>
        <w:outlineLvl w:val="1"/>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四、估价目的</w:t>
      </w:r>
      <w:bookmarkEnd w:id="193"/>
      <w:bookmarkEnd w:id="194"/>
      <w:bookmarkEnd w:id="195"/>
      <w:bookmarkEnd w:id="196"/>
      <w:bookmarkEnd w:id="197"/>
      <w:bookmarkEnd w:id="198"/>
      <w:bookmarkEnd w:id="199"/>
      <w:bookmarkEnd w:id="20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1" w:name="_Toc69393391"/>
      <w:bookmarkStart w:id="202" w:name="_Toc416783649"/>
      <w:bookmarkStart w:id="203" w:name="_Toc66929516"/>
      <w:bookmarkStart w:id="204" w:name="_Toc515457806"/>
      <w:bookmarkStart w:id="205" w:name="_Toc416783553"/>
      <w:bookmarkStart w:id="206" w:name="_Toc524335089"/>
      <w:bookmarkStart w:id="207" w:name="_Toc516488184"/>
      <w:bookmarkStart w:id="208" w:name="_Toc469066154"/>
      <w:r>
        <w:rPr>
          <w:rFonts w:ascii="Arial" w:hAnsi="Arial" w:eastAsia="仿宋_GB2312" w:cs="Arial"/>
          <w:b/>
          <w:sz w:val="28"/>
          <w:highlight w:val="none"/>
        </w:rPr>
        <w:t>五、估价依据</w:t>
      </w:r>
      <w:bookmarkEnd w:id="201"/>
      <w:bookmarkEnd w:id="202"/>
      <w:bookmarkEnd w:id="203"/>
      <w:bookmarkEnd w:id="204"/>
      <w:bookmarkEnd w:id="205"/>
      <w:bookmarkEnd w:id="206"/>
      <w:bookmarkEnd w:id="207"/>
      <w:bookmarkEnd w:id="208"/>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ind w:firstLine="560" w:firstLineChars="200"/>
        <w:jc w:val="both"/>
        <w:rPr>
          <w:rFonts w:hint="default" w:ascii="Arial" w:hAnsi="Arial" w:eastAsia="仿宋_GB2312" w:cs="Arial"/>
          <w:sz w:val="28"/>
          <w:highlight w:val="none"/>
          <w:lang w:val="en-US" w:eastAsia="zh-CN"/>
        </w:rPr>
      </w:pPr>
      <w:r>
        <w:rPr>
          <w:rFonts w:hint="eastAsia" w:ascii="Arial" w:hAnsi="Arial" w:eastAsia="仿宋_GB2312" w:cs="Arial"/>
          <w:sz w:val="28"/>
          <w:highlight w:val="none"/>
          <w:lang w:val="en-US" w:eastAsia="zh-CN"/>
        </w:rPr>
        <w:t>4.《情况说明》复印件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9" w:name="_Toc69393392"/>
      <w:bookmarkStart w:id="210" w:name="_Toc469066155"/>
      <w:bookmarkStart w:id="211" w:name="_Toc516488185"/>
      <w:bookmarkStart w:id="212" w:name="_Toc524335090"/>
      <w:bookmarkStart w:id="213" w:name="_Toc66929517"/>
      <w:bookmarkStart w:id="214" w:name="_Toc515457807"/>
      <w:bookmarkStart w:id="215" w:name="_Toc416783574"/>
      <w:bookmarkStart w:id="216" w:name="_Toc416783670"/>
      <w:r>
        <w:rPr>
          <w:rFonts w:ascii="Arial" w:hAnsi="Arial" w:eastAsia="仿宋_GB2312" w:cs="Arial"/>
          <w:b/>
          <w:sz w:val="28"/>
          <w:highlight w:val="none"/>
        </w:rPr>
        <w:t>六、估价期日</w:t>
      </w:r>
      <w:bookmarkEnd w:id="209"/>
      <w:bookmarkEnd w:id="210"/>
      <w:bookmarkEnd w:id="211"/>
      <w:bookmarkEnd w:id="212"/>
      <w:bookmarkEnd w:id="213"/>
      <w:bookmarkEnd w:id="214"/>
    </w:p>
    <w:bookmarkEnd w:id="215"/>
    <w:bookmarkEnd w:id="216"/>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2023年6月7日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rPr>
          <w:rFonts w:ascii="Arial" w:hAnsi="Arial" w:eastAsia="仿宋_GB2312" w:cs="Arial"/>
          <w:b/>
          <w:bCs/>
          <w:sz w:val="28"/>
          <w:highlight w:val="none"/>
        </w:rPr>
      </w:pPr>
    </w:p>
    <w:p>
      <w:pPr>
        <w:spacing w:line="300" w:lineRule="auto"/>
        <w:outlineLvl w:val="1"/>
        <w:rPr>
          <w:rFonts w:ascii="Arial" w:hAnsi="Arial" w:eastAsia="仿宋_GB2312" w:cs="Arial"/>
          <w:b/>
          <w:bCs/>
          <w:sz w:val="28"/>
          <w:highlight w:val="none"/>
        </w:rPr>
      </w:pPr>
      <w:bookmarkStart w:id="217" w:name="_Toc524335091"/>
      <w:bookmarkStart w:id="218" w:name="_Toc515457808"/>
      <w:bookmarkStart w:id="219" w:name="_Toc516488186"/>
      <w:bookmarkStart w:id="220" w:name="_Toc469066156"/>
      <w:bookmarkStart w:id="221" w:name="_Toc66929518"/>
      <w:bookmarkStart w:id="222" w:name="_Toc69393393"/>
      <w:bookmarkStart w:id="223" w:name="_Toc416783671"/>
      <w:bookmarkStart w:id="224" w:name="_Toc416783575"/>
      <w:r>
        <w:rPr>
          <w:rFonts w:ascii="Arial" w:hAnsi="Arial" w:eastAsia="仿宋_GB2312" w:cs="Arial"/>
          <w:b/>
          <w:bCs/>
          <w:sz w:val="28"/>
          <w:highlight w:val="none"/>
        </w:rPr>
        <w:t>七、估价日期</w:t>
      </w:r>
      <w:bookmarkEnd w:id="217"/>
      <w:bookmarkEnd w:id="218"/>
      <w:bookmarkEnd w:id="219"/>
      <w:bookmarkEnd w:id="220"/>
      <w:bookmarkEnd w:id="221"/>
      <w:bookmarkEnd w:id="222"/>
    </w:p>
    <w:bookmarkEnd w:id="223"/>
    <w:bookmarkEnd w:id="224"/>
    <w:p>
      <w:pPr>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2023年6月</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日</w:t>
      </w:r>
      <w:r>
        <w:rPr>
          <w:rFonts w:ascii="Arial" w:hAnsi="Arial" w:eastAsia="仿宋_GB2312" w:cs="Arial"/>
          <w:sz w:val="28"/>
          <w:highlight w:val="none"/>
        </w:rPr>
        <w:t>至</w:t>
      </w:r>
      <w:r>
        <w:rPr>
          <w:rFonts w:hint="eastAsia" w:ascii="Arial" w:hAnsi="Arial" w:eastAsia="仿宋_GB2312" w:cs="Arial"/>
          <w:sz w:val="28"/>
          <w:highlight w:val="none"/>
        </w:rPr>
        <w:t>2023年6月</w:t>
      </w:r>
      <w:r>
        <w:rPr>
          <w:rFonts w:hint="eastAsia" w:ascii="Arial" w:hAnsi="Arial" w:eastAsia="仿宋_GB2312" w:cs="Arial"/>
          <w:sz w:val="28"/>
          <w:highlight w:val="none"/>
          <w:lang w:val="en-US" w:eastAsia="zh-CN"/>
        </w:rPr>
        <w:t>12</w:t>
      </w:r>
      <w:r>
        <w:rPr>
          <w:rFonts w:hint="eastAsia" w:ascii="Arial" w:hAnsi="Arial" w:eastAsia="仿宋_GB2312" w:cs="Arial"/>
          <w:sz w:val="28"/>
          <w:highlight w:val="none"/>
        </w:rPr>
        <w:t>日</w:t>
      </w:r>
    </w:p>
    <w:p>
      <w:pPr>
        <w:pStyle w:val="10"/>
        <w:spacing w:line="300" w:lineRule="auto"/>
        <w:ind w:left="1405" w:hanging="1405" w:hangingChars="500"/>
        <w:jc w:val="left"/>
        <w:rPr>
          <w:rFonts w:ascii="Arial" w:eastAsia="仿宋_GB2312" w:cs="Arial"/>
          <w:b/>
          <w:bCs/>
          <w:sz w:val="28"/>
          <w:highlight w:val="none"/>
        </w:rPr>
      </w:pPr>
    </w:p>
    <w:p>
      <w:pPr>
        <w:pStyle w:val="10"/>
        <w:spacing w:line="300" w:lineRule="auto"/>
        <w:ind w:left="1405" w:hanging="1405" w:hangingChars="500"/>
        <w:jc w:val="left"/>
        <w:outlineLvl w:val="1"/>
        <w:rPr>
          <w:rFonts w:ascii="Arial" w:eastAsia="仿宋_GB2312" w:cs="Arial"/>
          <w:b/>
          <w:bCs/>
          <w:sz w:val="28"/>
          <w:highlight w:val="none"/>
        </w:rPr>
      </w:pPr>
      <w:bookmarkStart w:id="225" w:name="_Toc524335092"/>
      <w:bookmarkStart w:id="226" w:name="_Toc469066157"/>
      <w:bookmarkStart w:id="227" w:name="_Toc66929519"/>
      <w:bookmarkStart w:id="228" w:name="_Toc69393394"/>
      <w:bookmarkStart w:id="229" w:name="_Toc516488187"/>
      <w:bookmarkStart w:id="230" w:name="_Toc515457809"/>
      <w:r>
        <w:rPr>
          <w:rFonts w:ascii="Arial" w:eastAsia="仿宋_GB2312" w:cs="Arial"/>
          <w:b/>
          <w:bCs/>
          <w:sz w:val="28"/>
          <w:highlight w:val="none"/>
        </w:rPr>
        <w:t>八、地价定义</w:t>
      </w:r>
      <w:bookmarkEnd w:id="225"/>
      <w:bookmarkEnd w:id="226"/>
      <w:bookmarkEnd w:id="227"/>
      <w:bookmarkEnd w:id="228"/>
      <w:bookmarkEnd w:id="229"/>
      <w:bookmarkEnd w:id="23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李成岳</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李成岳</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ascii="Arial" w:hAnsi="Arial" w:eastAsia="仿宋_GB2312" w:cs="Arial"/>
          <w:sz w:val="28"/>
          <w:highlight w:val="none"/>
        </w:rPr>
        <w:t>其他商服用地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r>
        <w:rPr>
          <w:rFonts w:ascii="Arial" w:hAnsi="Arial" w:eastAsia="仿宋_GB2312" w:cs="Arial"/>
          <w:sz w:val="28"/>
          <w:szCs w:val="28"/>
          <w:highlight w:val="none"/>
        </w:rPr>
        <w:t>。</w:t>
      </w:r>
    </w:p>
    <w:p>
      <w:pPr>
        <w:spacing w:line="300" w:lineRule="auto"/>
        <w:jc w:val="both"/>
        <w:outlineLvl w:val="1"/>
        <w:rPr>
          <w:rFonts w:ascii="Arial" w:hAnsi="Arial" w:eastAsia="仿宋_GB2312" w:cs="Arial"/>
          <w:b/>
          <w:sz w:val="28"/>
          <w:highlight w:val="none"/>
        </w:rPr>
      </w:pPr>
      <w:bookmarkStart w:id="231" w:name="_Toc515457810"/>
      <w:bookmarkStart w:id="232" w:name="_Toc69393395"/>
      <w:bookmarkStart w:id="233" w:name="_Toc516488188"/>
      <w:bookmarkStart w:id="234" w:name="_Toc66929520"/>
      <w:bookmarkStart w:id="235" w:name="_Toc416783576"/>
      <w:bookmarkStart w:id="236" w:name="_Toc416783672"/>
      <w:bookmarkStart w:id="237" w:name="_Toc524335093"/>
      <w:bookmarkStart w:id="238" w:name="_Toc469066158"/>
    </w:p>
    <w:p>
      <w:pPr>
        <w:spacing w:line="300" w:lineRule="auto"/>
        <w:jc w:val="both"/>
        <w:outlineLvl w:val="1"/>
        <w:rPr>
          <w:rFonts w:ascii="Arial" w:hAnsi="Arial" w:eastAsia="仿宋_GB2312" w:cs="Arial"/>
          <w:sz w:val="28"/>
          <w:highlight w:val="none"/>
        </w:rPr>
      </w:pPr>
      <w:r>
        <w:rPr>
          <w:rFonts w:ascii="Arial" w:hAnsi="Arial" w:eastAsia="仿宋_GB2312" w:cs="Arial"/>
          <w:b/>
          <w:sz w:val="28"/>
          <w:highlight w:val="none"/>
        </w:rPr>
        <w:t>九、估价结果</w:t>
      </w:r>
      <w:bookmarkEnd w:id="231"/>
      <w:bookmarkEnd w:id="232"/>
      <w:bookmarkEnd w:id="233"/>
      <w:bookmarkEnd w:id="234"/>
      <w:bookmarkEnd w:id="235"/>
      <w:bookmarkEnd w:id="236"/>
      <w:bookmarkEnd w:id="237"/>
      <w:bookmarkEnd w:id="238"/>
    </w:p>
    <w:p>
      <w:pPr>
        <w:spacing w:line="300" w:lineRule="auto"/>
        <w:ind w:firstLine="560" w:firstLineChars="200"/>
        <w:jc w:val="both"/>
        <w:rPr>
          <w:rFonts w:ascii="Arial" w:hAnsi="Arial" w:eastAsia="仿宋_GB2312" w:cs="Arial"/>
          <w:sz w:val="28"/>
          <w:highlight w:val="none"/>
        </w:rPr>
      </w:pPr>
      <w:bookmarkStart w:id="239" w:name="_Toc416783676"/>
      <w:bookmarkStart w:id="240" w:name="_Toc416783580"/>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219.8140</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贰佰壹拾玖万捌仟壹佰肆拾</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10596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val="en-US" w:eastAsia="zh-CN"/>
        </w:rPr>
        <w:t>21616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161.6658</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壹佰陆拾壹万陆仟陆佰伍拾捌</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7793</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w:t>
      </w:r>
      <w:r>
        <w:rPr>
          <w:rFonts w:hint="eastAsia" w:ascii="Arial" w:hAnsi="Arial" w:eastAsia="仿宋_GB2312" w:cs="Arial"/>
          <w:kern w:val="2"/>
          <w:sz w:val="28"/>
          <w:highlight w:val="none"/>
          <w:lang w:val="en-US" w:eastAsia="zh-CN"/>
        </w:rPr>
        <w:t>5898</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58.1482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伍拾捌万壹仟肆佰捌拾贰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2803</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101.6894</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207.45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10596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219.8140</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7793</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161.6658</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2803</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58.1482</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10596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val="en-US" w:eastAsia="zh-CN"/>
        </w:rPr>
        <w:t>219.8140</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val="en-US" w:eastAsia="zh-CN"/>
        </w:rPr>
        <w:t>7793</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val="en-US" w:eastAsia="zh-CN"/>
        </w:rPr>
        <w:t>161.6658</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val="en-US" w:eastAsia="zh-CN"/>
        </w:rPr>
        <w:t>10596</w:t>
      </w:r>
      <w:r>
        <w:rPr>
          <w:rFonts w:hint="eastAsia" w:ascii="Arial" w:hAnsi="Arial" w:cs="Arial"/>
          <w:szCs w:val="28"/>
          <w:highlight w:val="none"/>
        </w:rPr>
        <w:t>－</w:t>
      </w:r>
      <w:r>
        <w:rPr>
          <w:rFonts w:hint="eastAsia" w:ascii="Arial" w:hAnsi="Arial" w:cs="Arial"/>
          <w:szCs w:val="28"/>
          <w:highlight w:val="none"/>
          <w:lang w:val="en-US" w:eastAsia="zh-CN"/>
        </w:rPr>
        <w:t>7793</w:t>
      </w:r>
      <w:r>
        <w:rPr>
          <w:rFonts w:hint="eastAsia" w:ascii="Arial" w:hAnsi="Arial" w:cs="Arial"/>
          <w:szCs w:val="28"/>
          <w:highlight w:val="none"/>
        </w:rPr>
        <w:t>＝</w:t>
      </w:r>
      <w:r>
        <w:rPr>
          <w:rFonts w:hint="eastAsia" w:ascii="Arial" w:hAnsi="Arial" w:cs="Arial"/>
          <w:szCs w:val="28"/>
          <w:highlight w:val="none"/>
          <w:lang w:val="en-US" w:eastAsia="zh-CN"/>
        </w:rPr>
        <w:t>2803</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val="en-US" w:eastAsia="zh-CN"/>
        </w:rPr>
        <w:t>2803</w:t>
      </w:r>
      <w:r>
        <w:rPr>
          <w:rFonts w:hint="eastAsia" w:ascii="Arial" w:hAnsi="Arial" w:cs="Arial"/>
          <w:szCs w:val="28"/>
          <w:highlight w:val="none"/>
        </w:rPr>
        <w:t>×</w:t>
      </w:r>
      <w:r>
        <w:rPr>
          <w:rFonts w:hint="eastAsia" w:ascii="Arial" w:hAnsi="Arial" w:cs="Arial"/>
          <w:szCs w:val="28"/>
          <w:highlight w:val="none"/>
          <w:lang w:eastAsia="zh-CN"/>
        </w:rPr>
        <w:t>207.45</w:t>
      </w:r>
      <w:r>
        <w:rPr>
          <w:rFonts w:hint="eastAsia" w:ascii="Arial" w:hAnsi="Arial" w:cs="Arial"/>
          <w:szCs w:val="28"/>
          <w:highlight w:val="none"/>
        </w:rPr>
        <w:t>÷10000＝</w:t>
      </w:r>
      <w:r>
        <w:rPr>
          <w:rFonts w:hint="eastAsia" w:ascii="Arial" w:hAnsi="Arial" w:cs="Arial"/>
          <w:szCs w:val="28"/>
          <w:highlight w:val="none"/>
          <w:lang w:val="en-US" w:eastAsia="zh-CN"/>
        </w:rPr>
        <w:t>58.1482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val="en-US" w:eastAsia="zh-CN"/>
        </w:rPr>
        <w:t>10596</w:t>
      </w:r>
      <w:r>
        <w:rPr>
          <w:rFonts w:hint="eastAsia" w:ascii="Arial" w:hAnsi="Arial" w:cs="Arial"/>
          <w:szCs w:val="28"/>
          <w:highlight w:val="none"/>
        </w:rPr>
        <w:t>×25%＝</w:t>
      </w:r>
      <w:r>
        <w:rPr>
          <w:rFonts w:hint="eastAsia" w:ascii="Arial" w:hAnsi="Arial" w:eastAsia="仿宋" w:cs="Arial"/>
          <w:highlight w:val="none"/>
          <w:lang w:val="en-US" w:eastAsia="zh-CN"/>
        </w:rPr>
        <w:t>2649</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2649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÷10000＝</w:t>
      </w:r>
      <w:r>
        <w:rPr>
          <w:rFonts w:hint="eastAsia" w:ascii="Arial" w:hAnsi="Arial" w:eastAsia="仿宋" w:cs="Arial"/>
          <w:highlight w:val="none"/>
          <w:lang w:val="en-US" w:eastAsia="zh-CN"/>
        </w:rPr>
        <w:t>54.9535</w:t>
      </w:r>
      <w:r>
        <w:rPr>
          <w:rFonts w:hint="eastAsia" w:ascii="Arial" w:hAnsi="Arial" w:cs="Arial"/>
          <w:szCs w:val="28"/>
          <w:highlight w:val="none"/>
        </w:rPr>
        <w:t>（万元）</w:t>
      </w:r>
    </w:p>
    <w:p>
      <w:pPr>
        <w:pStyle w:val="52"/>
        <w:spacing w:line="300" w:lineRule="auto"/>
        <w:jc w:val="both"/>
        <w:rPr>
          <w:rFonts w:ascii="Arial" w:hAnsi="Arial" w:cs="Arial"/>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val="en-US" w:eastAsia="zh-CN"/>
        </w:rPr>
        <w:t>2803</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val="en-US" w:eastAsia="zh-CN"/>
        </w:rPr>
        <w:t>58.1482</w:t>
      </w:r>
      <w:r>
        <w:rPr>
          <w:rFonts w:ascii="Arial" w:hAnsi="Arial" w:eastAsia="仿宋" w:cs="Arial"/>
          <w:sz w:val="28"/>
          <w:szCs w:val="28"/>
          <w:highlight w:val="none"/>
        </w:rPr>
        <w:t>万元</w:t>
      </w:r>
      <w:r>
        <w:rPr>
          <w:rFonts w:ascii="Arial" w:hAnsi="Arial" w:cs="Arial"/>
          <w:szCs w:val="28"/>
          <w:highlight w:val="none"/>
        </w:rPr>
        <w:t>。</w:t>
      </w:r>
    </w:p>
    <w:p>
      <w:pPr>
        <w:pStyle w:val="52"/>
        <w:spacing w:line="300" w:lineRule="auto"/>
        <w:jc w:val="both"/>
        <w:rPr>
          <w:rFonts w:ascii="Arial" w:hAnsi="Arial" w:cs="Arial"/>
          <w:szCs w:val="28"/>
          <w:highlight w:val="none"/>
        </w:rPr>
      </w:pPr>
    </w:p>
    <w:p>
      <w:pPr>
        <w:pStyle w:val="52"/>
        <w:spacing w:line="300" w:lineRule="auto"/>
        <w:ind w:left="0" w:leftChars="0" w:firstLine="0" w:firstLineChars="0"/>
        <w:jc w:val="both"/>
        <w:rPr>
          <w:rFonts w:ascii="Arial" w:hAnsi="Arial" w:cs="Arial"/>
          <w:szCs w:val="28"/>
          <w:highlight w:val="none"/>
        </w:rPr>
        <w:sectPr>
          <w:footerReference r:id="rId29" w:type="first"/>
          <w:footerReference r:id="rId28" w:type="default"/>
          <w:pgSz w:w="11907" w:h="16840"/>
          <w:pgMar w:top="1843" w:right="1134" w:bottom="1134" w:left="1134" w:header="1134" w:footer="907" w:gutter="340"/>
          <w:pgNumType w:start="1"/>
          <w:cols w:space="720" w:num="1"/>
          <w:titlePg/>
          <w:docGrid w:linePitch="326" w:charSpace="0"/>
        </w:sectPr>
      </w:pPr>
      <w:r>
        <w:rPr>
          <w:rFonts w:ascii="Arial" w:hAnsi="Arial" w:cs="Arial"/>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2023-1-0449-F01TDCR6</w:t>
      </w:r>
      <w:r>
        <w:rPr>
          <w:rFonts w:ascii="Arial" w:hAnsi="Arial" w:eastAsia="仿宋_GB2312" w:cs="Arial"/>
          <w:bCs/>
          <w:sz w:val="18"/>
          <w:highlight w:val="none"/>
        </w:rPr>
        <w:t xml:space="preserve">    </w:t>
      </w:r>
      <w:r>
        <w:rPr>
          <w:rFonts w:hint="eastAsia" w:ascii="Arial" w:hAnsi="Arial" w:eastAsia="仿宋_GB2312" w:cs="Arial"/>
          <w:bCs/>
          <w:sz w:val="18"/>
          <w:highlight w:val="none"/>
          <w:lang w:eastAsia="zh-CN"/>
        </w:rPr>
        <w:t>估价期日：2023年6月7日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732"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95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32"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5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李成岳</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8号楼1-2层104号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101.6894</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207.45</w:t>
            </w:r>
            <w:r>
              <w:rPr>
                <w:rFonts w:hint="eastAsia" w:ascii="Arial" w:hAnsi="Arial" w:eastAsia="仿宋_GB2312" w:cs="Arial"/>
                <w:bCs/>
                <w:sz w:val="18"/>
                <w:szCs w:val="18"/>
                <w:highlight w:val="none"/>
              </w:rPr>
              <w:t xml:space="preserve"> </w:t>
            </w:r>
          </w:p>
        </w:tc>
        <w:tc>
          <w:tcPr>
            <w:tcW w:w="732"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10596</w:t>
            </w:r>
          </w:p>
        </w:tc>
        <w:tc>
          <w:tcPr>
            <w:tcW w:w="955"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219.814</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7793</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161.6658</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2803</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58.1482</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58.1482</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rPr>
          <w:rFonts w:ascii="Arial" w:hAnsi="Arial" w:eastAsia="仿宋_GB2312" w:cs="Arial"/>
          <w:sz w:val="28"/>
          <w:szCs w:val="28"/>
          <w:highlight w:val="none"/>
        </w:rPr>
        <w:sectPr>
          <w:headerReference r:id="rId30" w:type="first"/>
          <w:pgSz w:w="16840" w:h="11907" w:orient="landscape"/>
          <w:pgMar w:top="1508" w:right="1134" w:bottom="1134" w:left="1134" w:header="1134" w:footer="907" w:gutter="340"/>
          <w:cols w:space="720" w:num="1"/>
          <w:titlePg/>
          <w:docGrid w:linePitch="326" w:charSpace="0"/>
        </w:sectPr>
      </w:pPr>
    </w:p>
    <w:p>
      <w:pPr>
        <w:spacing w:line="300" w:lineRule="auto"/>
        <w:outlineLvl w:val="1"/>
        <w:rPr>
          <w:rFonts w:ascii="Arial" w:hAnsi="Arial" w:eastAsia="仿宋_GB2312" w:cs="Arial"/>
          <w:b/>
          <w:sz w:val="28"/>
          <w:highlight w:val="none"/>
        </w:rPr>
      </w:pPr>
      <w:bookmarkStart w:id="241" w:name="_Toc69393396"/>
      <w:bookmarkStart w:id="242" w:name="_Toc524335095"/>
      <w:bookmarkStart w:id="243" w:name="_Toc66929521"/>
      <w:bookmarkStart w:id="244" w:name="_Toc469066160"/>
      <w:bookmarkStart w:id="245" w:name="_Toc515457812"/>
      <w:bookmarkStart w:id="246" w:name="_Toc516488190"/>
      <w:r>
        <w:rPr>
          <w:rFonts w:ascii="Arial" w:hAnsi="Arial" w:eastAsia="仿宋_GB2312" w:cs="Arial"/>
          <w:b/>
          <w:sz w:val="28"/>
          <w:highlight w:val="none"/>
        </w:rPr>
        <w:t>十、需要特殊说明的事项</w:t>
      </w:r>
      <w:bookmarkEnd w:id="239"/>
      <w:bookmarkEnd w:id="240"/>
      <w:bookmarkEnd w:id="241"/>
      <w:bookmarkEnd w:id="242"/>
      <w:bookmarkEnd w:id="243"/>
      <w:bookmarkEnd w:id="244"/>
      <w:bookmarkEnd w:id="245"/>
      <w:bookmarkEnd w:id="246"/>
    </w:p>
    <w:p>
      <w:pPr>
        <w:spacing w:line="300" w:lineRule="auto"/>
        <w:ind w:firstLine="560" w:firstLineChars="200"/>
        <w:rPr>
          <w:rFonts w:ascii="Arial" w:hAnsi="Arial" w:eastAsia="仿宋_GB2312" w:cs="Arial"/>
          <w:sz w:val="28"/>
          <w:szCs w:val="28"/>
          <w:highlight w:val="none"/>
        </w:rPr>
      </w:pPr>
      <w:bookmarkStart w:id="247" w:name="_Toc416783581"/>
      <w:bookmarkStart w:id="248" w:name="_Toc469066161"/>
      <w:bookmarkStart w:id="249" w:name="_Toc416783677"/>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w:t>
      </w:r>
      <w:r>
        <w:rPr>
          <w:rFonts w:hint="eastAsia" w:ascii="Arial" w:hAnsi="Arial" w:eastAsia="仿宋_GB2312" w:cs="Arial"/>
          <w:sz w:val="28"/>
          <w:szCs w:val="28"/>
          <w:highlight w:val="none"/>
          <w:lang w:val="en-US" w:eastAsia="zh-CN"/>
        </w:rPr>
        <w:t>12</w:t>
      </w:r>
      <w:r>
        <w:rPr>
          <w:rFonts w:hint="eastAsia" w:ascii="Arial" w:hAnsi="Arial" w:eastAsia="仿宋_GB2312" w:cs="Arial"/>
          <w:sz w:val="28"/>
          <w:szCs w:val="28"/>
          <w:highlight w:val="none"/>
        </w:rPr>
        <w:t>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lang w:val="en-US" w:eastAsia="zh-CN"/>
        </w:rPr>
        <w:t>11</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lang w:val="en-US" w:eastAsia="zh-CN"/>
        </w:rPr>
        <w:t>6</w:t>
      </w:r>
      <w:r>
        <w:rPr>
          <w:rFonts w:ascii="Arial" w:hAnsi="Arial" w:eastAsia="仿宋_GB2312" w:cs="Arial"/>
          <w:sz w:val="28"/>
          <w:highlight w:val="none"/>
        </w:rPr>
        <w:t>日正式委托进行评估，确定估价期日为</w:t>
      </w:r>
      <w:r>
        <w:rPr>
          <w:rFonts w:hint="eastAsia" w:ascii="Arial" w:hAnsi="Arial" w:eastAsia="仿宋_GB2312" w:cs="Arial"/>
          <w:sz w:val="28"/>
          <w:highlight w:val="none"/>
          <w:lang w:eastAsia="zh-CN"/>
        </w:rPr>
        <w:t>2023年6月7日</w:t>
      </w:r>
      <w:r>
        <w:rPr>
          <w:rFonts w:ascii="Arial" w:hAnsi="Arial" w:eastAsia="仿宋_GB2312" w:cs="Arial"/>
          <w:sz w:val="28"/>
          <w:highlight w:val="none"/>
        </w:rPr>
        <w:t>。评估专业人员于</w:t>
      </w:r>
      <w:r>
        <w:rPr>
          <w:rFonts w:hint="eastAsia" w:ascii="Arial" w:hAnsi="Arial" w:eastAsia="仿宋_GB2312" w:cs="Arial"/>
          <w:sz w:val="28"/>
          <w:highlight w:val="none"/>
          <w:lang w:eastAsia="zh-CN"/>
        </w:rPr>
        <w:t>2023年6月</w:t>
      </w:r>
      <w:r>
        <w:rPr>
          <w:rFonts w:hint="eastAsia" w:ascii="Arial" w:hAnsi="Arial" w:eastAsia="仿宋_GB2312" w:cs="Arial"/>
          <w:sz w:val="28"/>
          <w:highlight w:val="none"/>
          <w:lang w:val="en-US" w:eastAsia="zh-CN"/>
        </w:rPr>
        <w:t>8</w:t>
      </w:r>
      <w:r>
        <w:rPr>
          <w:rFonts w:hint="eastAsia" w:ascii="Arial" w:hAnsi="Arial" w:eastAsia="仿宋_GB2312" w:cs="Arial"/>
          <w:sz w:val="28"/>
          <w:highlight w:val="none"/>
          <w:lang w:eastAsia="zh-CN"/>
        </w:rPr>
        <w:t>日</w:t>
      </w:r>
      <w:r>
        <w:rPr>
          <w:rFonts w:ascii="Arial" w:hAnsi="Arial" w:eastAsia="仿宋_GB2312" w:cs="Arial"/>
          <w:sz w:val="28"/>
          <w:highlight w:val="none"/>
        </w:rPr>
        <w:t>进行实地查勘，</w:t>
      </w:r>
      <w:r>
        <w:rPr>
          <w:rFonts w:hint="eastAsia" w:ascii="Arial" w:hAnsi="Arial" w:eastAsia="仿宋_GB2312" w:cs="Arial"/>
          <w:sz w:val="28"/>
          <w:highlight w:val="none"/>
          <w:lang w:eastAsia="zh-CN"/>
        </w:rPr>
        <w:t>本次评估设定</w:t>
      </w:r>
      <w:r>
        <w:rPr>
          <w:rFonts w:ascii="Arial" w:hAnsi="Arial" w:eastAsia="仿宋_GB2312" w:cs="Arial"/>
          <w:sz w:val="28"/>
          <w:highlight w:val="none"/>
        </w:rPr>
        <w:t>评估专业人员</w:t>
      </w:r>
      <w:r>
        <w:rPr>
          <w:rFonts w:hint="eastAsia" w:ascii="Arial" w:hAnsi="Arial" w:eastAsia="仿宋_GB2312" w:cs="Arial"/>
          <w:sz w:val="28"/>
          <w:highlight w:val="none"/>
          <w:lang w:eastAsia="zh-CN"/>
        </w:rPr>
        <w:t>实地查勘日（2023年6月</w:t>
      </w:r>
      <w:r>
        <w:rPr>
          <w:rFonts w:hint="eastAsia" w:ascii="Arial" w:hAnsi="Arial" w:eastAsia="仿宋_GB2312" w:cs="Arial"/>
          <w:sz w:val="28"/>
          <w:highlight w:val="none"/>
          <w:lang w:val="en-US" w:eastAsia="zh-CN"/>
        </w:rPr>
        <w:t>8</w:t>
      </w:r>
      <w:r>
        <w:rPr>
          <w:rFonts w:hint="eastAsia" w:ascii="Arial" w:hAnsi="Arial" w:eastAsia="仿宋_GB2312" w:cs="Arial"/>
          <w:sz w:val="28"/>
          <w:highlight w:val="none"/>
          <w:lang w:eastAsia="zh-CN"/>
        </w:rPr>
        <w:t>日）的土地状况与</w:t>
      </w:r>
      <w:r>
        <w:rPr>
          <w:rFonts w:ascii="Arial" w:hAnsi="Arial" w:eastAsia="仿宋_GB2312" w:cs="Arial"/>
          <w:sz w:val="28"/>
          <w:highlight w:val="none"/>
        </w:rPr>
        <w:t>估价期日</w:t>
      </w:r>
      <w:r>
        <w:rPr>
          <w:rFonts w:hint="eastAsia" w:ascii="Arial" w:hAnsi="Arial" w:eastAsia="仿宋_GB2312" w:cs="Arial"/>
          <w:sz w:val="28"/>
          <w:highlight w:val="none"/>
          <w:lang w:eastAsia="zh-CN"/>
        </w:rPr>
        <w:t>（2023年6月7日）相同，</w:t>
      </w:r>
      <w:r>
        <w:rPr>
          <w:rFonts w:ascii="Arial" w:hAnsi="Arial" w:eastAsia="仿宋_GB2312" w:cs="Arial"/>
          <w:sz w:val="28"/>
          <w:highlight w:val="none"/>
        </w:rPr>
        <w:t>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32" w:type="first"/>
          <w:headerReference r:id="rId31"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p>
      <w:pPr>
        <w:spacing w:line="300" w:lineRule="auto"/>
        <w:outlineLvl w:val="1"/>
        <w:rPr>
          <w:rFonts w:ascii="Arial" w:hAnsi="Arial" w:eastAsia="仿宋_GB2312" w:cs="Arial"/>
          <w:sz w:val="28"/>
          <w:highlight w:val="none"/>
        </w:rPr>
      </w:pPr>
      <w:bookmarkStart w:id="250" w:name="_Toc524335096"/>
      <w:bookmarkStart w:id="251" w:name="_Toc69393397"/>
      <w:bookmarkStart w:id="252" w:name="_Toc516488192"/>
      <w:bookmarkStart w:id="253" w:name="_Toc515457814"/>
      <w:bookmarkStart w:id="254" w:name="_Toc66929522"/>
      <w:r>
        <w:rPr>
          <w:rFonts w:ascii="Arial" w:hAnsi="Arial" w:eastAsia="仿宋_GB2312" w:cs="Arial"/>
          <w:b/>
          <w:sz w:val="28"/>
          <w:highlight w:val="none"/>
        </w:rPr>
        <w:t>十一、</w:t>
      </w:r>
      <w:bookmarkEnd w:id="247"/>
      <w:bookmarkEnd w:id="248"/>
      <w:bookmarkEnd w:id="249"/>
      <w:bookmarkEnd w:id="250"/>
      <w:bookmarkEnd w:id="251"/>
      <w:bookmarkEnd w:id="252"/>
      <w:bookmarkEnd w:id="253"/>
      <w:bookmarkEnd w:id="254"/>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55" w:name="_Toc516488193"/>
      <w:bookmarkStart w:id="256" w:name="_Toc69393398"/>
      <w:bookmarkStart w:id="257" w:name="_Toc66929523"/>
      <w:bookmarkStart w:id="258" w:name="_Toc515457815"/>
      <w:bookmarkStart w:id="259" w:name="_Toc524335097"/>
      <w:r>
        <w:rPr>
          <w:rFonts w:ascii="Arial" w:hAnsi="Arial" w:eastAsia="仿宋_GB2312" w:cs="Arial"/>
          <w:b/>
          <w:sz w:val="28"/>
          <w:highlight w:val="none"/>
        </w:rPr>
        <w:t>十二、土地估价机构</w:t>
      </w:r>
      <w:bookmarkEnd w:id="255"/>
      <w:bookmarkEnd w:id="256"/>
      <w:bookmarkEnd w:id="257"/>
      <w:bookmarkEnd w:id="258"/>
      <w:bookmarkEnd w:id="259"/>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w:t>
            </w:r>
            <w:r>
              <w:rPr>
                <w:rFonts w:hint="eastAsia" w:ascii="仿宋_GB2312" w:hAnsi="仿宋_GB2312" w:eastAsia="仿宋_GB2312" w:cs="仿宋_GB2312"/>
                <w:sz w:val="28"/>
                <w:szCs w:val="21"/>
                <w:highlight w:val="none"/>
                <w:lang w:eastAsia="zh-CN"/>
              </w:rPr>
              <w:t>十二</w:t>
            </w:r>
            <w:r>
              <w:rPr>
                <w:rFonts w:hint="eastAsia" w:ascii="仿宋_GB2312" w:hAnsi="仿宋_GB2312" w:eastAsia="仿宋_GB2312" w:cs="仿宋_GB2312"/>
                <w:sz w:val="28"/>
                <w:szCs w:val="21"/>
                <w:highlight w:val="none"/>
              </w:rPr>
              <w:t>日</w:t>
            </w:r>
          </w:p>
        </w:tc>
      </w:tr>
    </w:tbl>
    <w:p>
      <w:pPr>
        <w:spacing w:line="300" w:lineRule="auto"/>
        <w:jc w:val="center"/>
        <w:outlineLvl w:val="0"/>
        <w:rPr>
          <w:rFonts w:ascii="Arial" w:hAnsi="Arial" w:cs="Arial"/>
          <w:b/>
          <w:sz w:val="32"/>
          <w:highlight w:val="none"/>
        </w:rPr>
      </w:pPr>
      <w:r>
        <w:rPr>
          <w:rFonts w:ascii="Arial" w:hAnsi="Arial" w:eastAsia="仿宋_GB2312" w:cs="Arial"/>
          <w:sz w:val="28"/>
          <w:highlight w:val="none"/>
        </w:rPr>
        <w:br w:type="page"/>
      </w:r>
      <w:bookmarkStart w:id="260" w:name="_Toc69393399"/>
      <w:bookmarkStart w:id="261" w:name="_Toc416783586"/>
      <w:bookmarkStart w:id="262" w:name="_Toc516488194"/>
      <w:bookmarkStart w:id="263" w:name="_Toc66929524"/>
      <w:bookmarkStart w:id="264" w:name="_Toc524335098"/>
      <w:bookmarkStart w:id="265" w:name="_Toc416783682"/>
      <w:bookmarkStart w:id="266" w:name="_Toc469066164"/>
      <w:bookmarkStart w:id="267" w:name="_Toc515457816"/>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估价对象描述及土地价格影响因素分析</w:t>
      </w:r>
      <w:bookmarkEnd w:id="260"/>
      <w:bookmarkEnd w:id="261"/>
      <w:bookmarkEnd w:id="262"/>
      <w:bookmarkEnd w:id="263"/>
      <w:bookmarkEnd w:id="264"/>
      <w:bookmarkEnd w:id="265"/>
      <w:bookmarkEnd w:id="266"/>
      <w:bookmarkEnd w:id="267"/>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268" w:name="_Toc515457817"/>
      <w:bookmarkStart w:id="269" w:name="_Toc516488195"/>
      <w:bookmarkStart w:id="270" w:name="_Toc416783587"/>
      <w:bookmarkStart w:id="271" w:name="_Toc469066165"/>
      <w:bookmarkStart w:id="272" w:name="_Toc69393400"/>
      <w:bookmarkStart w:id="273" w:name="_Toc524335099"/>
      <w:bookmarkStart w:id="274" w:name="_Toc416783683"/>
      <w:bookmarkStart w:id="275" w:name="_Toc66929525"/>
      <w:r>
        <w:rPr>
          <w:rFonts w:ascii="Arial" w:hAnsi="Arial" w:eastAsia="仿宋_GB2312" w:cs="Arial"/>
          <w:b/>
          <w:sz w:val="28"/>
          <w:highlight w:val="none"/>
        </w:rPr>
        <w:t>一、估价对象描述</w:t>
      </w:r>
      <w:bookmarkEnd w:id="268"/>
      <w:bookmarkEnd w:id="269"/>
      <w:bookmarkEnd w:id="270"/>
      <w:bookmarkEnd w:id="271"/>
      <w:bookmarkEnd w:id="272"/>
      <w:bookmarkEnd w:id="273"/>
      <w:bookmarkEnd w:id="274"/>
      <w:bookmarkEnd w:id="275"/>
    </w:p>
    <w:p>
      <w:pPr>
        <w:spacing w:line="300" w:lineRule="auto"/>
        <w:jc w:val="both"/>
        <w:rPr>
          <w:rFonts w:ascii="Arial" w:hAnsi="Arial" w:eastAsia="仿宋_GB2312" w:cs="Arial"/>
          <w:sz w:val="28"/>
          <w:highlight w:val="none"/>
        </w:rPr>
      </w:pPr>
      <w:bookmarkStart w:id="276" w:name="_Toc416783690"/>
      <w:bookmarkStart w:id="277" w:name="_Toc469066166"/>
      <w:bookmarkStart w:id="278" w:name="_Toc416783594"/>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8号楼1-2层104号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李成岳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101.6894</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李成岳</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101.6894</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其他商服用地）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lang w:eastAsia="zh-CN"/>
        </w:rPr>
        <w:t>2023年6月7日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w:t>
      </w:r>
      <w:r>
        <w:rPr>
          <w:rFonts w:hint="eastAsia" w:ascii="Arial" w:hAnsi="Arial" w:eastAsia="仿宋_GB2312" w:cs="Arial"/>
          <w:sz w:val="28"/>
          <w:szCs w:val="28"/>
          <w:highlight w:val="none"/>
          <w:lang w:eastAsia="zh-CN"/>
        </w:rPr>
        <w:t>估价对象位于其6层</w:t>
      </w:r>
      <w:r>
        <w:rPr>
          <w:rFonts w:hint="eastAsia" w:ascii="Arial" w:hAnsi="Arial" w:eastAsia="仿宋_GB2312" w:cs="Arial"/>
          <w:sz w:val="28"/>
          <w:szCs w:val="28"/>
          <w:highlight w:val="none"/>
        </w:rPr>
        <w:t>；</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ascii="Arial" w:hAnsi="Arial" w:eastAsia="仿宋_GB2312" w:cs="Arial"/>
          <w:sz w:val="28"/>
          <w:szCs w:val="28"/>
          <w:highlight w:val="none"/>
        </w:rPr>
        <w:t>。</w:t>
      </w:r>
    </w:p>
    <w:p>
      <w:pPr>
        <w:snapToGrid w:val="0"/>
        <w:spacing w:line="300" w:lineRule="auto"/>
        <w:ind w:firstLine="560" w:firstLineChars="200"/>
        <w:jc w:val="both"/>
        <w:rPr>
          <w:rFonts w:ascii="Arial" w:hAnsi="Arial" w:eastAsia="仿宋_GB2312" w:cs="Arial"/>
          <w:sz w:val="28"/>
          <w:szCs w:val="28"/>
          <w:highlight w:val="none"/>
        </w:rPr>
      </w:pPr>
    </w:p>
    <w:p>
      <w:pPr>
        <w:spacing w:line="300" w:lineRule="auto"/>
        <w:outlineLvl w:val="1"/>
        <w:rPr>
          <w:rFonts w:ascii="Arial" w:hAnsi="Arial" w:eastAsia="仿宋_GB2312" w:cs="Arial"/>
          <w:b/>
          <w:sz w:val="28"/>
          <w:highlight w:val="none"/>
        </w:rPr>
      </w:pPr>
      <w:bookmarkStart w:id="279" w:name="_Toc524335100"/>
      <w:bookmarkStart w:id="280" w:name="_Toc69393401"/>
      <w:bookmarkStart w:id="281" w:name="_Toc515457818"/>
      <w:bookmarkStart w:id="282" w:name="_Toc66929526"/>
      <w:bookmarkStart w:id="283" w:name="_Toc516488196"/>
      <w:r>
        <w:rPr>
          <w:rFonts w:ascii="Arial" w:hAnsi="Arial" w:eastAsia="仿宋_GB2312" w:cs="Arial"/>
          <w:b/>
          <w:sz w:val="28"/>
          <w:highlight w:val="none"/>
        </w:rPr>
        <w:t>二、地价影响因素分析</w:t>
      </w:r>
      <w:bookmarkEnd w:id="276"/>
      <w:bookmarkEnd w:id="277"/>
      <w:bookmarkEnd w:id="278"/>
      <w:bookmarkEnd w:id="279"/>
      <w:bookmarkEnd w:id="280"/>
      <w:bookmarkEnd w:id="281"/>
      <w:bookmarkEnd w:id="282"/>
      <w:bookmarkEnd w:id="283"/>
    </w:p>
    <w:p>
      <w:pPr>
        <w:spacing w:line="300" w:lineRule="auto"/>
        <w:jc w:val="both"/>
        <w:rPr>
          <w:rFonts w:ascii="Arial" w:hAnsi="Arial" w:eastAsia="仿宋_GB2312"/>
          <w:sz w:val="28"/>
          <w:highlight w:val="none"/>
        </w:rPr>
      </w:pPr>
      <w:bookmarkStart w:id="284" w:name="_Toc69393402"/>
      <w:bookmarkStart w:id="285" w:name="_Toc469066168"/>
      <w:bookmarkStart w:id="286" w:name="_Toc416783695"/>
      <w:bookmarkStart w:id="287" w:name="_Toc515457822"/>
      <w:bookmarkStart w:id="288" w:name="_Toc66929527"/>
      <w:bookmarkStart w:id="289" w:name="_Toc516488204"/>
      <w:bookmarkStart w:id="290" w:name="_Toc416783599"/>
      <w:bookmarkStart w:id="291" w:name="_Toc524335110"/>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widowControl/>
        <w:spacing w:line="300" w:lineRule="auto"/>
        <w:jc w:val="center"/>
        <w:rPr>
          <w:highlight w:val="none"/>
        </w:rPr>
      </w:pPr>
      <w:r>
        <w:rPr>
          <w:highlight w:val="none"/>
        </w:rPr>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r>
        <w:rPr>
          <w:rFonts w:ascii="Arial" w:hAnsi="Arial" w:eastAsia="仿宋_GB2312" w:cs="Arial"/>
          <w:sz w:val="28"/>
          <w:szCs w:val="28"/>
          <w:highlight w:val="none"/>
        </w:rPr>
        <w:t>。</w:t>
      </w:r>
    </w:p>
    <w:p>
      <w:pPr>
        <w:widowControl/>
        <w:adjustRightInd/>
        <w:spacing w:line="300" w:lineRule="auto"/>
        <w:textAlignment w:val="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jc w:val="center"/>
        <w:outlineLvl w:val="0"/>
        <w:rPr>
          <w:rFonts w:ascii="Arial" w:hAnsi="Arial" w:cs="Arial"/>
          <w:sz w:val="32"/>
          <w:highlight w:val="none"/>
        </w:rPr>
      </w:pPr>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w:t>
      </w:r>
      <w:bookmarkEnd w:id="284"/>
      <w:bookmarkEnd w:id="285"/>
      <w:bookmarkEnd w:id="286"/>
      <w:bookmarkEnd w:id="287"/>
      <w:bookmarkEnd w:id="288"/>
      <w:bookmarkEnd w:id="289"/>
      <w:bookmarkEnd w:id="290"/>
      <w:bookmarkEnd w:id="291"/>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sz w:val="28"/>
          <w:highlight w:val="none"/>
        </w:rPr>
      </w:pPr>
      <w:bookmarkStart w:id="292" w:name="_Toc469066169"/>
      <w:bookmarkStart w:id="293" w:name="_Toc416783600"/>
      <w:bookmarkStart w:id="294" w:name="_Toc515457823"/>
      <w:bookmarkStart w:id="295" w:name="_Toc516488205"/>
      <w:bookmarkStart w:id="296" w:name="_Toc524335111"/>
      <w:bookmarkStart w:id="297" w:name="_Toc66929528"/>
      <w:bookmarkStart w:id="298" w:name="_Toc69393403"/>
      <w:bookmarkStart w:id="299" w:name="_Toc416783696"/>
      <w:r>
        <w:rPr>
          <w:rFonts w:ascii="Arial" w:hAnsi="Arial" w:eastAsia="仿宋_GB2312" w:cs="Arial"/>
          <w:b/>
          <w:sz w:val="28"/>
          <w:highlight w:val="none"/>
        </w:rPr>
        <w:t>一、估价原则</w:t>
      </w:r>
      <w:bookmarkEnd w:id="292"/>
      <w:bookmarkEnd w:id="293"/>
      <w:bookmarkEnd w:id="294"/>
      <w:bookmarkEnd w:id="295"/>
      <w:bookmarkEnd w:id="296"/>
      <w:bookmarkEnd w:id="297"/>
      <w:bookmarkEnd w:id="298"/>
      <w:bookmarkEnd w:id="299"/>
    </w:p>
    <w:p>
      <w:pPr>
        <w:spacing w:line="300" w:lineRule="auto"/>
        <w:ind w:firstLine="560" w:firstLineChars="200"/>
        <w:jc w:val="both"/>
        <w:rPr>
          <w:rFonts w:ascii="Arial" w:hAnsi="Arial" w:eastAsia="仿宋" w:cs="Arial"/>
          <w:sz w:val="28"/>
          <w:szCs w:val="28"/>
          <w:highlight w:val="none"/>
        </w:rPr>
      </w:pPr>
      <w:bookmarkStart w:id="300" w:name="_Toc69393404"/>
      <w:bookmarkStart w:id="301" w:name="_Toc66929529"/>
      <w:bookmarkStart w:id="302" w:name="_Toc516488206"/>
      <w:bookmarkStart w:id="303" w:name="_Toc416783697"/>
      <w:bookmarkStart w:id="304" w:name="_Toc416783601"/>
      <w:bookmarkStart w:id="305" w:name="_Toc469066170"/>
      <w:bookmarkStart w:id="306" w:name="_Toc515457824"/>
      <w:bookmarkStart w:id="307" w:name="_Toc524335112"/>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2.最有效利用原则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3.预期收益原则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4.供需原则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5.贡献原则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jc w:val="both"/>
        <w:outlineLvl w:val="1"/>
        <w:rPr>
          <w:rFonts w:ascii="Arial" w:hAnsi="Arial" w:eastAsia="仿宋" w:cs="Arial"/>
          <w:sz w:val="28"/>
          <w:szCs w:val="28"/>
          <w:highlight w:val="none"/>
        </w:rPr>
      </w:pPr>
    </w:p>
    <w:p>
      <w:pPr>
        <w:spacing w:line="300" w:lineRule="auto"/>
        <w:jc w:val="both"/>
        <w:outlineLvl w:val="1"/>
        <w:rPr>
          <w:rFonts w:ascii="Arial" w:hAnsi="Arial" w:eastAsia="仿宋_GB2312" w:cs="Arial"/>
          <w:b/>
          <w:sz w:val="28"/>
          <w:highlight w:val="none"/>
        </w:rPr>
      </w:pPr>
      <w:r>
        <w:rPr>
          <w:rFonts w:ascii="Arial" w:hAnsi="Arial" w:eastAsia="仿宋_GB2312" w:cs="Arial"/>
          <w:b/>
          <w:sz w:val="28"/>
          <w:highlight w:val="none"/>
        </w:rPr>
        <w:t>二、估价方法与估价过程</w:t>
      </w:r>
      <w:bookmarkEnd w:id="300"/>
      <w:bookmarkEnd w:id="301"/>
      <w:bookmarkEnd w:id="302"/>
      <w:bookmarkEnd w:id="303"/>
      <w:bookmarkEnd w:id="304"/>
      <w:bookmarkEnd w:id="305"/>
      <w:bookmarkEnd w:id="306"/>
      <w:bookmarkEnd w:id="307"/>
    </w:p>
    <w:p>
      <w:pPr>
        <w:spacing w:line="300" w:lineRule="auto"/>
        <w:ind w:firstLine="560" w:firstLineChars="200"/>
        <w:jc w:val="both"/>
        <w:rPr>
          <w:rFonts w:ascii="Arial" w:hAnsi="Arial" w:eastAsia="仿宋" w:cs="Arial"/>
          <w:sz w:val="28"/>
          <w:szCs w:val="28"/>
          <w:highlight w:val="none"/>
        </w:rPr>
      </w:pPr>
      <w:bookmarkStart w:id="308" w:name="_Toc416783698"/>
      <w:bookmarkStart w:id="309" w:name="_Toc416783602"/>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br w:type="page"/>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（二）估价过程</w:t>
      </w:r>
      <w:bookmarkEnd w:id="308"/>
      <w:bookmarkEnd w:id="309"/>
    </w:p>
    <w:p>
      <w:pPr>
        <w:pStyle w:val="55"/>
        <w:autoSpaceDE w:val="0"/>
        <w:autoSpaceDN w:val="0"/>
        <w:spacing w:line="300" w:lineRule="auto"/>
        <w:ind w:right="140" w:firstLine="562" w:firstLineChars="200"/>
        <w:jc w:val="both"/>
        <w:textAlignment w:val="bottom"/>
        <w:rPr>
          <w:rFonts w:ascii="Arial" w:hAnsi="Arial" w:eastAsia="仿宋_GB2312" w:cs="Arial"/>
          <w:b/>
          <w:sz w:val="28"/>
          <w:highlight w:val="none"/>
        </w:rPr>
      </w:pPr>
      <w:r>
        <w:rPr>
          <w:rFonts w:ascii="Arial" w:hAnsi="Arial" w:eastAsia="仿宋_GB2312" w:cs="Arial"/>
          <w:b/>
          <w:sz w:val="28"/>
          <w:highlight w:val="none"/>
        </w:rPr>
        <w:t>相关参数</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1.估价对象土地经济技术指标</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（1）土地面积</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估价对象为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w:t>
      </w:r>
      <w:r>
        <w:rPr>
          <w:rFonts w:ascii="Arial" w:hAnsi="Arial" w:eastAsia="仿宋_GB2312" w:cs="Arial"/>
          <w:sz w:val="28"/>
          <w:highlight w:val="none"/>
        </w:rPr>
        <w:t>。</w:t>
      </w:r>
      <w:r>
        <w:rPr>
          <w:rFonts w:hint="eastAsia" w:ascii="Arial" w:hAnsi="Arial" w:eastAsia="仿宋_GB2312" w:cs="Arial"/>
          <w:spacing w:val="-12"/>
          <w:sz w:val="28"/>
          <w:highlight w:val="none"/>
        </w:rPr>
        <w:t>根据《土地权属审查告知书》[</w:t>
      </w:r>
      <w:r>
        <w:rPr>
          <w:rFonts w:hint="eastAsia" w:ascii="Arial" w:hAnsi="Arial" w:eastAsia="仿宋_GB2312" w:cs="Arial"/>
          <w:spacing w:val="-12"/>
          <w:sz w:val="28"/>
          <w:highlight w:val="none"/>
          <w:lang w:eastAsia="zh-CN"/>
        </w:rPr>
        <w:t>密权属审〔2023〕字第020号</w:t>
      </w:r>
      <w:r>
        <w:rPr>
          <w:rFonts w:hint="eastAsia" w:ascii="Arial" w:hAnsi="Arial" w:eastAsia="仿宋_GB2312" w:cs="Arial"/>
          <w:spacing w:val="-12"/>
          <w:sz w:val="28"/>
          <w:highlight w:val="none"/>
        </w:rPr>
        <w:t>]及《国有建设用地使用权出让地价评估委托书》，估价对象分摊土地使用权面积为</w:t>
      </w:r>
      <w:r>
        <w:rPr>
          <w:rFonts w:hint="eastAsia" w:ascii="Arial" w:hAnsi="Arial" w:eastAsia="仿宋_GB2312" w:cs="Arial"/>
          <w:spacing w:val="-12"/>
          <w:sz w:val="28"/>
          <w:highlight w:val="none"/>
          <w:lang w:eastAsia="zh-CN"/>
        </w:rPr>
        <w:t>101.6894</w:t>
      </w:r>
      <w:r>
        <w:rPr>
          <w:rFonts w:hint="eastAsia" w:ascii="Arial" w:hAnsi="Arial" w:eastAsia="仿宋_GB2312" w:cs="Arial"/>
          <w:spacing w:val="-12"/>
          <w:sz w:val="28"/>
          <w:highlight w:val="none"/>
        </w:rPr>
        <w:t>平方米，用途为商业。</w:t>
      </w:r>
    </w:p>
    <w:p>
      <w:pPr>
        <w:pStyle w:val="55"/>
        <w:autoSpaceDE w:val="0"/>
        <w:autoSpaceDN w:val="0"/>
        <w:spacing w:line="300" w:lineRule="auto"/>
        <w:ind w:right="140"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（2）规划建筑面积</w:t>
      </w:r>
    </w:p>
    <w:p>
      <w:pPr>
        <w:snapToGrid w:val="0"/>
        <w:spacing w:line="300" w:lineRule="auto"/>
        <w:ind w:firstLine="560" w:firstLineChars="200"/>
        <w:jc w:val="both"/>
        <w:rPr>
          <w:rFonts w:hint="eastAsia" w:ascii="Arial" w:hAnsi="Arial" w:eastAsia="仿宋_GB2312" w:cs="Arial"/>
          <w:sz w:val="28"/>
          <w:szCs w:val="28"/>
          <w:highlight w:val="none"/>
          <w:lang w:val="en-US" w:eastAsia="zh-CN"/>
        </w:rPr>
      </w:pP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pStyle w:val="55"/>
        <w:autoSpaceDE w:val="0"/>
        <w:autoSpaceDN w:val="0"/>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（3）利润率</w:t>
      </w:r>
    </w:p>
    <w:p>
      <w:pPr>
        <w:pStyle w:val="55"/>
        <w:autoSpaceDE w:val="0"/>
        <w:autoSpaceDN w:val="0"/>
        <w:spacing w:line="300" w:lineRule="auto"/>
        <w:ind w:right="142"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本次利润率的计取中，</w:t>
      </w:r>
      <w:r>
        <w:rPr>
          <w:rFonts w:hint="eastAsia" w:ascii="Arial" w:hAnsi="Arial" w:eastAsia="仿宋_GB2312" w:cs="Arial"/>
          <w:sz w:val="28"/>
          <w:highlight w:val="none"/>
        </w:rPr>
        <w:t>商业</w:t>
      </w:r>
      <w:r>
        <w:rPr>
          <w:rFonts w:ascii="Arial" w:hAnsi="Arial" w:eastAsia="仿宋_GB2312" w:cs="Arial"/>
          <w:sz w:val="28"/>
          <w:highlight w:val="none"/>
        </w:rPr>
        <w:t>用房取</w:t>
      </w:r>
      <w:r>
        <w:rPr>
          <w:rFonts w:hint="eastAsia" w:ascii="Arial" w:hAnsi="Arial" w:eastAsia="仿宋_GB2312" w:cs="Arial"/>
          <w:sz w:val="28"/>
          <w:highlight w:val="none"/>
        </w:rPr>
        <w:t>2</w:t>
      </w:r>
      <w:r>
        <w:rPr>
          <w:rFonts w:ascii="Arial" w:hAnsi="Arial" w:eastAsia="仿宋_GB2312" w:cs="Arial"/>
          <w:sz w:val="28"/>
          <w:highlight w:val="none"/>
        </w:rPr>
        <w:t xml:space="preserve">0%。 </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2.工期情况说明：</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土地开发期：</w:t>
      </w:r>
      <w:r>
        <w:rPr>
          <w:rFonts w:hint="eastAsia" w:ascii="Arial" w:hAnsi="Arial" w:eastAsia="仿宋_GB2312" w:cs="Arial"/>
          <w:sz w:val="28"/>
          <w:highlight w:val="none"/>
        </w:rPr>
        <w:t>1</w:t>
      </w:r>
      <w:r>
        <w:rPr>
          <w:rFonts w:ascii="Arial" w:hAnsi="Arial" w:eastAsia="仿宋_GB2312" w:cs="Arial"/>
          <w:sz w:val="28"/>
          <w:highlight w:val="none"/>
        </w:rPr>
        <w:t>年</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建筑物建设期：</w:t>
      </w:r>
      <w:r>
        <w:rPr>
          <w:rFonts w:hint="eastAsia" w:ascii="Arial" w:hAnsi="Arial" w:eastAsia="仿宋_GB2312" w:cs="Arial"/>
          <w:sz w:val="28"/>
          <w:highlight w:val="none"/>
        </w:rPr>
        <w:t>1</w:t>
      </w:r>
      <w:r>
        <w:rPr>
          <w:rFonts w:ascii="Arial" w:hAnsi="Arial" w:eastAsia="仿宋_GB2312" w:cs="Arial"/>
          <w:sz w:val="28"/>
          <w:highlight w:val="none"/>
        </w:rPr>
        <w:t>年</w:t>
      </w:r>
    </w:p>
    <w:p>
      <w:pPr>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br w:type="page"/>
      </w:r>
    </w:p>
    <w:p>
      <w:pPr>
        <w:snapToGrid w:val="0"/>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t>测算过程：</w:t>
      </w:r>
    </w:p>
    <w:p>
      <w:pPr>
        <w:snapToGrid w:val="0"/>
        <w:spacing w:line="300" w:lineRule="auto"/>
        <w:ind w:firstLine="562" w:firstLineChars="200"/>
        <w:jc w:val="both"/>
        <w:rPr>
          <w:rFonts w:ascii="Arial" w:hAnsi="Arial" w:eastAsia="仿宋_GB2312" w:cs="Arial"/>
          <w:b/>
          <w:sz w:val="28"/>
          <w:highlight w:val="none"/>
        </w:rPr>
      </w:pPr>
      <w:r>
        <w:rPr>
          <w:rFonts w:hint="eastAsia" w:ascii="Arial" w:hAnsi="Arial" w:eastAsia="仿宋_GB2312" w:cs="Arial"/>
          <w:b/>
          <w:sz w:val="28"/>
          <w:highlight w:val="none"/>
        </w:rPr>
        <w:t>一、出让国有建设用地使用权价格</w:t>
      </w:r>
    </w:p>
    <w:p>
      <w:pPr>
        <w:spacing w:line="300" w:lineRule="auto"/>
        <w:ind w:left="420"/>
        <w:jc w:val="both"/>
        <w:rPr>
          <w:rFonts w:ascii="Arial" w:hAnsi="Arial" w:eastAsia="仿宋_GB2312" w:cs="Arial"/>
          <w:b/>
          <w:bCs/>
          <w:sz w:val="28"/>
          <w:highlight w:val="none"/>
        </w:rPr>
      </w:pPr>
      <w:bookmarkStart w:id="310" w:name="_Toc416783706"/>
      <w:bookmarkStart w:id="311" w:name="_Toc469066172"/>
      <w:bookmarkStart w:id="312" w:name="_Toc416783610"/>
      <w:r>
        <w:rPr>
          <w:rFonts w:ascii="Arial" w:hAnsi="Arial" w:eastAsia="仿宋_GB2312" w:cs="Arial"/>
          <w:b/>
          <w:sz w:val="28"/>
          <w:highlight w:val="none"/>
        </w:rPr>
        <w:t>方法一：</w:t>
      </w:r>
      <w:r>
        <w:rPr>
          <w:rFonts w:ascii="Arial" w:hAnsi="Arial" w:eastAsia="仿宋_GB2312" w:cs="Arial"/>
          <w:b/>
          <w:bCs/>
          <w:sz w:val="28"/>
          <w:highlight w:val="none"/>
        </w:rPr>
        <w:t>基准地价系数修正法</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2022年3月14日，北京市人民政府印发了《北京市人民政府关于更新出让国有建设用地使用权基准地价的通知》（京政发</w:t>
      </w:r>
      <w:r>
        <w:rPr>
          <w:rFonts w:hint="eastAsia" w:ascii="Arial" w:hAnsi="Arial" w:eastAsia="仿宋" w:cs="Arial"/>
          <w:sz w:val="28"/>
          <w:highlight w:val="none"/>
        </w:rPr>
        <w:t>[</w:t>
      </w:r>
      <w:r>
        <w:rPr>
          <w:rFonts w:ascii="Arial" w:hAnsi="Arial" w:eastAsia="仿宋" w:cs="Arial"/>
          <w:sz w:val="28"/>
          <w:highlight w:val="none"/>
        </w:rPr>
        <w:t>2022</w:t>
      </w:r>
      <w:r>
        <w:rPr>
          <w:rFonts w:hint="eastAsia" w:ascii="Arial" w:hAnsi="Arial" w:eastAsia="仿宋" w:cs="Arial"/>
          <w:sz w:val="28"/>
          <w:highlight w:val="none"/>
        </w:rPr>
        <w:t>]</w:t>
      </w:r>
      <w:r>
        <w:rPr>
          <w:rFonts w:ascii="Arial" w:hAnsi="Arial" w:eastAsia="仿宋" w:cs="Arial"/>
          <w:sz w:val="28"/>
          <w:highlight w:val="none"/>
        </w:rPr>
        <w:t>12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基准地价成果属于政府公示地价，作为确定国有建设用地使用权出让价格审定、国有建设用地租赁租金审定、企业改制土地资产价格处置等依据之一。其他情形参照执行。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《北京市出让国有建设用地使用权基准地价更新成果》包括基准地价基本内容、基准地价表、基准地价级别（区片）范围说明、基准地价应用说明等。</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）或宗地外通路、通电、通讯、通上水、通下水及宗地内平整（简称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），在平均容积率条件下，各土地用途的法定最高出让年限条件下国有建设用地使用权的平均价格。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基准地价的基准期日为2021年1月1日；土地用途划分为商业、办公、住宅、工业、公共服务五类；级别基准地价土地开发程度一至七级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），八至十二级为宗地外通路、通电、通讯、通上水、通下水及宗地内平整（简称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1049"/>
        <w:gridCol w:w="1049"/>
        <w:gridCol w:w="1731"/>
        <w:gridCol w:w="1842"/>
        <w:gridCol w:w="1865"/>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300" w:lineRule="auto"/>
              <w:ind w:firstLine="900" w:firstLineChars="500"/>
              <w:jc w:val="right"/>
              <w:textAlignment w:val="auto"/>
              <w:rPr>
                <w:rFonts w:ascii="Arial" w:hAnsi="Arial" w:eastAsia="仿宋" w:cs="Arial"/>
                <w:sz w:val="18"/>
                <w:szCs w:val="22"/>
                <w:highlight w:val="none"/>
              </w:rPr>
            </w:pPr>
            <w:r>
              <w:rPr>
                <w:rFonts w:ascii="Arial" w:hAnsi="Arial" w:eastAsia="仿宋" w:cs="Arial"/>
                <w:sz w:val="18"/>
                <w:szCs w:val="22"/>
                <w:highlight w:val="none"/>
              </w:rPr>
              <w:t>土地级别</w:t>
            </w:r>
          </w:p>
          <w:p>
            <w:pPr>
              <w:spacing w:line="300" w:lineRule="auto"/>
              <w:rPr>
                <w:rFonts w:ascii="Arial" w:hAnsi="Arial" w:eastAsia="仿宋" w:cs="Arial"/>
                <w:sz w:val="18"/>
                <w:szCs w:val="22"/>
                <w:highlight w:val="none"/>
              </w:rPr>
            </w:pPr>
            <w:r>
              <w:rPr>
                <w:rFonts w:ascii="Arial" w:hAnsi="Arial" w:eastAsia="仿宋" w:cs="Arial"/>
                <w:sz w:val="18"/>
                <w:szCs w:val="22"/>
                <w:highlight w:val="none"/>
              </w:rPr>
              <w:t>土地用途</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一级至二级</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三级至五级</w:t>
            </w:r>
          </w:p>
        </w:tc>
        <w:tc>
          <w:tcPr>
            <w:tcW w:w="1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商业类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办公类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住宅类</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工业类</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M4</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一般类</w:t>
            </w:r>
          </w:p>
        </w:tc>
        <w:tc>
          <w:tcPr>
            <w:tcW w:w="3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1.2</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1.0</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公共服务类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2.5 </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1.5 </w:t>
            </w:r>
          </w:p>
        </w:tc>
      </w:tr>
    </w:tbl>
    <w:p>
      <w:pPr>
        <w:pStyle w:val="11"/>
        <w:adjustRightInd w:val="0"/>
        <w:snapToGrid w:val="0"/>
        <w:spacing w:line="240" w:lineRule="exact"/>
        <w:ind w:firstLine="360" w:firstLineChars="200"/>
        <w:rPr>
          <w:rFonts w:ascii="Arial" w:hAnsi="Arial" w:eastAsia="仿宋" w:cs="Arial"/>
          <w:sz w:val="18"/>
          <w:szCs w:val="18"/>
          <w:highlight w:val="none"/>
        </w:rPr>
      </w:pP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基准地价的表示形式为楼面熟地价。楼面熟地价是指各土地级别（区片）内，在设定土地开发程度和平均容积率条件下，每建筑面积分摊的国有建设用地使用权的平均价格。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25%确定，参照工业类基准地价的，政府土地出让收益按照政府审定楼面熟地价的15%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2.计算公式如下：</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地上部分</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楼面熟地价＝适用的基准地价×用途修正系数×期日修正系数×年期修正系数×容积率修正系数（或楼层修正系数）×因素修正系数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政府土地出让收益＝楼面熟地价×政府土地出让收益比例</w:t>
      </w:r>
    </w:p>
    <w:p>
      <w:pPr>
        <w:pStyle w:val="51"/>
        <w:numPr>
          <w:ilvl w:val="0"/>
          <w:numId w:val="6"/>
        </w:numPr>
        <w:overflowPunct w:val="0"/>
        <w:spacing w:line="300" w:lineRule="auto"/>
        <w:ind w:firstLineChars="0"/>
        <w:jc w:val="both"/>
        <w:textAlignment w:val="auto"/>
        <w:rPr>
          <w:rFonts w:ascii="Arial" w:hAnsi="Arial" w:eastAsia="仿宋_GB2312" w:cs="Arial"/>
          <w:sz w:val="28"/>
          <w:highlight w:val="none"/>
        </w:rPr>
      </w:pPr>
      <w:r>
        <w:rPr>
          <w:rFonts w:ascii="Arial" w:hAnsi="Arial" w:eastAsia="仿宋_GB2312" w:cs="Arial"/>
          <w:sz w:val="28"/>
          <w:highlight w:val="none"/>
        </w:rPr>
        <w:t>测算过程</w:t>
      </w:r>
    </w:p>
    <w:p>
      <w:pPr>
        <w:spacing w:line="300" w:lineRule="auto"/>
        <w:ind w:left="142" w:firstLine="424" w:firstLineChars="151"/>
        <w:jc w:val="both"/>
        <w:rPr>
          <w:rFonts w:ascii="Arial" w:hAnsi="Arial" w:eastAsia="仿宋_GB2312" w:cs="Arial"/>
          <w:b/>
          <w:sz w:val="28"/>
          <w:highlight w:val="none"/>
        </w:rPr>
      </w:pPr>
      <w:r>
        <w:rPr>
          <w:rFonts w:ascii="Arial" w:hAnsi="Arial" w:eastAsia="仿宋_GB2312" w:cs="Arial"/>
          <w:b/>
          <w:sz w:val="28"/>
          <w:highlight w:val="none"/>
        </w:rPr>
        <w:t>（1）求取估价对象</w:t>
      </w:r>
      <w:r>
        <w:rPr>
          <w:rFonts w:hint="eastAsia" w:ascii="Arial" w:hAnsi="Arial" w:eastAsia="仿宋_GB2312" w:cs="Arial"/>
          <w:b/>
          <w:sz w:val="28"/>
          <w:highlight w:val="none"/>
        </w:rPr>
        <w:t>商业</w:t>
      </w:r>
      <w:r>
        <w:rPr>
          <w:rFonts w:ascii="Arial" w:hAnsi="Arial" w:eastAsia="仿宋_GB2312" w:cs="Arial"/>
          <w:b/>
          <w:sz w:val="28"/>
          <w:highlight w:val="none"/>
        </w:rPr>
        <w:t>用房楼面熟地价</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1）宗地适用基准地价水平的确定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（A）</w:t>
      </w:r>
      <w:r>
        <w:rPr>
          <w:rFonts w:hint="eastAsia" w:ascii="Arial" w:hAnsi="Arial" w:eastAsia="仿宋_GB2312" w:cs="Arial"/>
          <w:sz w:val="28"/>
          <w:highlight w:val="none"/>
        </w:rPr>
        <w:t>估价对象用途为商业，位于北京市密云区西门外大街，参照《北京市基准地价级别（区片）图》及《北京市基准地价级别（区片）范围文字说明》，估价对象地处</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hint="eastAsia" w:ascii="Arial" w:hAnsi="Arial" w:eastAsia="仿宋_GB2312" w:cs="Arial"/>
          <w:sz w:val="28"/>
          <w:highlight w:val="none"/>
        </w:rPr>
        <w:t>级地价区，属</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hint="eastAsia" w:ascii="Arial" w:hAnsi="Arial" w:eastAsia="仿宋_GB2312" w:cs="Arial"/>
          <w:sz w:val="28"/>
          <w:highlight w:val="none"/>
        </w:rPr>
        <w:t>片。</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_GB2312" w:cs="Arial"/>
          <w:sz w:val="28"/>
          <w:highlight w:val="none"/>
        </w:rPr>
        <w:t>北京市区片基准地价详见下表：</w:t>
      </w:r>
    </w:p>
    <w:p>
      <w:pPr>
        <w:pStyle w:val="12"/>
        <w:spacing w:line="300" w:lineRule="auto"/>
        <w:ind w:firstLine="0"/>
        <w:jc w:val="center"/>
        <w:rPr>
          <w:rFonts w:ascii="Arial" w:hAnsi="Arial" w:eastAsia="方正黑体简体"/>
          <w:sz w:val="24"/>
          <w:highlight w:val="none"/>
        </w:rPr>
      </w:pPr>
      <w:r>
        <w:rPr>
          <w:rFonts w:hint="eastAsia" w:ascii="Arial" w:hAnsi="Arial" w:eastAsia="方正黑体简体"/>
          <w:sz w:val="24"/>
          <w:highlight w:val="none"/>
        </w:rPr>
        <w:t>北京市区片基准地价表（楼面地价）</w:t>
      </w:r>
    </w:p>
    <w:p>
      <w:pPr>
        <w:pStyle w:val="12"/>
        <w:spacing w:line="300" w:lineRule="auto"/>
        <w:ind w:firstLine="0"/>
        <w:rPr>
          <w:rFonts w:ascii="Arial" w:hAnsi="Arial" w:eastAsia="方正黑体简体"/>
          <w:b/>
          <w:sz w:val="24"/>
          <w:highlight w:val="none"/>
        </w:rPr>
      </w:pPr>
      <w:r>
        <w:rPr>
          <w:rFonts w:hint="eastAsia" w:ascii="Arial" w:hAnsi="Arial" w:eastAsia="华文细黑"/>
          <w:sz w:val="18"/>
          <w:szCs w:val="24"/>
          <w:highlight w:val="none"/>
        </w:rPr>
        <w:t>基准日期：2021年1月1日                                                             单位：元/平方米</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15"/>
        <w:gridCol w:w="1803"/>
        <w:gridCol w:w="1222"/>
        <w:gridCol w:w="1222"/>
        <w:gridCol w:w="1222"/>
        <w:gridCol w:w="122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restar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用途</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continue"/>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8720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8440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8900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b/>
                <w:bCs/>
                <w:sz w:val="18"/>
                <w:szCs w:val="18"/>
                <w:highlight w:val="none"/>
              </w:rPr>
            </w:pPr>
            <w:r>
              <w:rPr>
                <w:rFonts w:ascii="Arial" w:hAnsi="Arial" w:eastAsia="仿宋" w:cs="Arial"/>
                <w:color w:val="000000"/>
                <w:sz w:val="18"/>
                <w:szCs w:val="18"/>
                <w:highlight w:val="none"/>
                <w:lang w:bidi="ar"/>
              </w:rPr>
              <w:t>9040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7740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8290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1290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1150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keepNext w:val="0"/>
        <w:keepLines w:val="0"/>
        <w:pageBreakBefore w:val="0"/>
        <w:widowControl w:val="0"/>
        <w:kinsoku/>
        <w:wordWrap/>
        <w:overflowPunct w:val="0"/>
        <w:topLinePunct w:val="0"/>
        <w:autoSpaceDE/>
        <w:autoSpaceDN/>
        <w:bidi w:val="0"/>
        <w:adjustRightInd w:val="0"/>
        <w:snapToGrid w:val="0"/>
        <w:spacing w:line="240" w:lineRule="exact"/>
        <w:ind w:firstLine="360" w:firstLineChars="200"/>
        <w:jc w:val="both"/>
        <w:textAlignment w:val="auto"/>
        <w:rPr>
          <w:rFonts w:ascii="Arial" w:hAnsi="Arial" w:eastAsia="仿宋_GB2312" w:cs="Arial"/>
          <w:sz w:val="18"/>
          <w:szCs w:val="18"/>
          <w:highlight w:val="none"/>
        </w:rPr>
      </w:pP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eastAsia="zh-CN"/>
        </w:rPr>
      </w:pPr>
      <w:r>
        <w:rPr>
          <w:rFonts w:ascii="Arial" w:hAnsi="Arial" w:eastAsia="仿宋_GB2312" w:cs="Arial"/>
          <w:sz w:val="28"/>
          <w:highlight w:val="none"/>
        </w:rPr>
        <w:t>则</w:t>
      </w:r>
      <w:r>
        <w:rPr>
          <w:rFonts w:ascii="Arial" w:hAnsi="Arial" w:eastAsia="仿宋_GB2312" w:cs="Arial"/>
          <w:sz w:val="28"/>
          <w:szCs w:val="21"/>
          <w:highlight w:val="none"/>
        </w:rPr>
        <w:t>估价对象所在</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w:t>
      </w:r>
      <w:r>
        <w:rPr>
          <w:rFonts w:ascii="Arial" w:hAnsi="Arial" w:eastAsia="仿宋_GB2312" w:cs="Arial"/>
          <w:sz w:val="28"/>
          <w:szCs w:val="21"/>
          <w:highlight w:val="none"/>
        </w:rPr>
        <w:t>的区片基准地价为</w:t>
      </w:r>
      <w:r>
        <w:rPr>
          <w:rFonts w:hint="eastAsia" w:ascii="Arial" w:hAnsi="Arial" w:eastAsia="仿宋_GB2312" w:cs="Arial"/>
          <w:sz w:val="28"/>
          <w:szCs w:val="21"/>
          <w:highlight w:val="none"/>
        </w:rPr>
        <w:t>6850</w:t>
      </w:r>
      <w:r>
        <w:rPr>
          <w:rFonts w:ascii="Arial" w:hAnsi="Arial" w:eastAsia="仿宋_GB2312" w:cs="Arial"/>
          <w:sz w:val="28"/>
          <w:szCs w:val="21"/>
          <w:highlight w:val="none"/>
        </w:rPr>
        <w:t>元/平方米。</w:t>
      </w:r>
      <w:r>
        <w:rPr>
          <w:rFonts w:hint="eastAsia" w:ascii="Arial" w:hAnsi="Arial" w:eastAsia="仿宋_GB2312" w:cs="Arial"/>
          <w:sz w:val="28"/>
          <w:szCs w:val="21"/>
          <w:highlight w:val="none"/>
          <w:lang w:eastAsia="zh-CN"/>
        </w:rPr>
        <w:t>即：</w:t>
      </w: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eastAsia="zh-CN"/>
        </w:rPr>
      </w:pPr>
      <w:r>
        <w:rPr>
          <w:rFonts w:hint="eastAsia" w:ascii="Arial" w:hAnsi="Arial" w:eastAsia="仿宋_GB2312" w:cs="Arial"/>
          <w:sz w:val="28"/>
          <w:szCs w:val="21"/>
          <w:highlight w:val="none"/>
          <w:lang w:eastAsia="zh-CN"/>
        </w:rPr>
        <w:t>估价对象</w:t>
      </w:r>
      <w:r>
        <w:rPr>
          <w:rFonts w:hint="eastAsia" w:ascii="Arial" w:hAnsi="Arial" w:eastAsia="仿宋_GB2312" w:cs="Arial"/>
          <w:sz w:val="28"/>
          <w:szCs w:val="21"/>
          <w:highlight w:val="none"/>
          <w:lang w:val="en-US" w:eastAsia="zh-CN"/>
        </w:rPr>
        <w:t>的</w:t>
      </w:r>
      <w:r>
        <w:rPr>
          <w:rFonts w:ascii="Arial" w:hAnsi="Arial" w:eastAsia="仿宋_GB2312" w:cs="Arial"/>
          <w:sz w:val="28"/>
          <w:szCs w:val="21"/>
          <w:highlight w:val="none"/>
        </w:rPr>
        <w:t>区片基准地价为</w:t>
      </w:r>
      <w:r>
        <w:rPr>
          <w:rFonts w:hint="eastAsia" w:ascii="Arial" w:hAnsi="Arial" w:eastAsia="仿宋_GB2312" w:cs="Arial"/>
          <w:sz w:val="28"/>
          <w:szCs w:val="21"/>
          <w:highlight w:val="none"/>
        </w:rPr>
        <w:t>6850</w:t>
      </w:r>
      <w:r>
        <w:rPr>
          <w:rFonts w:ascii="Arial" w:hAnsi="Arial" w:eastAsia="仿宋_GB2312" w:cs="Arial"/>
          <w:sz w:val="28"/>
          <w:szCs w:val="21"/>
          <w:highlight w:val="none"/>
        </w:rPr>
        <w:t>元/平方米</w:t>
      </w:r>
      <w:r>
        <w:rPr>
          <w:rFonts w:hint="eastAsia" w:ascii="Arial" w:hAnsi="Arial" w:eastAsia="仿宋_GB2312" w:cs="Arial"/>
          <w:sz w:val="28"/>
          <w:szCs w:val="21"/>
          <w:highlight w:val="none"/>
          <w:lang w:eastAsia="zh-CN"/>
        </w:rPr>
        <w:t>。</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（B）特殊情况修正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a.商业路线价修正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估价对象位于北京市密云区西门外大街，不临《北京市出让国有建设用地使用权基准地价更新成果》中所列65条商业街。故此项不做修正。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b.土地开发程度修正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估价对象设定宗地土地开发程度为宗地红线外“七通一平”（</w:t>
      </w:r>
      <w:r>
        <w:rPr>
          <w:rFonts w:ascii="Arial" w:hAnsi="Arial" w:eastAsia="仿宋" w:cs="Arial"/>
          <w:sz w:val="28"/>
          <w:szCs w:val="28"/>
          <w:highlight w:val="none"/>
        </w:rPr>
        <w:t>即通路、通上水、通下水、通电、通讯、通热、通燃气</w:t>
      </w:r>
      <w:r>
        <w:rPr>
          <w:rFonts w:hint="eastAsia" w:ascii="Arial" w:hAnsi="Arial" w:eastAsia="仿宋_GB2312" w:cs="Arial"/>
          <w:sz w:val="28"/>
          <w:szCs w:val="21"/>
          <w:highlight w:val="none"/>
        </w:rPr>
        <w:t>），估价对象所在区域为八级地价区，级别基准地价土地开发程度为“五通一平”（即通路、通电、通讯、通上水、通下水），相应用途级别平均容积率为2。估价对象设定状况与级别开发程度不一致，需进行修正。修正表如下：</w:t>
      </w:r>
    </w:p>
    <w:p>
      <w:pPr>
        <w:spacing w:line="300" w:lineRule="exact"/>
        <w:jc w:val="center"/>
        <w:rPr>
          <w:rFonts w:ascii="Arial" w:hAnsi="Arial" w:eastAsia="方正黑体简体" w:cs="宋体"/>
          <w:bCs/>
          <w:color w:val="000000"/>
          <w:szCs w:val="24"/>
          <w:highlight w:val="none"/>
        </w:rPr>
      </w:pPr>
      <w:r>
        <w:rPr>
          <w:rFonts w:hint="eastAsia" w:ascii="Arial" w:hAnsi="Arial" w:eastAsia="方正黑体简体" w:cs="宋体"/>
          <w:bCs/>
          <w:color w:val="000000"/>
          <w:szCs w:val="24"/>
          <w:highlight w:val="none"/>
        </w:rPr>
        <w:t>基础设施建设费（土地开发费）</w:t>
      </w:r>
    </w:p>
    <w:p>
      <w:pPr>
        <w:spacing w:before="120" w:beforeLines="50" w:line="240" w:lineRule="auto"/>
        <w:ind w:right="-23"/>
        <w:jc w:val="right"/>
        <w:rPr>
          <w:rFonts w:ascii="Arial" w:hAnsi="Arial"/>
          <w:sz w:val="21"/>
          <w:highlight w:val="none"/>
        </w:rPr>
      </w:pPr>
      <w:r>
        <w:rPr>
          <w:rFonts w:hint="eastAsia" w:ascii="Arial" w:hAnsi="Arial" w:eastAsia="华文细黑" w:cs="宋体"/>
          <w:color w:val="000000"/>
          <w:sz w:val="18"/>
          <w:szCs w:val="24"/>
          <w:highlight w:val="none"/>
        </w:rPr>
        <w:t>单位：元/土地平方米</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810" w:firstLineChars="450"/>
              <w:jc w:val="righ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费用</w:t>
            </w:r>
          </w:p>
          <w:p>
            <w:pPr>
              <w:spacing w:line="240" w:lineRule="exact"/>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类别</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通路</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通电</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通讯</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通上水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通下水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通热</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通燃气</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平整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80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315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255</w:t>
            </w:r>
          </w:p>
        </w:tc>
      </w:tr>
    </w:tbl>
    <w:p>
      <w:pPr>
        <w:widowControl/>
        <w:adjustRightInd/>
        <w:spacing w:line="240" w:lineRule="exact"/>
        <w:textAlignment w:val="auto"/>
        <w:rPr>
          <w:rFonts w:ascii="Arial" w:hAnsi="Arial" w:eastAsia="华文细黑" w:cs="宋体"/>
          <w:color w:val="000000"/>
          <w:sz w:val="18"/>
          <w:szCs w:val="24"/>
          <w:highlight w:val="none"/>
        </w:rPr>
      </w:pP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开发程度差异修正后的基准地价</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＝适用的基准地价＋（上表中的开发费用÷级别平均容积率）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＝区片基准地价＋（上表中的开发费用÷级别平均容积率）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＝6850＋（（40+30）÷2）</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＝6885（元/平方米）</w:t>
      </w: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val="en-US" w:eastAsia="zh-CN"/>
        </w:rPr>
      </w:pPr>
      <w:r>
        <w:rPr>
          <w:rFonts w:hint="eastAsia" w:ascii="Arial" w:hAnsi="Arial" w:eastAsia="仿宋_GB2312" w:cs="Arial"/>
          <w:sz w:val="28"/>
          <w:szCs w:val="21"/>
          <w:highlight w:val="none"/>
        </w:rPr>
        <w:t>综上，本次评估估价对象适用的基准地价为：6885（元/平方米）</w:t>
      </w:r>
      <w:r>
        <w:rPr>
          <w:rFonts w:hint="eastAsia" w:ascii="Arial" w:hAnsi="Arial" w:eastAsia="仿宋_GB2312" w:cs="Arial"/>
          <w:sz w:val="28"/>
          <w:szCs w:val="21"/>
          <w:highlight w:val="none"/>
          <w:lang w:eastAsia="zh-CN"/>
        </w:rPr>
        <w:t>。</w:t>
      </w:r>
    </w:p>
    <w:p>
      <w:pPr>
        <w:adjustRightInd/>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2</w:t>
      </w:r>
      <w:r>
        <w:rPr>
          <w:rFonts w:hint="eastAsia" w:ascii="Arial" w:hAnsi="Arial" w:eastAsia="仿宋" w:cs="Arial"/>
          <w:sz w:val="28"/>
          <w:highlight w:val="none"/>
        </w:rPr>
        <w:t>）用途修正系数的确定</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《北京市出让国有建设用地使用权基准地价更新成果》根据</w:t>
      </w:r>
      <w:r>
        <w:rPr>
          <w:rFonts w:ascii="Arial" w:hAnsi="Arial" w:eastAsia="仿宋" w:cs="Arial"/>
          <w:sz w:val="28"/>
          <w:szCs w:val="28"/>
          <w:highlight w:val="none"/>
        </w:rPr>
        <w:t>《土地利用现状分类》（GB/T21010-2017）</w:t>
      </w:r>
      <w:r>
        <w:rPr>
          <w:rFonts w:hint="eastAsia" w:ascii="Arial" w:hAnsi="Arial" w:eastAsia="仿宋" w:cs="Arial"/>
          <w:sz w:val="28"/>
          <w:highlight w:val="none"/>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地上部分：</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估价对象地上用途为商业——其他商服用地，需依据《北京市基准地价土地用</w:t>
      </w:r>
      <w:r>
        <w:rPr>
          <w:rFonts w:ascii="Arial" w:hAnsi="Arial" w:eastAsia="仿宋" w:cs="Arial"/>
          <w:sz w:val="28"/>
          <w:highlight w:val="none"/>
        </w:rPr>
        <w:t>途二级分类用地修正系数表》进行用途修正。</w:t>
      </w:r>
    </w:p>
    <w:p>
      <w:pPr>
        <w:overflowPunct w:val="0"/>
        <w:spacing w:line="300" w:lineRule="auto"/>
        <w:jc w:val="center"/>
        <w:textAlignment w:val="auto"/>
        <w:rPr>
          <w:rFonts w:ascii="Arial" w:hAnsi="Arial" w:eastAsia="仿宋_GB2312" w:cs="Arial"/>
          <w:bCs/>
          <w:szCs w:val="24"/>
          <w:highlight w:val="none"/>
        </w:rPr>
      </w:pPr>
      <w:r>
        <w:rPr>
          <w:rFonts w:ascii="Arial" w:hAnsi="Arial" w:eastAsia="仿宋_GB2312" w:cs="Arial"/>
          <w:bCs/>
          <w:szCs w:val="24"/>
          <w:highlight w:val="none"/>
        </w:rPr>
        <w:t>北京市基准地价土地用途二级分类用地修正系数表</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4"/>
        <w:gridCol w:w="1842"/>
        <w:gridCol w:w="4536"/>
        <w:gridCol w:w="113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一级类</w:t>
            </w:r>
          </w:p>
        </w:tc>
        <w:tc>
          <w:tcPr>
            <w:tcW w:w="1842"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二级类</w:t>
            </w:r>
          </w:p>
        </w:tc>
        <w:tc>
          <w:tcPr>
            <w:tcW w:w="4536"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含义</w:t>
            </w:r>
          </w:p>
        </w:tc>
        <w:tc>
          <w:tcPr>
            <w:tcW w:w="113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参照基准</w:t>
            </w:r>
          </w:p>
        </w:tc>
        <w:tc>
          <w:tcPr>
            <w:tcW w:w="793"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商服用地</w:t>
            </w: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零售商业用地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指以零售功能为主的商铺、商场、超市、市场和加油、加气、充换电站等的用地。</w:t>
            </w:r>
          </w:p>
        </w:tc>
        <w:tc>
          <w:tcPr>
            <w:tcW w:w="113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w:t>
            </w: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批发市场用地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指以批发功能为主的市场用地。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餐饮用地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指饭店、餐厅、酒吧等用地。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90" w:hRule="atLeas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旅馆用地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指宾馆、旅馆、招待所、服务型公寓、度假村等用地。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娱乐用地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指剧院、音乐厅、电影院、歌舞厅、网吧、影视城、仿古城以及绿地率小于65% 的大型游乐等设施用地。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其他商服用地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指上述用地以外的其他商业、服务业用地。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商务金融用地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指商务服务用地,以及经营性的办公场所用地,包括写字楼、商业性办公场所、金融活动场所和企业厂区外独立的办公场所;信息网络服务、信息技术服务、电子商务服务、广告传媒等用地。</w:t>
            </w:r>
          </w:p>
        </w:tc>
        <w:tc>
          <w:tcPr>
            <w:tcW w:w="1134" w:type="dxa"/>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w:t>
            </w: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r>
    </w:tbl>
    <w:p>
      <w:pPr>
        <w:overflowPunct w:val="0"/>
        <w:snapToGrid w:val="0"/>
        <w:spacing w:line="240" w:lineRule="exact"/>
        <w:ind w:firstLine="360" w:firstLineChars="200"/>
        <w:jc w:val="both"/>
        <w:textAlignment w:val="auto"/>
        <w:rPr>
          <w:rFonts w:ascii="Arial" w:hAnsi="Arial" w:eastAsia="仿宋" w:cs="Arial"/>
          <w:sz w:val="18"/>
          <w:szCs w:val="18"/>
          <w:highlight w:val="none"/>
        </w:rPr>
      </w:pP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val="en-US" w:eastAsia="zh-CN"/>
        </w:rPr>
      </w:pPr>
      <w:r>
        <w:rPr>
          <w:rFonts w:ascii="Arial" w:hAnsi="Arial" w:eastAsia="仿宋" w:cs="Arial"/>
          <w:sz w:val="28"/>
          <w:highlight w:val="none"/>
        </w:rPr>
        <w:t>依据上表，</w:t>
      </w:r>
      <w:r>
        <w:rPr>
          <w:rFonts w:hint="eastAsia" w:ascii="Arial" w:hAnsi="Arial" w:eastAsia="仿宋" w:cs="Arial"/>
          <w:sz w:val="28"/>
          <w:highlight w:val="none"/>
        </w:rPr>
        <w:t>其他商服用地</w:t>
      </w:r>
      <w:r>
        <w:rPr>
          <w:rFonts w:ascii="Arial" w:hAnsi="Arial" w:eastAsia="仿宋" w:cs="Arial"/>
          <w:sz w:val="28"/>
          <w:highlight w:val="none"/>
        </w:rPr>
        <w:t>修正系数为0.8。</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highlight w:val="none"/>
        </w:rPr>
        <w:t>3）</w:t>
      </w:r>
      <w:r>
        <w:rPr>
          <w:rFonts w:ascii="Arial" w:hAnsi="Arial" w:eastAsia="仿宋_GB2312" w:cs="Arial"/>
          <w:sz w:val="28"/>
          <w:szCs w:val="28"/>
          <w:highlight w:val="none"/>
        </w:rPr>
        <w:t>期日修正系数的确定</w:t>
      </w:r>
    </w:p>
    <w:p>
      <w:pPr>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《北京市出让国有建设用地使用权基准地价更新成果（二〇二一年）》规定，基准地价期日修正系数必须以北京市地价动态监测成果公布的地价增值率为准。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highlight w:val="none"/>
        </w:rPr>
        <w:t>北京市基准地价更新成果的基准日为2021年1月1日，本次评估的估价期日为</w:t>
      </w:r>
      <w:r>
        <w:rPr>
          <w:rFonts w:hint="eastAsia" w:ascii="Arial" w:hAnsi="Arial" w:eastAsia="仿宋" w:cs="Arial"/>
          <w:sz w:val="28"/>
          <w:highlight w:val="none"/>
          <w:lang w:eastAsia="zh-CN"/>
        </w:rPr>
        <w:t>2023年6月7日</w:t>
      </w:r>
      <w:r>
        <w:rPr>
          <w:rFonts w:hint="eastAsia" w:ascii="Arial" w:hAnsi="Arial" w:eastAsia="仿宋" w:cs="Arial"/>
          <w:sz w:val="28"/>
          <w:szCs w:val="28"/>
          <w:highlight w:val="none"/>
        </w:rPr>
        <w:t>，</w:t>
      </w:r>
      <w:r>
        <w:rPr>
          <w:rFonts w:ascii="Arial" w:hAnsi="Arial" w:eastAsia="仿宋" w:cs="Arial"/>
          <w:sz w:val="28"/>
          <w:szCs w:val="28"/>
          <w:highlight w:val="none"/>
        </w:rPr>
        <w:t>以北京市地价动态监测成果公布的地价增长率为准：</w:t>
      </w:r>
    </w:p>
    <w:p>
      <w:pPr>
        <w:spacing w:line="300" w:lineRule="auto"/>
        <w:ind w:firstLine="480" w:firstLineChars="200"/>
        <w:jc w:val="center"/>
        <w:rPr>
          <w:rFonts w:ascii="Arial" w:hAnsi="Arial" w:eastAsia="方正黑体简体" w:cs="宋体"/>
          <w:bCs/>
          <w:szCs w:val="24"/>
          <w:highlight w:val="none"/>
        </w:rPr>
      </w:pPr>
      <w:r>
        <w:rPr>
          <w:rFonts w:hint="eastAsia" w:ascii="Arial" w:hAnsi="Arial" w:eastAsia="方正黑体简体" w:cs="宋体"/>
          <w:bCs/>
          <w:szCs w:val="24"/>
          <w:highlight w:val="none"/>
        </w:rPr>
        <w:t>北京市地价增长率（商业类）</w:t>
      </w:r>
    </w:p>
    <w:p>
      <w:pPr>
        <w:adjustRightInd/>
        <w:spacing w:line="300" w:lineRule="auto"/>
        <w:jc w:val="right"/>
        <w:rPr>
          <w:rFonts w:ascii="Arial" w:hAnsi="Arial" w:eastAsia="华文细黑" w:cs="宋体"/>
          <w:sz w:val="18"/>
          <w:szCs w:val="24"/>
          <w:highlight w:val="none"/>
        </w:rPr>
      </w:pPr>
      <w:r>
        <w:rPr>
          <w:rFonts w:hint="eastAsia" w:ascii="Arial" w:hAnsi="Arial" w:eastAsia="华文细黑" w:cs="宋体"/>
          <w:sz w:val="18"/>
          <w:szCs w:val="24"/>
          <w:highlight w:val="none"/>
        </w:rPr>
        <w:t xml:space="preserve"> 单位%</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859"/>
        <w:gridCol w:w="1860"/>
        <w:gridCol w:w="1860"/>
        <w:gridCol w:w="1860"/>
        <w:gridCol w:w="18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tcBorders>
              <w:tl2br w:val="single" w:color="auto" w:sz="4" w:space="0"/>
            </w:tcBorders>
            <w:shd w:val="clear" w:color="auto" w:fill="auto"/>
            <w:vAlign w:val="center"/>
          </w:tcPr>
          <w:p>
            <w:pPr>
              <w:tabs>
                <w:tab w:val="left" w:pos="2160"/>
              </w:tabs>
              <w:spacing w:line="300" w:lineRule="auto"/>
              <w:ind w:firstLine="810" w:firstLineChars="450"/>
              <w:jc w:val="right"/>
              <w:rPr>
                <w:rFonts w:ascii="Arial" w:hAnsi="Arial" w:eastAsia="仿宋" w:cs="Arial"/>
                <w:sz w:val="18"/>
                <w:szCs w:val="18"/>
                <w:highlight w:val="none"/>
              </w:rPr>
            </w:pPr>
            <w:r>
              <w:rPr>
                <w:rFonts w:ascii="Arial" w:hAnsi="Arial" w:eastAsia="仿宋" w:cs="Arial"/>
                <w:sz w:val="18"/>
                <w:szCs w:val="18"/>
                <w:highlight w:val="none"/>
              </w:rPr>
              <w:t>季度</w:t>
            </w:r>
          </w:p>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年度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1季度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3季度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4季度</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0.47</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2022</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0.6</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-0.11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w:t>
            </w:r>
            <w:r>
              <w:rPr>
                <w:rFonts w:ascii="Arial" w:hAnsi="Arial" w:eastAsia="仿宋" w:cs="Arial"/>
                <w:sz w:val="18"/>
                <w:szCs w:val="18"/>
                <w:highlight w:val="none"/>
              </w:rPr>
              <w:t>023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r>
    </w:tbl>
    <w:p>
      <w:pPr>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则：</w:t>
      </w:r>
    </w:p>
    <w:p>
      <w:pPr>
        <w:spacing w:line="300" w:lineRule="auto"/>
        <w:ind w:firstLine="560" w:firstLineChars="200"/>
        <w:rPr>
          <w:rFonts w:hint="eastAsia" w:ascii="Arial" w:hAnsi="Arial" w:eastAsia="仿宋" w:cs="Arial"/>
          <w:sz w:val="28"/>
          <w:highlight w:val="none"/>
        </w:rPr>
      </w:pPr>
      <w:r>
        <w:rPr>
          <w:rFonts w:ascii="Arial" w:hAnsi="Arial" w:eastAsia="仿宋" w:cs="Arial"/>
          <w:sz w:val="28"/>
          <w:highlight w:val="none"/>
        </w:rPr>
        <w:t>期日修正系数＝（1</w:t>
      </w:r>
      <w:r>
        <w:rPr>
          <w:rFonts w:hint="eastAsia" w:ascii="Arial" w:hAnsi="Arial" w:eastAsia="仿宋" w:cs="Arial"/>
          <w:sz w:val="28"/>
          <w:highlight w:val="none"/>
        </w:rPr>
        <w:t>+0.35</w:t>
      </w:r>
      <w:r>
        <w:rPr>
          <w:rFonts w:ascii="Arial" w:hAnsi="Arial" w:eastAsia="仿宋" w:cs="Arial"/>
          <w:sz w:val="28"/>
          <w:highlight w:val="none"/>
        </w:rPr>
        <w:t>%）×（1</w:t>
      </w:r>
      <w:r>
        <w:rPr>
          <w:rFonts w:hint="eastAsia" w:ascii="Arial" w:hAnsi="Arial" w:eastAsia="仿宋" w:cs="Arial"/>
          <w:sz w:val="28"/>
          <w:highlight w:val="none"/>
        </w:rPr>
        <w:t>+0.55</w:t>
      </w:r>
      <w:r>
        <w:rPr>
          <w:rFonts w:ascii="Arial" w:hAnsi="Arial" w:eastAsia="仿宋" w:cs="Arial"/>
          <w:sz w:val="28"/>
          <w:highlight w:val="none"/>
        </w:rPr>
        <w:t>%）×（1+</w:t>
      </w:r>
      <w:r>
        <w:rPr>
          <w:rFonts w:hint="eastAsia" w:ascii="Arial" w:hAnsi="Arial" w:eastAsia="仿宋" w:cs="Arial"/>
          <w:sz w:val="28"/>
          <w:highlight w:val="none"/>
        </w:rPr>
        <w:t>0.47</w:t>
      </w:r>
      <w:r>
        <w:rPr>
          <w:rFonts w:ascii="Arial" w:hAnsi="Arial" w:eastAsia="仿宋" w:cs="Arial"/>
          <w:sz w:val="28"/>
          <w:highlight w:val="none"/>
        </w:rPr>
        <w:t>%）×（1+0.</w:t>
      </w:r>
      <w:r>
        <w:rPr>
          <w:rFonts w:hint="eastAsia" w:ascii="Arial" w:hAnsi="Arial" w:eastAsia="仿宋" w:cs="Arial"/>
          <w:sz w:val="28"/>
          <w:highlight w:val="none"/>
        </w:rPr>
        <w:t>58</w:t>
      </w:r>
      <w:r>
        <w:rPr>
          <w:rFonts w:ascii="Arial" w:hAnsi="Arial" w:eastAsia="仿宋" w:cs="Arial"/>
          <w:sz w:val="28"/>
          <w:highlight w:val="none"/>
        </w:rPr>
        <w:t>%）×（1+</w:t>
      </w:r>
      <w:r>
        <w:rPr>
          <w:rFonts w:hint="eastAsia" w:ascii="Arial" w:hAnsi="Arial" w:eastAsia="仿宋" w:cs="Arial"/>
          <w:sz w:val="28"/>
          <w:highlight w:val="none"/>
        </w:rPr>
        <w:t>0.6</w:t>
      </w:r>
      <w:r>
        <w:rPr>
          <w:rFonts w:ascii="Arial" w:hAnsi="Arial" w:eastAsia="仿宋" w:cs="Arial"/>
          <w:sz w:val="28"/>
          <w:highlight w:val="none"/>
        </w:rPr>
        <w:t>%）×（1</w:t>
      </w:r>
      <w:r>
        <w:rPr>
          <w:rFonts w:hint="eastAsia" w:ascii="Arial" w:hAnsi="Arial" w:eastAsia="仿宋" w:cs="Arial"/>
          <w:sz w:val="28"/>
          <w:highlight w:val="none"/>
        </w:rPr>
        <w:t>-</w:t>
      </w:r>
      <w:r>
        <w:rPr>
          <w:rFonts w:ascii="Arial" w:hAnsi="Arial" w:eastAsia="仿宋" w:cs="Arial"/>
          <w:sz w:val="28"/>
          <w:highlight w:val="none"/>
        </w:rPr>
        <w:t>0.</w:t>
      </w:r>
      <w:r>
        <w:rPr>
          <w:rFonts w:hint="eastAsia" w:ascii="Arial" w:hAnsi="Arial" w:eastAsia="仿宋" w:cs="Arial"/>
          <w:sz w:val="28"/>
          <w:highlight w:val="none"/>
        </w:rPr>
        <w:t>11</w:t>
      </w:r>
      <w:r>
        <w:rPr>
          <w:rFonts w:ascii="Arial" w:hAnsi="Arial" w:eastAsia="仿宋" w:cs="Arial"/>
          <w:sz w:val="28"/>
          <w:highlight w:val="none"/>
        </w:rPr>
        <w:t>%）×（1+0.</w:t>
      </w:r>
      <w:r>
        <w:rPr>
          <w:rFonts w:hint="eastAsia" w:ascii="Arial" w:hAnsi="Arial" w:eastAsia="仿宋" w:cs="Arial"/>
          <w:sz w:val="28"/>
          <w:highlight w:val="none"/>
        </w:rPr>
        <w:t>3</w:t>
      </w:r>
      <w:r>
        <w:rPr>
          <w:rFonts w:ascii="Arial" w:hAnsi="Arial" w:eastAsia="仿宋" w:cs="Arial"/>
          <w:sz w:val="28"/>
          <w:highlight w:val="none"/>
        </w:rPr>
        <w:t>%）×（1+0.</w:t>
      </w:r>
      <w:r>
        <w:rPr>
          <w:rFonts w:hint="eastAsia" w:ascii="Arial" w:hAnsi="Arial" w:eastAsia="仿宋" w:cs="Arial"/>
          <w:sz w:val="28"/>
          <w:highlight w:val="none"/>
        </w:rPr>
        <w:t>45</w:t>
      </w:r>
      <w:r>
        <w:rPr>
          <w:rFonts w:ascii="Arial" w:hAnsi="Arial" w:eastAsia="仿宋" w:cs="Arial"/>
          <w:sz w:val="28"/>
          <w:highlight w:val="none"/>
        </w:rPr>
        <w:t>%）×（1+0.5</w:t>
      </w:r>
      <w:r>
        <w:rPr>
          <w:rFonts w:hint="eastAsia" w:ascii="Arial" w:hAnsi="Arial" w:eastAsia="仿宋" w:cs="Arial"/>
          <w:sz w:val="28"/>
          <w:highlight w:val="none"/>
        </w:rPr>
        <w:t>5</w:t>
      </w:r>
      <w:r>
        <w:rPr>
          <w:rFonts w:ascii="Arial" w:hAnsi="Arial" w:eastAsia="仿宋" w:cs="Arial"/>
          <w:sz w:val="28"/>
          <w:highlight w:val="none"/>
        </w:rPr>
        <w:t>%）=1.0</w:t>
      </w:r>
      <w:r>
        <w:rPr>
          <w:rFonts w:hint="eastAsia" w:ascii="Arial" w:hAnsi="Arial" w:eastAsia="仿宋" w:cs="Arial"/>
          <w:sz w:val="28"/>
          <w:highlight w:val="none"/>
        </w:rPr>
        <w:t>380</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4）年期修正系数的确定</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年期修正系数＝（1－1÷（1＋r）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其中：</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r----土地还原率</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n----宗地剩余土地使用年限</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N----基准地价规定的相应用途土地使用年限</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商业、办公、居住、工业、公共服务用途的土地还原率原则上按同期中国人民银行公布的一年期贷款利率分别上浮25％、20％、15％、10％、15％确定，且须分别不低于5.5％、5.5％、5％、5％、5％，不高于6.5％、6.5％、6％、6％、6％。估价对象用途为商业，现行一年期贷款利率（</w:t>
      </w:r>
      <w:r>
        <w:rPr>
          <w:rFonts w:ascii="Arial" w:hAnsi="Arial" w:eastAsia="仿宋" w:cs="Arial"/>
          <w:sz w:val="28"/>
          <w:highlight w:val="none"/>
        </w:rPr>
        <w:t>2015年10月24日公布</w:t>
      </w:r>
      <w:r>
        <w:rPr>
          <w:rFonts w:hint="eastAsia" w:ascii="Arial" w:hAnsi="Arial" w:eastAsia="仿宋" w:cs="Arial"/>
          <w:sz w:val="28"/>
          <w:highlight w:val="none"/>
        </w:rPr>
        <w:t>）为</w:t>
      </w:r>
      <w:r>
        <w:rPr>
          <w:rFonts w:ascii="Arial" w:hAnsi="Arial" w:eastAsia="仿宋" w:cs="Arial"/>
          <w:sz w:val="28"/>
          <w:highlight w:val="none"/>
        </w:rPr>
        <w:t>4.35</w:t>
      </w:r>
      <w:r>
        <w:rPr>
          <w:rFonts w:hint="eastAsia" w:ascii="Arial" w:hAnsi="Arial" w:eastAsia="仿宋" w:cs="Arial"/>
          <w:sz w:val="28"/>
          <w:highlight w:val="none"/>
        </w:rPr>
        <w:t>%，按照上述利率计算得出的土地还原率为5.44%，低于所要求的的最低值。故土地还原率取商业用途最低值5.5%。</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估价对象剩余土地使用年限为40年，商业用途法定用途最高出让年限为40年，</w:t>
      </w:r>
      <w:r>
        <w:rPr>
          <w:rFonts w:ascii="Arial" w:hAnsi="Arial" w:eastAsia="仿宋" w:cs="Arial"/>
          <w:sz w:val="28"/>
          <w:highlight w:val="none"/>
        </w:rPr>
        <w:t>故不做修正。</w:t>
      </w:r>
    </w:p>
    <w:p>
      <w:pPr>
        <w:overflowPunct w:val="0"/>
        <w:spacing w:line="300" w:lineRule="auto"/>
        <w:ind w:firstLine="560" w:firstLineChars="200"/>
        <w:jc w:val="both"/>
        <w:textAlignment w:val="auto"/>
        <w:rPr>
          <w:rFonts w:ascii="Arial" w:hAnsi="Arial" w:eastAsia="仿宋" w:cs="Arial"/>
          <w:sz w:val="28"/>
          <w:highlight w:val="none"/>
        </w:rPr>
      </w:pPr>
      <w:r>
        <w:rPr>
          <w:rFonts w:ascii="Arial" w:hAnsi="Arial" w:eastAsia="仿宋" w:cs="Arial"/>
          <w:sz w:val="28"/>
          <w:highlight w:val="none"/>
        </w:rPr>
        <w:t>5</w:t>
      </w:r>
      <w:r>
        <w:rPr>
          <w:rFonts w:hint="eastAsia" w:ascii="Arial" w:hAnsi="Arial" w:eastAsia="仿宋" w:cs="Arial"/>
          <w:sz w:val="28"/>
          <w:highlight w:val="none"/>
        </w:rPr>
        <w:t>）楼层修正系数的确定</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估价对象用途为商业，商业用途应选用楼层修正系数进行修正，查相应的《商业用途楼层修正系数表》确定楼层修正系数，不具备条件时可选用容积率修正系数。《商业用途楼层修正系数表》如下：</w:t>
      </w:r>
    </w:p>
    <w:p>
      <w:pPr>
        <w:overflowPunct w:val="0"/>
        <w:spacing w:line="240" w:lineRule="auto"/>
        <w:jc w:val="center"/>
        <w:textAlignment w:val="auto"/>
        <w:rPr>
          <w:rFonts w:ascii="Arial" w:hAnsi="Arial" w:eastAsia="方正黑体简体"/>
          <w:color w:val="E36C0A"/>
          <w:highlight w:val="none"/>
        </w:rPr>
      </w:pPr>
      <w:r>
        <w:rPr>
          <w:rFonts w:hint="eastAsia" w:ascii="Arial" w:hAnsi="Arial" w:eastAsia="方正黑体简体" w:cs="宋体"/>
          <w:bCs/>
          <w:color w:val="000000"/>
          <w:szCs w:val="24"/>
          <w:highlight w:val="none"/>
        </w:rPr>
        <w:t>北京市基准地价商业类楼层修正系数表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961"/>
        <w:gridCol w:w="1285"/>
        <w:gridCol w:w="2223"/>
        <w:gridCol w:w="2339"/>
        <w:gridCol w:w="249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用途</w:t>
            </w:r>
          </w:p>
        </w:tc>
        <w:tc>
          <w:tcPr>
            <w:tcW w:w="1285"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所在楼层</w:t>
            </w:r>
          </w:p>
        </w:tc>
        <w:tc>
          <w:tcPr>
            <w:tcW w:w="7053" w:type="dxa"/>
            <w:gridSpan w:val="3"/>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楼层修正系数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2223"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2339"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2491"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商业</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R≥1</w:t>
            </w: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地上第1层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1.5206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1.5019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1.5418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地上第2层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1.2072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1.1838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1.1884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地上第3层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1.0431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1.0005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0.9694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地上第4层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0.9439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0.8824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0.8230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地上第5层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0.8996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0.8480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0.7498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地上第6层及以上各层</w:t>
            </w:r>
          </w:p>
        </w:tc>
        <w:tc>
          <w:tcPr>
            <w:tcW w:w="2223"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=(-0.5556F²-0.2719F+8944)×10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339"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=(-0.7912F²-11.3794F+8482)×10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491"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=(-0.989F²-63.78F+7771)×10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r>
    </w:tbl>
    <w:p>
      <w:pPr>
        <w:widowControl/>
        <w:snapToGrid w:val="0"/>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说明：R为宗地地上容积率</w:t>
      </w:r>
    </w:p>
    <w:p>
      <w:pPr>
        <w:tabs>
          <w:tab w:val="left" w:pos="2160"/>
        </w:tabs>
        <w:overflowPunct w:val="0"/>
        <w:snapToGrid w:val="0"/>
        <w:spacing w:line="240" w:lineRule="exact"/>
        <w:ind w:firstLine="360" w:firstLineChars="200"/>
        <w:jc w:val="both"/>
        <w:textAlignment w:val="auto"/>
        <w:rPr>
          <w:rFonts w:ascii="Arial" w:hAnsi="Arial"/>
          <w:sz w:val="18"/>
          <w:szCs w:val="18"/>
          <w:highlight w:val="none"/>
        </w:rPr>
      </w:pP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 w:cs="Arial"/>
          <w:sz w:val="28"/>
          <w:highlight w:val="none"/>
        </w:rPr>
        <w:t>估价对象土地级别为八级，地上容积率为2.04，位于</w:t>
      </w:r>
      <w:r>
        <w:rPr>
          <w:rFonts w:hint="eastAsia" w:ascii="Arial" w:hAnsi="Arial" w:eastAsia="仿宋" w:cs="Arial"/>
          <w:sz w:val="28"/>
          <w:highlight w:val="none"/>
          <w:lang w:eastAsia="zh-CN"/>
        </w:rPr>
        <w:t>地上</w:t>
      </w:r>
      <w:r>
        <w:rPr>
          <w:rFonts w:hint="eastAsia" w:ascii="Arial" w:hAnsi="Arial" w:eastAsia="仿宋" w:cs="Arial"/>
          <w:sz w:val="28"/>
          <w:highlight w:val="none"/>
          <w:lang w:val="en-US" w:eastAsia="zh-CN"/>
        </w:rPr>
        <w:t>1-2</w:t>
      </w:r>
      <w:r>
        <w:rPr>
          <w:rFonts w:hint="eastAsia" w:ascii="Arial" w:hAnsi="Arial" w:eastAsia="仿宋" w:cs="Arial"/>
          <w:sz w:val="28"/>
          <w:highlight w:val="none"/>
          <w:lang w:eastAsia="zh-CN"/>
        </w:rPr>
        <w:t>层</w:t>
      </w:r>
      <w:r>
        <w:rPr>
          <w:rFonts w:hint="eastAsia" w:ascii="Arial" w:hAnsi="Arial" w:eastAsia="仿宋" w:cs="Arial"/>
          <w:sz w:val="28"/>
          <w:highlight w:val="none"/>
        </w:rPr>
        <w:t>，</w:t>
      </w:r>
      <w:r>
        <w:rPr>
          <w:rFonts w:hint="eastAsia" w:ascii="Arial" w:hAnsi="Arial" w:eastAsia="仿宋_GB2312" w:cs="Arial"/>
          <w:sz w:val="28"/>
          <w:highlight w:val="none"/>
          <w:lang w:eastAsia="zh-CN"/>
        </w:rPr>
        <w:t>依上表：</w:t>
      </w: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eastAsia="zh-CN"/>
        </w:rPr>
      </w:pPr>
      <w:r>
        <w:rPr>
          <w:rFonts w:hint="eastAsia" w:ascii="Arial" w:hAnsi="Arial" w:eastAsia="仿宋_GB2312" w:cs="Arial"/>
          <w:sz w:val="28"/>
          <w:szCs w:val="21"/>
          <w:highlight w:val="none"/>
          <w:lang w:eastAsia="zh-CN"/>
        </w:rPr>
        <w:t>估价对象</w:t>
      </w:r>
      <w:r>
        <w:rPr>
          <w:rFonts w:hint="eastAsia" w:ascii="Arial" w:hAnsi="Arial" w:eastAsia="仿宋_GB2312" w:cs="Arial"/>
          <w:sz w:val="28"/>
          <w:szCs w:val="21"/>
          <w:highlight w:val="none"/>
          <w:lang w:val="en-US" w:eastAsia="zh-CN"/>
        </w:rPr>
        <w:t>1层</w:t>
      </w:r>
      <w:r>
        <w:rPr>
          <w:rFonts w:hint="eastAsia" w:ascii="Arial" w:hAnsi="Arial" w:eastAsia="仿宋" w:cs="Arial"/>
          <w:sz w:val="28"/>
          <w:highlight w:val="none"/>
        </w:rPr>
        <w:t>楼层修正系数</w:t>
      </w:r>
      <w:r>
        <w:rPr>
          <w:rFonts w:ascii="Arial" w:hAnsi="Arial" w:eastAsia="仿宋_GB2312" w:cs="Arial"/>
          <w:sz w:val="28"/>
          <w:szCs w:val="21"/>
          <w:highlight w:val="none"/>
        </w:rPr>
        <w:t>为</w:t>
      </w:r>
      <w:r>
        <w:rPr>
          <w:rFonts w:hint="eastAsia" w:ascii="Arial" w:hAnsi="Arial" w:eastAsia="仿宋_GB2312" w:cs="Arial"/>
          <w:sz w:val="28"/>
          <w:szCs w:val="21"/>
          <w:highlight w:val="none"/>
          <w:lang w:val="en-US" w:eastAsia="zh-CN"/>
        </w:rPr>
        <w:t>1.5418</w:t>
      </w:r>
      <w:r>
        <w:rPr>
          <w:rFonts w:hint="eastAsia" w:ascii="Arial" w:hAnsi="Arial" w:eastAsia="仿宋_GB2312" w:cs="Arial"/>
          <w:sz w:val="28"/>
          <w:szCs w:val="21"/>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val="en-US" w:eastAsia="zh-CN"/>
        </w:rPr>
      </w:pPr>
      <w:r>
        <w:rPr>
          <w:rFonts w:hint="eastAsia" w:ascii="Arial" w:hAnsi="Arial" w:eastAsia="仿宋_GB2312" w:cs="Arial"/>
          <w:sz w:val="28"/>
          <w:szCs w:val="21"/>
          <w:highlight w:val="none"/>
          <w:lang w:eastAsia="zh-CN"/>
        </w:rPr>
        <w:t>估价对象</w:t>
      </w:r>
      <w:r>
        <w:rPr>
          <w:rFonts w:hint="eastAsia" w:ascii="Arial" w:hAnsi="Arial" w:eastAsia="仿宋_GB2312" w:cs="Arial"/>
          <w:sz w:val="28"/>
          <w:szCs w:val="21"/>
          <w:highlight w:val="none"/>
          <w:lang w:val="en-US" w:eastAsia="zh-CN"/>
        </w:rPr>
        <w:t>2层</w:t>
      </w:r>
      <w:r>
        <w:rPr>
          <w:rFonts w:hint="eastAsia" w:ascii="Arial" w:hAnsi="Arial" w:eastAsia="仿宋" w:cs="Arial"/>
          <w:sz w:val="28"/>
          <w:highlight w:val="none"/>
        </w:rPr>
        <w:t>楼层修正系数</w:t>
      </w:r>
      <w:r>
        <w:rPr>
          <w:rFonts w:ascii="Arial" w:hAnsi="Arial" w:eastAsia="仿宋_GB2312" w:cs="Arial"/>
          <w:sz w:val="28"/>
          <w:szCs w:val="21"/>
          <w:highlight w:val="none"/>
        </w:rPr>
        <w:t>为</w:t>
      </w:r>
      <w:r>
        <w:rPr>
          <w:rFonts w:hint="eastAsia" w:ascii="Arial" w:hAnsi="Arial" w:eastAsia="仿宋_GB2312" w:cs="Arial"/>
          <w:sz w:val="28"/>
          <w:szCs w:val="21"/>
          <w:highlight w:val="none"/>
          <w:lang w:val="en-US" w:eastAsia="zh-CN"/>
        </w:rPr>
        <w:t>1.1884</w:t>
      </w:r>
      <w:r>
        <w:rPr>
          <w:rFonts w:hint="eastAsia" w:ascii="Arial" w:hAnsi="Arial" w:eastAsia="仿宋_GB2312" w:cs="Arial"/>
          <w:sz w:val="28"/>
          <w:szCs w:val="21"/>
          <w:highlight w:val="none"/>
          <w:lang w:eastAsia="zh-CN"/>
        </w:rPr>
        <w:t>。</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szCs w:val="28"/>
          <w:highlight w:val="none"/>
        </w:rPr>
        <w:t>6</w:t>
      </w:r>
      <w:r>
        <w:rPr>
          <w:rFonts w:ascii="Arial" w:hAnsi="Arial" w:eastAsia="仿宋_GB2312" w:cs="Arial"/>
          <w:sz w:val="28"/>
          <w:highlight w:val="none"/>
        </w:rPr>
        <w:t>）因素修正系数的确定</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因素修正系数=1＋</w:t>
      </w:r>
      <w:r>
        <w:rPr>
          <w:rFonts w:ascii="Arial" w:hAnsi="Arial" w:eastAsia="仿宋" w:cs="Arial"/>
          <w:sz w:val="28"/>
          <w:highlight w:val="none"/>
        </w:rPr>
        <w:fldChar w:fldCharType="begin"/>
      </w:r>
      <w:r>
        <w:rPr>
          <w:rFonts w:ascii="Arial" w:hAnsi="Arial" w:eastAsia="仿宋" w:cs="Arial"/>
          <w:sz w:val="28"/>
          <w:highlight w:val="none"/>
        </w:rPr>
        <w:instrText xml:space="preserve"> QUOTE </w:instrText>
      </w:r>
      <w:r>
        <w:rPr>
          <w:rFonts w:ascii="Arial" w:hAnsi="Arial" w:eastAsia="仿宋" w:cs="Arial"/>
          <w:sz w:val="28"/>
          <w:highlight w:val="none"/>
        </w:rPr>
        <w:pict>
          <v:shape id="_x0000_i1025"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r>
        <w:rPr>
          <w:rFonts w:ascii="Arial" w:hAnsi="Arial" w:eastAsia="仿宋" w:cs="Arial"/>
          <w:sz w:val="28"/>
          <w:highlight w:val="none"/>
        </w:rPr>
        <w:instrText xml:space="preserve"> </w:instrText>
      </w:r>
      <w:r>
        <w:rPr>
          <w:rFonts w:ascii="Arial" w:hAnsi="Arial" w:eastAsia="仿宋" w:cs="Arial"/>
          <w:sz w:val="28"/>
          <w:highlight w:val="none"/>
        </w:rPr>
        <w:fldChar w:fldCharType="separate"/>
      </w:r>
      <w:r>
        <w:rPr>
          <w:rFonts w:ascii="Arial" w:hAnsi="Arial" w:eastAsia="仿宋" w:cs="Arial"/>
          <w:sz w:val="28"/>
          <w:highlight w:val="none"/>
        </w:rPr>
        <w:pict>
          <v:shape id="_x0000_i1026"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r>
        <w:rPr>
          <w:rFonts w:ascii="Arial" w:hAnsi="Arial" w:eastAsia="仿宋" w:cs="Arial"/>
          <w:sz w:val="28"/>
          <w:highlight w:val="none"/>
        </w:rPr>
        <w:fldChar w:fldCharType="end"/>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其中ki：第i种因素的修正系数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 w:cs="Arial"/>
          <w:sz w:val="28"/>
          <w:highlight w:val="none"/>
        </w:rPr>
        <w:t>各因素的修正系数根据影响地价的因素权重和因素总修正幅度确定。</w:t>
      </w:r>
    </w:p>
    <w:p>
      <w:pPr>
        <w:spacing w:line="300" w:lineRule="auto"/>
        <w:jc w:val="center"/>
        <w:rPr>
          <w:rFonts w:ascii="方正黑体简体" w:hAnsi="Arial" w:eastAsia="方正黑体简体"/>
          <w:szCs w:val="24"/>
          <w:highlight w:val="none"/>
        </w:rPr>
      </w:pPr>
      <w:r>
        <w:rPr>
          <w:rFonts w:hint="eastAsia" w:ascii="方正黑体简体" w:hAnsi="Arial" w:eastAsia="方正黑体简体" w:cs="宋体"/>
          <w:bCs/>
          <w:szCs w:val="24"/>
          <w:highlight w:val="none"/>
        </w:rPr>
        <w:t>北京市基准地价因素权重表</w:t>
      </w:r>
    </w:p>
    <w:tbl>
      <w:tblPr>
        <w:tblStyle w:val="35"/>
        <w:tblW w:w="9299" w:type="dxa"/>
        <w:jc w:val="center"/>
        <w:tblLayout w:type="fixed"/>
        <w:tblCellMar>
          <w:top w:w="57" w:type="dxa"/>
          <w:left w:w="57" w:type="dxa"/>
          <w:bottom w:w="57" w:type="dxa"/>
          <w:right w:w="57" w:type="dxa"/>
        </w:tblCellMar>
      </w:tblPr>
      <w:tblGrid>
        <w:gridCol w:w="1400"/>
        <w:gridCol w:w="498"/>
        <w:gridCol w:w="1382"/>
        <w:gridCol w:w="497"/>
        <w:gridCol w:w="1363"/>
        <w:gridCol w:w="497"/>
        <w:gridCol w:w="1343"/>
        <w:gridCol w:w="497"/>
        <w:gridCol w:w="1325"/>
        <w:gridCol w:w="497"/>
      </w:tblGrid>
      <w:tr>
        <w:tblPrEx>
          <w:tblCellMar>
            <w:top w:w="57" w:type="dxa"/>
            <w:left w:w="57" w:type="dxa"/>
            <w:bottom w:w="57" w:type="dxa"/>
            <w:right w:w="57" w:type="dxa"/>
          </w:tblCellMar>
        </w:tblPrEx>
        <w:trPr>
          <w:cantSplit/>
          <w:jc w:val="center"/>
        </w:trPr>
        <w:tc>
          <w:tcPr>
            <w:tcW w:w="454" w:type="dxa"/>
            <w:gridSpan w:val="2"/>
            <w:tcBorders>
              <w:top w:val="single" w:color="404040" w:sz="8" w:space="0"/>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工业类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公共服务类</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61"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4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26"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09"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商业繁华程度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住宅社区成熟度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物业聚集程度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与区域中心的接近程度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估价对象位于商业类八级地价区，该级别《区片基准地价因素总修正幅度表》如下：</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78"/>
        <w:gridCol w:w="1965"/>
        <w:gridCol w:w="1250"/>
        <w:gridCol w:w="1250"/>
        <w:gridCol w:w="1250"/>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579" w:type="pc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056"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675"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r>
        <w:rPr>
          <w:rFonts w:hint="eastAsia" w:ascii="方正黑体简体" w:hAnsi="Arial" w:eastAsia="方正黑体简体" w:cs="宋体"/>
          <w:bCs/>
          <w:szCs w:val="24"/>
          <w:highlight w:val="none"/>
        </w:rPr>
        <w:t>因素等级说明表</w:t>
      </w:r>
    </w:p>
    <w:tbl>
      <w:tblPr>
        <w:tblStyle w:val="35"/>
        <w:tblW w:w="9298"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7"/>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529" w:hRule="atLeast"/>
          <w:jc w:val="center"/>
        </w:trPr>
        <w:tc>
          <w:tcPr>
            <w:tcW w:w="2152" w:type="dxa"/>
            <w:tcBorders>
              <w:top w:val="single" w:color="404040" w:sz="2" w:space="0"/>
              <w:left w:val="single" w:color="404040" w:sz="2" w:space="0"/>
              <w:bottom w:val="single" w:color="404040" w:sz="2" w:space="0"/>
              <w:right w:val="single" w:color="404040" w:sz="2" w:space="0"/>
              <w:tl2br w:val="single" w:color="auto" w:sz="4" w:space="0"/>
            </w:tcBorders>
            <w:vAlign w:val="center"/>
          </w:tcPr>
          <w:p>
            <w:pPr>
              <w:widowControl/>
              <w:adjustRightInd/>
              <w:spacing w:line="300" w:lineRule="auto"/>
              <w:ind w:firstLine="1170" w:firstLineChars="650"/>
              <w:jc w:val="right"/>
              <w:rPr>
                <w:rFonts w:ascii="仿宋_GB2312" w:hAnsi="Arial" w:eastAsia="仿宋_GB2312" w:cs="宋体"/>
                <w:sz w:val="18"/>
                <w:szCs w:val="24"/>
                <w:highlight w:val="none"/>
              </w:rPr>
            </w:pPr>
            <w:r>
              <w:rPr>
                <w:rFonts w:hint="eastAsia" w:ascii="仿宋_GB2312" w:hAnsi="Arial" w:eastAsia="仿宋_GB2312" w:cs="宋体"/>
                <w:sz w:val="18"/>
                <w:szCs w:val="24"/>
                <w:highlight w:val="none"/>
              </w:rPr>
              <w:t>等级</w:t>
            </w:r>
          </w:p>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影响因素</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商业聚集度</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周边商业设施分别密集，商业聚集度好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周边商业设施分别较密集，商业聚集度较好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周边有一定数量的商业设施，商业聚集度一般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周边商业设施分布较分散，商业聚集度较差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周边暂无商业设施分布，商业聚集度度差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交通便捷度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较不便捷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城市规划及区域土地利用方向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估价对象用途与周边土地利用方向一致</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零星有其他用地，基本不影响本宗地</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有部分有其他用地，对本宗地略有影响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其他用地较多，对本宗地影响较大</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全部为不同用地，对本宗地有大的影响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临街宽度和深度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比例较适宜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临街道路状况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临高速公路或城市快速路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临城市主干道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临城市次干道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临城市支路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宗地形状及可利用程度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宗地形状规则，可利用程度好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宗地形状较规则，可利用程度较好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宗地形状较不规则，但对宗地利用影响较小</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宗地形状较不规则，对宗地利用有影响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728"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公共服务设施状况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配套较完善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配套基本满足需要</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基础设施完备状况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七通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六通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五通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四通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自然和人文环境状况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ascii="Arial" w:hAnsi="Arial" w:eastAsia="仿宋" w:cs="Arial"/>
          <w:sz w:val="28"/>
          <w:highlight w:val="none"/>
        </w:rPr>
        <w:t>估价对象处</w:t>
      </w:r>
      <w:r>
        <w:rPr>
          <w:rFonts w:hint="eastAsia" w:ascii="Arial" w:hAnsi="Arial" w:eastAsia="仿宋" w:cs="Arial"/>
          <w:sz w:val="28"/>
          <w:highlight w:val="none"/>
        </w:rPr>
        <w:t>于商业</w:t>
      </w:r>
      <w:r>
        <w:rPr>
          <w:rFonts w:ascii="Arial" w:hAnsi="Arial" w:eastAsia="仿宋" w:cs="Arial"/>
          <w:sz w:val="28"/>
          <w:highlight w:val="none"/>
        </w:rPr>
        <w:t>类</w:t>
      </w:r>
      <w:r>
        <w:rPr>
          <w:rFonts w:hint="eastAsia" w:ascii="Arial" w:hAnsi="Arial" w:eastAsia="仿宋" w:cs="Arial"/>
          <w:sz w:val="28"/>
          <w:highlight w:val="none"/>
        </w:rPr>
        <w:t>八</w:t>
      </w:r>
      <w:r>
        <w:rPr>
          <w:rFonts w:ascii="Arial" w:hAnsi="Arial" w:eastAsia="仿宋" w:cs="Arial"/>
          <w:sz w:val="28"/>
          <w:highlight w:val="none"/>
        </w:rPr>
        <w:t>级</w:t>
      </w:r>
      <w:r>
        <w:rPr>
          <w:rFonts w:ascii="Arial" w:hAnsi="Arial" w:eastAsia="仿宋_GB2312" w:cs="Arial"/>
          <w:sz w:val="28"/>
          <w:szCs w:val="28"/>
          <w:highlight w:val="none"/>
        </w:rPr>
        <w:t>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ascii="Arial" w:hAnsi="Arial" w:eastAsia="仿宋" w:cs="Arial"/>
          <w:sz w:val="28"/>
          <w:highlight w:val="none"/>
        </w:rPr>
        <w:t>片，依据前述《区片基准地价因素总修正幅度表》、《北京市基准地价因素权重表》及《因素等级说明表》，整理出《等级系数表》如下：</w:t>
      </w:r>
    </w:p>
    <w:p>
      <w:pPr>
        <w:spacing w:line="300" w:lineRule="auto"/>
        <w:jc w:val="center"/>
        <w:rPr>
          <w:rFonts w:ascii="Arial" w:hAnsi="Arial" w:eastAsia="方正黑体简体"/>
          <w:highlight w:val="none"/>
        </w:rPr>
      </w:pPr>
      <w:r>
        <w:rPr>
          <w:rFonts w:hint="eastAsia" w:ascii="Arial" w:hAnsi="Arial" w:eastAsia="方正黑体简体"/>
          <w:highlight w:val="none"/>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164"/>
        <w:gridCol w:w="1491"/>
        <w:gridCol w:w="1356"/>
        <w:gridCol w:w="1457"/>
        <w:gridCol w:w="1391"/>
        <w:gridCol w:w="144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tcBorders>
              <w:tl2br w:val="single" w:color="auto" w:sz="4" w:space="0"/>
            </w:tcBorders>
            <w:shd w:val="clear" w:color="auto" w:fill="auto"/>
            <w:vAlign w:val="center"/>
          </w:tcPr>
          <w:p>
            <w:pPr>
              <w:widowControl/>
              <w:spacing w:line="240" w:lineRule="exact"/>
              <w:ind w:firstLine="1620" w:firstLineChars="900"/>
              <w:textAlignment w:val="auto"/>
              <w:rPr>
                <w:rFonts w:ascii="Arial" w:hAnsi="Arial" w:eastAsia="仿宋" w:cs="Arial"/>
                <w:sz w:val="18"/>
                <w:szCs w:val="18"/>
                <w:highlight w:val="none"/>
              </w:rPr>
            </w:pPr>
            <w:r>
              <w:rPr>
                <w:rFonts w:ascii="Arial" w:hAnsi="Arial" w:eastAsia="仿宋" w:cs="Arial"/>
                <w:sz w:val="18"/>
                <w:szCs w:val="18"/>
                <w:highlight w:val="none"/>
              </w:rPr>
              <w:t>等级</w:t>
            </w:r>
          </w:p>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14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好</w:t>
            </w:r>
          </w:p>
        </w:tc>
        <w:tc>
          <w:tcPr>
            <w:tcW w:w="1356"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较好</w:t>
            </w:r>
          </w:p>
        </w:tc>
        <w:tc>
          <w:tcPr>
            <w:tcW w:w="1457"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一般</w:t>
            </w:r>
          </w:p>
        </w:tc>
        <w:tc>
          <w:tcPr>
            <w:tcW w:w="13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较差</w:t>
            </w:r>
          </w:p>
        </w:tc>
        <w:tc>
          <w:tcPr>
            <w:tcW w:w="1440"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商业繁华度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交通便捷度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bl>
    <w:p>
      <w:pPr>
        <w:autoSpaceDE w:val="0"/>
        <w:autoSpaceDN w:val="0"/>
        <w:spacing w:line="300" w:lineRule="auto"/>
        <w:rPr>
          <w:rFonts w:ascii="Arial" w:hAnsi="Arial" w:eastAsia="华文细黑" w:cs="宋体"/>
          <w:sz w:val="18"/>
          <w:szCs w:val="24"/>
          <w:highlight w:val="none"/>
        </w:rPr>
      </w:pPr>
      <w:r>
        <w:rPr>
          <w:rFonts w:hint="eastAsia" w:ascii="Arial" w:hAnsi="Arial" w:eastAsia="华文细黑" w:cs="宋体"/>
          <w:sz w:val="18"/>
          <w:szCs w:val="24"/>
          <w:highlight w:val="none"/>
        </w:rPr>
        <w:t>单位：%</w:t>
      </w:r>
    </w:p>
    <w:p>
      <w:pPr>
        <w:spacing w:line="300" w:lineRule="auto"/>
        <w:jc w:val="center"/>
        <w:rPr>
          <w:rFonts w:ascii="Arial" w:hAnsi="Arial" w:eastAsia="方正黑体简体"/>
          <w:highlight w:val="none"/>
        </w:rPr>
      </w:pPr>
      <w:r>
        <w:rPr>
          <w:rFonts w:hint="eastAsia" w:ascii="Arial" w:hAnsi="Arial" w:eastAsia="方正黑体简体"/>
          <w:highlight w:val="none"/>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701"/>
        <w:gridCol w:w="1709"/>
        <w:gridCol w:w="4821"/>
        <w:gridCol w:w="991"/>
        <w:gridCol w:w="1077"/>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序号</w:t>
            </w:r>
          </w:p>
        </w:tc>
        <w:tc>
          <w:tcPr>
            <w:tcW w:w="91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影响因素</w:t>
            </w:r>
          </w:p>
        </w:tc>
        <w:tc>
          <w:tcPr>
            <w:tcW w:w="2592"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估价对象情况</w:t>
            </w:r>
          </w:p>
        </w:tc>
        <w:tc>
          <w:tcPr>
            <w:tcW w:w="533"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等级</w:t>
            </w:r>
          </w:p>
        </w:tc>
        <w:tc>
          <w:tcPr>
            <w:tcW w:w="57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a</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商业繁华度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仿宋_GB2312" w:hAnsi="Arial" w:eastAsia="仿宋_GB2312" w:cs="宋体"/>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b</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c</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城市规划及</w:t>
            </w:r>
            <w:r>
              <w:rPr>
                <w:rFonts w:ascii="Arial" w:hAnsi="Arial" w:eastAsia="仿宋" w:cs="Arial"/>
                <w:sz w:val="18"/>
                <w:szCs w:val="18"/>
                <w:highlight w:val="none"/>
              </w:rPr>
              <w:t>区域土地利用方向</w:t>
            </w:r>
          </w:p>
        </w:tc>
        <w:tc>
          <w:tcPr>
            <w:tcW w:w="2592" w:type="pct"/>
            <w:vAlign w:val="center"/>
          </w:tcPr>
          <w:p>
            <w:pPr>
              <w:widowControl/>
              <w:adjustRightInd/>
              <w:spacing w:line="300" w:lineRule="auto"/>
              <w:textAlignment w:val="auto"/>
              <w:rPr>
                <w:rFonts w:ascii="仿宋" w:hAnsi="仿宋" w:eastAsia="仿宋" w:cs="仿宋"/>
                <w:sz w:val="18"/>
                <w:szCs w:val="18"/>
                <w:highlight w:val="none"/>
              </w:rPr>
            </w:pPr>
            <w:r>
              <w:rPr>
                <w:rFonts w:hint="eastAsia" w:ascii="Arial" w:hAnsi="Arial" w:eastAsia="仿宋" w:cs="Arial"/>
                <w:sz w:val="18"/>
                <w:szCs w:val="18"/>
                <w:highlight w:val="none"/>
                <w:lang w:bidi="ar"/>
              </w:rPr>
              <w:t>估价对象周边有部分有其他用地，对本宗地略有影响</w:t>
            </w:r>
            <w:r>
              <w:rPr>
                <w:rFonts w:hint="eastAsia" w:ascii="仿宋_GB2312" w:hAnsi="Arial" w:eastAsia="仿宋_GB2312" w:cs="宋体"/>
                <w:sz w:val="18"/>
                <w:szCs w:val="24"/>
                <w:highlight w:val="none"/>
              </w:rPr>
              <w:t>地</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d</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2592" w:type="pct"/>
            <w:vAlign w:val="center"/>
          </w:tcPr>
          <w:p>
            <w:pPr>
              <w:adjustRightInd/>
              <w:spacing w:line="300" w:lineRule="auto"/>
              <w:rPr>
                <w:rFonts w:ascii="仿宋" w:hAnsi="仿宋" w:eastAsia="仿宋" w:cs="仿宋"/>
                <w:sz w:val="18"/>
                <w:szCs w:val="18"/>
                <w:highlight w:val="none"/>
              </w:rPr>
            </w:pPr>
            <w:r>
              <w:rPr>
                <w:rFonts w:hint="eastAsia" w:ascii="仿宋" w:hAnsi="仿宋" w:eastAsia="仿宋" w:cs="仿宋"/>
                <w:sz w:val="18"/>
                <w:szCs w:val="18"/>
                <w:highlight w:val="none"/>
              </w:rPr>
              <w:t>临街宽度及深度比例较适宜，对土地利用无不利影响。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e</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f</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宗地形状较不规则，对宗地利用有影响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较差</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g</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h</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估价对象所在区域基础设施水平达到</w:t>
            </w:r>
            <w:r>
              <w:rPr>
                <w:rFonts w:hint="eastAsia" w:ascii="Arial" w:hAnsi="Arial" w:eastAsia="仿宋" w:cs="Arial"/>
                <w:sz w:val="18"/>
                <w:szCs w:val="18"/>
                <w:highlight w:val="none"/>
                <w:lang w:bidi="ar"/>
              </w:rPr>
              <w:t>“</w:t>
            </w:r>
            <w:r>
              <w:rPr>
                <w:rFonts w:ascii="Arial" w:hAnsi="Arial" w:eastAsia="仿宋" w:cs="Arial"/>
                <w:sz w:val="18"/>
                <w:szCs w:val="18"/>
                <w:highlight w:val="none"/>
                <w:lang w:bidi="ar"/>
              </w:rPr>
              <w:t>七通</w:t>
            </w:r>
            <w:r>
              <w:rPr>
                <w:rFonts w:hint="eastAsia" w:ascii="Arial" w:hAnsi="Arial" w:eastAsia="仿宋" w:cs="Arial"/>
                <w:sz w:val="18"/>
                <w:szCs w:val="18"/>
                <w:highlight w:val="none"/>
                <w:lang w:bidi="ar"/>
              </w:rPr>
              <w:t>”</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i</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估价对象位于密云区西门外大街，周边绿化条件较好，周边2公里范围内有水系—白河，密虹公园等绿化景观，绿化条件较好；有密云区博物馆等人文设施，综合考虑自然环境与人文环境较好。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合计（∑K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1.94%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因素修正系数（1+∑K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ascii="Arial" w:hAnsi="Arial" w:eastAsia="华文细黑"/>
                <w:sz w:val="18"/>
                <w:szCs w:val="24"/>
                <w:highlight w:val="none"/>
              </w:rPr>
              <w:t>1</w:t>
            </w:r>
            <w:r>
              <w:rPr>
                <w:rFonts w:hint="eastAsia" w:ascii="Arial" w:hAnsi="Arial" w:eastAsia="华文细黑"/>
                <w:sz w:val="18"/>
                <w:szCs w:val="24"/>
                <w:highlight w:val="none"/>
              </w:rPr>
              <w:t>.0194</w:t>
            </w:r>
          </w:p>
        </w:tc>
      </w:tr>
    </w:tbl>
    <w:p>
      <w:pPr>
        <w:snapToGrid w:val="0"/>
        <w:spacing w:line="240" w:lineRule="exact"/>
        <w:ind w:firstLine="361" w:firstLineChars="200"/>
        <w:jc w:val="both"/>
        <w:rPr>
          <w:rFonts w:ascii="Arial" w:hAnsi="Arial" w:eastAsia="仿宋_GB2312" w:cs="Arial"/>
          <w:b/>
          <w:sz w:val="18"/>
          <w:szCs w:val="18"/>
          <w:highlight w:val="none"/>
        </w:rPr>
      </w:pPr>
    </w:p>
    <w:p>
      <w:pPr>
        <w:snapToGrid w:val="0"/>
        <w:spacing w:line="300" w:lineRule="auto"/>
        <w:ind w:firstLine="562" w:firstLineChars="200"/>
        <w:jc w:val="both"/>
        <w:rPr>
          <w:rFonts w:ascii="Arial" w:hAnsi="Arial" w:eastAsia="仿宋" w:cs="Arial"/>
          <w:b/>
          <w:sz w:val="28"/>
          <w:szCs w:val="28"/>
          <w:highlight w:val="none"/>
        </w:rPr>
      </w:pPr>
      <w:r>
        <w:rPr>
          <w:rFonts w:ascii="Arial" w:hAnsi="Arial" w:eastAsia="仿宋" w:cs="Arial"/>
          <w:b/>
          <w:sz w:val="28"/>
          <w:szCs w:val="28"/>
          <w:highlight w:val="none"/>
        </w:rPr>
        <w:t>7）估价对象楼面熟地价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w:t>
      </w:r>
      <w:r>
        <w:rPr>
          <w:rFonts w:hint="eastAsia" w:ascii="Arial" w:hAnsi="Arial" w:eastAsia="仿宋" w:cs="Arial"/>
          <w:sz w:val="28"/>
          <w:highlight w:val="none"/>
          <w:lang w:val="en-US" w:eastAsia="zh-CN"/>
        </w:rPr>
        <w:t>1层</w:t>
      </w:r>
      <w:r>
        <w:rPr>
          <w:rFonts w:hint="eastAsia" w:ascii="Arial" w:hAnsi="Arial" w:eastAsia="仿宋" w:cs="Arial"/>
          <w:sz w:val="28"/>
          <w:highlight w:val="none"/>
        </w:rPr>
        <w:t>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＝适用的基准地价×用途修正系数×期日修正系数×年期修正系数×</w:t>
      </w:r>
      <w:r>
        <w:rPr>
          <w:rFonts w:hint="eastAsia" w:ascii="Arial" w:hAnsi="Arial" w:eastAsia="仿宋" w:cs="Arial"/>
          <w:sz w:val="28"/>
          <w:highlight w:val="none"/>
          <w:lang w:val="en-US" w:eastAsia="zh-CN"/>
        </w:rPr>
        <w:t>1层</w:t>
      </w:r>
      <w:r>
        <w:rPr>
          <w:rFonts w:hint="eastAsia" w:ascii="Arial" w:hAnsi="Arial" w:eastAsia="仿宋" w:cs="Arial"/>
          <w:sz w:val="28"/>
          <w:highlight w:val="none"/>
        </w:rPr>
        <w:t>楼层修正系数×因素修正系数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＝6885×0.8×1.0380×1×</w:t>
      </w:r>
      <w:r>
        <w:rPr>
          <w:rFonts w:hint="eastAsia" w:ascii="Arial" w:hAnsi="Arial" w:eastAsia="仿宋_GB2312" w:cs="Arial"/>
          <w:sz w:val="28"/>
          <w:szCs w:val="21"/>
          <w:highlight w:val="none"/>
          <w:lang w:val="en-US" w:eastAsia="zh-CN"/>
        </w:rPr>
        <w:t>1.5418</w:t>
      </w:r>
      <w:r>
        <w:rPr>
          <w:rFonts w:hint="eastAsia" w:ascii="Arial" w:hAnsi="Arial" w:eastAsia="仿宋" w:cs="Arial"/>
          <w:sz w:val="28"/>
          <w:highlight w:val="none"/>
        </w:rPr>
        <w:t>×1.0194</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w:t>
      </w:r>
      <w:r>
        <w:rPr>
          <w:rFonts w:hint="eastAsia" w:ascii="Arial" w:hAnsi="Arial" w:eastAsia="仿宋" w:cs="Arial"/>
          <w:sz w:val="28"/>
          <w:highlight w:val="none"/>
          <w:lang w:val="en-US" w:eastAsia="zh-CN"/>
        </w:rPr>
        <w:t>8986</w:t>
      </w:r>
      <w:r>
        <w:rPr>
          <w:rFonts w:hint="eastAsia" w:ascii="Arial" w:hAnsi="Arial" w:eastAsia="仿宋" w:cs="Arial"/>
          <w:sz w:val="28"/>
          <w:highlight w:val="none"/>
        </w:rPr>
        <w:t xml:space="preserve">（元/平方米） </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w:t>
      </w:r>
      <w:r>
        <w:rPr>
          <w:rFonts w:hint="eastAsia" w:ascii="Arial" w:hAnsi="Arial" w:eastAsia="仿宋" w:cs="Arial"/>
          <w:sz w:val="28"/>
          <w:highlight w:val="none"/>
          <w:lang w:val="en-US" w:eastAsia="zh-CN"/>
        </w:rPr>
        <w:t>2层</w:t>
      </w:r>
      <w:r>
        <w:rPr>
          <w:rFonts w:hint="eastAsia" w:ascii="Arial" w:hAnsi="Arial" w:eastAsia="仿宋" w:cs="Arial"/>
          <w:sz w:val="28"/>
          <w:highlight w:val="none"/>
        </w:rPr>
        <w:t>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＝适用的基准地价×用途修正系数×期日修正系数×年期修正系数×</w:t>
      </w:r>
      <w:r>
        <w:rPr>
          <w:rFonts w:hint="eastAsia" w:ascii="Arial" w:hAnsi="Arial" w:eastAsia="仿宋" w:cs="Arial"/>
          <w:sz w:val="28"/>
          <w:highlight w:val="none"/>
          <w:lang w:val="en-US" w:eastAsia="zh-CN"/>
        </w:rPr>
        <w:t>2层</w:t>
      </w:r>
      <w:r>
        <w:rPr>
          <w:rFonts w:hint="eastAsia" w:ascii="Arial" w:hAnsi="Arial" w:eastAsia="仿宋" w:cs="Arial"/>
          <w:sz w:val="28"/>
          <w:highlight w:val="none"/>
        </w:rPr>
        <w:t>楼层修正系数×因素修正系数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＝6885×0.8×1.0380×1×</w:t>
      </w:r>
      <w:r>
        <w:rPr>
          <w:rFonts w:hint="eastAsia" w:ascii="Arial" w:hAnsi="Arial" w:eastAsia="仿宋_GB2312" w:cs="Arial"/>
          <w:sz w:val="28"/>
          <w:szCs w:val="21"/>
          <w:highlight w:val="none"/>
          <w:lang w:val="en-US" w:eastAsia="zh-CN"/>
        </w:rPr>
        <w:t>1.1884</w:t>
      </w:r>
      <w:r>
        <w:rPr>
          <w:rFonts w:hint="eastAsia" w:ascii="Arial" w:hAnsi="Arial" w:eastAsia="仿宋" w:cs="Arial"/>
          <w:sz w:val="28"/>
          <w:highlight w:val="none"/>
        </w:rPr>
        <w:t>×1.0194</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w:t>
      </w:r>
      <w:r>
        <w:rPr>
          <w:rFonts w:hint="eastAsia" w:ascii="Arial" w:hAnsi="Arial" w:eastAsia="仿宋" w:cs="Arial"/>
          <w:sz w:val="28"/>
          <w:highlight w:val="none"/>
          <w:lang w:val="en-US" w:eastAsia="zh-CN"/>
        </w:rPr>
        <w:t>6926</w:t>
      </w:r>
      <w:r>
        <w:rPr>
          <w:rFonts w:hint="eastAsia" w:ascii="Arial" w:hAnsi="Arial" w:eastAsia="仿宋" w:cs="Arial"/>
          <w:sz w:val="28"/>
          <w:highlight w:val="none"/>
        </w:rPr>
        <w:t xml:space="preserve">（元/平方米） </w:t>
      </w:r>
    </w:p>
    <w:p>
      <w:pPr>
        <w:adjustRightInd/>
        <w:spacing w:line="300" w:lineRule="auto"/>
        <w:ind w:firstLine="560" w:firstLineChars="200"/>
        <w:rPr>
          <w:rFonts w:ascii="Arial" w:hAnsi="Arial" w:eastAsia="仿宋_GB2312" w:cs="Arial"/>
          <w:b/>
          <w:sz w:val="28"/>
          <w:highlight w:val="none"/>
        </w:rPr>
      </w:pPr>
      <w:r>
        <w:rPr>
          <w:rFonts w:hint="eastAsia" w:ascii="Arial" w:hAnsi="Arial" w:eastAsia="仿宋" w:cs="Arial"/>
          <w:sz w:val="28"/>
          <w:highlight w:val="none"/>
        </w:rPr>
        <w:t>估价对象楼面熟地价</w:t>
      </w:r>
    </w:p>
    <w:p>
      <w:pPr>
        <w:adjustRightInd/>
        <w:spacing w:line="300" w:lineRule="auto"/>
        <w:ind w:firstLine="562" w:firstLineChars="200"/>
        <w:rPr>
          <w:rFonts w:hint="eastAsia" w:ascii="Arial" w:hAnsi="Arial" w:eastAsia="仿宋_GB2312" w:cs="Arial"/>
          <w:b w:val="0"/>
          <w:bCs/>
          <w:sz w:val="28"/>
          <w:highlight w:val="none"/>
          <w:lang w:eastAsia="zh-CN"/>
        </w:rPr>
      </w:pPr>
      <w:r>
        <w:rPr>
          <w:rFonts w:hint="eastAsia" w:ascii="Arial" w:hAnsi="Arial" w:eastAsia="仿宋_GB2312" w:cs="Arial"/>
          <w:b/>
          <w:sz w:val="28"/>
          <w:highlight w:val="none"/>
          <w:lang w:eastAsia="zh-CN"/>
        </w:rPr>
        <w:t>＝</w:t>
      </w:r>
      <w:r>
        <w:rPr>
          <w:rFonts w:hint="eastAsia" w:ascii="Arial" w:hAnsi="Arial" w:eastAsia="仿宋_GB2312" w:cs="Arial"/>
          <w:b w:val="0"/>
          <w:bCs/>
          <w:sz w:val="28"/>
          <w:highlight w:val="none"/>
          <w:lang w:eastAsia="zh-CN"/>
        </w:rPr>
        <w:t>（</w:t>
      </w:r>
      <w:r>
        <w:rPr>
          <w:rFonts w:hint="eastAsia" w:ascii="Arial" w:hAnsi="Arial" w:eastAsia="仿宋" w:cs="Arial"/>
          <w:sz w:val="28"/>
          <w:highlight w:val="none"/>
          <w:lang w:val="en-US" w:eastAsia="zh-CN"/>
        </w:rPr>
        <w:t>8986×103.725＋6926×103.725</w:t>
      </w:r>
      <w:r>
        <w:rPr>
          <w:rFonts w:hint="eastAsia" w:ascii="Arial" w:hAnsi="Arial" w:eastAsia="仿宋_GB2312" w:cs="Arial"/>
          <w:b w:val="0"/>
          <w:bCs/>
          <w:sz w:val="28"/>
          <w:highlight w:val="none"/>
          <w:lang w:eastAsia="zh-CN"/>
        </w:rPr>
        <w:t>）</w:t>
      </w:r>
      <w:r>
        <w:rPr>
          <w:rFonts w:hint="eastAsia" w:ascii="Arial" w:hAnsi="Arial" w:eastAsia="仿宋_GB2312" w:cs="Arial"/>
          <w:b w:val="0"/>
          <w:bCs/>
          <w:sz w:val="28"/>
          <w:highlight w:val="none"/>
          <w:lang w:val="en-US" w:eastAsia="zh-CN"/>
        </w:rPr>
        <w:t>÷</w:t>
      </w:r>
      <w:r>
        <w:rPr>
          <w:rFonts w:hint="eastAsia" w:ascii="Arial" w:hAnsi="Arial" w:eastAsia="仿宋_GB2312" w:cs="Arial"/>
          <w:b w:val="0"/>
          <w:bCs/>
          <w:sz w:val="28"/>
          <w:highlight w:val="none"/>
          <w:lang w:eastAsia="zh-CN"/>
        </w:rPr>
        <w:t>207.45</w:t>
      </w:r>
    </w:p>
    <w:p>
      <w:pPr>
        <w:adjustRightInd/>
        <w:spacing w:line="300" w:lineRule="auto"/>
        <w:ind w:firstLine="560" w:firstLineChars="200"/>
        <w:rPr>
          <w:rFonts w:hint="default" w:ascii="Arial" w:hAnsi="Arial" w:eastAsia="仿宋" w:cs="Arial"/>
          <w:sz w:val="28"/>
          <w:highlight w:val="none"/>
          <w:lang w:val="en-US" w:eastAsia="zh-CN"/>
        </w:rPr>
      </w:pPr>
      <w:r>
        <w:rPr>
          <w:rFonts w:hint="eastAsia" w:ascii="Arial" w:hAnsi="Arial" w:eastAsia="仿宋" w:cs="Arial"/>
          <w:sz w:val="28"/>
          <w:highlight w:val="none"/>
        </w:rPr>
        <w:t>＝</w:t>
      </w:r>
      <w:r>
        <w:rPr>
          <w:rFonts w:hint="eastAsia" w:ascii="Arial" w:hAnsi="Arial" w:eastAsia="仿宋" w:cs="Arial"/>
          <w:sz w:val="28"/>
          <w:highlight w:val="none"/>
          <w:lang w:val="en-US" w:eastAsia="zh-CN"/>
        </w:rPr>
        <w:t>7956</w:t>
      </w:r>
      <w:r>
        <w:rPr>
          <w:rFonts w:hint="eastAsia" w:ascii="Arial" w:hAnsi="Arial" w:eastAsia="仿宋" w:cs="Arial"/>
          <w:sz w:val="28"/>
          <w:highlight w:val="none"/>
        </w:rPr>
        <w:t>（元/平方米）</w:t>
      </w:r>
    </w:p>
    <w:p>
      <w:pPr>
        <w:adjustRightInd/>
        <w:spacing w:line="300" w:lineRule="auto"/>
        <w:ind w:firstLine="560" w:firstLineChars="200"/>
        <w:rPr>
          <w:rFonts w:hint="eastAsia" w:ascii="Arial" w:hAnsi="Arial" w:eastAsia="仿宋" w:cs="Arial"/>
          <w:sz w:val="28"/>
          <w:highlight w:val="none"/>
          <w:lang w:eastAsia="zh-CN"/>
        </w:rPr>
      </w:pPr>
    </w:p>
    <w:p>
      <w:pPr>
        <w:adjustRightInd/>
        <w:spacing w:line="300" w:lineRule="auto"/>
        <w:ind w:firstLine="562" w:firstLineChars="200"/>
        <w:rPr>
          <w:rFonts w:ascii="Arial" w:hAnsi="Arial" w:eastAsia="仿宋_GB2312" w:cs="Arial"/>
          <w:b/>
          <w:sz w:val="28"/>
          <w:highlight w:val="none"/>
        </w:rPr>
      </w:pPr>
      <w:r>
        <w:rPr>
          <w:rFonts w:ascii="Arial" w:hAnsi="Arial" w:eastAsia="仿宋_GB2312" w:cs="Arial"/>
          <w:b/>
          <w:sz w:val="28"/>
          <w:highlight w:val="none"/>
        </w:rPr>
        <w:t>方法二：剩余法</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1.土地最有效利用方式</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委托估价方在《国有建设用地使用权出让地价评估委托书》中明确土地用途为</w:t>
      </w:r>
      <w:r>
        <w:rPr>
          <w:rFonts w:hint="eastAsia" w:ascii="Arial" w:hAnsi="Arial" w:eastAsia="仿宋_GB2312" w:cs="Arial"/>
          <w:sz w:val="28"/>
          <w:highlight w:val="none"/>
        </w:rPr>
        <w:t>商业</w:t>
      </w:r>
      <w:r>
        <w:rPr>
          <w:rFonts w:ascii="Arial" w:hAnsi="Arial" w:eastAsia="仿宋_GB2312" w:cs="Arial"/>
          <w:sz w:val="28"/>
          <w:highlight w:val="none"/>
        </w:rPr>
        <w:t>。结合《土地利用现状分类》</w:t>
      </w:r>
      <w:r>
        <w:rPr>
          <w:rFonts w:hint="eastAsia" w:ascii="Arial" w:hAnsi="Arial" w:eastAsia="仿宋_GB2312" w:cs="Arial"/>
          <w:sz w:val="28"/>
          <w:szCs w:val="28"/>
          <w:highlight w:val="none"/>
        </w:rPr>
        <w:t>（</w:t>
      </w:r>
      <w:r>
        <w:rPr>
          <w:rFonts w:ascii="Arial" w:hAnsi="Arial" w:eastAsia="仿宋_GB2312" w:cs="Arial"/>
          <w:caps/>
          <w:sz w:val="28"/>
          <w:szCs w:val="28"/>
          <w:highlight w:val="none"/>
        </w:rPr>
        <w:t>GB/T21010-2017</w:t>
      </w:r>
      <w:r>
        <w:rPr>
          <w:rFonts w:hint="eastAsia" w:ascii="Arial" w:hAnsi="Arial" w:eastAsia="仿宋_GB2312" w:cs="Arial"/>
          <w:sz w:val="28"/>
          <w:szCs w:val="28"/>
          <w:highlight w:val="none"/>
        </w:rPr>
        <w:t>）</w:t>
      </w:r>
      <w:r>
        <w:rPr>
          <w:rFonts w:ascii="Arial" w:hAnsi="Arial" w:eastAsia="仿宋_GB2312" w:cs="Arial"/>
          <w:sz w:val="28"/>
          <w:highlight w:val="none"/>
        </w:rPr>
        <w:t>、</w:t>
      </w:r>
      <w:r>
        <w:rPr>
          <w:rFonts w:ascii="Arial" w:hAnsi="Arial" w:eastAsia="仿宋_GB2312" w:cs="Arial"/>
          <w:sz w:val="28"/>
          <w:szCs w:val="28"/>
          <w:highlight w:val="none"/>
        </w:rPr>
        <w:t>《北京市人民政府关于更新出让国有建设用地使用权基准地价的通知》</w:t>
      </w:r>
      <w:r>
        <w:rPr>
          <w:rFonts w:hint="eastAsia" w:ascii="Arial" w:hAnsi="Arial" w:eastAsia="仿宋_GB2312" w:cs="Arial"/>
          <w:sz w:val="28"/>
          <w:szCs w:val="28"/>
          <w:highlight w:val="none"/>
        </w:rPr>
        <w:t>[京政发（2022）12号]</w:t>
      </w:r>
      <w:r>
        <w:rPr>
          <w:rFonts w:ascii="Arial" w:hAnsi="Arial" w:eastAsia="仿宋_GB2312" w:cs="Arial"/>
          <w:sz w:val="28"/>
          <w:highlight w:val="none"/>
        </w:rPr>
        <w:t>，根据评估委托书，此次估价设定估价对象用途为</w:t>
      </w:r>
      <w:r>
        <w:rPr>
          <w:rFonts w:hint="eastAsia" w:ascii="Arial" w:hAnsi="Arial" w:eastAsia="仿宋_GB2312" w:cs="Arial"/>
          <w:sz w:val="28"/>
          <w:szCs w:val="28"/>
          <w:highlight w:val="none"/>
        </w:rPr>
        <w:t>商业</w:t>
      </w:r>
      <w:r>
        <w:rPr>
          <w:rFonts w:ascii="Arial" w:hAnsi="Arial" w:eastAsia="仿宋_GB2312" w:cs="Arial"/>
          <w:bCs/>
          <w:sz w:val="28"/>
          <w:highlight w:val="none"/>
        </w:rPr>
        <w:t>为其最有效利用方式。</w:t>
      </w:r>
    </w:p>
    <w:p>
      <w:pPr>
        <w:pStyle w:val="51"/>
        <w:spacing w:line="300" w:lineRule="auto"/>
        <w:ind w:left="987" w:hanging="420" w:firstLineChars="0"/>
        <w:jc w:val="both"/>
        <w:rPr>
          <w:rFonts w:ascii="Arial" w:hAnsi="Arial" w:eastAsia="仿宋_GB2312" w:cs="Arial"/>
          <w:bCs/>
          <w:sz w:val="28"/>
          <w:highlight w:val="none"/>
        </w:rPr>
      </w:pPr>
      <w:r>
        <w:rPr>
          <w:rFonts w:hint="eastAsia" w:ascii="Arial" w:hAnsi="Arial" w:eastAsia="仿宋_GB2312" w:cs="Arial"/>
          <w:bCs/>
          <w:sz w:val="28"/>
          <w:highlight w:val="none"/>
        </w:rPr>
        <w:t>2</w:t>
      </w:r>
      <w:r>
        <w:rPr>
          <w:rFonts w:ascii="Arial" w:hAnsi="Arial" w:eastAsia="仿宋_GB2312" w:cs="Arial"/>
          <w:bCs/>
          <w:sz w:val="28"/>
          <w:highlight w:val="none"/>
        </w:rPr>
        <w:t>.测算过程</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w:t>
      </w:r>
      <w:r>
        <w:rPr>
          <w:rFonts w:ascii="Arial" w:hAnsi="Arial" w:eastAsia="仿宋_GB2312" w:cs="Arial"/>
          <w:bCs/>
          <w:sz w:val="28"/>
          <w:highlight w:val="none"/>
        </w:rPr>
        <w:t>开发完成后的不动产总价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1）市场比较法求取估价对象开发完成后不动产总价</w:t>
      </w:r>
    </w:p>
    <w:p>
      <w:pPr>
        <w:spacing w:line="300" w:lineRule="auto"/>
        <w:ind w:firstLine="560" w:firstLineChars="200"/>
        <w:jc w:val="both"/>
        <w:rPr>
          <w:rFonts w:hint="eastAsia" w:ascii="Arial" w:hAnsi="Arial" w:eastAsia="仿宋_GB2312" w:cs="Arial"/>
          <w:bCs/>
          <w:sz w:val="28"/>
          <w:highlight w:val="none"/>
        </w:rPr>
      </w:pPr>
      <w:r>
        <w:rPr>
          <w:rFonts w:hint="eastAsia" w:ascii="Arial" w:hAnsi="Arial" w:eastAsia="仿宋_GB2312" w:cs="Arial"/>
          <w:bCs/>
          <w:sz w:val="28"/>
          <w:highlight w:val="none"/>
        </w:rPr>
        <w:t>根据评估专业人员所掌握的市场资料，采用房地产交易中的替代原则，选取与估价对象类似用途的案例，并分别进行交易情况、交易时间、用途、土地使用年限、区域因素、个别因素的修正。</w:t>
      </w:r>
    </w:p>
    <w:p>
      <w:pPr>
        <w:spacing w:line="300" w:lineRule="auto"/>
        <w:ind w:firstLine="560" w:firstLineChars="200"/>
        <w:jc w:val="both"/>
        <w:rPr>
          <w:rFonts w:hint="eastAsia" w:ascii="Arial" w:hAnsi="Arial" w:eastAsia="仿宋_GB2312" w:cs="Arial"/>
          <w:bCs/>
          <w:sz w:val="28"/>
          <w:highlight w:val="none"/>
        </w:rPr>
      </w:pPr>
    </w:p>
    <w:p>
      <w:pPr>
        <w:spacing w:line="300" w:lineRule="auto"/>
        <w:ind w:firstLine="560" w:firstLineChars="200"/>
        <w:jc w:val="both"/>
        <w:rPr>
          <w:rFonts w:hint="eastAsia" w:ascii="Arial" w:hAnsi="Arial" w:eastAsia="仿宋_GB2312" w:cs="Arial"/>
          <w:bCs/>
          <w:sz w:val="28"/>
          <w:highlight w:val="none"/>
        </w:rPr>
        <w:sectPr>
          <w:footerReference r:id="rId35" w:type="first"/>
          <w:headerReference r:id="rId33" w:type="default"/>
          <w:footerReference r:id="rId34" w:type="default"/>
          <w:pgSz w:w="11907" w:h="16840"/>
          <w:pgMar w:top="1843" w:right="1134" w:bottom="1134" w:left="1134" w:header="1134" w:footer="907" w:gutter="340"/>
          <w:cols w:space="720" w:num="1"/>
          <w:titlePg/>
          <w:docGrid w:linePitch="326" w:charSpace="0"/>
        </w:sect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表1：比较因素条件说明及指数表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368"/>
        <w:gridCol w:w="542"/>
        <w:gridCol w:w="1390"/>
        <w:gridCol w:w="520"/>
        <w:gridCol w:w="1373"/>
        <w:gridCol w:w="538"/>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r>
              <w:rPr>
                <w:rFonts w:hint="eastAsia" w:ascii="Arial" w:hAnsi="Arial" w:eastAsia="仿宋_GB2312" w:cs="宋体"/>
                <w:sz w:val="18"/>
                <w:szCs w:val="18"/>
                <w:highlight w:val="none"/>
                <w:lang w:eastAsia="zh-CN"/>
              </w:rPr>
              <w:t>8号楼设定</w:t>
            </w:r>
            <w:r>
              <w:rPr>
                <w:rFonts w:hint="eastAsia" w:ascii="Arial" w:hAnsi="Arial" w:eastAsia="仿宋_GB2312" w:cs="宋体"/>
                <w:sz w:val="18"/>
                <w:szCs w:val="18"/>
                <w:highlight w:val="none"/>
                <w:lang w:val="en-US" w:eastAsia="zh-CN"/>
              </w:rPr>
              <w:t>1层</w:t>
            </w:r>
            <w:r>
              <w:rPr>
                <w:rFonts w:hint="eastAsia" w:ascii="Arial" w:hAnsi="Arial" w:eastAsia="仿宋_GB2312" w:cs="宋体"/>
                <w:sz w:val="18"/>
                <w:szCs w:val="18"/>
                <w:highlight w:val="none"/>
              </w:rPr>
              <w:t>现状商业用地</w:t>
            </w:r>
          </w:p>
        </w:tc>
        <w:tc>
          <w:tcPr>
            <w:tcW w:w="429"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白檀小区</w:t>
            </w:r>
          </w:p>
        </w:tc>
        <w:tc>
          <w:tcPr>
            <w:tcW w:w="542"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开园小区</w:t>
            </w:r>
          </w:p>
        </w:tc>
        <w:tc>
          <w:tcPr>
            <w:tcW w:w="520"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阳光街</w:t>
            </w:r>
          </w:p>
        </w:tc>
        <w:tc>
          <w:tcPr>
            <w:tcW w:w="538"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p>
        </w:tc>
        <w:tc>
          <w:tcPr>
            <w:tcW w:w="429"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密云区白檀小区</w:t>
            </w:r>
          </w:p>
        </w:tc>
        <w:tc>
          <w:tcPr>
            <w:tcW w:w="542"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密云区开园小区</w:t>
            </w:r>
          </w:p>
        </w:tc>
        <w:tc>
          <w:tcPr>
            <w:tcW w:w="520"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密云区阳光街</w:t>
            </w:r>
          </w:p>
        </w:tc>
        <w:tc>
          <w:tcPr>
            <w:tcW w:w="538"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2023年6月7日</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2023年5月</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用途</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案例A位于</w:t>
            </w:r>
            <w:r>
              <w:rPr>
                <w:rFonts w:ascii="Arial" w:hAnsi="Arial" w:eastAsia="仿宋_GB2312" w:cs="Arial"/>
                <w:sz w:val="18"/>
                <w:szCs w:val="18"/>
                <w:highlight w:val="none"/>
              </w:rPr>
              <w:t>密云区白檀小区</w:t>
            </w:r>
            <w:r>
              <w:rPr>
                <w:rFonts w:ascii="Arial" w:hAnsi="Arial" w:eastAsia="仿宋_GB2312" w:cs="Arial"/>
                <w:sz w:val="18"/>
                <w:szCs w:val="24"/>
                <w:highlight w:val="none"/>
              </w:rPr>
              <w:t>，周边综合性商业有燕赛奥特莱斯购物中心、瑞嘉商场，周边住宅区配有住宅底商，综合考虑商业繁华度较好。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101</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案例B位于</w:t>
            </w:r>
            <w:r>
              <w:rPr>
                <w:rFonts w:ascii="Arial" w:hAnsi="Arial" w:eastAsia="仿宋_GB2312" w:cs="Arial"/>
                <w:sz w:val="18"/>
                <w:szCs w:val="18"/>
                <w:highlight w:val="none"/>
              </w:rPr>
              <w:t>密云区开园小区</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案例C位于</w:t>
            </w:r>
            <w:r>
              <w:rPr>
                <w:rFonts w:ascii="Arial" w:hAnsi="Arial" w:eastAsia="仿宋_GB2312" w:cs="Arial"/>
                <w:sz w:val="18"/>
                <w:szCs w:val="18"/>
                <w:highlight w:val="none"/>
              </w:rPr>
              <w:t>密云区阳光街</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紧邻城市支路—通城胡同，</w:t>
            </w: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周边无地铁线路，周边有密12路、密13路、密16路、密17路、密21路、密23路等十余条公交线路通过并设有站点，综合评价交通便捷度一般。</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r>
              <w:rPr>
                <w:rFonts w:hint="eastAsia" w:ascii="Arial" w:hAnsi="Arial" w:eastAsia="仿宋" w:cs="Arial"/>
                <w:sz w:val="18"/>
                <w:szCs w:val="18"/>
                <w:highlight w:val="none"/>
                <w:lang w:bidi="ar"/>
              </w:rPr>
              <w:t>紧邻城市支路—阳光街，案例B周边无地铁线路，周边有980路快车、 H52路、郊89路、密10路、密13路等多条公交线路通过并设有站点，综合评价交通便捷度一般。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r>
              <w:rPr>
                <w:rFonts w:hint="eastAsia" w:ascii="Arial" w:hAnsi="Arial" w:eastAsia="仿宋" w:cs="Arial"/>
                <w:sz w:val="18"/>
                <w:szCs w:val="18"/>
                <w:highlight w:val="none"/>
                <w:lang w:bidi="ar"/>
              </w:rPr>
              <w:t>紧邻城市支路—阳光街，案例C周边无地铁线路，周边有980路快车、 H52路、郊89路、密10路、密13路等多条公交线路通过并设有站点，综合评价交通便捷度一般。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trHeight w:val="2574" w:hRule="atLeas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案例A所在区域有购物场所（</w:t>
            </w:r>
            <w:r>
              <w:rPr>
                <w:rFonts w:ascii="Arial" w:hAnsi="Arial" w:eastAsia="仿宋_GB2312" w:cs="Arial"/>
                <w:sz w:val="18"/>
                <w:szCs w:val="24"/>
                <w:highlight w:val="none"/>
              </w:rPr>
              <w:t>燕赛奥特莱斯购物中心、瑞嘉商场</w:t>
            </w:r>
            <w:r>
              <w:rPr>
                <w:rFonts w:hint="eastAsia" w:ascii="Arial" w:hAnsi="Arial" w:eastAsia="仿宋" w:cs="Arial"/>
                <w:sz w:val="18"/>
                <w:szCs w:val="18"/>
                <w:highlight w:val="none"/>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案例B所在区域有购物场所（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案例C所在区域有购物场所（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案例A所在区域基础设施水平达到“七通”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案例B所在区域基础设施水平达到“七通”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案例C所在区域基础设施水平达到“七通”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案例A周边2公里范围内有水系—白河，阳光公园等绿化景观，绿化条件较好；有密云图书馆等人文设施，综合考虑自然环境与人文环境较好。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案例B周边2公里范围内有水系—白河，太扬公园等绿化景观，绿化条件较好；有首都经济贸易大学(密云分校)等人文设施，综合考虑自然环境与人文环境较好。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案例C周边2公里范围内有水系—白河，太扬公园等绿化景观，绿化条件较好；有密首都经济贸易大学(密云分校)等人文设施，综合考虑自然环境与人文环境较好。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临街状况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估价对象紧邻城市次干道</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案例A紧邻城市支路</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案例B紧邻城市支路</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案例C紧邻城市支路</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1层</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个别因素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商业类型</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建筑面积（㎡）</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宋体"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207.45</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85.66</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1.5</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248.04</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259.72</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建筑结构</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公共部分装修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层高</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内部装修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bl>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3099"/>
        <w:gridCol w:w="3100"/>
        <w:gridCol w:w="310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8897" w:type="dxa"/>
            <w:gridSpan w:val="3"/>
          </w:tcPr>
          <w:p>
            <w:pPr>
              <w:jc w:val="center"/>
              <w:rPr>
                <w:sz w:val="22"/>
                <w:highlight w:val="none"/>
              </w:rPr>
            </w:pPr>
            <w:r>
              <w:rPr>
                <w:highlight w:val="none"/>
              </w:rP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1"/>
                          <a:stretch>
                            <a:fillRect/>
                          </a:stretch>
                        </pic:blipFill>
                        <pic:spPr>
                          <a:xfrm>
                            <a:off x="0" y="0"/>
                            <a:ext cx="5316855" cy="4989195"/>
                          </a:xfrm>
                          <a:prstGeom prst="rect">
                            <a:avLst/>
                          </a:prstGeom>
                          <a:noFill/>
                          <a:ln>
                            <a:noFill/>
                          </a:ln>
                        </pic:spPr>
                      </pic:pic>
                    </a:graphicData>
                  </a:graphic>
                </wp:inline>
              </w:drawing>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案例照片</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425" w:hRule="atLeast"/>
          <w:jc w:val="center"/>
        </w:trPr>
        <w:tc>
          <w:tcPr>
            <w:tcW w:w="2965"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案例A</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案例B</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案例C</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3877" w:hRule="exact"/>
          <w:jc w:val="center"/>
        </w:trPr>
        <w:tc>
          <w:tcPr>
            <w:tcW w:w="2965" w:type="dxa"/>
          </w:tcPr>
          <w:p>
            <w:pPr>
              <w:jc w:val="center"/>
              <w:rPr>
                <w:sz w:val="22"/>
                <w:highlight w:val="none"/>
              </w:rPr>
            </w:pPr>
            <w:r>
              <w:rPr>
                <w:highlight w:val="none"/>
              </w:rP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2"/>
                          <a:stretch>
                            <a:fillRect/>
                          </a:stretch>
                        </pic:blipFill>
                        <pic:spPr>
                          <a:xfrm>
                            <a:off x="0" y="0"/>
                            <a:ext cx="1718310" cy="2266315"/>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3"/>
                          <a:stretch>
                            <a:fillRect/>
                          </a:stretch>
                        </pic:blipFill>
                        <pic:spPr>
                          <a:xfrm>
                            <a:off x="0" y="0"/>
                            <a:ext cx="1729740" cy="2268220"/>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54"/>
                          <a:stretch>
                            <a:fillRect/>
                          </a:stretch>
                        </pic:blipFill>
                        <pic:spPr>
                          <a:xfrm>
                            <a:off x="0" y="0"/>
                            <a:ext cx="1724025" cy="2268220"/>
                          </a:xfrm>
                          <a:prstGeom prst="rect">
                            <a:avLst/>
                          </a:prstGeom>
                          <a:noFill/>
                          <a:ln>
                            <a:noFill/>
                          </a:ln>
                        </pic:spPr>
                      </pic:pic>
                    </a:graphicData>
                  </a:graphic>
                </wp:inline>
              </w:drawing>
            </w:r>
          </w:p>
        </w:tc>
      </w:tr>
    </w:tbl>
    <w:p>
      <w:pPr>
        <w:spacing w:line="360" w:lineRule="auto"/>
        <w:jc w:val="both"/>
        <w:rPr>
          <w:rFonts w:ascii="仿宋_GB2312" w:hAnsi="Arial" w:eastAsia="仿宋_GB2312" w:cs="Arial"/>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表2：因素修正和调整系数表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案例：A</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案例：B</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案例：C</w:t>
            </w:r>
          </w:p>
        </w:tc>
      </w:tr>
      <w:tr>
        <w:tblPrEx>
          <w:tblCellMar>
            <w:top w:w="57" w:type="dxa"/>
            <w:left w:w="28" w:type="dxa"/>
            <w:bottom w:w="57" w:type="dxa"/>
            <w:right w:w="28" w:type="dxa"/>
          </w:tblCellMar>
        </w:tblPrEx>
        <w:trPr>
          <w:cantSplit/>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白檀</w:t>
            </w:r>
            <w:r>
              <w:rPr>
                <w:rFonts w:hint="eastAsia" w:ascii="Arial" w:hAnsi="Arial" w:eastAsia="仿宋_GB2312" w:cs="宋体"/>
                <w:sz w:val="18"/>
                <w:szCs w:val="18"/>
                <w:highlight w:val="none"/>
              </w:rPr>
              <w:t>小区</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开园</w:t>
            </w:r>
            <w:r>
              <w:rPr>
                <w:rFonts w:hint="eastAsia" w:ascii="Arial" w:hAnsi="Arial" w:eastAsia="仿宋_GB2312" w:cs="宋体"/>
                <w:sz w:val="18"/>
                <w:szCs w:val="18"/>
                <w:highlight w:val="none"/>
              </w:rPr>
              <w:t>小区</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阳光街</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nil"/>
              <w:left w:val="single" w:color="auto" w:sz="4" w:space="0"/>
              <w:bottom w:val="single" w:color="auto" w:sz="4" w:space="0"/>
              <w:right w:val="single" w:color="auto" w:sz="4" w:space="0"/>
            </w:tcBorders>
            <w:shd w:val="clear" w:color="auto" w:fill="auto"/>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用途</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101</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临街状况</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567" w:type="dxa"/>
            <w:tcBorders>
              <w:top w:val="nil"/>
              <w:left w:val="nil"/>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个别因素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商业类型</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建筑面积</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1.5</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建筑结构</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公共部分装修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层高</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内部装修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22064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20965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21177</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21</w:t>
            </w:r>
            <w:r>
              <w:rPr>
                <w:rFonts w:hint="eastAsia" w:ascii="Arial" w:hAnsi="Arial" w:eastAsia="仿宋_GB2312" w:cs="宋体"/>
                <w:sz w:val="18"/>
                <w:szCs w:val="18"/>
                <w:highlight w:val="none"/>
                <w:lang w:val="en-US" w:eastAsia="zh-CN"/>
              </w:rPr>
              <w:t>962</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21</w:t>
            </w:r>
            <w:r>
              <w:rPr>
                <w:rFonts w:hint="eastAsia" w:ascii="Arial" w:hAnsi="Arial" w:eastAsia="仿宋_GB2312" w:cs="宋体"/>
                <w:sz w:val="18"/>
                <w:szCs w:val="18"/>
                <w:highlight w:val="none"/>
                <w:lang w:val="en-US" w:eastAsia="zh-CN"/>
              </w:rPr>
              <w:t>393</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21</w:t>
            </w:r>
            <w:r>
              <w:rPr>
                <w:rFonts w:hint="eastAsia" w:ascii="Arial" w:hAnsi="Arial" w:eastAsia="仿宋_GB2312" w:cs="宋体"/>
                <w:sz w:val="18"/>
                <w:szCs w:val="18"/>
                <w:highlight w:val="none"/>
                <w:lang w:val="en-US" w:eastAsia="zh-CN"/>
              </w:rPr>
              <w:t>609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21</w:t>
            </w:r>
            <w:r>
              <w:rPr>
                <w:rFonts w:hint="eastAsia" w:ascii="Arial" w:hAnsi="Arial" w:eastAsia="仿宋_GB2312" w:cs="宋体"/>
                <w:sz w:val="18"/>
                <w:szCs w:val="18"/>
                <w:highlight w:val="none"/>
                <w:lang w:val="en-US" w:eastAsia="zh-CN"/>
              </w:rPr>
              <w:t>655</w:t>
            </w:r>
          </w:p>
        </w:tc>
      </w:tr>
    </w:tbl>
    <w:p>
      <w:pPr>
        <w:snapToGrid w:val="0"/>
        <w:spacing w:line="240" w:lineRule="exact"/>
        <w:ind w:firstLine="360" w:firstLineChars="200"/>
        <w:rPr>
          <w:rFonts w:ascii="Arial" w:hAnsi="Arial" w:eastAsia="仿宋_GB2312" w:cs="Arial"/>
          <w:color w:val="E36C0A"/>
          <w:sz w:val="18"/>
          <w:szCs w:val="18"/>
          <w:highlight w:val="none"/>
        </w:rPr>
      </w:pPr>
    </w:p>
    <w:p>
      <w:pPr>
        <w:keepNext w:val="0"/>
        <w:keepLines w:val="0"/>
        <w:pageBreakBefore w:val="0"/>
        <w:widowControl w:val="0"/>
        <w:kinsoku/>
        <w:wordWrap/>
        <w:overflowPunct/>
        <w:topLinePunct w:val="0"/>
        <w:bidi w:val="0"/>
        <w:adjustRightInd w:val="0"/>
        <w:snapToGrid w:val="0"/>
        <w:spacing w:line="300" w:lineRule="auto"/>
        <w:ind w:right="0" w:firstLine="560" w:firstLineChars="200"/>
        <w:rPr>
          <w:rFonts w:ascii="Arial" w:hAnsi="Arial" w:eastAsia="仿宋_GB2312" w:cs="Arial"/>
          <w:sz w:val="28"/>
          <w:highlight w:val="none"/>
        </w:rPr>
      </w:pPr>
      <w:r>
        <w:rPr>
          <w:rFonts w:hint="eastAsia" w:ascii="Arial" w:hAnsi="Arial" w:eastAsia="仿宋_GB2312" w:cs="Arial"/>
          <w:sz w:val="28"/>
          <w:highlight w:val="none"/>
        </w:rPr>
        <w:t>本次评估所选取的各可比案例与估价对象相似程度接近；通过前述各因素的修正，各可比案例修正后价格的差异程度较小。因此，本次评估取三个比较价格的简单算术平均值作为估价对象1层商业不动产楼面单价。</w:t>
      </w:r>
    </w:p>
    <w:p>
      <w:pPr>
        <w:keepNext w:val="0"/>
        <w:keepLines w:val="0"/>
        <w:pageBreakBefore w:val="0"/>
        <w:widowControl w:val="0"/>
        <w:kinsoku/>
        <w:wordWrap/>
        <w:overflowPunct/>
        <w:topLinePunct w:val="0"/>
        <w:bidi w:val="0"/>
        <w:adjustRightInd w:val="0"/>
        <w:snapToGrid w:val="0"/>
        <w:spacing w:line="300" w:lineRule="auto"/>
        <w:ind w:right="0" w:firstLine="560" w:firstLineChars="200"/>
        <w:rPr>
          <w:rFonts w:ascii="Arial" w:hAnsi="Arial" w:eastAsia="仿宋_GB2312" w:cs="Arial"/>
          <w:sz w:val="28"/>
          <w:highlight w:val="none"/>
        </w:rPr>
      </w:pPr>
      <w:r>
        <w:rPr>
          <w:rFonts w:hint="eastAsia" w:ascii="Arial" w:hAnsi="Arial" w:eastAsia="仿宋_GB2312" w:cs="Arial"/>
          <w:sz w:val="28"/>
          <w:highlight w:val="none"/>
        </w:rPr>
        <w:t xml:space="preserve">楼面单价 </w:t>
      </w:r>
    </w:p>
    <w:p>
      <w:pPr>
        <w:keepNext w:val="0"/>
        <w:keepLines w:val="0"/>
        <w:pageBreakBefore w:val="0"/>
        <w:widowControl w:val="0"/>
        <w:kinsoku/>
        <w:wordWrap/>
        <w:overflowPunct/>
        <w:topLinePunct w:val="0"/>
        <w:bidi w:val="0"/>
        <w:adjustRightInd w:val="0"/>
        <w:snapToGrid w:val="0"/>
        <w:spacing w:line="300" w:lineRule="auto"/>
        <w:ind w:right="0" w:firstLine="560" w:firstLineChars="200"/>
        <w:rPr>
          <w:rFonts w:ascii="Arial" w:hAnsi="Arial" w:eastAsia="仿宋_GB2312"/>
          <w:sz w:val="28"/>
          <w:highlight w:val="none"/>
        </w:rPr>
      </w:pPr>
      <w:r>
        <w:rPr>
          <w:rFonts w:hint="eastAsia" w:ascii="Arial" w:hAnsi="Arial" w:eastAsia="仿宋_GB2312"/>
          <w:sz w:val="28"/>
          <w:highlight w:val="none"/>
        </w:rPr>
        <w:t>＝（21</w:t>
      </w:r>
      <w:r>
        <w:rPr>
          <w:rFonts w:hint="eastAsia" w:ascii="Arial" w:hAnsi="Arial" w:eastAsia="仿宋_GB2312"/>
          <w:sz w:val="28"/>
          <w:highlight w:val="none"/>
          <w:lang w:val="en-US" w:eastAsia="zh-CN"/>
        </w:rPr>
        <w:t>962</w:t>
      </w:r>
      <w:r>
        <w:rPr>
          <w:rFonts w:hint="eastAsia" w:ascii="Arial" w:hAnsi="Arial" w:eastAsia="仿宋_GB2312"/>
          <w:sz w:val="28"/>
          <w:highlight w:val="none"/>
        </w:rPr>
        <w:t>＋2</w:t>
      </w:r>
      <w:r>
        <w:rPr>
          <w:rFonts w:hint="eastAsia" w:ascii="Arial" w:hAnsi="Arial" w:eastAsia="仿宋_GB2312"/>
          <w:sz w:val="28"/>
          <w:highlight w:val="none"/>
          <w:lang w:val="en-US" w:eastAsia="zh-CN"/>
        </w:rPr>
        <w:t>1393</w:t>
      </w:r>
      <w:r>
        <w:rPr>
          <w:rFonts w:hint="eastAsia" w:ascii="Arial" w:hAnsi="Arial" w:eastAsia="仿宋_GB2312"/>
          <w:sz w:val="28"/>
          <w:highlight w:val="none"/>
        </w:rPr>
        <w:t>＋21</w:t>
      </w:r>
      <w:r>
        <w:rPr>
          <w:rFonts w:hint="eastAsia" w:ascii="Arial" w:hAnsi="Arial" w:eastAsia="仿宋_GB2312"/>
          <w:sz w:val="28"/>
          <w:highlight w:val="none"/>
          <w:lang w:val="en-US" w:eastAsia="zh-CN"/>
        </w:rPr>
        <w:t>609</w:t>
      </w:r>
      <w:r>
        <w:rPr>
          <w:rFonts w:hint="eastAsia" w:ascii="Arial" w:hAnsi="Arial" w:eastAsia="仿宋_GB2312"/>
          <w:sz w:val="28"/>
          <w:highlight w:val="none"/>
        </w:rPr>
        <w:t>）÷</w:t>
      </w:r>
      <w:r>
        <w:rPr>
          <w:rFonts w:ascii="Arial" w:hAnsi="Arial" w:eastAsia="仿宋_GB2312"/>
          <w:sz w:val="28"/>
          <w:highlight w:val="none"/>
        </w:rPr>
        <w:t>3</w:t>
      </w:r>
    </w:p>
    <w:p>
      <w:pPr>
        <w:keepNext w:val="0"/>
        <w:keepLines w:val="0"/>
        <w:pageBreakBefore w:val="0"/>
        <w:widowControl w:val="0"/>
        <w:kinsoku/>
        <w:wordWrap/>
        <w:overflowPunct/>
        <w:topLinePunct w:val="0"/>
        <w:bidi w:val="0"/>
        <w:adjustRightInd w:val="0"/>
        <w:snapToGrid w:val="0"/>
        <w:spacing w:line="300" w:lineRule="auto"/>
        <w:ind w:right="0" w:firstLine="560" w:firstLineChars="20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bCs/>
          <w:sz w:val="28"/>
          <w:highlight w:val="none"/>
        </w:rPr>
        <w:t>21</w:t>
      </w:r>
      <w:r>
        <w:rPr>
          <w:rFonts w:hint="eastAsia" w:ascii="Arial" w:hAnsi="Arial" w:eastAsia="仿宋_GB2312"/>
          <w:bCs/>
          <w:sz w:val="28"/>
          <w:highlight w:val="none"/>
          <w:lang w:val="en-US" w:eastAsia="zh-CN"/>
        </w:rPr>
        <w:t>655</w:t>
      </w:r>
      <w:r>
        <w:rPr>
          <w:rFonts w:hint="eastAsia" w:ascii="Arial" w:hAnsi="Arial" w:eastAsia="仿宋_GB2312"/>
          <w:sz w:val="28"/>
          <w:highlight w:val="none"/>
        </w:rPr>
        <w:t>（元</w:t>
      </w:r>
      <w:r>
        <w:rPr>
          <w:rFonts w:ascii="Arial" w:hAnsi="Arial" w:eastAsia="仿宋_GB2312"/>
          <w:sz w:val="28"/>
          <w:highlight w:val="none"/>
        </w:rPr>
        <w:t>/</w:t>
      </w:r>
      <w:r>
        <w:rPr>
          <w:rFonts w:hint="eastAsia" w:ascii="Arial" w:hAnsi="Arial" w:eastAsia="仿宋_GB2312"/>
          <w:sz w:val="28"/>
          <w:highlight w:val="none"/>
        </w:rPr>
        <w:t>平方米）</w:t>
      </w:r>
    </w:p>
    <w:p>
      <w:pPr>
        <w:keepNext w:val="0"/>
        <w:keepLines w:val="0"/>
        <w:pageBreakBefore w:val="0"/>
        <w:widowControl w:val="0"/>
        <w:kinsoku/>
        <w:wordWrap/>
        <w:overflowPunct/>
        <w:topLinePunct w:val="0"/>
        <w:bidi w:val="0"/>
        <w:adjustRightInd w:val="0"/>
        <w:snapToGrid w:val="0"/>
        <w:spacing w:line="300" w:lineRule="auto"/>
        <w:ind w:right="0" w:firstLine="570"/>
        <w:rPr>
          <w:rFonts w:ascii="Arial" w:hAnsi="Arial" w:eastAsia="仿宋_GB2312"/>
          <w:sz w:val="28"/>
          <w:highlight w:val="none"/>
        </w:rPr>
      </w:pPr>
      <w:r>
        <w:rPr>
          <w:rFonts w:hint="eastAsia" w:ascii="Arial" w:hAnsi="Arial" w:eastAsia="仿宋_GB2312"/>
          <w:sz w:val="28"/>
          <w:highlight w:val="none"/>
        </w:rPr>
        <w:t>不动产总价</w:t>
      </w:r>
    </w:p>
    <w:p>
      <w:pPr>
        <w:keepNext w:val="0"/>
        <w:keepLines w:val="0"/>
        <w:pageBreakBefore w:val="0"/>
        <w:widowControl w:val="0"/>
        <w:kinsoku/>
        <w:wordWrap/>
        <w:overflowPunct/>
        <w:topLinePunct w:val="0"/>
        <w:bidi w:val="0"/>
        <w:adjustRightInd w:val="0"/>
        <w:snapToGrid w:val="0"/>
        <w:spacing w:line="300" w:lineRule="auto"/>
        <w:ind w:right="0" w:firstLine="570"/>
        <w:rPr>
          <w:rFonts w:ascii="Arial" w:hAnsi="Arial" w:eastAsia="仿宋_GB2312"/>
          <w:sz w:val="28"/>
          <w:highlight w:val="none"/>
        </w:rPr>
      </w:pPr>
      <w:r>
        <w:rPr>
          <w:rFonts w:hint="eastAsia" w:ascii="Arial" w:hAnsi="Arial" w:eastAsia="仿宋_GB2312"/>
          <w:sz w:val="28"/>
          <w:highlight w:val="none"/>
        </w:rPr>
        <w:t>＝21</w:t>
      </w:r>
      <w:r>
        <w:rPr>
          <w:rFonts w:hint="eastAsia" w:ascii="Arial" w:hAnsi="Arial" w:eastAsia="仿宋_GB2312"/>
          <w:sz w:val="28"/>
          <w:highlight w:val="none"/>
          <w:lang w:val="en-US" w:eastAsia="zh-CN"/>
        </w:rPr>
        <w:t>655</w:t>
      </w:r>
      <w:r>
        <w:rPr>
          <w:rFonts w:hint="eastAsia" w:ascii="Arial" w:hAnsi="Arial" w:eastAsia="仿宋_GB2312"/>
          <w:sz w:val="28"/>
          <w:highlight w:val="none"/>
        </w:rPr>
        <w:t>×</w:t>
      </w:r>
      <w:r>
        <w:rPr>
          <w:rFonts w:hint="eastAsia" w:ascii="Arial" w:hAnsi="Arial" w:eastAsia="仿宋_GB2312"/>
          <w:sz w:val="28"/>
          <w:highlight w:val="none"/>
          <w:lang w:eastAsia="zh-CN"/>
        </w:rPr>
        <w:t>207.45</w:t>
      </w:r>
      <w:r>
        <w:rPr>
          <w:rFonts w:hint="eastAsia" w:ascii="Arial" w:hAnsi="Arial" w:eastAsia="仿宋_GB2312"/>
          <w:sz w:val="28"/>
          <w:highlight w:val="none"/>
        </w:rPr>
        <w:t>÷10000</w:t>
      </w:r>
    </w:p>
    <w:p>
      <w:pPr>
        <w:keepNext w:val="0"/>
        <w:keepLines w:val="0"/>
        <w:pageBreakBefore w:val="0"/>
        <w:widowControl w:val="0"/>
        <w:kinsoku/>
        <w:wordWrap/>
        <w:overflowPunct/>
        <w:topLinePunct w:val="0"/>
        <w:bidi w:val="0"/>
        <w:adjustRightInd w:val="0"/>
        <w:snapToGrid w:val="0"/>
        <w:spacing w:line="300" w:lineRule="auto"/>
        <w:ind w:right="0" w:firstLine="570"/>
        <w:rPr>
          <w:rFonts w:ascii="Arial" w:hAnsi="Arial" w:eastAsia="仿宋_GB2312"/>
          <w:highlight w:val="none"/>
        </w:rPr>
      </w:pPr>
      <w:r>
        <w:rPr>
          <w:rFonts w:hint="eastAsia" w:ascii="Arial" w:hAnsi="Arial" w:eastAsia="仿宋_GB2312"/>
          <w:sz w:val="28"/>
          <w:highlight w:val="none"/>
        </w:rPr>
        <w:t>＝</w:t>
      </w:r>
      <w:r>
        <w:rPr>
          <w:rFonts w:hint="eastAsia" w:ascii="Arial" w:hAnsi="Arial" w:eastAsia="仿宋_GB2312"/>
          <w:sz w:val="28"/>
          <w:highlight w:val="none"/>
          <w:lang w:val="en-US" w:eastAsia="zh-CN"/>
        </w:rPr>
        <w:t>449.2330</w:t>
      </w:r>
      <w:r>
        <w:rPr>
          <w:rFonts w:hint="eastAsia" w:ascii="Arial" w:hAnsi="Arial" w:eastAsia="仿宋_GB2312"/>
          <w:sz w:val="28"/>
          <w:highlight w:val="none"/>
        </w:rPr>
        <w:t>（万元）</w:t>
      </w:r>
    </w:p>
    <w:p>
      <w:pPr>
        <w:keepNext w:val="0"/>
        <w:keepLines w:val="0"/>
        <w:pageBreakBefore w:val="0"/>
        <w:widowControl w:val="0"/>
        <w:numPr>
          <w:ilvl w:val="0"/>
          <w:numId w:val="7"/>
        </w:numPr>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ascii="Arial" w:hAnsi="Arial" w:eastAsia="仿宋_GB2312" w:cs="Arial"/>
          <w:sz w:val="28"/>
          <w:highlight w:val="none"/>
        </w:rPr>
        <w:t>开发成本</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A.建造成本</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（A）建安费用</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根据评估专业人员的调查，北京市商业类型建筑的建安水平一般在2800-4000元/平方米之间，估价对象</w:t>
      </w:r>
      <w:r>
        <w:rPr>
          <w:rFonts w:hint="eastAsia" w:ascii="Arial" w:hAnsi="Arial" w:eastAsia="仿宋_GB2312" w:cs="Arial"/>
          <w:sz w:val="28"/>
          <w:highlight w:val="none"/>
          <w:lang w:eastAsia="zh-CN"/>
        </w:rPr>
        <w:t>所属楼宇</w:t>
      </w:r>
      <w:r>
        <w:rPr>
          <w:rFonts w:hint="eastAsia" w:ascii="Arial" w:hAnsi="Arial" w:eastAsia="仿宋_GB2312" w:cs="Arial"/>
          <w:sz w:val="28"/>
          <w:highlight w:val="none"/>
        </w:rPr>
        <w:t>为一幢地上6层，钢筋混凝土结构的住宅配套商业楼，外立面为涂料</w:t>
      </w:r>
      <w:r>
        <w:rPr>
          <w:rFonts w:hint="eastAsia" w:ascii="Arial" w:hAnsi="Arial" w:eastAsia="仿宋_GB2312" w:cs="Arial"/>
          <w:sz w:val="28"/>
          <w:highlight w:val="none"/>
          <w:lang w:eastAsia="zh-CN"/>
        </w:rPr>
        <w:t>。估价对象位于其</w:t>
      </w:r>
      <w:r>
        <w:rPr>
          <w:rFonts w:hint="eastAsia" w:ascii="Arial" w:hAnsi="Arial" w:eastAsia="仿宋_GB2312" w:cs="Arial"/>
          <w:sz w:val="28"/>
          <w:highlight w:val="none"/>
          <w:lang w:val="en-US" w:eastAsia="zh-CN"/>
        </w:rPr>
        <w:t>1-2</w:t>
      </w:r>
      <w:r>
        <w:rPr>
          <w:rFonts w:hint="eastAsia" w:ascii="Arial" w:hAnsi="Arial" w:eastAsia="仿宋_GB2312" w:cs="Arial"/>
          <w:sz w:val="28"/>
          <w:highlight w:val="none"/>
          <w:lang w:eastAsia="zh-CN"/>
        </w:rPr>
        <w:t>层，</w:t>
      </w:r>
      <w:r>
        <w:rPr>
          <w:rFonts w:hint="eastAsia" w:ascii="Arial" w:hAnsi="Arial" w:eastAsia="仿宋_GB2312" w:cs="Arial"/>
          <w:sz w:val="28"/>
          <w:highlight w:val="none"/>
        </w:rPr>
        <w:t>室内公共部分装修为普通装修，室内装修为普通装修，楼内未设立电梯设备</w:t>
      </w:r>
      <w:r>
        <w:rPr>
          <w:rFonts w:hint="eastAsia" w:ascii="Arial" w:hAnsi="Arial" w:eastAsia="仿宋_GB2312" w:cs="Arial"/>
          <w:sz w:val="28"/>
          <w:highlight w:val="none"/>
          <w:lang w:eastAsia="zh-CN"/>
        </w:rPr>
        <w:t>，</w:t>
      </w:r>
      <w:r>
        <w:rPr>
          <w:rFonts w:hint="eastAsia" w:ascii="Arial" w:hAnsi="Arial" w:eastAsia="仿宋_GB2312" w:cs="Arial"/>
          <w:sz w:val="28"/>
          <w:highlight w:val="none"/>
        </w:rPr>
        <w:t>本次评估参考该地区现行工程概预算定额以及同类建筑的建安水平，同时考虑估价对象建筑结构、设备与装修标准等，综合确定建安费用为3500元/平方米，则有：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建安费用＝单方造价×建筑面积＝3500×</w:t>
      </w:r>
      <w:r>
        <w:rPr>
          <w:rFonts w:hint="eastAsia" w:ascii="Arial" w:hAnsi="Arial" w:eastAsia="仿宋_GB2312" w:cs="Arial"/>
          <w:sz w:val="28"/>
          <w:highlight w:val="none"/>
          <w:lang w:eastAsia="zh-CN"/>
        </w:rPr>
        <w:t>207.45</w:t>
      </w:r>
      <w:r>
        <w:rPr>
          <w:rFonts w:hint="eastAsia" w:ascii="Arial" w:hAnsi="Arial" w:eastAsia="仿宋_GB2312" w:cs="Arial"/>
          <w:sz w:val="28"/>
          <w:highlight w:val="none"/>
        </w:rPr>
        <w:t>÷10000＝</w:t>
      </w:r>
      <w:r>
        <w:rPr>
          <w:rFonts w:hint="eastAsia" w:ascii="Arial" w:hAnsi="Arial" w:eastAsia="仿宋_GB2312" w:cs="Arial"/>
          <w:sz w:val="28"/>
          <w:highlight w:val="none"/>
          <w:lang w:val="en-US" w:eastAsia="zh-CN"/>
        </w:rPr>
        <w:t>72.6075</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（B）勘查设计和前期工程费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3%取费，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勘查设计和前期工程费＝建安费用×取费标准＝</w:t>
      </w:r>
      <w:r>
        <w:rPr>
          <w:rFonts w:hint="eastAsia" w:ascii="Arial" w:hAnsi="Arial" w:eastAsia="仿宋_GB2312" w:cs="Arial"/>
          <w:sz w:val="28"/>
          <w:highlight w:val="none"/>
          <w:lang w:val="en-US" w:eastAsia="zh-CN"/>
        </w:rPr>
        <w:t>72.6075</w:t>
      </w:r>
      <w:r>
        <w:rPr>
          <w:rFonts w:hint="eastAsia" w:ascii="Arial" w:hAnsi="Arial" w:eastAsia="仿宋_GB2312" w:cs="Arial"/>
          <w:sz w:val="28"/>
          <w:highlight w:val="none"/>
        </w:rPr>
        <w:t>×3%＝</w:t>
      </w:r>
      <w:r>
        <w:rPr>
          <w:rFonts w:hint="eastAsia" w:ascii="Arial" w:hAnsi="Arial" w:eastAsia="仿宋_GB2312" w:cs="Arial"/>
          <w:sz w:val="28"/>
          <w:highlight w:val="none"/>
          <w:lang w:val="en-US" w:eastAsia="zh-CN"/>
        </w:rPr>
        <w:t>2.1782</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（C）公共配套设施费用</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（D）红线内市政基础设施费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200元/平方米，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＝建筑面积×取费标准</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207.45</w:t>
      </w:r>
      <w:r>
        <w:rPr>
          <w:rFonts w:hint="eastAsia" w:ascii="Arial" w:hAnsi="Arial" w:eastAsia="仿宋_GB2312" w:cs="Arial"/>
          <w:sz w:val="28"/>
          <w:highlight w:val="none"/>
        </w:rPr>
        <w:t>×200</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4.1490</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（E）相关税费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相关税费＝建安费用×取费标准＝</w:t>
      </w:r>
      <w:r>
        <w:rPr>
          <w:rFonts w:hint="eastAsia" w:ascii="Arial" w:hAnsi="Arial" w:eastAsia="仿宋_GB2312" w:cs="Arial"/>
          <w:sz w:val="28"/>
          <w:highlight w:val="none"/>
          <w:lang w:val="en-US" w:eastAsia="zh-CN"/>
        </w:rPr>
        <w:t>72.6075</w:t>
      </w:r>
      <w:r>
        <w:rPr>
          <w:rFonts w:hint="eastAsia" w:ascii="Arial" w:hAnsi="Arial" w:eastAsia="仿宋_GB2312" w:cs="Arial"/>
          <w:sz w:val="28"/>
          <w:highlight w:val="none"/>
        </w:rPr>
        <w:t>×1.5%＝</w:t>
      </w:r>
      <w:r>
        <w:rPr>
          <w:rFonts w:hint="eastAsia" w:ascii="Arial" w:hAnsi="Arial" w:eastAsia="仿宋_GB2312" w:cs="Arial"/>
          <w:sz w:val="28"/>
          <w:highlight w:val="none"/>
          <w:lang w:val="en-US" w:eastAsia="zh-CN"/>
        </w:rPr>
        <w:t>1.0891</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（F）建造成本</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建造成本为上述5项之和，则有：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w:t>
      </w:r>
      <w:r>
        <w:rPr>
          <w:rFonts w:hint="eastAsia" w:ascii="Arial" w:hAnsi="Arial" w:eastAsia="仿宋_GB2312" w:cs="Arial"/>
          <w:sz w:val="28"/>
          <w:highlight w:val="none"/>
          <w:lang w:val="en-US" w:eastAsia="zh-CN"/>
        </w:rPr>
        <w:t>72.6075</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2.1782</w:t>
      </w:r>
      <w:r>
        <w:rPr>
          <w:rFonts w:hint="eastAsia" w:ascii="Arial" w:hAnsi="Arial" w:eastAsia="仿宋_GB2312" w:cs="Arial"/>
          <w:sz w:val="28"/>
          <w:highlight w:val="none"/>
        </w:rPr>
        <w:t>＋0＋</w:t>
      </w:r>
      <w:r>
        <w:rPr>
          <w:rFonts w:hint="eastAsia" w:ascii="Arial" w:hAnsi="Arial" w:eastAsia="仿宋_GB2312" w:cs="Arial"/>
          <w:sz w:val="28"/>
          <w:highlight w:val="none"/>
          <w:lang w:val="en-US" w:eastAsia="zh-CN"/>
        </w:rPr>
        <w:t>4.1490</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1.0891</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B.管理费用</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是房地产开发商为组织和管理房地产开发经营活动的必要支出，主要包括人员工资、办公费、差旅费等，根据估价对象所处区域房地产开发市场的一般情况，并结合估价对象的实际情况，按照建造成本的1%计算，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＝建造成本×取费标准</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×1%</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0.8002</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C.贷款利息</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估价对象建筑物建设期为1年。建造成本、管理费用于建设期内均匀投入，取0～1年期固定资产贷款年利息率4.35%，以单利计息。则有：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贷款利息</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0.8002</w:t>
      </w:r>
      <w:r>
        <w:rPr>
          <w:rFonts w:hint="eastAsia" w:ascii="Arial" w:hAnsi="Arial" w:eastAsia="仿宋_GB2312" w:cs="Arial"/>
          <w:sz w:val="28"/>
          <w:highlight w:val="none"/>
        </w:rPr>
        <w:t>)×4.35%×1/2</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1.7579</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仿宋_GB2312" w:eastAsia="仿宋_GB2312"/>
          <w:sz w:val="28"/>
          <w:highlight w:val="none"/>
        </w:rPr>
      </w:pPr>
      <w:r>
        <w:rPr>
          <w:rFonts w:hint="eastAsia" w:ascii="Arial" w:hAnsi="Arial" w:eastAsia="仿宋_GB2312"/>
          <w:sz w:val="28"/>
          <w:highlight w:val="none"/>
        </w:rPr>
        <w:t>D.</w:t>
      </w:r>
      <w:r>
        <w:rPr>
          <w:rFonts w:hint="eastAsia" w:ascii="仿宋_GB2312" w:eastAsia="仿宋_GB2312"/>
          <w:sz w:val="28"/>
          <w:highlight w:val="none"/>
        </w:rPr>
        <w:t>开发利润（投资利润）</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位于北京市密云区西门外大街，为住宅配套商业项目，周边同类、同体量项目的开发利润经调查可知，利润率一般在20%～25%之间，计算基数为建造成本及管理费用，依前述计算，本次评估取综合利润率为20%。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0.8002</w:t>
      </w:r>
      <w:r>
        <w:rPr>
          <w:rFonts w:hint="eastAsia" w:ascii="Arial" w:hAnsi="Arial" w:eastAsia="仿宋_GB2312" w:cs="Arial"/>
          <w:sz w:val="28"/>
          <w:highlight w:val="none"/>
        </w:rPr>
        <w:t>）×20%</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16.1648</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E.房屋现值</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房屋现值为房屋重置成新价乘以成新率计算。房屋重置成新价为建造成本、管理费用、利息（不含地价及购地税费产生的利息）、利润（不含地价及购地税费产生的利润）之和。则有：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房屋重置成新价＝</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0.8002</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1.7579</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16.1648</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98.7467</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成新度＝1-（1-残值率）×已经使用年限÷经济耐用年限＝1-（1-0%）×18÷60＝70%</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房屋现值＝房屋重置成新价×成新率＝</w:t>
      </w:r>
      <w:r>
        <w:rPr>
          <w:rFonts w:hint="eastAsia" w:ascii="Arial" w:hAnsi="Arial" w:eastAsia="仿宋_GB2312" w:cs="Arial"/>
          <w:sz w:val="28"/>
          <w:highlight w:val="none"/>
          <w:lang w:eastAsia="zh-CN"/>
        </w:rPr>
        <w:t>98.7467</w:t>
      </w:r>
      <w:r>
        <w:rPr>
          <w:rFonts w:hint="eastAsia" w:ascii="Arial" w:hAnsi="Arial" w:eastAsia="仿宋_GB2312" w:cs="Arial"/>
          <w:sz w:val="28"/>
          <w:highlight w:val="none"/>
        </w:rPr>
        <w:t>×70%＝</w:t>
      </w:r>
      <w:r>
        <w:rPr>
          <w:rFonts w:hint="eastAsia" w:ascii="Arial" w:hAnsi="Arial" w:eastAsia="仿宋_GB2312" w:cs="Arial"/>
          <w:sz w:val="28"/>
          <w:highlight w:val="none"/>
          <w:lang w:eastAsia="zh-CN"/>
        </w:rPr>
        <w:t>69.1227</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7.相关税费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（1）增值税及附加</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家及北京市相关规定，增值税及附加（城市维护建设税、教育费附加及地方教育附加）税率合计为5.5%（其中增值税征收率为5%，附加税费为0.5%）。由于增值税的计税销售额为不含税销售额，故以估价对象不动产总价扣除增值税税额为基数计缴。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ascii="Arial" w:hAnsi="Arial" w:eastAsia="仿宋_GB2312" w:cs="Arial"/>
          <w:sz w:val="28"/>
          <w:highlight w:val="none"/>
        </w:rPr>
        <w:t>销售税费＝</w:t>
      </w:r>
      <w:r>
        <w:rPr>
          <w:rFonts w:hint="eastAsia" w:ascii="Arial" w:hAnsi="Arial" w:eastAsia="仿宋_GB2312" w:cs="Arial"/>
          <w:sz w:val="28"/>
          <w:highlight w:val="none"/>
          <w:lang w:val="en-US" w:eastAsia="zh-CN"/>
        </w:rPr>
        <w:t>449.2330</w:t>
      </w:r>
      <w:r>
        <w:rPr>
          <w:rFonts w:hint="eastAsia" w:ascii="楷体_GB2312" w:hAnsi="楷体" w:eastAsia="楷体_GB2312"/>
          <w:sz w:val="28"/>
          <w:highlight w:val="none"/>
        </w:rPr>
        <w:t>÷（</w:t>
      </w:r>
      <w:r>
        <w:rPr>
          <w:rFonts w:hint="eastAsia" w:ascii="Arial" w:hAnsi="Arial" w:eastAsia="楷体_GB2312"/>
          <w:sz w:val="28"/>
          <w:highlight w:val="none"/>
        </w:rPr>
        <w:t>1</w:t>
      </w:r>
      <w:r>
        <w:rPr>
          <w:rFonts w:hint="eastAsia" w:ascii="楷体_GB2312" w:hAnsi="楷体" w:eastAsia="楷体_GB2312"/>
          <w:sz w:val="28"/>
          <w:highlight w:val="none"/>
        </w:rPr>
        <w:t>+</w:t>
      </w:r>
      <w:r>
        <w:rPr>
          <w:rFonts w:hint="eastAsia" w:ascii="Arial" w:hAnsi="Arial" w:eastAsia="楷体_GB2312"/>
          <w:sz w:val="28"/>
          <w:highlight w:val="none"/>
        </w:rPr>
        <w:t>5</w:t>
      </w:r>
      <w:r>
        <w:rPr>
          <w:rFonts w:hint="eastAsia" w:ascii="Arial" w:hAnsi="Arial" w:eastAsia="仿宋_GB2312" w:cs="Arial"/>
          <w:sz w:val="28"/>
          <w:highlight w:val="none"/>
        </w:rPr>
        <w:t>%</w:t>
      </w:r>
      <w:r>
        <w:rPr>
          <w:rFonts w:hint="eastAsia" w:ascii="楷体_GB2312" w:hAnsi="楷体" w:eastAsia="楷体_GB2312"/>
          <w:sz w:val="28"/>
          <w:highlight w:val="none"/>
        </w:rPr>
        <w:t>）</w:t>
      </w:r>
      <w:r>
        <w:rPr>
          <w:rFonts w:hint="eastAsia" w:ascii="Arial" w:hAnsi="Arial" w:eastAsia="仿宋_GB2312" w:cs="Arial"/>
          <w:sz w:val="28"/>
          <w:highlight w:val="none"/>
        </w:rPr>
        <w:t>×</w:t>
      </w:r>
      <w:r>
        <w:rPr>
          <w:rFonts w:ascii="Arial" w:hAnsi="Arial" w:eastAsia="仿宋_GB2312" w:cs="Arial"/>
          <w:sz w:val="28"/>
          <w:highlight w:val="none"/>
        </w:rPr>
        <w:t>5.</w:t>
      </w:r>
      <w:r>
        <w:rPr>
          <w:rFonts w:hint="eastAsia" w:ascii="Arial" w:hAnsi="Arial" w:eastAsia="仿宋_GB2312" w:cs="Arial"/>
          <w:sz w:val="28"/>
          <w:highlight w:val="none"/>
        </w:rPr>
        <w:t>5</w:t>
      </w:r>
      <w:r>
        <w:rPr>
          <w:rFonts w:ascii="Arial" w:hAnsi="Arial" w:eastAsia="仿宋_GB2312" w:cs="Arial"/>
          <w:sz w:val="28"/>
          <w:highlight w:val="none"/>
        </w:rPr>
        <w:t>%＝</w:t>
      </w:r>
      <w:r>
        <w:rPr>
          <w:rFonts w:hint="eastAsia" w:ascii="Arial" w:hAnsi="Arial" w:eastAsia="仿宋_GB2312" w:cs="Arial"/>
          <w:sz w:val="28"/>
          <w:highlight w:val="none"/>
          <w:lang w:eastAsia="zh-CN"/>
        </w:rPr>
        <w:t>23.5313</w:t>
      </w:r>
      <w:r>
        <w:rPr>
          <w:rFonts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2" w:firstLineChars="201"/>
        <w:jc w:val="both"/>
        <w:rPr>
          <w:rFonts w:ascii="仿宋_GB2312" w:hAnsi="Arial" w:eastAsia="仿宋_GB2312"/>
          <w:sz w:val="28"/>
          <w:highlight w:val="none"/>
        </w:rPr>
      </w:pPr>
      <w:r>
        <w:rPr>
          <w:rFonts w:hint="eastAsia" w:ascii="Arial" w:hAnsi="Arial" w:eastAsia="仿宋_GB2312"/>
          <w:sz w:val="28"/>
          <w:highlight w:val="none"/>
        </w:rPr>
        <w:t>（</w:t>
      </w:r>
      <w:r>
        <w:rPr>
          <w:rFonts w:hint="eastAsia" w:ascii="仿宋_GB2312" w:hAnsi="Arial" w:eastAsia="仿宋_GB2312"/>
          <w:sz w:val="28"/>
          <w:highlight w:val="none"/>
        </w:rPr>
        <w:t>2）销售费用</w:t>
      </w:r>
    </w:p>
    <w:p>
      <w:pPr>
        <w:keepNext w:val="0"/>
        <w:keepLines w:val="0"/>
        <w:pageBreakBefore w:val="0"/>
        <w:widowControl w:val="0"/>
        <w:kinsoku/>
        <w:wordWrap/>
        <w:overflowPunct/>
        <w:topLinePunct w:val="0"/>
        <w:bidi w:val="0"/>
        <w:adjustRightInd w:val="0"/>
        <w:snapToGrid w:val="0"/>
        <w:spacing w:line="300" w:lineRule="auto"/>
        <w:ind w:right="0" w:firstLine="562" w:firstLineChars="201"/>
        <w:jc w:val="both"/>
        <w:rPr>
          <w:rFonts w:ascii="仿宋_GB2312" w:hAnsi="Arial" w:eastAsia="仿宋_GB2312"/>
          <w:sz w:val="28"/>
          <w:highlight w:val="none"/>
        </w:rPr>
      </w:pPr>
      <w:r>
        <w:rPr>
          <w:rFonts w:hint="eastAsia" w:ascii="仿宋_GB2312" w:hAnsi="Arial" w:eastAsia="仿宋_GB2312"/>
          <w:sz w:val="28"/>
          <w:highlight w:val="none"/>
        </w:rPr>
        <w:t>销售费用指预售或销售房地产的必要支出，包括广告费、销售资料制作费、样板房或样板间建设费、售楼处建设费、销售人员费或者销售代理费等。销售费用通常按照</w:t>
      </w:r>
      <w:r>
        <w:rPr>
          <w:rFonts w:hint="eastAsia" w:ascii="仿宋_GB2312" w:eastAsia="仿宋_GB2312"/>
          <w:sz w:val="28"/>
          <w:highlight w:val="none"/>
        </w:rPr>
        <w:t>售价（即不动产总价）</w:t>
      </w:r>
      <w:r>
        <w:rPr>
          <w:rFonts w:hint="eastAsia" w:ascii="仿宋_GB2312" w:hAnsi="Arial" w:eastAsia="仿宋_GB2312"/>
          <w:sz w:val="28"/>
          <w:highlight w:val="none"/>
        </w:rPr>
        <w:t>的一定比例来测算。</w:t>
      </w:r>
      <w:r>
        <w:rPr>
          <w:rFonts w:hint="eastAsia" w:ascii="仿宋_GB2312" w:eastAsia="仿宋_GB2312"/>
          <w:sz w:val="28"/>
          <w:highlight w:val="none"/>
        </w:rPr>
        <w:t>结合项目特点及市场客观水平</w:t>
      </w:r>
      <w:r>
        <w:rPr>
          <w:rFonts w:hint="eastAsia" w:ascii="仿宋_GB2312" w:hAnsi="Arial" w:eastAsia="仿宋_GB2312"/>
          <w:sz w:val="28"/>
          <w:highlight w:val="none"/>
        </w:rPr>
        <w:t>，确定销售费用按</w:t>
      </w:r>
      <w:r>
        <w:rPr>
          <w:rFonts w:hint="eastAsia" w:ascii="仿宋_GB2312" w:eastAsia="仿宋_GB2312"/>
          <w:sz w:val="28"/>
          <w:highlight w:val="none"/>
        </w:rPr>
        <w:t>不动产总价</w:t>
      </w:r>
      <w:r>
        <w:rPr>
          <w:rFonts w:hint="eastAsia" w:ascii="仿宋_GB2312" w:hAnsi="Arial" w:eastAsia="仿宋_GB2312"/>
          <w:sz w:val="28"/>
          <w:highlight w:val="none"/>
        </w:rPr>
        <w:t>的</w:t>
      </w:r>
      <w:r>
        <w:rPr>
          <w:rFonts w:hint="eastAsia" w:ascii="Arial" w:hAnsi="Arial" w:eastAsia="仿宋_GB2312"/>
          <w:sz w:val="28"/>
          <w:highlight w:val="none"/>
        </w:rPr>
        <w:t>1</w:t>
      </w:r>
      <w:r>
        <w:rPr>
          <w:rFonts w:ascii="Arial" w:hAnsi="Arial" w:eastAsia="仿宋_GB2312" w:cs="Arial"/>
          <w:sz w:val="28"/>
          <w:highlight w:val="none"/>
        </w:rPr>
        <w:t>%</w:t>
      </w:r>
      <w:r>
        <w:rPr>
          <w:rFonts w:hint="eastAsia" w:ascii="仿宋_GB2312" w:hAnsi="Arial" w:eastAsia="仿宋_GB2312"/>
          <w:sz w:val="28"/>
          <w:highlight w:val="none"/>
        </w:rPr>
        <w:t>计算。</w:t>
      </w:r>
    </w:p>
    <w:p>
      <w:pPr>
        <w:keepNext w:val="0"/>
        <w:keepLines w:val="0"/>
        <w:pageBreakBefore w:val="0"/>
        <w:widowControl w:val="0"/>
        <w:kinsoku/>
        <w:wordWrap/>
        <w:overflowPunct/>
        <w:topLinePunct w:val="0"/>
        <w:bidi w:val="0"/>
        <w:adjustRightInd w:val="0"/>
        <w:snapToGrid w:val="0"/>
        <w:spacing w:line="300" w:lineRule="auto"/>
        <w:ind w:right="0" w:firstLine="562" w:firstLineChars="201"/>
        <w:jc w:val="both"/>
        <w:rPr>
          <w:rFonts w:ascii="Arial" w:hAnsi="Arial" w:eastAsia="仿宋_GB2312" w:cs="Arial"/>
          <w:sz w:val="28"/>
          <w:highlight w:val="none"/>
        </w:rPr>
      </w:pPr>
      <w:r>
        <w:rPr>
          <w:rFonts w:hint="eastAsia" w:ascii="Arial" w:hAnsi="Arial" w:eastAsia="仿宋_GB2312" w:cs="Arial"/>
          <w:sz w:val="28"/>
          <w:highlight w:val="none"/>
        </w:rPr>
        <w:t>销售费用</w:t>
      </w:r>
      <w:r>
        <w:rPr>
          <w:rFonts w:hint="eastAsia" w:ascii="仿宋_GB2312" w:eastAsia="仿宋_GB2312"/>
          <w:sz w:val="28"/>
          <w:highlight w:val="none"/>
        </w:rPr>
        <w:t>＝</w:t>
      </w:r>
      <w:r>
        <w:rPr>
          <w:rFonts w:hint="eastAsia" w:ascii="Arial" w:hAnsi="Arial" w:eastAsia="仿宋_GB2312" w:cs="Arial"/>
          <w:sz w:val="28"/>
          <w:highlight w:val="none"/>
          <w:lang w:val="en-US" w:eastAsia="zh-CN"/>
        </w:rPr>
        <w:t>449.2330</w:t>
      </w:r>
      <w:r>
        <w:rPr>
          <w:rFonts w:ascii="Arial" w:hAnsi="Arial" w:eastAsia="仿宋_GB2312" w:cs="Arial"/>
          <w:sz w:val="28"/>
          <w:highlight w:val="none"/>
        </w:rPr>
        <w:t>×</w:t>
      </w:r>
      <w:r>
        <w:rPr>
          <w:rFonts w:hint="eastAsia" w:ascii="Arial" w:hAnsi="Arial" w:eastAsia="仿宋_GB2312" w:cs="Arial"/>
          <w:sz w:val="28"/>
          <w:highlight w:val="none"/>
        </w:rPr>
        <w:t>1</w:t>
      </w:r>
      <w:r>
        <w:rPr>
          <w:rFonts w:ascii="Arial" w:hAnsi="Arial" w:eastAsia="仿宋_GB2312" w:cs="Arial"/>
          <w:sz w:val="28"/>
          <w:highlight w:val="none"/>
        </w:rPr>
        <w:t>%</w:t>
      </w:r>
      <w:r>
        <w:rPr>
          <w:rFonts w:hint="eastAsia" w:ascii="仿宋_GB2312" w:eastAsia="仿宋_GB2312"/>
          <w:sz w:val="28"/>
          <w:highlight w:val="none"/>
        </w:rPr>
        <w:t>＝</w:t>
      </w:r>
      <w:r>
        <w:rPr>
          <w:rFonts w:hint="eastAsia" w:ascii="Arial" w:hAnsi="Arial" w:eastAsia="仿宋_GB2312" w:cs="Arial"/>
          <w:sz w:val="28"/>
          <w:highlight w:val="none"/>
          <w:lang w:val="en-US" w:eastAsia="zh-CN"/>
        </w:rPr>
        <w:t>4.4923</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sz w:val="28"/>
          <w:highlight w:val="none"/>
        </w:rPr>
      </w:pPr>
      <w:r>
        <w:rPr>
          <w:rFonts w:hint="eastAsia" w:ascii="Arial" w:hAnsi="Arial" w:eastAsia="仿宋_GB2312"/>
          <w:sz w:val="28"/>
          <w:highlight w:val="none"/>
        </w:rPr>
        <w:t>（3）购地税费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sz w:val="28"/>
          <w:highlight w:val="none"/>
        </w:rPr>
      </w:pPr>
      <w:r>
        <w:rPr>
          <w:rFonts w:hint="eastAsia" w:ascii="仿宋_GB2312" w:eastAsia="仿宋_GB2312"/>
          <w:color w:val="000000"/>
          <w:sz w:val="28"/>
          <w:highlight w:val="none"/>
        </w:rPr>
        <w:t>估价对象税费主要为契税及印花税，税率为</w:t>
      </w:r>
      <w:r>
        <w:rPr>
          <w:rFonts w:hint="eastAsia" w:ascii="Arial" w:hAnsi="Arial" w:eastAsia="仿宋_GB2312"/>
          <w:color w:val="000000"/>
          <w:sz w:val="28"/>
          <w:highlight w:val="none"/>
        </w:rPr>
        <w:t>3</w:t>
      </w:r>
      <w:r>
        <w:rPr>
          <w:rFonts w:hint="eastAsia" w:ascii="仿宋_GB2312" w:eastAsia="仿宋_GB2312"/>
          <w:color w:val="000000"/>
          <w:sz w:val="28"/>
          <w:highlight w:val="none"/>
        </w:rPr>
        <w:t>.</w:t>
      </w:r>
      <w:r>
        <w:rPr>
          <w:rFonts w:hint="eastAsia" w:ascii="Arial" w:hAnsi="Arial" w:eastAsia="仿宋_GB2312"/>
          <w:color w:val="000000"/>
          <w:sz w:val="28"/>
          <w:highlight w:val="none"/>
        </w:rPr>
        <w:t>05</w:t>
      </w:r>
      <w:r>
        <w:rPr>
          <w:rFonts w:hint="eastAsia" w:ascii="仿宋_GB2312" w:eastAsia="仿宋_GB2312"/>
          <w:color w:val="000000"/>
          <w:sz w:val="28"/>
          <w:highlight w:val="none"/>
        </w:rPr>
        <w:t>%。</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仿宋_GB2312" w:eastAsia="仿宋_GB2312"/>
          <w:sz w:val="28"/>
          <w:highlight w:val="none"/>
        </w:rPr>
      </w:pPr>
      <w:r>
        <w:rPr>
          <w:rFonts w:hint="eastAsia" w:ascii="Arial" w:hAnsi="Arial" w:eastAsia="仿宋_GB2312"/>
          <w:sz w:val="28"/>
          <w:highlight w:val="none"/>
        </w:rPr>
        <w:t>8.</w:t>
      </w:r>
      <w:r>
        <w:rPr>
          <w:rFonts w:hint="eastAsia" w:ascii="仿宋_GB2312" w:eastAsia="仿宋_GB2312"/>
          <w:sz w:val="28"/>
          <w:highlight w:val="none"/>
        </w:rPr>
        <w:t>求取估价对象首层土地价格</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600" w:firstLineChars="200"/>
        <w:jc w:val="both"/>
        <w:textAlignment w:val="baseline"/>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ascii="Arial" w:hAnsi="Arial" w:eastAsia="仿宋_GB2312" w:cs="Arial"/>
          <w:spacing w:val="10"/>
          <w:sz w:val="28"/>
          <w:highlight w:val="none"/>
        </w:rPr>
        <w:t>）</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560" w:firstLineChars="200"/>
        <w:jc w:val="both"/>
        <w:textAlignment w:val="baseline"/>
        <w:rPr>
          <w:rFonts w:ascii="Arial" w:hAnsi="Arial" w:eastAsia="仿宋_GB2312" w:cs="Arial"/>
          <w:sz w:val="28"/>
          <w:highlight w:val="none"/>
        </w:rPr>
      </w:pPr>
      <w:r>
        <w:rPr>
          <w:rFonts w:ascii="Arial" w:hAnsi="Arial" w:eastAsia="仿宋_GB2312" w:cs="Arial"/>
          <w:sz w:val="28"/>
          <w:highlight w:val="none"/>
        </w:rPr>
        <w:t>＝(不动产交易价格-房屋现值-销售税费-销售费用)</w:t>
      </w:r>
      <w:r>
        <w:rPr>
          <w:rFonts w:hint="eastAsia" w:ascii="楷体_GB2312" w:hAnsi="楷体" w:eastAsia="楷体_GB2312"/>
          <w:sz w:val="28"/>
          <w:highlight w:val="none"/>
        </w:rPr>
        <w:t>÷</w:t>
      </w:r>
      <w:r>
        <w:rPr>
          <w:rFonts w:ascii="Arial" w:hAnsi="Arial" w:eastAsia="仿宋_GB2312" w:cs="Arial"/>
          <w:sz w:val="28"/>
          <w:highlight w:val="none"/>
        </w:rPr>
        <w:t>[(1+管理费率+投资利润率+利息率)×(1+契税及印花税率)]</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560" w:firstLineChars="200"/>
        <w:jc w:val="both"/>
        <w:textAlignment w:val="baseline"/>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449.2330</w:t>
      </w:r>
      <w:r>
        <w:rPr>
          <w:rFonts w:ascii="Arial" w:hAnsi="Arial" w:eastAsia="仿宋_GB2312" w:cs="Arial"/>
          <w:sz w:val="28"/>
          <w:highlight w:val="none"/>
        </w:rPr>
        <w:t>-</w:t>
      </w:r>
      <w:r>
        <w:rPr>
          <w:rFonts w:hint="eastAsia" w:ascii="Arial" w:hAnsi="Arial" w:eastAsia="仿宋_GB2312" w:cs="Arial"/>
          <w:sz w:val="28"/>
          <w:highlight w:val="none"/>
          <w:lang w:eastAsia="zh-CN"/>
        </w:rPr>
        <w:t>69.1227</w:t>
      </w:r>
      <w:r>
        <w:rPr>
          <w:rFonts w:ascii="Arial" w:hAnsi="Arial" w:eastAsia="仿宋_GB2312" w:cs="Arial"/>
          <w:sz w:val="28"/>
          <w:highlight w:val="none"/>
        </w:rPr>
        <w:t>-</w:t>
      </w:r>
      <w:r>
        <w:rPr>
          <w:rFonts w:hint="eastAsia" w:ascii="Arial" w:hAnsi="Arial" w:eastAsia="仿宋_GB2312" w:cs="Arial"/>
          <w:sz w:val="28"/>
          <w:highlight w:val="none"/>
          <w:lang w:eastAsia="zh-CN"/>
        </w:rPr>
        <w:t>23.5313</w:t>
      </w:r>
      <w:r>
        <w:rPr>
          <w:rFonts w:ascii="Arial" w:hAnsi="Arial" w:eastAsia="仿宋_GB2312" w:cs="Arial"/>
          <w:sz w:val="28"/>
          <w:highlight w:val="none"/>
        </w:rPr>
        <w:t>-</w:t>
      </w:r>
      <w:r>
        <w:rPr>
          <w:rFonts w:hint="eastAsia" w:ascii="Arial" w:hAnsi="Arial" w:eastAsia="仿宋_GB2312" w:cs="Arial"/>
          <w:sz w:val="28"/>
          <w:highlight w:val="none"/>
          <w:lang w:val="en-US" w:eastAsia="zh-CN"/>
        </w:rPr>
        <w:t>4.4923</w:t>
      </w:r>
      <w:r>
        <w:rPr>
          <w:rFonts w:ascii="Arial" w:hAnsi="Arial" w:eastAsia="仿宋_GB2312" w:cs="Arial"/>
          <w:sz w:val="28"/>
          <w:highlight w:val="none"/>
        </w:rPr>
        <w:t>)</w:t>
      </w:r>
      <w:r>
        <w:rPr>
          <w:rFonts w:hint="eastAsia" w:ascii="楷体_GB2312" w:hAnsi="楷体" w:eastAsia="楷体_GB2312"/>
          <w:sz w:val="28"/>
          <w:highlight w:val="none"/>
        </w:rPr>
        <w:t>÷</w:t>
      </w:r>
      <w:r>
        <w:rPr>
          <w:rFonts w:ascii="Arial" w:hAnsi="Arial" w:eastAsia="仿宋_GB2312" w:cs="Arial"/>
          <w:sz w:val="28"/>
          <w:highlight w:val="none"/>
        </w:rPr>
        <w:t>[(1+0+20%+4.</w:t>
      </w:r>
      <w:r>
        <w:rPr>
          <w:rFonts w:hint="eastAsia" w:ascii="Arial" w:hAnsi="Arial" w:eastAsia="仿宋_GB2312" w:cs="Arial"/>
          <w:sz w:val="28"/>
          <w:highlight w:val="none"/>
        </w:rPr>
        <w:t>3</w:t>
      </w:r>
      <w:r>
        <w:rPr>
          <w:rFonts w:ascii="Arial" w:hAnsi="Arial" w:eastAsia="仿宋_GB2312" w:cs="Arial"/>
          <w:sz w:val="28"/>
          <w:highlight w:val="none"/>
        </w:rPr>
        <w:t>5%)</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560" w:firstLineChars="200"/>
        <w:jc w:val="both"/>
        <w:textAlignment w:val="baseline"/>
        <w:rPr>
          <w:rFonts w:ascii="Arial" w:hAnsi="Arial" w:eastAsia="仿宋_GB2312" w:cs="Arial"/>
          <w:sz w:val="28"/>
          <w:highlight w:val="none"/>
        </w:rPr>
      </w:pPr>
      <w:r>
        <w:rPr>
          <w:rFonts w:ascii="Arial" w:hAnsi="Arial" w:eastAsia="仿宋_GB2312" w:cs="Arial"/>
          <w:sz w:val="28"/>
          <w:highlight w:val="none"/>
        </w:rPr>
        <w:t>×(1+3.05%)]</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560" w:firstLineChars="200"/>
        <w:jc w:val="both"/>
        <w:textAlignment w:val="baseline"/>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274.7615</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autoSpaceDE w:val="0"/>
        <w:autoSpaceDN w:val="0"/>
        <w:bidi w:val="0"/>
        <w:adjustRightInd w:val="0"/>
        <w:snapToGrid w:val="0"/>
        <w:spacing w:line="300" w:lineRule="auto"/>
        <w:ind w:right="0"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9.求取估价对象土地价格</w:t>
      </w:r>
    </w:p>
    <w:p>
      <w:pPr>
        <w:keepNext w:val="0"/>
        <w:keepLines w:val="0"/>
        <w:pageBreakBefore w:val="0"/>
        <w:widowControl w:val="0"/>
        <w:kinsoku/>
        <w:wordWrap/>
        <w:overflowPunct/>
        <w:topLinePunct w:val="0"/>
        <w:autoSpaceDE w:val="0"/>
        <w:autoSpaceDN w:val="0"/>
        <w:bidi w:val="0"/>
        <w:adjustRightInd w:val="0"/>
        <w:snapToGrid/>
        <w:spacing w:line="300" w:lineRule="auto"/>
        <w:ind w:right="0" w:firstLine="600" w:firstLineChars="200"/>
        <w:jc w:val="both"/>
        <w:textAlignment w:val="bottom"/>
        <w:rPr>
          <w:rFonts w:hint="default" w:ascii="Arial" w:hAnsi="Arial" w:eastAsia="仿宋_GB2312" w:cs="Arial"/>
          <w:spacing w:val="10"/>
          <w:sz w:val="28"/>
          <w:highlight w:val="none"/>
          <w:lang w:val="en-US" w:eastAsia="zh-CN"/>
        </w:rPr>
      </w:pPr>
      <w:r>
        <w:rPr>
          <w:rFonts w:hint="eastAsia" w:ascii="Arial" w:hAnsi="Arial" w:eastAsia="仿宋_GB2312" w:cs="Arial"/>
          <w:spacing w:val="10"/>
          <w:sz w:val="28"/>
          <w:highlight w:val="none"/>
        </w:rPr>
        <w:t>估价对象</w:t>
      </w:r>
      <w:r>
        <w:rPr>
          <w:rFonts w:hint="eastAsia" w:ascii="Arial" w:hAnsi="Arial" w:eastAsia="仿宋_GB2312" w:cs="Arial"/>
          <w:spacing w:val="10"/>
          <w:sz w:val="28"/>
          <w:highlight w:val="none"/>
          <w:lang w:val="en-US" w:eastAsia="zh-CN"/>
        </w:rPr>
        <w:t>1层楼面价＝274.7615×10000÷207.45＝13245</w:t>
      </w:r>
      <w:r>
        <w:rPr>
          <w:rFonts w:hint="eastAsia" w:ascii="Arial" w:hAnsi="Arial" w:eastAsia="仿宋_GB2312" w:cs="Arial"/>
          <w:spacing w:val="10"/>
          <w:sz w:val="28"/>
          <w:highlight w:val="none"/>
        </w:rPr>
        <w:t>（元/平方米）</w:t>
      </w:r>
    </w:p>
    <w:p>
      <w:pPr>
        <w:keepNext w:val="0"/>
        <w:keepLines w:val="0"/>
        <w:pageBreakBefore w:val="0"/>
        <w:widowControl w:val="0"/>
        <w:kinsoku/>
        <w:wordWrap/>
        <w:overflowPunct/>
        <w:topLinePunct w:val="0"/>
        <w:autoSpaceDE w:val="0"/>
        <w:autoSpaceDN w:val="0"/>
        <w:bidi w:val="0"/>
        <w:adjustRightInd w:val="0"/>
        <w:snapToGrid/>
        <w:spacing w:line="300" w:lineRule="auto"/>
        <w:ind w:right="0" w:firstLine="540"/>
        <w:jc w:val="both"/>
        <w:textAlignment w:val="bottom"/>
        <w:rPr>
          <w:rFonts w:hint="eastAsia" w:ascii="Arial" w:hAnsi="Arial" w:eastAsia="仿宋" w:cs="Arial"/>
          <w:sz w:val="28"/>
          <w:highlight w:val="none"/>
          <w:lang w:eastAsia="zh-CN"/>
        </w:rPr>
      </w:pPr>
      <w:r>
        <w:rPr>
          <w:rFonts w:hint="eastAsia" w:ascii="Arial" w:hAnsi="Arial" w:eastAsia="仿宋_GB2312" w:cs="Arial"/>
          <w:spacing w:val="10"/>
          <w:sz w:val="28"/>
          <w:highlight w:val="none"/>
        </w:rPr>
        <w:t>根据</w:t>
      </w:r>
      <w:r>
        <w:rPr>
          <w:rFonts w:ascii="Arial" w:hAnsi="Arial" w:eastAsia="仿宋" w:cs="Arial"/>
          <w:sz w:val="28"/>
          <w:highlight w:val="none"/>
        </w:rPr>
        <w:t>《北京市人民政府关于调整本市出让国有土地使用权基准地价的通知》[京政发（2002）32号]</w:t>
      </w:r>
      <w:r>
        <w:rPr>
          <w:rFonts w:hint="eastAsia" w:ascii="Arial" w:hAnsi="Arial" w:eastAsia="仿宋" w:cs="Arial"/>
          <w:sz w:val="28"/>
          <w:highlight w:val="none"/>
        </w:rPr>
        <w:t>公布的《商业用途楼层修正系数表》，首层商业的楼层修正系数为1.5418，</w:t>
      </w:r>
      <w:r>
        <w:rPr>
          <w:rFonts w:hint="eastAsia" w:ascii="Arial" w:hAnsi="Arial" w:eastAsia="仿宋" w:cs="Arial"/>
          <w:sz w:val="28"/>
          <w:highlight w:val="none"/>
          <w:lang w:val="en-US" w:eastAsia="zh-CN"/>
        </w:rPr>
        <w:t>2</w:t>
      </w:r>
      <w:r>
        <w:rPr>
          <w:rFonts w:hint="eastAsia" w:ascii="Arial" w:hAnsi="Arial" w:eastAsia="仿宋" w:cs="Arial"/>
          <w:sz w:val="28"/>
          <w:highlight w:val="none"/>
        </w:rPr>
        <w:t>层商业的楼层修正系数为1.1884，故</w:t>
      </w:r>
      <w:r>
        <w:rPr>
          <w:rFonts w:hint="eastAsia" w:ascii="Arial" w:hAnsi="Arial" w:eastAsia="仿宋" w:cs="Arial"/>
          <w:sz w:val="28"/>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00" w:lineRule="auto"/>
        <w:ind w:right="0" w:firstLine="560" w:firstLineChars="200"/>
        <w:jc w:val="both"/>
        <w:textAlignment w:val="baseline"/>
        <w:rPr>
          <w:rFonts w:hint="default" w:ascii="Arial" w:hAnsi="Arial" w:eastAsia="仿宋_GB2312" w:cs="Arial"/>
          <w:spacing w:val="10"/>
          <w:sz w:val="28"/>
          <w:highlight w:val="none"/>
          <w:lang w:val="en-US"/>
        </w:rPr>
      </w:pPr>
      <w:r>
        <w:rPr>
          <w:rFonts w:hint="eastAsia" w:ascii="Arial" w:hAnsi="Arial" w:eastAsia="仿宋" w:cs="Arial"/>
          <w:sz w:val="28"/>
          <w:highlight w:val="none"/>
        </w:rPr>
        <w:t>估价对象</w:t>
      </w:r>
      <w:r>
        <w:rPr>
          <w:rFonts w:hint="eastAsia" w:ascii="Arial" w:hAnsi="Arial" w:eastAsia="仿宋" w:cs="Arial"/>
          <w:sz w:val="28"/>
          <w:highlight w:val="none"/>
          <w:lang w:val="en-US" w:eastAsia="zh-CN"/>
        </w:rPr>
        <w:t>2层</w:t>
      </w:r>
      <w:r>
        <w:rPr>
          <w:rFonts w:hint="eastAsia" w:ascii="Arial" w:hAnsi="Arial" w:eastAsia="仿宋_GB2312" w:cs="Arial"/>
          <w:spacing w:val="10"/>
          <w:sz w:val="28"/>
          <w:highlight w:val="none"/>
          <w:lang w:val="en-US" w:eastAsia="zh-CN"/>
        </w:rPr>
        <w:t>楼面价＝13245×1.1884÷1.5418＝10209</w:t>
      </w:r>
      <w:r>
        <w:rPr>
          <w:rFonts w:hint="eastAsia" w:ascii="Arial" w:hAnsi="Arial" w:eastAsia="仿宋_GB2312" w:cs="Arial"/>
          <w:spacing w:val="10"/>
          <w:sz w:val="28"/>
          <w:highlight w:val="none"/>
        </w:rPr>
        <w:t>（元/平方米）</w:t>
      </w:r>
    </w:p>
    <w:p>
      <w:pPr>
        <w:keepNext w:val="0"/>
        <w:keepLines w:val="0"/>
        <w:pageBreakBefore w:val="0"/>
        <w:widowControl w:val="0"/>
        <w:kinsoku/>
        <w:wordWrap/>
        <w:overflowPunct/>
        <w:topLinePunct w:val="0"/>
        <w:autoSpaceDE w:val="0"/>
        <w:autoSpaceDN w:val="0"/>
        <w:bidi w:val="0"/>
        <w:adjustRightInd w:val="0"/>
        <w:snapToGrid w:val="0"/>
        <w:spacing w:line="300" w:lineRule="auto"/>
        <w:ind w:right="0" w:firstLine="540"/>
        <w:jc w:val="both"/>
        <w:textAlignment w:val="bottom"/>
        <w:rPr>
          <w:rFonts w:hint="eastAsia" w:ascii="Arial" w:hAnsi="Arial" w:eastAsia="仿宋_GB2312" w:cs="Arial"/>
          <w:spacing w:val="10"/>
          <w:sz w:val="28"/>
          <w:highlight w:val="none"/>
          <w:lang w:eastAsia="zh-CN"/>
        </w:rPr>
      </w:pPr>
      <w:r>
        <w:rPr>
          <w:rFonts w:hint="eastAsia" w:ascii="Arial" w:hAnsi="Arial" w:eastAsia="仿宋_GB2312" w:cs="Arial"/>
          <w:spacing w:val="10"/>
          <w:sz w:val="28"/>
          <w:highlight w:val="none"/>
          <w:lang w:eastAsia="zh-CN"/>
        </w:rPr>
        <w:t>估价对象</w:t>
      </w:r>
      <w:r>
        <w:rPr>
          <w:rFonts w:hint="eastAsia" w:ascii="Arial" w:hAnsi="Arial" w:eastAsia="仿宋_GB2312" w:cs="Arial"/>
          <w:spacing w:val="10"/>
          <w:sz w:val="28"/>
          <w:highlight w:val="none"/>
        </w:rPr>
        <w:t>楼面价＝</w:t>
      </w:r>
      <w:r>
        <w:rPr>
          <w:rFonts w:hint="eastAsia" w:ascii="Arial" w:hAnsi="Arial" w:eastAsia="仿宋_GB2312" w:cs="Arial"/>
          <w:spacing w:val="10"/>
          <w:sz w:val="28"/>
          <w:highlight w:val="none"/>
          <w:lang w:eastAsia="zh-CN"/>
        </w:rPr>
        <w:t>（</w:t>
      </w:r>
      <w:r>
        <w:rPr>
          <w:rFonts w:hint="eastAsia" w:ascii="Arial" w:hAnsi="Arial" w:eastAsia="仿宋_GB2312" w:cs="Arial"/>
          <w:spacing w:val="10"/>
          <w:sz w:val="28"/>
          <w:highlight w:val="none"/>
          <w:lang w:val="en-US" w:eastAsia="zh-CN"/>
        </w:rPr>
        <w:t>13245×103.725＋10209</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val="en-US" w:eastAsia="zh-CN"/>
        </w:rPr>
        <w:t>103.725</w:t>
      </w:r>
      <w:r>
        <w:rPr>
          <w:rFonts w:hint="eastAsia" w:ascii="Arial" w:hAnsi="Arial" w:eastAsia="仿宋_GB2312" w:cs="Arial"/>
          <w:spacing w:val="10"/>
          <w:sz w:val="28"/>
          <w:highlight w:val="none"/>
          <w:lang w:eastAsia="zh-CN"/>
        </w:rPr>
        <w:t>）</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eastAsia="zh-CN"/>
        </w:rPr>
        <w:t>207.45</w:t>
      </w:r>
    </w:p>
    <w:p>
      <w:pPr>
        <w:keepNext w:val="0"/>
        <w:keepLines w:val="0"/>
        <w:pageBreakBefore w:val="0"/>
        <w:widowControl w:val="0"/>
        <w:kinsoku/>
        <w:wordWrap/>
        <w:overflowPunct/>
        <w:topLinePunct w:val="0"/>
        <w:autoSpaceDE w:val="0"/>
        <w:autoSpaceDN w:val="0"/>
        <w:bidi w:val="0"/>
        <w:adjustRightInd w:val="0"/>
        <w:snapToGrid w:val="0"/>
        <w:spacing w:line="300" w:lineRule="auto"/>
        <w:ind w:right="0"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 xml:space="preserve">        </w:t>
      </w:r>
      <w:r>
        <w:rPr>
          <w:rFonts w:hint="eastAsia" w:ascii="Arial" w:hAnsi="Arial" w:eastAsia="仿宋_GB2312" w:cs="Arial"/>
          <w:spacing w:val="10"/>
          <w:sz w:val="28"/>
          <w:highlight w:val="none"/>
          <w:lang w:val="en-US" w:eastAsia="zh-CN"/>
        </w:rPr>
        <w:t xml:space="preserve">      </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val="en-US" w:eastAsia="zh-CN"/>
        </w:rPr>
        <w:t>11727</w:t>
      </w:r>
      <w:r>
        <w:rPr>
          <w:rFonts w:hint="eastAsia" w:ascii="Arial" w:hAnsi="Arial" w:eastAsia="仿宋_GB2312" w:cs="Arial"/>
          <w:spacing w:val="10"/>
          <w:sz w:val="28"/>
          <w:highlight w:val="none"/>
        </w:rPr>
        <w:t>（元/平方米）</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求取出让国有建设用地使用权价格</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根据区域土地市场情况，并结合估价对象的具体特点及估价目的等，此次评估采用了基准地价系数修正法和剩余法确定</w:t>
      </w:r>
      <w:r>
        <w:rPr>
          <w:rFonts w:hint="eastAsia" w:ascii="Arial" w:hAnsi="Arial" w:eastAsia="仿宋_GB2312" w:cs="Arial"/>
          <w:bCs/>
          <w:sz w:val="28"/>
          <w:highlight w:val="none"/>
        </w:rPr>
        <w:t>商业用途出让国有建设用地使用权</w:t>
      </w:r>
      <w:r>
        <w:rPr>
          <w:rFonts w:ascii="Arial" w:hAnsi="Arial" w:eastAsia="仿宋_GB2312" w:cs="Arial"/>
          <w:bCs/>
          <w:sz w:val="28"/>
          <w:highlight w:val="none"/>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bCs/>
          <w:sz w:val="28"/>
          <w:highlight w:val="none"/>
        </w:rPr>
        <w:t>两种</w:t>
      </w:r>
      <w:r>
        <w:rPr>
          <w:rFonts w:ascii="Arial" w:hAnsi="Arial" w:eastAsia="仿宋_GB2312" w:cs="Arial"/>
          <w:bCs/>
          <w:sz w:val="28"/>
          <w:highlight w:val="none"/>
        </w:rPr>
        <w:t>评估方法各有其侧重，从不同的角度反映了估价对象的地价水平，定量分析如下：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681"/>
        <w:gridCol w:w="965"/>
        <w:gridCol w:w="4371"/>
        <w:gridCol w:w="1140"/>
        <w:gridCol w:w="1141"/>
      </w:tblGrid>
      <w:tr>
        <w:tblPrEx>
          <w:tblCellMar>
            <w:top w:w="0" w:type="dxa"/>
            <w:left w:w="108" w:type="dxa"/>
            <w:bottom w:w="0" w:type="dxa"/>
            <w:right w:w="108" w:type="dxa"/>
          </w:tblCellMar>
        </w:tblPrEx>
        <w:trPr>
          <w:trHeight w:val="270" w:hRule="atLeast"/>
          <w:jc w:val="center"/>
        </w:trPr>
        <w:tc>
          <w:tcPr>
            <w:tcW w:w="16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9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22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68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基准地价系数修正法</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剩余法</w:t>
            </w: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13</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28</w:t>
            </w: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93</w:t>
            </w: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30%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70%</w:t>
            </w:r>
          </w:p>
        </w:tc>
      </w:tr>
    </w:tbl>
    <w:p>
      <w:pPr>
        <w:rPr>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5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303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2131"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875"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900"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基准地价系数修正法</w:t>
            </w:r>
          </w:p>
        </w:tc>
        <w:tc>
          <w:tcPr>
            <w:tcW w:w="2131"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7956</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0.3</w:t>
            </w:r>
          </w:p>
        </w:tc>
        <w:tc>
          <w:tcPr>
            <w:tcW w:w="1900" w:type="dxa"/>
            <w:vMerge w:val="restart"/>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10596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ascii="Arial" w:hAnsi="Arial" w:eastAsia="仿宋" w:cs="Arial"/>
                <w:color w:val="000000"/>
                <w:sz w:val="18"/>
                <w:szCs w:val="18"/>
                <w:highlight w:val="none"/>
              </w:rPr>
              <w:t>剩余法</w:t>
            </w:r>
          </w:p>
        </w:tc>
        <w:tc>
          <w:tcPr>
            <w:tcW w:w="2131"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11727</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0.7</w:t>
            </w:r>
          </w:p>
        </w:tc>
        <w:tc>
          <w:tcPr>
            <w:tcW w:w="1900"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bookmarkStart w:id="313" w:name="_Toc515458410"/>
      <w:bookmarkStart w:id="314" w:name="_Toc515457832"/>
      <w:bookmarkStart w:id="315" w:name="_Toc524335121"/>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val="en-US" w:eastAsia="zh-CN"/>
        </w:rPr>
        <w:t>10596</w:t>
      </w:r>
      <w:r>
        <w:rPr>
          <w:rFonts w:hint="eastAsia" w:ascii="Arial" w:hAnsi="Arial" w:cs="Arial"/>
          <w:highlight w:val="none"/>
        </w:rPr>
        <w:t>元/平方米，估价对象建筑面积为</w:t>
      </w:r>
      <w:r>
        <w:rPr>
          <w:rFonts w:hint="eastAsia" w:ascii="Arial" w:hAnsi="Arial" w:cs="Arial"/>
          <w:highlight w:val="none"/>
          <w:lang w:eastAsia="zh-CN"/>
        </w:rPr>
        <w:t>207.45</w:t>
      </w:r>
      <w:r>
        <w:rPr>
          <w:rFonts w:hint="eastAsia" w:ascii="Arial" w:hAnsi="Arial" w:cs="Arial"/>
          <w:highlight w:val="none"/>
        </w:rPr>
        <w:t>平方米，则估价对象出让国有建设用地使用权总价为：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val="en-US" w:eastAsia="zh-CN"/>
        </w:rPr>
        <w:t>10596</w:t>
      </w:r>
      <w:r>
        <w:rPr>
          <w:rFonts w:hint="eastAsia" w:ascii="Arial" w:hAnsi="Arial" w:cs="Arial"/>
          <w:highlight w:val="none"/>
        </w:rPr>
        <w:t>×</w:t>
      </w:r>
      <w:r>
        <w:rPr>
          <w:rFonts w:hint="eastAsia" w:ascii="Arial" w:hAnsi="Arial" w:cs="Arial"/>
          <w:highlight w:val="none"/>
          <w:lang w:eastAsia="zh-CN"/>
        </w:rPr>
        <w:t>207.45</w:t>
      </w:r>
      <w:r>
        <w:rPr>
          <w:rFonts w:hint="eastAsia" w:ascii="Arial" w:hAnsi="Arial" w:cs="Arial"/>
          <w:highlight w:val="none"/>
        </w:rPr>
        <w:t>÷10000＝</w:t>
      </w:r>
      <w:r>
        <w:rPr>
          <w:rFonts w:hint="eastAsia" w:ascii="Arial" w:hAnsi="Arial" w:cs="Arial"/>
          <w:highlight w:val="none"/>
          <w:lang w:val="en-US" w:eastAsia="zh-CN"/>
        </w:rPr>
        <w:t>219.8140</w:t>
      </w:r>
      <w:r>
        <w:rPr>
          <w:rFonts w:hint="eastAsia" w:ascii="Arial" w:hAnsi="Arial" w:cs="Arial"/>
          <w:highlight w:val="none"/>
        </w:rPr>
        <w:t>（万元）</w:t>
      </w:r>
    </w:p>
    <w:p>
      <w:pPr>
        <w:pStyle w:val="52"/>
        <w:numPr>
          <w:ilvl w:val="0"/>
          <w:numId w:val="8"/>
        </w:numPr>
        <w:spacing w:line="300" w:lineRule="auto"/>
        <w:ind w:firstLine="562"/>
        <w:rPr>
          <w:rFonts w:ascii="Arial" w:hAnsi="Arial" w:cs="Arial"/>
          <w:b/>
          <w:highlight w:val="none"/>
        </w:rPr>
      </w:pPr>
      <w:r>
        <w:rPr>
          <w:rFonts w:hint="eastAsia" w:ascii="Arial" w:hAnsi="Arial" w:cs="Arial"/>
          <w:b/>
          <w:highlight w:val="none"/>
        </w:rPr>
        <w:t>划拨国有建设用地使用权价格</w:t>
      </w: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方法一：成本逼近法</w:t>
      </w:r>
    </w:p>
    <w:p>
      <w:pPr>
        <w:pStyle w:val="52"/>
        <w:adjustRightInd w:val="0"/>
        <w:spacing w:line="300" w:lineRule="auto"/>
        <w:rPr>
          <w:rFonts w:ascii="Arial" w:hAnsi="Arial" w:cs="Arial"/>
          <w:highlight w:val="none"/>
        </w:rPr>
      </w:pPr>
      <w:r>
        <w:rPr>
          <w:rFonts w:hint="eastAsia" w:ascii="Arial" w:hAnsi="Arial" w:cs="Arial"/>
          <w:highlight w:val="none"/>
        </w:rPr>
        <w:t>划拨地价=(土地取得费+土地开发费+相关税费+土地开发利息+土地开 发利润) ×( 1+个别因素修正系数)</w:t>
      </w:r>
    </w:p>
    <w:p>
      <w:pPr>
        <w:snapToGrid w:val="0"/>
        <w:spacing w:line="300" w:lineRule="auto"/>
        <w:ind w:firstLine="560" w:firstLineChars="200"/>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1.土地取得成本</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根据《北京市协议出让涉及的划拨地价评估技术指引(试行)》，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pPr>
        <w:tabs>
          <w:tab w:val="left" w:pos="557"/>
        </w:tabs>
        <w:snapToGrid w:val="0"/>
        <w:spacing w:line="300" w:lineRule="auto"/>
        <w:ind w:firstLine="561"/>
        <w:rPr>
          <w:rFonts w:ascii="仿宋" w:hAnsi="仿宋" w:eastAsia="仿宋" w:cs="仿宋"/>
          <w:sz w:val="27"/>
          <w:szCs w:val="27"/>
          <w:highlight w:val="none"/>
        </w:rPr>
      </w:pPr>
      <w:r>
        <w:rPr>
          <w:rFonts w:hint="eastAsia" w:ascii="Arial" w:hAnsi="Arial" w:eastAsia="仿宋_GB2312" w:cs="Arial"/>
          <w:kern w:val="2"/>
          <w:sz w:val="28"/>
          <w:szCs w:val="24"/>
          <w:highlight w:val="none"/>
        </w:rPr>
        <w:t>根据所获取的资料结合我公司信息储备及市场调查及信息查询，近期密云区土地收储、国有土地上房屋征收或集体建设用地拆迁等案例有2个，无法满足案例需求。根据《北京市协议出让涉及的划拨地价评估技术指引(试行)》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70%。案例具体情况如下。</w:t>
      </w:r>
    </w:p>
    <w:p>
      <w:pPr>
        <w:spacing w:line="224" w:lineRule="auto"/>
        <w:ind w:left="3790"/>
        <w:rPr>
          <w:rFonts w:ascii="仿宋" w:hAnsi="仿宋" w:eastAsia="仿宋" w:cs="仿宋"/>
          <w:sz w:val="27"/>
          <w:szCs w:val="27"/>
          <w:highlight w:val="none"/>
        </w:rPr>
      </w:pPr>
      <w:r>
        <w:rPr>
          <w:rFonts w:ascii="仿宋" w:hAnsi="仿宋" w:eastAsia="仿宋" w:cs="仿宋"/>
          <w:spacing w:val="12"/>
          <w:sz w:val="27"/>
          <w:szCs w:val="27"/>
          <w:highlight w:val="none"/>
        </w:rPr>
        <w:t>征</w:t>
      </w:r>
      <w:r>
        <w:rPr>
          <w:rFonts w:ascii="仿宋" w:hAnsi="仿宋" w:eastAsia="仿宋" w:cs="仿宋"/>
          <w:spacing w:val="9"/>
          <w:sz w:val="27"/>
          <w:szCs w:val="27"/>
          <w:highlight w:val="none"/>
        </w:rPr>
        <w:t>地拆迁费用比例统计</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130"/>
        <w:gridCol w:w="1276"/>
        <w:gridCol w:w="1804"/>
        <w:gridCol w:w="1590"/>
        <w:gridCol w:w="881"/>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499" w:type="dxa"/>
            <w:tcBorders>
              <w:left w:val="single" w:color="000000" w:sz="6" w:space="0"/>
            </w:tcBorders>
            <w:textDirection w:val="tbRlV"/>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序</w:t>
            </w:r>
            <w:r>
              <w:rPr>
                <w:rFonts w:ascii="Arial" w:hAnsi="Arial" w:eastAsia="仿宋" w:cs="Arial"/>
                <w:spacing w:val="4"/>
                <w:sz w:val="18"/>
                <w:szCs w:val="18"/>
                <w:highlight w:val="none"/>
              </w:rPr>
              <w:t xml:space="preserve"> </w:t>
            </w: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号</w:t>
            </w:r>
          </w:p>
        </w:tc>
        <w:tc>
          <w:tcPr>
            <w:tcW w:w="213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项目名称</w:t>
            </w:r>
          </w:p>
        </w:tc>
        <w:tc>
          <w:tcPr>
            <w:tcW w:w="1276"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土地面积</w:t>
            </w:r>
          </w:p>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（公顷）</w:t>
            </w:r>
          </w:p>
        </w:tc>
        <w:tc>
          <w:tcPr>
            <w:tcW w:w="1804"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土地开发补偿费总价(万元)</w:t>
            </w:r>
          </w:p>
        </w:tc>
        <w:tc>
          <w:tcPr>
            <w:tcW w:w="159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征地拆迁费用总价(万元)</w:t>
            </w:r>
          </w:p>
        </w:tc>
        <w:tc>
          <w:tcPr>
            <w:tcW w:w="881"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审定时间</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1</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密云区檀营乡6005地块R2二类居住用地</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442094.24</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330867.43</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2</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密云区水源路南侧土地一级开发项目MY00-0104-6016等9个地块</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10.34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274776.8</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199464.55</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门头沟区S1线区域组团01-12地块土地一级开发项目01地块（剩余）、05（部分）、07（部分）地块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22.36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1921678.11</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1374980.85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4</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门头沟区潭柘寺中心区A-F土地一级开发项目E地块MTG-06-0209-024等地块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7.61</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527523.92</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380249.92</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5</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房山区轨道交通房山线东羊庄站土地一级开发项目</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16.16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179877.36</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125582.25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69.82%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629" w:type="dxa"/>
            <w:gridSpan w:val="2"/>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平</w:t>
            </w:r>
            <w:r>
              <w:rPr>
                <w:rFonts w:ascii="Arial" w:hAnsi="Arial" w:eastAsia="仿宋" w:cs="Arial"/>
                <w:spacing w:val="-2"/>
                <w:sz w:val="18"/>
                <w:szCs w:val="18"/>
                <w:highlight w:val="none"/>
              </w:rPr>
              <w:t>均</w:t>
            </w:r>
          </w:p>
        </w:tc>
        <w:tc>
          <w:tcPr>
            <w:tcW w:w="1276"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804"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590"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881"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118" w:type="dxa"/>
            <w:tcBorders>
              <w:righ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7</w:t>
            </w:r>
            <w:r>
              <w:rPr>
                <w:rFonts w:hint="eastAsia" w:ascii="Arial" w:hAnsi="Arial" w:eastAsia="仿宋" w:cs="Arial"/>
                <w:spacing w:val="-2"/>
                <w:sz w:val="18"/>
                <w:szCs w:val="18"/>
                <w:highlight w:val="none"/>
              </w:rPr>
              <w:t>2.18</w:t>
            </w:r>
            <w:r>
              <w:rPr>
                <w:rFonts w:ascii="Arial" w:hAnsi="Arial" w:eastAsia="仿宋" w:cs="Arial"/>
                <w:spacing w:val="-1"/>
                <w:sz w:val="18"/>
                <w:szCs w:val="18"/>
                <w:highlight w:val="none"/>
              </w:rPr>
              <w:t>%</w:t>
            </w:r>
          </w:p>
        </w:tc>
      </w:tr>
    </w:tbl>
    <w:p>
      <w:pPr>
        <w:spacing w:line="360" w:lineRule="auto"/>
        <w:ind w:firstLine="560" w:firstLineChars="200"/>
        <w:rPr>
          <w:rFonts w:ascii="仿宋_GB2312" w:hAnsi="Arial" w:eastAsia="仿宋_GB2312"/>
          <w:bCs/>
          <w:sz w:val="28"/>
          <w:highlight w:val="none"/>
        </w:rPr>
        <w:sectPr>
          <w:pgSz w:w="11907" w:h="16840"/>
          <w:pgMar w:top="1843" w:right="1134" w:bottom="1134" w:left="1134" w:header="1134" w:footer="907" w:gutter="340"/>
          <w:cols w:space="720" w:num="1"/>
          <w:titlePg/>
          <w:docGrid w:linePitch="326" w:charSpace="0"/>
        </w:sectPr>
      </w:pPr>
    </w:p>
    <w:p>
      <w:pPr>
        <w:tabs>
          <w:tab w:val="left" w:pos="557"/>
        </w:tabs>
        <w:snapToGrid w:val="0"/>
        <w:spacing w:line="300" w:lineRule="auto"/>
        <w:ind w:firstLine="561"/>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sectPr>
          <w:pgSz w:w="11907" w:h="16840"/>
          <w:pgMar w:top="1843" w:right="1134" w:bottom="1134" w:left="1134" w:header="1134" w:footer="907" w:gutter="340"/>
          <w:cols w:space="720" w:num="1"/>
          <w:titlePg/>
          <w:docGrid w:linePitch="326" w:charSpace="0"/>
        </w:sectPr>
      </w:pP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北京市平谷区兴谷新消费综合体项目商业地块PG00-0106-0106地块B1商业用地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46654.62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88643.78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2023/1/10</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13831.73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1560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1676.22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753.4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2021/1/28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323.06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4288</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北京市延庆区张山营镇西大庄科村YQ06-0400-0016地块F3其他类多功能用地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26197.17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26500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2020/12/7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20986.8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18955.35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7153</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6</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7</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5352.65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1031.61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12237</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8</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北京市怀柔区怀北镇栖湖组团F3其他类多功能用地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36823.82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25187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29500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25653.97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10185</w:t>
            </w:r>
          </w:p>
        </w:tc>
      </w:tr>
    </w:tbl>
    <w:p>
      <w:pPr>
        <w:spacing w:line="360" w:lineRule="auto"/>
        <w:ind w:firstLine="560" w:firstLineChars="200"/>
        <w:rPr>
          <w:rFonts w:ascii="仿宋_GB2312" w:hAnsi="Arial" w:eastAsia="仿宋_GB2312"/>
          <w:bCs/>
          <w:sz w:val="28"/>
          <w:highlight w:val="none"/>
        </w:rPr>
        <w:sectPr>
          <w:pgSz w:w="16840" w:h="11907" w:orient="landscape"/>
          <w:pgMar w:top="2041" w:right="1134" w:bottom="1134" w:left="1134" w:header="1134" w:footer="907" w:gutter="0"/>
          <w:cols w:space="0" w:num="1"/>
          <w:titlePg/>
          <w:docGrid w:linePitch="326" w:charSpace="0"/>
        </w:sectPr>
      </w:pPr>
    </w:p>
    <w:p>
      <w:pPr>
        <w:spacing w:line="360" w:lineRule="auto"/>
        <w:ind w:firstLine="560" w:firstLineChars="200"/>
        <w:jc w:val="both"/>
        <w:rPr>
          <w:rFonts w:ascii="仿宋_GB2312" w:hAnsi="Arial" w:eastAsia="仿宋_GB2312"/>
          <w:bCs/>
          <w:sz w:val="28"/>
          <w:highlight w:val="none"/>
        </w:rPr>
      </w:pPr>
      <w:r>
        <w:rPr>
          <w:rFonts w:hint="eastAsia" w:ascii="仿宋_GB2312" w:hAnsi="Arial" w:eastAsia="仿宋_GB2312"/>
          <w:bCs/>
          <w:sz w:val="28"/>
          <w:highlight w:val="none"/>
        </w:rPr>
        <w:t>综合分析上述案例，北京市平谷区兴谷新消费综合体项目商业地块PG00-0106-0106地块B1商业用地项目土地开发补偿费楼面单价明显低于相同或类似级别商业类项目，北京市怀柔区怀北镇雁柏山庄南侧地块B1商业用地、北京市怀柔区怀北镇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bl>
    <w:p>
      <w:pPr>
        <w:spacing w:line="360" w:lineRule="auto"/>
        <w:ind w:firstLine="560" w:firstLineChars="200"/>
        <w:jc w:val="both"/>
        <w:rPr>
          <w:rFonts w:ascii="仿宋_GB2312" w:hAnsi="Arial" w:eastAsia="仿宋_GB2312"/>
          <w:bCs/>
          <w:sz w:val="28"/>
          <w:highlight w:val="none"/>
        </w:rPr>
        <w:sectPr>
          <w:pgSz w:w="16840" w:h="11907" w:orient="landscape"/>
          <w:pgMar w:top="2041" w:right="1134" w:bottom="1134" w:left="1134" w:header="1134" w:footer="907" w:gutter="0"/>
          <w:cols w:space="0" w:num="1"/>
          <w:titlePg/>
          <w:docGrid w:linePitch="326" w:charSpace="0"/>
        </w:sectPr>
      </w:pPr>
    </w:p>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9299" w:type="dxa"/>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9299" w:type="dxa"/>
          </w:tcPr>
          <w:p>
            <w:pPr>
              <w:jc w:val="center"/>
              <w:rPr>
                <w:sz w:val="22"/>
                <w:highlight w:val="none"/>
              </w:rPr>
            </w:pPr>
            <w:r>
              <w:rPr>
                <w:highlight w:val="none"/>
              </w:rP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55"/>
                          <a:stretch>
                            <a:fillRect/>
                          </a:stretch>
                        </pic:blipFill>
                        <pic:spPr>
                          <a:xfrm>
                            <a:off x="0" y="0"/>
                            <a:ext cx="5324475" cy="5200650"/>
                          </a:xfrm>
                          <a:prstGeom prst="rect">
                            <a:avLst/>
                          </a:prstGeom>
                          <a:noFill/>
                          <a:ln>
                            <a:noFill/>
                          </a:ln>
                        </pic:spPr>
                      </pic:pic>
                    </a:graphicData>
                  </a:graphic>
                </wp:inline>
              </w:drawing>
            </w:r>
          </w:p>
        </w:tc>
      </w:tr>
    </w:tbl>
    <w:p>
      <w:pPr>
        <w:spacing w:line="360" w:lineRule="auto"/>
        <w:ind w:firstLine="560" w:firstLineChars="200"/>
        <w:jc w:val="both"/>
        <w:rPr>
          <w:rFonts w:ascii="仿宋_GB2312" w:hAnsi="Arial" w:eastAsia="仿宋_GB2312"/>
          <w:bCs/>
          <w:sz w:val="28"/>
          <w:highlight w:val="none"/>
        </w:rPr>
        <w:sectPr>
          <w:pgSz w:w="11907" w:h="16840"/>
          <w:pgMar w:top="1843" w:right="1134" w:bottom="1134" w:left="1134" w:header="1134" w:footer="907" w:gutter="340"/>
          <w:cols w:space="720" w:num="1"/>
          <w:titlePg/>
          <w:docGrid w:linePitch="326" w:charSpace="0"/>
        </w:sect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表3：比较因素条件说明及指数表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483"/>
        <w:gridCol w:w="427"/>
        <w:gridCol w:w="1486"/>
        <w:gridCol w:w="424"/>
        <w:gridCol w:w="1467"/>
        <w:gridCol w:w="444"/>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r>
              <w:rPr>
                <w:rFonts w:hint="eastAsia" w:ascii="Arial" w:hAnsi="Arial" w:eastAsia="仿宋_GB2312" w:cs="宋体"/>
                <w:sz w:val="18"/>
                <w:szCs w:val="18"/>
                <w:highlight w:val="none"/>
                <w:lang w:eastAsia="zh-CN"/>
              </w:rPr>
              <w:t>8号楼1-2层104号</w:t>
            </w:r>
            <w:r>
              <w:rPr>
                <w:rFonts w:hint="eastAsia" w:ascii="Arial" w:hAnsi="Arial" w:eastAsia="仿宋_GB2312" w:cs="宋体"/>
                <w:sz w:val="18"/>
                <w:szCs w:val="18"/>
                <w:highlight w:val="none"/>
              </w:rPr>
              <w:t>现状商业用地</w:t>
            </w:r>
          </w:p>
        </w:tc>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r>
              <w:rPr>
                <w:rFonts w:hint="eastAsia" w:ascii="Arial" w:hAnsi="Arial" w:eastAsia="仿宋_GB2312" w:cs="宋体"/>
                <w:sz w:val="18"/>
                <w:szCs w:val="18"/>
                <w:highlight w:val="none"/>
              </w:rPr>
              <w:tab/>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c>
          <w:tcPr>
            <w:tcW w:w="4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2023年6月7日</w:t>
            </w:r>
          </w:p>
        </w:tc>
        <w:tc>
          <w:tcPr>
            <w:tcW w:w="429"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86"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6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2020年11月3日</w:t>
            </w:r>
          </w:p>
        </w:tc>
        <w:tc>
          <w:tcPr>
            <w:tcW w:w="44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96.4</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4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D</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怀柔区雁栖镇HR00-0211-6031地块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hint="eastAsia" w:ascii="Arial" w:hAnsi="Arial" w:eastAsia="仿宋_GB2312" w:cs="Arial"/>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E</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怀柔区北房镇、怀北镇HR00-0211-6027、6028、6029、6030地块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F</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怀柔区HR00-0211-6002、6009、6010、6011、6019地块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案例D距京加路约500米，</w:t>
            </w:r>
            <w:r>
              <w:rPr>
                <w:rFonts w:hint="eastAsia" w:ascii="Arial" w:hAnsi="Arial" w:eastAsia="仿宋" w:cs="Arial"/>
                <w:sz w:val="18"/>
                <w:szCs w:val="18"/>
                <w:highlight w:val="none"/>
                <w:lang w:bidi="ar"/>
              </w:rPr>
              <w:t>周边无地铁线路，周边有H11路、H18路、H33路、H41路、H58路、H59路等多条公交线路通过并设有站点，综合评价交通便捷度一般。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案例E距京加路约2.8米，</w:t>
            </w:r>
            <w:r>
              <w:rPr>
                <w:rFonts w:hint="eastAsia" w:ascii="Arial" w:hAnsi="Arial" w:eastAsia="仿宋" w:cs="Arial"/>
                <w:sz w:val="18"/>
                <w:szCs w:val="18"/>
                <w:highlight w:val="none"/>
                <w:lang w:bidi="ar"/>
              </w:rPr>
              <w:t>周边无地铁线路，周边有H20路、H59路、 H66路、H79路等多条公交线路通过并设有站点，综合评价交通便捷度一般。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案例F距京加路约1.2公里，</w:t>
            </w:r>
            <w:r>
              <w:rPr>
                <w:rFonts w:hint="eastAsia" w:ascii="Arial" w:hAnsi="Arial" w:eastAsia="仿宋" w:cs="Arial"/>
                <w:sz w:val="18"/>
                <w:szCs w:val="18"/>
                <w:highlight w:val="none"/>
                <w:lang w:bidi="ar"/>
              </w:rPr>
              <w:t>周边无地铁线路，周边有H42路、H42路区间、H66路、 H79路等多条公交线路通过并设有站点，综合评价交通便捷度一般。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案例D所在区域有购物场所（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案例E所在区域有购物场所（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案例F所在区域有购物场所（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案例D所在区域基础设施水平达到“七通”</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案例E所在区域基础设施水平达到“七通”</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案例F所在区域基础设施水平达到“七通”</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案例D周边2公里范围内有雁栖湖景区等自然景观，自然条件较好；有中国科学院空天信息创新研究院等人文设施，综合考虑自然环境与人文环境较好。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案例E周边2公里范围内有雁栖湖景区等自然景观，自然条件较好；有中国科学院空天信息创新研究院等人文设施，综合考虑自然环境与人文环境较好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案例F周边2公里范围内有雁栖湖景区等自然景观，自然条件较好；有中国科学院空天信息创新研究院等人文设施，综合考虑自然环境与人文环境较好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八级</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70-80公里</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与区域中心的距离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近</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96</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96</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96</w:t>
            </w:r>
          </w:p>
        </w:tc>
      </w:tr>
    </w:tbl>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表4：因素修正和调整系数表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tblHeader/>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案例：D</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案例：E</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案例：F</w:t>
            </w:r>
          </w:p>
        </w:tc>
      </w:tr>
      <w:tr>
        <w:tblPrEx>
          <w:tblCellMar>
            <w:top w:w="57" w:type="dxa"/>
            <w:left w:w="28" w:type="dxa"/>
            <w:bottom w:w="57" w:type="dxa"/>
            <w:right w:w="28" w:type="dxa"/>
          </w:tblCellMar>
        </w:tblPrEx>
        <w:trPr>
          <w:cantSplit/>
          <w:tblHeader/>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96.4</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与区域中心的距离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6156</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6140</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6143</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5954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5938</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6095</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5996</w:t>
            </w:r>
          </w:p>
        </w:tc>
      </w:tr>
    </w:tbl>
    <w:p>
      <w:pPr>
        <w:snapToGrid w:val="0"/>
        <w:spacing w:line="240" w:lineRule="exact"/>
        <w:ind w:firstLine="360" w:firstLineChars="200"/>
        <w:rPr>
          <w:rFonts w:ascii="仿宋_GB2312" w:hAnsi="Arial" w:eastAsia="仿宋_GB2312"/>
          <w:bCs/>
          <w:sz w:val="18"/>
          <w:szCs w:val="18"/>
          <w:highlight w:val="none"/>
        </w:rPr>
      </w:pPr>
    </w:p>
    <w:p>
      <w:pPr>
        <w:snapToGrid w:val="0"/>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依前述，</w:t>
      </w:r>
      <w:r>
        <w:rPr>
          <w:rFonts w:hint="eastAsia" w:ascii="Arial" w:hAnsi="Arial" w:eastAsia="仿宋_GB2312" w:cs="Arial"/>
          <w:kern w:val="2"/>
          <w:sz w:val="28"/>
          <w:szCs w:val="24"/>
          <w:highlight w:val="none"/>
        </w:rPr>
        <w:t>征地拆迁费用占土地一级开发补偿费总额的比例约为70%，</w:t>
      </w:r>
      <w:r>
        <w:rPr>
          <w:rFonts w:ascii="Arial" w:hAnsi="Arial" w:eastAsia="仿宋_GB2312" w:cs="Arial"/>
          <w:sz w:val="28"/>
          <w:highlight w:val="none"/>
        </w:rPr>
        <w:t>故</w:t>
      </w:r>
      <w:r>
        <w:rPr>
          <w:rFonts w:hint="eastAsia" w:ascii="Arial" w:hAnsi="Arial" w:eastAsia="仿宋_GB2312" w:cs="Arial"/>
          <w:sz w:val="28"/>
          <w:highlight w:val="none"/>
        </w:rPr>
        <w:t>：</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土地取得成本单价＝</w:t>
      </w:r>
      <w:r>
        <w:rPr>
          <w:rFonts w:hint="eastAsia" w:ascii="Arial" w:hAnsi="Arial" w:eastAsia="仿宋_GB2312" w:cs="Arial"/>
          <w:sz w:val="28"/>
          <w:highlight w:val="none"/>
        </w:rPr>
        <w:t>5996</w:t>
      </w:r>
      <w:r>
        <w:rPr>
          <w:rFonts w:ascii="Arial" w:hAnsi="Arial" w:eastAsia="仿宋_GB2312" w:cs="Arial"/>
          <w:sz w:val="28"/>
          <w:highlight w:val="none"/>
        </w:rPr>
        <w:t>×70%＝</w:t>
      </w:r>
      <w:r>
        <w:rPr>
          <w:rFonts w:hint="eastAsia" w:ascii="Arial" w:hAnsi="Arial" w:eastAsia="仿宋_GB2312" w:cs="Arial"/>
          <w:sz w:val="28"/>
          <w:highlight w:val="none"/>
        </w:rPr>
        <w:t>4197</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土地取得成本＝4</w:t>
      </w:r>
      <w:r>
        <w:rPr>
          <w:rFonts w:hint="eastAsia" w:ascii="Arial" w:hAnsi="Arial" w:eastAsia="仿宋_GB2312" w:cs="Arial"/>
          <w:sz w:val="28"/>
          <w:highlight w:val="none"/>
        </w:rPr>
        <w:t>197</w:t>
      </w:r>
      <w:r>
        <w:rPr>
          <w:rFonts w:ascii="Arial" w:hAnsi="Arial" w:eastAsia="仿宋_GB2312" w:cs="Arial"/>
          <w:sz w:val="28"/>
          <w:highlight w:val="none"/>
        </w:rPr>
        <w:t>×</w:t>
      </w:r>
      <w:r>
        <w:rPr>
          <w:rFonts w:hint="eastAsia" w:ascii="Arial" w:hAnsi="Arial" w:eastAsia="仿宋_GB2312" w:cs="Arial"/>
          <w:sz w:val="28"/>
          <w:highlight w:val="none"/>
          <w:lang w:eastAsia="zh-CN"/>
        </w:rPr>
        <w:t>207.45</w:t>
      </w:r>
      <w:r>
        <w:rPr>
          <w:rFonts w:ascii="Arial" w:hAnsi="Arial" w:eastAsia="仿宋_GB2312" w:cs="Arial"/>
          <w:sz w:val="28"/>
          <w:highlight w:val="none"/>
        </w:rPr>
        <w:t>÷10000＝</w:t>
      </w:r>
      <w:r>
        <w:rPr>
          <w:rFonts w:hint="eastAsia" w:ascii="Arial" w:hAnsi="Arial" w:eastAsia="仿宋_GB2312" w:cs="Arial"/>
          <w:sz w:val="28"/>
          <w:highlight w:val="none"/>
          <w:lang w:val="en-US" w:eastAsia="zh-CN"/>
        </w:rPr>
        <w:t>87</w:t>
      </w:r>
      <w:r>
        <w:rPr>
          <w:rFonts w:ascii="Arial" w:hAnsi="Arial" w:eastAsia="仿宋_GB2312" w:cs="Arial"/>
          <w:bCs/>
          <w:sz w:val="28"/>
          <w:highlight w:val="none"/>
        </w:rPr>
        <w:t>（万元）</w:t>
      </w:r>
      <w:r>
        <w:rPr>
          <w:rFonts w:ascii="Arial" w:hAnsi="Arial" w:eastAsia="仿宋_GB2312" w:cs="Arial"/>
          <w:sz w:val="28"/>
          <w:highlight w:val="none"/>
        </w:rPr>
        <w:t>。</w:t>
      </w:r>
    </w:p>
    <w:p>
      <w:pPr>
        <w:snapToGrid w:val="0"/>
        <w:spacing w:line="300" w:lineRule="auto"/>
        <w:ind w:firstLine="560" w:firstLineChars="200"/>
        <w:jc w:val="both"/>
        <w:rPr>
          <w:rFonts w:ascii="仿宋_GB2312" w:eastAsia="仿宋_GB2312"/>
          <w:sz w:val="28"/>
          <w:highlight w:val="none"/>
        </w:rPr>
      </w:pPr>
      <w:r>
        <w:rPr>
          <w:rFonts w:hint="eastAsia" w:ascii="Arial" w:hAnsi="Arial" w:eastAsia="仿宋_GB2312" w:cs="Arial"/>
          <w:sz w:val="28"/>
          <w:highlight w:val="none"/>
        </w:rPr>
        <w:t>2.</w:t>
      </w:r>
      <w:r>
        <w:rPr>
          <w:rFonts w:hint="eastAsia" w:ascii="仿宋_GB2312" w:eastAsia="仿宋_GB2312"/>
          <w:sz w:val="28"/>
          <w:highlight w:val="none"/>
        </w:rPr>
        <w:t>土地开发费</w:t>
      </w:r>
    </w:p>
    <w:p>
      <w:pPr>
        <w:snapToGrid w:val="0"/>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本次评估估价对象设定开发程度为宗地红线外“七通”（</w:t>
      </w:r>
      <w:r>
        <w:rPr>
          <w:rFonts w:ascii="Arial" w:hAnsi="Arial" w:eastAsia="仿宋" w:cs="Arial"/>
          <w:sz w:val="28"/>
          <w:szCs w:val="28"/>
          <w:highlight w:val="none"/>
        </w:rPr>
        <w:t>即通路、通上水、通下水、通电、通讯、通热、通燃气</w:t>
      </w:r>
      <w:r>
        <w:rPr>
          <w:rFonts w:ascii="Arial" w:hAnsi="Arial" w:eastAsia="仿宋_GB2312" w:cs="Arial"/>
          <w:sz w:val="28"/>
          <w:highlight w:val="none"/>
        </w:rPr>
        <w:t>）、红线内场地平整。根据</w:t>
      </w:r>
      <w:r>
        <w:rPr>
          <w:rFonts w:ascii="Arial" w:hAnsi="Arial" w:eastAsia="仿宋" w:cs="Arial"/>
          <w:spacing w:val="9"/>
          <w:sz w:val="27"/>
          <w:szCs w:val="27"/>
          <w:highlight w:val="none"/>
        </w:rPr>
        <w:t>《北京市人民政府关于更新出让国有建设用地使用权</w:t>
      </w:r>
      <w:r>
        <w:rPr>
          <w:rFonts w:ascii="Arial" w:hAnsi="Arial" w:eastAsia="仿宋" w:cs="Arial"/>
          <w:spacing w:val="13"/>
          <w:sz w:val="27"/>
          <w:szCs w:val="27"/>
          <w:highlight w:val="none"/>
        </w:rPr>
        <w:t>基准地价的通知》(京政发〔2022〕12号) ，估价对象位于商业类用途八级地价区，</w:t>
      </w:r>
      <w:r>
        <w:rPr>
          <w:rFonts w:ascii="Arial" w:hAnsi="Arial" w:eastAsia="仿宋_GB2312" w:cs="Arial"/>
          <w:bCs/>
          <w:sz w:val="28"/>
          <w:highlight w:val="none"/>
        </w:rPr>
        <w:t>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土地开发费＝</w:t>
      </w:r>
      <w:r>
        <w:rPr>
          <w:rFonts w:hint="eastAsia" w:ascii="Arial" w:hAnsi="Arial" w:eastAsia="仿宋_GB2312" w:cs="Arial"/>
          <w:sz w:val="28"/>
          <w:highlight w:val="none"/>
        </w:rPr>
        <w:t>土地面积</w:t>
      </w:r>
      <w:r>
        <w:rPr>
          <w:rFonts w:ascii="Arial" w:hAnsi="Arial" w:eastAsia="仿宋_GB2312" w:cs="Arial"/>
          <w:sz w:val="28"/>
          <w:highlight w:val="none"/>
        </w:rPr>
        <w:t>×取费标准＝</w:t>
      </w:r>
      <w:r>
        <w:rPr>
          <w:rFonts w:hint="eastAsia" w:ascii="Arial" w:hAnsi="Arial" w:eastAsia="仿宋_GB2312" w:cs="Arial"/>
          <w:sz w:val="28"/>
          <w:highlight w:val="none"/>
          <w:lang w:val="en-US" w:eastAsia="zh-CN"/>
        </w:rPr>
        <w:t>101.6894</w:t>
      </w:r>
      <w:r>
        <w:rPr>
          <w:rFonts w:ascii="Arial" w:hAnsi="Arial" w:eastAsia="仿宋_GB2312" w:cs="Arial"/>
          <w:sz w:val="28"/>
          <w:highlight w:val="none"/>
        </w:rPr>
        <w:t>×2</w:t>
      </w:r>
      <w:r>
        <w:rPr>
          <w:rFonts w:hint="eastAsia" w:ascii="Arial" w:hAnsi="Arial" w:eastAsia="仿宋_GB2312" w:cs="Arial"/>
          <w:sz w:val="28"/>
          <w:highlight w:val="none"/>
        </w:rPr>
        <w:t>5</w:t>
      </w:r>
      <w:r>
        <w:rPr>
          <w:rFonts w:ascii="Arial" w:hAnsi="Arial" w:eastAsia="仿宋_GB2312" w:cs="Arial"/>
          <w:sz w:val="28"/>
          <w:highlight w:val="none"/>
        </w:rPr>
        <w:t>5÷10000＝</w:t>
      </w:r>
      <w:r>
        <w:rPr>
          <w:rFonts w:hint="eastAsia" w:ascii="Arial" w:hAnsi="Arial" w:eastAsia="仿宋_GB2312" w:cs="Arial"/>
          <w:sz w:val="28"/>
          <w:highlight w:val="none"/>
          <w:lang w:val="en-US" w:eastAsia="zh-CN"/>
        </w:rPr>
        <w:t>3</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3.相关税费</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在土地开发过程中所涉及的税费一般包括征地过程中发生的税费，或房屋拆迁过程中所发生的税费，由于前述土地取得成本中已包含该部分税费，故在此不再单独计取。</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4.利息</w:t>
      </w:r>
    </w:p>
    <w:p>
      <w:pPr>
        <w:snapToGrid w:val="0"/>
        <w:spacing w:line="300" w:lineRule="auto"/>
        <w:ind w:firstLine="700" w:firstLineChars="250"/>
        <w:jc w:val="both"/>
        <w:rPr>
          <w:rFonts w:ascii="Arial" w:hAnsi="Arial" w:eastAsia="仿宋_GB2312" w:cs="Arial"/>
          <w:sz w:val="28"/>
          <w:highlight w:val="none"/>
        </w:rPr>
      </w:pPr>
      <w:r>
        <w:rPr>
          <w:rFonts w:ascii="Arial" w:hAnsi="Arial" w:eastAsia="仿宋_GB2312" w:cs="Arial"/>
          <w:sz w:val="28"/>
          <w:highlight w:val="none"/>
        </w:rPr>
        <w:t>根据估价对象的实际情况及未来规划情况的特点，调查确定该项目土地开发周期为1年，假设土地取得成本在土地开发周期开始时一次性投入，土地开发费在土地开发周期内为分期投入,这里土地开发费按平均投入计算，以单利计息，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利息＝((</w:t>
      </w:r>
      <w:r>
        <w:rPr>
          <w:rFonts w:hint="eastAsia" w:ascii="Arial" w:hAnsi="Arial" w:eastAsia="仿宋_GB2312" w:cs="Arial"/>
          <w:sz w:val="28"/>
          <w:highlight w:val="none"/>
          <w:lang w:val="en-US" w:eastAsia="zh-CN"/>
        </w:rPr>
        <w:t>87</w:t>
      </w:r>
      <w:r>
        <w:rPr>
          <w:rFonts w:ascii="Arial" w:hAnsi="Arial" w:eastAsia="仿宋_GB2312" w:cs="Arial"/>
          <w:sz w:val="28"/>
          <w:highlight w:val="none"/>
        </w:rPr>
        <w:t>+0)×1＋</w:t>
      </w:r>
      <w:r>
        <w:rPr>
          <w:rFonts w:hint="eastAsia" w:ascii="Arial" w:hAnsi="Arial" w:eastAsia="仿宋_GB2312" w:cs="Arial"/>
          <w:sz w:val="28"/>
          <w:highlight w:val="none"/>
          <w:lang w:val="en-US" w:eastAsia="zh-CN"/>
        </w:rPr>
        <w:t>3</w:t>
      </w:r>
      <w:r>
        <w:rPr>
          <w:rFonts w:ascii="Arial" w:hAnsi="Arial" w:eastAsia="仿宋_GB2312" w:cs="Arial"/>
          <w:sz w:val="28"/>
          <w:highlight w:val="none"/>
        </w:rPr>
        <w:t>×(1÷2))×4.35%＝</w:t>
      </w:r>
      <w:r>
        <w:rPr>
          <w:rFonts w:hint="eastAsia" w:ascii="Arial" w:hAnsi="Arial" w:eastAsia="仿宋_GB2312" w:cs="Arial"/>
          <w:sz w:val="28"/>
          <w:highlight w:val="none"/>
          <w:lang w:val="en-US" w:eastAsia="zh-CN"/>
        </w:rPr>
        <w:t>4</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开发利润是指房地产开发商投资房地产开发项目应取得的资金报酬及承担风险补偿。估价对象土地开发周期为1年，根据《关于进一步规范土地一级开发项目管理费和利润管理的通知》(京规自发〔2021〕303号)及《北京市协议出让涉及的划拨地价评估技术指引(试行)》，本次测算确定土地开发利润率按13%取值，则开发利润为：</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利润＝（</w:t>
      </w:r>
      <w:r>
        <w:rPr>
          <w:rFonts w:hint="eastAsia" w:ascii="Arial" w:hAnsi="Arial" w:eastAsia="仿宋_GB2312" w:cs="Arial"/>
          <w:sz w:val="28"/>
          <w:highlight w:val="none"/>
          <w:lang w:val="en-US" w:eastAsia="zh-CN"/>
        </w:rPr>
        <w:t>87</w:t>
      </w:r>
      <w:r>
        <w:rPr>
          <w:rFonts w:ascii="Arial" w:hAnsi="Arial" w:eastAsia="仿宋_GB2312" w:cs="Arial"/>
          <w:sz w:val="28"/>
          <w:highlight w:val="none"/>
        </w:rPr>
        <w:t>+</w:t>
      </w:r>
      <w:r>
        <w:rPr>
          <w:rFonts w:hint="eastAsia" w:ascii="Arial" w:hAnsi="Arial" w:eastAsia="仿宋_GB2312" w:cs="Arial"/>
          <w:sz w:val="28"/>
          <w:highlight w:val="none"/>
          <w:lang w:val="en-US" w:eastAsia="zh-CN"/>
        </w:rPr>
        <w:t>3</w:t>
      </w:r>
      <w:r>
        <w:rPr>
          <w:rFonts w:ascii="Arial" w:hAnsi="Arial" w:eastAsia="仿宋_GB2312" w:cs="Arial"/>
          <w:sz w:val="28"/>
          <w:highlight w:val="none"/>
        </w:rPr>
        <w:t>+0）×13%＝</w:t>
      </w:r>
      <w:r>
        <w:rPr>
          <w:rFonts w:hint="eastAsia" w:ascii="Arial" w:hAnsi="Arial" w:eastAsia="仿宋_GB2312" w:cs="Arial"/>
          <w:sz w:val="28"/>
          <w:highlight w:val="none"/>
          <w:lang w:val="en-US" w:eastAsia="zh-CN"/>
        </w:rPr>
        <w:t>12</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6.土地成本费用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＝土地取得费＋土地开发费＋税费＋投资利息＋开发利润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106</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7.土地增值</w:t>
      </w:r>
    </w:p>
    <w:p>
      <w:pPr>
        <w:pStyle w:val="27"/>
        <w:snapToGrid w:val="0"/>
        <w:spacing w:line="300" w:lineRule="auto"/>
        <w:ind w:firstLine="560" w:firstLineChars="200"/>
        <w:rPr>
          <w:rFonts w:cs="Arial"/>
          <w:szCs w:val="24"/>
          <w:highlight w:val="none"/>
        </w:rPr>
      </w:pPr>
      <w:r>
        <w:rPr>
          <w:rFonts w:cs="Arial"/>
          <w:szCs w:val="24"/>
          <w:highlight w:val="none"/>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highlight w:val="none"/>
        </w:rPr>
        <w:t>根据《北京市协议出让涉及的划拨地价评估技术指引(试</w:t>
      </w:r>
      <w:r>
        <w:rPr>
          <w:rFonts w:eastAsia="仿宋" w:cs="Arial"/>
          <w:sz w:val="27"/>
          <w:szCs w:val="27"/>
          <w:highlight w:val="none"/>
        </w:rPr>
        <w:t xml:space="preserve"> </w:t>
      </w:r>
      <w:r>
        <w:rPr>
          <w:rFonts w:eastAsia="仿宋" w:cs="Arial"/>
          <w:spacing w:val="9"/>
          <w:sz w:val="27"/>
          <w:szCs w:val="27"/>
          <w:highlight w:val="none"/>
        </w:rPr>
        <w:t>行)》及国土资发〔2001〕44号文件规定：企业改制时，可依据划拨土</w:t>
      </w:r>
      <w:r>
        <w:rPr>
          <w:rFonts w:eastAsia="仿宋" w:cs="Arial"/>
          <w:spacing w:val="2"/>
          <w:sz w:val="27"/>
          <w:szCs w:val="27"/>
          <w:highlight w:val="none"/>
        </w:rPr>
        <w:t>地</w:t>
      </w:r>
      <w:r>
        <w:rPr>
          <w:rFonts w:eastAsia="仿宋" w:cs="Arial"/>
          <w:spacing w:val="10"/>
          <w:sz w:val="27"/>
          <w:szCs w:val="27"/>
          <w:highlight w:val="none"/>
        </w:rPr>
        <w:t>的平均取得和开发成本，评定划拨土地使用权价格，作为原土地使用者</w:t>
      </w:r>
      <w:r>
        <w:rPr>
          <w:rFonts w:eastAsia="仿宋" w:cs="Arial"/>
          <w:spacing w:val="3"/>
          <w:sz w:val="27"/>
          <w:szCs w:val="27"/>
          <w:highlight w:val="none"/>
        </w:rPr>
        <w:t>的</w:t>
      </w:r>
      <w:r>
        <w:rPr>
          <w:rFonts w:eastAsia="仿宋" w:cs="Arial"/>
          <w:spacing w:val="10"/>
          <w:sz w:val="27"/>
          <w:szCs w:val="27"/>
          <w:highlight w:val="none"/>
        </w:rPr>
        <w:t>权益。按照指导意见规定，划拨地价由土地取得费、土地开发费、相关</w:t>
      </w:r>
      <w:r>
        <w:rPr>
          <w:rFonts w:eastAsia="仿宋" w:cs="Arial"/>
          <w:spacing w:val="3"/>
          <w:sz w:val="27"/>
          <w:szCs w:val="27"/>
          <w:highlight w:val="none"/>
        </w:rPr>
        <w:t>税</w:t>
      </w:r>
      <w:r>
        <w:rPr>
          <w:rFonts w:eastAsia="仿宋" w:cs="Arial"/>
          <w:spacing w:val="12"/>
          <w:sz w:val="27"/>
          <w:szCs w:val="27"/>
          <w:highlight w:val="none"/>
        </w:rPr>
        <w:t>费</w:t>
      </w:r>
      <w:r>
        <w:rPr>
          <w:rFonts w:eastAsia="仿宋" w:cs="Arial"/>
          <w:spacing w:val="10"/>
          <w:sz w:val="27"/>
          <w:szCs w:val="27"/>
          <w:highlight w:val="none"/>
        </w:rPr>
        <w:t>、土地开发利息和土地开发利润等客观成本构成，不计土地增值。故本</w:t>
      </w:r>
      <w:r>
        <w:rPr>
          <w:rFonts w:eastAsia="仿宋" w:cs="Arial"/>
          <w:spacing w:val="5"/>
          <w:sz w:val="27"/>
          <w:szCs w:val="27"/>
          <w:highlight w:val="none"/>
        </w:rPr>
        <w:t>次</w:t>
      </w:r>
      <w:r>
        <w:rPr>
          <w:rFonts w:eastAsia="仿宋" w:cs="Arial"/>
          <w:spacing w:val="4"/>
          <w:sz w:val="27"/>
          <w:szCs w:val="27"/>
          <w:highlight w:val="none"/>
        </w:rPr>
        <w:t>土地增值收益不计取。</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8.</w:t>
      </w:r>
      <w:r>
        <w:rPr>
          <w:rFonts w:ascii="Arial" w:hAnsi="Arial" w:eastAsia="仿宋" w:cs="Arial"/>
          <w:spacing w:val="-3"/>
          <w:sz w:val="27"/>
          <w:szCs w:val="27"/>
          <w:highlight w:val="none"/>
        </w:rPr>
        <w:t>区域或个别因素修正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由于土地取得费、土地开发费、相关税费等均是以区域平均状况为依据测算，通过上述步骤测算的土地价格，还应当根据估价对象所在区域内的位置和宗地条件，进行个别因素修正。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估价对象位于北京市密云区西门外大街，</w:t>
      </w:r>
      <w:r>
        <w:rPr>
          <w:rFonts w:ascii="Arial" w:hAnsi="Arial" w:eastAsia="仿宋_GB2312" w:cs="Arial"/>
          <w:sz w:val="28"/>
          <w:highlight w:val="none"/>
        </w:rPr>
        <w:t>属于</w:t>
      </w:r>
      <w:r>
        <w:rPr>
          <w:rFonts w:ascii="Arial" w:hAnsi="Arial" w:eastAsia="仿宋_GB2312" w:cs="Arial"/>
          <w:sz w:val="28"/>
          <w:szCs w:val="28"/>
          <w:highlight w:val="none"/>
        </w:rPr>
        <w:t>商业类八级VIII-密1区片地价区内</w:t>
      </w:r>
      <w:r>
        <w:rPr>
          <w:rFonts w:ascii="Arial" w:hAnsi="Arial" w:eastAsia="仿宋_GB2312" w:cs="Arial"/>
          <w:color w:val="000000"/>
          <w:sz w:val="28"/>
          <w:highlight w:val="none"/>
        </w:rPr>
        <w:t>。本次修正系数与基准地价系数修正法中因素修正系数保持一致，依基准地价系数修正法中因素修正系数取值(详细测算过程见基准地价系数修正法)， 估价对象商业用途基准地价系数修正法中测算的因素修正系数为1.0194，故本次个别因素修正系数取值1.0194。</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9.划拨国有建设用地使用权价格</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划拨国有建设用地使用权总值＝</w:t>
      </w:r>
      <w:r>
        <w:rPr>
          <w:rFonts w:hint="eastAsia" w:ascii="Arial" w:hAnsi="Arial" w:eastAsia="仿宋_GB2312" w:cs="Arial"/>
          <w:color w:val="000000"/>
          <w:sz w:val="28"/>
          <w:highlight w:val="none"/>
          <w:lang w:val="en-US" w:eastAsia="zh-CN"/>
        </w:rPr>
        <w:t>106</w:t>
      </w:r>
      <w:r>
        <w:rPr>
          <w:rFonts w:ascii="Arial" w:hAnsi="Arial" w:eastAsia="仿宋_GB2312" w:cs="Arial"/>
          <w:color w:val="000000"/>
          <w:sz w:val="28"/>
          <w:highlight w:val="none"/>
        </w:rPr>
        <w:t>×1.0194＝</w:t>
      </w:r>
      <w:r>
        <w:rPr>
          <w:rFonts w:hint="eastAsia" w:ascii="Arial" w:hAnsi="Arial" w:eastAsia="仿宋_GB2312" w:cs="Arial"/>
          <w:color w:val="000000"/>
          <w:sz w:val="28"/>
          <w:highlight w:val="none"/>
          <w:lang w:val="en-US" w:eastAsia="zh-CN"/>
        </w:rPr>
        <w:t>108</w:t>
      </w:r>
      <w:r>
        <w:rPr>
          <w:rFonts w:ascii="Arial" w:hAnsi="Arial" w:eastAsia="仿宋_GB2312" w:cs="Arial"/>
          <w:color w:val="000000"/>
          <w:sz w:val="28"/>
          <w:highlight w:val="none"/>
        </w:rPr>
        <w:t>（万元）</w:t>
      </w:r>
    </w:p>
    <w:p>
      <w:pPr>
        <w:pStyle w:val="52"/>
        <w:adjustRightInd w:val="0"/>
        <w:spacing w:line="300" w:lineRule="auto"/>
        <w:rPr>
          <w:rFonts w:ascii="Arial" w:hAnsi="Arial" w:cs="Arial"/>
          <w:color w:val="000000"/>
          <w:highlight w:val="none"/>
        </w:rPr>
      </w:pPr>
      <w:r>
        <w:rPr>
          <w:rFonts w:ascii="Arial" w:hAnsi="Arial" w:cs="Arial"/>
          <w:color w:val="000000"/>
          <w:highlight w:val="none"/>
        </w:rPr>
        <w:t>划拨国有建设用地使用权单价＝</w:t>
      </w:r>
      <w:r>
        <w:rPr>
          <w:rFonts w:hint="eastAsia" w:ascii="Arial" w:hAnsi="Arial" w:cs="Arial"/>
          <w:color w:val="000000"/>
          <w:highlight w:val="none"/>
          <w:lang w:val="en-US" w:eastAsia="zh-CN"/>
        </w:rPr>
        <w:t>108</w:t>
      </w:r>
      <w:r>
        <w:rPr>
          <w:rFonts w:ascii="Arial" w:hAnsi="Arial" w:cs="Arial"/>
          <w:color w:val="000000"/>
          <w:highlight w:val="none"/>
        </w:rPr>
        <w:t>×10000÷</w:t>
      </w:r>
      <w:r>
        <w:rPr>
          <w:rFonts w:hint="eastAsia" w:ascii="Arial" w:hAnsi="Arial" w:cs="Arial"/>
          <w:color w:val="000000"/>
          <w:highlight w:val="none"/>
          <w:lang w:eastAsia="zh-CN"/>
        </w:rPr>
        <w:t>207.45</w:t>
      </w:r>
      <w:r>
        <w:rPr>
          <w:rFonts w:ascii="Arial" w:hAnsi="Arial" w:cs="Arial"/>
          <w:color w:val="000000"/>
          <w:highlight w:val="none"/>
        </w:rPr>
        <w:t>＝</w:t>
      </w:r>
      <w:r>
        <w:rPr>
          <w:rFonts w:hint="eastAsia" w:ascii="Arial" w:hAnsi="Arial" w:cs="Arial"/>
          <w:color w:val="000000"/>
          <w:highlight w:val="none"/>
          <w:lang w:val="en-US" w:eastAsia="zh-CN"/>
        </w:rPr>
        <w:t>5206</w:t>
      </w:r>
      <w:r>
        <w:rPr>
          <w:rFonts w:ascii="Arial" w:hAnsi="Arial" w:cs="Arial"/>
          <w:color w:val="000000"/>
          <w:highlight w:val="none"/>
        </w:rPr>
        <w:t>（元/平方米）</w:t>
      </w:r>
    </w:p>
    <w:p>
      <w:pPr>
        <w:pStyle w:val="52"/>
        <w:adjustRightInd w:val="0"/>
        <w:spacing w:line="300" w:lineRule="auto"/>
        <w:ind w:firstLine="562"/>
        <w:rPr>
          <w:rFonts w:ascii="Arial" w:hAnsi="Arial" w:cs="Arial"/>
          <w:b/>
          <w:kern w:val="0"/>
          <w:szCs w:val="20"/>
          <w:highlight w:val="none"/>
        </w:rPr>
      </w:pP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方法二：剩余（增值收益扣减）法</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剩余（增值收益扣减）法是在《城镇土地估价规程》剩余法思路上衍生技术路线，通过出让土地使用权价格扣减土地增值收益的评估方法。其公式为：</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×（1-R）</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式中：P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为估价对象价格，无年期限制划拨地价；</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 xml:space="preserve">      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为法定最高出让年期出让地价；</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 xml:space="preserve">      R为土地增值收益率。</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1、求取土地增值收益率</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土地增值收益比例或数额，应结合土地用途、区位、成本和收益等因素， 选取与估价对象位于同一供需圈或类似地区，近3年内规划主用途相同或相似的招拍挂土地出让成交案例，采用各案例的土地成交总价和土地开发建设补偿费总额，测算各案例的土地增值收益率，并分析确定估价对象的土地增值收益率。</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土地增值收益率＝(土地成交总价－土地开发建设补偿费总额)÷土地成交总价</w:t>
      </w:r>
    </w:p>
    <w:p>
      <w:pPr>
        <w:pStyle w:val="52"/>
        <w:adjustRightInd w:val="0"/>
        <w:spacing w:line="300" w:lineRule="auto"/>
        <w:rPr>
          <w:rFonts w:ascii="Arial" w:hAnsi="Arial" w:cs="Arial"/>
          <w:highlight w:val="none"/>
        </w:rPr>
        <w:sectPr>
          <w:pgSz w:w="11907" w:h="16840"/>
          <w:pgMar w:top="1843" w:right="1134" w:bottom="1134" w:left="1134" w:header="1134" w:footer="907" w:gutter="340"/>
          <w:cols w:space="720" w:num="1"/>
          <w:titlePg/>
          <w:docGrid w:linePitch="326" w:charSpace="0"/>
        </w:sectPr>
      </w:pPr>
      <w:r>
        <w:rPr>
          <w:rFonts w:hint="eastAsia" w:ascii="Arial" w:hAnsi="Arial" w:cs="Arial"/>
          <w:bCs/>
          <w:kern w:val="0"/>
          <w:szCs w:val="20"/>
          <w:highlight w:val="none"/>
        </w:rPr>
        <w:t>估价对象位于北京市密云区西门外大街，用途为商业。经评估专业人员对密云区同类型土地出让的市场调查，</w:t>
      </w:r>
      <w:r>
        <w:rPr>
          <w:rFonts w:hint="eastAsia" w:ascii="Arial" w:hAnsi="Arial" w:cs="Arial"/>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tbl>
      <w:tblPr>
        <w:tblStyle w:val="35"/>
        <w:tblW w:w="14570" w:type="dxa"/>
        <w:jc w:val="center"/>
        <w:tblLayout w:type="fixed"/>
        <w:tblCellMar>
          <w:top w:w="57" w:type="dxa"/>
          <w:left w:w="57" w:type="dxa"/>
          <w:bottom w:w="57" w:type="dxa"/>
          <w:right w:w="57" w:type="dxa"/>
        </w:tblCellMar>
      </w:tblPr>
      <w:tblGrid>
        <w:gridCol w:w="647"/>
        <w:gridCol w:w="3383"/>
        <w:gridCol w:w="1405"/>
        <w:gridCol w:w="1280"/>
        <w:gridCol w:w="1464"/>
        <w:gridCol w:w="1015"/>
        <w:gridCol w:w="1296"/>
        <w:gridCol w:w="1254"/>
        <w:gridCol w:w="1556"/>
        <w:gridCol w:w="1270"/>
      </w:tblGrid>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土地增值收益率</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北京市平谷区兴谷新消费综合体项目商业地块PG00-0106-0106地块B1商业用地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46654.62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88643.78</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1.9</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2023/1/10</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13831.73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50.60%</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16.51%</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1.82</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15.59%</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1676.22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753.4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≤0.45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2021/1/28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550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323.06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41.26%</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北京市延庆区张山营镇西大庄科村YQ06-0400-0016地块F3其他类多功能用地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26197.17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26500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≤1.01</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2020/12/7</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20986.8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18955.35</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9.68%</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6</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≤1.9</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16.19%</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7</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5352.65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843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≤0.16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1310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1031.61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21.25%</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8</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北京市怀柔区怀北镇栖湖组团F3其他类多功能用地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36823.82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25187</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≤0.68</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29500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25653.97</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13.04%</w:t>
            </w:r>
          </w:p>
        </w:tc>
      </w:tr>
    </w:tbl>
    <w:p>
      <w:pPr>
        <w:pStyle w:val="52"/>
        <w:adjustRightInd w:val="0"/>
        <w:spacing w:line="300" w:lineRule="auto"/>
        <w:rPr>
          <w:rFonts w:ascii="Arial" w:hAnsi="Arial" w:cs="Arial"/>
          <w:highlight w:val="none"/>
        </w:rPr>
        <w:sectPr>
          <w:pgSz w:w="16840" w:h="11907" w:orient="landscape"/>
          <w:pgMar w:top="2041" w:right="1134" w:bottom="1134" w:left="1134" w:header="1134" w:footer="907" w:gutter="0"/>
          <w:cols w:space="0" w:num="1"/>
          <w:titlePg/>
          <w:docGrid w:linePitch="326" w:charSpace="0"/>
        </w:sectPr>
      </w:pPr>
    </w:p>
    <w:p>
      <w:pPr>
        <w:snapToGrid w:val="0"/>
        <w:spacing w:line="300" w:lineRule="auto"/>
        <w:ind w:firstLine="567"/>
        <w:rPr>
          <w:rFonts w:ascii="Arial" w:hAnsi="Arial" w:eastAsia="仿宋" w:cs="Arial"/>
          <w:sz w:val="28"/>
          <w:szCs w:val="28"/>
          <w:highlight w:val="none"/>
        </w:rPr>
      </w:pPr>
      <w:r>
        <w:rPr>
          <w:rFonts w:ascii="Arial" w:hAnsi="Arial" w:eastAsia="仿宋" w:cs="Arial"/>
          <w:spacing w:val="8"/>
          <w:sz w:val="28"/>
          <w:szCs w:val="28"/>
          <w:highlight w:val="none"/>
        </w:rPr>
        <w:t>通过对北</w:t>
      </w:r>
      <w:r>
        <w:rPr>
          <w:rFonts w:ascii="Arial" w:hAnsi="Arial" w:eastAsia="仿宋" w:cs="Arial"/>
          <w:spacing w:val="4"/>
          <w:sz w:val="28"/>
          <w:szCs w:val="28"/>
          <w:highlight w:val="none"/>
        </w:rPr>
        <w:t>京市</w:t>
      </w:r>
      <w:r>
        <w:rPr>
          <w:rFonts w:hint="eastAsia" w:ascii="Arial" w:hAnsi="Arial" w:eastAsia="仿宋" w:cs="Arial"/>
          <w:spacing w:val="4"/>
          <w:sz w:val="28"/>
          <w:szCs w:val="28"/>
          <w:highlight w:val="none"/>
        </w:rPr>
        <w:t>怀柔区、延庆区、平谷区，</w:t>
      </w:r>
      <w:r>
        <w:rPr>
          <w:rFonts w:ascii="Arial" w:hAnsi="Arial" w:eastAsia="仿宋" w:cs="Arial"/>
          <w:spacing w:val="4"/>
          <w:sz w:val="28"/>
          <w:szCs w:val="28"/>
          <w:highlight w:val="none"/>
        </w:rPr>
        <w:t>2020-2023年商业类用地招拍挂成交案例的成</w:t>
      </w:r>
      <w:r>
        <w:rPr>
          <w:rFonts w:ascii="Arial" w:hAnsi="Arial" w:eastAsia="仿宋" w:cs="Arial"/>
          <w:spacing w:val="10"/>
          <w:sz w:val="28"/>
          <w:szCs w:val="28"/>
          <w:highlight w:val="none"/>
        </w:rPr>
        <w:t>交总价及土地一级开发补偿费的调查和查询，与估价对象类似区域</w:t>
      </w:r>
      <w:r>
        <w:rPr>
          <w:rFonts w:hint="eastAsia" w:ascii="Arial" w:hAnsi="Arial" w:eastAsia="仿宋" w:cs="Arial"/>
          <w:spacing w:val="10"/>
          <w:sz w:val="28"/>
          <w:szCs w:val="28"/>
          <w:highlight w:val="none"/>
        </w:rPr>
        <w:t>和</w:t>
      </w:r>
      <w:r>
        <w:rPr>
          <w:rFonts w:ascii="Arial" w:hAnsi="Arial" w:eastAsia="仿宋" w:cs="Arial"/>
          <w:spacing w:val="10"/>
          <w:sz w:val="28"/>
          <w:szCs w:val="28"/>
          <w:highlight w:val="none"/>
        </w:rPr>
        <w:t>用</w:t>
      </w:r>
      <w:r>
        <w:rPr>
          <w:rFonts w:ascii="Arial" w:hAnsi="Arial" w:eastAsia="仿宋" w:cs="Arial"/>
          <w:spacing w:val="3"/>
          <w:sz w:val="28"/>
          <w:szCs w:val="28"/>
          <w:highlight w:val="none"/>
        </w:rPr>
        <w:t>途</w:t>
      </w:r>
      <w:r>
        <w:rPr>
          <w:rFonts w:hint="eastAsia" w:ascii="Arial" w:hAnsi="Arial" w:eastAsia="仿宋" w:cs="Arial"/>
          <w:spacing w:val="3"/>
          <w:sz w:val="28"/>
          <w:szCs w:val="28"/>
          <w:highlight w:val="none"/>
        </w:rPr>
        <w:t>，容积率相近</w:t>
      </w:r>
      <w:r>
        <w:rPr>
          <w:rFonts w:ascii="Arial" w:hAnsi="Arial" w:eastAsia="仿宋" w:cs="Arial"/>
          <w:spacing w:val="24"/>
          <w:sz w:val="28"/>
          <w:szCs w:val="28"/>
          <w:highlight w:val="none"/>
        </w:rPr>
        <w:t>的</w:t>
      </w:r>
      <w:r>
        <w:rPr>
          <w:rFonts w:ascii="Arial" w:hAnsi="Arial" w:eastAsia="仿宋" w:cs="Arial"/>
          <w:spacing w:val="13"/>
          <w:sz w:val="28"/>
          <w:szCs w:val="28"/>
          <w:highlight w:val="none"/>
        </w:rPr>
        <w:t>平均土地增值收益率为</w:t>
      </w:r>
      <w:r>
        <w:rPr>
          <w:rFonts w:hint="eastAsia" w:ascii="Arial" w:hAnsi="Arial" w:eastAsia="仿宋" w:cs="Arial"/>
          <w:spacing w:val="13"/>
          <w:sz w:val="28"/>
          <w:szCs w:val="28"/>
          <w:highlight w:val="none"/>
        </w:rPr>
        <w:t>16</w:t>
      </w:r>
      <w:r>
        <w:rPr>
          <w:rFonts w:ascii="Arial" w:hAnsi="Arial" w:eastAsia="仿宋" w:cs="Arial"/>
          <w:spacing w:val="13"/>
          <w:sz w:val="28"/>
          <w:szCs w:val="28"/>
          <w:highlight w:val="none"/>
        </w:rPr>
        <w:t>%，故本次在使用剩余(增值收益扣减)法测算</w:t>
      </w:r>
      <w:r>
        <w:rPr>
          <w:rFonts w:ascii="Arial" w:hAnsi="Arial" w:eastAsia="仿宋" w:cs="Arial"/>
          <w:spacing w:val="-4"/>
          <w:sz w:val="28"/>
          <w:szCs w:val="28"/>
          <w:highlight w:val="none"/>
        </w:rPr>
        <w:t>划拨地价时，将</w:t>
      </w:r>
      <w:r>
        <w:rPr>
          <w:rFonts w:hint="eastAsia" w:ascii="Arial" w:hAnsi="Arial" w:eastAsia="仿宋" w:cs="Arial"/>
          <w:spacing w:val="-2"/>
          <w:sz w:val="28"/>
          <w:szCs w:val="28"/>
          <w:highlight w:val="none"/>
        </w:rPr>
        <w:t>16</w:t>
      </w:r>
      <w:r>
        <w:rPr>
          <w:rFonts w:ascii="Arial" w:hAnsi="Arial" w:eastAsia="仿宋" w:cs="Arial"/>
          <w:spacing w:val="-2"/>
          <w:sz w:val="28"/>
          <w:szCs w:val="28"/>
          <w:highlight w:val="none"/>
        </w:rPr>
        <w:t>%作为本次增值收益率进行测算，估价对象的出让国有建</w:t>
      </w:r>
      <w:r>
        <w:rPr>
          <w:rFonts w:ascii="Arial" w:hAnsi="Arial" w:eastAsia="仿宋" w:cs="Arial"/>
          <w:spacing w:val="9"/>
          <w:sz w:val="28"/>
          <w:szCs w:val="28"/>
          <w:highlight w:val="none"/>
        </w:rPr>
        <w:t>设用地使用权价格为</w:t>
      </w:r>
      <w:r>
        <w:rPr>
          <w:rFonts w:hint="eastAsia" w:ascii="Arial" w:hAnsi="Arial" w:eastAsia="仿宋" w:cs="Arial"/>
          <w:spacing w:val="9"/>
          <w:sz w:val="28"/>
          <w:szCs w:val="28"/>
          <w:highlight w:val="none"/>
          <w:lang w:val="en-US" w:eastAsia="zh-CN"/>
        </w:rPr>
        <w:t>10596</w:t>
      </w:r>
      <w:r>
        <w:rPr>
          <w:rFonts w:ascii="Arial" w:hAnsi="Arial" w:eastAsia="仿宋" w:cs="Arial"/>
          <w:spacing w:val="9"/>
          <w:sz w:val="28"/>
          <w:szCs w:val="28"/>
          <w:highlight w:val="none"/>
        </w:rPr>
        <w:t>元/平方米(测算过程详见出让国有建设用地使用权价格</w:t>
      </w:r>
      <w:r>
        <w:rPr>
          <w:rFonts w:ascii="Arial" w:hAnsi="Arial" w:eastAsia="仿宋" w:cs="Arial"/>
          <w:spacing w:val="4"/>
          <w:sz w:val="28"/>
          <w:szCs w:val="28"/>
          <w:highlight w:val="none"/>
        </w:rPr>
        <w:t>)，故：</w:t>
      </w:r>
    </w:p>
    <w:p>
      <w:pPr>
        <w:snapToGrid w:val="0"/>
        <w:spacing w:line="300" w:lineRule="auto"/>
        <w:ind w:firstLine="592" w:firstLineChars="200"/>
        <w:jc w:val="both"/>
        <w:rPr>
          <w:rFonts w:ascii="Arial" w:hAnsi="Arial" w:eastAsia="仿宋" w:cs="Arial"/>
          <w:sz w:val="28"/>
          <w:szCs w:val="28"/>
          <w:highlight w:val="none"/>
        </w:rPr>
      </w:pPr>
      <w:r>
        <w:rPr>
          <w:rFonts w:ascii="Arial" w:hAnsi="Arial" w:eastAsia="仿宋" w:cs="Arial"/>
          <w:spacing w:val="8"/>
          <w:sz w:val="28"/>
          <w:szCs w:val="28"/>
          <w:highlight w:val="none"/>
        </w:rPr>
        <w:t>划拨楼面单价</w:t>
      </w:r>
      <w:r>
        <w:rPr>
          <w:rFonts w:hint="eastAsia" w:ascii="Arial" w:hAnsi="Arial" w:eastAsia="仿宋" w:cs="Arial"/>
          <w:spacing w:val="8"/>
          <w:sz w:val="28"/>
          <w:szCs w:val="28"/>
          <w:highlight w:val="none"/>
        </w:rPr>
        <w:t>＝</w:t>
      </w:r>
      <w:r>
        <w:rPr>
          <w:rFonts w:ascii="Arial" w:hAnsi="Arial" w:eastAsia="仿宋" w:cs="Arial"/>
          <w:spacing w:val="8"/>
          <w:sz w:val="28"/>
          <w:szCs w:val="28"/>
          <w:highlight w:val="none"/>
        </w:rPr>
        <w:t>出让地价×( 1-土地增值收益率</w:t>
      </w:r>
      <w:r>
        <w:rPr>
          <w:rFonts w:ascii="Arial" w:hAnsi="Arial" w:eastAsia="仿宋" w:cs="Arial"/>
          <w:spacing w:val="4"/>
          <w:sz w:val="28"/>
          <w:szCs w:val="28"/>
          <w:highlight w:val="none"/>
        </w:rPr>
        <w:t>)</w:t>
      </w:r>
    </w:p>
    <w:p>
      <w:pPr>
        <w:snapToGrid w:val="0"/>
        <w:spacing w:line="300" w:lineRule="auto"/>
        <w:ind w:firstLine="2400" w:firstLineChars="800"/>
        <w:jc w:val="both"/>
        <w:rPr>
          <w:rFonts w:ascii="Arial" w:hAnsi="Arial" w:eastAsia="仿宋" w:cs="Arial"/>
          <w:sz w:val="28"/>
          <w:szCs w:val="28"/>
          <w:highlight w:val="none"/>
        </w:rPr>
      </w:pPr>
      <w:r>
        <w:rPr>
          <w:rFonts w:hint="eastAsia" w:ascii="Arial" w:hAnsi="Arial" w:eastAsia="仿宋" w:cs="Arial"/>
          <w:spacing w:val="10"/>
          <w:sz w:val="28"/>
          <w:szCs w:val="28"/>
          <w:highlight w:val="none"/>
        </w:rPr>
        <w:t>＝</w:t>
      </w:r>
      <w:r>
        <w:rPr>
          <w:rFonts w:hint="eastAsia" w:ascii="Arial" w:hAnsi="Arial" w:eastAsia="仿宋" w:cs="Arial"/>
          <w:spacing w:val="10"/>
          <w:sz w:val="28"/>
          <w:szCs w:val="28"/>
          <w:highlight w:val="none"/>
          <w:lang w:val="en-US" w:eastAsia="zh-CN"/>
        </w:rPr>
        <w:t>8901</w:t>
      </w:r>
      <w:r>
        <w:rPr>
          <w:rFonts w:ascii="Arial" w:hAnsi="Arial" w:eastAsia="仿宋" w:cs="Arial"/>
          <w:spacing w:val="5"/>
          <w:sz w:val="28"/>
          <w:szCs w:val="28"/>
          <w:highlight w:val="none"/>
        </w:rPr>
        <w:t>(元/平方米)</w:t>
      </w:r>
    </w:p>
    <w:p>
      <w:pPr>
        <w:pStyle w:val="52"/>
        <w:adjustRightInd w:val="0"/>
        <w:spacing w:line="300" w:lineRule="auto"/>
        <w:rPr>
          <w:rFonts w:ascii="Arial" w:hAnsi="Arial" w:cs="Arial"/>
          <w:szCs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求取划拨国有建设用地使用权价格</w:t>
      </w:r>
    </w:p>
    <w:p>
      <w:pPr>
        <w:autoSpaceDE w:val="0"/>
        <w:autoSpaceDN w:val="0"/>
        <w:snapToGrid w:val="0"/>
        <w:spacing w:line="300" w:lineRule="auto"/>
        <w:ind w:firstLine="616" w:firstLineChars="200"/>
        <w:jc w:val="both"/>
        <w:textAlignment w:val="bottom"/>
        <w:rPr>
          <w:rFonts w:ascii="仿宋" w:hAnsi="仿宋" w:eastAsia="仿宋" w:cs="仿宋"/>
          <w:spacing w:val="6"/>
          <w:sz w:val="28"/>
          <w:szCs w:val="28"/>
          <w:highlight w:val="none"/>
        </w:rPr>
      </w:pPr>
      <w:r>
        <w:rPr>
          <w:rFonts w:ascii="仿宋" w:hAnsi="仿宋" w:eastAsia="仿宋" w:cs="仿宋"/>
          <w:spacing w:val="14"/>
          <w:sz w:val="28"/>
          <w:szCs w:val="28"/>
          <w:highlight w:val="none"/>
        </w:rPr>
        <w:t>划拨地价评估时，宜遵循谨慎原则，优先选用成本逼近法和剩余(</w:t>
      </w:r>
      <w:r>
        <w:rPr>
          <w:rFonts w:ascii="仿宋" w:hAnsi="仿宋" w:eastAsia="仿宋" w:cs="仿宋"/>
          <w:spacing w:val="13"/>
          <w:sz w:val="28"/>
          <w:szCs w:val="28"/>
          <w:highlight w:val="none"/>
        </w:rPr>
        <w:t>增</w:t>
      </w:r>
      <w:r>
        <w:rPr>
          <w:rFonts w:ascii="仿宋" w:hAnsi="仿宋" w:eastAsia="仿宋" w:cs="仿宋"/>
          <w:spacing w:val="18"/>
          <w:sz w:val="28"/>
          <w:szCs w:val="28"/>
          <w:highlight w:val="none"/>
        </w:rPr>
        <w:t>值收益扣减)法，故本次采用成本逼近法、剩余(增值收益扣减)法对</w:t>
      </w:r>
      <w:r>
        <w:rPr>
          <w:rFonts w:hint="eastAsia" w:ascii="仿宋" w:hAnsi="仿宋" w:eastAsia="仿宋" w:cs="仿宋"/>
          <w:spacing w:val="18"/>
          <w:sz w:val="28"/>
          <w:szCs w:val="28"/>
          <w:highlight w:val="none"/>
        </w:rPr>
        <w:t>估价对象</w:t>
      </w:r>
      <w:r>
        <w:rPr>
          <w:rFonts w:ascii="仿宋" w:hAnsi="仿宋" w:eastAsia="仿宋" w:cs="仿宋"/>
          <w:spacing w:val="6"/>
          <w:sz w:val="28"/>
          <w:szCs w:val="28"/>
          <w:highlight w:val="none"/>
        </w:rPr>
        <w:t>划拨国有建设用地使用权价格进行了评估。</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736"/>
        <w:gridCol w:w="1125"/>
        <w:gridCol w:w="4697"/>
        <w:gridCol w:w="870"/>
        <w:gridCol w:w="870"/>
      </w:tblGrid>
      <w:tr>
        <w:tblPrEx>
          <w:tblCellMar>
            <w:top w:w="0" w:type="dxa"/>
            <w:left w:w="108" w:type="dxa"/>
            <w:bottom w:w="0" w:type="dxa"/>
            <w:right w:w="108" w:type="dxa"/>
          </w:tblCellMar>
        </w:tblPrEx>
        <w:trPr>
          <w:trHeight w:val="270" w:hRule="atLeast"/>
          <w:jc w:val="center"/>
        </w:trPr>
        <w:tc>
          <w:tcPr>
            <w:tcW w:w="17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17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7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hint="eastAsia" w:ascii="Arial" w:hAnsi="Arial" w:eastAsia="仿宋" w:cs="Arial"/>
                <w:sz w:val="18"/>
                <w:szCs w:val="18"/>
                <w:highlight w:val="none"/>
              </w:rPr>
              <w:t>成本逼近法</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剩余(增值收益扣减)法</w:t>
            </w: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4</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13</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11</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28</w:t>
            </w: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93</w:t>
            </w: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30%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70%</w:t>
            </w:r>
          </w:p>
        </w:tc>
      </w:tr>
    </w:tbl>
    <w:p>
      <w:pPr>
        <w:widowControl/>
        <w:adjustRightInd/>
        <w:spacing w:line="300" w:lineRule="auto"/>
        <w:textAlignment w:val="auto"/>
        <w:rPr>
          <w:rFonts w:ascii="Arial" w:hAnsi="Arial" w:eastAsia="仿宋_GB2312" w:cs="Arial"/>
          <w:sz w:val="28"/>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112"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2489"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174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71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558"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成本逼近法</w:t>
            </w:r>
          </w:p>
        </w:tc>
        <w:tc>
          <w:tcPr>
            <w:tcW w:w="1747"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eastAsia="zh-CN"/>
              </w:rPr>
              <w:t>5206</w:t>
            </w:r>
          </w:p>
        </w:tc>
        <w:tc>
          <w:tcPr>
            <w:tcW w:w="717"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eastAsia="zh-CN"/>
              </w:rPr>
            </w:pPr>
            <w:r>
              <w:rPr>
                <w:rFonts w:hint="eastAsia" w:ascii="Arial" w:hAnsi="Arial" w:eastAsia="仿宋" w:cs="Arial"/>
                <w:color w:val="000000"/>
                <w:sz w:val="18"/>
                <w:szCs w:val="18"/>
                <w:highlight w:val="none"/>
              </w:rPr>
              <w:t>0.</w:t>
            </w:r>
            <w:r>
              <w:rPr>
                <w:rFonts w:hint="eastAsia" w:ascii="Arial" w:hAnsi="Arial" w:eastAsia="仿宋" w:cs="Arial"/>
                <w:color w:val="000000"/>
                <w:sz w:val="18"/>
                <w:szCs w:val="18"/>
                <w:highlight w:val="none"/>
                <w:lang w:val="en-US" w:eastAsia="zh-CN"/>
              </w:rPr>
              <w:t>3</w:t>
            </w:r>
          </w:p>
        </w:tc>
        <w:tc>
          <w:tcPr>
            <w:tcW w:w="1558" w:type="dxa"/>
            <w:vMerge w:val="restart"/>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7793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剩余(增值收益扣减)法</w:t>
            </w:r>
          </w:p>
        </w:tc>
        <w:tc>
          <w:tcPr>
            <w:tcW w:w="1747"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8901</w:t>
            </w:r>
          </w:p>
        </w:tc>
        <w:tc>
          <w:tcPr>
            <w:tcW w:w="717"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eastAsia="zh-CN"/>
              </w:rPr>
            </w:pPr>
            <w:r>
              <w:rPr>
                <w:rFonts w:hint="eastAsia" w:ascii="Arial" w:hAnsi="Arial" w:eastAsia="仿宋" w:cs="Arial"/>
                <w:color w:val="000000"/>
                <w:sz w:val="18"/>
                <w:szCs w:val="18"/>
                <w:highlight w:val="none"/>
              </w:rPr>
              <w:t>0.</w:t>
            </w:r>
            <w:r>
              <w:rPr>
                <w:rFonts w:hint="eastAsia" w:ascii="Arial" w:hAnsi="Arial" w:eastAsia="仿宋" w:cs="Arial"/>
                <w:color w:val="000000"/>
                <w:sz w:val="18"/>
                <w:szCs w:val="18"/>
                <w:highlight w:val="none"/>
                <w:lang w:val="en-US" w:eastAsia="zh-CN"/>
              </w:rPr>
              <w:t>7</w:t>
            </w:r>
          </w:p>
        </w:tc>
        <w:tc>
          <w:tcPr>
            <w:tcW w:w="1558"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val="en-US" w:eastAsia="zh-CN"/>
        </w:rPr>
        <w:t>7793</w:t>
      </w:r>
      <w:r>
        <w:rPr>
          <w:rFonts w:hint="eastAsia" w:ascii="Arial" w:hAnsi="Arial" w:cs="Arial"/>
          <w:highlight w:val="none"/>
        </w:rPr>
        <w:t>元/平方米，估价对象建筑面积为</w:t>
      </w:r>
      <w:r>
        <w:rPr>
          <w:rFonts w:hint="eastAsia" w:ascii="Arial" w:hAnsi="Arial" w:cs="Arial"/>
          <w:highlight w:val="none"/>
          <w:lang w:eastAsia="zh-CN"/>
        </w:rPr>
        <w:t>207.45</w:t>
      </w:r>
      <w:r>
        <w:rPr>
          <w:rFonts w:hint="eastAsia" w:ascii="Arial" w:hAnsi="Arial" w:cs="Arial"/>
          <w:highlight w:val="none"/>
        </w:rPr>
        <w:t>平方米，则估价对象划拨国有建设用地使用权总价为：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val="en-US" w:eastAsia="zh-CN"/>
        </w:rPr>
        <w:t>7793</w:t>
      </w:r>
      <w:r>
        <w:rPr>
          <w:rFonts w:hint="eastAsia" w:ascii="Arial" w:hAnsi="Arial" w:cs="Arial"/>
          <w:highlight w:val="none"/>
        </w:rPr>
        <w:t>×</w:t>
      </w:r>
      <w:r>
        <w:rPr>
          <w:rFonts w:hint="eastAsia" w:ascii="Arial" w:hAnsi="Arial" w:cs="Arial"/>
          <w:highlight w:val="none"/>
          <w:lang w:eastAsia="zh-CN"/>
        </w:rPr>
        <w:t>207.45</w:t>
      </w:r>
      <w:r>
        <w:rPr>
          <w:rFonts w:hint="eastAsia" w:ascii="Arial" w:hAnsi="Arial" w:cs="Arial"/>
          <w:highlight w:val="none"/>
        </w:rPr>
        <w:t>÷10000＝</w:t>
      </w:r>
      <w:r>
        <w:rPr>
          <w:rFonts w:hint="eastAsia" w:ascii="Arial" w:hAnsi="Arial" w:cs="Arial"/>
          <w:highlight w:val="none"/>
          <w:lang w:val="en-US" w:eastAsia="zh-CN"/>
        </w:rPr>
        <w:t>161.6658</w:t>
      </w:r>
      <w:r>
        <w:rPr>
          <w:rFonts w:hint="eastAsia" w:ascii="Arial" w:hAnsi="Arial" w:cs="Arial"/>
          <w:highlight w:val="none"/>
        </w:rPr>
        <w:t>（万元）</w:t>
      </w:r>
    </w:p>
    <w:p>
      <w:pPr>
        <w:pStyle w:val="52"/>
        <w:adjustRightInd w:val="0"/>
        <w:spacing w:line="300" w:lineRule="auto"/>
        <w:rPr>
          <w:rFonts w:ascii="Arial" w:hAnsi="Arial" w:cs="Arial"/>
          <w:szCs w:val="28"/>
          <w:highlight w:val="none"/>
        </w:rPr>
      </w:pPr>
    </w:p>
    <w:p>
      <w:pPr>
        <w:pStyle w:val="52"/>
        <w:numPr>
          <w:ilvl w:val="0"/>
          <w:numId w:val="9"/>
        </w:numPr>
        <w:spacing w:line="300" w:lineRule="auto"/>
        <w:rPr>
          <w:rFonts w:ascii="Arial" w:hAnsi="Arial" w:cs="Arial"/>
          <w:highlight w:val="none"/>
        </w:rPr>
      </w:pPr>
      <w:r>
        <w:rPr>
          <w:rFonts w:ascii="Arial" w:hAnsi="Arial" w:cs="Arial"/>
          <w:highlight w:val="none"/>
        </w:rPr>
        <w:t>估价结果</w:t>
      </w:r>
      <w:bookmarkEnd w:id="313"/>
      <w:bookmarkEnd w:id="314"/>
      <w:bookmarkEnd w:id="315"/>
    </w:p>
    <w:p>
      <w:pPr>
        <w:pStyle w:val="52"/>
        <w:adjustRightInd w:val="0"/>
        <w:spacing w:line="300" w:lineRule="auto"/>
        <w:rPr>
          <w:rFonts w:ascii="Arial" w:hAnsi="Arial" w:cs="Arial"/>
          <w:highlight w:val="none"/>
        </w:rPr>
      </w:pPr>
      <w:r>
        <w:rPr>
          <w:rFonts w:hint="eastAsia" w:ascii="Arial" w:hAnsi="Arial" w:cs="Arial"/>
          <w:highlight w:val="none"/>
        </w:rPr>
        <w:t>1、按出让地价与划拨地价的差额计算应缴纳的地价款</w:t>
      </w:r>
    </w:p>
    <w:p>
      <w:pPr>
        <w:pStyle w:val="52"/>
        <w:spacing w:line="300" w:lineRule="auto"/>
        <w:ind w:firstLineChars="0"/>
        <w:rPr>
          <w:rFonts w:ascii="Arial" w:hAnsi="Arial" w:eastAsia="仿宋" w:cs="Arial"/>
          <w:szCs w:val="28"/>
          <w:highlight w:val="none"/>
        </w:rPr>
      </w:pPr>
      <w:r>
        <w:rPr>
          <w:rFonts w:hint="eastAsia" w:ascii="Arial" w:hAnsi="Arial" w:cs="Arial"/>
          <w:highlight w:val="none"/>
        </w:rPr>
        <w:t>根据《国土资源部办公厅关于发布&lt;国有建设用地使用权出让地价评估技术规范&gt;的通知》[国土资厅发（2018）4号]及</w:t>
      </w:r>
      <w:r>
        <w:rPr>
          <w:rFonts w:ascii="Arial" w:hAnsi="Arial" w:eastAsia="仿宋" w:cs="Arial"/>
          <w:szCs w:val="28"/>
          <w:highlight w:val="none"/>
        </w:rPr>
        <w:t>《北京市国有建设用地使用权出让地价评估技术导则（试行）》</w:t>
      </w:r>
      <w:r>
        <w:rPr>
          <w:rFonts w:hint="eastAsia" w:ascii="Arial" w:hAnsi="Arial" w:eastAsia="仿宋" w:cs="Arial"/>
          <w:szCs w:val="28"/>
          <w:highlight w:val="none"/>
        </w:rPr>
        <w:t>[</w:t>
      </w:r>
      <w:r>
        <w:rPr>
          <w:rFonts w:ascii="Arial" w:hAnsi="Arial" w:eastAsia="仿宋" w:cs="Arial"/>
          <w:szCs w:val="28"/>
          <w:highlight w:val="none"/>
        </w:rPr>
        <w:t>北估秘（2023）001</w:t>
      </w:r>
      <w:r>
        <w:rPr>
          <w:rFonts w:hint="eastAsia" w:ascii="Arial" w:hAnsi="Arial" w:eastAsia="仿宋" w:cs="Arial"/>
          <w:szCs w:val="28"/>
          <w:highlight w:val="none"/>
        </w:rPr>
        <w:t>]，出让时不改变土地及建筑物、构筑物现状的，应评估在现状使用条件下的出让土地使用权正常市场价格，减去划拨土地使用权价格，作为估价结果。故：</w:t>
      </w:r>
    </w:p>
    <w:p>
      <w:pPr>
        <w:snapToGrid w:val="0"/>
        <w:spacing w:line="300" w:lineRule="auto"/>
        <w:ind w:left="3357" w:leftChars="232" w:hanging="2800" w:hangingChars="10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出让国有建设用地使用权楼面单价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划拨国有建 设用地使用权楼面单价</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10596</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7793</w:t>
      </w:r>
      <w:r>
        <w:rPr>
          <w:rFonts w:hint="eastAsia" w:ascii="Arial" w:hAnsi="Arial" w:eastAsia="仿宋" w:cs="Arial"/>
          <w:kern w:val="2"/>
          <w:sz w:val="28"/>
          <w:szCs w:val="28"/>
          <w:highlight w:val="none"/>
        </w:rPr>
        <w:t xml:space="preserve"> </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2803（元/平方米）</w:t>
      </w:r>
      <w:r>
        <w:rPr>
          <w:rFonts w:hint="eastAsia" w:ascii="Arial" w:hAnsi="Arial" w:eastAsia="仿宋" w:cs="Arial"/>
          <w:kern w:val="2"/>
          <w:sz w:val="28"/>
          <w:szCs w:val="28"/>
          <w:highlight w:val="none"/>
        </w:rPr>
        <w:t xml:space="preserve"> </w:t>
      </w:r>
    </w:p>
    <w:p>
      <w:pPr>
        <w:snapToGrid w:val="0"/>
        <w:spacing w:line="300" w:lineRule="auto"/>
        <w:ind w:firstLine="560" w:firstLineChars="2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应缴纳的地价款总价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应缴纳的地价款单价×建筑面积</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2803</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207.45</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10000</w:t>
      </w:r>
    </w:p>
    <w:p>
      <w:pPr>
        <w:pStyle w:val="52"/>
        <w:adjustRightInd w:val="0"/>
        <w:spacing w:line="300" w:lineRule="auto"/>
        <w:ind w:firstLine="3080" w:firstLineChars="1100"/>
        <w:rPr>
          <w:rFonts w:ascii="Arial" w:hAnsi="Arial" w:eastAsia="仿宋" w:cs="Arial"/>
          <w:szCs w:val="28"/>
          <w:highlight w:val="none"/>
        </w:rPr>
      </w:pPr>
      <w:r>
        <w:rPr>
          <w:rFonts w:hint="eastAsia" w:ascii="Arial" w:hAnsi="Arial" w:eastAsia="仿宋" w:cs="Arial"/>
          <w:szCs w:val="28"/>
          <w:highlight w:val="none"/>
        </w:rPr>
        <w:t>＝</w:t>
      </w:r>
      <w:r>
        <w:rPr>
          <w:rFonts w:hint="eastAsia" w:ascii="Arial" w:hAnsi="Arial" w:eastAsia="仿宋" w:cs="Arial"/>
          <w:szCs w:val="28"/>
          <w:highlight w:val="none"/>
          <w:lang w:val="en-US" w:eastAsia="zh-CN"/>
        </w:rPr>
        <w:t>58.1482</w:t>
      </w:r>
      <w:r>
        <w:rPr>
          <w:rFonts w:ascii="Arial" w:hAnsi="Arial" w:eastAsia="仿宋"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2.运用基准地价系数修正法中政府收益比例测算政府出让收益</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根据《北京市人民政府关于更新出让国有建设用地使用权基准地价的通知》</w:t>
      </w:r>
      <w:r>
        <w:rPr>
          <w:rFonts w:hint="eastAsia" w:ascii="Arial" w:hAnsi="Arial" w:cs="Arial"/>
          <w:szCs w:val="28"/>
          <w:highlight w:val="none"/>
        </w:rPr>
        <w:t>[京政发 [2022]12号]</w:t>
      </w:r>
      <w:r>
        <w:rPr>
          <w:rFonts w:ascii="Arial" w:hAnsi="Arial" w:eastAsia="仿宋" w:cs="Arial"/>
          <w:highlight w:val="none"/>
        </w:rPr>
        <w:t>，政府土地出让收益按照楼面熟地价及政府土地出让收益比例确定。商业用途政府土地出让收益按照政府审定楼面熟地价的25%确定，</w:t>
      </w:r>
      <w:r>
        <w:rPr>
          <w:rFonts w:hint="eastAsia" w:ascii="Arial" w:hAnsi="Arial" w:eastAsia="仿宋" w:cs="Arial"/>
          <w:highlight w:val="none"/>
        </w:rPr>
        <w:t>则：</w:t>
      </w:r>
    </w:p>
    <w:p>
      <w:pPr>
        <w:pStyle w:val="52"/>
        <w:adjustRightInd w:val="0"/>
        <w:spacing w:line="300" w:lineRule="auto"/>
        <w:jc w:val="both"/>
        <w:rPr>
          <w:rFonts w:ascii="Arial" w:hAnsi="Arial" w:eastAsia="仿宋" w:cs="Arial"/>
          <w:highlight w:val="none"/>
        </w:rPr>
      </w:pPr>
      <w:r>
        <w:rPr>
          <w:rFonts w:hint="eastAsia" w:ascii="Arial" w:hAnsi="Arial" w:eastAsia="仿宋" w:cs="Arial"/>
          <w:highlight w:val="none"/>
        </w:rPr>
        <w:t>政府出让收益＝楼面熟地价×政府土地出让收益比例</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10596</w:t>
      </w:r>
      <w:r>
        <w:rPr>
          <w:rFonts w:hint="eastAsia" w:ascii="Arial" w:hAnsi="Arial" w:eastAsia="仿宋" w:cs="Arial"/>
          <w:highlight w:val="none"/>
        </w:rPr>
        <w:t>×25%</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2649</w:t>
      </w:r>
      <w:r>
        <w:rPr>
          <w:rFonts w:hint="eastAsia" w:ascii="Arial" w:hAnsi="Arial" w:eastAsia="仿宋" w:cs="Arial"/>
          <w:highlight w:val="none"/>
        </w:rPr>
        <w:t>(元/平方米)</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ascii="Arial" w:hAnsi="Arial" w:eastAsia="仿宋" w:cs="Arial"/>
          <w:highlight w:val="none"/>
        </w:rPr>
        <w:t>政府土地出让收益单价×建筑面积</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2649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w:t>
      </w:r>
      <w:r>
        <w:rPr>
          <w:rFonts w:ascii="Arial" w:hAnsi="Arial" w:eastAsia="仿宋" w:cs="Arial"/>
          <w:highlight w:val="none"/>
        </w:rPr>
        <w:t>10000</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54.9535</w:t>
      </w:r>
      <w:r>
        <w:rPr>
          <w:rFonts w:ascii="Arial" w:hAnsi="Arial" w:eastAsia="仿宋" w:cs="Arial"/>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3.估价结果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219.8140</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贰佰壹拾玖万捌仟壹佰肆拾</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10596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val="en-US" w:eastAsia="zh-CN"/>
        </w:rPr>
        <w:t>21616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161.6658</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壹佰陆拾壹万陆仟陆佰伍拾捌</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7793</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rPr>
        <w:t>1</w:t>
      </w:r>
      <w:r>
        <w:rPr>
          <w:rFonts w:hint="eastAsia" w:ascii="Arial" w:hAnsi="Arial" w:eastAsia="仿宋_GB2312" w:cs="Arial"/>
          <w:kern w:val="2"/>
          <w:sz w:val="28"/>
          <w:highlight w:val="none"/>
          <w:lang w:val="en-US" w:eastAsia="zh-CN"/>
        </w:rPr>
        <w:t>5898</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58.1482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伍拾捌万壹仟肆佰捌拾贰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2803</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101.6894</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207.45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10596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219.8140</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7793</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161.6658</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2803</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58.1482</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10596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val="en-US" w:eastAsia="zh-CN"/>
        </w:rPr>
        <w:t>219.8140</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val="en-US" w:eastAsia="zh-CN"/>
        </w:rPr>
        <w:t>7793</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val="en-US" w:eastAsia="zh-CN"/>
        </w:rPr>
        <w:t>161.6658</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val="en-US" w:eastAsia="zh-CN"/>
        </w:rPr>
        <w:t>10596</w:t>
      </w:r>
      <w:r>
        <w:rPr>
          <w:rFonts w:hint="eastAsia" w:ascii="Arial" w:hAnsi="Arial" w:cs="Arial"/>
          <w:szCs w:val="28"/>
          <w:highlight w:val="none"/>
        </w:rPr>
        <w:t>－</w:t>
      </w:r>
      <w:r>
        <w:rPr>
          <w:rFonts w:hint="eastAsia" w:ascii="Arial" w:hAnsi="Arial" w:cs="Arial"/>
          <w:szCs w:val="28"/>
          <w:highlight w:val="none"/>
          <w:lang w:val="en-US" w:eastAsia="zh-CN"/>
        </w:rPr>
        <w:t>7793</w:t>
      </w:r>
      <w:r>
        <w:rPr>
          <w:rFonts w:hint="eastAsia" w:ascii="Arial" w:hAnsi="Arial" w:cs="Arial"/>
          <w:szCs w:val="28"/>
          <w:highlight w:val="none"/>
        </w:rPr>
        <w:t>＝</w:t>
      </w:r>
      <w:r>
        <w:rPr>
          <w:rFonts w:hint="eastAsia" w:ascii="Arial" w:hAnsi="Arial" w:cs="Arial"/>
          <w:szCs w:val="28"/>
          <w:highlight w:val="none"/>
          <w:lang w:val="en-US" w:eastAsia="zh-CN"/>
        </w:rPr>
        <w:t>2803</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val="en-US" w:eastAsia="zh-CN"/>
        </w:rPr>
        <w:t>2803</w:t>
      </w:r>
      <w:r>
        <w:rPr>
          <w:rFonts w:hint="eastAsia" w:ascii="Arial" w:hAnsi="Arial" w:cs="Arial"/>
          <w:szCs w:val="28"/>
          <w:highlight w:val="none"/>
        </w:rPr>
        <w:t>×</w:t>
      </w:r>
      <w:r>
        <w:rPr>
          <w:rFonts w:hint="eastAsia" w:ascii="Arial" w:hAnsi="Arial" w:cs="Arial"/>
          <w:szCs w:val="28"/>
          <w:highlight w:val="none"/>
          <w:lang w:eastAsia="zh-CN"/>
        </w:rPr>
        <w:t>207.45</w:t>
      </w:r>
      <w:r>
        <w:rPr>
          <w:rFonts w:hint="eastAsia" w:ascii="Arial" w:hAnsi="Arial" w:cs="Arial"/>
          <w:szCs w:val="28"/>
          <w:highlight w:val="none"/>
        </w:rPr>
        <w:t>÷10000＝</w:t>
      </w:r>
      <w:r>
        <w:rPr>
          <w:rFonts w:hint="eastAsia" w:ascii="Arial" w:hAnsi="Arial" w:cs="Arial"/>
          <w:szCs w:val="28"/>
          <w:highlight w:val="none"/>
          <w:lang w:val="en-US" w:eastAsia="zh-CN"/>
        </w:rPr>
        <w:t>58.1482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val="en-US" w:eastAsia="zh-CN"/>
        </w:rPr>
        <w:t>10596</w:t>
      </w:r>
      <w:r>
        <w:rPr>
          <w:rFonts w:hint="eastAsia" w:ascii="Arial" w:hAnsi="Arial" w:cs="Arial"/>
          <w:szCs w:val="28"/>
          <w:highlight w:val="none"/>
        </w:rPr>
        <w:t>×25%＝</w:t>
      </w:r>
      <w:r>
        <w:rPr>
          <w:rFonts w:hint="eastAsia" w:ascii="Arial" w:hAnsi="Arial" w:eastAsia="仿宋" w:cs="Arial"/>
          <w:highlight w:val="none"/>
          <w:lang w:val="en-US" w:eastAsia="zh-CN"/>
        </w:rPr>
        <w:t>2649</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2649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÷10000＝</w:t>
      </w:r>
      <w:r>
        <w:rPr>
          <w:rFonts w:hint="eastAsia" w:ascii="Arial" w:hAnsi="Arial" w:eastAsia="仿宋" w:cs="Arial"/>
          <w:highlight w:val="none"/>
          <w:lang w:val="en-US" w:eastAsia="zh-CN"/>
        </w:rPr>
        <w:t>54.9535</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val="en-US" w:eastAsia="zh-CN"/>
        </w:rPr>
        <w:t>2803</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val="en-US" w:eastAsia="zh-CN"/>
        </w:rPr>
        <w:t>58.1482</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2023-1-0449-F01TDCR6</w:t>
      </w:r>
      <w:r>
        <w:rPr>
          <w:rFonts w:ascii="Arial" w:hAnsi="Arial" w:eastAsia="仿宋_GB2312" w:cs="Arial"/>
          <w:bCs/>
          <w:sz w:val="18"/>
          <w:highlight w:val="none"/>
        </w:rPr>
        <w:t xml:space="preserve">    </w:t>
      </w:r>
      <w:r>
        <w:rPr>
          <w:rFonts w:hint="eastAsia" w:ascii="Arial" w:hAnsi="Arial" w:eastAsia="仿宋_GB2312" w:cs="Arial"/>
          <w:bCs/>
          <w:sz w:val="18"/>
          <w:highlight w:val="none"/>
          <w:lang w:eastAsia="zh-CN"/>
        </w:rPr>
        <w:t>估价期日：2023年6月7日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732"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95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32"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5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李成岳</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8号楼1-2层104号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101.6894</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207.45</w:t>
            </w:r>
            <w:r>
              <w:rPr>
                <w:rFonts w:hint="eastAsia" w:ascii="Arial" w:hAnsi="Arial" w:eastAsia="仿宋_GB2312" w:cs="Arial"/>
                <w:bCs/>
                <w:sz w:val="18"/>
                <w:szCs w:val="18"/>
                <w:highlight w:val="none"/>
              </w:rPr>
              <w:t xml:space="preserve"> </w:t>
            </w:r>
          </w:p>
        </w:tc>
        <w:tc>
          <w:tcPr>
            <w:tcW w:w="732"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10596</w:t>
            </w:r>
          </w:p>
        </w:tc>
        <w:tc>
          <w:tcPr>
            <w:tcW w:w="955"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219.814</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7793</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161.6658</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2803</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58.1482</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58.1482</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36" w:type="first"/>
          <w:pgSz w:w="16840" w:h="11907" w:orient="landscape"/>
          <w:pgMar w:top="2041" w:right="1134" w:bottom="1134" w:left="1134" w:header="1134" w:footer="907" w:gutter="0"/>
          <w:cols w:space="0" w:num="1"/>
          <w:titlePg/>
          <w:docGrid w:linePitch="326" w:charSpace="0"/>
        </w:sectPr>
      </w:pPr>
    </w:p>
    <w:p>
      <w:pPr>
        <w:spacing w:line="300" w:lineRule="auto"/>
        <w:jc w:val="center"/>
        <w:outlineLvl w:val="0"/>
        <w:rPr>
          <w:rFonts w:ascii="Arial" w:hAnsi="Arial" w:cs="Arial"/>
          <w:b/>
          <w:sz w:val="32"/>
          <w:highlight w:val="none"/>
        </w:rPr>
      </w:pPr>
      <w:bookmarkStart w:id="316" w:name="_Toc66929530"/>
      <w:bookmarkStart w:id="317" w:name="_Toc69393405"/>
      <w:r>
        <w:rPr>
          <w:rFonts w:ascii="Arial" w:hAnsi="Arial" w:eastAsia="仿宋_GB2312" w:cs="Arial"/>
          <w:b/>
          <w:sz w:val="32"/>
          <w:highlight w:val="none"/>
        </w:rPr>
        <w:t xml:space="preserve">第四部分  </w:t>
      </w:r>
      <w:bookmarkStart w:id="318" w:name="_Toc515457834"/>
      <w:bookmarkStart w:id="319" w:name="_Toc516488223"/>
      <w:bookmarkStart w:id="320" w:name="_Toc524335123"/>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310"/>
      <w:bookmarkEnd w:id="311"/>
      <w:bookmarkEnd w:id="312"/>
      <w:bookmarkEnd w:id="316"/>
      <w:bookmarkEnd w:id="317"/>
      <w:bookmarkEnd w:id="318"/>
      <w:bookmarkEnd w:id="319"/>
      <w:bookmarkEnd w:id="320"/>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napToGrid w:val="0"/>
        <w:spacing w:line="300" w:lineRule="auto"/>
        <w:ind w:firstLine="560" w:firstLineChars="200"/>
        <w:jc w:val="both"/>
        <w:rPr>
          <w:rFonts w:hint="default" w:ascii="Arial" w:hAnsi="Arial" w:eastAsia="仿宋_GB2312" w:cs="Arial"/>
          <w:sz w:val="28"/>
          <w:highlight w:val="none"/>
          <w:lang w:val="en-US" w:eastAsia="zh-CN"/>
        </w:rPr>
      </w:pPr>
      <w:r>
        <w:rPr>
          <w:rFonts w:hint="eastAsia" w:ascii="Arial" w:hAnsi="Arial" w:eastAsia="仿宋_GB2312" w:cs="Arial"/>
          <w:sz w:val="28"/>
          <w:highlight w:val="none"/>
          <w:lang w:val="en-US" w:eastAsia="zh-CN"/>
        </w:rPr>
        <w:t>6.《情况说明》复印件</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val="en-US" w:eastAsia="zh-CN"/>
        </w:rPr>
        <w:t>7</w:t>
      </w:r>
      <w:r>
        <w:rPr>
          <w:rFonts w:ascii="Arial" w:hAnsi="Arial" w:eastAsia="仿宋_GB2312" w:cs="Arial"/>
          <w:sz w:val="28"/>
          <w:highlight w:val="none"/>
        </w:rPr>
        <w:t>.估价机构《营业执照（副本）》复印件</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val="en-US" w:eastAsia="zh-CN"/>
        </w:rPr>
        <w:t>8</w:t>
      </w:r>
      <w:r>
        <w:rPr>
          <w:rFonts w:ascii="Arial" w:hAnsi="Arial" w:eastAsia="仿宋_GB2312" w:cs="Arial"/>
          <w:sz w:val="28"/>
          <w:highlight w:val="none"/>
        </w:rPr>
        <w:t>.估价机构评估资质复印件</w:t>
      </w:r>
    </w:p>
    <w:p>
      <w:pPr>
        <w:snapToGrid w:val="0"/>
        <w:spacing w:line="300" w:lineRule="auto"/>
        <w:ind w:firstLine="560" w:firstLineChars="200"/>
        <w:jc w:val="both"/>
        <w:rPr>
          <w:rFonts w:ascii="Arial" w:hAnsi="Arial" w:cs="Arial"/>
          <w:highlight w:val="none"/>
        </w:rPr>
      </w:pPr>
      <w:r>
        <w:rPr>
          <w:rFonts w:hint="eastAsia" w:ascii="Arial" w:hAnsi="Arial" w:eastAsia="楷体_GB2312" w:cs="Arial"/>
          <w:sz w:val="28"/>
          <w:highlight w:val="none"/>
          <w:lang w:val="en-US" w:eastAsia="zh-CN"/>
        </w:rPr>
        <w:t>9</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sectPr>
      <w:headerReference r:id="rId37" w:type="default"/>
      <w:footerReference r:id="rId38" w:type="default"/>
      <w:pgSz w:w="11906" w:h="16838"/>
      <w:pgMar w:top="1843" w:right="1134" w:bottom="1134" w:left="1134" w:header="1134" w:footer="907" w:gutter="34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dern">
    <w:altName w:val="Segoe Print"/>
    <w:panose1 w:val="00000000000000000000"/>
    <w:charset w:val="00"/>
    <w:family w:val="moder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黑体萄">
    <w:altName w:val="黑体"/>
    <w:panose1 w:val="00000000000000000000"/>
    <w:charset w:val="86"/>
    <w:family w:val="swiss"/>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昆仑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swiss"/>
    <w:pitch w:val="default"/>
    <w:sig w:usb0="00000287" w:usb1="080F0000" w:usb2="00000000" w:usb3="00000000" w:csb0="0004009F" w:csb1="DFD70000"/>
  </w:font>
  <w:font w:name="方正黑体简体">
    <w:altName w:val="微软雅黑"/>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47</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Style w:val="39"/>
        <w:sz w:val="18"/>
        <w:szCs w:val="18"/>
      </w:rPr>
    </w:pPr>
    <w:r>
      <w:rPr>
        <w:rStyle w:val="39"/>
        <w:sz w:val="18"/>
        <w:szCs w:val="18"/>
      </w:rPr>
      <w:fldChar w:fldCharType="begin"/>
    </w:r>
    <w:r>
      <w:rPr>
        <w:rStyle w:val="39"/>
        <w:sz w:val="18"/>
        <w:szCs w:val="18"/>
      </w:rPr>
      <w:instrText xml:space="preserve">PAGE   \* MERGEFORMAT</w:instrText>
    </w:r>
    <w:r>
      <w:rPr>
        <w:rStyle w:val="39"/>
        <w:sz w:val="18"/>
        <w:szCs w:val="18"/>
      </w:rPr>
      <w:fldChar w:fldCharType="separate"/>
    </w:r>
    <w:r>
      <w:rPr>
        <w:rStyle w:val="39"/>
        <w:sz w:val="18"/>
        <w:szCs w:val="18"/>
        <w:lang w:val="zh-CN"/>
      </w:rPr>
      <w:t>9</w:t>
    </w:r>
    <w:r>
      <w:rPr>
        <w:rStyle w:val="39"/>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5904230" cy="284480"/>
          <wp:effectExtent l="0" t="0" r="1270" b="127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5904230" cy="28448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28"/>
        <w:tab w:val="center" w:pos="7346"/>
      </w:tabs>
      <w:rPr>
        <w:rFonts w:ascii="楷体_GB2312" w:eastAsia="楷体_GB2312"/>
        <w:spacing w:val="-20"/>
      </w:rPr>
    </w:pPr>
    <w:r>
      <w:rPr>
        <w:rFonts w:hint="eastAsia"/>
      </w:rPr>
      <w:tab/>
    </w:r>
    <w:r>
      <w:rPr>
        <w:rFonts w:hint="eastAsia"/>
      </w:rPr>
      <w:tab/>
    </w:r>
    <w: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eastAsia="华文行楷"/>
      </w:rPr>
    </w:pPr>
    <w: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A595C"/>
    <w:multiLevelType w:val="singleLevel"/>
    <w:tmpl w:val="A95A595C"/>
    <w:lvl w:ilvl="0" w:tentative="0">
      <w:start w:val="2"/>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3960EB8"/>
    <w:multiLevelType w:val="multilevel"/>
    <w:tmpl w:val="13960EB8"/>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371C35A0"/>
    <w:multiLevelType w:val="singleLevel"/>
    <w:tmpl w:val="371C35A0"/>
    <w:lvl w:ilvl="0" w:tentative="0">
      <w:start w:val="2"/>
      <w:numFmt w:val="decimal"/>
      <w:suff w:val="nothing"/>
      <w:lvlText w:val="%1）"/>
      <w:lvlJc w:val="left"/>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6243EDEA"/>
    <w:multiLevelType w:val="singleLevel"/>
    <w:tmpl w:val="6243EDEA"/>
    <w:lvl w:ilvl="0" w:tentative="0">
      <w:start w:val="4"/>
      <w:numFmt w:val="chineseCounting"/>
      <w:suff w:val="nothing"/>
      <w:lvlText w:val="（%1）"/>
      <w:lvlJc w:val="left"/>
      <w:rPr>
        <w:rFonts w:hint="eastAsia"/>
      </w:r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B4630"/>
    <w:rsid w:val="00FC7D32"/>
    <w:rsid w:val="00FD2858"/>
    <w:rsid w:val="00FD5124"/>
    <w:rsid w:val="00FD7616"/>
    <w:rsid w:val="00FE42C9"/>
    <w:rsid w:val="00FE76B2"/>
    <w:rsid w:val="00FE7F20"/>
    <w:rsid w:val="00FF662C"/>
    <w:rsid w:val="00FF67AF"/>
    <w:rsid w:val="04DD7085"/>
    <w:rsid w:val="057E2D21"/>
    <w:rsid w:val="06D82C35"/>
    <w:rsid w:val="0B001F6C"/>
    <w:rsid w:val="0BF06105"/>
    <w:rsid w:val="0E886A8E"/>
    <w:rsid w:val="124D17EC"/>
    <w:rsid w:val="13767488"/>
    <w:rsid w:val="16692AF8"/>
    <w:rsid w:val="1BC00C47"/>
    <w:rsid w:val="1D0B001B"/>
    <w:rsid w:val="21A4270F"/>
    <w:rsid w:val="231A7AA9"/>
    <w:rsid w:val="253B048B"/>
    <w:rsid w:val="2AB00A8A"/>
    <w:rsid w:val="2B6231C6"/>
    <w:rsid w:val="2ED72FC5"/>
    <w:rsid w:val="2F615F40"/>
    <w:rsid w:val="2FC21485"/>
    <w:rsid w:val="2FE349FC"/>
    <w:rsid w:val="31A17F44"/>
    <w:rsid w:val="329C1729"/>
    <w:rsid w:val="33AF4B9A"/>
    <w:rsid w:val="346B260B"/>
    <w:rsid w:val="35137983"/>
    <w:rsid w:val="3C9E1C4F"/>
    <w:rsid w:val="3DF72BF8"/>
    <w:rsid w:val="3E260B7E"/>
    <w:rsid w:val="3F7D78FA"/>
    <w:rsid w:val="3F9D0255"/>
    <w:rsid w:val="3FF03FFB"/>
    <w:rsid w:val="400F2B50"/>
    <w:rsid w:val="40AC1E16"/>
    <w:rsid w:val="40BF06D7"/>
    <w:rsid w:val="41170329"/>
    <w:rsid w:val="413F165A"/>
    <w:rsid w:val="433546FC"/>
    <w:rsid w:val="43B76D86"/>
    <w:rsid w:val="46BE69A6"/>
    <w:rsid w:val="486D4CB1"/>
    <w:rsid w:val="490746D8"/>
    <w:rsid w:val="4A6C1FFC"/>
    <w:rsid w:val="4AC007E9"/>
    <w:rsid w:val="4B4C2FC3"/>
    <w:rsid w:val="4CDA1C53"/>
    <w:rsid w:val="4FCB2C74"/>
    <w:rsid w:val="50C02456"/>
    <w:rsid w:val="53E510C0"/>
    <w:rsid w:val="54407ED1"/>
    <w:rsid w:val="576F067F"/>
    <w:rsid w:val="57E91A80"/>
    <w:rsid w:val="5D193B81"/>
    <w:rsid w:val="5D657D7E"/>
    <w:rsid w:val="60141108"/>
    <w:rsid w:val="60AF5DE6"/>
    <w:rsid w:val="6646527B"/>
    <w:rsid w:val="684813B3"/>
    <w:rsid w:val="6DB05FE6"/>
    <w:rsid w:val="6EB0064E"/>
    <w:rsid w:val="6EFF182A"/>
    <w:rsid w:val="6F254099"/>
    <w:rsid w:val="71396572"/>
    <w:rsid w:val="7382360C"/>
    <w:rsid w:val="7674259B"/>
    <w:rsid w:val="78AF300A"/>
    <w:rsid w:val="795E4208"/>
    <w:rsid w:val="79921B32"/>
    <w:rsid w:val="7A835942"/>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paragraph" w:customStyle="1" w:styleId="115">
    <w:name w:val="Body text|2"/>
    <w:basedOn w:val="1"/>
    <w:qFormat/>
    <w:uiPriority w:val="0"/>
    <w:pPr>
      <w:spacing w:line="577" w:lineRule="exact"/>
      <w:ind w:firstLine="460"/>
    </w:pPr>
    <w:rPr>
      <w:rFonts w:ascii="宋体" w:hAnsi="宋体" w:cs="宋体"/>
      <w:sz w:val="26"/>
      <w:szCs w:val="26"/>
      <w:lang w:val="zh-TW" w:eastAsia="zh-TW" w:bidi="zh-TW"/>
    </w:rPr>
  </w:style>
  <w:style w:type="character" w:customStyle="1" w:styleId="116">
    <w:name w:val="font2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31"/>
    <w:basedOn w:val="37"/>
    <w:qFormat/>
    <w:uiPriority w:val="0"/>
    <w:rPr>
      <w:rFonts w:hint="default" w:ascii="仿宋_GB2312" w:eastAsia="仿宋_GB2312" w:cs="仿宋_GB2312"/>
      <w:color w:val="000000"/>
      <w:sz w:val="22"/>
      <w:szCs w:val="22"/>
      <w:u w:val="none"/>
    </w:rPr>
  </w:style>
  <w:style w:type="character" w:customStyle="1" w:styleId="119">
    <w:name w:val="font41"/>
    <w:basedOn w:val="37"/>
    <w:qFormat/>
    <w:uiPriority w:val="0"/>
    <w:rPr>
      <w:rFonts w:hint="eastAsia" w:ascii="宋体" w:hAnsi="宋体" w:eastAsia="宋体" w:cs="宋体"/>
      <w:color w:val="000000"/>
      <w:sz w:val="22"/>
      <w:szCs w:val="22"/>
      <w:u w:val="none"/>
    </w:rPr>
  </w:style>
  <w:style w:type="character" w:customStyle="1" w:styleId="120">
    <w:name w:val="font01"/>
    <w:basedOn w:val="37"/>
    <w:qFormat/>
    <w:uiPriority w:val="0"/>
    <w:rPr>
      <w:rFonts w:ascii="仿宋_GB2312" w:eastAsia="仿宋_GB2312" w:cs="仿宋_GB2312"/>
      <w:color w:val="000000"/>
      <w:sz w:val="22"/>
      <w:szCs w:val="22"/>
      <w:u w:val="none"/>
    </w:rPr>
  </w:style>
  <w:style w:type="paragraph" w:customStyle="1" w:styleId="121">
    <w:name w:val="正文7"/>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table" w:customStyle="1" w:styleId="1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chart" Target="charts/chart6.xml"/><Relationship Id="rId48" Type="http://schemas.openxmlformats.org/officeDocument/2006/relationships/chart" Target="charts/chart5.xml"/><Relationship Id="rId47" Type="http://schemas.openxmlformats.org/officeDocument/2006/relationships/chart" Target="charts/chart4.xml"/><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chart" Target="charts/chart3.xml"/><Relationship Id="rId43" Type="http://schemas.openxmlformats.org/officeDocument/2006/relationships/chart" Target="charts/chart2.xml"/><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19.xml"/><Relationship Id="rId37" Type="http://schemas.openxmlformats.org/officeDocument/2006/relationships/header" Target="header15.xml"/><Relationship Id="rId36" Type="http://schemas.openxmlformats.org/officeDocument/2006/relationships/header" Target="header14.xml"/><Relationship Id="rId35" Type="http://schemas.openxmlformats.org/officeDocument/2006/relationships/footer" Target="footer18.xml"/><Relationship Id="rId34" Type="http://schemas.openxmlformats.org/officeDocument/2006/relationships/footer" Target="footer17.xml"/><Relationship Id="rId33" Type="http://schemas.openxmlformats.org/officeDocument/2006/relationships/header" Target="header13.xml"/><Relationship Id="rId32" Type="http://schemas.openxmlformats.org/officeDocument/2006/relationships/footer" Target="footer16.xml"/><Relationship Id="rId31" Type="http://schemas.openxmlformats.org/officeDocument/2006/relationships/header" Target="header12.xml"/><Relationship Id="rId30" Type="http://schemas.openxmlformats.org/officeDocument/2006/relationships/header" Target="header11.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1-cuikai\Desktop\23&#24180;&#24066;&#22330;&#20998;&#26512;\2023&#24180;1&#23395;&#24230;&#22320;&#20215;&#30417;&#2797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cuikai\Desktop\23&#24180;&#24066;&#22330;&#20998;&#26512;\2023&#24180;1&#23395;&#24230;&#22320;&#20215;&#30417;&#2797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1-cuikai\Desktop\22&#24180;&#24066;&#22330;&#20998;&#26512;\&#25968;&#25454;&#27719;&#38598;&#20998;&#26512;&#65288;&#24635;&#34920;&#65289;.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1-cuikai\Desktop\23&#24180;&#24066;&#22330;&#20998;&#26512;\2023&#24180;1&#23395;&#24230;&#22320;&#20215;&#30417;&#2797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1-cuikai\Desktop\23&#24180;&#24066;&#22330;&#20998;&#26512;\2023&#24180;1&#23395;&#24230;&#22320;&#20215;&#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219092864"/>
        <c:axId val="219094400"/>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28435328"/>
        <c:axId val="128436864"/>
      </c:lineChart>
      <c:catAx>
        <c:axId val="2190928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4400"/>
        <c:crosses val="autoZero"/>
        <c:auto val="1"/>
        <c:lblAlgn val="ctr"/>
        <c:lblOffset val="100"/>
        <c:noMultiLvlLbl val="0"/>
      </c:catAx>
      <c:valAx>
        <c:axId val="2190944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2864"/>
        <c:crosses val="autoZero"/>
        <c:crossBetween val="between"/>
        <c:majorUnit val="500"/>
      </c:valAx>
      <c:catAx>
        <c:axId val="12843532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6864"/>
        <c:crosses val="autoZero"/>
        <c:auto val="1"/>
        <c:lblAlgn val="ctr"/>
        <c:lblOffset val="100"/>
        <c:noMultiLvlLbl val="0"/>
      </c:catAx>
      <c:valAx>
        <c:axId val="12843686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532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28474496"/>
        <c:axId val="128480384"/>
      </c:lineChart>
      <c:catAx>
        <c:axId val="12847449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80384"/>
        <c:crosses val="autoZero"/>
        <c:auto val="1"/>
        <c:lblAlgn val="ctr"/>
        <c:lblOffset val="100"/>
        <c:noMultiLvlLbl val="0"/>
      </c:catAx>
      <c:valAx>
        <c:axId val="12848038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7449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28497536"/>
        <c:axId val="128499072"/>
      </c:lineChart>
      <c:catAx>
        <c:axId val="1284975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99072"/>
        <c:crosses val="autoZero"/>
        <c:auto val="1"/>
        <c:lblAlgn val="ctr"/>
        <c:lblOffset val="100"/>
        <c:noMultiLvlLbl val="0"/>
      </c:catAx>
      <c:valAx>
        <c:axId val="128499072"/>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9753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28515072"/>
        <c:axId val="133890816"/>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33892352"/>
        <c:axId val="133902336"/>
      </c:lineChart>
      <c:catAx>
        <c:axId val="12851507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0816"/>
        <c:crosses val="autoZero"/>
        <c:auto val="1"/>
        <c:lblAlgn val="ctr"/>
        <c:lblOffset val="100"/>
        <c:noMultiLvlLbl val="0"/>
      </c:catAx>
      <c:valAx>
        <c:axId val="133890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515072"/>
        <c:crosses val="autoZero"/>
        <c:crossBetween val="between"/>
        <c:majorUnit val="500"/>
      </c:valAx>
      <c:catAx>
        <c:axId val="1338923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02336"/>
        <c:crosses val="autoZero"/>
        <c:auto val="1"/>
        <c:lblAlgn val="ctr"/>
        <c:lblOffset val="100"/>
        <c:noMultiLvlLbl val="0"/>
      </c:catAx>
      <c:valAx>
        <c:axId val="13390233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235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33919488"/>
        <c:axId val="133921024"/>
      </c:lineChart>
      <c:catAx>
        <c:axId val="13391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21024"/>
        <c:crosses val="autoZero"/>
        <c:auto val="1"/>
        <c:lblAlgn val="ctr"/>
        <c:lblOffset val="100"/>
        <c:noMultiLvlLbl val="0"/>
      </c:catAx>
      <c:valAx>
        <c:axId val="13392102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19488"/>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33934080"/>
        <c:axId val="133944064"/>
      </c:lineChart>
      <c:catAx>
        <c:axId val="1339340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44064"/>
        <c:crosses val="autoZero"/>
        <c:auto val="1"/>
        <c:lblAlgn val="ctr"/>
        <c:lblOffset val="100"/>
        <c:noMultiLvlLbl val="0"/>
      </c:catAx>
      <c:valAx>
        <c:axId val="13394406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3408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065468-C35D-471F-B7A4-CAE456107A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135</Pages>
  <Words>77625</Words>
  <Characters>89689</Characters>
  <Lines>718</Lines>
  <Paragraphs>202</Paragraphs>
  <TotalTime>3</TotalTime>
  <ScaleCrop>false</ScaleCrop>
  <LinksUpToDate>false</LinksUpToDate>
  <CharactersWithSpaces>90469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2023-06-10T07:03:00Z</dcterms:created>
  <dc:creator>黄 英</dc:creator>
  <cp:lastModifiedBy>俊然</cp:lastModifiedBy>
  <cp:lastPrinted>2023-06-05T03:03:00Z</cp:lastPrinted>
  <dcterms:modified xsi:type="dcterms:W3CDTF">2023-06-12T10:10:38Z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E3E51D40197E4956B6187E1A53F53A36_13</vt:lpwstr>
  </property>
</Properties>
</file>