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color w:val="auto"/>
        </w:rPr>
      </w:pPr>
      <w:r>
        <w:rPr>
          <w:rFonts w:hint="eastAsia" w:ascii="Arial" w:hAnsi="Arial" w:eastAsia="宋体" w:cs="宋体"/>
          <w:color w:val="auto"/>
          <w:kern w:val="0"/>
          <w:sz w:val="20"/>
          <w:szCs w:val="20"/>
        </w:rPr>
        <w:t>报告编号：康正评字2024-1-0158-P01DYGJ2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北京市</w:t>
            </w:r>
            <w:r>
              <w:rPr>
                <w:rFonts w:hint="eastAsia" w:ascii="Arial" w:hAnsi="Arial" w:eastAsia="宋体" w:cs="宋体"/>
                <w:color w:val="auto"/>
                <w:kern w:val="0"/>
                <w:sz w:val="20"/>
                <w:szCs w:val="20"/>
                <w:lang w:val="en-US" w:eastAsia="zh-CN"/>
              </w:rPr>
              <w:t>朝阳区广渠路66号院10号楼1层103</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3</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6</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百环家园</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196.55</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28（-2）</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42964</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844</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捌佰肆拾肆万元整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w:t>
            </w:r>
            <w:bookmarkStart w:id="0" w:name="_GoBack"/>
            <w:bookmarkEnd w:id="0"/>
            <w:r>
              <w:rPr>
                <w:rFonts w:hint="eastAsia" w:ascii="Arial" w:hAnsi="Arial" w:eastAsia="宋体" w:cs="宋体"/>
                <w:color w:val="auto"/>
                <w:kern w:val="0"/>
                <w:sz w:val="20"/>
                <w:szCs w:val="20"/>
              </w:rPr>
              <w:t>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仅对估价对象房屋做一般性查勘，未对其进行结构、装饰及设施等内在质量的测试，不对该房屋是否有内部缺陷作鉴定。本次复估以估价对象的建筑质量达到国家或行业规定的标准要求为估价假设前提条件。</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十二</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3FD436B3"/>
    <w:rsid w:val="5328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22</TotalTime>
  <ScaleCrop>false</ScaleCrop>
  <LinksUpToDate>false</LinksUpToDate>
  <CharactersWithSpaces>1085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2024-03-11T01:44:53Z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94D9341D72384E38AC08D39C0CDD6FBD_12</vt:lpwstr>
  </property>
</Properties>
</file>