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auto"/>
        <w:rPr>
          <w:rFonts w:ascii="Arial"/>
          <w:sz w:val="21"/>
        </w:rPr>
      </w:pPr>
    </w:p>
    <w:p>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lang w:val="en-US" w:eastAsia="zh-CN"/>
        </w:rPr>
      </w:pPr>
      <w:r>
        <w:rPr>
          <w:rFonts w:hint="eastAsia"/>
        </w:rPr>
        <w:t>关于</w:t>
      </w:r>
      <w:r>
        <w:rPr>
          <w:rFonts w:hint="eastAsia"/>
          <w:lang w:eastAsia="zh-CN"/>
        </w:rPr>
        <w:t>北京市朝阳区人民法院</w:t>
      </w:r>
    </w:p>
    <w:p>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lang w:val="en-US" w:eastAsia="zh-CN"/>
        </w:rPr>
      </w:pPr>
      <w:r>
        <w:rPr>
          <w:rFonts w:hint="eastAsia"/>
        </w:rPr>
        <w:t>案件</w:t>
      </w:r>
      <w:r>
        <w:rPr>
          <w:rFonts w:hint="eastAsia"/>
          <w:lang w:eastAsia="zh-CN"/>
        </w:rPr>
        <w:t>号：</w:t>
      </w:r>
      <w:r>
        <w:rPr>
          <w:rFonts w:hint="eastAsia"/>
        </w:rPr>
        <w:t>【</w:t>
      </w:r>
      <w:r>
        <w:rPr>
          <w:rFonts w:hint="eastAsia"/>
          <w:lang w:eastAsia="zh-CN"/>
        </w:rPr>
        <w:t>（</w:t>
      </w:r>
      <w:r>
        <w:rPr>
          <w:rFonts w:hint="eastAsia"/>
          <w:lang w:val="en-US" w:eastAsia="zh-CN"/>
        </w:rPr>
        <w:t>2022</w:t>
      </w:r>
      <w:r>
        <w:rPr>
          <w:rFonts w:hint="eastAsia"/>
          <w:lang w:eastAsia="zh-CN"/>
        </w:rPr>
        <w:t>）京</w:t>
      </w:r>
      <w:r>
        <w:rPr>
          <w:rFonts w:hint="eastAsia"/>
          <w:lang w:val="en-US" w:eastAsia="zh-CN"/>
        </w:rPr>
        <w:t>0105执33414号</w:t>
      </w:r>
      <w:r>
        <w:rPr>
          <w:rFonts w:hint="eastAsia"/>
          <w:lang w:eastAsia="zh-CN"/>
        </w:rPr>
        <w:t>】的收费说明</w:t>
      </w:r>
    </w:p>
    <w:p>
      <w:pPr>
        <w:spacing w:line="298" w:lineRule="auto"/>
        <w:rPr>
          <w:rFonts w:hint="default" w:ascii="Arial" w:hAnsi="Arial" w:cs="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14"/>
          <w:sz w:val="28"/>
          <w:szCs w:val="28"/>
          <w:lang w:eastAsia="zh-CN"/>
        </w:rPr>
        <w:t>北京市朝阳区人民法院</w:t>
      </w:r>
      <w:r>
        <w:rPr>
          <w:rFonts w:hint="eastAsia" w:ascii="宋体" w:hAnsi="宋体" w:eastAsia="宋体" w:cs="宋体"/>
          <w:b/>
          <w:bCs/>
          <w:color w:val="auto"/>
          <w:spacing w:val="-14"/>
          <w:sz w:val="28"/>
          <w:szCs w:val="28"/>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z w:val="24"/>
          <w:szCs w:val="24"/>
        </w:rPr>
      </w:pPr>
      <w:r>
        <w:rPr>
          <w:rFonts w:hint="default" w:ascii="Arial" w:hAnsi="Arial" w:eastAsia="宋体" w:cs="Arial"/>
          <w:spacing w:val="-6"/>
          <w:sz w:val="24"/>
          <w:szCs w:val="24"/>
        </w:rPr>
        <w:t>根据</w:t>
      </w:r>
      <w:r>
        <w:rPr>
          <w:rFonts w:hint="default" w:ascii="Arial" w:hAnsi="Arial" w:eastAsia="宋体" w:cs="Arial"/>
          <w:spacing w:val="-6"/>
          <w:sz w:val="24"/>
          <w:szCs w:val="24"/>
          <w:lang w:eastAsia="zh-CN"/>
        </w:rPr>
        <w:t>北京市</w:t>
      </w:r>
      <w:r>
        <w:rPr>
          <w:rFonts w:hint="eastAsia" w:ascii="Arial" w:hAnsi="Arial" w:eastAsia="宋体" w:cs="Arial"/>
          <w:spacing w:val="-6"/>
          <w:sz w:val="24"/>
          <w:szCs w:val="24"/>
          <w:lang w:eastAsia="zh-CN"/>
        </w:rPr>
        <w:t>朝阳区</w:t>
      </w:r>
      <w:r>
        <w:rPr>
          <w:rFonts w:hint="default" w:ascii="Arial" w:hAnsi="Arial" w:eastAsia="宋体" w:cs="Arial"/>
          <w:spacing w:val="-6"/>
          <w:sz w:val="24"/>
          <w:szCs w:val="24"/>
          <w:lang w:eastAsia="zh-CN"/>
        </w:rPr>
        <w:t>人民法院</w:t>
      </w:r>
      <w:r>
        <w:rPr>
          <w:rFonts w:hint="default" w:ascii="Arial" w:hAnsi="Arial" w:eastAsia="宋体" w:cs="Arial"/>
          <w:spacing w:val="-6"/>
          <w:sz w:val="24"/>
          <w:szCs w:val="24"/>
        </w:rPr>
        <w:t>出具的《</w:t>
      </w:r>
      <w:r>
        <w:rPr>
          <w:rFonts w:hint="default" w:ascii="Arial" w:hAnsi="Arial" w:eastAsia="宋体" w:cs="Arial"/>
          <w:spacing w:val="-6"/>
          <w:sz w:val="24"/>
          <w:szCs w:val="24"/>
          <w:lang w:eastAsia="zh-CN"/>
        </w:rPr>
        <w:t>北京市</w:t>
      </w:r>
      <w:r>
        <w:rPr>
          <w:rFonts w:hint="eastAsia" w:ascii="Arial" w:hAnsi="Arial" w:eastAsia="宋体" w:cs="Arial"/>
          <w:spacing w:val="-6"/>
          <w:sz w:val="24"/>
          <w:szCs w:val="24"/>
          <w:lang w:eastAsia="zh-CN"/>
        </w:rPr>
        <w:t>朝阳区</w:t>
      </w:r>
      <w:r>
        <w:rPr>
          <w:rFonts w:hint="default" w:ascii="Arial" w:hAnsi="Arial" w:eastAsia="宋体" w:cs="Arial"/>
          <w:spacing w:val="-6"/>
          <w:sz w:val="24"/>
          <w:szCs w:val="24"/>
          <w:lang w:eastAsia="zh-CN"/>
        </w:rPr>
        <w:t>人民法院</w:t>
      </w:r>
      <w:r>
        <w:rPr>
          <w:rFonts w:hint="eastAsia" w:ascii="Arial" w:hAnsi="Arial" w:eastAsia="宋体" w:cs="Arial"/>
          <w:spacing w:val="-6"/>
          <w:sz w:val="24"/>
          <w:szCs w:val="24"/>
          <w:lang w:eastAsia="zh-CN"/>
        </w:rPr>
        <w:t>委托司法鉴定函</w:t>
      </w:r>
      <w:r>
        <w:rPr>
          <w:rFonts w:hint="default" w:ascii="Arial" w:hAnsi="Arial" w:eastAsia="宋体" w:cs="Arial"/>
          <w:spacing w:val="-6"/>
          <w:sz w:val="24"/>
          <w:szCs w:val="24"/>
        </w:rPr>
        <w:t>》【</w:t>
      </w:r>
      <w:r>
        <w:rPr>
          <w:rFonts w:hint="default" w:ascii="Arial" w:hAnsi="Arial" w:eastAsia="宋体" w:cs="Arial"/>
          <w:spacing w:val="-6"/>
          <w:sz w:val="24"/>
          <w:szCs w:val="24"/>
          <w:lang w:eastAsia="zh-CN"/>
        </w:rPr>
        <w:t>（2022）京0105执33414号</w:t>
      </w:r>
      <w:r>
        <w:rPr>
          <w:rFonts w:hint="default" w:ascii="Arial" w:hAnsi="Arial" w:eastAsia="宋体" w:cs="Arial"/>
          <w:spacing w:val="1"/>
          <w:sz w:val="24"/>
          <w:szCs w:val="24"/>
        </w:rPr>
        <w:t>】</w:t>
      </w:r>
      <w:r>
        <w:rPr>
          <w:rFonts w:hint="default" w:ascii="Arial" w:hAnsi="Arial" w:eastAsia="宋体" w:cs="Arial"/>
          <w:spacing w:val="1"/>
          <w:sz w:val="24"/>
          <w:szCs w:val="24"/>
          <w:lang w:eastAsia="zh-CN"/>
        </w:rPr>
        <w:t>，</w:t>
      </w:r>
      <w:r>
        <w:rPr>
          <w:rFonts w:hint="default" w:ascii="Arial" w:hAnsi="Arial" w:eastAsia="宋体" w:cs="Arial"/>
          <w:spacing w:val="1"/>
          <w:sz w:val="24"/>
          <w:szCs w:val="24"/>
        </w:rPr>
        <w:t>委托我公司对</w:t>
      </w:r>
      <w:r>
        <w:rPr>
          <w:rFonts w:hint="eastAsia" w:ascii="Arial" w:hAnsi="Arial" w:eastAsia="宋体" w:cs="Arial"/>
          <w:spacing w:val="1"/>
          <w:sz w:val="24"/>
          <w:szCs w:val="24"/>
          <w:lang w:eastAsia="zh-CN"/>
        </w:rPr>
        <w:t>王雅晴</w:t>
      </w:r>
      <w:r>
        <w:rPr>
          <w:rFonts w:hint="default" w:ascii="Arial" w:hAnsi="Arial" w:eastAsia="宋体" w:cs="Arial"/>
          <w:spacing w:val="1"/>
          <w:sz w:val="24"/>
          <w:szCs w:val="24"/>
          <w:lang w:eastAsia="zh-CN"/>
        </w:rPr>
        <w:t>名下位于北京市</w:t>
      </w:r>
      <w:r>
        <w:rPr>
          <w:rFonts w:hint="eastAsia" w:ascii="Arial" w:hAnsi="Arial" w:eastAsia="宋体" w:cs="Arial"/>
          <w:spacing w:val="1"/>
          <w:sz w:val="24"/>
          <w:szCs w:val="24"/>
          <w:lang w:eastAsia="zh-CN"/>
        </w:rPr>
        <w:t>朝阳区阜通东大街</w:t>
      </w:r>
      <w:r>
        <w:rPr>
          <w:rFonts w:hint="eastAsia" w:ascii="Arial" w:hAnsi="Arial" w:eastAsia="宋体" w:cs="Arial"/>
          <w:spacing w:val="1"/>
          <w:sz w:val="24"/>
          <w:szCs w:val="24"/>
          <w:lang w:val="en-US" w:eastAsia="zh-CN"/>
        </w:rPr>
        <w:t>6号院5号楼18层2116房产</w:t>
      </w:r>
      <w:r>
        <w:rPr>
          <w:rFonts w:hint="default" w:ascii="Arial" w:hAnsi="Arial" w:eastAsia="宋体" w:cs="Arial"/>
          <w:spacing w:val="9"/>
          <w:sz w:val="24"/>
          <w:szCs w:val="24"/>
          <w:lang w:eastAsia="zh-CN"/>
        </w:rPr>
        <w:t>进行评估</w:t>
      </w:r>
      <w:r>
        <w:rPr>
          <w:rFonts w:hint="default" w:ascii="Arial" w:hAnsi="Arial" w:eastAsia="宋体" w:cs="Arial"/>
          <w:spacing w:val="9"/>
          <w:sz w:val="24"/>
          <w:szCs w:val="24"/>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参照《国家计委建设部关于房地产中介服务的通知》【计价格[1995]971号</w:t>
      </w:r>
      <w:r>
        <w:rPr>
          <w:rFonts w:hint="default" w:ascii="Arial" w:hAnsi="Arial" w:eastAsia="宋体" w:cs="Arial"/>
          <w:spacing w:val="-6"/>
          <w:sz w:val="24"/>
          <w:szCs w:val="24"/>
          <w:lang w:eastAsia="zh-CN"/>
        </w:rPr>
        <w:t>】，</w:t>
      </w:r>
      <w:r>
        <w:rPr>
          <w:rFonts w:hint="default" w:ascii="Arial" w:hAnsi="Arial" w:eastAsia="宋体" w:cs="Arial"/>
          <w:spacing w:val="-6"/>
          <w:sz w:val="24"/>
          <w:szCs w:val="24"/>
        </w:rPr>
        <w:t>我司制定的房地产评估的评估费收费标准如下：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9"/>
          <w:szCs w:val="29"/>
        </w:rPr>
      </w:pPr>
      <w:r>
        <w:rPr>
          <w:rFonts w:ascii="宋体" w:hAnsi="宋体" w:eastAsia="宋体" w:cs="宋体"/>
          <w:b/>
          <w:bCs/>
          <w:spacing w:val="-28"/>
          <w:sz w:val="29"/>
          <w:szCs w:val="29"/>
        </w:rPr>
        <w:t>房地产价格评估收费标准</w:t>
      </w:r>
    </w:p>
    <w:p>
      <w:pPr>
        <w:keepNext w:val="0"/>
        <w:keepLines w:val="0"/>
        <w:pageBreakBefore w:val="0"/>
        <w:widowControl/>
        <w:kinsoku w:val="0"/>
        <w:wordWrap/>
        <w:overflowPunct/>
        <w:topLinePunct w:val="0"/>
        <w:autoSpaceDE w:val="0"/>
        <w:autoSpaceDN w:val="0"/>
        <w:bidi w:val="0"/>
        <w:adjustRightInd w:val="0"/>
        <w:snapToGrid w:val="0"/>
        <w:spacing w:line="157" w:lineRule="exact"/>
        <w:ind w:left="0"/>
        <w:jc w:val="center"/>
        <w:textAlignment w:val="baseline"/>
      </w:pPr>
    </w:p>
    <w:tbl>
      <w:tblPr>
        <w:tblStyle w:val="5"/>
        <w:tblW w:w="5930" w:type="dxa"/>
        <w:tblInd w:w="1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3284"/>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档次</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标的总额(万元)</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累进费率‰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100以下(含100)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2</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101以上至1000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3</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1001以上至2000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4</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2001以上至5000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5001以上至8000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6</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8001以上至10000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7</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10000以上</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0.1</w:t>
            </w:r>
          </w:p>
        </w:tc>
      </w:tr>
    </w:tbl>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宋体" w:hAnsi="宋体" w:eastAsia="宋体" w:cs="宋体"/>
          <w:spacing w:val="-3"/>
          <w:position w:val="19"/>
          <w:sz w:val="18"/>
          <w:szCs w:val="18"/>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根据估价人员初步测算，此项目应预缴纳评估费为</w:t>
      </w:r>
      <w:r>
        <w:rPr>
          <w:rFonts w:hint="eastAsia" w:ascii="Arial" w:hAnsi="Arial" w:eastAsia="宋体" w:cs="Arial"/>
          <w:spacing w:val="-6"/>
          <w:sz w:val="24"/>
          <w:szCs w:val="24"/>
          <w:lang w:val="en-US" w:eastAsia="zh-CN"/>
        </w:rPr>
        <w:t>5000</w:t>
      </w:r>
      <w:r>
        <w:rPr>
          <w:rFonts w:hint="default" w:ascii="Arial" w:hAnsi="Arial" w:eastAsia="宋体" w:cs="Arial"/>
          <w:spacing w:val="-6"/>
          <w:sz w:val="24"/>
          <w:szCs w:val="24"/>
        </w:rPr>
        <w:t>元</w:t>
      </w:r>
      <w:r>
        <w:rPr>
          <w:rFonts w:hint="eastAsia" w:ascii="Arial" w:hAnsi="Arial" w:eastAsia="宋体" w:cs="Arial"/>
          <w:spacing w:val="-6"/>
          <w:sz w:val="24"/>
          <w:szCs w:val="24"/>
          <w:lang w:eastAsia="zh-CN"/>
        </w:rPr>
        <w:t>（</w:t>
      </w:r>
      <w:r>
        <w:rPr>
          <w:rFonts w:hint="default" w:ascii="Arial" w:hAnsi="Arial" w:eastAsia="宋体" w:cs="Arial"/>
          <w:spacing w:val="-6"/>
          <w:sz w:val="24"/>
          <w:szCs w:val="24"/>
        </w:rPr>
        <w:t>大写：人民币</w:t>
      </w:r>
      <w:r>
        <w:rPr>
          <w:rFonts w:hint="eastAsia" w:ascii="Arial" w:hAnsi="Arial" w:eastAsia="宋体" w:cs="Arial"/>
          <w:spacing w:val="-6"/>
          <w:sz w:val="24"/>
          <w:szCs w:val="24"/>
          <w:lang w:eastAsia="zh-CN"/>
        </w:rPr>
        <w:t>伍仟元</w:t>
      </w:r>
      <w:r>
        <w:rPr>
          <w:rFonts w:hint="default" w:ascii="Arial" w:hAnsi="Arial" w:eastAsia="宋体" w:cs="Arial"/>
          <w:spacing w:val="-6"/>
          <w:sz w:val="24"/>
          <w:szCs w:val="24"/>
        </w:rPr>
        <w:t>整</w:t>
      </w:r>
      <w:r>
        <w:rPr>
          <w:rFonts w:hint="eastAsia" w:ascii="Arial" w:hAnsi="Arial" w:eastAsia="宋体" w:cs="Arial"/>
          <w:spacing w:val="-6"/>
          <w:sz w:val="24"/>
          <w:szCs w:val="24"/>
          <w:lang w:eastAsia="zh-CN"/>
        </w:rPr>
        <w:t>），</w:t>
      </w:r>
      <w:r>
        <w:rPr>
          <w:rFonts w:hint="default" w:ascii="Arial" w:hAnsi="Arial" w:eastAsia="宋体" w:cs="Arial"/>
          <w:spacing w:val="-6"/>
          <w:sz w:val="24"/>
          <w:szCs w:val="24"/>
        </w:rPr>
        <w:t>待出具正式报告时，我们会根据最终的评估值计算的实际评估费进行多退少补。</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备注：1.上述评估费不包含差旅费。</w:t>
      </w:r>
    </w:p>
    <w:p>
      <w:pPr>
        <w:keepNext w:val="0"/>
        <w:keepLines w:val="0"/>
        <w:pageBreakBefore w:val="0"/>
        <w:widowControl/>
        <w:kinsoku/>
        <w:wordWrap/>
        <w:overflowPunct/>
        <w:topLinePunct w:val="0"/>
        <w:autoSpaceDE w:val="0"/>
        <w:autoSpaceDN w:val="0"/>
        <w:bidi w:val="0"/>
        <w:adjustRightInd w:val="0"/>
        <w:snapToGrid w:val="0"/>
        <w:spacing w:line="360" w:lineRule="auto"/>
        <w:ind w:left="1144" w:leftChars="545" w:right="0" w:firstLine="0" w:firstLineChars="0"/>
        <w:jc w:val="both"/>
        <w:textAlignment w:val="baseline"/>
        <w:rPr>
          <w:rFonts w:hint="default" w:ascii="Arial" w:hAnsi="Arial" w:eastAsia="宋体" w:cs="Arial"/>
          <w:spacing w:val="-6"/>
          <w:sz w:val="24"/>
          <w:szCs w:val="24"/>
        </w:rPr>
      </w:pPr>
      <w:bookmarkStart w:id="0" w:name="_GoBack"/>
      <w:bookmarkEnd w:id="0"/>
      <w:r>
        <w:rPr>
          <w:rFonts w:hint="default" w:ascii="Arial" w:hAnsi="Arial" w:eastAsia="宋体" w:cs="Arial"/>
          <w:spacing w:val="-6"/>
          <w:sz w:val="24"/>
          <w:szCs w:val="24"/>
        </w:rPr>
        <w:t>2.如果按评估范围价值量计算的评估费不能覆盖最基本的评估机构人力及管理成本，评估机构可自行提出最低收费标准并公示</w:t>
      </w:r>
      <w:r>
        <w:rPr>
          <w:rFonts w:hint="eastAsia" w:ascii="Arial" w:hAnsi="Arial" w:eastAsia="宋体" w:cs="Arial"/>
          <w:spacing w:val="-6"/>
          <w:sz w:val="24"/>
          <w:szCs w:val="24"/>
          <w:lang w:eastAsia="zh-CN"/>
        </w:rPr>
        <w:t>（</w:t>
      </w:r>
      <w:r>
        <w:rPr>
          <w:rFonts w:hint="default" w:ascii="Arial" w:hAnsi="Arial" w:eastAsia="宋体" w:cs="Arial"/>
          <w:spacing w:val="-6"/>
          <w:sz w:val="24"/>
          <w:szCs w:val="24"/>
        </w:rPr>
        <w:t>原则上不低于3000元/套</w:t>
      </w:r>
      <w:r>
        <w:rPr>
          <w:rFonts w:hint="eastAsia" w:ascii="Arial" w:hAnsi="Arial" w:eastAsia="宋体" w:cs="Arial"/>
          <w:spacing w:val="-6"/>
          <w:sz w:val="24"/>
          <w:szCs w:val="24"/>
          <w:lang w:eastAsia="zh-CN"/>
        </w:rPr>
        <w:t>）</w:t>
      </w:r>
      <w:r>
        <w:rPr>
          <w:rFonts w:hint="default" w:ascii="Arial" w:hAnsi="Arial" w:eastAsia="宋体" w:cs="Arial"/>
          <w:spacing w:val="-6"/>
          <w:sz w:val="24"/>
          <w:szCs w:val="24"/>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eastAsia" w:ascii="Arial" w:hAnsi="Arial" w:eastAsia="宋体" w:cs="Arial"/>
          <w:spacing w:val="-6"/>
          <w:sz w:val="24"/>
          <w:szCs w:val="24"/>
          <w:lang w:eastAsia="zh-CN"/>
        </w:rPr>
      </w:pPr>
      <w:r>
        <w:rPr>
          <w:rFonts w:hint="eastAsia" w:ascii="Arial" w:hAnsi="Arial" w:eastAsia="宋体" w:cs="Arial"/>
          <w:spacing w:val="-6"/>
          <w:sz w:val="24"/>
          <w:szCs w:val="24"/>
          <w:lang w:eastAsia="zh-CN"/>
        </w:rPr>
        <w:t>北京康正宏基房地产评估有限公司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default" w:ascii="Arial" w:hAnsi="Arial" w:eastAsia="宋体" w:cs="Arial"/>
          <w:spacing w:val="-6"/>
          <w:sz w:val="24"/>
          <w:szCs w:val="24"/>
        </w:rPr>
        <w:sectPr>
          <w:pgSz w:w="11900" w:h="16830"/>
          <w:pgMar w:top="1430" w:right="1775" w:bottom="0" w:left="1770" w:header="0" w:footer="0" w:gutter="0"/>
          <w:cols w:space="720" w:num="1"/>
        </w:sectPr>
      </w:pPr>
      <w:r>
        <w:rPr>
          <w:rFonts w:hint="default" w:ascii="Arial" w:hAnsi="Arial" w:eastAsia="宋体" w:cs="Arial"/>
          <w:spacing w:val="-6"/>
          <w:sz w:val="24"/>
          <w:szCs w:val="24"/>
        </w:rPr>
        <w:t>202</w:t>
      </w:r>
      <w:r>
        <w:rPr>
          <w:rFonts w:hint="eastAsia" w:ascii="Arial" w:hAnsi="Arial" w:eastAsia="宋体" w:cs="Arial"/>
          <w:spacing w:val="-6"/>
          <w:sz w:val="24"/>
          <w:szCs w:val="24"/>
          <w:lang w:val="en-US" w:eastAsia="zh-CN"/>
        </w:rPr>
        <w:t>3</w:t>
      </w:r>
      <w:r>
        <w:rPr>
          <w:rFonts w:hint="default" w:ascii="Arial" w:hAnsi="Arial" w:eastAsia="宋体" w:cs="Arial"/>
          <w:spacing w:val="-6"/>
          <w:sz w:val="24"/>
          <w:szCs w:val="24"/>
        </w:rPr>
        <w:t>年</w:t>
      </w:r>
      <w:r>
        <w:rPr>
          <w:rFonts w:hint="eastAsia" w:eastAsia="宋体" w:cs="Arial"/>
          <w:spacing w:val="-6"/>
          <w:sz w:val="24"/>
          <w:szCs w:val="24"/>
          <w:lang w:val="en-US" w:eastAsia="zh-CN"/>
        </w:rPr>
        <w:t>8</w:t>
      </w:r>
      <w:r>
        <w:rPr>
          <w:rFonts w:hint="default" w:ascii="Arial" w:hAnsi="Arial" w:eastAsia="宋体" w:cs="Arial"/>
          <w:spacing w:val="-6"/>
          <w:sz w:val="24"/>
          <w:szCs w:val="24"/>
        </w:rPr>
        <w:t>月</w:t>
      </w:r>
      <w:r>
        <w:rPr>
          <w:rFonts w:hint="eastAsia" w:eastAsia="宋体" w:cs="Arial"/>
          <w:spacing w:val="-6"/>
          <w:sz w:val="24"/>
          <w:szCs w:val="24"/>
          <w:lang w:val="en-US" w:eastAsia="zh-CN"/>
        </w:rPr>
        <w:t>15</w:t>
      </w:r>
      <w:r>
        <w:rPr>
          <w:rFonts w:hint="default" w:ascii="Arial" w:hAnsi="Arial" w:eastAsia="宋体" w:cs="Arial"/>
          <w:spacing w:val="-6"/>
          <w:sz w:val="24"/>
          <w:szCs w:val="24"/>
        </w:rPr>
        <w:t>日</w:t>
      </w:r>
    </w:p>
    <w:p>
      <w:pPr>
        <w:spacing w:line="720" w:lineRule="auto"/>
        <w:rPr>
          <w:rFonts w:hint="eastAsia" w:eastAsia="仿宋_GB2312"/>
          <w:b/>
          <w:bCs/>
          <w:sz w:val="44"/>
        </w:rPr>
      </w:pPr>
    </w:p>
    <w:p>
      <w:pPr>
        <w:spacing w:line="720" w:lineRule="auto"/>
        <w:rPr>
          <w:rFonts w:hint="eastAsia" w:eastAsia="仿宋_GB2312"/>
          <w:b/>
          <w:bCs/>
          <w:sz w:val="44"/>
        </w:rPr>
      </w:pPr>
      <w:r>
        <w:rPr>
          <w:rFonts w:hint="eastAsia" w:eastAsia="仿宋_GB2312"/>
          <w:b/>
          <w:bCs/>
          <w:sz w:val="44"/>
        </w:rPr>
        <w:t>户名：北京康正宏基房地产评估有限公司</w:t>
      </w:r>
    </w:p>
    <w:p>
      <w:pPr>
        <w:spacing w:line="720" w:lineRule="auto"/>
        <w:rPr>
          <w:rFonts w:hint="eastAsia" w:eastAsia="仿宋_GB2312"/>
          <w:b/>
          <w:bCs/>
          <w:sz w:val="44"/>
        </w:rPr>
      </w:pPr>
      <w:r>
        <w:rPr>
          <w:rFonts w:hint="eastAsia" w:eastAsia="仿宋_GB2312"/>
          <w:b/>
          <w:bCs/>
          <w:sz w:val="44"/>
        </w:rPr>
        <w:t>开户行：交通银行北京</w:t>
      </w:r>
      <w:r>
        <w:rPr>
          <w:rFonts w:hint="eastAsia" w:eastAsia="仿宋_GB2312"/>
          <w:b/>
          <w:bCs/>
          <w:sz w:val="44"/>
          <w:lang w:eastAsia="zh-CN"/>
        </w:rPr>
        <w:t>和平里</w:t>
      </w:r>
      <w:r>
        <w:rPr>
          <w:rFonts w:hint="eastAsia" w:eastAsia="仿宋_GB2312"/>
          <w:b/>
          <w:bCs/>
          <w:sz w:val="44"/>
        </w:rPr>
        <w:t>支行</w:t>
      </w:r>
    </w:p>
    <w:p>
      <w:pPr>
        <w:spacing w:line="720" w:lineRule="auto"/>
        <w:rPr>
          <w:rFonts w:hint="eastAsia" w:eastAsia="仿宋_GB2312"/>
          <w:b/>
          <w:bCs/>
          <w:sz w:val="44"/>
        </w:rPr>
      </w:pPr>
      <w:r>
        <w:rPr>
          <w:rFonts w:hint="eastAsia" w:eastAsia="仿宋_GB2312"/>
          <w:b/>
          <w:bCs/>
          <w:sz w:val="44"/>
        </w:rPr>
        <w:t>帐号：110060739012015026873</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default" w:ascii="Arial" w:hAnsi="Arial" w:eastAsia="宋体" w:cs="Arial"/>
          <w:spacing w:val="-6"/>
          <w:sz w:val="24"/>
          <w:szCs w:val="24"/>
        </w:rPr>
      </w:pPr>
    </w:p>
    <w:sectPr>
      <w:pgSz w:w="11900" w:h="16830"/>
      <w:pgMar w:top="1430" w:right="1775" w:bottom="0" w:left="17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M2ZjVlM2VmNjAwMmNmMzg0MTcxOTI1ODA5M2MyOGEifQ=="/>
  </w:docVars>
  <w:rsids>
    <w:rsidRoot w:val="00000000"/>
    <w:rsid w:val="05A76AA7"/>
    <w:rsid w:val="0CC30E24"/>
    <w:rsid w:val="1D09551F"/>
    <w:rsid w:val="32F20175"/>
    <w:rsid w:val="3B105509"/>
    <w:rsid w:val="3B934DA1"/>
    <w:rsid w:val="44A00302"/>
    <w:rsid w:val="50083C19"/>
    <w:rsid w:val="58CC2775"/>
    <w:rsid w:val="5D414C24"/>
    <w:rsid w:val="5F6877E9"/>
    <w:rsid w:val="60785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475</Words>
  <Characters>579</Characters>
  <TotalTime>17</TotalTime>
  <ScaleCrop>false</ScaleCrop>
  <LinksUpToDate>false</LinksUpToDate>
  <CharactersWithSpaces>579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2022-12-14T09:47:00Z</dcterms:created>
  <dc:creator>Kingsoft-PDF</dc:creator>
  <cp:lastModifiedBy>俊然</cp:lastModifiedBy>
  <dcterms:modified xsi:type="dcterms:W3CDTF">2023-08-14T09:27:14Z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2022-12-14T09:47:47Z</vt:filetime>
  </property>
  <property fmtid="{D5CDD505-2E9C-101B-9397-08002B2CF9AE}" pid="4" name="UsrData">
    <vt:lpwstr>63992b3bdb524f0015e7f94c</vt:lpwstr>
  </property>
  <property fmtid="{D5CDD505-2E9C-101B-9397-08002B2CF9AE}" pid="5" name="KSOProductBuildVer">
    <vt:lpwstr>2052-11.1.0.14309</vt:lpwstr>
  </property>
  <property fmtid="{D5CDD505-2E9C-101B-9397-08002B2CF9AE}" pid="6" name="ICV">
    <vt:lpwstr>0A941FAFE9D6403AAC1F0D662E9B4E78_13</vt:lpwstr>
  </property>
</Properties>
</file>