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omments.xml" ContentType="application/vnd.openxmlformats-officedocument.wordprocessingml.comments+xml"/>
  <Override PartName="/word/commentsExtended.xml" ContentType="application/vnd.openxmlformats-officedocument.wordprocessingml.commentsExtended+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rFonts w:ascii="Arial" w:hAnsi="Arial"/>
        </w:rPr>
      </w:pPr>
    </w:p>
    <w:p>
      <w:pPr>
        <w:rPr>
          <w:rFonts w:ascii="Arial" w:hAnsi="Arial"/>
        </w:rPr>
      </w:pPr>
    </w:p>
    <w:p>
      <w:pPr>
        <w:rPr>
          <w:rFonts w:ascii="Arial" w:hAnsi="Arial"/>
        </w:rPr>
      </w:pPr>
    </w:p>
    <w:p>
      <w:pPr>
        <w:rPr>
          <w:rFonts w:ascii="Arial" w:hAnsi="Arial"/>
        </w:rPr>
      </w:pPr>
    </w:p>
    <w:p>
      <w:pPr>
        <w:rPr>
          <w:rFonts w:ascii="Arial" w:hAnsi="Arial"/>
        </w:rPr>
      </w:pPr>
    </w:p>
    <w:p>
      <w:pPr>
        <w:rPr>
          <w:rFonts w:ascii="Arial" w:hAnsi="Arial"/>
        </w:rPr>
      </w:pPr>
    </w:p>
    <w:p>
      <w:pPr>
        <w:rPr>
          <w:rFonts w:ascii="Arial" w:hAnsi="Arial"/>
        </w:rPr>
      </w:pPr>
    </w:p>
    <w:p>
      <w:pPr>
        <w:rPr>
          <w:rFonts w:ascii="Arial" w:hAnsi="Arial"/>
        </w:rPr>
      </w:pPr>
    </w:p>
    <w:p>
      <w:pPr>
        <w:rPr>
          <w:rFonts w:ascii="Arial" w:hAnsi="Arial"/>
        </w:rPr>
      </w:pPr>
    </w:p>
    <w:p>
      <w:pPr>
        <w:rPr>
          <w:rFonts w:ascii="Arial" w:hAnsi="Arial"/>
        </w:rPr>
      </w:pPr>
    </w:p>
    <w:p>
      <w:pPr>
        <w:rPr>
          <w:rFonts w:ascii="Arial" w:hAnsi="Arial"/>
        </w:rPr>
      </w:pPr>
    </w:p>
    <w:p>
      <w:pPr>
        <w:rPr>
          <w:rFonts w:ascii="Arial" w:hAnsi="Arial"/>
        </w:rPr>
      </w:pPr>
    </w:p>
    <w:p>
      <w:pPr>
        <w:rPr>
          <w:rFonts w:ascii="Arial" w:hAnsi="Arial"/>
        </w:rPr>
      </w:pPr>
    </w:p>
    <w:p>
      <w:pPr>
        <w:rPr>
          <w:rFonts w:ascii="Arial" w:hAnsi="Arial"/>
        </w:rPr>
      </w:pPr>
    </w:p>
    <w:p>
      <w:pPr>
        <w:rPr>
          <w:rFonts w:ascii="Arial" w:hAnsi="Arial"/>
        </w:rPr>
      </w:pPr>
    </w:p>
    <w:p>
      <w:pPr>
        <w:rPr>
          <w:rFonts w:ascii="Arial" w:hAnsi="Arial"/>
        </w:rPr>
      </w:pPr>
    </w:p>
    <w:p>
      <w:pPr>
        <w:rPr>
          <w:rFonts w:ascii="Arial" w:hAnsi="Arial"/>
        </w:rPr>
      </w:pPr>
    </w:p>
    <w:p>
      <w:pPr>
        <w:rPr>
          <w:rFonts w:ascii="Arial" w:hAnsi="Arial"/>
        </w:rPr>
      </w:pPr>
    </w:p>
    <w:p>
      <w:pPr>
        <w:rPr>
          <w:rFonts w:ascii="Arial" w:hAnsi="Arial"/>
        </w:rPr>
      </w:pPr>
    </w:p>
    <w:p>
      <w:pPr>
        <w:rPr>
          <w:rFonts w:ascii="Arial" w:hAnsi="Arial"/>
        </w:rPr>
      </w:pPr>
    </w:p>
    <w:p>
      <w:pPr>
        <w:rPr>
          <w:rFonts w:ascii="Arial" w:hAnsi="Arial"/>
        </w:rPr>
      </w:pPr>
    </w:p>
    <w:p>
      <w:pPr>
        <w:rPr>
          <w:rFonts w:ascii="Arial" w:hAnsi="Arial"/>
        </w:rPr>
      </w:pPr>
    </w:p>
    <w:p>
      <w:pPr>
        <w:pStyle w:val="47"/>
        <w:numPr>
          <w:ilvl w:val="0"/>
          <w:numId w:val="5"/>
        </w:numPr>
        <w:spacing w:line="320" w:lineRule="exact"/>
        <w:ind w:right="-93" w:firstLineChars="0"/>
        <w:outlineLvl w:val="0"/>
        <w:rPr>
          <w:rFonts w:ascii="Arial" w:hAnsi="Arial" w:eastAsia="Adobe 黑体 Std R"/>
          <w:b/>
          <w:bCs/>
          <w:sz w:val="21"/>
          <w:szCs w:val="21"/>
        </w:rPr>
      </w:pPr>
      <w:r>
        <w:rPr>
          <w:rFonts w:hint="eastAsia" w:ascii="Arial" w:hAnsi="Arial" w:eastAsia="Adobe 黑体 Std R"/>
          <w:b/>
          <w:bCs/>
          <w:sz w:val="21"/>
          <w:szCs w:val="21"/>
        </w:rPr>
        <w:t>估价项目名称：</w:t>
      </w:r>
    </w:p>
    <w:p>
      <w:pPr>
        <w:pStyle w:val="47"/>
        <w:spacing w:line="320" w:lineRule="exact"/>
        <w:ind w:left="360" w:firstLine="0" w:firstLineChars="0"/>
        <w:rPr>
          <w:rFonts w:ascii="Arial" w:hAnsi="Arial" w:eastAsia="方正黑体简体"/>
          <w:sz w:val="21"/>
          <w:szCs w:val="21"/>
        </w:rPr>
      </w:pPr>
      <w:r>
        <w:rPr>
          <w:rFonts w:hint="eastAsia" w:ascii="Arial" w:hAnsi="Arial" w:eastAsia="方正黑体简体"/>
          <w:sz w:val="21"/>
          <w:szCs w:val="21"/>
        </w:rPr>
        <w:t>北京市大兴区黄村镇滨河北里6号楼1层7-101号住宅用房涉执房地产处置司法评估报告</w:t>
      </w:r>
    </w:p>
    <w:p>
      <w:pPr>
        <w:rPr>
          <w:rFonts w:ascii="Arial" w:hAnsi="Arial" w:eastAsia="方正黑体简体"/>
        </w:rPr>
      </w:pPr>
    </w:p>
    <w:p>
      <w:pPr>
        <w:pStyle w:val="47"/>
        <w:numPr>
          <w:ilvl w:val="0"/>
          <w:numId w:val="5"/>
        </w:numPr>
        <w:spacing w:line="320" w:lineRule="exact"/>
        <w:ind w:right="-93" w:firstLineChars="0"/>
        <w:outlineLvl w:val="0"/>
        <w:rPr>
          <w:rFonts w:ascii="Arial" w:hAnsi="Arial" w:eastAsia="方正黑体简体"/>
          <w:b/>
          <w:bCs/>
          <w:sz w:val="21"/>
          <w:szCs w:val="21"/>
        </w:rPr>
      </w:pPr>
      <w:r>
        <w:rPr>
          <w:rFonts w:hint="eastAsia" w:ascii="Arial" w:hAnsi="Arial" w:eastAsia="方正黑体简体"/>
          <w:b/>
          <w:bCs/>
          <w:sz w:val="21"/>
          <w:szCs w:val="21"/>
        </w:rPr>
        <w:t>估价委托人：</w:t>
      </w:r>
    </w:p>
    <w:p>
      <w:pPr>
        <w:pStyle w:val="47"/>
        <w:spacing w:line="320" w:lineRule="exact"/>
        <w:ind w:left="360" w:firstLine="0" w:firstLineChars="0"/>
        <w:rPr>
          <w:rFonts w:ascii="Arial" w:hAnsi="Arial" w:eastAsia="方正黑体简体"/>
          <w:color w:val="E36C0A"/>
          <w:sz w:val="21"/>
          <w:szCs w:val="21"/>
        </w:rPr>
      </w:pPr>
      <w:r>
        <w:rPr>
          <w:rFonts w:hint="eastAsia" w:ascii="Arial" w:hAnsi="Arial" w:eastAsia="方正黑体简体"/>
          <w:sz w:val="21"/>
          <w:szCs w:val="21"/>
        </w:rPr>
        <w:t>临汾市尧都区人民法院</w:t>
      </w:r>
    </w:p>
    <w:p>
      <w:pPr>
        <w:spacing w:line="320" w:lineRule="exact"/>
        <w:rPr>
          <w:rFonts w:ascii="Arial" w:hAnsi="Arial" w:eastAsia="方正黑体简体"/>
          <w:b/>
          <w:sz w:val="21"/>
          <w:szCs w:val="21"/>
        </w:rPr>
      </w:pPr>
    </w:p>
    <w:p>
      <w:pPr>
        <w:pStyle w:val="47"/>
        <w:numPr>
          <w:ilvl w:val="0"/>
          <w:numId w:val="5"/>
        </w:numPr>
        <w:spacing w:line="320" w:lineRule="exact"/>
        <w:ind w:right="-93" w:firstLineChars="0"/>
        <w:outlineLvl w:val="0"/>
        <w:rPr>
          <w:rFonts w:ascii="Arial" w:hAnsi="Arial" w:eastAsia="方正黑体简体"/>
          <w:b/>
          <w:bCs/>
          <w:sz w:val="21"/>
          <w:szCs w:val="21"/>
        </w:rPr>
      </w:pPr>
      <w:r>
        <w:rPr>
          <w:rFonts w:hint="eastAsia" w:ascii="Arial" w:hAnsi="Arial" w:eastAsia="方正黑体简体"/>
          <w:b/>
          <w:bCs/>
          <w:sz w:val="21"/>
          <w:szCs w:val="21"/>
        </w:rPr>
        <w:t>房地产估价机构：</w:t>
      </w:r>
    </w:p>
    <w:p>
      <w:pPr>
        <w:pStyle w:val="47"/>
        <w:spacing w:line="320" w:lineRule="exact"/>
        <w:ind w:left="360" w:firstLine="0" w:firstLineChars="0"/>
        <w:rPr>
          <w:rFonts w:ascii="Arial" w:hAnsi="Arial" w:eastAsia="方正黑体简体"/>
          <w:sz w:val="21"/>
          <w:szCs w:val="21"/>
        </w:rPr>
      </w:pPr>
      <w:r>
        <w:rPr>
          <w:rFonts w:hint="eastAsia" w:ascii="Arial" w:hAnsi="Arial" w:eastAsia="方正黑体简体"/>
          <w:sz w:val="21"/>
          <w:szCs w:val="21"/>
        </w:rPr>
        <w:t>北京康正宏基房地产评估有限公司</w:t>
      </w:r>
    </w:p>
    <w:p>
      <w:pPr>
        <w:spacing w:line="320" w:lineRule="exact"/>
        <w:rPr>
          <w:rFonts w:ascii="Arial" w:hAnsi="Arial" w:eastAsia="方正黑体简体"/>
          <w:b/>
          <w:sz w:val="21"/>
          <w:szCs w:val="21"/>
        </w:rPr>
      </w:pPr>
    </w:p>
    <w:p>
      <w:pPr>
        <w:pStyle w:val="47"/>
        <w:numPr>
          <w:ilvl w:val="0"/>
          <w:numId w:val="5"/>
        </w:numPr>
        <w:spacing w:line="320" w:lineRule="exact"/>
        <w:ind w:right="-93" w:firstLineChars="0"/>
        <w:outlineLvl w:val="0"/>
        <w:rPr>
          <w:rFonts w:ascii="Arial" w:hAnsi="Arial" w:eastAsia="方正黑体简体"/>
          <w:b/>
          <w:bCs/>
          <w:sz w:val="21"/>
          <w:szCs w:val="21"/>
        </w:rPr>
      </w:pPr>
      <w:r>
        <w:rPr>
          <w:rFonts w:hint="eastAsia" w:ascii="Arial" w:hAnsi="Arial" w:eastAsia="方正黑体简体"/>
          <w:b/>
          <w:bCs/>
          <w:sz w:val="21"/>
          <w:szCs w:val="21"/>
        </w:rPr>
        <w:t>注册房地产估价师：</w:t>
      </w:r>
    </w:p>
    <w:p>
      <w:pPr>
        <w:pStyle w:val="47"/>
        <w:spacing w:line="320" w:lineRule="exact"/>
        <w:ind w:left="360" w:firstLine="0" w:firstLineChars="0"/>
        <w:rPr>
          <w:rFonts w:ascii="Arial" w:hAnsi="Arial" w:eastAsia="方正黑体简体"/>
          <w:color w:val="E36C0A"/>
          <w:sz w:val="21"/>
          <w:szCs w:val="21"/>
        </w:rPr>
      </w:pPr>
      <w:r>
        <w:rPr>
          <w:rFonts w:hint="eastAsia" w:ascii="Arial" w:hAnsi="Arial" w:eastAsia="方正黑体简体"/>
          <w:sz w:val="21"/>
          <w:szCs w:val="21"/>
        </w:rPr>
        <w:t>陈 颖（注册号：1120060040）、刘朝阳（注册号：</w:t>
      </w:r>
      <w:r>
        <w:rPr>
          <w:rFonts w:ascii="Arial" w:hAnsi="Arial" w:eastAsia="方正黑体简体"/>
          <w:sz w:val="21"/>
          <w:szCs w:val="21"/>
        </w:rPr>
        <w:t>1120060041</w:t>
      </w:r>
      <w:r>
        <w:rPr>
          <w:rFonts w:hint="eastAsia" w:ascii="Arial" w:hAnsi="Arial" w:eastAsia="方正黑体简体"/>
          <w:sz w:val="21"/>
          <w:szCs w:val="21"/>
        </w:rPr>
        <w:t>）</w:t>
      </w:r>
    </w:p>
    <w:p>
      <w:pPr>
        <w:spacing w:line="320" w:lineRule="exact"/>
        <w:rPr>
          <w:rFonts w:ascii="Arial" w:hAnsi="Arial" w:eastAsia="方正黑体简体"/>
          <w:b/>
          <w:sz w:val="21"/>
          <w:szCs w:val="21"/>
        </w:rPr>
      </w:pPr>
    </w:p>
    <w:p>
      <w:pPr>
        <w:pStyle w:val="47"/>
        <w:numPr>
          <w:ilvl w:val="0"/>
          <w:numId w:val="5"/>
        </w:numPr>
        <w:spacing w:line="320" w:lineRule="exact"/>
        <w:ind w:right="-93" w:firstLineChars="0"/>
        <w:outlineLvl w:val="0"/>
        <w:rPr>
          <w:rFonts w:ascii="Arial" w:hAnsi="Arial" w:eastAsia="方正黑体简体"/>
          <w:b/>
          <w:bCs/>
          <w:sz w:val="21"/>
          <w:szCs w:val="21"/>
        </w:rPr>
      </w:pPr>
      <w:r>
        <w:rPr>
          <w:rFonts w:hint="eastAsia" w:ascii="Arial" w:hAnsi="Arial" w:eastAsia="方正黑体简体"/>
          <w:b/>
          <w:bCs/>
          <w:sz w:val="21"/>
          <w:szCs w:val="21"/>
        </w:rPr>
        <w:t>估价报告出具日期：</w:t>
      </w:r>
    </w:p>
    <w:p>
      <w:pPr>
        <w:pStyle w:val="47"/>
        <w:spacing w:line="320" w:lineRule="exact"/>
        <w:ind w:left="360" w:firstLine="0" w:firstLineChars="0"/>
        <w:rPr>
          <w:rFonts w:ascii="Arial" w:hAnsi="Arial" w:eastAsia="方正黑体简体"/>
          <w:sz w:val="21"/>
          <w:szCs w:val="21"/>
        </w:rPr>
      </w:pPr>
      <w:r>
        <w:rPr>
          <w:rFonts w:hint="eastAsia" w:ascii="Arial" w:hAnsi="Arial" w:eastAsia="方正黑体简体"/>
          <w:sz w:val="21"/>
          <w:szCs w:val="21"/>
        </w:rPr>
        <w:t>2021年11月5日</w:t>
      </w:r>
    </w:p>
    <w:p>
      <w:pPr>
        <w:pStyle w:val="47"/>
        <w:spacing w:line="320" w:lineRule="exact"/>
        <w:ind w:left="360" w:firstLine="0" w:firstLineChars="0"/>
        <w:rPr>
          <w:rFonts w:ascii="Arial" w:hAnsi="Arial" w:eastAsia="方正黑体简体"/>
          <w:sz w:val="21"/>
          <w:szCs w:val="21"/>
        </w:rPr>
      </w:pPr>
    </w:p>
    <w:p>
      <w:pPr>
        <w:pStyle w:val="47"/>
        <w:numPr>
          <w:ilvl w:val="0"/>
          <w:numId w:val="5"/>
        </w:numPr>
        <w:spacing w:line="320" w:lineRule="exact"/>
        <w:ind w:right="-93" w:firstLineChars="0"/>
        <w:outlineLvl w:val="0"/>
        <w:rPr>
          <w:rFonts w:ascii="Arial" w:hAnsi="Arial" w:eastAsia="方正黑体简体"/>
          <w:b/>
          <w:bCs/>
          <w:sz w:val="21"/>
          <w:szCs w:val="21"/>
        </w:rPr>
      </w:pPr>
      <w:r>
        <w:rPr>
          <w:rFonts w:hint="eastAsia" w:ascii="Arial" w:hAnsi="Arial" w:eastAsia="方正黑体简体"/>
          <w:b/>
          <w:bCs/>
          <w:sz w:val="21"/>
          <w:szCs w:val="21"/>
        </w:rPr>
        <w:t>估价报告编号：</w:t>
      </w:r>
    </w:p>
    <w:p>
      <w:pPr>
        <w:pStyle w:val="47"/>
        <w:spacing w:line="320" w:lineRule="exact"/>
        <w:ind w:left="360" w:firstLine="0" w:firstLineChars="0"/>
        <w:rPr>
          <w:rFonts w:ascii="Arial" w:hAnsi="Arial" w:eastAsia="方正黑体简体"/>
          <w:sz w:val="21"/>
          <w:szCs w:val="21"/>
        </w:rPr>
        <w:sectPr>
          <w:headerReference r:id="rId8" w:type="first"/>
          <w:headerReference r:id="rId7" w:type="default"/>
          <w:footerReference r:id="rId9" w:type="default"/>
          <w:footerReference r:id="rId10" w:type="even"/>
          <w:type w:val="continuous"/>
          <w:pgSz w:w="11907" w:h="16840"/>
          <w:pgMar w:top="1843" w:right="1134" w:bottom="1191" w:left="1134" w:header="851" w:footer="1134" w:gutter="340"/>
          <w:cols w:space="720" w:num="1"/>
          <w:titlePg/>
          <w:docGrid w:linePitch="326" w:charSpace="0"/>
        </w:sectPr>
      </w:pPr>
      <w:r>
        <w:rPr>
          <w:rFonts w:hint="eastAsia" w:ascii="Arial" w:hAnsi="Arial" w:eastAsia="方正黑体简体"/>
          <w:sz w:val="21"/>
          <w:szCs w:val="21"/>
        </w:rPr>
        <w:t>康正执评字</w:t>
      </w:r>
      <w:r>
        <w:rPr>
          <w:rFonts w:hint="eastAsia" w:ascii="Arial" w:hAnsi="Arial" w:eastAsia="方正黑体简体" w:cs="Arial"/>
          <w:sz w:val="21"/>
          <w:szCs w:val="21"/>
        </w:rPr>
        <w:t>2021-1-0562-F04SFZC6</w:t>
      </w:r>
      <w:r>
        <w:rPr>
          <w:rFonts w:hint="eastAsia" w:ascii="Arial" w:hAnsi="Arial" w:eastAsia="方正黑体简体"/>
          <w:sz w:val="21"/>
          <w:szCs w:val="21"/>
        </w:rPr>
        <w:t>号</w:t>
      </w:r>
    </w:p>
    <w:p>
      <w:pPr>
        <w:spacing w:line="480" w:lineRule="auto"/>
        <w:jc w:val="center"/>
        <w:rPr>
          <w:rFonts w:ascii="Arial" w:hAnsi="Arial" w:eastAsia="方正黑体简体"/>
          <w:color w:val="000000"/>
          <w:kern w:val="2"/>
          <w:sz w:val="32"/>
          <w:szCs w:val="32"/>
        </w:rPr>
      </w:pPr>
      <w:bookmarkStart w:id="0" w:name="_Toc379795040"/>
      <w:r>
        <w:rPr>
          <w:rFonts w:hint="eastAsia" w:ascii="Arial" w:hAnsi="Arial" w:eastAsia="方正黑体简体"/>
          <w:color w:val="000000"/>
          <w:kern w:val="2"/>
          <w:sz w:val="32"/>
          <w:szCs w:val="32"/>
        </w:rPr>
        <w:t>致估价委托人函</w:t>
      </w:r>
      <w:bookmarkEnd w:id="0"/>
    </w:p>
    <w:p>
      <w:pPr>
        <w:spacing w:line="480" w:lineRule="auto"/>
        <w:rPr>
          <w:rFonts w:ascii="Arial" w:hAnsi="Arial"/>
          <w:sz w:val="21"/>
        </w:rPr>
      </w:pPr>
      <w:r>
        <w:rPr>
          <w:rFonts w:hint="eastAsia" w:ascii="Arial" w:hAnsi="Arial"/>
          <w:b/>
          <w:kern w:val="2"/>
          <w:sz w:val="21"/>
        </w:rPr>
        <w:t>临汾市尧都区人民法院</w:t>
      </w:r>
      <w:r>
        <w:rPr>
          <w:rFonts w:hint="eastAsia" w:ascii="Arial" w:hAnsi="Arial"/>
          <w:sz w:val="21"/>
        </w:rPr>
        <w:t>：</w:t>
      </w:r>
    </w:p>
    <w:p>
      <w:pPr>
        <w:spacing w:line="480" w:lineRule="auto"/>
        <w:ind w:firstLine="420" w:firstLineChars="200"/>
        <w:rPr>
          <w:rFonts w:ascii="Arial" w:hAnsi="Arial"/>
          <w:sz w:val="21"/>
        </w:rPr>
      </w:pPr>
      <w:r>
        <w:rPr>
          <w:rFonts w:hint="eastAsia" w:ascii="Arial" w:hAnsi="Arial"/>
          <w:kern w:val="2"/>
          <w:sz w:val="21"/>
        </w:rPr>
        <w:t>受贵院委托，我公司对北京市大兴区黄村镇滨河北里6号楼1层7-101号住宅用房</w:t>
      </w:r>
      <w:r>
        <w:rPr>
          <w:rFonts w:hint="eastAsia" w:ascii="Arial" w:hAnsi="Arial"/>
          <w:sz w:val="21"/>
        </w:rPr>
        <w:t>涉执房地产财产处置参考价市场价值进行了评估</w:t>
      </w:r>
      <w:r>
        <w:rPr>
          <w:rFonts w:hint="eastAsia" w:ascii="Arial" w:hAnsi="Arial"/>
          <w:kern w:val="2"/>
          <w:sz w:val="21"/>
        </w:rPr>
        <w:t>。</w:t>
      </w:r>
    </w:p>
    <w:p>
      <w:pPr>
        <w:overflowPunct w:val="0"/>
        <w:spacing w:line="480" w:lineRule="auto"/>
        <w:ind w:firstLine="422" w:firstLineChars="200"/>
        <w:jc w:val="both"/>
        <w:rPr>
          <w:rFonts w:ascii="Arial" w:hAnsi="Arial"/>
          <w:sz w:val="21"/>
          <w:szCs w:val="28"/>
        </w:rPr>
      </w:pPr>
      <w:r>
        <w:rPr>
          <w:rFonts w:hint="eastAsia" w:ascii="Arial" w:hAnsi="Arial"/>
          <w:b/>
          <w:bCs/>
          <w:sz w:val="21"/>
        </w:rPr>
        <w:t>估价对象：</w:t>
      </w:r>
      <w:r>
        <w:rPr>
          <w:rFonts w:hint="eastAsia" w:ascii="Arial" w:hAnsi="Arial"/>
          <w:kern w:val="2"/>
          <w:sz w:val="21"/>
        </w:rPr>
        <w:t>根据估价委托人提供的《不动产权利及其他事项登记信息》[不动产单元号：110115003001GB00194F00050144]复印件，估价对象为北京市大兴区黄村镇滨河北里6号楼1层7-101号住宅用房，为王孝珍单独所有。估价对象建筑面积为134.71平方米。</w:t>
      </w:r>
    </w:p>
    <w:p>
      <w:pPr>
        <w:spacing w:line="480" w:lineRule="auto"/>
        <w:ind w:firstLine="422" w:firstLineChars="200"/>
        <w:rPr>
          <w:rFonts w:ascii="Arial" w:hAnsi="Arial"/>
          <w:color w:val="FF0000"/>
          <w:sz w:val="21"/>
        </w:rPr>
      </w:pPr>
      <w:r>
        <w:rPr>
          <w:rFonts w:hint="eastAsia" w:ascii="Arial" w:hAnsi="Arial"/>
          <w:b/>
          <w:bCs/>
          <w:color w:val="000000"/>
          <w:sz w:val="21"/>
        </w:rPr>
        <w:t>估价目的：</w:t>
      </w:r>
      <w:r>
        <w:rPr>
          <w:rFonts w:hint="eastAsia" w:ascii="Arial" w:hAnsi="Arial"/>
          <w:kern w:val="2"/>
          <w:sz w:val="21"/>
        </w:rPr>
        <w:t>为人民法院确定财产处置参考价提供参考依据。</w:t>
      </w:r>
    </w:p>
    <w:p>
      <w:pPr>
        <w:spacing w:line="480" w:lineRule="auto"/>
        <w:ind w:firstLine="422" w:firstLineChars="200"/>
        <w:jc w:val="both"/>
        <w:rPr>
          <w:rFonts w:ascii="Arial" w:hAnsi="Arial"/>
          <w:sz w:val="21"/>
        </w:rPr>
      </w:pPr>
      <w:r>
        <w:rPr>
          <w:rFonts w:hint="eastAsia" w:ascii="Arial" w:hAnsi="Arial"/>
          <w:b/>
          <w:bCs/>
          <w:sz w:val="21"/>
        </w:rPr>
        <w:t>价值时点：</w:t>
      </w:r>
      <w:r>
        <w:rPr>
          <w:rFonts w:hint="eastAsia" w:ascii="Arial" w:hAnsi="Arial"/>
          <w:sz w:val="21"/>
        </w:rPr>
        <w:t>2021年10月20日</w:t>
      </w:r>
    </w:p>
    <w:p>
      <w:pPr>
        <w:spacing w:line="480" w:lineRule="auto"/>
        <w:ind w:firstLine="422" w:firstLineChars="200"/>
        <w:jc w:val="both"/>
        <w:rPr>
          <w:rFonts w:eastAsia="楷体_GB2312"/>
          <w:sz w:val="28"/>
          <w:szCs w:val="28"/>
        </w:rPr>
      </w:pPr>
      <w:r>
        <w:rPr>
          <w:rFonts w:hint="eastAsia" w:ascii="Arial" w:hAnsi="Arial"/>
          <w:b/>
          <w:bCs/>
          <w:sz w:val="21"/>
        </w:rPr>
        <w:t>价值类型：</w:t>
      </w:r>
      <w:r>
        <w:rPr>
          <w:rFonts w:hint="eastAsia" w:ascii="Arial" w:hAnsi="Arial"/>
          <w:kern w:val="2"/>
          <w:sz w:val="21"/>
        </w:rPr>
        <w:t>根据房地产估价规范、国家现行有关标准规定和项目的具体要求，本次评估采用的是市场价值标准。</w:t>
      </w:r>
      <w:r>
        <w:rPr>
          <w:rFonts w:ascii="Arial" w:hAnsi="Arial"/>
          <w:kern w:val="2"/>
          <w:sz w:val="21"/>
        </w:rPr>
        <w:t>根据</w:t>
      </w:r>
      <w:r>
        <w:rPr>
          <w:rFonts w:hint="eastAsia" w:ascii="Arial" w:hAnsi="Arial"/>
          <w:sz w:val="21"/>
          <w:szCs w:val="28"/>
        </w:rPr>
        <w:t>《房地产估价基本术语标准》</w:t>
      </w:r>
      <w:r>
        <w:rPr>
          <w:rFonts w:hint="eastAsia" w:ascii="Arial" w:hAnsi="Arial"/>
          <w:kern w:val="2"/>
          <w:sz w:val="21"/>
        </w:rPr>
        <w:t>[GB/T50899-2013]，</w:t>
      </w:r>
      <w:r>
        <w:rPr>
          <w:rFonts w:ascii="Arial" w:hAnsi="Arial"/>
          <w:kern w:val="2"/>
          <w:sz w:val="21"/>
        </w:rPr>
        <w:t>市场价值是经适当营销后，由熟悉情况、谨慎行事且不受强迫的交易双方，以公平交易方式在价值时点自愿进行交易的金额</w:t>
      </w:r>
      <w:r>
        <w:rPr>
          <w:rFonts w:hint="eastAsia" w:ascii="Arial" w:hAnsi="Arial"/>
          <w:kern w:val="2"/>
          <w:sz w:val="21"/>
        </w:rPr>
        <w:t>。</w:t>
      </w:r>
    </w:p>
    <w:p>
      <w:pPr>
        <w:spacing w:line="480" w:lineRule="auto"/>
        <w:ind w:firstLine="420" w:firstLineChars="200"/>
        <w:jc w:val="both"/>
        <w:rPr>
          <w:rFonts w:ascii="Arial" w:hAnsi="Arial"/>
          <w:sz w:val="21"/>
        </w:rPr>
      </w:pPr>
      <w:r>
        <w:rPr>
          <w:rFonts w:hint="eastAsia" w:ascii="Arial" w:hAnsi="Arial"/>
          <w:sz w:val="21"/>
          <w:szCs w:val="28"/>
        </w:rPr>
        <w:t>本次估价的“房地产市场价值”是指在正常市场情况下，在价值时点2021年10月20日，估价对象用途为住宅，</w:t>
      </w:r>
      <w:r>
        <w:rPr>
          <w:rFonts w:ascii="Arial" w:hAnsi="Arial"/>
          <w:sz w:val="21"/>
          <w:szCs w:val="28"/>
        </w:rPr>
        <w:t>土地取得方式为</w:t>
      </w:r>
      <w:r>
        <w:rPr>
          <w:rFonts w:hint="eastAsia" w:ascii="Arial" w:hAnsi="Arial"/>
          <w:sz w:val="21"/>
          <w:szCs w:val="28"/>
        </w:rPr>
        <w:t>出让的房地产市场价值</w:t>
      </w:r>
      <w:r>
        <w:rPr>
          <w:rFonts w:hint="eastAsia" w:ascii="Arial" w:hAnsi="Arial"/>
          <w:color w:val="000000"/>
          <w:sz w:val="21"/>
        </w:rPr>
        <w:t>。</w:t>
      </w:r>
    </w:p>
    <w:p>
      <w:pPr>
        <w:spacing w:line="480" w:lineRule="auto"/>
        <w:ind w:firstLine="422" w:firstLineChars="200"/>
        <w:jc w:val="both"/>
        <w:rPr>
          <w:rFonts w:ascii="Arial" w:hAnsi="Arial"/>
          <w:b/>
          <w:bCs/>
          <w:sz w:val="21"/>
        </w:rPr>
      </w:pPr>
      <w:r>
        <w:rPr>
          <w:rFonts w:ascii="Arial" w:hAnsi="Arial" w:cs="Arial"/>
          <w:b/>
          <w:bCs/>
          <w:sz w:val="21"/>
        </w:rPr>
        <w:t>估价方法：</w:t>
      </w:r>
      <w:r>
        <w:rPr>
          <w:rFonts w:ascii="Arial" w:hAnsi="Arial" w:cs="Arial"/>
          <w:bCs/>
          <w:color w:val="000000"/>
          <w:sz w:val="21"/>
          <w:szCs w:val="21"/>
        </w:rPr>
        <w:t>本次评估采用的估价</w:t>
      </w:r>
      <w:r>
        <w:rPr>
          <w:rFonts w:ascii="Arial" w:hAnsi="Arial" w:cs="Arial"/>
          <w:bCs/>
          <w:sz w:val="21"/>
          <w:szCs w:val="21"/>
        </w:rPr>
        <w:t>方法</w:t>
      </w:r>
      <w:r>
        <w:rPr>
          <w:rFonts w:hint="eastAsia" w:ascii="Arial" w:hAnsi="Arial" w:cs="Arial"/>
          <w:bCs/>
          <w:sz w:val="21"/>
          <w:szCs w:val="21"/>
        </w:rPr>
        <w:t>为</w:t>
      </w:r>
      <w:r>
        <w:rPr>
          <w:rFonts w:hint="eastAsia" w:ascii="Arial" w:hAnsi="Arial" w:cs="宋体"/>
          <w:sz w:val="21"/>
          <w:szCs w:val="21"/>
        </w:rPr>
        <w:t>比较法</w:t>
      </w:r>
      <w:r>
        <w:rPr>
          <w:rFonts w:ascii="Arial" w:hAnsi="Arial" w:cs="Arial"/>
          <w:sz w:val="21"/>
          <w:szCs w:val="21"/>
        </w:rPr>
        <w:t>和</w:t>
      </w:r>
      <w:r>
        <w:rPr>
          <w:rFonts w:hint="eastAsia" w:ascii="Arial" w:hAnsi="Arial" w:cs="Arial"/>
          <w:sz w:val="21"/>
          <w:szCs w:val="21"/>
        </w:rPr>
        <w:t>收益法</w:t>
      </w:r>
      <w:r>
        <w:rPr>
          <w:rFonts w:ascii="Arial" w:hAnsi="Arial" w:cs="Arial"/>
          <w:sz w:val="21"/>
          <w:szCs w:val="21"/>
        </w:rPr>
        <w:t>。</w:t>
      </w:r>
    </w:p>
    <w:p>
      <w:pPr>
        <w:spacing w:line="480" w:lineRule="auto"/>
        <w:ind w:firstLine="422" w:firstLineChars="200"/>
        <w:rPr>
          <w:rFonts w:ascii="Arial" w:hAnsi="Arial"/>
          <w:sz w:val="21"/>
        </w:rPr>
      </w:pPr>
      <w:r>
        <w:rPr>
          <w:rFonts w:hint="eastAsia" w:ascii="Arial" w:hAnsi="Arial"/>
          <w:b/>
          <w:bCs/>
          <w:sz w:val="21"/>
        </w:rPr>
        <w:t>估价结果：</w:t>
      </w:r>
      <w:r>
        <w:rPr>
          <w:rFonts w:hint="eastAsia" w:ascii="Arial" w:hAnsi="Arial"/>
          <w:sz w:val="21"/>
        </w:rPr>
        <w:t>评估专业人员根据估价的目的，按照估价的程序，采用科学的估价方法，在认真分析现有资料的基础上，通过仔细测算和认真分析各种影响房地产价格的因素，确定估价对象在价值时点的</w:t>
      </w:r>
      <w:r>
        <w:rPr>
          <w:rFonts w:hint="eastAsia" w:ascii="Arial" w:hAnsi="Arial"/>
          <w:color w:val="000000"/>
          <w:sz w:val="21"/>
        </w:rPr>
        <w:t>房地产评估价值，详见估价结果一览表</w:t>
      </w:r>
      <w:r>
        <w:rPr>
          <w:rFonts w:hint="eastAsia" w:ascii="Arial" w:hAnsi="Arial"/>
          <w:sz w:val="21"/>
        </w:rPr>
        <w:t>。</w:t>
      </w:r>
    </w:p>
    <w:p>
      <w:pPr>
        <w:spacing w:line="480" w:lineRule="auto"/>
        <w:ind w:firstLine="420" w:firstLineChars="200"/>
        <w:rPr>
          <w:rFonts w:ascii="Arial" w:hAnsi="Arial"/>
          <w:sz w:val="21"/>
        </w:rPr>
      </w:pPr>
    </w:p>
    <w:p>
      <w:pPr>
        <w:spacing w:line="480" w:lineRule="auto"/>
        <w:rPr>
          <w:rFonts w:ascii="Arial" w:hAnsi="Arial"/>
          <w:sz w:val="21"/>
        </w:rPr>
      </w:pPr>
      <w:r>
        <w:rPr>
          <w:rFonts w:hint="eastAsia" w:ascii="华文楷体" w:hAnsi="华文楷体" w:eastAsia="华文楷体" w:cs="华文楷体"/>
          <w:sz w:val="21"/>
        </w:rPr>
        <w:t>（转下页）</w:t>
      </w:r>
    </w:p>
    <w:p>
      <w:pPr>
        <w:spacing w:line="480" w:lineRule="auto"/>
        <w:ind w:firstLine="420" w:firstLineChars="200"/>
        <w:rPr>
          <w:rFonts w:ascii="Arial" w:hAnsi="Arial"/>
          <w:sz w:val="21"/>
        </w:rPr>
      </w:pPr>
    </w:p>
    <w:p>
      <w:pPr>
        <w:spacing w:line="480" w:lineRule="auto"/>
        <w:ind w:firstLine="420" w:firstLineChars="200"/>
        <w:rPr>
          <w:rFonts w:ascii="Arial" w:hAnsi="Arial"/>
          <w:sz w:val="21"/>
        </w:rPr>
      </w:pPr>
    </w:p>
    <w:p>
      <w:pPr>
        <w:spacing w:line="480" w:lineRule="auto"/>
        <w:ind w:firstLine="420" w:firstLineChars="200"/>
        <w:rPr>
          <w:rFonts w:ascii="Arial" w:hAnsi="Arial"/>
          <w:sz w:val="21"/>
        </w:rPr>
      </w:pPr>
    </w:p>
    <w:p>
      <w:pPr>
        <w:spacing w:line="480" w:lineRule="auto"/>
        <w:ind w:firstLine="420" w:firstLineChars="200"/>
        <w:rPr>
          <w:rFonts w:ascii="Arial" w:hAnsi="Arial"/>
          <w:sz w:val="21"/>
        </w:rPr>
      </w:pPr>
    </w:p>
    <w:p>
      <w:pPr>
        <w:spacing w:line="240" w:lineRule="auto"/>
        <w:jc w:val="center"/>
        <w:rPr>
          <w:rFonts w:ascii="Arial" w:hAnsi="Arial" w:eastAsia="方正黑体简体"/>
          <w:szCs w:val="24"/>
        </w:rPr>
      </w:pPr>
      <w:r>
        <w:rPr>
          <w:rFonts w:hint="eastAsia" w:ascii="Arial" w:hAnsi="Arial" w:eastAsia="方正黑体简体"/>
          <w:szCs w:val="24"/>
        </w:rPr>
        <w:t>估价结果一览表</w:t>
      </w:r>
    </w:p>
    <w:tbl>
      <w:tblPr>
        <w:tblStyle w:val="32"/>
        <w:tblW w:w="9299" w:type="dxa"/>
        <w:jc w:val="center"/>
        <w:tblBorders>
          <w:top w:val="thinThickThinSmallGap" w:color="404040" w:sz="12" w:space="0"/>
          <w:left w:val="dotted" w:color="404040" w:sz="2" w:space="0"/>
          <w:bottom w:val="thinThickThinSmallGap" w:color="404040" w:sz="12" w:space="0"/>
          <w:right w:val="dotted" w:color="404040" w:sz="2" w:space="0"/>
          <w:insideH w:val="dotted" w:color="404040" w:sz="2" w:space="0"/>
          <w:insideV w:val="dotted" w:color="404040" w:sz="2" w:space="0"/>
        </w:tblBorders>
        <w:tblLayout w:type="fixed"/>
        <w:tblCellMar>
          <w:top w:w="85" w:type="dxa"/>
          <w:left w:w="85" w:type="dxa"/>
          <w:bottom w:w="85" w:type="dxa"/>
          <w:right w:w="85" w:type="dxa"/>
        </w:tblCellMar>
      </w:tblPr>
      <w:tblGrid>
        <w:gridCol w:w="2324"/>
        <w:gridCol w:w="1504"/>
        <w:gridCol w:w="2735"/>
        <w:gridCol w:w="2736"/>
      </w:tblGrid>
      <w:tr>
        <w:tblPrEx>
          <w:tblBorders>
            <w:top w:val="thinThickThinSmallGap" w:color="404040" w:sz="12" w:space="0"/>
            <w:left w:val="dotted" w:color="404040" w:sz="2" w:space="0"/>
            <w:bottom w:val="thinThickThinSmallGap" w:color="404040" w:sz="12" w:space="0"/>
            <w:right w:val="dotted" w:color="404040" w:sz="2" w:space="0"/>
            <w:insideH w:val="dotted" w:color="404040" w:sz="2" w:space="0"/>
            <w:insideV w:val="dotted" w:color="404040" w:sz="2" w:space="0"/>
          </w:tblBorders>
          <w:tblCellMar>
            <w:top w:w="85" w:type="dxa"/>
            <w:left w:w="85" w:type="dxa"/>
            <w:bottom w:w="85" w:type="dxa"/>
            <w:right w:w="85" w:type="dxa"/>
          </w:tblCellMar>
        </w:tblPrEx>
        <w:trPr>
          <w:jc w:val="center"/>
        </w:trPr>
        <w:tc>
          <w:tcPr>
            <w:tcW w:w="3828" w:type="dxa"/>
            <w:gridSpan w:val="2"/>
            <w:vAlign w:val="center"/>
          </w:tcPr>
          <w:p>
            <w:pPr>
              <w:widowControl/>
              <w:adjustRightInd/>
              <w:spacing w:line="240" w:lineRule="auto"/>
              <w:jc w:val="right"/>
              <w:textAlignment w:val="auto"/>
              <w:rPr>
                <w:rFonts w:ascii="Arial" w:hAnsi="Arial" w:eastAsia="华文细黑" w:cs="宋体"/>
                <w:color w:val="000000"/>
                <w:sz w:val="18"/>
                <w:szCs w:val="18"/>
              </w:rPr>
            </w:pPr>
            <w:r>
              <w:rPr>
                <w:rFonts w:ascii="Arial" w:hAnsi="Arial"/>
              </w:rPr>
              <mc:AlternateContent>
                <mc:Choice Requires="wps">
                  <w:drawing>
                    <wp:anchor distT="0" distB="0" distL="114300" distR="114300" simplePos="0" relativeHeight="251660288" behindDoc="0" locked="0" layoutInCell="1" allowOverlap="1">
                      <wp:simplePos x="0" y="0"/>
                      <wp:positionH relativeFrom="column">
                        <wp:posOffset>-64770</wp:posOffset>
                      </wp:positionH>
                      <wp:positionV relativeFrom="paragraph">
                        <wp:posOffset>-79375</wp:posOffset>
                      </wp:positionV>
                      <wp:extent cx="2442210" cy="448310"/>
                      <wp:effectExtent l="635" t="4445" r="14605" b="23495"/>
                      <wp:wrapNone/>
                      <wp:docPr id="2" name="直接连接符 60"/>
                      <wp:cNvGraphicFramePr/>
                      <a:graphic xmlns:a="http://schemas.openxmlformats.org/drawingml/2006/main">
                        <a:graphicData uri="http://schemas.microsoft.com/office/word/2010/wordprocessingShape">
                          <wps:wsp>
                            <wps:cNvCnPr/>
                            <wps:spPr>
                              <a:xfrm>
                                <a:off x="0" y="0"/>
                                <a:ext cx="2442210" cy="448310"/>
                              </a:xfrm>
                              <a:prstGeom prst="line">
                                <a:avLst/>
                              </a:prstGeom>
                              <a:ln w="6350" cap="flat" cmpd="sng">
                                <a:solidFill>
                                  <a:srgbClr val="404040"/>
                                </a:solidFill>
                                <a:prstDash val="sysDot"/>
                                <a:headEnd type="none" w="med" len="med"/>
                                <a:tailEnd type="none" w="med" len="med"/>
                              </a:ln>
                            </wps:spPr>
                            <wps:bodyPr/>
                          </wps:wsp>
                        </a:graphicData>
                      </a:graphic>
                    </wp:anchor>
                  </w:drawing>
                </mc:Choice>
                <mc:Fallback>
                  <w:pict>
                    <v:line id="直接连接符 60" o:spid="_x0000_s1026" o:spt="20" style="position:absolute;left:0pt;margin-left:-5.1pt;margin-top:-6.25pt;height:35.3pt;width:192.3pt;z-index:251660288;mso-width-relative:page;mso-height-relative:page;" filled="f" stroked="t" coordsize="21600,21600" o:gfxdata="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DZw4ca2gAAAAoBAAAPAAAAAAAAAAEAIAAAACIAAABkcnMvZG93bnJldi54bWxQSwEC&#10;FAAUAAAACACHTuJAm+V+SvIBAADfAwAADgAAAAAAAAABACAAAAApAQAAZHJzL2Uyb0RvYy54bWxQ&#10;SwUGAAAAAAYABgBZAQAAjQUAAAAA&#10;">
                      <v:fill on="f" focussize="0,0"/>
                      <v:stroke weight="0.5pt" color="#404040" joinstyle="round" dashstyle="1 1"/>
                      <v:imagedata o:title=""/>
                      <o:lock v:ext="edit" aspectratio="f"/>
                    </v:line>
                  </w:pict>
                </mc:Fallback>
              </mc:AlternateContent>
            </w:r>
            <w:r>
              <w:rPr>
                <w:rFonts w:hint="eastAsia" w:ascii="Arial" w:hAnsi="Arial" w:eastAsia="华文细黑" w:cs="宋体"/>
                <w:color w:val="000000"/>
                <w:sz w:val="18"/>
                <w:szCs w:val="18"/>
              </w:rPr>
              <w:t>估价方法</w:t>
            </w:r>
          </w:p>
          <w:p>
            <w:pPr>
              <w:spacing w:line="240" w:lineRule="auto"/>
              <w:rPr>
                <w:rFonts w:ascii="Arial" w:hAnsi="Arial" w:cs="Arial"/>
                <w:b/>
                <w:bCs/>
                <w:sz w:val="21"/>
                <w:szCs w:val="21"/>
              </w:rPr>
            </w:pPr>
            <w:r>
              <w:rPr>
                <w:rFonts w:hint="eastAsia" w:ascii="Arial" w:hAnsi="Arial" w:eastAsia="华文细黑" w:cs="宋体"/>
                <w:color w:val="000000"/>
                <w:sz w:val="18"/>
                <w:szCs w:val="18"/>
              </w:rPr>
              <w:t>估价对象及结果</w:t>
            </w:r>
          </w:p>
        </w:tc>
        <w:tc>
          <w:tcPr>
            <w:tcW w:w="2735" w:type="dxa"/>
            <w:vAlign w:val="center"/>
          </w:tcPr>
          <w:p>
            <w:pPr>
              <w:widowControl/>
              <w:adjustRightInd/>
              <w:spacing w:line="240" w:lineRule="auto"/>
              <w:textAlignment w:val="auto"/>
              <w:rPr>
                <w:rFonts w:ascii="Arial" w:hAnsi="Arial" w:eastAsia="华文细黑" w:cs="宋体"/>
                <w:color w:val="E36C0A"/>
                <w:sz w:val="18"/>
                <w:szCs w:val="18"/>
              </w:rPr>
            </w:pPr>
            <w:r>
              <w:rPr>
                <w:rFonts w:hint="eastAsia" w:ascii="Arial" w:hAnsi="Arial" w:eastAsia="华文细黑" w:cs="宋体"/>
                <w:sz w:val="18"/>
                <w:szCs w:val="18"/>
              </w:rPr>
              <w:t>比较法</w:t>
            </w:r>
          </w:p>
        </w:tc>
        <w:tc>
          <w:tcPr>
            <w:tcW w:w="2736" w:type="dxa"/>
            <w:vAlign w:val="center"/>
          </w:tcPr>
          <w:p>
            <w:pPr>
              <w:widowControl/>
              <w:adjustRightInd/>
              <w:spacing w:line="240" w:lineRule="auto"/>
              <w:textAlignment w:val="auto"/>
              <w:rPr>
                <w:rFonts w:ascii="Arial" w:hAnsi="Arial" w:eastAsia="华文细黑" w:cs="宋体"/>
                <w:color w:val="E36C0A"/>
                <w:sz w:val="18"/>
                <w:szCs w:val="18"/>
              </w:rPr>
            </w:pPr>
            <w:r>
              <w:rPr>
                <w:rFonts w:hint="eastAsia" w:ascii="Arial" w:hAnsi="Arial" w:eastAsia="华文细黑" w:cs="宋体"/>
                <w:sz w:val="18"/>
                <w:szCs w:val="18"/>
              </w:rPr>
              <w:t>收益法</w:t>
            </w:r>
          </w:p>
        </w:tc>
      </w:tr>
      <w:tr>
        <w:tblPrEx>
          <w:tblBorders>
            <w:top w:val="thinThickThinSmallGap" w:color="404040" w:sz="12" w:space="0"/>
            <w:left w:val="dotted" w:color="404040" w:sz="2" w:space="0"/>
            <w:bottom w:val="thinThickThinSmallGap" w:color="404040" w:sz="12" w:space="0"/>
            <w:right w:val="dotted" w:color="404040" w:sz="2" w:space="0"/>
            <w:insideH w:val="dotted" w:color="404040" w:sz="2" w:space="0"/>
            <w:insideV w:val="dotted" w:color="404040" w:sz="2" w:space="0"/>
          </w:tblBorders>
          <w:tblCellMar>
            <w:top w:w="85" w:type="dxa"/>
            <w:left w:w="85" w:type="dxa"/>
            <w:bottom w:w="85" w:type="dxa"/>
            <w:right w:w="85" w:type="dxa"/>
          </w:tblCellMar>
        </w:tblPrEx>
        <w:trPr>
          <w:jc w:val="center"/>
        </w:trPr>
        <w:tc>
          <w:tcPr>
            <w:tcW w:w="2324" w:type="dxa"/>
            <w:vAlign w:val="center"/>
          </w:tcPr>
          <w:p>
            <w:pPr>
              <w:widowControl/>
              <w:adjustRightInd/>
              <w:spacing w:line="240" w:lineRule="auto"/>
              <w:textAlignment w:val="auto"/>
              <w:rPr>
                <w:rFonts w:ascii="Arial" w:hAnsi="Arial" w:cs="Arial"/>
                <w:b/>
                <w:bCs/>
                <w:sz w:val="21"/>
                <w:szCs w:val="21"/>
              </w:rPr>
            </w:pPr>
            <w:r>
              <w:rPr>
                <w:rFonts w:hint="eastAsia" w:ascii="Arial" w:hAnsi="Arial" w:eastAsia="华文细黑" w:cs="宋体"/>
                <w:color w:val="000000"/>
                <w:sz w:val="18"/>
                <w:szCs w:val="18"/>
              </w:rPr>
              <w:t>测算结果</w:t>
            </w:r>
          </w:p>
        </w:tc>
        <w:tc>
          <w:tcPr>
            <w:tcW w:w="1504" w:type="dxa"/>
            <w:vAlign w:val="center"/>
          </w:tcPr>
          <w:p>
            <w:pPr>
              <w:widowControl/>
              <w:adjustRightInd/>
              <w:spacing w:line="240" w:lineRule="auto"/>
              <w:jc w:val="both"/>
              <w:textAlignment w:val="auto"/>
              <w:rPr>
                <w:rFonts w:ascii="Arial" w:hAnsi="Arial" w:eastAsia="华文细黑" w:cs="宋体"/>
                <w:color w:val="000000"/>
                <w:sz w:val="18"/>
                <w:szCs w:val="18"/>
              </w:rPr>
            </w:pPr>
            <w:r>
              <w:rPr>
                <w:rFonts w:hint="eastAsia" w:ascii="Arial" w:hAnsi="Arial" w:eastAsia="华文细黑" w:cs="宋体"/>
                <w:color w:val="000000"/>
                <w:sz w:val="18"/>
                <w:szCs w:val="18"/>
              </w:rPr>
              <w:t>单价</w:t>
            </w:r>
          </w:p>
        </w:tc>
        <w:tc>
          <w:tcPr>
            <w:tcW w:w="2735" w:type="dxa"/>
            <w:vAlign w:val="center"/>
          </w:tcPr>
          <w:p>
            <w:pPr>
              <w:widowControl/>
              <w:adjustRightInd/>
              <w:spacing w:line="240" w:lineRule="auto"/>
              <w:textAlignment w:val="auto"/>
              <w:rPr>
                <w:rFonts w:ascii="Arial" w:hAnsi="Arial" w:eastAsia="华文细黑" w:cs="Arial"/>
                <w:color w:val="000000"/>
                <w:sz w:val="18"/>
                <w:szCs w:val="18"/>
              </w:rPr>
            </w:pPr>
            <w:r>
              <w:rPr>
                <w:rFonts w:hint="eastAsia" w:ascii="Arial" w:hAnsi="Arial" w:eastAsia="华文细黑" w:cs="Arial"/>
                <w:color w:val="000000"/>
                <w:sz w:val="18"/>
                <w:szCs w:val="18"/>
              </w:rPr>
              <w:t>41978</w:t>
            </w:r>
          </w:p>
        </w:tc>
        <w:tc>
          <w:tcPr>
            <w:tcW w:w="2736" w:type="dxa"/>
            <w:vAlign w:val="center"/>
          </w:tcPr>
          <w:p>
            <w:pPr>
              <w:widowControl/>
              <w:adjustRightInd/>
              <w:spacing w:line="240" w:lineRule="auto"/>
              <w:textAlignment w:val="auto"/>
              <w:rPr>
                <w:rFonts w:ascii="Arial" w:hAnsi="Arial" w:eastAsia="华文细黑" w:cs="Arial"/>
                <w:color w:val="000000"/>
                <w:sz w:val="18"/>
                <w:szCs w:val="18"/>
              </w:rPr>
            </w:pPr>
            <w:r>
              <w:rPr>
                <w:rFonts w:hint="eastAsia" w:ascii="Arial" w:hAnsi="Arial" w:eastAsia="华文细黑" w:cs="Arial"/>
                <w:color w:val="000000"/>
                <w:sz w:val="18"/>
                <w:szCs w:val="18"/>
              </w:rPr>
              <w:t>12317</w:t>
            </w:r>
          </w:p>
        </w:tc>
      </w:tr>
      <w:tr>
        <w:tblPrEx>
          <w:tblBorders>
            <w:top w:val="thinThickThinSmallGap" w:color="404040" w:sz="12" w:space="0"/>
            <w:left w:val="dotted" w:color="404040" w:sz="2" w:space="0"/>
            <w:bottom w:val="thinThickThinSmallGap" w:color="404040" w:sz="12" w:space="0"/>
            <w:right w:val="dotted" w:color="404040" w:sz="2" w:space="0"/>
            <w:insideH w:val="dotted" w:color="404040" w:sz="2" w:space="0"/>
            <w:insideV w:val="dotted" w:color="404040" w:sz="2" w:space="0"/>
          </w:tblBorders>
          <w:tblCellMar>
            <w:top w:w="85" w:type="dxa"/>
            <w:left w:w="85" w:type="dxa"/>
            <w:bottom w:w="85" w:type="dxa"/>
            <w:right w:w="85" w:type="dxa"/>
          </w:tblCellMar>
        </w:tblPrEx>
        <w:trPr>
          <w:jc w:val="center"/>
        </w:trPr>
        <w:tc>
          <w:tcPr>
            <w:tcW w:w="2324" w:type="dxa"/>
            <w:vMerge w:val="restart"/>
            <w:vAlign w:val="center"/>
          </w:tcPr>
          <w:p>
            <w:pPr>
              <w:widowControl/>
              <w:adjustRightInd/>
              <w:spacing w:line="240" w:lineRule="auto"/>
              <w:textAlignment w:val="auto"/>
              <w:rPr>
                <w:rFonts w:ascii="Arial" w:hAnsi="Arial" w:eastAsia="华文细黑" w:cs="宋体"/>
                <w:color w:val="000000"/>
                <w:sz w:val="18"/>
                <w:szCs w:val="18"/>
              </w:rPr>
            </w:pPr>
            <w:r>
              <w:rPr>
                <w:rFonts w:hint="eastAsia" w:ascii="Arial" w:hAnsi="Arial" w:eastAsia="华文细黑" w:cs="宋体"/>
                <w:color w:val="000000"/>
                <w:sz w:val="18"/>
                <w:szCs w:val="18"/>
              </w:rPr>
              <w:t>评估价值</w:t>
            </w:r>
          </w:p>
        </w:tc>
        <w:tc>
          <w:tcPr>
            <w:tcW w:w="1504" w:type="dxa"/>
            <w:vAlign w:val="center"/>
          </w:tcPr>
          <w:p>
            <w:pPr>
              <w:widowControl/>
              <w:adjustRightInd/>
              <w:spacing w:line="240" w:lineRule="auto"/>
              <w:jc w:val="both"/>
              <w:textAlignment w:val="auto"/>
              <w:rPr>
                <w:rFonts w:ascii="Arial" w:hAnsi="Arial" w:eastAsia="华文细黑" w:cs="宋体"/>
                <w:color w:val="000000"/>
                <w:sz w:val="18"/>
                <w:szCs w:val="18"/>
              </w:rPr>
            </w:pPr>
            <w:r>
              <w:rPr>
                <w:rFonts w:hint="eastAsia" w:ascii="Arial" w:hAnsi="Arial" w:eastAsia="华文细黑" w:cs="宋体"/>
                <w:color w:val="000000"/>
                <w:sz w:val="18"/>
                <w:szCs w:val="18"/>
              </w:rPr>
              <w:t>总价</w:t>
            </w:r>
          </w:p>
        </w:tc>
        <w:tc>
          <w:tcPr>
            <w:tcW w:w="5471" w:type="dxa"/>
            <w:gridSpan w:val="2"/>
            <w:vAlign w:val="center"/>
          </w:tcPr>
          <w:p>
            <w:pPr>
              <w:widowControl/>
              <w:adjustRightInd/>
              <w:spacing w:line="240" w:lineRule="auto"/>
              <w:jc w:val="both"/>
              <w:textAlignment w:val="auto"/>
              <w:rPr>
                <w:rFonts w:ascii="Arial" w:hAnsi="Arial" w:eastAsia="华文细黑" w:cs="Arial"/>
                <w:color w:val="000000"/>
                <w:sz w:val="18"/>
                <w:szCs w:val="18"/>
              </w:rPr>
            </w:pPr>
            <w:r>
              <w:rPr>
                <w:rFonts w:hint="eastAsia" w:ascii="Arial" w:hAnsi="Arial" w:eastAsia="华文细黑" w:cs="Arial"/>
                <w:color w:val="000000"/>
                <w:sz w:val="18"/>
                <w:szCs w:val="18"/>
              </w:rPr>
              <w:t>4855757</w:t>
            </w:r>
          </w:p>
        </w:tc>
      </w:tr>
      <w:tr>
        <w:tblPrEx>
          <w:tblBorders>
            <w:top w:val="thinThickThinSmallGap" w:color="404040" w:sz="12" w:space="0"/>
            <w:left w:val="dotted" w:color="404040" w:sz="2" w:space="0"/>
            <w:bottom w:val="thinThickThinSmallGap" w:color="404040" w:sz="12" w:space="0"/>
            <w:right w:val="dotted" w:color="404040" w:sz="2" w:space="0"/>
            <w:insideH w:val="dotted" w:color="404040" w:sz="2" w:space="0"/>
            <w:insideV w:val="dotted" w:color="404040" w:sz="2" w:space="0"/>
          </w:tblBorders>
          <w:tblCellMar>
            <w:top w:w="85" w:type="dxa"/>
            <w:left w:w="85" w:type="dxa"/>
            <w:bottom w:w="85" w:type="dxa"/>
            <w:right w:w="85" w:type="dxa"/>
          </w:tblCellMar>
        </w:tblPrEx>
        <w:trPr>
          <w:jc w:val="center"/>
        </w:trPr>
        <w:tc>
          <w:tcPr>
            <w:tcW w:w="2324" w:type="dxa"/>
            <w:vMerge w:val="continue"/>
            <w:vAlign w:val="center"/>
          </w:tcPr>
          <w:p>
            <w:pPr>
              <w:spacing w:line="240" w:lineRule="auto"/>
              <w:rPr>
                <w:rFonts w:ascii="Arial" w:hAnsi="Arial" w:cs="Arial"/>
                <w:b/>
                <w:bCs/>
                <w:sz w:val="21"/>
                <w:szCs w:val="21"/>
              </w:rPr>
            </w:pPr>
          </w:p>
        </w:tc>
        <w:tc>
          <w:tcPr>
            <w:tcW w:w="1504" w:type="dxa"/>
            <w:vAlign w:val="center"/>
          </w:tcPr>
          <w:p>
            <w:pPr>
              <w:widowControl/>
              <w:adjustRightInd/>
              <w:spacing w:line="240" w:lineRule="auto"/>
              <w:jc w:val="both"/>
              <w:textAlignment w:val="auto"/>
              <w:rPr>
                <w:rFonts w:ascii="Arial" w:hAnsi="Arial" w:eastAsia="华文细黑" w:cs="宋体"/>
                <w:color w:val="000000"/>
                <w:sz w:val="18"/>
                <w:szCs w:val="18"/>
              </w:rPr>
            </w:pPr>
            <w:r>
              <w:rPr>
                <w:rFonts w:hint="eastAsia" w:ascii="Arial" w:hAnsi="Arial" w:eastAsia="华文细黑" w:cs="宋体"/>
                <w:color w:val="000000"/>
                <w:sz w:val="18"/>
                <w:szCs w:val="18"/>
              </w:rPr>
              <w:t>大写金额</w:t>
            </w:r>
          </w:p>
        </w:tc>
        <w:tc>
          <w:tcPr>
            <w:tcW w:w="5471" w:type="dxa"/>
            <w:gridSpan w:val="2"/>
            <w:vAlign w:val="center"/>
          </w:tcPr>
          <w:p>
            <w:pPr>
              <w:widowControl/>
              <w:adjustRightInd/>
              <w:spacing w:line="240" w:lineRule="auto"/>
              <w:jc w:val="both"/>
              <w:textAlignment w:val="auto"/>
              <w:rPr>
                <w:rFonts w:ascii="Arial" w:hAnsi="Arial" w:eastAsia="华文细黑" w:cs="宋体"/>
                <w:color w:val="000000"/>
                <w:sz w:val="18"/>
                <w:szCs w:val="18"/>
              </w:rPr>
            </w:pPr>
            <w:r>
              <w:rPr>
                <w:rFonts w:hint="eastAsia" w:ascii="Arial" w:hAnsi="Arial" w:eastAsia="华文细黑" w:cs="宋体"/>
                <w:color w:val="000000"/>
                <w:sz w:val="18"/>
                <w:szCs w:val="18"/>
              </w:rPr>
              <w:t>肆佰捌拾伍万伍仟柒佰伍拾柒元整</w:t>
            </w:r>
          </w:p>
        </w:tc>
      </w:tr>
      <w:tr>
        <w:tblPrEx>
          <w:tblBorders>
            <w:top w:val="thinThickThinSmallGap" w:color="404040" w:sz="12" w:space="0"/>
            <w:left w:val="dotted" w:color="404040" w:sz="2" w:space="0"/>
            <w:bottom w:val="thinThickThinSmallGap" w:color="404040" w:sz="12" w:space="0"/>
            <w:right w:val="dotted" w:color="404040" w:sz="2" w:space="0"/>
            <w:insideH w:val="dotted" w:color="404040" w:sz="2" w:space="0"/>
            <w:insideV w:val="dotted" w:color="404040" w:sz="2" w:space="0"/>
          </w:tblBorders>
          <w:tblCellMar>
            <w:top w:w="85" w:type="dxa"/>
            <w:left w:w="85" w:type="dxa"/>
            <w:bottom w:w="85" w:type="dxa"/>
            <w:right w:w="85" w:type="dxa"/>
          </w:tblCellMar>
        </w:tblPrEx>
        <w:trPr>
          <w:jc w:val="center"/>
        </w:trPr>
        <w:tc>
          <w:tcPr>
            <w:tcW w:w="2324" w:type="dxa"/>
            <w:vMerge w:val="continue"/>
            <w:vAlign w:val="center"/>
          </w:tcPr>
          <w:p>
            <w:pPr>
              <w:spacing w:line="240" w:lineRule="auto"/>
              <w:rPr>
                <w:rFonts w:ascii="Arial" w:hAnsi="Arial" w:cs="Arial"/>
                <w:b/>
                <w:bCs/>
                <w:sz w:val="21"/>
                <w:szCs w:val="21"/>
              </w:rPr>
            </w:pPr>
          </w:p>
        </w:tc>
        <w:tc>
          <w:tcPr>
            <w:tcW w:w="1504" w:type="dxa"/>
            <w:vAlign w:val="center"/>
          </w:tcPr>
          <w:p>
            <w:pPr>
              <w:widowControl/>
              <w:adjustRightInd/>
              <w:spacing w:line="240" w:lineRule="auto"/>
              <w:jc w:val="both"/>
              <w:textAlignment w:val="auto"/>
              <w:rPr>
                <w:rFonts w:ascii="Arial" w:hAnsi="Arial" w:eastAsia="华文细黑" w:cs="宋体"/>
                <w:color w:val="000000"/>
                <w:sz w:val="18"/>
                <w:szCs w:val="18"/>
              </w:rPr>
            </w:pPr>
            <w:r>
              <w:rPr>
                <w:rFonts w:hint="eastAsia" w:ascii="Arial" w:hAnsi="Arial" w:eastAsia="华文细黑" w:cs="宋体"/>
                <w:color w:val="000000"/>
                <w:sz w:val="18"/>
                <w:szCs w:val="18"/>
              </w:rPr>
              <w:t>单价</w:t>
            </w:r>
          </w:p>
        </w:tc>
        <w:tc>
          <w:tcPr>
            <w:tcW w:w="5471" w:type="dxa"/>
            <w:gridSpan w:val="2"/>
            <w:vAlign w:val="center"/>
          </w:tcPr>
          <w:p>
            <w:pPr>
              <w:widowControl/>
              <w:adjustRightInd/>
              <w:spacing w:line="240" w:lineRule="auto"/>
              <w:jc w:val="both"/>
              <w:textAlignment w:val="auto"/>
              <w:rPr>
                <w:rFonts w:ascii="Arial" w:hAnsi="Arial" w:eastAsia="华文细黑" w:cs="Arial"/>
                <w:color w:val="000000"/>
                <w:sz w:val="18"/>
                <w:szCs w:val="18"/>
              </w:rPr>
            </w:pPr>
            <w:r>
              <w:rPr>
                <w:rFonts w:hint="eastAsia" w:ascii="Arial" w:hAnsi="Arial" w:eastAsia="华文细黑" w:cs="Arial"/>
                <w:color w:val="000000"/>
                <w:sz w:val="18"/>
                <w:szCs w:val="18"/>
              </w:rPr>
              <w:t>36046</w:t>
            </w:r>
          </w:p>
        </w:tc>
      </w:tr>
    </w:tbl>
    <w:p>
      <w:pPr>
        <w:spacing w:line="360" w:lineRule="auto"/>
        <w:ind w:right="17"/>
        <w:rPr>
          <w:rFonts w:ascii="Arial" w:hAnsi="Arial" w:eastAsia="华文细黑" w:cs="Arial"/>
          <w:sz w:val="18"/>
          <w:szCs w:val="18"/>
        </w:rPr>
      </w:pPr>
      <w:r>
        <w:rPr>
          <w:rFonts w:hint="eastAsia" w:ascii="Arial" w:hAnsi="Arial" w:eastAsia="华文细黑"/>
          <w:sz w:val="18"/>
          <w:szCs w:val="18"/>
        </w:rPr>
        <w:t>单位：</w:t>
      </w:r>
      <w:r>
        <w:rPr>
          <w:rFonts w:ascii="Arial" w:hAnsi="Arial" w:eastAsia="华文细黑" w:cs="Arial"/>
          <w:sz w:val="18"/>
          <w:szCs w:val="18"/>
        </w:rPr>
        <w:t>元、元/平方米（币种：人民币）</w:t>
      </w:r>
    </w:p>
    <w:p>
      <w:pPr>
        <w:spacing w:line="360" w:lineRule="auto"/>
        <w:ind w:right="17"/>
        <w:rPr>
          <w:rFonts w:ascii="Arial" w:hAnsi="Arial" w:eastAsia="华文细黑"/>
          <w:sz w:val="18"/>
          <w:szCs w:val="18"/>
        </w:rPr>
      </w:pPr>
    </w:p>
    <w:p>
      <w:pPr>
        <w:spacing w:line="240" w:lineRule="auto"/>
        <w:jc w:val="center"/>
        <w:rPr>
          <w:rFonts w:ascii="Arial" w:hAnsi="Arial" w:eastAsia="方正黑体简体"/>
          <w:bCs/>
          <w:color w:val="000000"/>
          <w:szCs w:val="24"/>
        </w:rPr>
      </w:pPr>
      <w:r>
        <w:rPr>
          <w:rFonts w:hint="eastAsia" w:ascii="Arial" w:hAnsi="Arial" w:eastAsia="方正黑体简体"/>
          <w:bCs/>
          <w:color w:val="000000"/>
          <w:szCs w:val="24"/>
        </w:rPr>
        <w:t>特殊事项说明表</w:t>
      </w:r>
    </w:p>
    <w:tbl>
      <w:tblPr>
        <w:tblStyle w:val="32"/>
        <w:tblW w:w="9299" w:type="dxa"/>
        <w:jc w:val="center"/>
        <w:tblBorders>
          <w:top w:val="thinThickThinSmallGap" w:color="404040" w:sz="12" w:space="0"/>
          <w:left w:val="dotted" w:color="404040" w:sz="2" w:space="0"/>
          <w:bottom w:val="thinThickThinSmallGap" w:color="404040" w:sz="12" w:space="0"/>
          <w:right w:val="dotted" w:color="404040" w:sz="2" w:space="0"/>
          <w:insideH w:val="dotted" w:color="404040" w:sz="2" w:space="0"/>
          <w:insideV w:val="dotted" w:color="404040" w:sz="2" w:space="0"/>
        </w:tblBorders>
        <w:tblLayout w:type="fixed"/>
        <w:tblCellMar>
          <w:top w:w="85" w:type="dxa"/>
          <w:left w:w="85" w:type="dxa"/>
          <w:bottom w:w="85" w:type="dxa"/>
          <w:right w:w="85" w:type="dxa"/>
        </w:tblCellMar>
      </w:tblPr>
      <w:tblGrid>
        <w:gridCol w:w="2054"/>
        <w:gridCol w:w="1458"/>
        <w:gridCol w:w="1581"/>
        <w:gridCol w:w="1451"/>
        <w:gridCol w:w="1453"/>
        <w:gridCol w:w="1302"/>
      </w:tblGrid>
      <w:tr>
        <w:tblPrEx>
          <w:tblBorders>
            <w:top w:val="thinThickThinSmallGap" w:color="404040" w:sz="12" w:space="0"/>
            <w:left w:val="dotted" w:color="404040" w:sz="2" w:space="0"/>
            <w:bottom w:val="thinThickThinSmallGap" w:color="404040" w:sz="12" w:space="0"/>
            <w:right w:val="dotted" w:color="404040" w:sz="2" w:space="0"/>
            <w:insideH w:val="dotted" w:color="404040" w:sz="2" w:space="0"/>
            <w:insideV w:val="dotted" w:color="404040" w:sz="2" w:space="0"/>
          </w:tblBorders>
          <w:tblCellMar>
            <w:top w:w="85" w:type="dxa"/>
            <w:left w:w="85" w:type="dxa"/>
            <w:bottom w:w="85" w:type="dxa"/>
            <w:right w:w="85" w:type="dxa"/>
          </w:tblCellMar>
        </w:tblPrEx>
        <w:trPr>
          <w:cantSplit/>
          <w:jc w:val="center"/>
        </w:trPr>
        <w:tc>
          <w:tcPr>
            <w:tcW w:w="1105" w:type="pct"/>
            <w:noWrap/>
            <w:tcMar>
              <w:top w:w="16" w:type="dxa"/>
              <w:left w:w="16" w:type="dxa"/>
              <w:bottom w:w="0" w:type="dxa"/>
              <w:right w:w="16" w:type="dxa"/>
            </w:tcMar>
            <w:vAlign w:val="center"/>
          </w:tcPr>
          <w:p>
            <w:pPr>
              <w:spacing w:line="240" w:lineRule="auto"/>
              <w:rPr>
                <w:rFonts w:ascii="Arial" w:hAnsi="Arial" w:eastAsia="华文细黑"/>
                <w:b/>
                <w:bCs/>
                <w:sz w:val="18"/>
                <w:szCs w:val="18"/>
              </w:rPr>
            </w:pPr>
            <w:r>
              <w:rPr>
                <w:rFonts w:hint="eastAsia" w:ascii="Arial" w:hAnsi="Arial" w:eastAsia="华文细黑"/>
                <w:b/>
                <w:bCs/>
                <w:sz w:val="18"/>
                <w:szCs w:val="18"/>
              </w:rPr>
              <w:t>房屋性质</w:t>
            </w:r>
          </w:p>
        </w:tc>
        <w:tc>
          <w:tcPr>
            <w:tcW w:w="784" w:type="pct"/>
            <w:vAlign w:val="center"/>
          </w:tcPr>
          <w:p>
            <w:pPr>
              <w:spacing w:line="240" w:lineRule="auto"/>
              <w:rPr>
                <w:rFonts w:ascii="Arial" w:hAnsi="Arial" w:eastAsia="华文细黑"/>
                <w:b/>
                <w:bCs/>
                <w:sz w:val="18"/>
                <w:szCs w:val="18"/>
              </w:rPr>
            </w:pPr>
            <w:r>
              <w:rPr>
                <w:rFonts w:hint="eastAsia" w:ascii="Arial" w:hAnsi="Arial" w:eastAsia="华文细黑"/>
                <w:sz w:val="18"/>
                <w:szCs w:val="18"/>
              </w:rPr>
              <w:t>商品房</w:t>
            </w:r>
          </w:p>
        </w:tc>
        <w:tc>
          <w:tcPr>
            <w:tcW w:w="850" w:type="pct"/>
            <w:vAlign w:val="center"/>
          </w:tcPr>
          <w:p>
            <w:pPr>
              <w:spacing w:line="240" w:lineRule="auto"/>
              <w:rPr>
                <w:rFonts w:ascii="Arial" w:hAnsi="Arial" w:eastAsia="华文细黑"/>
                <w:b/>
                <w:sz w:val="18"/>
                <w:szCs w:val="18"/>
              </w:rPr>
            </w:pPr>
            <w:r>
              <w:rPr>
                <w:rFonts w:hint="eastAsia" w:ascii="Arial" w:hAnsi="Arial" w:eastAsia="华文细黑"/>
                <w:b/>
                <w:sz w:val="18"/>
                <w:szCs w:val="18"/>
              </w:rPr>
              <w:t>规划用途</w:t>
            </w:r>
          </w:p>
        </w:tc>
        <w:tc>
          <w:tcPr>
            <w:tcW w:w="780" w:type="pct"/>
            <w:vAlign w:val="center"/>
          </w:tcPr>
          <w:p>
            <w:pPr>
              <w:spacing w:line="240" w:lineRule="auto"/>
              <w:rPr>
                <w:rFonts w:ascii="Arial" w:hAnsi="Arial" w:eastAsia="华文细黑"/>
                <w:sz w:val="18"/>
                <w:szCs w:val="18"/>
              </w:rPr>
            </w:pPr>
            <w:r>
              <w:rPr>
                <w:rFonts w:hint="eastAsia" w:ascii="Arial" w:hAnsi="Arial" w:eastAsia="华文细黑"/>
                <w:sz w:val="18"/>
                <w:szCs w:val="18"/>
              </w:rPr>
              <w:t>住宅（居住）</w:t>
            </w:r>
          </w:p>
        </w:tc>
        <w:tc>
          <w:tcPr>
            <w:tcW w:w="781" w:type="pct"/>
            <w:vAlign w:val="center"/>
          </w:tcPr>
          <w:p>
            <w:pPr>
              <w:spacing w:line="240" w:lineRule="auto"/>
              <w:rPr>
                <w:rFonts w:ascii="Arial" w:hAnsi="Arial" w:eastAsia="华文细黑"/>
                <w:sz w:val="18"/>
                <w:szCs w:val="18"/>
              </w:rPr>
            </w:pPr>
            <w:r>
              <w:rPr>
                <w:rFonts w:hint="eastAsia" w:ascii="Arial" w:hAnsi="Arial" w:eastAsia="华文细黑"/>
                <w:b/>
                <w:sz w:val="18"/>
                <w:szCs w:val="18"/>
              </w:rPr>
              <w:t>现状用途</w:t>
            </w:r>
          </w:p>
        </w:tc>
        <w:tc>
          <w:tcPr>
            <w:tcW w:w="700" w:type="pct"/>
            <w:vAlign w:val="center"/>
          </w:tcPr>
          <w:p>
            <w:pPr>
              <w:spacing w:line="240" w:lineRule="auto"/>
              <w:rPr>
                <w:rFonts w:ascii="Arial" w:hAnsi="Arial" w:eastAsia="华文细黑"/>
                <w:sz w:val="18"/>
                <w:szCs w:val="18"/>
              </w:rPr>
            </w:pPr>
            <w:r>
              <w:rPr>
                <w:rFonts w:hint="eastAsia" w:ascii="Arial" w:hAnsi="Arial" w:eastAsia="华文细黑"/>
                <w:sz w:val="18"/>
                <w:szCs w:val="18"/>
              </w:rPr>
              <w:t>住宅（居住）</w:t>
            </w:r>
          </w:p>
        </w:tc>
      </w:tr>
      <w:tr>
        <w:tblPrEx>
          <w:tblBorders>
            <w:top w:val="thinThickThinSmallGap" w:color="404040" w:sz="12" w:space="0"/>
            <w:left w:val="dotted" w:color="404040" w:sz="2" w:space="0"/>
            <w:bottom w:val="thinThickThinSmallGap" w:color="404040" w:sz="12" w:space="0"/>
            <w:right w:val="dotted" w:color="404040" w:sz="2" w:space="0"/>
            <w:insideH w:val="dotted" w:color="404040" w:sz="2" w:space="0"/>
            <w:insideV w:val="dotted" w:color="404040" w:sz="2" w:space="0"/>
          </w:tblBorders>
          <w:tblCellMar>
            <w:top w:w="85" w:type="dxa"/>
            <w:left w:w="85" w:type="dxa"/>
            <w:bottom w:w="85" w:type="dxa"/>
            <w:right w:w="85" w:type="dxa"/>
          </w:tblCellMar>
        </w:tblPrEx>
        <w:trPr>
          <w:cantSplit/>
          <w:jc w:val="center"/>
        </w:trPr>
        <w:tc>
          <w:tcPr>
            <w:tcW w:w="1105" w:type="pct"/>
            <w:noWrap/>
            <w:tcMar>
              <w:top w:w="16" w:type="dxa"/>
              <w:left w:w="16" w:type="dxa"/>
              <w:bottom w:w="0" w:type="dxa"/>
              <w:right w:w="16" w:type="dxa"/>
            </w:tcMar>
            <w:vAlign w:val="center"/>
          </w:tcPr>
          <w:p>
            <w:pPr>
              <w:spacing w:line="240" w:lineRule="auto"/>
              <w:rPr>
                <w:rFonts w:ascii="Arial" w:hAnsi="Arial" w:eastAsia="华文细黑"/>
                <w:sz w:val="18"/>
                <w:szCs w:val="18"/>
              </w:rPr>
            </w:pPr>
            <w:r>
              <w:rPr>
                <w:rFonts w:hint="eastAsia" w:ascii="Arial" w:hAnsi="Arial" w:eastAsia="华文细黑"/>
                <w:b/>
                <w:bCs/>
                <w:sz w:val="18"/>
                <w:szCs w:val="18"/>
              </w:rPr>
              <w:t>房屋使用状况</w:t>
            </w:r>
          </w:p>
        </w:tc>
        <w:tc>
          <w:tcPr>
            <w:tcW w:w="1634" w:type="pct"/>
            <w:gridSpan w:val="2"/>
            <w:vAlign w:val="center"/>
          </w:tcPr>
          <w:p>
            <w:pPr>
              <w:spacing w:line="240" w:lineRule="auto"/>
              <w:rPr>
                <w:rFonts w:ascii="Arial" w:hAnsi="Arial" w:eastAsia="华文细黑"/>
                <w:sz w:val="18"/>
                <w:szCs w:val="18"/>
              </w:rPr>
            </w:pPr>
            <w:r>
              <w:rPr>
                <w:rFonts w:hint="eastAsia" w:ascii="Arial" w:hAnsi="Arial" w:eastAsia="华文细黑"/>
                <w:sz w:val="18"/>
                <w:szCs w:val="18"/>
              </w:rPr>
              <w:t>空置</w:t>
            </w:r>
          </w:p>
        </w:tc>
        <w:tc>
          <w:tcPr>
            <w:tcW w:w="780" w:type="pct"/>
            <w:vAlign w:val="center"/>
          </w:tcPr>
          <w:p>
            <w:pPr>
              <w:spacing w:line="240" w:lineRule="auto"/>
              <w:rPr>
                <w:rFonts w:ascii="Arial" w:hAnsi="Arial" w:eastAsia="华文细黑"/>
                <w:sz w:val="18"/>
                <w:szCs w:val="18"/>
              </w:rPr>
            </w:pPr>
            <w:r>
              <w:rPr>
                <w:rFonts w:hint="eastAsia" w:ascii="Arial" w:hAnsi="Arial" w:eastAsia="华文细黑"/>
                <w:b/>
                <w:bCs/>
                <w:sz w:val="18"/>
                <w:szCs w:val="18"/>
              </w:rPr>
              <w:t>建成年代</w:t>
            </w:r>
          </w:p>
        </w:tc>
        <w:tc>
          <w:tcPr>
            <w:tcW w:w="1481" w:type="pct"/>
            <w:gridSpan w:val="2"/>
            <w:vAlign w:val="center"/>
          </w:tcPr>
          <w:p>
            <w:pPr>
              <w:spacing w:line="240" w:lineRule="auto"/>
              <w:rPr>
                <w:rFonts w:ascii="Arial" w:hAnsi="Arial" w:eastAsia="华文细黑"/>
                <w:sz w:val="18"/>
                <w:szCs w:val="18"/>
              </w:rPr>
            </w:pPr>
            <w:r>
              <w:rPr>
                <w:rFonts w:hint="eastAsia" w:ascii="Arial" w:hAnsi="Arial" w:eastAsia="华文细黑"/>
                <w:sz w:val="18"/>
                <w:szCs w:val="18"/>
              </w:rPr>
              <w:t>设定为2005年</w:t>
            </w:r>
          </w:p>
        </w:tc>
      </w:tr>
      <w:tr>
        <w:tblPrEx>
          <w:tblBorders>
            <w:top w:val="thinThickThinSmallGap" w:color="404040" w:sz="12" w:space="0"/>
            <w:left w:val="dotted" w:color="404040" w:sz="2" w:space="0"/>
            <w:bottom w:val="thinThickThinSmallGap" w:color="404040" w:sz="12" w:space="0"/>
            <w:right w:val="dotted" w:color="404040" w:sz="2" w:space="0"/>
            <w:insideH w:val="dotted" w:color="404040" w:sz="2" w:space="0"/>
            <w:insideV w:val="dotted" w:color="404040" w:sz="2" w:space="0"/>
          </w:tblBorders>
          <w:tblCellMar>
            <w:top w:w="85" w:type="dxa"/>
            <w:left w:w="85" w:type="dxa"/>
            <w:bottom w:w="85" w:type="dxa"/>
            <w:right w:w="85" w:type="dxa"/>
          </w:tblCellMar>
        </w:tblPrEx>
        <w:trPr>
          <w:cantSplit/>
          <w:jc w:val="center"/>
        </w:trPr>
        <w:tc>
          <w:tcPr>
            <w:tcW w:w="1105" w:type="pct"/>
            <w:noWrap/>
            <w:tcMar>
              <w:top w:w="16" w:type="dxa"/>
              <w:left w:w="16" w:type="dxa"/>
              <w:bottom w:w="0" w:type="dxa"/>
              <w:right w:w="16" w:type="dxa"/>
            </w:tcMar>
            <w:vAlign w:val="center"/>
          </w:tcPr>
          <w:p>
            <w:pPr>
              <w:spacing w:line="240" w:lineRule="auto"/>
              <w:rPr>
                <w:rFonts w:ascii="Arial" w:hAnsi="Arial" w:eastAsia="华文细黑"/>
                <w:b/>
                <w:bCs/>
                <w:sz w:val="18"/>
                <w:szCs w:val="18"/>
              </w:rPr>
            </w:pPr>
            <w:r>
              <w:rPr>
                <w:rFonts w:hint="eastAsia" w:ascii="Arial" w:hAnsi="Arial" w:eastAsia="华文细黑"/>
                <w:b/>
                <w:bCs/>
                <w:sz w:val="18"/>
                <w:szCs w:val="18"/>
              </w:rPr>
              <w:t>土地使用权类型</w:t>
            </w:r>
          </w:p>
        </w:tc>
        <w:tc>
          <w:tcPr>
            <w:tcW w:w="784" w:type="pct"/>
            <w:vAlign w:val="center"/>
          </w:tcPr>
          <w:p>
            <w:pPr>
              <w:spacing w:line="240" w:lineRule="auto"/>
              <w:rPr>
                <w:rFonts w:ascii="Arial" w:hAnsi="Arial" w:eastAsia="华文细黑"/>
                <w:bCs/>
                <w:sz w:val="18"/>
                <w:szCs w:val="18"/>
              </w:rPr>
            </w:pPr>
            <w:r>
              <w:rPr>
                <w:rFonts w:hint="eastAsia" w:ascii="Arial" w:hAnsi="Arial" w:eastAsia="华文细黑"/>
                <w:bCs/>
                <w:sz w:val="18"/>
                <w:szCs w:val="18"/>
              </w:rPr>
              <w:t>有偿（出让）</w:t>
            </w:r>
          </w:p>
        </w:tc>
        <w:tc>
          <w:tcPr>
            <w:tcW w:w="850" w:type="pct"/>
            <w:vAlign w:val="center"/>
          </w:tcPr>
          <w:p>
            <w:pPr>
              <w:spacing w:line="240" w:lineRule="auto"/>
              <w:rPr>
                <w:rFonts w:ascii="Arial" w:hAnsi="Arial" w:eastAsia="华文细黑"/>
                <w:b/>
                <w:bCs/>
                <w:sz w:val="18"/>
                <w:szCs w:val="18"/>
              </w:rPr>
            </w:pPr>
            <w:r>
              <w:rPr>
                <w:rFonts w:hint="eastAsia" w:ascii="Arial" w:hAnsi="Arial" w:eastAsia="华文细黑"/>
                <w:b/>
                <w:bCs/>
                <w:sz w:val="18"/>
                <w:szCs w:val="18"/>
              </w:rPr>
              <w:t>法定最高土地</w:t>
            </w:r>
          </w:p>
          <w:p>
            <w:pPr>
              <w:spacing w:line="240" w:lineRule="auto"/>
              <w:rPr>
                <w:rFonts w:ascii="Arial" w:hAnsi="Arial" w:eastAsia="华文细黑"/>
                <w:sz w:val="18"/>
                <w:szCs w:val="18"/>
              </w:rPr>
            </w:pPr>
            <w:r>
              <w:rPr>
                <w:rFonts w:hint="eastAsia" w:ascii="Arial" w:hAnsi="Arial" w:eastAsia="华文细黑"/>
                <w:b/>
                <w:bCs/>
                <w:sz w:val="18"/>
                <w:szCs w:val="18"/>
              </w:rPr>
              <w:t>使用年限</w:t>
            </w:r>
          </w:p>
        </w:tc>
        <w:tc>
          <w:tcPr>
            <w:tcW w:w="780" w:type="pct"/>
            <w:vAlign w:val="center"/>
          </w:tcPr>
          <w:p>
            <w:pPr>
              <w:spacing w:line="240" w:lineRule="auto"/>
              <w:rPr>
                <w:rFonts w:ascii="Arial" w:hAnsi="Arial" w:eastAsia="华文细黑"/>
                <w:sz w:val="18"/>
                <w:szCs w:val="18"/>
              </w:rPr>
            </w:pPr>
            <w:r>
              <w:rPr>
                <w:rFonts w:hint="eastAsia" w:ascii="Arial" w:hAnsi="Arial" w:eastAsia="华文细黑"/>
                <w:sz w:val="18"/>
                <w:szCs w:val="18"/>
              </w:rPr>
              <w:t>70年</w:t>
            </w:r>
          </w:p>
        </w:tc>
        <w:tc>
          <w:tcPr>
            <w:tcW w:w="781" w:type="pct"/>
            <w:vAlign w:val="center"/>
          </w:tcPr>
          <w:p>
            <w:pPr>
              <w:spacing w:line="240" w:lineRule="auto"/>
              <w:rPr>
                <w:rFonts w:ascii="Arial" w:hAnsi="Arial" w:eastAsia="华文细黑"/>
                <w:b/>
                <w:sz w:val="18"/>
                <w:szCs w:val="18"/>
              </w:rPr>
            </w:pPr>
            <w:r>
              <w:rPr>
                <w:rFonts w:hint="eastAsia" w:ascii="Arial" w:hAnsi="Arial" w:eastAsia="华文细黑" w:cs="宋体"/>
                <w:b/>
                <w:sz w:val="18"/>
                <w:szCs w:val="18"/>
              </w:rPr>
              <w:t>土地使用年限</w:t>
            </w:r>
          </w:p>
        </w:tc>
        <w:tc>
          <w:tcPr>
            <w:tcW w:w="700" w:type="pct"/>
            <w:vAlign w:val="center"/>
          </w:tcPr>
          <w:p>
            <w:pPr>
              <w:spacing w:line="240" w:lineRule="auto"/>
              <w:rPr>
                <w:rFonts w:ascii="Arial" w:hAnsi="Arial" w:eastAsia="华文细黑"/>
                <w:sz w:val="18"/>
                <w:szCs w:val="18"/>
              </w:rPr>
            </w:pPr>
            <w:r>
              <w:rPr>
                <w:rFonts w:hint="eastAsia" w:ascii="Arial" w:hAnsi="Arial" w:eastAsia="华文细黑"/>
                <w:sz w:val="18"/>
                <w:szCs w:val="18"/>
              </w:rPr>
              <w:t>2003年5月15日至2073年5月14日</w:t>
            </w:r>
          </w:p>
        </w:tc>
      </w:tr>
      <w:tr>
        <w:tblPrEx>
          <w:tblBorders>
            <w:top w:val="thinThickThinSmallGap" w:color="404040" w:sz="12" w:space="0"/>
            <w:left w:val="dotted" w:color="404040" w:sz="2" w:space="0"/>
            <w:bottom w:val="thinThickThinSmallGap" w:color="404040" w:sz="12" w:space="0"/>
            <w:right w:val="dotted" w:color="404040" w:sz="2" w:space="0"/>
            <w:insideH w:val="dotted" w:color="404040" w:sz="2" w:space="0"/>
            <w:insideV w:val="dotted" w:color="404040" w:sz="2" w:space="0"/>
          </w:tblBorders>
          <w:tblCellMar>
            <w:top w:w="85" w:type="dxa"/>
            <w:left w:w="85" w:type="dxa"/>
            <w:bottom w:w="85" w:type="dxa"/>
            <w:right w:w="85" w:type="dxa"/>
          </w:tblCellMar>
        </w:tblPrEx>
        <w:trPr>
          <w:cantSplit/>
          <w:jc w:val="center"/>
        </w:trPr>
        <w:tc>
          <w:tcPr>
            <w:tcW w:w="1105" w:type="pct"/>
            <w:vMerge w:val="restart"/>
            <w:noWrap/>
            <w:tcMar>
              <w:top w:w="16" w:type="dxa"/>
              <w:left w:w="16" w:type="dxa"/>
              <w:bottom w:w="0" w:type="dxa"/>
              <w:right w:w="16" w:type="dxa"/>
            </w:tcMar>
            <w:vAlign w:val="center"/>
          </w:tcPr>
          <w:p>
            <w:pPr>
              <w:spacing w:line="240" w:lineRule="auto"/>
              <w:rPr>
                <w:rFonts w:ascii="Arial" w:hAnsi="Arial" w:eastAsia="华文细黑"/>
                <w:b/>
                <w:bCs/>
                <w:sz w:val="18"/>
                <w:szCs w:val="18"/>
              </w:rPr>
            </w:pPr>
            <w:r>
              <w:rPr>
                <w:rFonts w:hint="eastAsia" w:ascii="Arial" w:hAnsi="Arial" w:eastAsia="华文细黑"/>
                <w:b/>
                <w:bCs/>
                <w:sz w:val="18"/>
                <w:szCs w:val="18"/>
              </w:rPr>
              <w:t>法定优先受偿款</w:t>
            </w:r>
          </w:p>
          <w:p>
            <w:pPr>
              <w:spacing w:line="240" w:lineRule="auto"/>
              <w:rPr>
                <w:rFonts w:ascii="Arial" w:hAnsi="Arial" w:eastAsia="华文细黑"/>
                <w:b/>
                <w:bCs/>
                <w:sz w:val="18"/>
                <w:szCs w:val="18"/>
              </w:rPr>
            </w:pPr>
            <w:r>
              <w:rPr>
                <w:rFonts w:hint="eastAsia" w:ascii="Arial" w:hAnsi="Arial" w:eastAsia="华文细黑"/>
                <w:b/>
                <w:bCs/>
                <w:sz w:val="18"/>
                <w:szCs w:val="18"/>
              </w:rPr>
              <w:t>（单位：元）</w:t>
            </w:r>
          </w:p>
        </w:tc>
        <w:tc>
          <w:tcPr>
            <w:tcW w:w="1634" w:type="pct"/>
            <w:gridSpan w:val="2"/>
            <w:vAlign w:val="center"/>
          </w:tcPr>
          <w:p>
            <w:pPr>
              <w:spacing w:line="240" w:lineRule="auto"/>
              <w:rPr>
                <w:rFonts w:ascii="Arial" w:hAnsi="Arial" w:eastAsia="华文细黑"/>
                <w:bCs/>
                <w:sz w:val="18"/>
                <w:szCs w:val="18"/>
              </w:rPr>
            </w:pPr>
            <w:r>
              <w:rPr>
                <w:rFonts w:ascii="Arial" w:hAnsi="Arial" w:eastAsia="华文细黑"/>
                <w:bCs/>
                <w:sz w:val="18"/>
                <w:szCs w:val="18"/>
              </w:rPr>
              <w:t>已抵押担保的债权数额</w:t>
            </w:r>
          </w:p>
        </w:tc>
        <w:tc>
          <w:tcPr>
            <w:tcW w:w="2261" w:type="pct"/>
            <w:gridSpan w:val="3"/>
            <w:vAlign w:val="center"/>
          </w:tcPr>
          <w:p>
            <w:pPr>
              <w:spacing w:line="240" w:lineRule="auto"/>
              <w:rPr>
                <w:rFonts w:ascii="Arial" w:hAnsi="Arial" w:eastAsia="华文细黑"/>
                <w:bCs/>
                <w:sz w:val="18"/>
                <w:szCs w:val="18"/>
              </w:rPr>
            </w:pPr>
            <w:r>
              <w:rPr>
                <w:rFonts w:hint="eastAsia" w:ascii="Arial" w:hAnsi="Arial" w:eastAsia="华文细黑"/>
                <w:bCs/>
                <w:sz w:val="18"/>
                <w:szCs w:val="18"/>
              </w:rPr>
              <w:t>454万元；</w:t>
            </w:r>
          </w:p>
        </w:tc>
      </w:tr>
      <w:tr>
        <w:tblPrEx>
          <w:tblBorders>
            <w:top w:val="thinThickThinSmallGap" w:color="404040" w:sz="12" w:space="0"/>
            <w:left w:val="dotted" w:color="404040" w:sz="2" w:space="0"/>
            <w:bottom w:val="thinThickThinSmallGap" w:color="404040" w:sz="12" w:space="0"/>
            <w:right w:val="dotted" w:color="404040" w:sz="2" w:space="0"/>
            <w:insideH w:val="dotted" w:color="404040" w:sz="2" w:space="0"/>
            <w:insideV w:val="dotted" w:color="404040" w:sz="2" w:space="0"/>
          </w:tblBorders>
          <w:tblCellMar>
            <w:top w:w="85" w:type="dxa"/>
            <w:left w:w="85" w:type="dxa"/>
            <w:bottom w:w="85" w:type="dxa"/>
            <w:right w:w="85" w:type="dxa"/>
          </w:tblCellMar>
        </w:tblPrEx>
        <w:trPr>
          <w:cantSplit/>
          <w:jc w:val="center"/>
        </w:trPr>
        <w:tc>
          <w:tcPr>
            <w:tcW w:w="1105" w:type="pct"/>
            <w:vMerge w:val="continue"/>
            <w:noWrap/>
            <w:tcMar>
              <w:top w:w="16" w:type="dxa"/>
              <w:left w:w="16" w:type="dxa"/>
              <w:bottom w:w="0" w:type="dxa"/>
              <w:right w:w="16" w:type="dxa"/>
            </w:tcMar>
            <w:vAlign w:val="center"/>
          </w:tcPr>
          <w:p>
            <w:pPr>
              <w:spacing w:line="240" w:lineRule="auto"/>
              <w:rPr>
                <w:rFonts w:ascii="Arial" w:hAnsi="Arial" w:eastAsia="华文细黑"/>
                <w:b/>
                <w:bCs/>
                <w:sz w:val="18"/>
                <w:szCs w:val="18"/>
              </w:rPr>
            </w:pPr>
          </w:p>
        </w:tc>
        <w:tc>
          <w:tcPr>
            <w:tcW w:w="1634" w:type="pct"/>
            <w:gridSpan w:val="2"/>
            <w:vAlign w:val="center"/>
          </w:tcPr>
          <w:p>
            <w:pPr>
              <w:spacing w:line="240" w:lineRule="auto"/>
              <w:rPr>
                <w:rFonts w:ascii="Arial" w:hAnsi="Arial" w:eastAsia="华文细黑"/>
                <w:sz w:val="18"/>
                <w:szCs w:val="18"/>
              </w:rPr>
            </w:pPr>
            <w:r>
              <w:rPr>
                <w:rFonts w:hint="eastAsia" w:ascii="Arial" w:hAnsi="Arial" w:eastAsia="华文细黑"/>
                <w:sz w:val="18"/>
                <w:szCs w:val="18"/>
              </w:rPr>
              <w:t>土地出让金、综合地价款、</w:t>
            </w:r>
          </w:p>
          <w:p>
            <w:pPr>
              <w:spacing w:line="240" w:lineRule="auto"/>
              <w:rPr>
                <w:rFonts w:ascii="Arial" w:hAnsi="Arial" w:eastAsia="华文细黑"/>
                <w:sz w:val="18"/>
                <w:szCs w:val="18"/>
              </w:rPr>
            </w:pPr>
            <w:r>
              <w:rPr>
                <w:rFonts w:hint="eastAsia" w:ascii="Arial" w:hAnsi="Arial" w:eastAsia="华文细黑"/>
                <w:sz w:val="18"/>
                <w:szCs w:val="18"/>
              </w:rPr>
              <w:t>房价款</w:t>
            </w:r>
          </w:p>
        </w:tc>
        <w:tc>
          <w:tcPr>
            <w:tcW w:w="2261" w:type="pct"/>
            <w:gridSpan w:val="3"/>
            <w:vAlign w:val="center"/>
          </w:tcPr>
          <w:p>
            <w:pPr>
              <w:spacing w:line="240" w:lineRule="auto"/>
              <w:rPr>
                <w:rFonts w:ascii="Arial" w:hAnsi="Arial" w:eastAsia="华文细黑"/>
                <w:bCs/>
                <w:sz w:val="18"/>
                <w:szCs w:val="18"/>
              </w:rPr>
            </w:pPr>
            <w:r>
              <w:rPr>
                <w:rFonts w:hint="eastAsia" w:ascii="Arial" w:hAnsi="Arial" w:eastAsia="华文细黑"/>
                <w:bCs/>
                <w:sz w:val="18"/>
                <w:szCs w:val="18"/>
              </w:rPr>
              <w:t>——；</w:t>
            </w:r>
          </w:p>
        </w:tc>
      </w:tr>
      <w:tr>
        <w:tblPrEx>
          <w:tblBorders>
            <w:top w:val="thinThickThinSmallGap" w:color="404040" w:sz="12" w:space="0"/>
            <w:left w:val="dotted" w:color="404040" w:sz="2" w:space="0"/>
            <w:bottom w:val="thinThickThinSmallGap" w:color="404040" w:sz="12" w:space="0"/>
            <w:right w:val="dotted" w:color="404040" w:sz="2" w:space="0"/>
            <w:insideH w:val="dotted" w:color="404040" w:sz="2" w:space="0"/>
            <w:insideV w:val="dotted" w:color="404040" w:sz="2" w:space="0"/>
          </w:tblBorders>
          <w:tblCellMar>
            <w:top w:w="85" w:type="dxa"/>
            <w:left w:w="85" w:type="dxa"/>
            <w:bottom w:w="85" w:type="dxa"/>
            <w:right w:w="85" w:type="dxa"/>
          </w:tblCellMar>
        </w:tblPrEx>
        <w:trPr>
          <w:cantSplit/>
          <w:jc w:val="center"/>
        </w:trPr>
        <w:tc>
          <w:tcPr>
            <w:tcW w:w="1105" w:type="pct"/>
            <w:vMerge w:val="restart"/>
            <w:noWrap/>
            <w:tcMar>
              <w:top w:w="16" w:type="dxa"/>
              <w:left w:w="16" w:type="dxa"/>
              <w:bottom w:w="0" w:type="dxa"/>
              <w:right w:w="16" w:type="dxa"/>
            </w:tcMar>
            <w:vAlign w:val="center"/>
          </w:tcPr>
          <w:p>
            <w:pPr>
              <w:spacing w:line="240" w:lineRule="auto"/>
              <w:rPr>
                <w:rFonts w:ascii="Arial" w:hAnsi="Arial" w:eastAsia="华文细黑"/>
                <w:sz w:val="18"/>
                <w:szCs w:val="18"/>
              </w:rPr>
            </w:pPr>
            <w:r>
              <w:rPr>
                <w:rFonts w:hint="eastAsia" w:ascii="Arial" w:hAnsi="Arial" w:eastAsia="华文细黑"/>
                <w:b/>
                <w:bCs/>
                <w:sz w:val="18"/>
                <w:szCs w:val="18"/>
              </w:rPr>
              <w:t>他项权利状况</w:t>
            </w:r>
          </w:p>
        </w:tc>
        <w:tc>
          <w:tcPr>
            <w:tcW w:w="1634" w:type="pct"/>
            <w:gridSpan w:val="2"/>
            <w:vAlign w:val="center"/>
          </w:tcPr>
          <w:p>
            <w:pPr>
              <w:spacing w:line="240" w:lineRule="auto"/>
              <w:rPr>
                <w:rFonts w:ascii="Arial" w:hAnsi="Arial" w:eastAsia="华文细黑"/>
                <w:sz w:val="18"/>
                <w:szCs w:val="18"/>
              </w:rPr>
            </w:pPr>
            <w:r>
              <w:rPr>
                <w:rFonts w:hint="eastAsia" w:ascii="Arial" w:hAnsi="Arial" w:eastAsia="华文细黑"/>
                <w:bCs/>
                <w:sz w:val="18"/>
                <w:szCs w:val="18"/>
              </w:rPr>
              <w:t>抵押权</w:t>
            </w:r>
          </w:p>
        </w:tc>
        <w:tc>
          <w:tcPr>
            <w:tcW w:w="2261" w:type="pct"/>
            <w:gridSpan w:val="3"/>
            <w:vAlign w:val="center"/>
          </w:tcPr>
          <w:p>
            <w:pPr>
              <w:spacing w:line="240" w:lineRule="auto"/>
              <w:rPr>
                <w:rFonts w:ascii="Arial" w:hAnsi="Arial" w:eastAsia="华文细黑"/>
                <w:sz w:val="18"/>
                <w:szCs w:val="18"/>
              </w:rPr>
            </w:pPr>
            <w:r>
              <w:rPr>
                <w:rFonts w:hint="eastAsia" w:ascii="Arial" w:hAnsi="Arial" w:eastAsia="华文细黑"/>
                <w:sz w:val="18"/>
                <w:szCs w:val="18"/>
              </w:rPr>
              <w:t>已抵押；</w:t>
            </w:r>
          </w:p>
        </w:tc>
      </w:tr>
      <w:tr>
        <w:tblPrEx>
          <w:tblBorders>
            <w:top w:val="thinThickThinSmallGap" w:color="404040" w:sz="12" w:space="0"/>
            <w:left w:val="dotted" w:color="404040" w:sz="2" w:space="0"/>
            <w:bottom w:val="thinThickThinSmallGap" w:color="404040" w:sz="12" w:space="0"/>
            <w:right w:val="dotted" w:color="404040" w:sz="2" w:space="0"/>
            <w:insideH w:val="dotted" w:color="404040" w:sz="2" w:space="0"/>
            <w:insideV w:val="dotted" w:color="404040" w:sz="2" w:space="0"/>
          </w:tblBorders>
          <w:tblCellMar>
            <w:top w:w="85" w:type="dxa"/>
            <w:left w:w="85" w:type="dxa"/>
            <w:bottom w:w="85" w:type="dxa"/>
            <w:right w:w="85" w:type="dxa"/>
          </w:tblCellMar>
        </w:tblPrEx>
        <w:trPr>
          <w:cantSplit/>
          <w:jc w:val="center"/>
        </w:trPr>
        <w:tc>
          <w:tcPr>
            <w:tcW w:w="1105" w:type="pct"/>
            <w:vMerge w:val="continue"/>
            <w:noWrap/>
            <w:tcMar>
              <w:top w:w="16" w:type="dxa"/>
              <w:left w:w="16" w:type="dxa"/>
              <w:bottom w:w="0" w:type="dxa"/>
              <w:right w:w="16" w:type="dxa"/>
            </w:tcMar>
            <w:vAlign w:val="center"/>
          </w:tcPr>
          <w:p>
            <w:pPr>
              <w:spacing w:line="240" w:lineRule="auto"/>
              <w:rPr>
                <w:rFonts w:ascii="Arial" w:hAnsi="Arial" w:eastAsia="华文细黑"/>
                <w:sz w:val="18"/>
                <w:szCs w:val="18"/>
              </w:rPr>
            </w:pPr>
          </w:p>
        </w:tc>
        <w:tc>
          <w:tcPr>
            <w:tcW w:w="1634" w:type="pct"/>
            <w:gridSpan w:val="2"/>
            <w:vAlign w:val="center"/>
          </w:tcPr>
          <w:p>
            <w:pPr>
              <w:spacing w:line="240" w:lineRule="auto"/>
              <w:rPr>
                <w:rFonts w:ascii="Arial" w:hAnsi="Arial" w:eastAsia="华文细黑"/>
                <w:bCs/>
                <w:sz w:val="18"/>
                <w:szCs w:val="18"/>
              </w:rPr>
            </w:pPr>
            <w:r>
              <w:rPr>
                <w:rFonts w:hint="eastAsia" w:ascii="Arial" w:hAnsi="Arial" w:eastAsia="华文细黑"/>
                <w:bCs/>
                <w:sz w:val="18"/>
                <w:szCs w:val="18"/>
              </w:rPr>
              <w:t>租赁权</w:t>
            </w:r>
          </w:p>
        </w:tc>
        <w:tc>
          <w:tcPr>
            <w:tcW w:w="2261" w:type="pct"/>
            <w:gridSpan w:val="3"/>
            <w:vAlign w:val="center"/>
          </w:tcPr>
          <w:p>
            <w:pPr>
              <w:spacing w:line="240" w:lineRule="auto"/>
              <w:rPr>
                <w:rFonts w:ascii="Arial" w:hAnsi="Arial" w:eastAsia="华文细黑"/>
                <w:sz w:val="18"/>
                <w:szCs w:val="18"/>
              </w:rPr>
            </w:pPr>
            <w:r>
              <w:rPr>
                <w:rFonts w:hint="eastAsia" w:ascii="Arial" w:hAnsi="Arial" w:eastAsia="华文细黑"/>
                <w:sz w:val="18"/>
                <w:szCs w:val="18"/>
              </w:rPr>
              <w:t>——。</w:t>
            </w:r>
          </w:p>
        </w:tc>
      </w:tr>
    </w:tbl>
    <w:p>
      <w:pPr>
        <w:spacing w:line="480" w:lineRule="auto"/>
        <w:jc w:val="center"/>
        <w:rPr>
          <w:rFonts w:ascii="Arial" w:hAnsi="Arial" w:eastAsia="方正黑体简体"/>
          <w:bCs/>
          <w:szCs w:val="24"/>
        </w:rPr>
      </w:pPr>
    </w:p>
    <w:p>
      <w:pPr>
        <w:spacing w:line="480" w:lineRule="auto"/>
        <w:ind w:firstLine="1050" w:firstLineChars="500"/>
        <w:rPr>
          <w:rFonts w:ascii="Arial" w:hAnsi="Arial"/>
          <w:sz w:val="21"/>
        </w:rPr>
      </w:pPr>
      <w:r>
        <w:rPr>
          <w:rFonts w:hint="eastAsia" w:ascii="Arial" w:hAnsi="Arial"/>
          <w:sz w:val="21"/>
        </w:rPr>
        <w:t>顺致</w:t>
      </w:r>
    </w:p>
    <w:p>
      <w:pPr>
        <w:spacing w:line="480" w:lineRule="auto"/>
        <w:ind w:firstLine="4200" w:firstLineChars="2000"/>
        <w:rPr>
          <w:rFonts w:ascii="Arial" w:hAnsi="Arial"/>
          <w:sz w:val="21"/>
        </w:rPr>
      </w:pPr>
    </w:p>
    <w:p>
      <w:pPr>
        <w:spacing w:line="480" w:lineRule="auto"/>
        <w:rPr>
          <w:rFonts w:ascii="Arial" w:hAnsi="Arial"/>
          <w:sz w:val="21"/>
        </w:rPr>
      </w:pPr>
      <w:r>
        <w:rPr>
          <w:rFonts w:hint="eastAsia" w:ascii="Arial" w:hAnsi="Arial"/>
          <w:sz w:val="21"/>
        </w:rPr>
        <w:t>商祺</w:t>
      </w:r>
    </w:p>
    <w:p>
      <w:pPr>
        <w:spacing w:line="360" w:lineRule="auto"/>
        <w:jc w:val="right"/>
        <w:rPr>
          <w:rFonts w:ascii="Arial" w:hAnsi="Arial" w:eastAsia="楷体_GB2312"/>
          <w:sz w:val="28"/>
        </w:rPr>
      </w:pPr>
      <w:r>
        <w:rPr>
          <w:rFonts w:hint="eastAsia" w:ascii="Arial" w:hAnsi="Arial" w:eastAsia="楷体_GB2312"/>
          <w:sz w:val="28"/>
        </w:rPr>
        <w:t xml:space="preserve">                                               </w:t>
      </w:r>
    </w:p>
    <w:tbl>
      <w:tblPr>
        <w:tblStyle w:val="32"/>
        <w:tblW w:w="0" w:type="auto"/>
        <w:tblInd w:w="5920" w:type="dxa"/>
        <w:tblLayout w:type="autofit"/>
        <w:tblCellMar>
          <w:top w:w="0" w:type="dxa"/>
          <w:left w:w="108" w:type="dxa"/>
          <w:bottom w:w="0" w:type="dxa"/>
          <w:right w:w="108" w:type="dxa"/>
        </w:tblCellMar>
      </w:tblPr>
      <w:tblGrid>
        <w:gridCol w:w="3402"/>
      </w:tblGrid>
      <w:tr>
        <w:tc>
          <w:tcPr>
            <w:tcW w:w="3402" w:type="dxa"/>
          </w:tcPr>
          <w:p>
            <w:pPr>
              <w:spacing w:line="480" w:lineRule="auto"/>
              <w:rPr>
                <w:rFonts w:ascii="Arial" w:hAnsi="Arial" w:cs="Arial"/>
                <w:sz w:val="21"/>
                <w:szCs w:val="21"/>
              </w:rPr>
            </w:pPr>
            <w:r>
              <w:rPr>
                <w:rFonts w:ascii="Arial" w:hAnsi="Arial" w:cs="Arial"/>
                <w:sz w:val="21"/>
                <w:szCs w:val="21"/>
              </w:rPr>
              <w:t>北京康正宏基房地产评估有限公司</w:t>
            </w:r>
          </w:p>
        </w:tc>
      </w:tr>
      <w:tr>
        <w:tblPrEx>
          <w:tblCellMar>
            <w:top w:w="0" w:type="dxa"/>
            <w:left w:w="108" w:type="dxa"/>
            <w:bottom w:w="0" w:type="dxa"/>
            <w:right w:w="108" w:type="dxa"/>
          </w:tblCellMar>
        </w:tblPrEx>
        <w:trPr>
          <w:trHeight w:val="1431" w:hRule="atLeast"/>
        </w:trPr>
        <w:tc>
          <w:tcPr>
            <w:tcW w:w="3402" w:type="dxa"/>
          </w:tcPr>
          <w:p>
            <w:pPr>
              <w:spacing w:line="480" w:lineRule="auto"/>
              <w:rPr>
                <w:rFonts w:ascii="Arial" w:hAnsi="Arial" w:cs="Arial"/>
                <w:sz w:val="21"/>
                <w:szCs w:val="21"/>
              </w:rPr>
            </w:pPr>
            <w:r>
              <w:rPr>
                <w:rFonts w:ascii="Arial" w:hAnsi="Arial" w:cs="Arial"/>
                <w:sz w:val="21"/>
                <w:szCs w:val="21"/>
              </w:rPr>
              <w:t>法定代表人：</w:t>
            </w:r>
          </w:p>
        </w:tc>
      </w:tr>
      <w:tr>
        <w:tblPrEx>
          <w:tblCellMar>
            <w:top w:w="0" w:type="dxa"/>
            <w:left w:w="108" w:type="dxa"/>
            <w:bottom w:w="0" w:type="dxa"/>
            <w:right w:w="108" w:type="dxa"/>
          </w:tblCellMar>
        </w:tblPrEx>
        <w:tc>
          <w:tcPr>
            <w:tcW w:w="3402" w:type="dxa"/>
          </w:tcPr>
          <w:p>
            <w:pPr>
              <w:spacing w:line="480" w:lineRule="auto"/>
              <w:jc w:val="right"/>
              <w:rPr>
                <w:rFonts w:ascii="Arial" w:hAnsi="Arial" w:cs="Arial"/>
                <w:sz w:val="21"/>
                <w:szCs w:val="21"/>
              </w:rPr>
            </w:pPr>
            <w:r>
              <w:rPr>
                <w:rFonts w:ascii="Arial" w:hAnsi="Arial" w:cs="Arial"/>
                <w:sz w:val="21"/>
                <w:szCs w:val="21"/>
              </w:rPr>
              <w:t>二</w:t>
            </w:r>
            <w:r>
              <w:rPr>
                <w:rFonts w:hint="eastAsia" w:ascii="Arial" w:hAnsi="Arial" w:cs="Arial"/>
                <w:sz w:val="21"/>
                <w:szCs w:val="21"/>
              </w:rPr>
              <w:t>○二一</w:t>
            </w:r>
            <w:r>
              <w:rPr>
                <w:rFonts w:ascii="Arial" w:hAnsi="Arial" w:cs="Arial"/>
                <w:sz w:val="21"/>
                <w:szCs w:val="21"/>
              </w:rPr>
              <w:t>年</w:t>
            </w:r>
            <w:r>
              <w:rPr>
                <w:rFonts w:hint="eastAsia" w:ascii="Arial" w:hAnsi="Arial" w:cs="Arial"/>
                <w:sz w:val="21"/>
                <w:szCs w:val="21"/>
              </w:rPr>
              <w:t>十一月五日</w:t>
            </w:r>
          </w:p>
        </w:tc>
      </w:tr>
    </w:tbl>
    <w:p>
      <w:pPr>
        <w:spacing w:line="360" w:lineRule="auto"/>
        <w:jc w:val="right"/>
        <w:rPr>
          <w:rFonts w:ascii="Arial" w:hAnsi="Arial"/>
          <w:color w:val="E36C0A"/>
        </w:rPr>
      </w:pPr>
      <w:r>
        <w:rPr>
          <w:rFonts w:hint="eastAsia" w:ascii="Arial" w:hAnsi="Arial" w:eastAsia="楷体_GB2312"/>
          <w:sz w:val="28"/>
        </w:rPr>
        <w:t xml:space="preserve"> </w:t>
      </w:r>
    </w:p>
    <w:p>
      <w:pPr>
        <w:rPr>
          <w:rFonts w:ascii="Arial" w:hAnsi="Arial"/>
          <w:color w:val="E36C0A"/>
        </w:rPr>
        <w:sectPr>
          <w:headerReference r:id="rId11" w:type="default"/>
          <w:pgSz w:w="11907" w:h="16840"/>
          <w:pgMar w:top="1843" w:right="1134" w:bottom="1191" w:left="1134" w:header="1134" w:footer="1134" w:gutter="340"/>
          <w:pgNumType w:start="1"/>
          <w:cols w:space="720" w:num="1"/>
          <w:docGrid w:linePitch="326" w:charSpace="0"/>
        </w:sectPr>
      </w:pPr>
    </w:p>
    <w:p>
      <w:pPr>
        <w:spacing w:line="480" w:lineRule="auto"/>
        <w:jc w:val="center"/>
        <w:outlineLvl w:val="0"/>
        <w:rPr>
          <w:rFonts w:ascii="Arial" w:hAnsi="Arial" w:eastAsia="方正黑体简体"/>
          <w:sz w:val="32"/>
          <w:szCs w:val="32"/>
        </w:rPr>
      </w:pPr>
      <w:r>
        <w:rPr>
          <w:rFonts w:hint="eastAsia" w:ascii="Arial" w:hAnsi="Arial" w:eastAsia="方正黑体简体"/>
          <w:sz w:val="32"/>
          <w:szCs w:val="32"/>
        </w:rPr>
        <w:t>目   录</w:t>
      </w:r>
    </w:p>
    <w:p>
      <w:pPr>
        <w:pStyle w:val="22"/>
        <w:rPr>
          <w:rFonts w:ascii="Arial" w:hAnsi="Arial" w:eastAsia="宋体" w:cs="Arial"/>
          <w:b w:val="0"/>
          <w:bCs w:val="0"/>
          <w:kern w:val="2"/>
          <w:sz w:val="21"/>
          <w:szCs w:val="21"/>
        </w:rPr>
      </w:pPr>
      <w:r>
        <w:rPr>
          <w:rFonts w:ascii="Arial" w:hAnsi="Arial" w:eastAsia="宋体" w:cs="Arial"/>
          <w:sz w:val="21"/>
          <w:szCs w:val="21"/>
        </w:rPr>
        <w:fldChar w:fldCharType="begin"/>
      </w:r>
      <w:r>
        <w:rPr>
          <w:rFonts w:ascii="Arial" w:hAnsi="Arial" w:eastAsia="宋体" w:cs="Arial"/>
          <w:sz w:val="21"/>
          <w:szCs w:val="21"/>
        </w:rPr>
        <w:instrText xml:space="preserve"> TOC \o "1-3" \h \z </w:instrText>
      </w:r>
      <w:r>
        <w:rPr>
          <w:rFonts w:ascii="Arial" w:hAnsi="Arial" w:eastAsia="宋体" w:cs="Arial"/>
          <w:sz w:val="21"/>
          <w:szCs w:val="21"/>
        </w:rPr>
        <w:fldChar w:fldCharType="separate"/>
      </w:r>
      <w:r>
        <w:fldChar w:fldCharType="begin"/>
      </w:r>
      <w:r>
        <w:instrText xml:space="preserve"> HYPERLINK \l "_Toc500322960" </w:instrText>
      </w:r>
      <w:r>
        <w:fldChar w:fldCharType="separate"/>
      </w:r>
      <w:r>
        <w:rPr>
          <w:rStyle w:val="38"/>
          <w:rFonts w:ascii="Arial" w:hAnsi="Arial" w:eastAsia="宋体" w:cs="Arial"/>
          <w:sz w:val="21"/>
          <w:szCs w:val="21"/>
        </w:rPr>
        <w:t>估价师声明</w:t>
      </w:r>
      <w:r>
        <w:rPr>
          <w:rFonts w:ascii="Arial" w:hAnsi="Arial" w:eastAsia="宋体" w:cs="Arial"/>
          <w:sz w:val="21"/>
          <w:szCs w:val="21"/>
        </w:rPr>
        <w:tab/>
      </w:r>
      <w:r>
        <w:rPr>
          <w:rFonts w:ascii="Arial" w:hAnsi="Arial" w:eastAsia="宋体" w:cs="Arial"/>
          <w:sz w:val="21"/>
          <w:szCs w:val="21"/>
        </w:rPr>
        <w:fldChar w:fldCharType="begin"/>
      </w:r>
      <w:r>
        <w:rPr>
          <w:rFonts w:ascii="Arial" w:hAnsi="Arial" w:eastAsia="宋体" w:cs="Arial"/>
          <w:sz w:val="21"/>
          <w:szCs w:val="21"/>
        </w:rPr>
        <w:instrText xml:space="preserve"> PAGEREF _Toc500322960 \h </w:instrText>
      </w:r>
      <w:r>
        <w:rPr>
          <w:rFonts w:ascii="Arial" w:hAnsi="Arial" w:eastAsia="宋体" w:cs="Arial"/>
          <w:sz w:val="21"/>
          <w:szCs w:val="21"/>
        </w:rPr>
        <w:fldChar w:fldCharType="separate"/>
      </w:r>
      <w:r>
        <w:rPr>
          <w:rFonts w:ascii="Arial" w:hAnsi="Arial" w:eastAsia="宋体" w:cs="Arial"/>
          <w:sz w:val="21"/>
          <w:szCs w:val="21"/>
        </w:rPr>
        <w:t>4</w:t>
      </w:r>
      <w:r>
        <w:rPr>
          <w:rFonts w:ascii="Arial" w:hAnsi="Arial" w:eastAsia="宋体" w:cs="Arial"/>
          <w:sz w:val="21"/>
          <w:szCs w:val="21"/>
        </w:rPr>
        <w:fldChar w:fldCharType="end"/>
      </w:r>
      <w:r>
        <w:rPr>
          <w:rFonts w:ascii="Arial" w:hAnsi="Arial" w:eastAsia="宋体" w:cs="Arial"/>
          <w:sz w:val="21"/>
          <w:szCs w:val="21"/>
        </w:rPr>
        <w:fldChar w:fldCharType="end"/>
      </w:r>
    </w:p>
    <w:p>
      <w:pPr>
        <w:pStyle w:val="22"/>
        <w:rPr>
          <w:rFonts w:ascii="Arial" w:hAnsi="Arial" w:eastAsia="宋体" w:cs="Arial"/>
          <w:b w:val="0"/>
          <w:bCs w:val="0"/>
          <w:kern w:val="2"/>
          <w:sz w:val="21"/>
          <w:szCs w:val="21"/>
        </w:rPr>
      </w:pPr>
      <w:r>
        <w:fldChar w:fldCharType="begin"/>
      </w:r>
      <w:r>
        <w:instrText xml:space="preserve"> HYPERLINK \l "_Toc500322961" </w:instrText>
      </w:r>
      <w:r>
        <w:fldChar w:fldCharType="separate"/>
      </w:r>
      <w:r>
        <w:rPr>
          <w:rStyle w:val="38"/>
          <w:rFonts w:ascii="Arial" w:hAnsi="Arial" w:eastAsia="宋体" w:cs="Arial"/>
          <w:sz w:val="21"/>
          <w:szCs w:val="21"/>
        </w:rPr>
        <w:t>估价假设和限制条件</w:t>
      </w:r>
      <w:r>
        <w:rPr>
          <w:rFonts w:ascii="Arial" w:hAnsi="Arial" w:eastAsia="宋体" w:cs="Arial"/>
          <w:sz w:val="21"/>
          <w:szCs w:val="21"/>
        </w:rPr>
        <w:tab/>
      </w:r>
      <w:r>
        <w:rPr>
          <w:rFonts w:ascii="Arial" w:hAnsi="Arial" w:eastAsia="宋体" w:cs="Arial"/>
          <w:sz w:val="21"/>
          <w:szCs w:val="21"/>
        </w:rPr>
        <w:fldChar w:fldCharType="begin"/>
      </w:r>
      <w:r>
        <w:rPr>
          <w:rFonts w:ascii="Arial" w:hAnsi="Arial" w:eastAsia="宋体" w:cs="Arial"/>
          <w:sz w:val="21"/>
          <w:szCs w:val="21"/>
        </w:rPr>
        <w:instrText xml:space="preserve"> PAGEREF _Toc500322961 \h </w:instrText>
      </w:r>
      <w:r>
        <w:rPr>
          <w:rFonts w:ascii="Arial" w:hAnsi="Arial" w:eastAsia="宋体" w:cs="Arial"/>
          <w:sz w:val="21"/>
          <w:szCs w:val="21"/>
        </w:rPr>
        <w:fldChar w:fldCharType="separate"/>
      </w:r>
      <w:r>
        <w:rPr>
          <w:rFonts w:ascii="Arial" w:hAnsi="Arial" w:eastAsia="宋体" w:cs="Arial"/>
          <w:sz w:val="21"/>
          <w:szCs w:val="21"/>
        </w:rPr>
        <w:t>5</w:t>
      </w:r>
      <w:r>
        <w:rPr>
          <w:rFonts w:ascii="Arial" w:hAnsi="Arial" w:eastAsia="宋体" w:cs="Arial"/>
          <w:sz w:val="21"/>
          <w:szCs w:val="21"/>
        </w:rPr>
        <w:fldChar w:fldCharType="end"/>
      </w:r>
      <w:r>
        <w:rPr>
          <w:rFonts w:ascii="Arial" w:hAnsi="Arial" w:eastAsia="宋体" w:cs="Arial"/>
          <w:sz w:val="21"/>
          <w:szCs w:val="21"/>
        </w:rPr>
        <w:fldChar w:fldCharType="end"/>
      </w:r>
    </w:p>
    <w:p>
      <w:pPr>
        <w:pStyle w:val="22"/>
        <w:rPr>
          <w:rFonts w:ascii="Arial" w:hAnsi="Arial" w:eastAsia="宋体" w:cs="Arial"/>
          <w:b w:val="0"/>
          <w:bCs w:val="0"/>
          <w:kern w:val="2"/>
          <w:sz w:val="21"/>
          <w:szCs w:val="21"/>
        </w:rPr>
      </w:pPr>
      <w:r>
        <w:fldChar w:fldCharType="begin"/>
      </w:r>
      <w:r>
        <w:instrText xml:space="preserve"> HYPERLINK \l "_Toc500322962" </w:instrText>
      </w:r>
      <w:r>
        <w:fldChar w:fldCharType="separate"/>
      </w:r>
      <w:r>
        <w:rPr>
          <w:rStyle w:val="38"/>
          <w:rFonts w:ascii="Arial" w:hAnsi="Arial" w:eastAsia="宋体" w:cs="Arial"/>
          <w:sz w:val="21"/>
          <w:szCs w:val="21"/>
        </w:rPr>
        <w:t>估价结果报告</w:t>
      </w:r>
      <w:r>
        <w:rPr>
          <w:rFonts w:ascii="Arial" w:hAnsi="Arial" w:eastAsia="宋体" w:cs="Arial"/>
          <w:sz w:val="21"/>
          <w:szCs w:val="21"/>
        </w:rPr>
        <w:tab/>
      </w:r>
      <w:r>
        <w:rPr>
          <w:rFonts w:ascii="Arial" w:hAnsi="Arial" w:eastAsia="宋体" w:cs="Arial"/>
          <w:sz w:val="21"/>
          <w:szCs w:val="21"/>
        </w:rPr>
        <w:fldChar w:fldCharType="begin"/>
      </w:r>
      <w:r>
        <w:rPr>
          <w:rFonts w:ascii="Arial" w:hAnsi="Arial" w:eastAsia="宋体" w:cs="Arial"/>
          <w:sz w:val="21"/>
          <w:szCs w:val="21"/>
        </w:rPr>
        <w:instrText xml:space="preserve"> PAGEREF _Toc500322962 \h </w:instrText>
      </w:r>
      <w:r>
        <w:rPr>
          <w:rFonts w:ascii="Arial" w:hAnsi="Arial" w:eastAsia="宋体" w:cs="Arial"/>
          <w:sz w:val="21"/>
          <w:szCs w:val="21"/>
        </w:rPr>
        <w:fldChar w:fldCharType="separate"/>
      </w:r>
      <w:r>
        <w:rPr>
          <w:rFonts w:ascii="Arial" w:hAnsi="Arial" w:eastAsia="宋体" w:cs="Arial"/>
          <w:sz w:val="21"/>
          <w:szCs w:val="21"/>
        </w:rPr>
        <w:t>9</w:t>
      </w:r>
      <w:r>
        <w:rPr>
          <w:rFonts w:ascii="Arial" w:hAnsi="Arial" w:eastAsia="宋体" w:cs="Arial"/>
          <w:sz w:val="21"/>
          <w:szCs w:val="21"/>
        </w:rPr>
        <w:fldChar w:fldCharType="end"/>
      </w:r>
      <w:r>
        <w:rPr>
          <w:rFonts w:ascii="Arial" w:hAnsi="Arial" w:eastAsia="宋体" w:cs="Arial"/>
          <w:sz w:val="21"/>
          <w:szCs w:val="21"/>
        </w:rPr>
        <w:fldChar w:fldCharType="end"/>
      </w:r>
    </w:p>
    <w:p>
      <w:pPr>
        <w:pStyle w:val="26"/>
        <w:rPr>
          <w:rFonts w:ascii="Arial" w:hAnsi="Arial" w:cs="Arial"/>
          <w:kern w:val="2"/>
          <w:sz w:val="21"/>
          <w:szCs w:val="21"/>
        </w:rPr>
      </w:pPr>
      <w:r>
        <w:fldChar w:fldCharType="begin"/>
      </w:r>
      <w:r>
        <w:instrText xml:space="preserve"> HYPERLINK \l "_Toc500322963" </w:instrText>
      </w:r>
      <w:r>
        <w:fldChar w:fldCharType="separate"/>
      </w:r>
      <w:r>
        <w:rPr>
          <w:rStyle w:val="38"/>
          <w:rFonts w:ascii="Arial" w:hAnsi="Arial" w:cs="Arial"/>
          <w:sz w:val="21"/>
          <w:szCs w:val="21"/>
        </w:rPr>
        <w:t>一、估价委托人</w:t>
      </w:r>
      <w:r>
        <w:rPr>
          <w:rFonts w:ascii="Arial" w:hAnsi="Arial" w:cs="Arial"/>
          <w:sz w:val="21"/>
          <w:szCs w:val="21"/>
        </w:rPr>
        <w:tab/>
      </w:r>
      <w:r>
        <w:rPr>
          <w:rFonts w:ascii="Arial" w:hAnsi="Arial" w:cs="Arial"/>
          <w:sz w:val="21"/>
          <w:szCs w:val="21"/>
        </w:rPr>
        <w:fldChar w:fldCharType="begin"/>
      </w:r>
      <w:r>
        <w:rPr>
          <w:rFonts w:ascii="Arial" w:hAnsi="Arial" w:cs="Arial"/>
          <w:sz w:val="21"/>
          <w:szCs w:val="21"/>
        </w:rPr>
        <w:instrText xml:space="preserve"> PAGEREF _Toc500322963 \h </w:instrText>
      </w:r>
      <w:r>
        <w:rPr>
          <w:rFonts w:ascii="Arial" w:hAnsi="Arial" w:cs="Arial"/>
          <w:sz w:val="21"/>
          <w:szCs w:val="21"/>
        </w:rPr>
        <w:fldChar w:fldCharType="separate"/>
      </w:r>
      <w:r>
        <w:rPr>
          <w:rFonts w:ascii="Arial" w:hAnsi="Arial" w:cs="Arial"/>
          <w:sz w:val="21"/>
          <w:szCs w:val="21"/>
        </w:rPr>
        <w:t>9</w:t>
      </w:r>
      <w:r>
        <w:rPr>
          <w:rFonts w:ascii="Arial" w:hAnsi="Arial" w:cs="Arial"/>
          <w:sz w:val="21"/>
          <w:szCs w:val="21"/>
        </w:rPr>
        <w:fldChar w:fldCharType="end"/>
      </w:r>
      <w:r>
        <w:rPr>
          <w:rFonts w:ascii="Arial" w:hAnsi="Arial" w:cs="Arial"/>
          <w:sz w:val="21"/>
          <w:szCs w:val="21"/>
        </w:rPr>
        <w:fldChar w:fldCharType="end"/>
      </w:r>
    </w:p>
    <w:p>
      <w:pPr>
        <w:pStyle w:val="26"/>
        <w:rPr>
          <w:rFonts w:ascii="Arial" w:hAnsi="Arial" w:cs="Arial"/>
          <w:kern w:val="2"/>
          <w:sz w:val="21"/>
          <w:szCs w:val="21"/>
        </w:rPr>
      </w:pPr>
      <w:r>
        <w:fldChar w:fldCharType="begin"/>
      </w:r>
      <w:r>
        <w:instrText xml:space="preserve"> HYPERLINK \l "_Toc500322964" </w:instrText>
      </w:r>
      <w:r>
        <w:fldChar w:fldCharType="separate"/>
      </w:r>
      <w:r>
        <w:rPr>
          <w:rStyle w:val="38"/>
          <w:rFonts w:ascii="Arial" w:hAnsi="Arial" w:cs="Arial"/>
          <w:sz w:val="21"/>
          <w:szCs w:val="21"/>
        </w:rPr>
        <w:t>二、房地产估价机构</w:t>
      </w:r>
      <w:r>
        <w:rPr>
          <w:rFonts w:ascii="Arial" w:hAnsi="Arial" w:cs="Arial"/>
          <w:sz w:val="21"/>
          <w:szCs w:val="21"/>
        </w:rPr>
        <w:tab/>
      </w:r>
      <w:r>
        <w:rPr>
          <w:rFonts w:ascii="Arial" w:hAnsi="Arial" w:cs="Arial"/>
          <w:sz w:val="21"/>
          <w:szCs w:val="21"/>
        </w:rPr>
        <w:fldChar w:fldCharType="begin"/>
      </w:r>
      <w:r>
        <w:rPr>
          <w:rFonts w:ascii="Arial" w:hAnsi="Arial" w:cs="Arial"/>
          <w:sz w:val="21"/>
          <w:szCs w:val="21"/>
        </w:rPr>
        <w:instrText xml:space="preserve"> PAGEREF _Toc500322964 \h </w:instrText>
      </w:r>
      <w:r>
        <w:rPr>
          <w:rFonts w:ascii="Arial" w:hAnsi="Arial" w:cs="Arial"/>
          <w:sz w:val="21"/>
          <w:szCs w:val="21"/>
        </w:rPr>
        <w:fldChar w:fldCharType="separate"/>
      </w:r>
      <w:r>
        <w:rPr>
          <w:rFonts w:ascii="Arial" w:hAnsi="Arial" w:cs="Arial"/>
          <w:sz w:val="21"/>
          <w:szCs w:val="21"/>
        </w:rPr>
        <w:t>9</w:t>
      </w:r>
      <w:r>
        <w:rPr>
          <w:rFonts w:ascii="Arial" w:hAnsi="Arial" w:cs="Arial"/>
          <w:sz w:val="21"/>
          <w:szCs w:val="21"/>
        </w:rPr>
        <w:fldChar w:fldCharType="end"/>
      </w:r>
      <w:r>
        <w:rPr>
          <w:rFonts w:ascii="Arial" w:hAnsi="Arial" w:cs="Arial"/>
          <w:sz w:val="21"/>
          <w:szCs w:val="21"/>
        </w:rPr>
        <w:fldChar w:fldCharType="end"/>
      </w:r>
    </w:p>
    <w:p>
      <w:pPr>
        <w:pStyle w:val="26"/>
        <w:rPr>
          <w:rFonts w:ascii="Arial" w:hAnsi="Arial" w:cs="Arial"/>
          <w:kern w:val="2"/>
          <w:sz w:val="21"/>
          <w:szCs w:val="21"/>
        </w:rPr>
      </w:pPr>
      <w:r>
        <w:fldChar w:fldCharType="begin"/>
      </w:r>
      <w:r>
        <w:instrText xml:space="preserve"> HYPERLINK \l "_Toc500322965" </w:instrText>
      </w:r>
      <w:r>
        <w:fldChar w:fldCharType="separate"/>
      </w:r>
      <w:r>
        <w:rPr>
          <w:rStyle w:val="38"/>
          <w:rFonts w:ascii="Arial" w:hAnsi="Arial" w:cs="Arial"/>
          <w:sz w:val="21"/>
          <w:szCs w:val="21"/>
        </w:rPr>
        <w:t>三、估价目的</w:t>
      </w:r>
      <w:r>
        <w:rPr>
          <w:rFonts w:ascii="Arial" w:hAnsi="Arial" w:cs="Arial"/>
          <w:sz w:val="21"/>
          <w:szCs w:val="21"/>
        </w:rPr>
        <w:tab/>
      </w:r>
      <w:r>
        <w:rPr>
          <w:rFonts w:ascii="Arial" w:hAnsi="Arial" w:cs="Arial"/>
          <w:sz w:val="21"/>
          <w:szCs w:val="21"/>
        </w:rPr>
        <w:fldChar w:fldCharType="begin"/>
      </w:r>
      <w:r>
        <w:rPr>
          <w:rFonts w:ascii="Arial" w:hAnsi="Arial" w:cs="Arial"/>
          <w:sz w:val="21"/>
          <w:szCs w:val="21"/>
        </w:rPr>
        <w:instrText xml:space="preserve"> PAGEREF _Toc500322965 \h </w:instrText>
      </w:r>
      <w:r>
        <w:rPr>
          <w:rFonts w:ascii="Arial" w:hAnsi="Arial" w:cs="Arial"/>
          <w:sz w:val="21"/>
          <w:szCs w:val="21"/>
        </w:rPr>
        <w:fldChar w:fldCharType="separate"/>
      </w:r>
      <w:r>
        <w:rPr>
          <w:rFonts w:ascii="Arial" w:hAnsi="Arial" w:cs="Arial"/>
          <w:sz w:val="21"/>
          <w:szCs w:val="21"/>
        </w:rPr>
        <w:t>9</w:t>
      </w:r>
      <w:r>
        <w:rPr>
          <w:rFonts w:ascii="Arial" w:hAnsi="Arial" w:cs="Arial"/>
          <w:sz w:val="21"/>
          <w:szCs w:val="21"/>
        </w:rPr>
        <w:fldChar w:fldCharType="end"/>
      </w:r>
      <w:r>
        <w:rPr>
          <w:rFonts w:ascii="Arial" w:hAnsi="Arial" w:cs="Arial"/>
          <w:sz w:val="21"/>
          <w:szCs w:val="21"/>
        </w:rPr>
        <w:fldChar w:fldCharType="end"/>
      </w:r>
      <w:bookmarkStart w:id="33" w:name="_GoBack"/>
      <w:bookmarkEnd w:id="33"/>
    </w:p>
    <w:p>
      <w:pPr>
        <w:pStyle w:val="26"/>
        <w:rPr>
          <w:rFonts w:ascii="Arial" w:hAnsi="Arial" w:cs="Arial"/>
          <w:kern w:val="2"/>
          <w:sz w:val="21"/>
          <w:szCs w:val="21"/>
        </w:rPr>
      </w:pPr>
      <w:r>
        <w:fldChar w:fldCharType="begin"/>
      </w:r>
      <w:r>
        <w:instrText xml:space="preserve"> HYPERLINK \l "_Toc500322966" </w:instrText>
      </w:r>
      <w:r>
        <w:fldChar w:fldCharType="separate"/>
      </w:r>
      <w:r>
        <w:rPr>
          <w:rStyle w:val="38"/>
          <w:rFonts w:ascii="Arial" w:hAnsi="Arial" w:cs="Arial"/>
          <w:sz w:val="21"/>
          <w:szCs w:val="21"/>
        </w:rPr>
        <w:t>四、估价对象</w:t>
      </w:r>
      <w:r>
        <w:rPr>
          <w:rFonts w:ascii="Arial" w:hAnsi="Arial" w:cs="Arial"/>
          <w:sz w:val="21"/>
          <w:szCs w:val="21"/>
        </w:rPr>
        <w:tab/>
      </w:r>
      <w:r>
        <w:rPr>
          <w:rFonts w:ascii="Arial" w:hAnsi="Arial" w:cs="Arial"/>
          <w:sz w:val="21"/>
          <w:szCs w:val="21"/>
        </w:rPr>
        <w:fldChar w:fldCharType="begin"/>
      </w:r>
      <w:r>
        <w:rPr>
          <w:rFonts w:ascii="Arial" w:hAnsi="Arial" w:cs="Arial"/>
          <w:sz w:val="21"/>
          <w:szCs w:val="21"/>
        </w:rPr>
        <w:instrText xml:space="preserve"> PAGEREF _Toc500322966 \h </w:instrText>
      </w:r>
      <w:r>
        <w:rPr>
          <w:rFonts w:ascii="Arial" w:hAnsi="Arial" w:cs="Arial"/>
          <w:sz w:val="21"/>
          <w:szCs w:val="21"/>
        </w:rPr>
        <w:fldChar w:fldCharType="separate"/>
      </w:r>
      <w:r>
        <w:rPr>
          <w:rFonts w:ascii="Arial" w:hAnsi="Arial" w:cs="Arial"/>
          <w:sz w:val="21"/>
          <w:szCs w:val="21"/>
        </w:rPr>
        <w:t>9</w:t>
      </w:r>
      <w:r>
        <w:rPr>
          <w:rFonts w:ascii="Arial" w:hAnsi="Arial" w:cs="Arial"/>
          <w:sz w:val="21"/>
          <w:szCs w:val="21"/>
        </w:rPr>
        <w:fldChar w:fldCharType="end"/>
      </w:r>
      <w:r>
        <w:rPr>
          <w:rFonts w:ascii="Arial" w:hAnsi="Arial" w:cs="Arial"/>
          <w:sz w:val="21"/>
          <w:szCs w:val="21"/>
        </w:rPr>
        <w:fldChar w:fldCharType="end"/>
      </w:r>
    </w:p>
    <w:p>
      <w:pPr>
        <w:pStyle w:val="26"/>
        <w:rPr>
          <w:rFonts w:ascii="Arial" w:hAnsi="Arial" w:cs="Arial"/>
          <w:kern w:val="2"/>
          <w:sz w:val="21"/>
          <w:szCs w:val="21"/>
        </w:rPr>
      </w:pPr>
      <w:r>
        <w:fldChar w:fldCharType="begin"/>
      </w:r>
      <w:r>
        <w:instrText xml:space="preserve"> HYPERLINK \l "_Toc500322967" </w:instrText>
      </w:r>
      <w:r>
        <w:fldChar w:fldCharType="separate"/>
      </w:r>
      <w:r>
        <w:rPr>
          <w:rStyle w:val="38"/>
          <w:rFonts w:ascii="Arial" w:hAnsi="Arial" w:cs="Arial"/>
          <w:sz w:val="21"/>
          <w:szCs w:val="21"/>
        </w:rPr>
        <w:t>五、影响房地产价格因素分析</w:t>
      </w:r>
      <w:r>
        <w:rPr>
          <w:rFonts w:ascii="Arial" w:hAnsi="Arial" w:cs="Arial"/>
          <w:sz w:val="21"/>
          <w:szCs w:val="21"/>
        </w:rPr>
        <w:tab/>
      </w:r>
      <w:r>
        <w:rPr>
          <w:rFonts w:ascii="Arial" w:hAnsi="Arial" w:cs="Arial"/>
          <w:sz w:val="21"/>
          <w:szCs w:val="21"/>
        </w:rPr>
        <w:fldChar w:fldCharType="begin"/>
      </w:r>
      <w:r>
        <w:rPr>
          <w:rFonts w:ascii="Arial" w:hAnsi="Arial" w:cs="Arial"/>
          <w:sz w:val="21"/>
          <w:szCs w:val="21"/>
        </w:rPr>
        <w:instrText xml:space="preserve"> PAGEREF _Toc500322967 \h </w:instrText>
      </w:r>
      <w:r>
        <w:rPr>
          <w:rFonts w:ascii="Arial" w:hAnsi="Arial" w:cs="Arial"/>
          <w:sz w:val="21"/>
          <w:szCs w:val="21"/>
        </w:rPr>
        <w:fldChar w:fldCharType="separate"/>
      </w:r>
      <w:r>
        <w:rPr>
          <w:rFonts w:ascii="Arial" w:hAnsi="Arial" w:cs="Arial"/>
          <w:sz w:val="21"/>
          <w:szCs w:val="21"/>
        </w:rPr>
        <w:t>13</w:t>
      </w:r>
      <w:r>
        <w:rPr>
          <w:rFonts w:ascii="Arial" w:hAnsi="Arial" w:cs="Arial"/>
          <w:sz w:val="21"/>
          <w:szCs w:val="21"/>
        </w:rPr>
        <w:fldChar w:fldCharType="end"/>
      </w:r>
      <w:r>
        <w:rPr>
          <w:rFonts w:ascii="Arial" w:hAnsi="Arial" w:cs="Arial"/>
          <w:sz w:val="21"/>
          <w:szCs w:val="21"/>
        </w:rPr>
        <w:fldChar w:fldCharType="end"/>
      </w:r>
    </w:p>
    <w:p>
      <w:pPr>
        <w:pStyle w:val="26"/>
        <w:rPr>
          <w:rFonts w:ascii="Arial" w:hAnsi="Arial" w:cs="Arial"/>
          <w:kern w:val="2"/>
          <w:sz w:val="21"/>
          <w:szCs w:val="21"/>
        </w:rPr>
      </w:pPr>
      <w:r>
        <w:fldChar w:fldCharType="begin"/>
      </w:r>
      <w:r>
        <w:instrText xml:space="preserve"> HYPERLINK \l "_Toc500322968" </w:instrText>
      </w:r>
      <w:r>
        <w:fldChar w:fldCharType="separate"/>
      </w:r>
      <w:r>
        <w:rPr>
          <w:rStyle w:val="38"/>
          <w:rFonts w:ascii="Arial" w:hAnsi="Arial" w:cs="Arial"/>
          <w:sz w:val="21"/>
          <w:szCs w:val="21"/>
        </w:rPr>
        <w:t>六、价值时点</w:t>
      </w:r>
      <w:r>
        <w:rPr>
          <w:rFonts w:ascii="Arial" w:hAnsi="Arial" w:cs="Arial"/>
          <w:sz w:val="21"/>
          <w:szCs w:val="21"/>
        </w:rPr>
        <w:tab/>
      </w:r>
      <w:r>
        <w:rPr>
          <w:rFonts w:ascii="Arial" w:hAnsi="Arial" w:cs="Arial"/>
          <w:sz w:val="21"/>
          <w:szCs w:val="21"/>
        </w:rPr>
        <w:fldChar w:fldCharType="begin"/>
      </w:r>
      <w:r>
        <w:rPr>
          <w:rFonts w:ascii="Arial" w:hAnsi="Arial" w:cs="Arial"/>
          <w:sz w:val="21"/>
          <w:szCs w:val="21"/>
        </w:rPr>
        <w:instrText xml:space="preserve"> PAGEREF _Toc500322968 \h </w:instrText>
      </w:r>
      <w:r>
        <w:rPr>
          <w:rFonts w:ascii="Arial" w:hAnsi="Arial" w:cs="Arial"/>
          <w:sz w:val="21"/>
          <w:szCs w:val="21"/>
        </w:rPr>
        <w:fldChar w:fldCharType="separate"/>
      </w:r>
      <w:r>
        <w:rPr>
          <w:rFonts w:ascii="Arial" w:hAnsi="Arial" w:cs="Arial"/>
          <w:sz w:val="21"/>
          <w:szCs w:val="21"/>
        </w:rPr>
        <w:t>24</w:t>
      </w:r>
      <w:r>
        <w:rPr>
          <w:rFonts w:ascii="Arial" w:hAnsi="Arial" w:cs="Arial"/>
          <w:sz w:val="21"/>
          <w:szCs w:val="21"/>
        </w:rPr>
        <w:fldChar w:fldCharType="end"/>
      </w:r>
      <w:r>
        <w:rPr>
          <w:rFonts w:ascii="Arial" w:hAnsi="Arial" w:cs="Arial"/>
          <w:sz w:val="21"/>
          <w:szCs w:val="21"/>
        </w:rPr>
        <w:fldChar w:fldCharType="end"/>
      </w:r>
    </w:p>
    <w:p>
      <w:pPr>
        <w:pStyle w:val="26"/>
        <w:rPr>
          <w:rFonts w:ascii="Arial" w:hAnsi="Arial" w:cs="Arial"/>
          <w:kern w:val="2"/>
          <w:sz w:val="21"/>
          <w:szCs w:val="21"/>
        </w:rPr>
      </w:pPr>
      <w:r>
        <w:fldChar w:fldCharType="begin"/>
      </w:r>
      <w:r>
        <w:instrText xml:space="preserve"> HYPERLINK \l "_Toc500322969" </w:instrText>
      </w:r>
      <w:r>
        <w:fldChar w:fldCharType="separate"/>
      </w:r>
      <w:r>
        <w:rPr>
          <w:rStyle w:val="38"/>
          <w:rFonts w:ascii="Arial" w:hAnsi="Arial" w:cs="Arial"/>
          <w:sz w:val="21"/>
          <w:szCs w:val="21"/>
        </w:rPr>
        <w:t>七、价值类型</w:t>
      </w:r>
      <w:r>
        <w:rPr>
          <w:rFonts w:ascii="Arial" w:hAnsi="Arial" w:cs="Arial"/>
          <w:sz w:val="21"/>
          <w:szCs w:val="21"/>
        </w:rPr>
        <w:tab/>
      </w:r>
      <w:r>
        <w:rPr>
          <w:rFonts w:ascii="Arial" w:hAnsi="Arial" w:cs="Arial"/>
          <w:sz w:val="21"/>
          <w:szCs w:val="21"/>
        </w:rPr>
        <w:fldChar w:fldCharType="begin"/>
      </w:r>
      <w:r>
        <w:rPr>
          <w:rFonts w:ascii="Arial" w:hAnsi="Arial" w:cs="Arial"/>
          <w:sz w:val="21"/>
          <w:szCs w:val="21"/>
        </w:rPr>
        <w:instrText xml:space="preserve"> PAGEREF _Toc500322969 \h </w:instrText>
      </w:r>
      <w:r>
        <w:rPr>
          <w:rFonts w:ascii="Arial" w:hAnsi="Arial" w:cs="Arial"/>
          <w:sz w:val="21"/>
          <w:szCs w:val="21"/>
        </w:rPr>
        <w:fldChar w:fldCharType="separate"/>
      </w:r>
      <w:r>
        <w:rPr>
          <w:rFonts w:ascii="Arial" w:hAnsi="Arial" w:cs="Arial"/>
          <w:sz w:val="21"/>
          <w:szCs w:val="21"/>
        </w:rPr>
        <w:t>25</w:t>
      </w:r>
      <w:r>
        <w:rPr>
          <w:rFonts w:ascii="Arial" w:hAnsi="Arial" w:cs="Arial"/>
          <w:sz w:val="21"/>
          <w:szCs w:val="21"/>
        </w:rPr>
        <w:fldChar w:fldCharType="end"/>
      </w:r>
      <w:r>
        <w:rPr>
          <w:rFonts w:ascii="Arial" w:hAnsi="Arial" w:cs="Arial"/>
          <w:sz w:val="21"/>
          <w:szCs w:val="21"/>
        </w:rPr>
        <w:fldChar w:fldCharType="end"/>
      </w:r>
    </w:p>
    <w:p>
      <w:pPr>
        <w:pStyle w:val="26"/>
        <w:rPr>
          <w:rFonts w:ascii="Arial" w:hAnsi="Arial" w:cs="Arial"/>
          <w:kern w:val="2"/>
          <w:sz w:val="21"/>
          <w:szCs w:val="21"/>
        </w:rPr>
      </w:pPr>
      <w:r>
        <w:fldChar w:fldCharType="begin"/>
      </w:r>
      <w:r>
        <w:instrText xml:space="preserve"> HYPERLINK \l "_Toc500322970" </w:instrText>
      </w:r>
      <w:r>
        <w:fldChar w:fldCharType="separate"/>
      </w:r>
      <w:r>
        <w:rPr>
          <w:rStyle w:val="38"/>
          <w:rFonts w:ascii="Arial" w:hAnsi="Arial" w:cs="Arial"/>
          <w:sz w:val="21"/>
          <w:szCs w:val="21"/>
        </w:rPr>
        <w:t>八、估价原则</w:t>
      </w:r>
      <w:r>
        <w:rPr>
          <w:rFonts w:ascii="Arial" w:hAnsi="Arial" w:cs="Arial"/>
          <w:sz w:val="21"/>
          <w:szCs w:val="21"/>
        </w:rPr>
        <w:tab/>
      </w:r>
      <w:r>
        <w:rPr>
          <w:rFonts w:ascii="Arial" w:hAnsi="Arial" w:cs="Arial"/>
          <w:sz w:val="21"/>
          <w:szCs w:val="21"/>
        </w:rPr>
        <w:fldChar w:fldCharType="begin"/>
      </w:r>
      <w:r>
        <w:rPr>
          <w:rFonts w:ascii="Arial" w:hAnsi="Arial" w:cs="Arial"/>
          <w:sz w:val="21"/>
          <w:szCs w:val="21"/>
        </w:rPr>
        <w:instrText xml:space="preserve"> PAGEREF _Toc500322970 \h </w:instrText>
      </w:r>
      <w:r>
        <w:rPr>
          <w:rFonts w:ascii="Arial" w:hAnsi="Arial" w:cs="Arial"/>
          <w:sz w:val="21"/>
          <w:szCs w:val="21"/>
        </w:rPr>
        <w:fldChar w:fldCharType="separate"/>
      </w:r>
      <w:r>
        <w:rPr>
          <w:rFonts w:ascii="Arial" w:hAnsi="Arial" w:cs="Arial"/>
          <w:sz w:val="21"/>
          <w:szCs w:val="21"/>
        </w:rPr>
        <w:t>25</w:t>
      </w:r>
      <w:r>
        <w:rPr>
          <w:rFonts w:ascii="Arial" w:hAnsi="Arial" w:cs="Arial"/>
          <w:sz w:val="21"/>
          <w:szCs w:val="21"/>
        </w:rPr>
        <w:fldChar w:fldCharType="end"/>
      </w:r>
      <w:r>
        <w:rPr>
          <w:rFonts w:ascii="Arial" w:hAnsi="Arial" w:cs="Arial"/>
          <w:sz w:val="21"/>
          <w:szCs w:val="21"/>
        </w:rPr>
        <w:fldChar w:fldCharType="end"/>
      </w:r>
    </w:p>
    <w:p>
      <w:pPr>
        <w:pStyle w:val="26"/>
        <w:rPr>
          <w:rFonts w:ascii="Arial" w:hAnsi="Arial" w:cs="Arial"/>
          <w:kern w:val="2"/>
          <w:sz w:val="21"/>
          <w:szCs w:val="21"/>
        </w:rPr>
      </w:pPr>
      <w:r>
        <w:fldChar w:fldCharType="begin"/>
      </w:r>
      <w:r>
        <w:instrText xml:space="preserve"> HYPERLINK \l "_Toc500322971" </w:instrText>
      </w:r>
      <w:r>
        <w:fldChar w:fldCharType="separate"/>
      </w:r>
      <w:r>
        <w:rPr>
          <w:rStyle w:val="38"/>
          <w:rFonts w:ascii="Arial" w:hAnsi="Arial" w:cs="Arial"/>
          <w:sz w:val="21"/>
          <w:szCs w:val="21"/>
        </w:rPr>
        <w:t>九、估价依据</w:t>
      </w:r>
      <w:r>
        <w:rPr>
          <w:rFonts w:ascii="Arial" w:hAnsi="Arial" w:cs="Arial"/>
          <w:sz w:val="21"/>
          <w:szCs w:val="21"/>
        </w:rPr>
        <w:tab/>
      </w:r>
      <w:r>
        <w:rPr>
          <w:rFonts w:ascii="Arial" w:hAnsi="Arial" w:cs="Arial"/>
          <w:sz w:val="21"/>
          <w:szCs w:val="21"/>
        </w:rPr>
        <w:fldChar w:fldCharType="begin"/>
      </w:r>
      <w:r>
        <w:rPr>
          <w:rFonts w:ascii="Arial" w:hAnsi="Arial" w:cs="Arial"/>
          <w:sz w:val="21"/>
          <w:szCs w:val="21"/>
        </w:rPr>
        <w:instrText xml:space="preserve"> PAGEREF _Toc500322971 \h </w:instrText>
      </w:r>
      <w:r>
        <w:rPr>
          <w:rFonts w:ascii="Arial" w:hAnsi="Arial" w:cs="Arial"/>
          <w:sz w:val="21"/>
          <w:szCs w:val="21"/>
        </w:rPr>
        <w:fldChar w:fldCharType="separate"/>
      </w:r>
      <w:r>
        <w:rPr>
          <w:rFonts w:ascii="Arial" w:hAnsi="Arial" w:cs="Arial"/>
          <w:sz w:val="21"/>
          <w:szCs w:val="21"/>
        </w:rPr>
        <w:t>26</w:t>
      </w:r>
      <w:r>
        <w:rPr>
          <w:rFonts w:ascii="Arial" w:hAnsi="Arial" w:cs="Arial"/>
          <w:sz w:val="21"/>
          <w:szCs w:val="21"/>
        </w:rPr>
        <w:fldChar w:fldCharType="end"/>
      </w:r>
      <w:r>
        <w:rPr>
          <w:rFonts w:ascii="Arial" w:hAnsi="Arial" w:cs="Arial"/>
          <w:sz w:val="21"/>
          <w:szCs w:val="21"/>
        </w:rPr>
        <w:fldChar w:fldCharType="end"/>
      </w:r>
    </w:p>
    <w:p>
      <w:pPr>
        <w:pStyle w:val="26"/>
        <w:rPr>
          <w:rFonts w:ascii="Arial" w:hAnsi="Arial" w:cs="Arial"/>
          <w:kern w:val="2"/>
          <w:sz w:val="21"/>
          <w:szCs w:val="21"/>
        </w:rPr>
      </w:pPr>
      <w:r>
        <w:fldChar w:fldCharType="begin"/>
      </w:r>
      <w:r>
        <w:instrText xml:space="preserve"> HYPERLINK \l "_Toc500322972" </w:instrText>
      </w:r>
      <w:r>
        <w:fldChar w:fldCharType="separate"/>
      </w:r>
      <w:r>
        <w:rPr>
          <w:rStyle w:val="38"/>
          <w:rFonts w:ascii="Arial" w:hAnsi="Arial" w:cs="Arial"/>
          <w:sz w:val="21"/>
          <w:szCs w:val="21"/>
        </w:rPr>
        <w:t>十、估价方法</w:t>
      </w:r>
      <w:r>
        <w:rPr>
          <w:rFonts w:ascii="Arial" w:hAnsi="Arial" w:cs="Arial"/>
          <w:sz w:val="21"/>
          <w:szCs w:val="21"/>
        </w:rPr>
        <w:tab/>
      </w:r>
      <w:r>
        <w:rPr>
          <w:rFonts w:ascii="Arial" w:hAnsi="Arial" w:cs="Arial"/>
          <w:sz w:val="21"/>
          <w:szCs w:val="21"/>
        </w:rPr>
        <w:fldChar w:fldCharType="begin"/>
      </w:r>
      <w:r>
        <w:rPr>
          <w:rFonts w:ascii="Arial" w:hAnsi="Arial" w:cs="Arial"/>
          <w:sz w:val="21"/>
          <w:szCs w:val="21"/>
        </w:rPr>
        <w:instrText xml:space="preserve"> PAGEREF _Toc500322972 \h </w:instrText>
      </w:r>
      <w:r>
        <w:rPr>
          <w:rFonts w:ascii="Arial" w:hAnsi="Arial" w:cs="Arial"/>
          <w:sz w:val="21"/>
          <w:szCs w:val="21"/>
        </w:rPr>
        <w:fldChar w:fldCharType="separate"/>
      </w:r>
      <w:r>
        <w:rPr>
          <w:rFonts w:ascii="Arial" w:hAnsi="Arial" w:cs="Arial"/>
          <w:sz w:val="21"/>
          <w:szCs w:val="21"/>
        </w:rPr>
        <w:t>28</w:t>
      </w:r>
      <w:r>
        <w:rPr>
          <w:rFonts w:ascii="Arial" w:hAnsi="Arial" w:cs="Arial"/>
          <w:sz w:val="21"/>
          <w:szCs w:val="21"/>
        </w:rPr>
        <w:fldChar w:fldCharType="end"/>
      </w:r>
      <w:r>
        <w:rPr>
          <w:rFonts w:ascii="Arial" w:hAnsi="Arial" w:cs="Arial"/>
          <w:sz w:val="21"/>
          <w:szCs w:val="21"/>
        </w:rPr>
        <w:fldChar w:fldCharType="end"/>
      </w:r>
    </w:p>
    <w:p>
      <w:pPr>
        <w:pStyle w:val="26"/>
        <w:rPr>
          <w:rFonts w:ascii="Arial" w:hAnsi="Arial" w:cs="Arial"/>
          <w:kern w:val="2"/>
          <w:sz w:val="21"/>
          <w:szCs w:val="21"/>
        </w:rPr>
      </w:pPr>
      <w:r>
        <w:fldChar w:fldCharType="begin"/>
      </w:r>
      <w:r>
        <w:instrText xml:space="preserve"> HYPERLINK \l "_Toc500322973" </w:instrText>
      </w:r>
      <w:r>
        <w:fldChar w:fldCharType="separate"/>
      </w:r>
      <w:r>
        <w:rPr>
          <w:rStyle w:val="38"/>
          <w:rFonts w:ascii="Arial" w:hAnsi="Arial" w:cs="Arial"/>
          <w:sz w:val="21"/>
          <w:szCs w:val="21"/>
        </w:rPr>
        <w:t>十一、估价结果</w:t>
      </w:r>
      <w:r>
        <w:rPr>
          <w:rFonts w:ascii="Arial" w:hAnsi="Arial" w:cs="Arial"/>
          <w:sz w:val="21"/>
          <w:szCs w:val="21"/>
        </w:rPr>
        <w:tab/>
      </w:r>
      <w:r>
        <w:rPr>
          <w:rFonts w:ascii="Arial" w:hAnsi="Arial" w:cs="Arial"/>
          <w:sz w:val="21"/>
          <w:szCs w:val="21"/>
        </w:rPr>
        <w:fldChar w:fldCharType="begin"/>
      </w:r>
      <w:r>
        <w:rPr>
          <w:rFonts w:ascii="Arial" w:hAnsi="Arial" w:cs="Arial"/>
          <w:sz w:val="21"/>
          <w:szCs w:val="21"/>
        </w:rPr>
        <w:instrText xml:space="preserve"> PAGEREF _Toc500322973 \h </w:instrText>
      </w:r>
      <w:r>
        <w:rPr>
          <w:rFonts w:ascii="Arial" w:hAnsi="Arial" w:cs="Arial"/>
          <w:sz w:val="21"/>
          <w:szCs w:val="21"/>
        </w:rPr>
        <w:fldChar w:fldCharType="separate"/>
      </w:r>
      <w:r>
        <w:rPr>
          <w:rFonts w:ascii="Arial" w:hAnsi="Arial" w:cs="Arial"/>
          <w:sz w:val="21"/>
          <w:szCs w:val="21"/>
        </w:rPr>
        <w:t>29</w:t>
      </w:r>
      <w:r>
        <w:rPr>
          <w:rFonts w:ascii="Arial" w:hAnsi="Arial" w:cs="Arial"/>
          <w:sz w:val="21"/>
          <w:szCs w:val="21"/>
        </w:rPr>
        <w:fldChar w:fldCharType="end"/>
      </w:r>
      <w:r>
        <w:rPr>
          <w:rFonts w:ascii="Arial" w:hAnsi="Arial" w:cs="Arial"/>
          <w:sz w:val="21"/>
          <w:szCs w:val="21"/>
        </w:rPr>
        <w:fldChar w:fldCharType="end"/>
      </w:r>
    </w:p>
    <w:p>
      <w:pPr>
        <w:pStyle w:val="26"/>
        <w:rPr>
          <w:rFonts w:ascii="Arial" w:hAnsi="Arial" w:cs="Arial"/>
          <w:kern w:val="2"/>
          <w:sz w:val="21"/>
          <w:szCs w:val="21"/>
        </w:rPr>
      </w:pPr>
      <w:r>
        <w:fldChar w:fldCharType="begin"/>
      </w:r>
      <w:r>
        <w:instrText xml:space="preserve"> HYPERLINK \l "_Toc500322974" </w:instrText>
      </w:r>
      <w:r>
        <w:fldChar w:fldCharType="separate"/>
      </w:r>
      <w:r>
        <w:rPr>
          <w:rStyle w:val="38"/>
          <w:rFonts w:ascii="Arial" w:hAnsi="Arial" w:cs="Arial"/>
          <w:sz w:val="21"/>
          <w:szCs w:val="21"/>
        </w:rPr>
        <w:t>十二、参与本次估价工作的评估专业人员</w:t>
      </w:r>
      <w:r>
        <w:rPr>
          <w:rFonts w:ascii="Arial" w:hAnsi="Arial" w:cs="Arial"/>
          <w:sz w:val="21"/>
          <w:szCs w:val="21"/>
        </w:rPr>
        <w:tab/>
      </w:r>
      <w:r>
        <w:rPr>
          <w:rFonts w:ascii="Arial" w:hAnsi="Arial" w:cs="Arial"/>
          <w:sz w:val="21"/>
          <w:szCs w:val="21"/>
        </w:rPr>
        <w:fldChar w:fldCharType="begin"/>
      </w:r>
      <w:r>
        <w:rPr>
          <w:rFonts w:ascii="Arial" w:hAnsi="Arial" w:cs="Arial"/>
          <w:sz w:val="21"/>
          <w:szCs w:val="21"/>
        </w:rPr>
        <w:instrText xml:space="preserve"> PAGEREF _Toc500322974 \h </w:instrText>
      </w:r>
      <w:r>
        <w:rPr>
          <w:rFonts w:ascii="Arial" w:hAnsi="Arial" w:cs="Arial"/>
          <w:sz w:val="21"/>
          <w:szCs w:val="21"/>
        </w:rPr>
        <w:fldChar w:fldCharType="separate"/>
      </w:r>
      <w:r>
        <w:rPr>
          <w:rFonts w:ascii="Arial" w:hAnsi="Arial" w:cs="Arial"/>
          <w:sz w:val="21"/>
          <w:szCs w:val="21"/>
        </w:rPr>
        <w:t>30</w:t>
      </w:r>
      <w:r>
        <w:rPr>
          <w:rFonts w:ascii="Arial" w:hAnsi="Arial" w:cs="Arial"/>
          <w:sz w:val="21"/>
          <w:szCs w:val="21"/>
        </w:rPr>
        <w:fldChar w:fldCharType="end"/>
      </w:r>
      <w:r>
        <w:rPr>
          <w:rFonts w:ascii="Arial" w:hAnsi="Arial" w:cs="Arial"/>
          <w:sz w:val="21"/>
          <w:szCs w:val="21"/>
        </w:rPr>
        <w:fldChar w:fldCharType="end"/>
      </w:r>
    </w:p>
    <w:p>
      <w:pPr>
        <w:pStyle w:val="26"/>
        <w:rPr>
          <w:rFonts w:ascii="Arial" w:hAnsi="Arial" w:cs="Arial"/>
          <w:kern w:val="2"/>
          <w:sz w:val="21"/>
          <w:szCs w:val="21"/>
        </w:rPr>
      </w:pPr>
      <w:r>
        <w:fldChar w:fldCharType="begin"/>
      </w:r>
      <w:r>
        <w:instrText xml:space="preserve"> HYPERLINK \l "_Toc500322975" </w:instrText>
      </w:r>
      <w:r>
        <w:fldChar w:fldCharType="separate"/>
      </w:r>
      <w:r>
        <w:rPr>
          <w:rStyle w:val="38"/>
          <w:rFonts w:ascii="Arial" w:hAnsi="Arial" w:cs="Arial"/>
          <w:sz w:val="21"/>
          <w:szCs w:val="21"/>
        </w:rPr>
        <w:t>十三、实地查勘期</w:t>
      </w:r>
      <w:r>
        <w:rPr>
          <w:rFonts w:ascii="Arial" w:hAnsi="Arial" w:cs="Arial"/>
          <w:sz w:val="21"/>
          <w:szCs w:val="21"/>
        </w:rPr>
        <w:tab/>
      </w:r>
      <w:r>
        <w:rPr>
          <w:rFonts w:ascii="Arial" w:hAnsi="Arial" w:cs="Arial"/>
          <w:sz w:val="21"/>
          <w:szCs w:val="21"/>
        </w:rPr>
        <w:fldChar w:fldCharType="begin"/>
      </w:r>
      <w:r>
        <w:rPr>
          <w:rFonts w:ascii="Arial" w:hAnsi="Arial" w:cs="Arial"/>
          <w:sz w:val="21"/>
          <w:szCs w:val="21"/>
        </w:rPr>
        <w:instrText xml:space="preserve"> PAGEREF _Toc500322975 \h </w:instrText>
      </w:r>
      <w:r>
        <w:rPr>
          <w:rFonts w:ascii="Arial" w:hAnsi="Arial" w:cs="Arial"/>
          <w:sz w:val="21"/>
          <w:szCs w:val="21"/>
        </w:rPr>
        <w:fldChar w:fldCharType="separate"/>
      </w:r>
      <w:r>
        <w:rPr>
          <w:rFonts w:ascii="Arial" w:hAnsi="Arial" w:cs="Arial"/>
          <w:sz w:val="21"/>
          <w:szCs w:val="21"/>
        </w:rPr>
        <w:t>30</w:t>
      </w:r>
      <w:r>
        <w:rPr>
          <w:rFonts w:ascii="Arial" w:hAnsi="Arial" w:cs="Arial"/>
          <w:sz w:val="21"/>
          <w:szCs w:val="21"/>
        </w:rPr>
        <w:fldChar w:fldCharType="end"/>
      </w:r>
      <w:r>
        <w:rPr>
          <w:rFonts w:ascii="Arial" w:hAnsi="Arial" w:cs="Arial"/>
          <w:sz w:val="21"/>
          <w:szCs w:val="21"/>
        </w:rPr>
        <w:fldChar w:fldCharType="end"/>
      </w:r>
    </w:p>
    <w:p>
      <w:pPr>
        <w:pStyle w:val="26"/>
        <w:rPr>
          <w:rFonts w:ascii="Arial" w:hAnsi="Arial" w:cs="Arial"/>
          <w:kern w:val="2"/>
          <w:sz w:val="21"/>
          <w:szCs w:val="21"/>
        </w:rPr>
      </w:pPr>
      <w:r>
        <w:fldChar w:fldCharType="begin"/>
      </w:r>
      <w:r>
        <w:instrText xml:space="preserve"> HYPERLINK \l "_Toc500322976" </w:instrText>
      </w:r>
      <w:r>
        <w:fldChar w:fldCharType="separate"/>
      </w:r>
      <w:r>
        <w:rPr>
          <w:rStyle w:val="38"/>
          <w:rFonts w:ascii="Arial" w:hAnsi="Arial" w:cs="Arial"/>
          <w:sz w:val="21"/>
          <w:szCs w:val="21"/>
        </w:rPr>
        <w:t>十四、估价作业期</w:t>
      </w:r>
      <w:r>
        <w:rPr>
          <w:rFonts w:ascii="Arial" w:hAnsi="Arial" w:cs="Arial"/>
          <w:sz w:val="21"/>
          <w:szCs w:val="21"/>
        </w:rPr>
        <w:tab/>
      </w:r>
      <w:r>
        <w:rPr>
          <w:rFonts w:ascii="Arial" w:hAnsi="Arial" w:cs="Arial"/>
          <w:sz w:val="21"/>
          <w:szCs w:val="21"/>
        </w:rPr>
        <w:fldChar w:fldCharType="begin"/>
      </w:r>
      <w:r>
        <w:rPr>
          <w:rFonts w:ascii="Arial" w:hAnsi="Arial" w:cs="Arial"/>
          <w:sz w:val="21"/>
          <w:szCs w:val="21"/>
        </w:rPr>
        <w:instrText xml:space="preserve"> PAGEREF _Toc500322976 \h </w:instrText>
      </w:r>
      <w:r>
        <w:rPr>
          <w:rFonts w:ascii="Arial" w:hAnsi="Arial" w:cs="Arial"/>
          <w:sz w:val="21"/>
          <w:szCs w:val="21"/>
        </w:rPr>
        <w:fldChar w:fldCharType="separate"/>
      </w:r>
      <w:r>
        <w:rPr>
          <w:rFonts w:ascii="Arial" w:hAnsi="Arial" w:cs="Arial"/>
          <w:sz w:val="21"/>
          <w:szCs w:val="21"/>
        </w:rPr>
        <w:t>30</w:t>
      </w:r>
      <w:r>
        <w:rPr>
          <w:rFonts w:ascii="Arial" w:hAnsi="Arial" w:cs="Arial"/>
          <w:sz w:val="21"/>
          <w:szCs w:val="21"/>
        </w:rPr>
        <w:fldChar w:fldCharType="end"/>
      </w:r>
      <w:r>
        <w:rPr>
          <w:rFonts w:ascii="Arial" w:hAnsi="Arial" w:cs="Arial"/>
          <w:sz w:val="21"/>
          <w:szCs w:val="21"/>
        </w:rPr>
        <w:fldChar w:fldCharType="end"/>
      </w:r>
    </w:p>
    <w:p>
      <w:pPr>
        <w:pStyle w:val="22"/>
        <w:rPr>
          <w:rFonts w:ascii="Arial" w:hAnsi="Arial" w:eastAsia="宋体" w:cs="Arial"/>
          <w:b w:val="0"/>
          <w:bCs w:val="0"/>
          <w:kern w:val="2"/>
          <w:sz w:val="21"/>
          <w:szCs w:val="21"/>
        </w:rPr>
      </w:pPr>
      <w:r>
        <w:fldChar w:fldCharType="begin"/>
      </w:r>
      <w:r>
        <w:instrText xml:space="preserve"> HYPERLINK \l "_Toc500322977" </w:instrText>
      </w:r>
      <w:r>
        <w:fldChar w:fldCharType="separate"/>
      </w:r>
      <w:r>
        <w:rPr>
          <w:rStyle w:val="38"/>
          <w:rFonts w:ascii="Arial" w:hAnsi="Arial" w:eastAsia="宋体" w:cs="Arial"/>
          <w:sz w:val="21"/>
          <w:szCs w:val="21"/>
        </w:rPr>
        <w:t>附   件</w:t>
      </w:r>
      <w:r>
        <w:rPr>
          <w:rFonts w:ascii="Arial" w:hAnsi="Arial" w:eastAsia="宋体" w:cs="Arial"/>
          <w:sz w:val="21"/>
          <w:szCs w:val="21"/>
        </w:rPr>
        <w:tab/>
      </w:r>
      <w:r>
        <w:rPr>
          <w:rFonts w:ascii="Arial" w:hAnsi="Arial" w:eastAsia="宋体" w:cs="Arial"/>
          <w:sz w:val="21"/>
          <w:szCs w:val="21"/>
        </w:rPr>
        <w:fldChar w:fldCharType="begin"/>
      </w:r>
      <w:r>
        <w:rPr>
          <w:rFonts w:ascii="Arial" w:hAnsi="Arial" w:eastAsia="宋体" w:cs="Arial"/>
          <w:sz w:val="21"/>
          <w:szCs w:val="21"/>
        </w:rPr>
        <w:instrText xml:space="preserve"> PAGEREF _Toc500322977 \h </w:instrText>
      </w:r>
      <w:r>
        <w:rPr>
          <w:rFonts w:ascii="Arial" w:hAnsi="Arial" w:eastAsia="宋体" w:cs="Arial"/>
          <w:sz w:val="21"/>
          <w:szCs w:val="21"/>
        </w:rPr>
        <w:fldChar w:fldCharType="separate"/>
      </w:r>
      <w:r>
        <w:rPr>
          <w:rFonts w:ascii="Arial" w:hAnsi="Arial" w:eastAsia="宋体" w:cs="Arial"/>
          <w:sz w:val="21"/>
          <w:szCs w:val="21"/>
        </w:rPr>
        <w:t>31</w:t>
      </w:r>
      <w:r>
        <w:rPr>
          <w:rFonts w:ascii="Arial" w:hAnsi="Arial" w:eastAsia="宋体" w:cs="Arial"/>
          <w:sz w:val="21"/>
          <w:szCs w:val="21"/>
        </w:rPr>
        <w:fldChar w:fldCharType="end"/>
      </w:r>
      <w:r>
        <w:rPr>
          <w:rFonts w:ascii="Arial" w:hAnsi="Arial" w:eastAsia="宋体" w:cs="Arial"/>
          <w:sz w:val="21"/>
          <w:szCs w:val="21"/>
        </w:rPr>
        <w:fldChar w:fldCharType="end"/>
      </w:r>
    </w:p>
    <w:p>
      <w:pPr>
        <w:numPr>
          <w:ilvl w:val="0"/>
          <w:numId w:val="6"/>
        </w:numPr>
        <w:spacing w:line="420" w:lineRule="exact"/>
        <w:ind w:left="851" w:hanging="425"/>
        <w:jc w:val="both"/>
        <w:rPr>
          <w:rFonts w:ascii="Arial" w:hAnsi="Arial"/>
          <w:sz w:val="21"/>
          <w:szCs w:val="24"/>
        </w:rPr>
      </w:pPr>
      <w:r>
        <w:rPr>
          <w:rFonts w:ascii="Arial" w:hAnsi="Arial" w:cs="Arial"/>
          <w:sz w:val="21"/>
          <w:szCs w:val="21"/>
        </w:rPr>
        <w:fldChar w:fldCharType="end"/>
      </w:r>
      <w:r>
        <w:rPr>
          <w:rFonts w:hint="eastAsia" w:ascii="Arial" w:hAnsi="Arial" w:cs="Arial"/>
          <w:sz w:val="21"/>
          <w:szCs w:val="21"/>
        </w:rPr>
        <w:t>《临汾市尧都区人民法院委托书》[（2020）晋1002执2638号]复印件</w:t>
      </w:r>
    </w:p>
    <w:p>
      <w:pPr>
        <w:numPr>
          <w:ilvl w:val="0"/>
          <w:numId w:val="6"/>
        </w:numPr>
        <w:spacing w:line="420" w:lineRule="exact"/>
        <w:ind w:left="851" w:hanging="425"/>
        <w:jc w:val="both"/>
        <w:rPr>
          <w:rFonts w:ascii="Arial" w:hAnsi="Arial"/>
          <w:sz w:val="21"/>
          <w:szCs w:val="24"/>
        </w:rPr>
      </w:pPr>
      <w:r>
        <w:rPr>
          <w:rFonts w:hint="eastAsia" w:ascii="Arial" w:hAnsi="Arial"/>
          <w:sz w:val="21"/>
          <w:szCs w:val="24"/>
        </w:rPr>
        <w:t>估价对象所在位置示意图</w:t>
      </w:r>
    </w:p>
    <w:p>
      <w:pPr>
        <w:numPr>
          <w:ilvl w:val="0"/>
          <w:numId w:val="6"/>
        </w:numPr>
        <w:spacing w:line="420" w:lineRule="exact"/>
        <w:ind w:left="851" w:hanging="425"/>
        <w:jc w:val="both"/>
        <w:rPr>
          <w:rFonts w:ascii="Arial" w:hAnsi="Arial"/>
          <w:sz w:val="21"/>
          <w:szCs w:val="24"/>
        </w:rPr>
      </w:pPr>
      <w:r>
        <w:rPr>
          <w:rFonts w:hint="eastAsia" w:ascii="Arial" w:hAnsi="Arial"/>
          <w:sz w:val="21"/>
          <w:szCs w:val="24"/>
        </w:rPr>
        <w:t>估价对象实地查勘情况和相关照片</w:t>
      </w:r>
    </w:p>
    <w:p>
      <w:pPr>
        <w:numPr>
          <w:ilvl w:val="0"/>
          <w:numId w:val="6"/>
        </w:numPr>
        <w:spacing w:line="420" w:lineRule="exact"/>
        <w:ind w:left="851" w:hanging="425"/>
        <w:jc w:val="both"/>
        <w:rPr>
          <w:rFonts w:ascii="Arial" w:hAnsi="Arial"/>
          <w:sz w:val="21"/>
          <w:szCs w:val="24"/>
        </w:rPr>
      </w:pPr>
      <w:r>
        <w:rPr>
          <w:rFonts w:hint="eastAsia" w:ascii="Arial" w:hAnsi="Arial"/>
          <w:kern w:val="2"/>
          <w:sz w:val="21"/>
        </w:rPr>
        <w:t>《不动产权利及其他事项登记信息》[不动产单元号：110115003001GB00194F00050144]复印件</w:t>
      </w:r>
    </w:p>
    <w:p>
      <w:pPr>
        <w:numPr>
          <w:ilvl w:val="0"/>
          <w:numId w:val="6"/>
        </w:numPr>
        <w:spacing w:line="420" w:lineRule="exact"/>
        <w:ind w:left="851" w:hanging="425"/>
        <w:jc w:val="both"/>
        <w:rPr>
          <w:rFonts w:ascii="Arial" w:hAnsi="Arial" w:cs="Arial"/>
          <w:sz w:val="21"/>
          <w:szCs w:val="24"/>
        </w:rPr>
      </w:pPr>
      <w:r>
        <w:rPr>
          <w:rFonts w:hint="eastAsia" w:ascii="Arial" w:hAnsi="Arial"/>
          <w:kern w:val="2"/>
          <w:sz w:val="21"/>
        </w:rPr>
        <w:t>《商品房买卖合同》[合同编号：0779997]部分复印件</w:t>
      </w:r>
    </w:p>
    <w:p>
      <w:pPr>
        <w:numPr>
          <w:ilvl w:val="0"/>
          <w:numId w:val="6"/>
        </w:numPr>
        <w:spacing w:line="420" w:lineRule="exact"/>
        <w:ind w:left="851" w:hanging="425"/>
        <w:jc w:val="both"/>
        <w:rPr>
          <w:rFonts w:ascii="Arial" w:hAnsi="Arial"/>
          <w:sz w:val="21"/>
          <w:szCs w:val="24"/>
        </w:rPr>
      </w:pPr>
      <w:r>
        <w:rPr>
          <w:rFonts w:hint="eastAsia" w:ascii="Arial" w:hAnsi="Arial"/>
          <w:sz w:val="21"/>
          <w:szCs w:val="24"/>
        </w:rPr>
        <w:t>房地产估价机构《营业执照（副本）》</w:t>
      </w:r>
      <w:r>
        <w:rPr>
          <w:rFonts w:ascii="Arial" w:hAnsi="Arial" w:cs="Arial"/>
          <w:sz w:val="21"/>
          <w:szCs w:val="24"/>
        </w:rPr>
        <w:t>复印件</w:t>
      </w:r>
    </w:p>
    <w:p>
      <w:pPr>
        <w:numPr>
          <w:ilvl w:val="0"/>
          <w:numId w:val="6"/>
        </w:numPr>
        <w:spacing w:line="420" w:lineRule="exact"/>
        <w:ind w:left="851" w:hanging="425"/>
        <w:jc w:val="both"/>
        <w:rPr>
          <w:rFonts w:ascii="Arial" w:hAnsi="Arial"/>
          <w:color w:val="000000"/>
          <w:sz w:val="21"/>
          <w:szCs w:val="24"/>
        </w:rPr>
      </w:pPr>
      <w:r>
        <w:rPr>
          <w:rFonts w:hint="eastAsia" w:ascii="Arial" w:hAnsi="Arial"/>
          <w:sz w:val="21"/>
          <w:szCs w:val="24"/>
        </w:rPr>
        <w:t>房地产估价机构</w:t>
      </w:r>
      <w:r>
        <w:rPr>
          <w:rFonts w:hint="eastAsia" w:ascii="Arial" w:hAnsi="Arial"/>
          <w:color w:val="000000"/>
          <w:sz w:val="21"/>
          <w:szCs w:val="24"/>
        </w:rPr>
        <w:t>资质证书</w:t>
      </w:r>
      <w:r>
        <w:rPr>
          <w:rFonts w:ascii="Arial" w:hAnsi="Arial" w:cs="Arial"/>
          <w:color w:val="000000"/>
          <w:sz w:val="21"/>
          <w:szCs w:val="24"/>
        </w:rPr>
        <w:t>复印件</w:t>
      </w:r>
    </w:p>
    <w:p>
      <w:pPr>
        <w:numPr>
          <w:ilvl w:val="0"/>
          <w:numId w:val="6"/>
        </w:numPr>
        <w:spacing w:line="420" w:lineRule="exact"/>
        <w:ind w:left="851" w:hanging="425"/>
        <w:jc w:val="both"/>
        <w:rPr>
          <w:rFonts w:ascii="Arial" w:hAnsi="Arial"/>
          <w:color w:val="000000"/>
          <w:sz w:val="21"/>
        </w:rPr>
      </w:pPr>
      <w:r>
        <w:rPr>
          <w:rFonts w:hint="eastAsia" w:ascii="Arial" w:hAnsi="Arial"/>
          <w:color w:val="000000"/>
          <w:sz w:val="21"/>
          <w:szCs w:val="24"/>
        </w:rPr>
        <w:t>评估专业人员执业证书</w:t>
      </w:r>
      <w:r>
        <w:rPr>
          <w:rFonts w:ascii="Arial" w:hAnsi="Arial" w:cs="Arial"/>
          <w:color w:val="000000"/>
          <w:sz w:val="21"/>
          <w:szCs w:val="24"/>
        </w:rPr>
        <w:t>复印件</w:t>
      </w:r>
    </w:p>
    <w:p>
      <w:pPr>
        <w:spacing w:line="240" w:lineRule="auto"/>
        <w:outlineLvl w:val="0"/>
        <w:rPr>
          <w:rFonts w:ascii="Arial" w:hAnsi="Arial" w:eastAsia="楷体_GB2312"/>
          <w:i/>
          <w:color w:val="548DD4"/>
          <w:kern w:val="2"/>
          <w:sz w:val="28"/>
          <w:szCs w:val="28"/>
        </w:rPr>
        <w:sectPr>
          <w:pgSz w:w="11907" w:h="16840"/>
          <w:pgMar w:top="1843" w:right="1134" w:bottom="1191" w:left="1134" w:header="1134" w:footer="1134" w:gutter="340"/>
          <w:cols w:space="720" w:num="1"/>
          <w:docGrid w:linePitch="326" w:charSpace="0"/>
        </w:sectPr>
      </w:pPr>
    </w:p>
    <w:p>
      <w:pPr>
        <w:pStyle w:val="2"/>
        <w:numPr>
          <w:ilvl w:val="0"/>
          <w:numId w:val="0"/>
        </w:numPr>
        <w:tabs>
          <w:tab w:val="clear" w:pos="720"/>
        </w:tabs>
        <w:spacing w:line="480" w:lineRule="auto"/>
        <w:jc w:val="center"/>
        <w:rPr>
          <w:rFonts w:eastAsia="方正黑体简体"/>
          <w:b w:val="0"/>
          <w:kern w:val="2"/>
          <w:sz w:val="32"/>
          <w:szCs w:val="32"/>
        </w:rPr>
      </w:pPr>
      <w:bookmarkStart w:id="1" w:name="_Toc379795041"/>
      <w:bookmarkStart w:id="2" w:name="_Toc500322960"/>
      <w:r>
        <w:rPr>
          <w:rFonts w:hint="eastAsia" w:eastAsia="方正黑体简体"/>
          <w:b w:val="0"/>
          <w:kern w:val="2"/>
          <w:sz w:val="32"/>
          <w:szCs w:val="32"/>
        </w:rPr>
        <w:t>估价师声明</w:t>
      </w:r>
      <w:bookmarkEnd w:id="1"/>
      <w:bookmarkEnd w:id="2"/>
    </w:p>
    <w:p>
      <w:pPr>
        <w:overflowPunct w:val="0"/>
        <w:spacing w:line="480" w:lineRule="auto"/>
        <w:jc w:val="both"/>
        <w:textAlignment w:val="auto"/>
        <w:outlineLvl w:val="0"/>
        <w:rPr>
          <w:rFonts w:ascii="Arial" w:hAnsi="Arial" w:cs="Arial"/>
          <w:kern w:val="2"/>
          <w:sz w:val="21"/>
          <w:szCs w:val="21"/>
        </w:rPr>
      </w:pPr>
      <w:r>
        <w:rPr>
          <w:rFonts w:ascii="Arial" w:hAnsi="Arial" w:cs="Arial"/>
          <w:kern w:val="2"/>
          <w:sz w:val="21"/>
          <w:szCs w:val="21"/>
        </w:rPr>
        <w:t>注册房地产估价师郑重声明：</w:t>
      </w:r>
    </w:p>
    <w:p>
      <w:pPr>
        <w:overflowPunct w:val="0"/>
        <w:spacing w:line="480" w:lineRule="auto"/>
        <w:jc w:val="both"/>
        <w:textAlignment w:val="auto"/>
        <w:outlineLvl w:val="0"/>
        <w:rPr>
          <w:rFonts w:ascii="Arial" w:hAnsi="Arial" w:cs="Arial"/>
          <w:kern w:val="2"/>
          <w:sz w:val="21"/>
          <w:szCs w:val="21"/>
        </w:rPr>
      </w:pPr>
      <w:r>
        <w:rPr>
          <w:rFonts w:ascii="Arial" w:hAnsi="Arial" w:cs="Arial"/>
          <w:kern w:val="2"/>
          <w:sz w:val="21"/>
          <w:szCs w:val="21"/>
        </w:rPr>
        <w:t>（一</w:t>
      </w:r>
      <w:r>
        <w:rPr>
          <w:rFonts w:hint="eastAsia" w:ascii="Arial" w:hAnsi="Arial" w:cs="Arial"/>
          <w:kern w:val="2"/>
          <w:sz w:val="21"/>
          <w:szCs w:val="21"/>
        </w:rPr>
        <w:t>）</w:t>
      </w:r>
      <w:r>
        <w:rPr>
          <w:rFonts w:ascii="Arial" w:hAnsi="Arial" w:cs="Arial"/>
          <w:kern w:val="2"/>
          <w:sz w:val="21"/>
          <w:szCs w:val="21"/>
        </w:rPr>
        <w:t>注册房地产估价师在本估价报告中对事实的说明是真实的和准确的，没有虚假记载、误导性陈述和重大遗漏。</w:t>
      </w:r>
    </w:p>
    <w:p>
      <w:pPr>
        <w:overflowPunct w:val="0"/>
        <w:spacing w:line="480" w:lineRule="auto"/>
        <w:jc w:val="both"/>
        <w:textAlignment w:val="auto"/>
        <w:outlineLvl w:val="0"/>
        <w:rPr>
          <w:rFonts w:ascii="Arial" w:hAnsi="Arial" w:cs="Arial"/>
          <w:kern w:val="2"/>
          <w:sz w:val="21"/>
          <w:szCs w:val="21"/>
        </w:rPr>
      </w:pPr>
      <w:r>
        <w:rPr>
          <w:rFonts w:hint="eastAsia" w:ascii="Arial" w:hAnsi="Arial" w:cs="Arial"/>
          <w:kern w:val="2"/>
          <w:sz w:val="21"/>
          <w:szCs w:val="21"/>
        </w:rPr>
        <w:t>（二）</w:t>
      </w:r>
      <w:r>
        <w:rPr>
          <w:rFonts w:ascii="Arial" w:hAnsi="Arial" w:cs="Arial"/>
          <w:kern w:val="2"/>
          <w:sz w:val="21"/>
          <w:szCs w:val="21"/>
        </w:rPr>
        <w:t>本估价报告中的分析、意见和结论是注册房地产估价师独立、客观、公正的专业分析、意见和结论，但受到本估价报告中已说明的估价假设和限制条件的限制。</w:t>
      </w:r>
    </w:p>
    <w:p>
      <w:pPr>
        <w:overflowPunct w:val="0"/>
        <w:spacing w:line="480" w:lineRule="auto"/>
        <w:jc w:val="both"/>
        <w:textAlignment w:val="auto"/>
        <w:outlineLvl w:val="0"/>
        <w:rPr>
          <w:rFonts w:ascii="Arial" w:hAnsi="Arial" w:cs="Arial"/>
          <w:kern w:val="2"/>
          <w:sz w:val="21"/>
          <w:szCs w:val="21"/>
        </w:rPr>
      </w:pPr>
      <w:r>
        <w:rPr>
          <w:rFonts w:ascii="Arial" w:hAnsi="Arial" w:cs="Arial"/>
          <w:kern w:val="2"/>
          <w:sz w:val="21"/>
          <w:szCs w:val="21"/>
        </w:rPr>
        <w:t>（三）注册房地产估价师与估价报告中的估价对象没有现实或潜在的利益，与估价委托人及估价利害关系人没有利害关系，也对本估价报告中的估价对象、估价委托人及估价利害关系人没有偏见。</w:t>
      </w:r>
    </w:p>
    <w:p>
      <w:pPr>
        <w:overflowPunct w:val="0"/>
        <w:spacing w:line="480" w:lineRule="auto"/>
        <w:jc w:val="both"/>
        <w:textAlignment w:val="auto"/>
        <w:outlineLvl w:val="0"/>
        <w:rPr>
          <w:rFonts w:ascii="Arial" w:hAnsi="Arial" w:cs="Arial"/>
          <w:kern w:val="2"/>
          <w:sz w:val="21"/>
          <w:szCs w:val="21"/>
        </w:rPr>
      </w:pPr>
      <w:r>
        <w:rPr>
          <w:rFonts w:ascii="Arial" w:hAnsi="Arial" w:cs="Arial"/>
          <w:kern w:val="2"/>
          <w:sz w:val="21"/>
          <w:szCs w:val="21"/>
        </w:rPr>
        <w:t>（四）注册房地产估价师依照中华人民共和国国家标准《房地产估价规范》、《房地产估价基本术语标准》以及相关房地产估价专项标准进行估价工作，撰写本估价报告。</w:t>
      </w:r>
    </w:p>
    <w:p>
      <w:pPr>
        <w:overflowPunct w:val="0"/>
        <w:spacing w:line="480" w:lineRule="auto"/>
        <w:jc w:val="both"/>
        <w:textAlignment w:val="auto"/>
        <w:outlineLvl w:val="0"/>
        <w:rPr>
          <w:rFonts w:ascii="Arial" w:hAnsi="Arial" w:cs="Arial"/>
          <w:kern w:val="2"/>
          <w:sz w:val="21"/>
          <w:szCs w:val="21"/>
        </w:rPr>
      </w:pPr>
      <w:r>
        <w:rPr>
          <w:rFonts w:ascii="Arial" w:hAnsi="Arial" w:cs="Arial"/>
          <w:kern w:val="2"/>
          <w:sz w:val="21"/>
          <w:szCs w:val="21"/>
        </w:rPr>
        <w:t>（五）本估价报告估价结果仅作为估价委托人在本次估价目的下使用，不得做其他用途。未经本估价机构书面同意，本估价报告的全部或任何一部分均不得向估价委托人、报告使用者、报告审查部门之外的单位和个人提供，也不得以任何形式公开发表。</w:t>
      </w:r>
    </w:p>
    <w:p>
      <w:pPr>
        <w:overflowPunct w:val="0"/>
        <w:spacing w:line="480" w:lineRule="auto"/>
        <w:jc w:val="both"/>
        <w:textAlignment w:val="auto"/>
        <w:outlineLvl w:val="0"/>
        <w:rPr>
          <w:rFonts w:ascii="Arial" w:hAnsi="Arial"/>
          <w:kern w:val="2"/>
          <w:sz w:val="21"/>
          <w:szCs w:val="21"/>
        </w:rPr>
      </w:pPr>
      <w:r>
        <w:rPr>
          <w:rFonts w:ascii="Arial" w:hAnsi="Arial" w:cs="Arial"/>
          <w:kern w:val="2"/>
          <w:sz w:val="21"/>
          <w:szCs w:val="21"/>
        </w:rPr>
        <w:t>（六）本估价报告由北京康正宏基房地产评估有限公司负责解释</w:t>
      </w:r>
      <w:r>
        <w:rPr>
          <w:rFonts w:hint="eastAsia" w:ascii="Arial" w:hAnsi="Arial"/>
          <w:kern w:val="2"/>
          <w:sz w:val="21"/>
          <w:szCs w:val="21"/>
        </w:rPr>
        <w:t>。</w:t>
      </w:r>
    </w:p>
    <w:p>
      <w:pPr>
        <w:overflowPunct w:val="0"/>
        <w:spacing w:line="480" w:lineRule="auto"/>
        <w:jc w:val="both"/>
        <w:textAlignment w:val="auto"/>
        <w:rPr>
          <w:rFonts w:ascii="Arial" w:hAnsi="Arial"/>
          <w:sz w:val="21"/>
          <w:szCs w:val="21"/>
        </w:rPr>
      </w:pPr>
      <w:bookmarkStart w:id="3" w:name="_Toc168225811"/>
    </w:p>
    <w:p>
      <w:pPr>
        <w:overflowPunct w:val="0"/>
        <w:spacing w:line="480" w:lineRule="auto"/>
        <w:jc w:val="both"/>
        <w:textAlignment w:val="auto"/>
        <w:outlineLvl w:val="0"/>
        <w:rPr>
          <w:rFonts w:ascii="Arial" w:hAnsi="Arial"/>
          <w:kern w:val="2"/>
          <w:sz w:val="21"/>
          <w:szCs w:val="21"/>
        </w:rPr>
        <w:sectPr>
          <w:headerReference r:id="rId13" w:type="first"/>
          <w:footerReference r:id="rId14" w:type="first"/>
          <w:headerReference r:id="rId12" w:type="default"/>
          <w:pgSz w:w="11907" w:h="16840"/>
          <w:pgMar w:top="1843" w:right="1134" w:bottom="1191" w:left="1134" w:header="1134" w:footer="1134" w:gutter="340"/>
          <w:cols w:space="720" w:num="1"/>
          <w:docGrid w:linePitch="326" w:charSpace="0"/>
        </w:sectPr>
      </w:pPr>
    </w:p>
    <w:p>
      <w:pPr>
        <w:pStyle w:val="2"/>
        <w:numPr>
          <w:ilvl w:val="0"/>
          <w:numId w:val="0"/>
        </w:numPr>
        <w:tabs>
          <w:tab w:val="clear" w:pos="720"/>
        </w:tabs>
        <w:spacing w:line="480" w:lineRule="auto"/>
        <w:jc w:val="center"/>
        <w:rPr>
          <w:rFonts w:eastAsia="方正黑体简体"/>
          <w:b w:val="0"/>
          <w:kern w:val="2"/>
          <w:sz w:val="32"/>
          <w:szCs w:val="32"/>
        </w:rPr>
      </w:pPr>
      <w:bookmarkStart w:id="4" w:name="_Toc379795042"/>
      <w:bookmarkStart w:id="5" w:name="_Toc500322961"/>
      <w:r>
        <w:rPr>
          <w:rFonts w:hint="eastAsia" w:eastAsia="方正黑体简体"/>
          <w:b w:val="0"/>
          <w:kern w:val="2"/>
          <w:sz w:val="32"/>
          <w:szCs w:val="32"/>
        </w:rPr>
        <w:t>估价假设和限制条件</w:t>
      </w:r>
      <w:bookmarkEnd w:id="4"/>
      <w:bookmarkEnd w:id="5"/>
    </w:p>
    <w:bookmarkEnd w:id="3"/>
    <w:p>
      <w:pPr>
        <w:overflowPunct w:val="0"/>
        <w:spacing w:line="480" w:lineRule="auto"/>
        <w:jc w:val="both"/>
        <w:textAlignment w:val="auto"/>
        <w:outlineLvl w:val="0"/>
        <w:rPr>
          <w:rFonts w:ascii="Arial" w:hAnsi="Arial" w:cs="Arial"/>
          <w:b/>
          <w:kern w:val="2"/>
          <w:sz w:val="21"/>
        </w:rPr>
      </w:pPr>
      <w:r>
        <w:rPr>
          <w:rFonts w:ascii="Arial" w:hAnsi="Arial" w:cs="Arial"/>
          <w:b/>
          <w:kern w:val="2"/>
          <w:sz w:val="21"/>
        </w:rPr>
        <w:t>（一）本次估价的一般假设</w:t>
      </w:r>
    </w:p>
    <w:p>
      <w:pPr>
        <w:overflowPunct w:val="0"/>
        <w:spacing w:line="480" w:lineRule="auto"/>
        <w:ind w:firstLine="420" w:firstLineChars="200"/>
        <w:jc w:val="both"/>
        <w:textAlignment w:val="auto"/>
        <w:rPr>
          <w:rFonts w:ascii="Arial" w:hAnsi="Arial"/>
          <w:kern w:val="2"/>
          <w:sz w:val="21"/>
        </w:rPr>
      </w:pPr>
      <w:r>
        <w:rPr>
          <w:rFonts w:hint="eastAsia" w:ascii="Arial" w:hAnsi="Arial"/>
          <w:kern w:val="2"/>
          <w:sz w:val="21"/>
        </w:rPr>
        <w:t>1</w:t>
      </w:r>
      <w:r>
        <w:rPr>
          <w:rFonts w:hint="eastAsia" w:ascii="Arial" w:hAnsi="Arial"/>
          <w:color w:val="000000"/>
          <w:kern w:val="2"/>
          <w:sz w:val="21"/>
        </w:rPr>
        <w:t>.</w:t>
      </w:r>
      <w:r>
        <w:rPr>
          <w:rFonts w:hint="eastAsia" w:ascii="Arial" w:hAnsi="Arial"/>
          <w:kern w:val="2"/>
          <w:sz w:val="21"/>
        </w:rPr>
        <w:t>在价值时点的房地产市场为公开、平等、自愿的交易市场。</w:t>
      </w:r>
    </w:p>
    <w:p>
      <w:pPr>
        <w:overflowPunct w:val="0"/>
        <w:spacing w:line="480" w:lineRule="auto"/>
        <w:ind w:firstLine="420" w:firstLineChars="200"/>
        <w:jc w:val="both"/>
        <w:textAlignment w:val="auto"/>
        <w:rPr>
          <w:rFonts w:ascii="Arial" w:hAnsi="Arial"/>
          <w:kern w:val="2"/>
          <w:sz w:val="21"/>
        </w:rPr>
      </w:pPr>
      <w:r>
        <w:rPr>
          <w:rFonts w:hint="eastAsia" w:ascii="Arial" w:hAnsi="Arial"/>
          <w:kern w:val="2"/>
          <w:sz w:val="21"/>
        </w:rPr>
        <w:t>2.本估价报告的估价结果为正常条件下的公开市场价值，房地产交易需要买卖双方在了解足够的市场信息，拥有足够的谈判时间，经过谨慎的考虑和对房地产市场进行合理预期，并具体考虑买卖双方的偏好等条件下方能实现。对于房地产市场的波动及快速变现等特殊交易因素可能导致房地产价格有较大幅度的变化，本估价报告未考虑这种变化对估价对象价值产生的影响。</w:t>
      </w:r>
    </w:p>
    <w:p>
      <w:pPr>
        <w:overflowPunct w:val="0"/>
        <w:spacing w:line="480" w:lineRule="auto"/>
        <w:ind w:firstLine="420" w:firstLineChars="200"/>
        <w:jc w:val="both"/>
        <w:textAlignment w:val="auto"/>
        <w:rPr>
          <w:rFonts w:ascii="Arial" w:hAnsi="Arial"/>
          <w:kern w:val="2"/>
          <w:sz w:val="21"/>
        </w:rPr>
      </w:pPr>
      <w:r>
        <w:rPr>
          <w:rFonts w:hint="eastAsia" w:ascii="Arial" w:hAnsi="Arial"/>
          <w:kern w:val="2"/>
          <w:sz w:val="21"/>
        </w:rPr>
        <w:t>3.本次评估设定估价对象的出让国有建设用地使用权和建筑物所有权均为合法方式取得，并支付相关税费，估价对象能够正常上市交易。</w:t>
      </w:r>
    </w:p>
    <w:p>
      <w:pPr>
        <w:overflowPunct w:val="0"/>
        <w:spacing w:line="480" w:lineRule="auto"/>
        <w:ind w:firstLine="420" w:firstLineChars="200"/>
        <w:jc w:val="both"/>
        <w:textAlignment w:val="auto"/>
        <w:rPr>
          <w:rFonts w:ascii="Arial" w:hAnsi="Arial"/>
          <w:kern w:val="2"/>
          <w:sz w:val="21"/>
        </w:rPr>
      </w:pPr>
      <w:r>
        <w:rPr>
          <w:rFonts w:hint="eastAsia" w:ascii="Arial" w:hAnsi="Arial"/>
          <w:color w:val="000000"/>
          <w:kern w:val="2"/>
          <w:sz w:val="21"/>
        </w:rPr>
        <w:t>4.评估专业人员已</w:t>
      </w:r>
      <w:r>
        <w:rPr>
          <w:rFonts w:hint="eastAsia" w:ascii="Arial" w:hAnsi="Arial"/>
          <w:kern w:val="2"/>
          <w:sz w:val="21"/>
        </w:rPr>
        <w:t>对估价委托人所提供的、本估价报告所依据的估价对象的权属以及其他相关资料进行了检查，</w:t>
      </w:r>
      <w:r>
        <w:rPr>
          <w:rFonts w:ascii="Arial" w:hAnsi="Arial"/>
          <w:kern w:val="2"/>
          <w:sz w:val="21"/>
        </w:rPr>
        <w:t>无理由怀疑其合法性、真实性、准确性和完整性</w:t>
      </w:r>
      <w:r>
        <w:rPr>
          <w:rFonts w:hint="eastAsia" w:ascii="Arial" w:hAnsi="Arial"/>
          <w:kern w:val="2"/>
          <w:sz w:val="21"/>
        </w:rPr>
        <w:t>。本次评估设定估价委托人提供的资料合法、属实，并且提供了与本次评估有关的所有</w:t>
      </w:r>
      <w:r>
        <w:rPr>
          <w:rFonts w:hint="eastAsia" w:ascii="Arial" w:hAnsi="Arial"/>
          <w:color w:val="000000"/>
          <w:kern w:val="2"/>
          <w:sz w:val="21"/>
        </w:rPr>
        <w:t>资料，没有保留及隐瞒</w:t>
      </w:r>
      <w:r>
        <w:rPr>
          <w:rFonts w:hint="eastAsia" w:ascii="Arial" w:hAnsi="Arial"/>
          <w:kern w:val="2"/>
          <w:sz w:val="21"/>
        </w:rPr>
        <w:t>。</w:t>
      </w:r>
    </w:p>
    <w:p>
      <w:pPr>
        <w:overflowPunct w:val="0"/>
        <w:spacing w:line="480" w:lineRule="auto"/>
        <w:ind w:firstLine="420" w:firstLineChars="200"/>
        <w:jc w:val="both"/>
        <w:textAlignment w:val="auto"/>
        <w:rPr>
          <w:rFonts w:ascii="Arial" w:hAnsi="Arial" w:cs="Arial"/>
          <w:i/>
          <w:color w:val="548DD4"/>
          <w:kern w:val="2"/>
          <w:sz w:val="21"/>
          <w:szCs w:val="21"/>
        </w:rPr>
      </w:pPr>
      <w:r>
        <w:rPr>
          <w:rFonts w:hint="eastAsia" w:ascii="Arial" w:hAnsi="Arial"/>
          <w:kern w:val="2"/>
          <w:sz w:val="21"/>
        </w:rPr>
        <w:t>5.</w:t>
      </w:r>
      <w:r>
        <w:rPr>
          <w:rFonts w:ascii="Arial" w:hAnsi="Arial" w:cs="Arial"/>
          <w:sz w:val="21"/>
        </w:rPr>
        <w:t>估价对象建筑面积以</w:t>
      </w:r>
      <w:r>
        <w:rPr>
          <w:rFonts w:hint="eastAsia" w:ascii="Arial" w:hAnsi="Arial"/>
          <w:kern w:val="2"/>
          <w:sz w:val="21"/>
        </w:rPr>
        <w:t>《不动产权利及其他事项登记信息》[不动产单元号：110115003001GB00194F00050144]复印件</w:t>
      </w:r>
      <w:r>
        <w:rPr>
          <w:rFonts w:ascii="Arial" w:hAnsi="Arial" w:cs="Arial"/>
          <w:color w:val="000000"/>
          <w:sz w:val="21"/>
        </w:rPr>
        <w:t>上载明的为依据</w:t>
      </w:r>
      <w:r>
        <w:rPr>
          <w:rFonts w:hint="eastAsia" w:ascii="Arial" w:hAnsi="Arial" w:cs="Arial"/>
          <w:color w:val="000000"/>
          <w:sz w:val="21"/>
        </w:rPr>
        <w:t>。</w:t>
      </w:r>
    </w:p>
    <w:p>
      <w:pPr>
        <w:overflowPunct w:val="0"/>
        <w:spacing w:line="480" w:lineRule="auto"/>
        <w:ind w:firstLine="420" w:firstLineChars="200"/>
        <w:jc w:val="both"/>
        <w:textAlignment w:val="auto"/>
        <w:rPr>
          <w:rFonts w:ascii="Arial" w:hAnsi="Arial"/>
          <w:color w:val="000000"/>
          <w:kern w:val="2"/>
          <w:sz w:val="21"/>
        </w:rPr>
      </w:pPr>
      <w:r>
        <w:rPr>
          <w:rFonts w:hint="eastAsia" w:ascii="Arial" w:hAnsi="Arial"/>
          <w:sz w:val="21"/>
        </w:rPr>
        <w:t>6.</w:t>
      </w:r>
      <w:r>
        <w:rPr>
          <w:rFonts w:hint="eastAsia" w:ascii="Arial" w:hAnsi="Arial"/>
          <w:color w:val="000000"/>
          <w:kern w:val="2"/>
          <w:sz w:val="21"/>
        </w:rPr>
        <w:t>评估专业人员对估价对象及其周边环境进行了一般性查勘，并对</w:t>
      </w:r>
      <w:r>
        <w:rPr>
          <w:rFonts w:ascii="Arial" w:hAnsi="Arial"/>
          <w:color w:val="000000"/>
          <w:kern w:val="2"/>
          <w:sz w:val="21"/>
        </w:rPr>
        <w:t>房屋安全</w:t>
      </w:r>
      <w:r>
        <w:rPr>
          <w:rFonts w:hint="eastAsia" w:ascii="Arial" w:hAnsi="Arial"/>
          <w:color w:val="000000"/>
          <w:kern w:val="2"/>
          <w:sz w:val="21"/>
        </w:rPr>
        <w:t>以及</w:t>
      </w:r>
      <w:r>
        <w:rPr>
          <w:rFonts w:ascii="Arial" w:hAnsi="Arial"/>
          <w:color w:val="000000"/>
          <w:kern w:val="2"/>
          <w:sz w:val="21"/>
        </w:rPr>
        <w:t>环境污染等</w:t>
      </w:r>
      <w:r>
        <w:rPr>
          <w:rFonts w:hint="eastAsia" w:ascii="Arial" w:hAnsi="Arial"/>
          <w:color w:val="000000"/>
          <w:kern w:val="2"/>
          <w:sz w:val="21"/>
        </w:rPr>
        <w:t>影响估价对象价值的重大因素给予了关注</w:t>
      </w:r>
      <w:r>
        <w:rPr>
          <w:rFonts w:ascii="Arial" w:hAnsi="Arial"/>
          <w:color w:val="000000"/>
          <w:kern w:val="2"/>
          <w:sz w:val="21"/>
        </w:rPr>
        <w:t>，</w:t>
      </w:r>
      <w:r>
        <w:rPr>
          <w:rFonts w:hint="eastAsia" w:ascii="Arial" w:hAnsi="Arial"/>
          <w:color w:val="000000"/>
          <w:kern w:val="2"/>
          <w:sz w:val="21"/>
        </w:rPr>
        <w:t>在</w:t>
      </w:r>
      <w:r>
        <w:rPr>
          <w:rFonts w:ascii="Arial" w:hAnsi="Arial"/>
          <w:color w:val="000000"/>
          <w:kern w:val="2"/>
          <w:sz w:val="21"/>
        </w:rPr>
        <w:t>无理由怀疑估价对象存在隐患</w:t>
      </w:r>
      <w:r>
        <w:rPr>
          <w:rFonts w:hint="eastAsia" w:ascii="Arial" w:hAnsi="Arial"/>
          <w:color w:val="000000"/>
          <w:kern w:val="2"/>
          <w:sz w:val="21"/>
        </w:rPr>
        <w:t>且无相应的专业机构进行鉴定、检测的情况下，设定估价对象能够正常安全使用。</w:t>
      </w:r>
    </w:p>
    <w:p>
      <w:pPr>
        <w:overflowPunct w:val="0"/>
        <w:spacing w:line="480" w:lineRule="auto"/>
        <w:ind w:firstLine="420" w:firstLineChars="200"/>
        <w:jc w:val="both"/>
        <w:textAlignment w:val="auto"/>
        <w:rPr>
          <w:rFonts w:ascii="Arial" w:hAnsi="Arial"/>
          <w:color w:val="000000"/>
          <w:kern w:val="2"/>
          <w:sz w:val="21"/>
        </w:rPr>
      </w:pPr>
      <w:r>
        <w:rPr>
          <w:rFonts w:hint="eastAsia" w:ascii="Arial" w:hAnsi="Arial"/>
          <w:color w:val="000000"/>
          <w:kern w:val="2"/>
          <w:sz w:val="21"/>
        </w:rPr>
        <w:t>7.</w:t>
      </w:r>
      <w:r>
        <w:rPr>
          <w:rFonts w:hint="eastAsia" w:ascii="Arial" w:hAnsi="Arial" w:cs="Arial"/>
          <w:kern w:val="2"/>
          <w:sz w:val="21"/>
        </w:rPr>
        <w:t>本次评估价值时点为2021年10月20日，即</w:t>
      </w:r>
      <w:r>
        <w:rPr>
          <w:rFonts w:ascii="Arial" w:hAnsi="Arial" w:cs="Arial"/>
          <w:bCs/>
          <w:sz w:val="21"/>
          <w:szCs w:val="21"/>
        </w:rPr>
        <w:t>评估专业人员实地查勘之日</w:t>
      </w:r>
      <w:r>
        <w:rPr>
          <w:rFonts w:ascii="Arial" w:hAnsi="Arial" w:cs="Arial"/>
          <w:kern w:val="2"/>
          <w:sz w:val="21"/>
        </w:rPr>
        <w:t>。本报告估价对象在价值时点的装修情况以评估专业人员在实地查勘日（</w:t>
      </w:r>
      <w:r>
        <w:rPr>
          <w:rFonts w:hint="eastAsia" w:ascii="Arial" w:hAnsi="Arial" w:cs="Arial"/>
          <w:kern w:val="2"/>
          <w:sz w:val="21"/>
        </w:rPr>
        <w:t>2021年10月20日</w:t>
      </w:r>
      <w:r>
        <w:rPr>
          <w:rFonts w:ascii="Arial" w:hAnsi="Arial" w:cs="Arial"/>
          <w:kern w:val="2"/>
          <w:sz w:val="21"/>
        </w:rPr>
        <w:t>）经</w:t>
      </w:r>
      <w:r>
        <w:rPr>
          <w:rFonts w:hint="eastAsia" w:ascii="Arial" w:hAnsi="Arial" w:cs="Arial"/>
          <w:kern w:val="2"/>
          <w:sz w:val="21"/>
          <w:lang w:eastAsia="zh-CN"/>
        </w:rPr>
        <w:t>法官</w:t>
      </w:r>
      <w:r>
        <w:rPr>
          <w:rFonts w:hint="eastAsia" w:ascii="Arial" w:hAnsi="Arial" w:cs="Arial"/>
          <w:kern w:val="2"/>
          <w:sz w:val="21"/>
        </w:rPr>
        <w:t>张鹏</w:t>
      </w:r>
      <w:r>
        <w:rPr>
          <w:rFonts w:ascii="Arial" w:hAnsi="Arial" w:cs="Arial"/>
          <w:kern w:val="2"/>
          <w:sz w:val="21"/>
        </w:rPr>
        <w:t>现场签字确认的调查记录进行设定。</w:t>
      </w:r>
      <w:r>
        <w:rPr>
          <w:rFonts w:hint="eastAsia" w:ascii="Arial" w:hAnsi="Arial" w:cs="Arial"/>
          <w:kern w:val="2"/>
          <w:sz w:val="21"/>
        </w:rPr>
        <w:t>本次评估设定人民法院拍卖或变卖财产之日，估价对象状况和房地产市场状况与实地查勘日的状况相同。</w:t>
      </w:r>
      <w:r>
        <w:rPr>
          <w:rFonts w:ascii="Arial" w:hAnsi="Arial" w:cs="Arial"/>
          <w:kern w:val="2"/>
          <w:sz w:val="21"/>
        </w:rPr>
        <w:t>若估价对象实际情况与设定情况不符，则估价结果需要做相应的调整直至重新评估。本报告估价结果已包含装修价值，特</w:t>
      </w:r>
      <w:r>
        <w:rPr>
          <w:rFonts w:ascii="Arial" w:hAnsi="Arial" w:cs="Arial"/>
          <w:color w:val="000000"/>
          <w:kern w:val="2"/>
          <w:sz w:val="21"/>
        </w:rPr>
        <w:t>此说明。</w:t>
      </w:r>
    </w:p>
    <w:p>
      <w:pPr>
        <w:overflowPunct w:val="0"/>
        <w:spacing w:line="480" w:lineRule="auto"/>
        <w:ind w:firstLine="420" w:firstLineChars="200"/>
        <w:jc w:val="both"/>
        <w:textAlignment w:val="auto"/>
        <w:rPr>
          <w:rFonts w:ascii="Arial" w:hAnsi="Arial"/>
          <w:kern w:val="2"/>
          <w:sz w:val="21"/>
        </w:rPr>
      </w:pPr>
      <w:r>
        <w:rPr>
          <w:rFonts w:hint="eastAsia" w:ascii="Arial" w:hAnsi="Arial"/>
          <w:kern w:val="2"/>
          <w:sz w:val="21"/>
        </w:rPr>
        <w:t>8</w:t>
      </w:r>
      <w:r>
        <w:rPr>
          <w:rFonts w:hint="eastAsia" w:ascii="Arial" w:hAnsi="Arial"/>
          <w:color w:val="000000"/>
          <w:kern w:val="2"/>
          <w:sz w:val="21"/>
        </w:rPr>
        <w:t>.</w:t>
      </w:r>
      <w:r>
        <w:rPr>
          <w:rFonts w:hint="eastAsia" w:ascii="Arial" w:hAnsi="Arial"/>
          <w:kern w:val="2"/>
          <w:sz w:val="21"/>
        </w:rPr>
        <w:t>任何有关估价对象的运作方式、程序符合国家、地方的有关法律、法规。</w:t>
      </w:r>
    </w:p>
    <w:p>
      <w:pPr>
        <w:overflowPunct w:val="0"/>
        <w:spacing w:line="480" w:lineRule="auto"/>
        <w:ind w:firstLine="420" w:firstLineChars="200"/>
        <w:jc w:val="both"/>
        <w:textAlignment w:val="auto"/>
        <w:rPr>
          <w:rFonts w:ascii="Arial" w:hAnsi="Arial" w:cs="Arial"/>
          <w:kern w:val="2"/>
          <w:sz w:val="21"/>
        </w:rPr>
      </w:pPr>
      <w:r>
        <w:rPr>
          <w:rFonts w:hint="eastAsia" w:ascii="Arial" w:hAnsi="Arial" w:cs="Arial"/>
          <w:kern w:val="2"/>
          <w:sz w:val="21"/>
        </w:rPr>
        <w:t>9</w:t>
      </w:r>
      <w:r>
        <w:rPr>
          <w:rFonts w:ascii="Arial" w:hAnsi="Arial" w:cs="Arial"/>
          <w:kern w:val="2"/>
          <w:sz w:val="21"/>
        </w:rPr>
        <w:t>.</w:t>
      </w:r>
      <w:r>
        <w:rPr>
          <w:rFonts w:ascii="Arial" w:hAnsi="Arial" w:cs="Arial"/>
          <w:sz w:val="21"/>
          <w:szCs w:val="28"/>
        </w:rPr>
        <w:t>经国务院批准，自2016年5月1日起，在全国范围内全面推开营业税改征增值税试点，建筑业、房地产业、金融业、生活服务业等全部营业税纳税人，纳入试点范围，由缴纳营业税改为缴纳增值税。增值税与营业税的计算方式不同：营业税直接依据销售额乘以税率计算应纳税额，而增值税按销售额乘以税率计算出销项税额后，还要扣减成本费用中的进项税额，才是最终的应纳税额；增值税的计税销售额为不含税销售额，而营业税的计税销售额为含税销售额。涉及税制转换和政策调整，较为复杂。总体上看，纳税人的税收负担一般都有不同程度的下降。根据估价目的、报告使用用途及必要性原则要求，本估价报告采纳简易计税方法记取增值税进行测算。</w:t>
      </w:r>
    </w:p>
    <w:p>
      <w:pPr>
        <w:overflowPunct w:val="0"/>
        <w:spacing w:line="480" w:lineRule="auto"/>
        <w:ind w:firstLine="420" w:firstLineChars="200"/>
        <w:jc w:val="both"/>
        <w:textAlignment w:val="auto"/>
        <w:rPr>
          <w:rFonts w:ascii="Arial" w:hAnsi="Arial" w:cs="Arial"/>
          <w:color w:val="000000"/>
          <w:kern w:val="2"/>
          <w:sz w:val="21"/>
        </w:rPr>
      </w:pPr>
      <w:r>
        <w:rPr>
          <w:rFonts w:hint="eastAsia" w:ascii="Arial" w:hAnsi="Arial" w:cs="Arial"/>
          <w:color w:val="000000"/>
          <w:kern w:val="2"/>
          <w:sz w:val="21"/>
        </w:rPr>
        <w:t>10</w:t>
      </w:r>
      <w:r>
        <w:rPr>
          <w:rFonts w:ascii="Arial" w:hAnsi="Arial" w:cs="Arial"/>
          <w:color w:val="000000"/>
          <w:kern w:val="2"/>
          <w:sz w:val="21"/>
        </w:rPr>
        <w:t>.本次估价结果未考虑国家宏观政策发生重大变化以及遇有自然力和其他不可抗力对估价结果的影响。</w:t>
      </w:r>
    </w:p>
    <w:p>
      <w:pPr>
        <w:overflowPunct w:val="0"/>
        <w:spacing w:line="480" w:lineRule="auto"/>
        <w:ind w:firstLine="420" w:firstLineChars="200"/>
        <w:jc w:val="both"/>
        <w:textAlignment w:val="auto"/>
        <w:rPr>
          <w:rFonts w:ascii="Arial" w:hAnsi="Arial"/>
          <w:kern w:val="2"/>
          <w:sz w:val="21"/>
        </w:rPr>
      </w:pPr>
      <w:r>
        <w:rPr>
          <w:rFonts w:ascii="Arial" w:hAnsi="Arial" w:cs="Arial"/>
          <w:kern w:val="2"/>
          <w:sz w:val="21"/>
        </w:rPr>
        <w:t>1</w:t>
      </w:r>
      <w:r>
        <w:rPr>
          <w:rFonts w:hint="eastAsia" w:ascii="Arial" w:hAnsi="Arial" w:cs="Arial"/>
          <w:kern w:val="2"/>
          <w:sz w:val="21"/>
        </w:rPr>
        <w:t>1</w:t>
      </w:r>
      <w:r>
        <w:rPr>
          <w:rFonts w:ascii="Arial" w:hAnsi="Arial" w:cs="Arial"/>
          <w:kern w:val="2"/>
          <w:sz w:val="21"/>
        </w:rPr>
        <w:t>.估价结果未考虑估价对象已承担的债务、或有债务对其价值的影响。</w:t>
      </w:r>
    </w:p>
    <w:p>
      <w:pPr>
        <w:overflowPunct w:val="0"/>
        <w:spacing w:line="480" w:lineRule="auto"/>
        <w:jc w:val="both"/>
        <w:textAlignment w:val="auto"/>
        <w:outlineLvl w:val="0"/>
        <w:rPr>
          <w:rFonts w:ascii="Arial" w:hAnsi="Arial" w:cs="Arial"/>
          <w:b/>
          <w:kern w:val="2"/>
          <w:sz w:val="21"/>
        </w:rPr>
      </w:pPr>
      <w:r>
        <w:rPr>
          <w:rFonts w:hint="eastAsia" w:ascii="Arial" w:hAnsi="Arial" w:cs="Arial"/>
          <w:b/>
          <w:kern w:val="2"/>
          <w:sz w:val="21"/>
        </w:rPr>
        <w:t>（二）特殊事项假设前提</w:t>
      </w:r>
    </w:p>
    <w:p>
      <w:pPr>
        <w:overflowPunct w:val="0"/>
        <w:spacing w:line="480" w:lineRule="auto"/>
        <w:ind w:firstLine="420" w:firstLineChars="200"/>
        <w:jc w:val="both"/>
        <w:textAlignment w:val="auto"/>
        <w:rPr>
          <w:rFonts w:ascii="Arial" w:hAnsi="Arial"/>
          <w:color w:val="000000"/>
          <w:kern w:val="2"/>
          <w:sz w:val="21"/>
        </w:rPr>
      </w:pPr>
      <w:r>
        <w:rPr>
          <w:rFonts w:hint="eastAsia" w:ascii="Arial" w:hAnsi="Arial"/>
          <w:color w:val="000000"/>
          <w:kern w:val="2"/>
          <w:sz w:val="21"/>
        </w:rPr>
        <w:t>1.未定事项假设</w:t>
      </w:r>
    </w:p>
    <w:p>
      <w:pPr>
        <w:overflowPunct w:val="0"/>
        <w:spacing w:line="480" w:lineRule="auto"/>
        <w:ind w:firstLine="420" w:firstLineChars="200"/>
        <w:jc w:val="both"/>
        <w:textAlignment w:val="auto"/>
        <w:rPr>
          <w:rFonts w:ascii="Arial" w:hAnsi="Arial" w:cs="Arial"/>
          <w:color w:val="000000"/>
          <w:kern w:val="2"/>
          <w:sz w:val="21"/>
        </w:rPr>
      </w:pPr>
      <w:r>
        <w:rPr>
          <w:rFonts w:hint="eastAsia" w:ascii="Arial" w:hAnsi="Arial" w:cs="Arial"/>
          <w:color w:val="000000"/>
          <w:kern w:val="2"/>
          <w:sz w:val="21"/>
        </w:rPr>
        <w:t>（1）</w:t>
      </w:r>
      <w:r>
        <w:rPr>
          <w:rFonts w:ascii="Arial" w:hAnsi="Arial" w:cs="Arial"/>
          <w:color w:val="000000"/>
          <w:kern w:val="2"/>
          <w:sz w:val="21"/>
        </w:rPr>
        <w:t>截至价值时点，估价委托人未提供被执行人</w:t>
      </w:r>
      <w:r>
        <w:rPr>
          <w:rFonts w:hint="eastAsia" w:ascii="Arial" w:hAnsi="Arial" w:cs="Arial"/>
          <w:color w:val="000000"/>
          <w:kern w:val="2"/>
          <w:sz w:val="21"/>
        </w:rPr>
        <w:t>王孝珍</w:t>
      </w:r>
      <w:r>
        <w:rPr>
          <w:rFonts w:ascii="Arial" w:hAnsi="Arial" w:cs="Arial"/>
          <w:color w:val="000000"/>
          <w:kern w:val="2"/>
          <w:sz w:val="21"/>
        </w:rPr>
        <w:t>个人出租住房月</w:t>
      </w:r>
      <w:r>
        <w:rPr>
          <w:rFonts w:ascii="Arial" w:hAnsi="Arial"/>
          <w:kern w:val="2"/>
          <w:sz w:val="21"/>
        </w:rPr>
        <w:t>收入情况的说明，故本次评估未考虑税收优惠政策对估价结果的</w:t>
      </w:r>
      <w:r>
        <w:rPr>
          <w:rFonts w:ascii="Arial" w:hAnsi="Arial" w:cs="Arial"/>
          <w:color w:val="000000"/>
          <w:kern w:val="2"/>
          <w:sz w:val="21"/>
        </w:rPr>
        <w:t>影响。</w:t>
      </w:r>
    </w:p>
    <w:p>
      <w:pPr>
        <w:overflowPunct w:val="0"/>
        <w:spacing w:line="480" w:lineRule="auto"/>
        <w:ind w:firstLine="420" w:firstLineChars="200"/>
        <w:jc w:val="both"/>
        <w:textAlignment w:val="auto"/>
        <w:rPr>
          <w:rFonts w:ascii="Arial" w:hAnsi="Arial" w:cs="Arial"/>
          <w:kern w:val="2"/>
          <w:sz w:val="21"/>
          <w:szCs w:val="21"/>
        </w:rPr>
      </w:pPr>
      <w:r>
        <w:rPr>
          <w:rFonts w:hint="eastAsia" w:ascii="Arial" w:hAnsi="Arial"/>
          <w:kern w:val="2"/>
          <w:sz w:val="21"/>
        </w:rPr>
        <w:t>（2）估价对象《商品房买卖合同》[合同编号：0779997]部分复印件及《不动产权利及其他事项登记信息》[不动产单元号：110115003001GB00194F00050144]复印件未记载估价对象房屋的建成年份，经评估专业人员实地调查，房屋建成年份为2005年，本次估价房屋建成年份以实际调查为准。</w:t>
      </w:r>
      <w:r>
        <w:rPr>
          <w:rFonts w:ascii="Arial" w:hAnsi="Arial" w:cs="Arial"/>
          <w:kern w:val="2"/>
          <w:sz w:val="21"/>
          <w:szCs w:val="21"/>
        </w:rPr>
        <w:t>如果估价对象的</w:t>
      </w:r>
      <w:r>
        <w:rPr>
          <w:rFonts w:hint="eastAsia" w:ascii="Arial" w:hAnsi="Arial" w:cs="Arial"/>
          <w:kern w:val="2"/>
          <w:sz w:val="21"/>
          <w:szCs w:val="21"/>
        </w:rPr>
        <w:t>建成年代</w:t>
      </w:r>
      <w:r>
        <w:rPr>
          <w:rFonts w:ascii="Arial" w:hAnsi="Arial" w:cs="Arial"/>
          <w:kern w:val="2"/>
          <w:sz w:val="21"/>
          <w:szCs w:val="21"/>
        </w:rPr>
        <w:t>发生变化，需重新进行评估。</w:t>
      </w:r>
    </w:p>
    <w:p>
      <w:pPr>
        <w:overflowPunct w:val="0"/>
        <w:spacing w:line="480" w:lineRule="auto"/>
        <w:ind w:firstLine="420" w:firstLineChars="200"/>
        <w:jc w:val="both"/>
        <w:textAlignment w:val="auto"/>
        <w:rPr>
          <w:rFonts w:hint="eastAsia" w:ascii="Arial" w:hAnsi="Arial"/>
          <w:kern w:val="2"/>
          <w:sz w:val="21"/>
        </w:rPr>
      </w:pPr>
      <w:r>
        <w:rPr>
          <w:rFonts w:hint="eastAsia" w:ascii="Arial" w:hAnsi="Arial" w:cs="Arial"/>
          <w:kern w:val="2"/>
          <w:sz w:val="21"/>
          <w:szCs w:val="21"/>
        </w:rPr>
        <w:t>（3）根据</w:t>
      </w:r>
      <w:r>
        <w:rPr>
          <w:rFonts w:hint="eastAsia" w:ascii="Arial" w:hAnsi="Arial" w:cs="Arial"/>
          <w:kern w:val="2"/>
          <w:sz w:val="21"/>
          <w:szCs w:val="21"/>
          <w:lang w:eastAsia="zh-CN"/>
        </w:rPr>
        <w:t>估价委托人</w:t>
      </w:r>
      <w:r>
        <w:rPr>
          <w:rFonts w:hint="eastAsia" w:ascii="Arial" w:hAnsi="Arial" w:cs="Arial"/>
          <w:kern w:val="2"/>
          <w:sz w:val="21"/>
          <w:szCs w:val="21"/>
        </w:rPr>
        <w:t>及评估专业人员实地查勘，估价对象</w:t>
      </w:r>
      <w:r>
        <w:rPr>
          <w:rFonts w:hint="eastAsia" w:ascii="Arial" w:hAnsi="Arial" w:cs="Arial"/>
          <w:kern w:val="2"/>
          <w:sz w:val="21"/>
          <w:szCs w:val="21"/>
          <w:lang w:eastAsia="zh-CN"/>
        </w:rPr>
        <w:t>南</w:t>
      </w:r>
      <w:r>
        <w:rPr>
          <w:rFonts w:hint="eastAsia" w:ascii="Arial" w:hAnsi="Arial" w:cs="Arial"/>
          <w:kern w:val="2"/>
          <w:sz w:val="21"/>
          <w:szCs w:val="21"/>
        </w:rPr>
        <w:t>侧</w:t>
      </w:r>
      <w:r>
        <w:rPr>
          <w:rFonts w:hint="eastAsia" w:ascii="Arial" w:hAnsi="Arial" w:cs="Arial"/>
          <w:kern w:val="2"/>
          <w:sz w:val="21"/>
          <w:szCs w:val="21"/>
          <w:lang w:eastAsia="zh-CN"/>
        </w:rPr>
        <w:t>赠送花园，</w:t>
      </w:r>
      <w:r>
        <w:rPr>
          <w:rFonts w:hint="eastAsia" w:ascii="Arial" w:hAnsi="Arial" w:cs="Arial"/>
          <w:kern w:val="2"/>
          <w:sz w:val="21"/>
          <w:szCs w:val="21"/>
        </w:rPr>
        <w:t>本报告已考虑上述情况对估价结果的影响，在此提请报告使用者注意。</w:t>
      </w:r>
    </w:p>
    <w:p>
      <w:pPr>
        <w:overflowPunct w:val="0"/>
        <w:spacing w:line="480" w:lineRule="auto"/>
        <w:ind w:firstLine="420" w:firstLineChars="200"/>
        <w:jc w:val="both"/>
        <w:textAlignment w:val="auto"/>
        <w:rPr>
          <w:rFonts w:ascii="Arial" w:hAnsi="Arial"/>
          <w:color w:val="000000"/>
          <w:kern w:val="2"/>
          <w:sz w:val="21"/>
        </w:rPr>
      </w:pPr>
      <w:r>
        <w:rPr>
          <w:rFonts w:hint="eastAsia" w:ascii="Arial" w:hAnsi="Arial"/>
          <w:color w:val="000000"/>
          <w:kern w:val="2"/>
          <w:sz w:val="21"/>
        </w:rPr>
        <w:t>2.背离事实假设</w:t>
      </w:r>
    </w:p>
    <w:p>
      <w:pPr>
        <w:overflowPunct w:val="0"/>
        <w:spacing w:line="480" w:lineRule="auto"/>
        <w:ind w:firstLine="420" w:firstLineChars="200"/>
        <w:jc w:val="both"/>
        <w:textAlignment w:val="auto"/>
        <w:rPr>
          <w:rFonts w:ascii="Arial" w:hAnsi="Arial"/>
          <w:kern w:val="2"/>
          <w:sz w:val="21"/>
        </w:rPr>
      </w:pPr>
      <w:r>
        <w:rPr>
          <w:rFonts w:hint="eastAsia" w:ascii="Arial" w:hAnsi="Arial"/>
          <w:kern w:val="2"/>
          <w:sz w:val="21"/>
        </w:rPr>
        <w:t>在价值时点，估价对象已被人民法院查封（或存在担保物权、其他优先受偿款），本次估价不考虑估价对象已被查封因素的影响。</w:t>
      </w:r>
    </w:p>
    <w:p>
      <w:pPr>
        <w:overflowPunct w:val="0"/>
        <w:spacing w:line="480" w:lineRule="auto"/>
        <w:ind w:firstLine="420" w:firstLineChars="200"/>
        <w:jc w:val="both"/>
        <w:textAlignment w:val="auto"/>
        <w:rPr>
          <w:rFonts w:ascii="Arial" w:hAnsi="Arial"/>
          <w:color w:val="000000"/>
          <w:kern w:val="2"/>
          <w:sz w:val="21"/>
        </w:rPr>
      </w:pPr>
      <w:r>
        <w:rPr>
          <w:rFonts w:hint="eastAsia" w:ascii="Arial" w:hAnsi="Arial"/>
          <w:color w:val="000000"/>
          <w:kern w:val="2"/>
          <w:sz w:val="21"/>
        </w:rPr>
        <w:t>3.不相一致假设</w:t>
      </w:r>
    </w:p>
    <w:p>
      <w:pPr>
        <w:overflowPunct w:val="0"/>
        <w:spacing w:line="480" w:lineRule="auto"/>
        <w:ind w:firstLine="420" w:firstLineChars="200"/>
        <w:jc w:val="both"/>
        <w:textAlignment w:val="auto"/>
        <w:rPr>
          <w:rFonts w:ascii="Arial" w:hAnsi="Arial"/>
          <w:color w:val="000000"/>
          <w:kern w:val="2"/>
          <w:sz w:val="21"/>
        </w:rPr>
      </w:pPr>
      <w:r>
        <w:rPr>
          <w:rFonts w:hint="eastAsia" w:ascii="Arial" w:hAnsi="Arial"/>
          <w:color w:val="000000"/>
          <w:kern w:val="2"/>
          <w:sz w:val="21"/>
        </w:rPr>
        <w:t>无</w:t>
      </w:r>
    </w:p>
    <w:p>
      <w:pPr>
        <w:overflowPunct w:val="0"/>
        <w:spacing w:line="480" w:lineRule="auto"/>
        <w:ind w:firstLine="420" w:firstLineChars="200"/>
        <w:jc w:val="both"/>
        <w:textAlignment w:val="auto"/>
        <w:rPr>
          <w:rFonts w:ascii="Arial" w:hAnsi="Arial"/>
          <w:color w:val="000000"/>
          <w:kern w:val="2"/>
          <w:sz w:val="21"/>
        </w:rPr>
      </w:pPr>
      <w:r>
        <w:rPr>
          <w:rFonts w:hint="eastAsia" w:ascii="Arial" w:hAnsi="Arial"/>
          <w:color w:val="000000"/>
          <w:kern w:val="2"/>
          <w:sz w:val="21"/>
        </w:rPr>
        <w:t>4.依据不足假设</w:t>
      </w:r>
    </w:p>
    <w:p>
      <w:pPr>
        <w:overflowPunct w:val="0"/>
        <w:spacing w:before="20" w:after="20" w:line="480" w:lineRule="auto"/>
        <w:ind w:firstLine="420" w:firstLineChars="200"/>
        <w:jc w:val="both"/>
        <w:textAlignment w:val="auto"/>
        <w:rPr>
          <w:rFonts w:ascii="Arial" w:hAnsi="Arial"/>
          <w:kern w:val="2"/>
          <w:sz w:val="21"/>
        </w:rPr>
      </w:pPr>
      <w:r>
        <w:rPr>
          <w:rFonts w:hint="eastAsia" w:ascii="Arial" w:hAnsi="Arial" w:cs="Arial"/>
          <w:sz w:val="21"/>
        </w:rPr>
        <w:t>（1）</w:t>
      </w:r>
      <w:r>
        <w:rPr>
          <w:rFonts w:ascii="Arial" w:hAnsi="Arial" w:cs="Arial"/>
          <w:sz w:val="21"/>
        </w:rPr>
        <w:t>截至本估价报告出具之日，估价委托人未能提供</w:t>
      </w:r>
      <w:r>
        <w:rPr>
          <w:rFonts w:hint="eastAsia" w:ascii="Arial" w:hAnsi="Arial"/>
          <w:kern w:val="2"/>
          <w:sz w:val="21"/>
        </w:rPr>
        <w:t>《商品房买卖合同》[合同编号：0779997]及《不动产权利及其他事项登记信息》[不动产单元号：110115003001GB00194F00050144]原件</w:t>
      </w:r>
      <w:r>
        <w:rPr>
          <w:rFonts w:ascii="Arial" w:hAnsi="Arial" w:cs="Arial"/>
          <w:sz w:val="21"/>
        </w:rPr>
        <w:t>供评估专业人员核对，且评估专业人员进行了尽职调查，难以获取该资料。本次评估以估价委托人提供的</w:t>
      </w:r>
      <w:r>
        <w:rPr>
          <w:rFonts w:hint="eastAsia" w:ascii="Arial" w:hAnsi="Arial"/>
          <w:kern w:val="2"/>
          <w:sz w:val="21"/>
        </w:rPr>
        <w:t>《商品房买卖合同》[合同编号：0779997]部分复印件及《不动产权利及其他事项登记信息》[不动产单元号：110115003001GB00194F00050144]复印件</w:t>
      </w:r>
      <w:r>
        <w:rPr>
          <w:rFonts w:ascii="Arial" w:hAnsi="Arial" w:cs="Arial"/>
          <w:sz w:val="21"/>
        </w:rPr>
        <w:t>与原件一致为估价的假设前提。</w:t>
      </w:r>
    </w:p>
    <w:p>
      <w:pPr>
        <w:overflowPunct w:val="0"/>
        <w:spacing w:line="480" w:lineRule="auto"/>
        <w:jc w:val="both"/>
        <w:textAlignment w:val="auto"/>
        <w:outlineLvl w:val="0"/>
        <w:rPr>
          <w:rFonts w:ascii="Arial" w:hAnsi="Arial" w:cs="Arial"/>
          <w:b/>
          <w:kern w:val="2"/>
          <w:sz w:val="21"/>
        </w:rPr>
      </w:pPr>
      <w:r>
        <w:rPr>
          <w:rFonts w:hint="eastAsia" w:ascii="Arial" w:hAnsi="Arial" w:cs="Arial"/>
          <w:b/>
          <w:kern w:val="2"/>
          <w:sz w:val="21"/>
        </w:rPr>
        <w:t>（三）估价报告使用限制</w:t>
      </w:r>
    </w:p>
    <w:p>
      <w:pPr>
        <w:overflowPunct w:val="0"/>
        <w:spacing w:line="480" w:lineRule="auto"/>
        <w:ind w:firstLine="420" w:firstLineChars="200"/>
        <w:jc w:val="both"/>
        <w:textAlignment w:val="auto"/>
        <w:rPr>
          <w:rFonts w:ascii="Arial" w:hAnsi="Arial" w:cs="Arial"/>
          <w:kern w:val="2"/>
          <w:sz w:val="21"/>
          <w:szCs w:val="28"/>
        </w:rPr>
      </w:pPr>
      <w:r>
        <w:rPr>
          <w:rFonts w:ascii="Arial" w:hAnsi="Arial" w:cs="Arial"/>
          <w:sz w:val="21"/>
          <w:szCs w:val="28"/>
        </w:rPr>
        <w:t>1.</w:t>
      </w:r>
      <w:r>
        <w:rPr>
          <w:rFonts w:hint="eastAsia" w:ascii="Arial" w:hAnsi="Arial" w:cs="Arial"/>
          <w:sz w:val="21"/>
          <w:szCs w:val="28"/>
        </w:rPr>
        <w:t>使用范围：本估价报告只能由估价报告载明的报告使用者使用，且只能用于本报告载明的唯一估价目的和用途。</w:t>
      </w:r>
    </w:p>
    <w:p>
      <w:pPr>
        <w:overflowPunct w:val="0"/>
        <w:spacing w:line="480" w:lineRule="auto"/>
        <w:ind w:firstLine="420" w:firstLineChars="200"/>
        <w:jc w:val="both"/>
        <w:textAlignment w:val="auto"/>
        <w:rPr>
          <w:rFonts w:ascii="Arial" w:hAnsi="Arial" w:cs="Arial"/>
          <w:sz w:val="21"/>
          <w:szCs w:val="28"/>
        </w:rPr>
      </w:pPr>
      <w:r>
        <w:rPr>
          <w:rFonts w:hint="eastAsia" w:ascii="Arial" w:hAnsi="Arial" w:cs="Arial"/>
          <w:kern w:val="2"/>
          <w:sz w:val="21"/>
          <w:szCs w:val="28"/>
        </w:rPr>
        <w:t>2</w:t>
      </w:r>
      <w:r>
        <w:rPr>
          <w:rFonts w:ascii="Arial" w:hAnsi="Arial" w:cs="Arial"/>
          <w:kern w:val="2"/>
          <w:sz w:val="21"/>
          <w:szCs w:val="28"/>
        </w:rPr>
        <w:t>.</w:t>
      </w:r>
      <w:r>
        <w:rPr>
          <w:rFonts w:hint="eastAsia" w:ascii="Arial" w:hAnsi="Arial" w:cs="Arial"/>
          <w:sz w:val="21"/>
          <w:szCs w:val="28"/>
        </w:rPr>
        <w:t>估价委托人或者本</w:t>
      </w:r>
      <w:r>
        <w:rPr>
          <w:rFonts w:ascii="Arial" w:hAnsi="Arial" w:cs="Arial"/>
          <w:sz w:val="21"/>
        </w:rPr>
        <w:t>估价报告</w:t>
      </w:r>
      <w:r>
        <w:rPr>
          <w:rFonts w:hint="eastAsia" w:ascii="Arial" w:hAnsi="Arial" w:cs="Arial"/>
          <w:sz w:val="21"/>
          <w:szCs w:val="28"/>
        </w:rPr>
        <w:t>使用人应按照法律规定和</w:t>
      </w:r>
      <w:r>
        <w:rPr>
          <w:rFonts w:ascii="Arial" w:hAnsi="Arial" w:cs="Arial"/>
          <w:sz w:val="21"/>
        </w:rPr>
        <w:t>估价报告</w:t>
      </w:r>
      <w:r>
        <w:rPr>
          <w:rFonts w:hint="eastAsia" w:ascii="Arial" w:hAnsi="Arial" w:cs="Arial"/>
          <w:sz w:val="21"/>
          <w:szCs w:val="28"/>
        </w:rPr>
        <w:t>载明的使用范围使用本</w:t>
      </w:r>
      <w:r>
        <w:rPr>
          <w:rFonts w:ascii="Arial" w:hAnsi="Arial" w:cs="Arial"/>
          <w:sz w:val="21"/>
        </w:rPr>
        <w:t>估价报告</w:t>
      </w:r>
      <w:r>
        <w:rPr>
          <w:rFonts w:hint="eastAsia" w:ascii="Arial" w:hAnsi="Arial" w:cs="Arial"/>
          <w:sz w:val="21"/>
          <w:szCs w:val="28"/>
        </w:rPr>
        <w:t>。估价委托人或者</w:t>
      </w:r>
      <w:r>
        <w:rPr>
          <w:rFonts w:ascii="Arial" w:hAnsi="Arial" w:cs="Arial"/>
          <w:sz w:val="21"/>
        </w:rPr>
        <w:t>估价报告</w:t>
      </w:r>
      <w:r>
        <w:rPr>
          <w:rFonts w:hint="eastAsia" w:ascii="Arial" w:hAnsi="Arial" w:cs="Arial"/>
          <w:sz w:val="21"/>
          <w:szCs w:val="28"/>
        </w:rPr>
        <w:t>使用人违反前述规定使用本</w:t>
      </w:r>
      <w:r>
        <w:rPr>
          <w:rFonts w:ascii="Arial" w:hAnsi="Arial" w:cs="Arial"/>
          <w:sz w:val="21"/>
        </w:rPr>
        <w:t>估价报告</w:t>
      </w:r>
      <w:r>
        <w:rPr>
          <w:rFonts w:hint="eastAsia" w:ascii="Arial" w:hAnsi="Arial" w:cs="Arial"/>
          <w:sz w:val="21"/>
          <w:szCs w:val="28"/>
        </w:rPr>
        <w:t>的，房地产估价机构和评估专业人员不承担责任。</w:t>
      </w:r>
    </w:p>
    <w:p>
      <w:pPr>
        <w:overflowPunct w:val="0"/>
        <w:spacing w:line="480" w:lineRule="auto"/>
        <w:ind w:firstLine="420" w:firstLineChars="200"/>
        <w:jc w:val="both"/>
        <w:textAlignment w:val="auto"/>
        <w:rPr>
          <w:rFonts w:ascii="Arial" w:hAnsi="Arial" w:cs="Arial"/>
          <w:sz w:val="21"/>
          <w:szCs w:val="28"/>
        </w:rPr>
      </w:pPr>
      <w:r>
        <w:rPr>
          <w:rFonts w:hint="eastAsia" w:ascii="Arial" w:hAnsi="Arial" w:cs="Arial"/>
          <w:sz w:val="21"/>
          <w:szCs w:val="28"/>
        </w:rPr>
        <w:t>3.除估价委托人、估价委托合同中约定的其他估价报告使用人和法律、行政法规规定的估价报告使用人之外，其他任何机构和个人不能成为估价报告的使用人。</w:t>
      </w:r>
    </w:p>
    <w:p>
      <w:pPr>
        <w:overflowPunct w:val="0"/>
        <w:spacing w:line="480" w:lineRule="auto"/>
        <w:ind w:firstLine="420" w:firstLineChars="200"/>
        <w:jc w:val="both"/>
        <w:textAlignment w:val="auto"/>
        <w:rPr>
          <w:rFonts w:ascii="Arial" w:hAnsi="Arial" w:cs="Arial"/>
          <w:sz w:val="21"/>
          <w:szCs w:val="28"/>
        </w:rPr>
      </w:pPr>
      <w:r>
        <w:rPr>
          <w:rFonts w:hint="eastAsia" w:ascii="Arial" w:hAnsi="Arial" w:cs="Arial"/>
          <w:sz w:val="21"/>
          <w:szCs w:val="28"/>
        </w:rPr>
        <w:t>4.因财产拍卖或变卖日期与价值时点不一致，估价对象状况或者房地产市场状况的变化会对评估结果产生影响，特提请报告使用者注意。</w:t>
      </w:r>
    </w:p>
    <w:p>
      <w:pPr>
        <w:overflowPunct w:val="0"/>
        <w:spacing w:line="480" w:lineRule="auto"/>
        <w:ind w:firstLine="420" w:firstLineChars="200"/>
        <w:jc w:val="both"/>
        <w:textAlignment w:val="auto"/>
        <w:rPr>
          <w:rFonts w:ascii="Arial" w:hAnsi="Arial" w:cs="Arial"/>
          <w:kern w:val="2"/>
          <w:sz w:val="21"/>
        </w:rPr>
      </w:pPr>
      <w:r>
        <w:rPr>
          <w:rFonts w:hint="eastAsia" w:ascii="Arial" w:hAnsi="Arial" w:cs="Arial"/>
          <w:sz w:val="21"/>
          <w:szCs w:val="28"/>
        </w:rPr>
        <w:t>5.</w:t>
      </w:r>
      <w:r>
        <w:rPr>
          <w:rFonts w:hint="eastAsia" w:ascii="Arial" w:hAnsi="Arial" w:cs="Arial"/>
          <w:kern w:val="2"/>
          <w:sz w:val="21"/>
        </w:rPr>
        <w:t>在评估结果有效期内，估价对象状况或房地产市场发生明显变化的，评估结果应当相应调整，特提请报告使用者注意。</w:t>
      </w:r>
    </w:p>
    <w:p>
      <w:pPr>
        <w:overflowPunct w:val="0"/>
        <w:spacing w:line="480" w:lineRule="auto"/>
        <w:ind w:firstLine="420" w:firstLineChars="200"/>
        <w:jc w:val="both"/>
        <w:textAlignment w:val="auto"/>
        <w:rPr>
          <w:rFonts w:ascii="Arial" w:hAnsi="Arial" w:cs="Arial"/>
          <w:kern w:val="2"/>
          <w:sz w:val="21"/>
          <w:szCs w:val="28"/>
        </w:rPr>
      </w:pPr>
      <w:r>
        <w:rPr>
          <w:rFonts w:hint="eastAsia" w:ascii="Arial" w:hAnsi="Arial" w:cs="Arial"/>
          <w:kern w:val="2"/>
          <w:sz w:val="21"/>
        </w:rPr>
        <w:t>6.</w:t>
      </w:r>
      <w:r>
        <w:rPr>
          <w:rFonts w:hint="eastAsia" w:ascii="Arial" w:hAnsi="Arial" w:cs="Arial"/>
          <w:sz w:val="21"/>
          <w:szCs w:val="28"/>
        </w:rPr>
        <w:t>估价报告使用人应当正确理解估价结论。估价结论不等同于估价对象可实现价格，估价结论不应当被认为是对估价对象可实现价格的保证。对财产处置参考价司法评估而言，</w:t>
      </w:r>
      <w:r>
        <w:rPr>
          <w:rFonts w:hint="eastAsia" w:ascii="Arial" w:hAnsi="Arial" w:cs="Arial"/>
          <w:kern w:val="2"/>
          <w:sz w:val="21"/>
        </w:rPr>
        <w:t>评估结果不等于估价对象处置可实现的成交价，不应被认为是对估价对象处置成交价的保证，特提请报告使用者注意。</w:t>
      </w:r>
    </w:p>
    <w:p>
      <w:pPr>
        <w:overflowPunct w:val="0"/>
        <w:spacing w:line="480" w:lineRule="auto"/>
        <w:ind w:firstLine="420" w:firstLineChars="200"/>
        <w:jc w:val="both"/>
        <w:textAlignment w:val="auto"/>
        <w:rPr>
          <w:rFonts w:ascii="Arial" w:hAnsi="Arial" w:cs="Arial"/>
          <w:kern w:val="2"/>
          <w:sz w:val="21"/>
        </w:rPr>
      </w:pPr>
      <w:r>
        <w:rPr>
          <w:rFonts w:hint="eastAsia" w:ascii="Arial" w:hAnsi="Arial" w:cs="Arial"/>
          <w:kern w:val="2"/>
          <w:sz w:val="21"/>
          <w:szCs w:val="28"/>
        </w:rPr>
        <w:t>7.</w:t>
      </w:r>
      <w:r>
        <w:rPr>
          <w:rFonts w:ascii="Arial" w:hAnsi="Arial" w:cs="Arial"/>
          <w:kern w:val="2"/>
          <w:sz w:val="21"/>
          <w:szCs w:val="21"/>
        </w:rPr>
        <w:t>本</w:t>
      </w:r>
      <w:r>
        <w:rPr>
          <w:rFonts w:ascii="Arial" w:hAnsi="Arial" w:cs="Arial"/>
          <w:sz w:val="21"/>
          <w:szCs w:val="21"/>
        </w:rPr>
        <w:t>估价报告</w:t>
      </w:r>
      <w:r>
        <w:rPr>
          <w:rFonts w:ascii="Arial" w:hAnsi="Arial" w:cs="Arial"/>
          <w:kern w:val="2"/>
          <w:sz w:val="21"/>
          <w:szCs w:val="21"/>
        </w:rPr>
        <w:t>评估目的是</w:t>
      </w:r>
      <w:r>
        <w:rPr>
          <w:rFonts w:hint="eastAsia" w:ascii="Arial" w:hAnsi="Arial"/>
          <w:kern w:val="2"/>
          <w:sz w:val="21"/>
        </w:rPr>
        <w:t>为人民法院确定财产处置参考价提供参考依据</w:t>
      </w:r>
      <w:r>
        <w:rPr>
          <w:rFonts w:ascii="Arial" w:hAnsi="Arial" w:cs="Arial"/>
          <w:kern w:val="2"/>
          <w:sz w:val="21"/>
          <w:szCs w:val="21"/>
        </w:rPr>
        <w:t>，不做其他评估目的之用。如果估价对象的评估条件或目的发生变化，需重新进行评估。</w:t>
      </w:r>
    </w:p>
    <w:p>
      <w:pPr>
        <w:overflowPunct w:val="0"/>
        <w:spacing w:line="480" w:lineRule="auto"/>
        <w:ind w:firstLine="420" w:firstLineChars="200"/>
        <w:jc w:val="both"/>
        <w:textAlignment w:val="auto"/>
        <w:rPr>
          <w:rFonts w:ascii="Arial" w:hAnsi="Arial"/>
          <w:color w:val="000000"/>
          <w:sz w:val="21"/>
        </w:rPr>
      </w:pPr>
      <w:r>
        <w:rPr>
          <w:rFonts w:hint="eastAsia" w:ascii="Arial" w:hAnsi="Arial"/>
          <w:kern w:val="2"/>
          <w:sz w:val="21"/>
        </w:rPr>
        <w:t>8</w:t>
      </w:r>
      <w:r>
        <w:rPr>
          <w:rFonts w:hint="eastAsia" w:ascii="Arial" w:hAnsi="Arial"/>
          <w:color w:val="000000"/>
          <w:kern w:val="2"/>
          <w:sz w:val="21"/>
        </w:rPr>
        <w:t>.本估价报告估价结果为价值时点下估价对象土地在现状规划条件、建筑物在现状成新度下的房地产正常市场价值，如估价对象规划用途、建筑面积或建筑物使用状况发生变化，估价结果需要做相应的调整直至重新评估</w:t>
      </w:r>
      <w:r>
        <w:rPr>
          <w:rFonts w:hint="eastAsia" w:ascii="Arial" w:hAnsi="Arial"/>
          <w:color w:val="000000"/>
          <w:sz w:val="21"/>
        </w:rPr>
        <w:t>。</w:t>
      </w:r>
    </w:p>
    <w:p>
      <w:pPr>
        <w:overflowPunct w:val="0"/>
        <w:spacing w:line="480" w:lineRule="auto"/>
        <w:ind w:firstLine="420" w:firstLineChars="200"/>
        <w:jc w:val="both"/>
        <w:textAlignment w:val="auto"/>
        <w:rPr>
          <w:rFonts w:ascii="Arial" w:hAnsi="Arial"/>
          <w:color w:val="000000"/>
          <w:kern w:val="2"/>
          <w:sz w:val="21"/>
        </w:rPr>
      </w:pPr>
      <w:r>
        <w:rPr>
          <w:rFonts w:hint="eastAsia" w:ascii="Arial" w:hAnsi="Arial"/>
          <w:color w:val="000000"/>
          <w:sz w:val="21"/>
        </w:rPr>
        <w:t>9</w:t>
      </w:r>
      <w:r>
        <w:rPr>
          <w:rFonts w:hint="eastAsia" w:ascii="Arial" w:hAnsi="Arial"/>
          <w:color w:val="000000"/>
          <w:kern w:val="2"/>
          <w:sz w:val="21"/>
        </w:rPr>
        <w:t>.</w:t>
      </w:r>
      <w:r>
        <w:rPr>
          <w:rFonts w:ascii="Arial" w:hAnsi="Arial"/>
          <w:color w:val="000000"/>
          <w:kern w:val="2"/>
          <w:sz w:val="21"/>
        </w:rPr>
        <w:t>评估专业</w:t>
      </w:r>
      <w:r>
        <w:rPr>
          <w:rFonts w:ascii="Arial" w:hAnsi="Arial"/>
          <w:kern w:val="2"/>
          <w:sz w:val="21"/>
        </w:rPr>
        <w:t>人员已于20</w:t>
      </w:r>
      <w:r>
        <w:rPr>
          <w:rFonts w:hint="eastAsia" w:ascii="Arial" w:hAnsi="Arial"/>
          <w:kern w:val="2"/>
          <w:sz w:val="21"/>
        </w:rPr>
        <w:t>21</w:t>
      </w:r>
      <w:r>
        <w:rPr>
          <w:rFonts w:ascii="Arial" w:hAnsi="Arial"/>
          <w:kern w:val="2"/>
          <w:sz w:val="21"/>
        </w:rPr>
        <w:t>年</w:t>
      </w:r>
      <w:r>
        <w:rPr>
          <w:rFonts w:hint="eastAsia" w:ascii="Arial" w:hAnsi="Arial"/>
          <w:kern w:val="2"/>
          <w:sz w:val="21"/>
        </w:rPr>
        <w:t>10</w:t>
      </w:r>
      <w:r>
        <w:rPr>
          <w:rFonts w:ascii="Arial" w:hAnsi="Arial"/>
          <w:kern w:val="2"/>
          <w:sz w:val="21"/>
        </w:rPr>
        <w:t>月</w:t>
      </w:r>
      <w:r>
        <w:rPr>
          <w:rFonts w:hint="eastAsia" w:ascii="Arial" w:hAnsi="Arial"/>
          <w:kern w:val="2"/>
          <w:sz w:val="21"/>
        </w:rPr>
        <w:t>20</w:t>
      </w:r>
      <w:r>
        <w:rPr>
          <w:rFonts w:ascii="Arial" w:hAnsi="Arial"/>
          <w:kern w:val="2"/>
          <w:sz w:val="21"/>
        </w:rPr>
        <w:t>日在</w:t>
      </w:r>
      <w:r>
        <w:rPr>
          <w:rFonts w:hint="eastAsia" w:ascii="Arial" w:hAnsi="Arial" w:cs="Arial"/>
          <w:kern w:val="2"/>
          <w:sz w:val="21"/>
          <w:lang w:eastAsia="zh-CN"/>
        </w:rPr>
        <w:t>法官</w:t>
      </w:r>
      <w:r>
        <w:rPr>
          <w:rFonts w:hint="eastAsia" w:ascii="Arial" w:hAnsi="Arial" w:cs="Arial"/>
          <w:kern w:val="2"/>
          <w:sz w:val="21"/>
        </w:rPr>
        <w:t>张鹏的</w:t>
      </w:r>
      <w:r>
        <w:rPr>
          <w:rFonts w:ascii="Arial" w:hAnsi="Arial"/>
          <w:kern w:val="2"/>
          <w:sz w:val="21"/>
        </w:rPr>
        <w:t>见证下对估价对象进行了实地查勘并对估价对象现场拍照。实地查勘时，</w:t>
      </w:r>
      <w:r>
        <w:rPr>
          <w:rFonts w:hint="eastAsia" w:ascii="Arial" w:hAnsi="Arial" w:cs="Arial"/>
          <w:kern w:val="2"/>
          <w:sz w:val="21"/>
          <w:lang w:eastAsia="zh-CN"/>
        </w:rPr>
        <w:t>法官</w:t>
      </w:r>
      <w:r>
        <w:rPr>
          <w:rFonts w:hint="eastAsia" w:ascii="Arial" w:hAnsi="Arial" w:cs="Arial"/>
          <w:kern w:val="2"/>
          <w:sz w:val="21"/>
        </w:rPr>
        <w:t>张鹏</w:t>
      </w:r>
      <w:r>
        <w:rPr>
          <w:rFonts w:ascii="Arial" w:hAnsi="Arial"/>
          <w:kern w:val="2"/>
          <w:sz w:val="21"/>
        </w:rPr>
        <w:t>对查勘记录进行了签字确认</w:t>
      </w:r>
      <w:r>
        <w:rPr>
          <w:rFonts w:hint="eastAsia" w:ascii="Arial" w:hAnsi="Arial"/>
          <w:kern w:val="2"/>
          <w:sz w:val="21"/>
        </w:rPr>
        <w:t>。</w:t>
      </w:r>
      <w:r>
        <w:rPr>
          <w:rFonts w:ascii="Arial" w:hAnsi="Arial"/>
          <w:kern w:val="2"/>
          <w:sz w:val="21"/>
        </w:rPr>
        <w:t>本报告估价对象的装修情况以评估专业人员在价值时点实地查勘并经法官</w:t>
      </w:r>
      <w:r>
        <w:rPr>
          <w:rFonts w:hint="eastAsia" w:ascii="Arial" w:hAnsi="Arial" w:cs="Arial"/>
          <w:kern w:val="2"/>
          <w:sz w:val="21"/>
        </w:rPr>
        <w:t>张鹏</w:t>
      </w:r>
      <w:r>
        <w:rPr>
          <w:rFonts w:ascii="Arial" w:hAnsi="Arial"/>
          <w:kern w:val="2"/>
          <w:sz w:val="21"/>
        </w:rPr>
        <w:t>现场签字确认的调查记录为依据，本报告估价结果已包含装修价值，特此说明。</w:t>
      </w:r>
    </w:p>
    <w:p>
      <w:pPr>
        <w:overflowPunct w:val="0"/>
        <w:spacing w:line="480" w:lineRule="auto"/>
        <w:ind w:firstLine="420" w:firstLineChars="200"/>
        <w:jc w:val="both"/>
        <w:textAlignment w:val="auto"/>
        <w:rPr>
          <w:rFonts w:ascii="Arial" w:hAnsi="Arial"/>
          <w:kern w:val="2"/>
          <w:sz w:val="21"/>
        </w:rPr>
      </w:pPr>
      <w:r>
        <w:rPr>
          <w:rFonts w:hint="eastAsia" w:ascii="Arial" w:hAnsi="Arial"/>
          <w:color w:val="000000"/>
          <w:kern w:val="2"/>
          <w:sz w:val="21"/>
        </w:rPr>
        <w:t>10.</w:t>
      </w:r>
      <w:r>
        <w:rPr>
          <w:rFonts w:hint="eastAsia" w:ascii="Arial" w:hAnsi="Arial" w:cs="Arial"/>
          <w:color w:val="000000"/>
          <w:kern w:val="2"/>
          <w:sz w:val="21"/>
        </w:rPr>
        <w:t>估价委托人应对其提供的权属证明以及其他资料的真实性、完整性和合法性负责</w:t>
      </w:r>
      <w:r>
        <w:rPr>
          <w:rFonts w:ascii="Arial" w:hAnsi="Arial" w:cs="Arial"/>
          <w:color w:val="000000"/>
          <w:kern w:val="2"/>
          <w:sz w:val="21"/>
        </w:rPr>
        <w:t>。如因资料失实或资料提供人有所隐匿而导致估价结果失真，估价机构不承担相应</w:t>
      </w:r>
      <w:r>
        <w:rPr>
          <w:rFonts w:ascii="Arial" w:hAnsi="Arial" w:cs="Arial"/>
          <w:kern w:val="2"/>
          <w:sz w:val="21"/>
        </w:rPr>
        <w:t>的责任。</w:t>
      </w:r>
      <w:r>
        <w:rPr>
          <w:rFonts w:ascii="Arial" w:hAnsi="Arial"/>
          <w:kern w:val="2"/>
          <w:sz w:val="21"/>
        </w:rPr>
        <w:t>截至本</w:t>
      </w:r>
      <w:r>
        <w:rPr>
          <w:rFonts w:hint="eastAsia" w:ascii="Arial" w:hAnsi="Arial"/>
          <w:kern w:val="2"/>
          <w:sz w:val="21"/>
        </w:rPr>
        <w:t>估价</w:t>
      </w:r>
      <w:r>
        <w:rPr>
          <w:rFonts w:ascii="Arial" w:hAnsi="Arial"/>
          <w:kern w:val="2"/>
          <w:sz w:val="21"/>
        </w:rPr>
        <w:t>报告出具日，估价委托人未能提供估价对象</w:t>
      </w:r>
      <w:r>
        <w:rPr>
          <w:rFonts w:hint="eastAsia" w:ascii="Arial" w:hAnsi="Arial"/>
          <w:kern w:val="2"/>
          <w:sz w:val="21"/>
        </w:rPr>
        <w:t>《商品房买卖合同》[合同编号：0779997]及《不动产权利及其他事项登记信息》[不动产单元号：110115003001GB00194F00050144]</w:t>
      </w:r>
      <w:r>
        <w:rPr>
          <w:rFonts w:ascii="Arial" w:hAnsi="Arial"/>
          <w:kern w:val="2"/>
          <w:sz w:val="21"/>
        </w:rPr>
        <w:t>等相关资料原件供评估专业人员进行核对。提请</w:t>
      </w:r>
      <w:r>
        <w:rPr>
          <w:rFonts w:hint="eastAsia" w:ascii="Arial" w:hAnsi="Arial"/>
          <w:kern w:val="2"/>
          <w:sz w:val="21"/>
        </w:rPr>
        <w:t>报告使用者</w:t>
      </w:r>
      <w:r>
        <w:rPr>
          <w:rFonts w:ascii="Arial" w:hAnsi="Arial"/>
          <w:kern w:val="2"/>
          <w:sz w:val="21"/>
        </w:rPr>
        <w:t>注意</w:t>
      </w:r>
      <w:r>
        <w:rPr>
          <w:rFonts w:hint="eastAsia" w:ascii="Arial" w:hAnsi="Arial"/>
          <w:kern w:val="2"/>
          <w:sz w:val="21"/>
        </w:rPr>
        <w:t>，</w:t>
      </w:r>
      <w:r>
        <w:rPr>
          <w:rFonts w:ascii="Arial" w:hAnsi="Arial"/>
          <w:kern w:val="2"/>
          <w:sz w:val="21"/>
        </w:rPr>
        <w:t>并确定实际</w:t>
      </w:r>
      <w:r>
        <w:rPr>
          <w:rFonts w:hint="eastAsia" w:ascii="Arial" w:hAnsi="Arial"/>
          <w:kern w:val="2"/>
          <w:sz w:val="21"/>
        </w:rPr>
        <w:t>不动产</w:t>
      </w:r>
      <w:r>
        <w:rPr>
          <w:rFonts w:ascii="Arial" w:hAnsi="Arial"/>
          <w:kern w:val="2"/>
          <w:sz w:val="21"/>
        </w:rPr>
        <w:t>与本</w:t>
      </w:r>
      <w:r>
        <w:rPr>
          <w:rFonts w:hint="eastAsia" w:ascii="Arial" w:hAnsi="Arial"/>
          <w:kern w:val="2"/>
          <w:sz w:val="21"/>
        </w:rPr>
        <w:t>估价</w:t>
      </w:r>
      <w:r>
        <w:rPr>
          <w:rFonts w:ascii="Arial" w:hAnsi="Arial"/>
          <w:kern w:val="2"/>
          <w:sz w:val="21"/>
        </w:rPr>
        <w:t>报告估价对象是否一致，如有改变，需进行重新评估。</w:t>
      </w:r>
    </w:p>
    <w:p>
      <w:pPr>
        <w:overflowPunct w:val="0"/>
        <w:spacing w:line="480" w:lineRule="auto"/>
        <w:ind w:firstLine="420" w:firstLineChars="200"/>
        <w:jc w:val="both"/>
        <w:textAlignment w:val="auto"/>
        <w:rPr>
          <w:rFonts w:ascii="Arial" w:hAnsi="Arial"/>
          <w:sz w:val="21"/>
        </w:rPr>
      </w:pPr>
      <w:r>
        <w:rPr>
          <w:rFonts w:hint="eastAsia" w:ascii="Arial" w:hAnsi="Arial"/>
          <w:sz w:val="21"/>
        </w:rPr>
        <w:t>11.本估价报告中数据全部采用电算化连续计算得出，由于在报告中计算的数据均按四舍五入保留两位小数或取整，故可能出现个别等式左右不完全相等的情况，但不影响计算结果及最终评估结论的准确性。</w:t>
      </w:r>
    </w:p>
    <w:p>
      <w:pPr>
        <w:overflowPunct w:val="0"/>
        <w:spacing w:line="480" w:lineRule="auto"/>
        <w:ind w:firstLine="420" w:firstLineChars="200"/>
        <w:jc w:val="both"/>
        <w:textAlignment w:val="auto"/>
        <w:rPr>
          <w:rFonts w:ascii="Arial" w:hAnsi="Arial"/>
          <w:sz w:val="21"/>
        </w:rPr>
      </w:pPr>
      <w:r>
        <w:rPr>
          <w:rFonts w:hint="eastAsia" w:ascii="Arial" w:hAnsi="Arial"/>
          <w:sz w:val="21"/>
        </w:rPr>
        <w:t>12本估价报告在估价机构盖章和注册房地产估价师签字的条件下有效。</w:t>
      </w:r>
    </w:p>
    <w:p>
      <w:pPr>
        <w:overflowPunct w:val="0"/>
        <w:spacing w:line="480" w:lineRule="auto"/>
        <w:ind w:firstLine="420" w:firstLineChars="200"/>
        <w:jc w:val="both"/>
        <w:textAlignment w:val="auto"/>
        <w:rPr>
          <w:rFonts w:ascii="Arial" w:hAnsi="Arial" w:cs="Arial"/>
          <w:kern w:val="2"/>
          <w:sz w:val="21"/>
        </w:rPr>
      </w:pPr>
      <w:r>
        <w:rPr>
          <w:rFonts w:hint="eastAsia" w:ascii="Arial" w:hAnsi="Arial"/>
          <w:kern w:val="2"/>
          <w:sz w:val="21"/>
        </w:rPr>
        <w:t>13.</w:t>
      </w:r>
      <w:r>
        <w:rPr>
          <w:rFonts w:ascii="Arial" w:hAnsi="Arial" w:cs="Arial"/>
          <w:kern w:val="2"/>
          <w:sz w:val="21"/>
        </w:rPr>
        <w:t>本估价报告自出具日起壹年内有效</w:t>
      </w:r>
      <w:r>
        <w:rPr>
          <w:rFonts w:hint="eastAsia" w:ascii="Arial" w:hAnsi="Arial" w:eastAsia="楷体_GB2312" w:cs="Arial"/>
          <w:sz w:val="28"/>
          <w:szCs w:val="26"/>
        </w:rPr>
        <w:t>（</w:t>
      </w:r>
      <w:r>
        <w:rPr>
          <w:rFonts w:hint="eastAsia" w:ascii="Arial" w:hAnsi="Arial" w:cs="Arial"/>
          <w:kern w:val="2"/>
          <w:sz w:val="21"/>
        </w:rPr>
        <w:t>即2021年11月5日至2022年11月4日</w:t>
      </w:r>
      <w:r>
        <w:rPr>
          <w:rFonts w:hint="eastAsia" w:ascii="Arial" w:hAnsi="Arial" w:eastAsia="楷体_GB2312" w:cs="Arial"/>
          <w:sz w:val="28"/>
          <w:szCs w:val="26"/>
        </w:rPr>
        <w:t>）</w:t>
      </w:r>
      <w:r>
        <w:rPr>
          <w:rFonts w:hint="eastAsia" w:ascii="Arial" w:hAnsi="Arial" w:cs="Arial"/>
          <w:kern w:val="2"/>
          <w:sz w:val="21"/>
        </w:rPr>
        <w:t>。</w:t>
      </w:r>
    </w:p>
    <w:p>
      <w:pPr>
        <w:overflowPunct w:val="0"/>
        <w:spacing w:line="480" w:lineRule="auto"/>
        <w:ind w:firstLine="420" w:firstLineChars="200"/>
        <w:jc w:val="both"/>
        <w:textAlignment w:val="auto"/>
        <w:rPr>
          <w:rFonts w:ascii="Arial" w:hAnsi="Arial"/>
          <w:kern w:val="2"/>
          <w:sz w:val="21"/>
        </w:rPr>
        <w:sectPr>
          <w:pgSz w:w="11907" w:h="16840"/>
          <w:pgMar w:top="1843" w:right="1134" w:bottom="1191" w:left="1134" w:header="1134" w:footer="1134" w:gutter="340"/>
          <w:cols w:space="720" w:num="1"/>
          <w:docGrid w:linePitch="326" w:charSpace="0"/>
        </w:sectPr>
      </w:pPr>
    </w:p>
    <w:p>
      <w:pPr>
        <w:pStyle w:val="2"/>
        <w:numPr>
          <w:ilvl w:val="0"/>
          <w:numId w:val="0"/>
        </w:numPr>
        <w:tabs>
          <w:tab w:val="clear" w:pos="720"/>
        </w:tabs>
        <w:spacing w:line="480" w:lineRule="auto"/>
        <w:jc w:val="center"/>
        <w:rPr>
          <w:rFonts w:eastAsia="方正黑体简体"/>
          <w:b w:val="0"/>
          <w:kern w:val="2"/>
          <w:sz w:val="32"/>
          <w:szCs w:val="32"/>
        </w:rPr>
      </w:pPr>
      <w:bookmarkStart w:id="6" w:name="_Toc168225812"/>
      <w:bookmarkStart w:id="7" w:name="_Toc500322962"/>
      <w:r>
        <w:rPr>
          <w:rFonts w:hint="eastAsia" w:eastAsia="方正黑体简体"/>
          <w:b w:val="0"/>
          <w:kern w:val="2"/>
          <w:sz w:val="32"/>
          <w:szCs w:val="32"/>
        </w:rPr>
        <w:t>估价结果报告</w:t>
      </w:r>
      <w:bookmarkEnd w:id="6"/>
      <w:bookmarkEnd w:id="7"/>
    </w:p>
    <w:p>
      <w:pPr>
        <w:pStyle w:val="3"/>
        <w:numPr>
          <w:ilvl w:val="0"/>
          <w:numId w:val="0"/>
        </w:numPr>
        <w:tabs>
          <w:tab w:val="clear" w:pos="360"/>
        </w:tabs>
        <w:overflowPunct w:val="0"/>
        <w:spacing w:line="480" w:lineRule="auto"/>
        <w:ind w:left="358" w:hanging="358" w:hangingChars="170"/>
        <w:jc w:val="both"/>
        <w:textAlignment w:val="auto"/>
        <w:rPr>
          <w:rFonts w:eastAsia="宋体"/>
          <w:b w:val="0"/>
          <w:kern w:val="2"/>
          <w:sz w:val="21"/>
          <w:szCs w:val="21"/>
        </w:rPr>
      </w:pPr>
      <w:bookmarkStart w:id="8" w:name="_Toc216083223"/>
      <w:bookmarkStart w:id="9" w:name="_Toc500322963"/>
      <w:r>
        <w:rPr>
          <w:rFonts w:hint="eastAsia" w:eastAsia="宋体"/>
          <w:kern w:val="2"/>
          <w:sz w:val="21"/>
          <w:szCs w:val="21"/>
        </w:rPr>
        <w:t>一</w:t>
      </w:r>
      <w:bookmarkEnd w:id="8"/>
      <w:r>
        <w:rPr>
          <w:rFonts w:hint="eastAsia" w:eastAsia="宋体"/>
          <w:kern w:val="2"/>
          <w:sz w:val="21"/>
          <w:szCs w:val="21"/>
        </w:rPr>
        <w:t>、估价委托人</w:t>
      </w:r>
      <w:bookmarkEnd w:id="9"/>
    </w:p>
    <w:p>
      <w:pPr>
        <w:overflowPunct w:val="0"/>
        <w:spacing w:line="480" w:lineRule="auto"/>
        <w:ind w:firstLine="420" w:firstLineChars="200"/>
        <w:jc w:val="both"/>
        <w:textAlignment w:val="auto"/>
        <w:rPr>
          <w:rFonts w:ascii="Arial" w:hAnsi="Arial"/>
          <w:sz w:val="21"/>
          <w:szCs w:val="21"/>
        </w:rPr>
      </w:pPr>
      <w:r>
        <w:rPr>
          <w:rFonts w:hint="eastAsia" w:ascii="Arial" w:hAnsi="Arial"/>
          <w:sz w:val="21"/>
          <w:szCs w:val="21"/>
        </w:rPr>
        <w:t>单位名称： 临汾市尧都区人民法院</w:t>
      </w:r>
    </w:p>
    <w:p>
      <w:pPr>
        <w:overflowPunct w:val="0"/>
        <w:spacing w:line="480" w:lineRule="auto"/>
        <w:ind w:firstLine="420" w:firstLineChars="200"/>
        <w:jc w:val="both"/>
        <w:textAlignment w:val="auto"/>
        <w:rPr>
          <w:rFonts w:hint="eastAsia" w:ascii="Arial" w:hAnsi="Arial" w:cs="宋体"/>
          <w:sz w:val="21"/>
          <w:szCs w:val="21"/>
        </w:rPr>
      </w:pPr>
      <w:r>
        <w:rPr>
          <w:rFonts w:hint="eastAsia" w:ascii="Arial" w:hAnsi="Arial"/>
          <w:sz w:val="21"/>
          <w:szCs w:val="21"/>
        </w:rPr>
        <w:t>联系人：张鹏</w:t>
      </w:r>
    </w:p>
    <w:p>
      <w:pPr>
        <w:overflowPunct w:val="0"/>
        <w:spacing w:line="480" w:lineRule="auto"/>
        <w:ind w:firstLine="420" w:firstLineChars="200"/>
        <w:jc w:val="both"/>
        <w:textAlignment w:val="auto"/>
        <w:rPr>
          <w:rFonts w:ascii="Arial" w:hAnsi="Arial"/>
          <w:sz w:val="21"/>
          <w:szCs w:val="21"/>
        </w:rPr>
      </w:pPr>
    </w:p>
    <w:p>
      <w:pPr>
        <w:pStyle w:val="3"/>
        <w:numPr>
          <w:ilvl w:val="0"/>
          <w:numId w:val="0"/>
        </w:numPr>
        <w:tabs>
          <w:tab w:val="clear" w:pos="360"/>
        </w:tabs>
        <w:overflowPunct w:val="0"/>
        <w:spacing w:line="480" w:lineRule="auto"/>
        <w:ind w:left="358" w:hanging="358" w:hangingChars="170"/>
        <w:jc w:val="both"/>
        <w:textAlignment w:val="auto"/>
        <w:rPr>
          <w:rFonts w:eastAsia="宋体"/>
          <w:kern w:val="2"/>
          <w:sz w:val="21"/>
          <w:szCs w:val="21"/>
        </w:rPr>
      </w:pPr>
      <w:bookmarkStart w:id="10" w:name="_Toc168225814"/>
      <w:bookmarkStart w:id="11" w:name="_Toc500322964"/>
      <w:r>
        <w:rPr>
          <w:rFonts w:hint="eastAsia" w:eastAsia="宋体"/>
          <w:kern w:val="2"/>
          <w:sz w:val="21"/>
          <w:szCs w:val="21"/>
        </w:rPr>
        <w:t>二、房地产估价机构</w:t>
      </w:r>
      <w:bookmarkEnd w:id="10"/>
      <w:bookmarkEnd w:id="11"/>
    </w:p>
    <w:p>
      <w:pPr>
        <w:overflowPunct w:val="0"/>
        <w:spacing w:line="480" w:lineRule="auto"/>
        <w:ind w:firstLine="420" w:firstLineChars="200"/>
        <w:jc w:val="both"/>
        <w:textAlignment w:val="auto"/>
        <w:rPr>
          <w:rFonts w:ascii="Arial" w:hAnsi="Arial"/>
          <w:sz w:val="21"/>
          <w:szCs w:val="21"/>
        </w:rPr>
      </w:pPr>
      <w:r>
        <w:rPr>
          <w:rFonts w:hint="eastAsia" w:ascii="Arial" w:hAnsi="Arial"/>
          <w:sz w:val="21"/>
          <w:szCs w:val="21"/>
        </w:rPr>
        <w:t>受托机构：北京康正宏基房地产评估有限公司</w:t>
      </w:r>
    </w:p>
    <w:p>
      <w:pPr>
        <w:overflowPunct w:val="0"/>
        <w:spacing w:line="480" w:lineRule="auto"/>
        <w:ind w:firstLine="420" w:firstLineChars="200"/>
        <w:jc w:val="both"/>
        <w:textAlignment w:val="auto"/>
        <w:rPr>
          <w:rFonts w:ascii="Arial" w:hAnsi="Arial"/>
          <w:sz w:val="21"/>
          <w:szCs w:val="21"/>
        </w:rPr>
      </w:pPr>
      <w:r>
        <w:rPr>
          <w:rFonts w:hint="eastAsia" w:ascii="Arial" w:hAnsi="Arial"/>
          <w:sz w:val="21"/>
          <w:szCs w:val="21"/>
        </w:rPr>
        <w:t>资质级别：壹级</w:t>
      </w:r>
    </w:p>
    <w:p>
      <w:pPr>
        <w:overflowPunct w:val="0"/>
        <w:spacing w:line="480" w:lineRule="auto"/>
        <w:ind w:firstLine="420" w:firstLineChars="200"/>
        <w:jc w:val="both"/>
        <w:textAlignment w:val="auto"/>
        <w:rPr>
          <w:rFonts w:ascii="Arial" w:hAnsi="Arial"/>
          <w:sz w:val="21"/>
          <w:szCs w:val="21"/>
        </w:rPr>
      </w:pPr>
      <w:r>
        <w:rPr>
          <w:rFonts w:hint="eastAsia" w:ascii="Arial" w:hAnsi="Arial"/>
          <w:sz w:val="21"/>
          <w:szCs w:val="21"/>
        </w:rPr>
        <w:t>资格证书号：建房估备字[2013第]081号</w:t>
      </w:r>
    </w:p>
    <w:p>
      <w:pPr>
        <w:overflowPunct w:val="0"/>
        <w:spacing w:line="480" w:lineRule="auto"/>
        <w:ind w:firstLine="420" w:firstLineChars="200"/>
        <w:jc w:val="both"/>
        <w:textAlignment w:val="auto"/>
        <w:rPr>
          <w:rFonts w:ascii="Arial" w:hAnsi="Arial"/>
          <w:sz w:val="21"/>
          <w:szCs w:val="21"/>
        </w:rPr>
      </w:pPr>
      <w:r>
        <w:rPr>
          <w:rFonts w:hint="eastAsia" w:ascii="Arial" w:hAnsi="Arial"/>
          <w:sz w:val="21"/>
          <w:szCs w:val="21"/>
        </w:rPr>
        <w:t>有效期限：</w:t>
      </w:r>
      <w:r>
        <w:rPr>
          <w:rFonts w:ascii="Arial" w:hAnsi="Arial"/>
          <w:sz w:val="21"/>
          <w:szCs w:val="21"/>
        </w:rPr>
        <w:t>2019</w:t>
      </w:r>
      <w:r>
        <w:rPr>
          <w:rFonts w:hint="eastAsia" w:ascii="Arial" w:hAnsi="Arial"/>
          <w:sz w:val="21"/>
          <w:szCs w:val="21"/>
        </w:rPr>
        <w:t>年</w:t>
      </w:r>
      <w:r>
        <w:rPr>
          <w:rFonts w:ascii="Arial" w:hAnsi="Arial"/>
          <w:sz w:val="21"/>
          <w:szCs w:val="21"/>
        </w:rPr>
        <w:t>9</w:t>
      </w:r>
      <w:r>
        <w:rPr>
          <w:rFonts w:hint="eastAsia" w:ascii="Arial" w:hAnsi="Arial"/>
          <w:sz w:val="21"/>
          <w:szCs w:val="21"/>
        </w:rPr>
        <w:t>月</w:t>
      </w:r>
      <w:r>
        <w:rPr>
          <w:rFonts w:ascii="Arial" w:hAnsi="Arial"/>
          <w:sz w:val="21"/>
          <w:szCs w:val="21"/>
        </w:rPr>
        <w:t>17</w:t>
      </w:r>
      <w:r>
        <w:rPr>
          <w:rFonts w:hint="eastAsia" w:ascii="Arial" w:hAnsi="Arial"/>
          <w:sz w:val="21"/>
          <w:szCs w:val="21"/>
        </w:rPr>
        <w:t>日至</w:t>
      </w:r>
      <w:r>
        <w:rPr>
          <w:rFonts w:ascii="Arial" w:hAnsi="Arial"/>
          <w:sz w:val="21"/>
          <w:szCs w:val="21"/>
        </w:rPr>
        <w:t>202</w:t>
      </w:r>
      <w:r>
        <w:rPr>
          <w:rFonts w:hint="eastAsia" w:ascii="Arial" w:hAnsi="Arial"/>
          <w:sz w:val="21"/>
          <w:szCs w:val="21"/>
        </w:rPr>
        <w:t>2年</w:t>
      </w:r>
      <w:r>
        <w:rPr>
          <w:rFonts w:ascii="Arial" w:hAnsi="Arial"/>
          <w:sz w:val="21"/>
          <w:szCs w:val="21"/>
        </w:rPr>
        <w:t>9</w:t>
      </w:r>
      <w:r>
        <w:rPr>
          <w:rFonts w:hint="eastAsia" w:ascii="Arial" w:hAnsi="Arial"/>
          <w:sz w:val="21"/>
          <w:szCs w:val="21"/>
        </w:rPr>
        <w:t>月</w:t>
      </w:r>
      <w:r>
        <w:rPr>
          <w:rFonts w:ascii="Arial" w:hAnsi="Arial"/>
          <w:sz w:val="21"/>
          <w:szCs w:val="21"/>
        </w:rPr>
        <w:t>16</w:t>
      </w:r>
      <w:r>
        <w:rPr>
          <w:rFonts w:hint="eastAsia" w:ascii="Arial" w:hAnsi="Arial"/>
          <w:sz w:val="21"/>
          <w:szCs w:val="21"/>
        </w:rPr>
        <w:t>日</w:t>
      </w:r>
    </w:p>
    <w:p>
      <w:pPr>
        <w:overflowPunct w:val="0"/>
        <w:spacing w:line="480" w:lineRule="auto"/>
        <w:ind w:firstLine="420" w:firstLineChars="200"/>
        <w:jc w:val="both"/>
        <w:textAlignment w:val="auto"/>
        <w:rPr>
          <w:rFonts w:ascii="Arial" w:hAnsi="Arial"/>
          <w:sz w:val="21"/>
          <w:szCs w:val="21"/>
        </w:rPr>
      </w:pPr>
      <w:r>
        <w:rPr>
          <w:rFonts w:hint="eastAsia" w:ascii="Arial" w:hAnsi="Arial"/>
          <w:sz w:val="21"/>
          <w:szCs w:val="21"/>
        </w:rPr>
        <w:t>注册地址：北京市丰台区芳城园一区16号楼2层2门配套公建01</w:t>
      </w:r>
    </w:p>
    <w:p>
      <w:pPr>
        <w:overflowPunct w:val="0"/>
        <w:spacing w:line="480" w:lineRule="auto"/>
        <w:ind w:firstLine="420" w:firstLineChars="200"/>
        <w:jc w:val="both"/>
        <w:textAlignment w:val="auto"/>
        <w:rPr>
          <w:rFonts w:ascii="Arial" w:hAnsi="Arial"/>
          <w:sz w:val="21"/>
          <w:szCs w:val="21"/>
        </w:rPr>
      </w:pPr>
      <w:r>
        <w:rPr>
          <w:rFonts w:hint="eastAsia" w:ascii="Arial" w:hAnsi="Arial"/>
          <w:sz w:val="21"/>
          <w:szCs w:val="21"/>
        </w:rPr>
        <w:t>法定代表人：齐宏</w:t>
      </w:r>
    </w:p>
    <w:p>
      <w:pPr>
        <w:overflowPunct w:val="0"/>
        <w:spacing w:line="480" w:lineRule="auto"/>
        <w:ind w:firstLine="420" w:firstLineChars="200"/>
        <w:jc w:val="both"/>
        <w:textAlignment w:val="auto"/>
        <w:rPr>
          <w:rFonts w:ascii="Arial" w:hAnsi="Arial"/>
          <w:sz w:val="21"/>
          <w:szCs w:val="21"/>
        </w:rPr>
      </w:pPr>
      <w:r>
        <w:rPr>
          <w:rFonts w:hint="eastAsia" w:ascii="Arial" w:hAnsi="Arial"/>
          <w:sz w:val="21"/>
          <w:szCs w:val="21"/>
        </w:rPr>
        <w:t>联 系 人：陈颖</w:t>
      </w:r>
    </w:p>
    <w:p>
      <w:pPr>
        <w:overflowPunct w:val="0"/>
        <w:spacing w:line="480" w:lineRule="auto"/>
        <w:ind w:firstLine="420" w:firstLineChars="200"/>
        <w:jc w:val="both"/>
        <w:textAlignment w:val="auto"/>
        <w:rPr>
          <w:rFonts w:ascii="Arial" w:hAnsi="Arial"/>
          <w:sz w:val="21"/>
          <w:szCs w:val="21"/>
        </w:rPr>
      </w:pPr>
      <w:r>
        <w:rPr>
          <w:rFonts w:hint="eastAsia" w:ascii="Arial" w:hAnsi="Arial"/>
          <w:sz w:val="21"/>
          <w:szCs w:val="21"/>
        </w:rPr>
        <w:t>联系电话：010-82253558-110</w:t>
      </w:r>
    </w:p>
    <w:p>
      <w:pPr>
        <w:overflowPunct w:val="0"/>
        <w:spacing w:line="480" w:lineRule="auto"/>
        <w:ind w:firstLine="420" w:firstLineChars="200"/>
        <w:jc w:val="both"/>
        <w:textAlignment w:val="auto"/>
        <w:rPr>
          <w:rFonts w:ascii="Arial" w:hAnsi="Arial"/>
          <w:sz w:val="21"/>
          <w:szCs w:val="21"/>
        </w:rPr>
      </w:pPr>
    </w:p>
    <w:p>
      <w:pPr>
        <w:pStyle w:val="3"/>
        <w:numPr>
          <w:ilvl w:val="0"/>
          <w:numId w:val="0"/>
        </w:numPr>
        <w:tabs>
          <w:tab w:val="clear" w:pos="360"/>
        </w:tabs>
        <w:overflowPunct w:val="0"/>
        <w:spacing w:line="480" w:lineRule="auto"/>
        <w:ind w:left="358" w:hanging="358" w:hangingChars="170"/>
        <w:jc w:val="both"/>
        <w:textAlignment w:val="auto"/>
        <w:rPr>
          <w:rFonts w:eastAsia="宋体"/>
          <w:kern w:val="2"/>
          <w:sz w:val="21"/>
          <w:szCs w:val="21"/>
        </w:rPr>
      </w:pPr>
      <w:bookmarkStart w:id="12" w:name="_Toc500322965"/>
      <w:bookmarkStart w:id="13" w:name="_Toc168225815"/>
      <w:r>
        <w:rPr>
          <w:rFonts w:hint="eastAsia" w:eastAsia="宋体"/>
          <w:kern w:val="2"/>
          <w:sz w:val="21"/>
          <w:szCs w:val="21"/>
        </w:rPr>
        <w:t>三、估价目的</w:t>
      </w:r>
      <w:bookmarkEnd w:id="12"/>
      <w:bookmarkEnd w:id="13"/>
    </w:p>
    <w:p>
      <w:pPr>
        <w:spacing w:line="360" w:lineRule="auto"/>
        <w:ind w:firstLine="420" w:firstLineChars="200"/>
        <w:rPr>
          <w:rFonts w:ascii="Arial" w:hAnsi="Arial"/>
          <w:sz w:val="21"/>
          <w:szCs w:val="21"/>
        </w:rPr>
      </w:pPr>
      <w:r>
        <w:rPr>
          <w:rFonts w:hint="eastAsia" w:ascii="Arial" w:hAnsi="Arial"/>
          <w:kern w:val="2"/>
          <w:sz w:val="21"/>
        </w:rPr>
        <w:t>为人民法院确定财产处置参考价提供参考依据</w:t>
      </w:r>
      <w:r>
        <w:rPr>
          <w:rFonts w:hint="eastAsia" w:ascii="Arial" w:hAnsi="Arial"/>
          <w:sz w:val="21"/>
          <w:szCs w:val="21"/>
        </w:rPr>
        <w:t>。</w:t>
      </w:r>
    </w:p>
    <w:p>
      <w:pPr>
        <w:overflowPunct w:val="0"/>
        <w:spacing w:line="480" w:lineRule="auto"/>
        <w:ind w:firstLine="420" w:firstLineChars="200"/>
        <w:jc w:val="both"/>
        <w:textAlignment w:val="auto"/>
        <w:rPr>
          <w:rFonts w:ascii="Arial" w:hAnsi="Arial"/>
          <w:sz w:val="21"/>
          <w:szCs w:val="21"/>
        </w:rPr>
      </w:pPr>
    </w:p>
    <w:p>
      <w:pPr>
        <w:pStyle w:val="3"/>
        <w:numPr>
          <w:ilvl w:val="0"/>
          <w:numId w:val="0"/>
        </w:numPr>
        <w:tabs>
          <w:tab w:val="clear" w:pos="360"/>
        </w:tabs>
        <w:overflowPunct w:val="0"/>
        <w:spacing w:line="480" w:lineRule="auto"/>
        <w:ind w:left="358" w:hanging="358" w:hangingChars="170"/>
        <w:jc w:val="both"/>
        <w:textAlignment w:val="auto"/>
        <w:rPr>
          <w:rFonts w:eastAsia="宋体"/>
          <w:kern w:val="2"/>
          <w:sz w:val="21"/>
          <w:szCs w:val="21"/>
        </w:rPr>
      </w:pPr>
      <w:bookmarkStart w:id="14" w:name="_Toc500322966"/>
      <w:bookmarkStart w:id="15" w:name="_Toc168225816"/>
      <w:r>
        <w:rPr>
          <w:rFonts w:hint="eastAsia" w:eastAsia="宋体"/>
          <w:kern w:val="2"/>
          <w:sz w:val="21"/>
          <w:szCs w:val="21"/>
        </w:rPr>
        <w:t>四、估价对象</w:t>
      </w:r>
      <w:bookmarkEnd w:id="14"/>
      <w:bookmarkEnd w:id="15"/>
    </w:p>
    <w:p>
      <w:pPr>
        <w:overflowPunct w:val="0"/>
        <w:spacing w:line="480" w:lineRule="auto"/>
        <w:jc w:val="both"/>
        <w:textAlignment w:val="auto"/>
        <w:rPr>
          <w:rFonts w:ascii="Arial" w:hAnsi="Arial"/>
          <w:b/>
          <w:kern w:val="2"/>
          <w:sz w:val="21"/>
          <w:szCs w:val="21"/>
        </w:rPr>
      </w:pPr>
      <w:r>
        <w:rPr>
          <w:rFonts w:hint="eastAsia" w:ascii="Arial" w:hAnsi="Arial"/>
          <w:b/>
          <w:kern w:val="2"/>
          <w:sz w:val="21"/>
          <w:szCs w:val="21"/>
        </w:rPr>
        <w:t>（一）估价对象范围</w:t>
      </w:r>
    </w:p>
    <w:p>
      <w:pPr>
        <w:overflowPunct w:val="0"/>
        <w:spacing w:line="480" w:lineRule="auto"/>
        <w:ind w:firstLine="420" w:firstLineChars="200"/>
        <w:jc w:val="both"/>
        <w:textAlignment w:val="auto"/>
        <w:rPr>
          <w:rFonts w:ascii="Arial" w:hAnsi="Arial"/>
          <w:kern w:val="2"/>
          <w:sz w:val="21"/>
          <w:szCs w:val="21"/>
        </w:rPr>
      </w:pPr>
      <w:r>
        <w:rPr>
          <w:rFonts w:hint="eastAsia" w:ascii="Arial" w:hAnsi="Arial"/>
          <w:kern w:val="2"/>
          <w:sz w:val="21"/>
          <w:szCs w:val="21"/>
        </w:rPr>
        <w:t>本次评估估价对象为</w:t>
      </w:r>
      <w:r>
        <w:rPr>
          <w:rFonts w:hint="eastAsia" w:ascii="Arial" w:hAnsi="Arial"/>
          <w:kern w:val="2"/>
          <w:sz w:val="21"/>
        </w:rPr>
        <w:t>北京市大兴区黄村镇滨河北里6号楼1层7-101号住宅用房</w:t>
      </w:r>
      <w:r>
        <w:rPr>
          <w:rFonts w:hint="eastAsia" w:ascii="Arial" w:hAnsi="Arial"/>
          <w:sz w:val="21"/>
          <w:szCs w:val="21"/>
        </w:rPr>
        <w:t>房地产</w:t>
      </w:r>
      <w:r>
        <w:rPr>
          <w:rFonts w:hint="eastAsia" w:ascii="Arial" w:hAnsi="Arial"/>
          <w:kern w:val="2"/>
          <w:sz w:val="21"/>
          <w:szCs w:val="21"/>
        </w:rPr>
        <w:t>。估价对象范围为其</w:t>
      </w:r>
      <w:r>
        <w:rPr>
          <w:rFonts w:hint="eastAsia" w:ascii="Arial" w:hAnsi="Arial"/>
          <w:sz w:val="21"/>
          <w:szCs w:val="21"/>
        </w:rPr>
        <w:t>房屋所有权及出让国有建设用地使用权，</w:t>
      </w:r>
      <w:r>
        <w:rPr>
          <w:rFonts w:hint="eastAsia" w:ascii="Arial" w:hAnsi="Arial"/>
          <w:kern w:val="2"/>
          <w:sz w:val="21"/>
          <w:szCs w:val="21"/>
        </w:rPr>
        <w:t>不包含动产、债权债务、特许经营权等其他财产或权益。</w:t>
      </w:r>
    </w:p>
    <w:p>
      <w:pPr>
        <w:overflowPunct w:val="0"/>
        <w:spacing w:line="480" w:lineRule="auto"/>
        <w:jc w:val="both"/>
        <w:textAlignment w:val="auto"/>
        <w:rPr>
          <w:rFonts w:ascii="Arial" w:hAnsi="Arial"/>
          <w:b/>
          <w:kern w:val="2"/>
          <w:sz w:val="21"/>
          <w:szCs w:val="21"/>
        </w:rPr>
      </w:pPr>
      <w:r>
        <w:rPr>
          <w:rFonts w:hint="eastAsia" w:ascii="Arial" w:hAnsi="Arial"/>
          <w:b/>
          <w:kern w:val="2"/>
          <w:sz w:val="21"/>
          <w:szCs w:val="21"/>
        </w:rPr>
        <w:t>（二）估价对象基本状况</w:t>
      </w:r>
    </w:p>
    <w:p>
      <w:pPr>
        <w:overflowPunct w:val="0"/>
        <w:spacing w:line="480" w:lineRule="auto"/>
        <w:ind w:firstLine="420" w:firstLineChars="200"/>
        <w:jc w:val="both"/>
        <w:textAlignment w:val="auto"/>
        <w:rPr>
          <w:rFonts w:ascii="Arial" w:hAnsi="Arial"/>
          <w:kern w:val="2"/>
          <w:sz w:val="21"/>
          <w:szCs w:val="21"/>
        </w:rPr>
      </w:pPr>
      <w:r>
        <w:rPr>
          <w:rFonts w:ascii="Arial" w:hAnsi="Arial" w:cs="Arial"/>
          <w:kern w:val="2"/>
          <w:sz w:val="21"/>
          <w:szCs w:val="21"/>
        </w:rPr>
        <w:t>估价对象位于</w:t>
      </w:r>
      <w:r>
        <w:rPr>
          <w:rFonts w:hint="eastAsia" w:ascii="Arial" w:hAnsi="Arial"/>
          <w:kern w:val="2"/>
          <w:sz w:val="21"/>
        </w:rPr>
        <w:t>北京市大兴区黄村镇滨河北里6号楼1层7-101</w:t>
      </w:r>
      <w:r>
        <w:rPr>
          <w:rFonts w:ascii="Arial" w:hAnsi="Arial" w:cs="Arial"/>
          <w:kern w:val="2"/>
          <w:sz w:val="21"/>
          <w:szCs w:val="21"/>
        </w:rPr>
        <w:t>，属</w:t>
      </w:r>
      <w:r>
        <w:rPr>
          <w:rFonts w:hint="eastAsia" w:ascii="Arial" w:hAnsi="Arial" w:cs="Arial"/>
          <w:kern w:val="2"/>
          <w:sz w:val="21"/>
          <w:szCs w:val="21"/>
        </w:rPr>
        <w:t>那尔水晶城</w:t>
      </w:r>
      <w:r>
        <w:rPr>
          <w:rFonts w:ascii="Arial" w:hAnsi="Arial" w:cs="Arial"/>
          <w:kern w:val="2"/>
          <w:sz w:val="21"/>
          <w:szCs w:val="21"/>
        </w:rPr>
        <w:t>项目，</w:t>
      </w:r>
      <w:r>
        <w:rPr>
          <w:rFonts w:hint="eastAsia" w:ascii="Arial" w:hAnsi="Arial"/>
          <w:sz w:val="21"/>
          <w:szCs w:val="21"/>
        </w:rPr>
        <w:t>为</w:t>
      </w:r>
      <w:r>
        <w:rPr>
          <w:rFonts w:hint="eastAsia" w:ascii="Arial" w:hAnsi="Arial"/>
          <w:kern w:val="2"/>
          <w:sz w:val="21"/>
        </w:rPr>
        <w:t>王孝珍</w:t>
      </w:r>
      <w:r>
        <w:rPr>
          <w:rFonts w:hint="eastAsia" w:ascii="Arial" w:hAnsi="Arial"/>
          <w:sz w:val="21"/>
          <w:szCs w:val="21"/>
        </w:rPr>
        <w:t>单独所有</w:t>
      </w:r>
      <w:r>
        <w:rPr>
          <w:rFonts w:ascii="Arial" w:hAnsi="Arial" w:cs="Arial"/>
          <w:kern w:val="2"/>
          <w:sz w:val="21"/>
          <w:szCs w:val="21"/>
        </w:rPr>
        <w:t>。</w:t>
      </w:r>
      <w:r>
        <w:rPr>
          <w:rFonts w:hint="eastAsia" w:ascii="Arial" w:hAnsi="Arial"/>
          <w:kern w:val="2"/>
          <w:sz w:val="21"/>
        </w:rPr>
        <w:t>根据《不动产权利及其他事项登记信息》[不动产单元号：110115003001GB00194F00050144]复印件，估价对象建筑面积为134.71平方米</w:t>
      </w:r>
      <w:r>
        <w:rPr>
          <w:rFonts w:ascii="Arial" w:hAnsi="Arial" w:cs="Arial"/>
          <w:kern w:val="2"/>
          <w:sz w:val="21"/>
          <w:szCs w:val="21"/>
        </w:rPr>
        <w:t>，用途为</w:t>
      </w:r>
      <w:r>
        <w:rPr>
          <w:rFonts w:hint="eastAsia" w:ascii="Arial" w:hAnsi="Arial" w:cs="Arial"/>
          <w:kern w:val="2"/>
          <w:sz w:val="21"/>
          <w:szCs w:val="21"/>
        </w:rPr>
        <w:t>住宅</w:t>
      </w:r>
      <w:r>
        <w:rPr>
          <w:rFonts w:ascii="Arial" w:hAnsi="Arial" w:cs="Arial"/>
          <w:kern w:val="2"/>
          <w:sz w:val="21"/>
          <w:szCs w:val="21"/>
        </w:rPr>
        <w:t>。</w:t>
      </w:r>
    </w:p>
    <w:p>
      <w:pPr>
        <w:overflowPunct w:val="0"/>
        <w:spacing w:line="480" w:lineRule="auto"/>
        <w:jc w:val="both"/>
        <w:textAlignment w:val="auto"/>
        <w:rPr>
          <w:rFonts w:ascii="Arial" w:hAnsi="Arial"/>
          <w:b/>
          <w:kern w:val="2"/>
          <w:sz w:val="21"/>
          <w:szCs w:val="21"/>
        </w:rPr>
      </w:pPr>
      <w:r>
        <w:rPr>
          <w:rFonts w:hint="eastAsia" w:ascii="Arial" w:hAnsi="Arial"/>
          <w:b/>
          <w:kern w:val="2"/>
          <w:sz w:val="21"/>
          <w:szCs w:val="21"/>
        </w:rPr>
        <w:t>（三）房地产基本状况</w:t>
      </w:r>
    </w:p>
    <w:p>
      <w:pPr>
        <w:overflowPunct w:val="0"/>
        <w:spacing w:line="480" w:lineRule="auto"/>
        <w:ind w:firstLine="420" w:firstLineChars="200"/>
        <w:jc w:val="both"/>
        <w:textAlignment w:val="auto"/>
        <w:rPr>
          <w:rFonts w:ascii="Arial" w:hAnsi="Arial"/>
          <w:color w:val="000000"/>
          <w:sz w:val="21"/>
          <w:szCs w:val="21"/>
        </w:rPr>
      </w:pPr>
      <w:r>
        <w:rPr>
          <w:rFonts w:hint="eastAsia" w:ascii="Arial" w:hAnsi="Arial"/>
          <w:color w:val="000000"/>
          <w:sz w:val="21"/>
          <w:szCs w:val="21"/>
        </w:rPr>
        <w:t>1.不动产登记状况</w:t>
      </w:r>
    </w:p>
    <w:tbl>
      <w:tblPr>
        <w:tblStyle w:val="32"/>
        <w:tblW w:w="9299"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57" w:type="dxa"/>
          <w:left w:w="57" w:type="dxa"/>
          <w:bottom w:w="57" w:type="dxa"/>
          <w:right w:w="57" w:type="dxa"/>
        </w:tblCellMar>
      </w:tblPr>
      <w:tblGrid>
        <w:gridCol w:w="1843"/>
        <w:gridCol w:w="1559"/>
        <w:gridCol w:w="1276"/>
        <w:gridCol w:w="1843"/>
        <w:gridCol w:w="2778"/>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57" w:type="dxa"/>
            <w:left w:w="57" w:type="dxa"/>
            <w:bottom w:w="57" w:type="dxa"/>
            <w:right w:w="57" w:type="dxa"/>
          </w:tblCellMar>
        </w:tblPrEx>
        <w:trPr>
          <w:jc w:val="center"/>
        </w:trPr>
        <w:tc>
          <w:tcPr>
            <w:tcW w:w="1843" w:type="dxa"/>
            <w:noWrap/>
          </w:tcPr>
          <w:p>
            <w:pPr>
              <w:widowControl/>
              <w:overflowPunct w:val="0"/>
              <w:spacing w:line="240" w:lineRule="auto"/>
              <w:textAlignment w:val="auto"/>
              <w:rPr>
                <w:rFonts w:ascii="Arial" w:hAnsi="Arial" w:eastAsia="华文细黑" w:cs="宋体"/>
                <w:sz w:val="18"/>
                <w:szCs w:val="18"/>
              </w:rPr>
            </w:pPr>
            <w:r>
              <w:rPr>
                <w:rFonts w:hint="eastAsia" w:ascii="Arial" w:hAnsi="Arial" w:eastAsia="华文细黑" w:cs="宋体"/>
                <w:sz w:val="18"/>
                <w:szCs w:val="18"/>
              </w:rPr>
              <w:t>证号</w:t>
            </w:r>
          </w:p>
        </w:tc>
        <w:tc>
          <w:tcPr>
            <w:tcW w:w="2835" w:type="dxa"/>
            <w:gridSpan w:val="2"/>
            <w:noWrap/>
          </w:tcPr>
          <w:p>
            <w:pPr>
              <w:widowControl/>
              <w:overflowPunct w:val="0"/>
              <w:spacing w:line="240" w:lineRule="auto"/>
              <w:textAlignment w:val="auto"/>
              <w:rPr>
                <w:rFonts w:ascii="Arial" w:hAnsi="Arial" w:eastAsia="华文细黑" w:cs="宋体"/>
                <w:sz w:val="18"/>
                <w:szCs w:val="18"/>
              </w:rPr>
            </w:pPr>
            <w:r>
              <w:rPr>
                <w:rFonts w:hint="eastAsia" w:ascii="Arial" w:hAnsi="Arial" w:eastAsia="华文细黑" w:cs="宋体"/>
                <w:sz w:val="18"/>
                <w:szCs w:val="18"/>
              </w:rPr>
              <w:t>X京房权证兴字第024831号</w:t>
            </w:r>
          </w:p>
        </w:tc>
        <w:tc>
          <w:tcPr>
            <w:tcW w:w="1843" w:type="dxa"/>
            <w:noWrap/>
          </w:tcPr>
          <w:p>
            <w:pPr>
              <w:widowControl/>
              <w:overflowPunct w:val="0"/>
              <w:spacing w:line="240" w:lineRule="auto"/>
              <w:textAlignment w:val="auto"/>
              <w:rPr>
                <w:rFonts w:ascii="Arial" w:hAnsi="Arial" w:eastAsia="华文细黑" w:cs="宋体"/>
                <w:sz w:val="18"/>
                <w:szCs w:val="18"/>
              </w:rPr>
            </w:pPr>
            <w:r>
              <w:rPr>
                <w:rFonts w:hint="eastAsia" w:ascii="Arial" w:hAnsi="Arial" w:eastAsia="华文细黑" w:cs="宋体"/>
                <w:sz w:val="18"/>
                <w:szCs w:val="18"/>
              </w:rPr>
              <w:t>房屋性质</w:t>
            </w:r>
          </w:p>
        </w:tc>
        <w:tc>
          <w:tcPr>
            <w:tcW w:w="2778" w:type="dxa"/>
          </w:tcPr>
          <w:p>
            <w:pPr>
              <w:widowControl/>
              <w:overflowPunct w:val="0"/>
              <w:spacing w:line="240" w:lineRule="auto"/>
              <w:textAlignment w:val="auto"/>
              <w:rPr>
                <w:rFonts w:ascii="Arial" w:hAnsi="Arial" w:eastAsia="华文细黑" w:cs="宋体"/>
                <w:sz w:val="18"/>
                <w:szCs w:val="18"/>
              </w:rPr>
            </w:pPr>
            <w:r>
              <w:rPr>
                <w:rFonts w:hint="eastAsia" w:ascii="Arial" w:hAnsi="Arial" w:eastAsia="华文细黑" w:cs="宋体"/>
                <w:sz w:val="18"/>
                <w:szCs w:val="18"/>
              </w:rPr>
              <w:t>商品房</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57" w:type="dxa"/>
            <w:left w:w="57" w:type="dxa"/>
            <w:bottom w:w="57" w:type="dxa"/>
            <w:right w:w="57" w:type="dxa"/>
          </w:tblCellMar>
        </w:tblPrEx>
        <w:trPr>
          <w:jc w:val="center"/>
        </w:trPr>
        <w:tc>
          <w:tcPr>
            <w:tcW w:w="1843" w:type="dxa"/>
            <w:noWrap/>
          </w:tcPr>
          <w:p>
            <w:pPr>
              <w:widowControl/>
              <w:overflowPunct w:val="0"/>
              <w:spacing w:line="240" w:lineRule="auto"/>
              <w:textAlignment w:val="auto"/>
              <w:rPr>
                <w:rFonts w:ascii="Arial" w:hAnsi="Arial" w:eastAsia="华文细黑" w:cs="宋体"/>
                <w:sz w:val="18"/>
                <w:szCs w:val="18"/>
              </w:rPr>
            </w:pPr>
            <w:r>
              <w:rPr>
                <w:rFonts w:hint="eastAsia" w:ascii="Arial" w:hAnsi="Arial" w:eastAsia="华文细黑" w:cs="宋体"/>
                <w:sz w:val="18"/>
                <w:szCs w:val="18"/>
              </w:rPr>
              <w:t>房屋所有权人</w:t>
            </w:r>
          </w:p>
        </w:tc>
        <w:tc>
          <w:tcPr>
            <w:tcW w:w="2835" w:type="dxa"/>
            <w:gridSpan w:val="2"/>
            <w:noWrap/>
          </w:tcPr>
          <w:p>
            <w:pPr>
              <w:widowControl/>
              <w:overflowPunct w:val="0"/>
              <w:spacing w:line="240" w:lineRule="auto"/>
              <w:textAlignment w:val="auto"/>
              <w:rPr>
                <w:rFonts w:ascii="Arial" w:hAnsi="Arial" w:eastAsia="华文细黑" w:cs="宋体"/>
                <w:sz w:val="18"/>
                <w:szCs w:val="18"/>
              </w:rPr>
            </w:pPr>
            <w:r>
              <w:rPr>
                <w:rFonts w:hint="eastAsia" w:ascii="Arial" w:hAnsi="Arial" w:eastAsia="华文细黑" w:cs="宋体"/>
                <w:sz w:val="18"/>
                <w:szCs w:val="18"/>
              </w:rPr>
              <w:t>王孝珍</w:t>
            </w:r>
          </w:p>
        </w:tc>
        <w:tc>
          <w:tcPr>
            <w:tcW w:w="1843" w:type="dxa"/>
            <w:noWrap/>
          </w:tcPr>
          <w:p>
            <w:pPr>
              <w:widowControl/>
              <w:overflowPunct w:val="0"/>
              <w:spacing w:line="240" w:lineRule="auto"/>
              <w:textAlignment w:val="auto"/>
              <w:rPr>
                <w:rFonts w:ascii="Arial" w:hAnsi="Arial" w:eastAsia="华文细黑" w:cs="宋体"/>
                <w:sz w:val="18"/>
                <w:szCs w:val="18"/>
              </w:rPr>
            </w:pPr>
            <w:r>
              <w:rPr>
                <w:rFonts w:hint="eastAsia" w:ascii="Arial" w:hAnsi="Arial" w:eastAsia="华文细黑" w:cs="宋体"/>
                <w:sz w:val="18"/>
                <w:szCs w:val="18"/>
              </w:rPr>
              <w:t>产别</w:t>
            </w:r>
          </w:p>
        </w:tc>
        <w:tc>
          <w:tcPr>
            <w:tcW w:w="2778" w:type="dxa"/>
          </w:tcPr>
          <w:p>
            <w:pPr>
              <w:widowControl/>
              <w:overflowPunct w:val="0"/>
              <w:spacing w:line="240" w:lineRule="auto"/>
              <w:textAlignment w:val="auto"/>
              <w:rPr>
                <w:rFonts w:ascii="Arial" w:hAnsi="Arial" w:eastAsia="华文细黑" w:cs="宋体"/>
                <w:sz w:val="18"/>
                <w:szCs w:val="18"/>
              </w:rPr>
            </w:pPr>
            <w:r>
              <w:rPr>
                <w:rFonts w:hint="eastAsia" w:ascii="Arial" w:hAnsi="Arial" w:eastAsia="华文细黑" w:cs="宋体"/>
                <w:sz w:val="18"/>
                <w:szCs w:val="18"/>
              </w:rPr>
              <w:t>单独所有</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57" w:type="dxa"/>
            <w:left w:w="57" w:type="dxa"/>
            <w:bottom w:w="57" w:type="dxa"/>
            <w:right w:w="57" w:type="dxa"/>
          </w:tblCellMar>
        </w:tblPrEx>
        <w:trPr>
          <w:jc w:val="center"/>
        </w:trPr>
        <w:tc>
          <w:tcPr>
            <w:tcW w:w="1843" w:type="dxa"/>
            <w:noWrap/>
          </w:tcPr>
          <w:p>
            <w:pPr>
              <w:widowControl/>
              <w:overflowPunct w:val="0"/>
              <w:spacing w:line="240" w:lineRule="auto"/>
              <w:textAlignment w:val="auto"/>
              <w:rPr>
                <w:rFonts w:ascii="Arial" w:hAnsi="Arial" w:eastAsia="华文细黑" w:cs="宋体"/>
                <w:sz w:val="18"/>
                <w:szCs w:val="18"/>
              </w:rPr>
            </w:pPr>
            <w:r>
              <w:rPr>
                <w:rFonts w:hint="eastAsia" w:ascii="Arial" w:hAnsi="Arial" w:eastAsia="华文细黑" w:cs="宋体"/>
                <w:sz w:val="18"/>
                <w:szCs w:val="18"/>
              </w:rPr>
              <w:t>坐落</w:t>
            </w:r>
          </w:p>
        </w:tc>
        <w:tc>
          <w:tcPr>
            <w:tcW w:w="7456" w:type="dxa"/>
            <w:gridSpan w:val="4"/>
            <w:noWrap/>
          </w:tcPr>
          <w:p>
            <w:pPr>
              <w:widowControl/>
              <w:overflowPunct w:val="0"/>
              <w:spacing w:line="240" w:lineRule="auto"/>
              <w:textAlignment w:val="auto"/>
              <w:rPr>
                <w:rFonts w:ascii="Arial" w:hAnsi="Arial" w:eastAsia="华文细黑" w:cs="宋体"/>
                <w:sz w:val="18"/>
                <w:szCs w:val="18"/>
              </w:rPr>
            </w:pPr>
            <w:r>
              <w:rPr>
                <w:rFonts w:hint="eastAsia" w:ascii="Arial" w:hAnsi="Arial" w:eastAsia="华文细黑" w:cs="宋体"/>
                <w:sz w:val="18"/>
                <w:szCs w:val="18"/>
              </w:rPr>
              <w:t>大兴区黄村镇滨河北里6号楼1层7-101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57" w:type="dxa"/>
            <w:left w:w="57" w:type="dxa"/>
            <w:bottom w:w="57" w:type="dxa"/>
            <w:right w:w="57" w:type="dxa"/>
          </w:tblCellMar>
        </w:tblPrEx>
        <w:trPr>
          <w:jc w:val="center"/>
        </w:trPr>
        <w:tc>
          <w:tcPr>
            <w:tcW w:w="1843" w:type="dxa"/>
            <w:noWrap/>
          </w:tcPr>
          <w:p>
            <w:pPr>
              <w:widowControl/>
              <w:overflowPunct w:val="0"/>
              <w:spacing w:line="240" w:lineRule="auto"/>
              <w:textAlignment w:val="auto"/>
              <w:rPr>
                <w:rFonts w:ascii="Arial" w:hAnsi="Arial" w:eastAsia="华文细黑" w:cs="宋体"/>
                <w:sz w:val="18"/>
                <w:szCs w:val="18"/>
              </w:rPr>
            </w:pPr>
            <w:r>
              <w:rPr>
                <w:rFonts w:hint="eastAsia" w:ascii="Arial" w:hAnsi="Arial" w:eastAsia="华文细黑" w:cs="宋体"/>
                <w:sz w:val="18"/>
                <w:szCs w:val="18"/>
              </w:rPr>
              <w:t>楼号或幢号</w:t>
            </w:r>
          </w:p>
        </w:tc>
        <w:tc>
          <w:tcPr>
            <w:tcW w:w="2835" w:type="dxa"/>
            <w:gridSpan w:val="2"/>
            <w:noWrap/>
          </w:tcPr>
          <w:p>
            <w:pPr>
              <w:widowControl/>
              <w:overflowPunct w:val="0"/>
              <w:spacing w:line="240" w:lineRule="auto"/>
              <w:textAlignment w:val="auto"/>
              <w:rPr>
                <w:rFonts w:ascii="Arial" w:hAnsi="Arial" w:eastAsia="华文细黑" w:cs="宋体"/>
                <w:sz w:val="18"/>
                <w:szCs w:val="18"/>
              </w:rPr>
            </w:pPr>
            <w:r>
              <w:rPr>
                <w:rFonts w:hint="eastAsia" w:ascii="Arial" w:hAnsi="Arial" w:eastAsia="华文细黑" w:cs="宋体"/>
                <w:sz w:val="18"/>
                <w:szCs w:val="18"/>
              </w:rPr>
              <w:t>——</w:t>
            </w:r>
          </w:p>
        </w:tc>
        <w:tc>
          <w:tcPr>
            <w:tcW w:w="1843" w:type="dxa"/>
            <w:noWrap/>
          </w:tcPr>
          <w:p>
            <w:pPr>
              <w:widowControl/>
              <w:overflowPunct w:val="0"/>
              <w:spacing w:line="240" w:lineRule="auto"/>
              <w:textAlignment w:val="auto"/>
              <w:rPr>
                <w:rFonts w:ascii="Arial" w:hAnsi="Arial" w:eastAsia="华文细黑" w:cs="宋体"/>
                <w:sz w:val="18"/>
                <w:szCs w:val="18"/>
              </w:rPr>
            </w:pPr>
            <w:r>
              <w:rPr>
                <w:rFonts w:hint="eastAsia" w:ascii="Arial" w:hAnsi="Arial" w:eastAsia="华文细黑" w:cs="宋体"/>
                <w:sz w:val="18"/>
                <w:szCs w:val="18"/>
              </w:rPr>
              <w:t>房号及部位</w:t>
            </w:r>
          </w:p>
        </w:tc>
        <w:tc>
          <w:tcPr>
            <w:tcW w:w="2778" w:type="dxa"/>
          </w:tcPr>
          <w:p>
            <w:pPr>
              <w:widowControl/>
              <w:overflowPunct w:val="0"/>
              <w:spacing w:line="240" w:lineRule="auto"/>
              <w:textAlignment w:val="auto"/>
              <w:rPr>
                <w:rFonts w:ascii="Arial" w:hAnsi="Arial" w:eastAsia="华文细黑" w:cs="宋体"/>
                <w:sz w:val="18"/>
                <w:szCs w:val="18"/>
              </w:rPr>
            </w:pPr>
            <w:r>
              <w:rPr>
                <w:rFonts w:hint="eastAsia" w:ascii="Arial" w:hAnsi="Arial" w:eastAsia="华文细黑" w:cs="宋体"/>
                <w:sz w:val="18"/>
                <w:szCs w:val="18"/>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57" w:type="dxa"/>
            <w:left w:w="57" w:type="dxa"/>
            <w:bottom w:w="57" w:type="dxa"/>
            <w:right w:w="57" w:type="dxa"/>
          </w:tblCellMar>
        </w:tblPrEx>
        <w:trPr>
          <w:jc w:val="center"/>
        </w:trPr>
        <w:tc>
          <w:tcPr>
            <w:tcW w:w="1843" w:type="dxa"/>
            <w:noWrap/>
          </w:tcPr>
          <w:p>
            <w:pPr>
              <w:widowControl/>
              <w:overflowPunct w:val="0"/>
              <w:spacing w:line="240" w:lineRule="auto"/>
              <w:textAlignment w:val="auto"/>
              <w:rPr>
                <w:rFonts w:ascii="Arial" w:hAnsi="Arial" w:eastAsia="华文细黑" w:cs="宋体"/>
                <w:sz w:val="18"/>
                <w:szCs w:val="18"/>
              </w:rPr>
            </w:pPr>
            <w:r>
              <w:rPr>
                <w:rFonts w:hint="eastAsia" w:ascii="Arial" w:hAnsi="Arial" w:eastAsia="华文细黑" w:cs="宋体"/>
                <w:sz w:val="18"/>
                <w:szCs w:val="18"/>
              </w:rPr>
              <w:t>房屋总层数</w:t>
            </w:r>
          </w:p>
        </w:tc>
        <w:tc>
          <w:tcPr>
            <w:tcW w:w="2835" w:type="dxa"/>
            <w:gridSpan w:val="2"/>
            <w:noWrap/>
          </w:tcPr>
          <w:p>
            <w:pPr>
              <w:widowControl/>
              <w:overflowPunct w:val="0"/>
              <w:spacing w:line="240" w:lineRule="auto"/>
              <w:textAlignment w:val="auto"/>
              <w:rPr>
                <w:rFonts w:ascii="Arial" w:hAnsi="Arial" w:eastAsia="华文细黑" w:cs="宋体"/>
                <w:sz w:val="18"/>
                <w:szCs w:val="18"/>
              </w:rPr>
            </w:pPr>
            <w:r>
              <w:rPr>
                <w:rFonts w:hint="eastAsia" w:ascii="Arial" w:hAnsi="Arial" w:eastAsia="华文细黑" w:cs="宋体"/>
                <w:sz w:val="18"/>
                <w:szCs w:val="18"/>
              </w:rPr>
              <w:t>12</w:t>
            </w:r>
          </w:p>
        </w:tc>
        <w:tc>
          <w:tcPr>
            <w:tcW w:w="1843" w:type="dxa"/>
            <w:noWrap/>
          </w:tcPr>
          <w:p>
            <w:pPr>
              <w:widowControl/>
              <w:overflowPunct w:val="0"/>
              <w:spacing w:line="240" w:lineRule="auto"/>
              <w:textAlignment w:val="auto"/>
              <w:rPr>
                <w:rFonts w:ascii="Arial" w:hAnsi="Arial" w:eastAsia="华文细黑" w:cs="宋体"/>
                <w:sz w:val="18"/>
                <w:szCs w:val="18"/>
              </w:rPr>
            </w:pPr>
            <w:r>
              <w:rPr>
                <w:rFonts w:hint="eastAsia" w:ascii="Arial" w:hAnsi="Arial" w:eastAsia="华文细黑" w:cs="宋体"/>
                <w:sz w:val="18"/>
                <w:szCs w:val="18"/>
              </w:rPr>
              <w:t>所在层数</w:t>
            </w:r>
          </w:p>
        </w:tc>
        <w:tc>
          <w:tcPr>
            <w:tcW w:w="2778" w:type="dxa"/>
          </w:tcPr>
          <w:p>
            <w:pPr>
              <w:widowControl/>
              <w:overflowPunct w:val="0"/>
              <w:spacing w:line="240" w:lineRule="auto"/>
              <w:textAlignment w:val="auto"/>
              <w:rPr>
                <w:rFonts w:ascii="Arial" w:hAnsi="Arial" w:eastAsia="华文细黑" w:cs="宋体"/>
                <w:sz w:val="18"/>
                <w:szCs w:val="18"/>
              </w:rPr>
            </w:pPr>
            <w:r>
              <w:rPr>
                <w:rFonts w:hint="eastAsia" w:ascii="Arial" w:hAnsi="Arial" w:eastAsia="华文细黑" w:cs="宋体"/>
                <w:sz w:val="18"/>
                <w:szCs w:val="18"/>
              </w:rPr>
              <w:t>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57" w:type="dxa"/>
            <w:left w:w="57" w:type="dxa"/>
            <w:bottom w:w="57" w:type="dxa"/>
            <w:right w:w="57" w:type="dxa"/>
          </w:tblCellMar>
        </w:tblPrEx>
        <w:trPr>
          <w:jc w:val="center"/>
        </w:trPr>
        <w:tc>
          <w:tcPr>
            <w:tcW w:w="1843" w:type="dxa"/>
            <w:noWrap/>
          </w:tcPr>
          <w:p>
            <w:pPr>
              <w:widowControl/>
              <w:overflowPunct w:val="0"/>
              <w:spacing w:line="240" w:lineRule="auto"/>
              <w:textAlignment w:val="auto"/>
              <w:rPr>
                <w:rFonts w:ascii="Arial" w:hAnsi="Arial" w:eastAsia="华文细黑" w:cs="宋体"/>
                <w:sz w:val="18"/>
                <w:szCs w:val="18"/>
              </w:rPr>
            </w:pPr>
            <w:r>
              <w:rPr>
                <w:rFonts w:hint="eastAsia" w:ascii="Arial" w:hAnsi="Arial" w:eastAsia="华文细黑" w:cs="宋体"/>
                <w:sz w:val="18"/>
                <w:szCs w:val="18"/>
              </w:rPr>
              <w:t>建筑面积(m</w:t>
            </w:r>
            <w:r>
              <w:rPr>
                <w:rFonts w:hint="eastAsia" w:ascii="Arial" w:hAnsi="Arial" w:eastAsia="华文细黑" w:cs="宋体"/>
                <w:sz w:val="18"/>
                <w:szCs w:val="18"/>
                <w:vertAlign w:val="superscript"/>
              </w:rPr>
              <w:t>2</w:t>
            </w:r>
            <w:r>
              <w:rPr>
                <w:rFonts w:hint="eastAsia" w:ascii="Arial" w:hAnsi="Arial" w:eastAsia="华文细黑" w:cs="宋体"/>
                <w:sz w:val="18"/>
                <w:szCs w:val="18"/>
              </w:rPr>
              <w:t>)</w:t>
            </w:r>
          </w:p>
        </w:tc>
        <w:tc>
          <w:tcPr>
            <w:tcW w:w="2835" w:type="dxa"/>
            <w:gridSpan w:val="2"/>
            <w:noWrap/>
          </w:tcPr>
          <w:p>
            <w:pPr>
              <w:widowControl/>
              <w:overflowPunct w:val="0"/>
              <w:spacing w:line="240" w:lineRule="auto"/>
              <w:textAlignment w:val="auto"/>
              <w:rPr>
                <w:rFonts w:ascii="Arial" w:hAnsi="Arial" w:eastAsia="华文细黑" w:cs="宋体"/>
                <w:sz w:val="18"/>
                <w:szCs w:val="18"/>
              </w:rPr>
            </w:pPr>
            <w:r>
              <w:rPr>
                <w:rFonts w:hint="eastAsia" w:ascii="Arial" w:hAnsi="Arial" w:eastAsia="华文细黑" w:cs="宋体"/>
                <w:sz w:val="18"/>
                <w:szCs w:val="18"/>
              </w:rPr>
              <w:t>134.71</w:t>
            </w:r>
          </w:p>
        </w:tc>
        <w:tc>
          <w:tcPr>
            <w:tcW w:w="1843" w:type="dxa"/>
            <w:noWrap/>
          </w:tcPr>
          <w:p>
            <w:pPr>
              <w:widowControl/>
              <w:overflowPunct w:val="0"/>
              <w:spacing w:line="240" w:lineRule="auto"/>
              <w:textAlignment w:val="auto"/>
              <w:rPr>
                <w:rFonts w:ascii="Arial" w:hAnsi="Arial" w:eastAsia="华文细黑" w:cs="宋体"/>
                <w:sz w:val="18"/>
                <w:szCs w:val="18"/>
              </w:rPr>
            </w:pPr>
            <w:r>
              <w:rPr>
                <w:rFonts w:hint="eastAsia" w:ascii="Arial" w:hAnsi="Arial" w:eastAsia="华文细黑" w:cs="宋体"/>
                <w:sz w:val="18"/>
                <w:szCs w:val="18"/>
              </w:rPr>
              <w:t>房屋结构</w:t>
            </w:r>
          </w:p>
        </w:tc>
        <w:tc>
          <w:tcPr>
            <w:tcW w:w="2778" w:type="dxa"/>
          </w:tcPr>
          <w:p>
            <w:pPr>
              <w:widowControl/>
              <w:overflowPunct w:val="0"/>
              <w:spacing w:line="240" w:lineRule="auto"/>
              <w:textAlignment w:val="auto"/>
              <w:rPr>
                <w:rFonts w:ascii="Arial" w:hAnsi="Arial" w:eastAsia="华文细黑" w:cs="宋体"/>
                <w:sz w:val="18"/>
                <w:szCs w:val="18"/>
              </w:rPr>
            </w:pPr>
            <w:r>
              <w:rPr>
                <w:rFonts w:hint="eastAsia" w:ascii="Arial" w:hAnsi="Arial" w:eastAsia="华文细黑" w:cs="宋体"/>
                <w:sz w:val="18"/>
                <w:szCs w:val="18"/>
              </w:rPr>
              <w:t>钢筋混凝土结构</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57" w:type="dxa"/>
            <w:left w:w="57" w:type="dxa"/>
            <w:bottom w:w="57" w:type="dxa"/>
            <w:right w:w="57" w:type="dxa"/>
          </w:tblCellMar>
        </w:tblPrEx>
        <w:trPr>
          <w:jc w:val="center"/>
        </w:trPr>
        <w:tc>
          <w:tcPr>
            <w:tcW w:w="1843" w:type="dxa"/>
            <w:noWrap/>
          </w:tcPr>
          <w:p>
            <w:pPr>
              <w:widowControl/>
              <w:overflowPunct w:val="0"/>
              <w:spacing w:line="240" w:lineRule="auto"/>
              <w:textAlignment w:val="auto"/>
              <w:rPr>
                <w:rFonts w:ascii="Arial" w:hAnsi="Arial" w:eastAsia="华文细黑" w:cs="宋体"/>
                <w:sz w:val="18"/>
                <w:szCs w:val="18"/>
              </w:rPr>
            </w:pPr>
            <w:r>
              <w:rPr>
                <w:rFonts w:hint="eastAsia" w:ascii="Arial" w:hAnsi="Arial" w:eastAsia="华文细黑" w:cs="宋体"/>
                <w:sz w:val="18"/>
                <w:szCs w:val="18"/>
              </w:rPr>
              <w:t>建成年代</w:t>
            </w:r>
          </w:p>
        </w:tc>
        <w:tc>
          <w:tcPr>
            <w:tcW w:w="2835" w:type="dxa"/>
            <w:gridSpan w:val="2"/>
            <w:noWrap/>
          </w:tcPr>
          <w:p>
            <w:pPr>
              <w:widowControl/>
              <w:overflowPunct w:val="0"/>
              <w:spacing w:line="240" w:lineRule="auto"/>
              <w:textAlignment w:val="auto"/>
              <w:rPr>
                <w:rFonts w:ascii="Arial" w:hAnsi="Arial" w:eastAsia="华文细黑" w:cs="宋体"/>
                <w:sz w:val="18"/>
                <w:szCs w:val="18"/>
              </w:rPr>
            </w:pPr>
            <w:r>
              <w:rPr>
                <w:rFonts w:hint="eastAsia" w:ascii="Arial" w:hAnsi="Arial" w:eastAsia="华文细黑" w:cs="宋体"/>
                <w:sz w:val="18"/>
                <w:szCs w:val="18"/>
              </w:rPr>
              <w:t>设定为2005年</w:t>
            </w:r>
          </w:p>
        </w:tc>
        <w:tc>
          <w:tcPr>
            <w:tcW w:w="1843" w:type="dxa"/>
            <w:noWrap/>
          </w:tcPr>
          <w:p>
            <w:pPr>
              <w:widowControl/>
              <w:overflowPunct w:val="0"/>
              <w:spacing w:line="240" w:lineRule="auto"/>
              <w:textAlignment w:val="auto"/>
              <w:rPr>
                <w:rFonts w:ascii="Arial" w:hAnsi="Arial" w:eastAsia="华文细黑" w:cs="宋体"/>
                <w:sz w:val="18"/>
                <w:szCs w:val="18"/>
              </w:rPr>
            </w:pPr>
            <w:r>
              <w:rPr>
                <w:rFonts w:hint="eastAsia" w:ascii="Arial" w:hAnsi="Arial" w:eastAsia="华文细黑" w:cs="宋体"/>
                <w:sz w:val="18"/>
                <w:szCs w:val="18"/>
              </w:rPr>
              <w:t>规划用途</w:t>
            </w:r>
          </w:p>
        </w:tc>
        <w:tc>
          <w:tcPr>
            <w:tcW w:w="2778" w:type="dxa"/>
          </w:tcPr>
          <w:p>
            <w:pPr>
              <w:widowControl/>
              <w:overflowPunct w:val="0"/>
              <w:spacing w:line="240" w:lineRule="auto"/>
              <w:textAlignment w:val="auto"/>
              <w:rPr>
                <w:rFonts w:ascii="Arial" w:hAnsi="Arial" w:eastAsia="华文细黑" w:cs="宋体"/>
                <w:sz w:val="18"/>
                <w:szCs w:val="18"/>
              </w:rPr>
            </w:pPr>
            <w:r>
              <w:rPr>
                <w:rFonts w:hint="eastAsia" w:ascii="Arial" w:hAnsi="Arial" w:eastAsia="华文细黑" w:cs="宋体"/>
                <w:sz w:val="18"/>
                <w:szCs w:val="18"/>
              </w:rPr>
              <w:t>住宅</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57" w:type="dxa"/>
            <w:left w:w="57" w:type="dxa"/>
            <w:bottom w:w="57" w:type="dxa"/>
            <w:right w:w="57" w:type="dxa"/>
          </w:tblCellMar>
        </w:tblPrEx>
        <w:trPr>
          <w:jc w:val="center"/>
        </w:trPr>
        <w:tc>
          <w:tcPr>
            <w:tcW w:w="9299" w:type="dxa"/>
            <w:gridSpan w:val="5"/>
            <w:noWrap/>
          </w:tcPr>
          <w:p>
            <w:pPr>
              <w:widowControl/>
              <w:overflowPunct w:val="0"/>
              <w:spacing w:line="240" w:lineRule="auto"/>
              <w:textAlignment w:val="auto"/>
              <w:rPr>
                <w:rFonts w:ascii="Arial" w:hAnsi="Arial" w:eastAsia="华文细黑" w:cs="宋体"/>
                <w:sz w:val="18"/>
                <w:szCs w:val="18"/>
              </w:rPr>
            </w:pPr>
            <w:r>
              <w:rPr>
                <w:rFonts w:hint="eastAsia" w:ascii="Arial" w:hAnsi="Arial" w:eastAsia="华文细黑" w:cs="宋体"/>
                <w:sz w:val="18"/>
                <w:szCs w:val="18"/>
              </w:rPr>
              <w:t>土地使用情况摘要</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57" w:type="dxa"/>
            <w:left w:w="57" w:type="dxa"/>
            <w:bottom w:w="57" w:type="dxa"/>
            <w:right w:w="57" w:type="dxa"/>
          </w:tblCellMar>
        </w:tblPrEx>
        <w:trPr>
          <w:jc w:val="center"/>
        </w:trPr>
        <w:tc>
          <w:tcPr>
            <w:tcW w:w="1843" w:type="dxa"/>
            <w:noWrap/>
          </w:tcPr>
          <w:p>
            <w:pPr>
              <w:widowControl/>
              <w:overflowPunct w:val="0"/>
              <w:spacing w:line="240" w:lineRule="auto"/>
              <w:textAlignment w:val="auto"/>
              <w:rPr>
                <w:rFonts w:ascii="Arial" w:hAnsi="Arial" w:eastAsia="华文细黑" w:cs="宋体"/>
                <w:sz w:val="18"/>
                <w:szCs w:val="18"/>
              </w:rPr>
            </w:pPr>
            <w:r>
              <w:rPr>
                <w:rFonts w:hint="eastAsia" w:ascii="Arial" w:hAnsi="Arial" w:eastAsia="华文细黑" w:cs="宋体"/>
                <w:sz w:val="18"/>
                <w:szCs w:val="18"/>
              </w:rPr>
              <w:t>权属性质</w:t>
            </w:r>
          </w:p>
        </w:tc>
        <w:tc>
          <w:tcPr>
            <w:tcW w:w="1559" w:type="dxa"/>
            <w:noWrap/>
          </w:tcPr>
          <w:p>
            <w:pPr>
              <w:widowControl/>
              <w:overflowPunct w:val="0"/>
              <w:spacing w:line="240" w:lineRule="auto"/>
              <w:textAlignment w:val="auto"/>
              <w:rPr>
                <w:rFonts w:ascii="Arial" w:hAnsi="Arial" w:eastAsia="华文细黑" w:cs="宋体"/>
                <w:sz w:val="18"/>
                <w:szCs w:val="18"/>
              </w:rPr>
            </w:pPr>
            <w:r>
              <w:rPr>
                <w:rFonts w:hint="eastAsia" w:ascii="Arial" w:hAnsi="Arial" w:eastAsia="华文细黑" w:cs="宋体"/>
                <w:sz w:val="18"/>
                <w:szCs w:val="18"/>
              </w:rPr>
              <w:t>出让</w:t>
            </w:r>
          </w:p>
        </w:tc>
        <w:tc>
          <w:tcPr>
            <w:tcW w:w="1276" w:type="dxa"/>
          </w:tcPr>
          <w:p>
            <w:pPr>
              <w:overflowPunct w:val="0"/>
              <w:spacing w:line="240" w:lineRule="auto"/>
              <w:textAlignment w:val="auto"/>
              <w:rPr>
                <w:rFonts w:ascii="Arial" w:hAnsi="Arial" w:eastAsia="华文细黑" w:cs="宋体"/>
                <w:sz w:val="18"/>
                <w:szCs w:val="18"/>
              </w:rPr>
            </w:pPr>
            <w:r>
              <w:rPr>
                <w:rFonts w:hint="eastAsia" w:ascii="Arial" w:hAnsi="Arial" w:eastAsia="华文细黑" w:cs="宋体"/>
                <w:sz w:val="18"/>
                <w:szCs w:val="18"/>
              </w:rPr>
              <w:t>使用年限</w:t>
            </w:r>
          </w:p>
        </w:tc>
        <w:tc>
          <w:tcPr>
            <w:tcW w:w="4621" w:type="dxa"/>
            <w:gridSpan w:val="2"/>
          </w:tcPr>
          <w:p>
            <w:pPr>
              <w:widowControl/>
              <w:overflowPunct w:val="0"/>
              <w:spacing w:line="240" w:lineRule="auto"/>
              <w:textAlignment w:val="auto"/>
              <w:rPr>
                <w:rFonts w:ascii="Arial" w:hAnsi="Arial" w:eastAsia="华文细黑" w:cs="宋体"/>
                <w:sz w:val="18"/>
                <w:szCs w:val="18"/>
              </w:rPr>
            </w:pPr>
            <w:r>
              <w:rPr>
                <w:rFonts w:hint="eastAsia" w:ascii="Arial" w:hAnsi="Arial" w:eastAsia="华文细黑"/>
                <w:sz w:val="18"/>
                <w:szCs w:val="18"/>
              </w:rPr>
              <w:t>2003年5月15日至</w:t>
            </w:r>
            <w:commentRangeStart w:id="0"/>
            <w:commentRangeStart w:id="1"/>
            <w:r>
              <w:rPr>
                <w:rFonts w:hint="eastAsia" w:ascii="Arial" w:hAnsi="Arial" w:eastAsia="华文细黑"/>
                <w:sz w:val="18"/>
                <w:szCs w:val="18"/>
              </w:rPr>
              <w:t>2073</w:t>
            </w:r>
            <w:commentRangeEnd w:id="0"/>
            <w:r>
              <w:rPr>
                <w:rStyle w:val="39"/>
              </w:rPr>
              <w:commentReference w:id="0"/>
            </w:r>
            <w:commentRangeEnd w:id="1"/>
            <w:r>
              <w:commentReference w:id="1"/>
            </w:r>
            <w:r>
              <w:rPr>
                <w:rFonts w:hint="eastAsia" w:ascii="Arial" w:hAnsi="Arial" w:eastAsia="华文细黑"/>
                <w:sz w:val="18"/>
                <w:szCs w:val="18"/>
              </w:rPr>
              <w:t>年5月14日</w:t>
            </w:r>
          </w:p>
        </w:tc>
      </w:tr>
    </w:tbl>
    <w:p>
      <w:pPr>
        <w:overflowPunct w:val="0"/>
        <w:spacing w:line="240" w:lineRule="auto"/>
        <w:ind w:firstLine="420" w:firstLineChars="200"/>
        <w:jc w:val="both"/>
        <w:textAlignment w:val="auto"/>
        <w:rPr>
          <w:rFonts w:ascii="Arial" w:hAnsi="Arial"/>
          <w:sz w:val="21"/>
          <w:szCs w:val="21"/>
        </w:rPr>
      </w:pPr>
    </w:p>
    <w:p>
      <w:pPr>
        <w:overflowPunct w:val="0"/>
        <w:spacing w:line="480" w:lineRule="auto"/>
        <w:ind w:firstLine="420" w:firstLineChars="200"/>
        <w:jc w:val="both"/>
        <w:textAlignment w:val="auto"/>
        <w:rPr>
          <w:rFonts w:ascii="Arial" w:hAnsi="Arial"/>
          <w:sz w:val="21"/>
          <w:szCs w:val="21"/>
        </w:rPr>
      </w:pPr>
      <w:r>
        <w:rPr>
          <w:rFonts w:hint="eastAsia" w:ascii="Arial" w:hAnsi="Arial"/>
          <w:kern w:val="2"/>
          <w:sz w:val="21"/>
        </w:rPr>
        <w:t>《商品房买卖合同》[合同编号：0779997]部分复印件及《不动产权利及其他事项登记信息》[不动产单元号：110115003001GB00194F00050144]复印件</w:t>
      </w:r>
      <w:r>
        <w:rPr>
          <w:rFonts w:hint="eastAsia" w:ascii="Arial" w:hAnsi="Arial"/>
          <w:sz w:val="21"/>
          <w:szCs w:val="21"/>
        </w:rPr>
        <w:t>中未登记事项及其他需特殊说明事项：</w:t>
      </w:r>
    </w:p>
    <w:p>
      <w:pPr>
        <w:overflowPunct w:val="0"/>
        <w:spacing w:line="480" w:lineRule="auto"/>
        <w:ind w:firstLine="420" w:firstLineChars="200"/>
        <w:jc w:val="both"/>
        <w:textAlignment w:val="auto"/>
        <w:rPr>
          <w:rFonts w:ascii="Arial" w:hAnsi="Arial"/>
          <w:sz w:val="21"/>
          <w:szCs w:val="21"/>
        </w:rPr>
      </w:pPr>
      <w:r>
        <w:rPr>
          <w:rFonts w:hint="eastAsia" w:ascii="Arial" w:hAnsi="Arial"/>
          <w:sz w:val="21"/>
          <w:szCs w:val="21"/>
        </w:rPr>
        <w:t>估价对象</w:t>
      </w:r>
      <w:r>
        <w:rPr>
          <w:rFonts w:hint="eastAsia" w:ascii="Arial" w:hAnsi="Arial"/>
          <w:kern w:val="2"/>
          <w:sz w:val="21"/>
        </w:rPr>
        <w:t>《商品房买卖合同》[合同编号：0779997]部分复印件及《不动产权利及其他事项登记信息》[不动产单元号：110115003001GB00194F00050144]复印件</w:t>
      </w:r>
      <w:r>
        <w:rPr>
          <w:rFonts w:hint="eastAsia" w:ascii="Arial" w:hAnsi="Arial"/>
          <w:sz w:val="21"/>
          <w:szCs w:val="21"/>
        </w:rPr>
        <w:t>中未对其建成年代进行标注，根据</w:t>
      </w:r>
      <w:r>
        <w:rPr>
          <w:rFonts w:hint="eastAsia" w:ascii="Arial" w:hAnsi="Arial"/>
          <w:kern w:val="2"/>
          <w:sz w:val="21"/>
        </w:rPr>
        <w:t>评估专业人员实地调查，房屋建成年份为2005年</w:t>
      </w:r>
      <w:r>
        <w:rPr>
          <w:rFonts w:hint="eastAsia" w:ascii="Arial" w:hAnsi="Arial"/>
          <w:sz w:val="21"/>
          <w:szCs w:val="21"/>
        </w:rPr>
        <w:t>；</w:t>
      </w:r>
    </w:p>
    <w:p>
      <w:pPr>
        <w:overflowPunct w:val="0"/>
        <w:spacing w:line="480" w:lineRule="auto"/>
        <w:ind w:firstLine="420" w:firstLineChars="200"/>
        <w:jc w:val="both"/>
        <w:textAlignment w:val="auto"/>
        <w:rPr>
          <w:rFonts w:ascii="Arial" w:hAnsi="Arial"/>
          <w:color w:val="000000"/>
          <w:sz w:val="21"/>
          <w:szCs w:val="21"/>
        </w:rPr>
      </w:pPr>
      <w:r>
        <w:rPr>
          <w:rFonts w:hint="eastAsia" w:ascii="Arial" w:hAnsi="Arial"/>
          <w:color w:val="000000"/>
          <w:sz w:val="21"/>
          <w:szCs w:val="21"/>
        </w:rPr>
        <w:t>2.其他情况：</w:t>
      </w:r>
    </w:p>
    <w:tbl>
      <w:tblPr>
        <w:tblStyle w:val="32"/>
        <w:tblW w:w="9299" w:type="dxa"/>
        <w:jc w:val="center"/>
        <w:tblBorders>
          <w:top w:val="single" w:color="404040" w:sz="2" w:space="0"/>
          <w:left w:val="single" w:color="404040" w:sz="2" w:space="0"/>
          <w:bottom w:val="single" w:color="404040" w:sz="2" w:space="0"/>
          <w:right w:val="single" w:color="404040" w:sz="2" w:space="0"/>
          <w:insideH w:val="single" w:color="404040" w:sz="2" w:space="0"/>
          <w:insideV w:val="single" w:color="404040" w:sz="2" w:space="0"/>
        </w:tblBorders>
        <w:tblLayout w:type="fixed"/>
        <w:tblCellMar>
          <w:top w:w="85" w:type="dxa"/>
          <w:left w:w="85" w:type="dxa"/>
          <w:bottom w:w="85" w:type="dxa"/>
          <w:right w:w="85" w:type="dxa"/>
        </w:tblCellMar>
      </w:tblPr>
      <w:tblGrid>
        <w:gridCol w:w="2861"/>
        <w:gridCol w:w="6438"/>
      </w:tblGrid>
      <w:tr>
        <w:tblPrEx>
          <w:tblBorders>
            <w:top w:val="single" w:color="404040" w:sz="2" w:space="0"/>
            <w:left w:val="single" w:color="404040" w:sz="2" w:space="0"/>
            <w:bottom w:val="single" w:color="404040" w:sz="2" w:space="0"/>
            <w:right w:val="single" w:color="404040" w:sz="2" w:space="0"/>
            <w:insideH w:val="single" w:color="404040" w:sz="2" w:space="0"/>
            <w:insideV w:val="single" w:color="404040" w:sz="2" w:space="0"/>
          </w:tblBorders>
          <w:tblCellMar>
            <w:top w:w="85" w:type="dxa"/>
            <w:left w:w="85" w:type="dxa"/>
            <w:bottom w:w="85" w:type="dxa"/>
            <w:right w:w="85" w:type="dxa"/>
          </w:tblCellMar>
        </w:tblPrEx>
        <w:trPr>
          <w:jc w:val="center"/>
        </w:trPr>
        <w:tc>
          <w:tcPr>
            <w:tcW w:w="2861" w:type="dxa"/>
            <w:noWrap/>
            <w:vAlign w:val="center"/>
          </w:tcPr>
          <w:p>
            <w:pPr>
              <w:widowControl/>
              <w:overflowPunct w:val="0"/>
              <w:spacing w:line="240" w:lineRule="auto"/>
              <w:textAlignment w:val="auto"/>
              <w:rPr>
                <w:rFonts w:ascii="Arial" w:hAnsi="Arial" w:eastAsia="华文细黑" w:cs="宋体"/>
                <w:sz w:val="18"/>
                <w:szCs w:val="21"/>
              </w:rPr>
            </w:pPr>
            <w:r>
              <w:rPr>
                <w:rFonts w:hint="eastAsia" w:ascii="Arial" w:hAnsi="Arial" w:eastAsia="华文细黑" w:cs="宋体"/>
                <w:sz w:val="18"/>
                <w:szCs w:val="21"/>
              </w:rPr>
              <w:t>估价对象所属项目名称</w:t>
            </w:r>
          </w:p>
        </w:tc>
        <w:tc>
          <w:tcPr>
            <w:tcW w:w="6438" w:type="dxa"/>
            <w:noWrap/>
            <w:vAlign w:val="center"/>
          </w:tcPr>
          <w:p>
            <w:pPr>
              <w:widowControl/>
              <w:overflowPunct w:val="0"/>
              <w:spacing w:line="240" w:lineRule="auto"/>
              <w:textAlignment w:val="auto"/>
              <w:rPr>
                <w:rFonts w:ascii="Arial" w:hAnsi="Arial" w:eastAsia="华文细黑" w:cs="宋体"/>
                <w:sz w:val="18"/>
                <w:szCs w:val="21"/>
              </w:rPr>
            </w:pPr>
            <w:r>
              <w:rPr>
                <w:rFonts w:hint="eastAsia" w:ascii="Arial" w:hAnsi="Arial" w:eastAsia="华文细黑" w:cs="宋体"/>
                <w:sz w:val="18"/>
                <w:szCs w:val="21"/>
              </w:rPr>
              <w:t>那尔水晶城</w:t>
            </w:r>
          </w:p>
        </w:tc>
      </w:tr>
      <w:tr>
        <w:tblPrEx>
          <w:tblBorders>
            <w:top w:val="single" w:color="404040" w:sz="2" w:space="0"/>
            <w:left w:val="single" w:color="404040" w:sz="2" w:space="0"/>
            <w:bottom w:val="single" w:color="404040" w:sz="2" w:space="0"/>
            <w:right w:val="single" w:color="404040" w:sz="2" w:space="0"/>
            <w:insideH w:val="single" w:color="404040" w:sz="2" w:space="0"/>
            <w:insideV w:val="single" w:color="404040" w:sz="2" w:space="0"/>
          </w:tblBorders>
          <w:tblCellMar>
            <w:top w:w="85" w:type="dxa"/>
            <w:left w:w="85" w:type="dxa"/>
            <w:bottom w:w="85" w:type="dxa"/>
            <w:right w:w="85" w:type="dxa"/>
          </w:tblCellMar>
        </w:tblPrEx>
        <w:trPr>
          <w:jc w:val="center"/>
        </w:trPr>
        <w:tc>
          <w:tcPr>
            <w:tcW w:w="2861" w:type="dxa"/>
            <w:noWrap/>
            <w:vAlign w:val="center"/>
          </w:tcPr>
          <w:p>
            <w:pPr>
              <w:widowControl/>
              <w:overflowPunct w:val="0"/>
              <w:spacing w:line="240" w:lineRule="auto"/>
              <w:textAlignment w:val="auto"/>
              <w:rPr>
                <w:rFonts w:ascii="Arial" w:hAnsi="Arial" w:eastAsia="华文细黑" w:cs="宋体"/>
                <w:sz w:val="18"/>
                <w:szCs w:val="21"/>
              </w:rPr>
            </w:pPr>
            <w:r>
              <w:rPr>
                <w:rFonts w:hint="eastAsia" w:ascii="Arial" w:hAnsi="Arial" w:eastAsia="华文细黑" w:cs="宋体"/>
                <w:sz w:val="18"/>
                <w:szCs w:val="21"/>
              </w:rPr>
              <w:t>估价对象所属楼宇基础设施完备程度</w:t>
            </w:r>
          </w:p>
        </w:tc>
        <w:tc>
          <w:tcPr>
            <w:tcW w:w="6438" w:type="dxa"/>
            <w:noWrap/>
            <w:vAlign w:val="center"/>
          </w:tcPr>
          <w:p>
            <w:pPr>
              <w:widowControl/>
              <w:overflowPunct w:val="0"/>
              <w:spacing w:line="240" w:lineRule="auto"/>
              <w:textAlignment w:val="auto"/>
              <w:rPr>
                <w:rFonts w:ascii="Arial" w:hAnsi="Arial" w:eastAsia="华文细黑" w:cs="宋体"/>
                <w:sz w:val="18"/>
                <w:szCs w:val="21"/>
              </w:rPr>
            </w:pPr>
            <w:r>
              <w:rPr>
                <w:rFonts w:hint="eastAsia" w:ascii="Arial" w:hAnsi="Arial" w:eastAsia="华文细黑" w:cs="宋体"/>
                <w:sz w:val="18"/>
                <w:szCs w:val="21"/>
              </w:rPr>
              <w:t>七通（通路、通电、通讯、通上水、通下水、通燃气、通热）</w:t>
            </w:r>
          </w:p>
        </w:tc>
      </w:tr>
      <w:tr>
        <w:tblPrEx>
          <w:tblBorders>
            <w:top w:val="single" w:color="404040" w:sz="2" w:space="0"/>
            <w:left w:val="single" w:color="404040" w:sz="2" w:space="0"/>
            <w:bottom w:val="single" w:color="404040" w:sz="2" w:space="0"/>
            <w:right w:val="single" w:color="404040" w:sz="2" w:space="0"/>
            <w:insideH w:val="single" w:color="404040" w:sz="2" w:space="0"/>
            <w:insideV w:val="single" w:color="404040" w:sz="2" w:space="0"/>
          </w:tblBorders>
          <w:tblCellMar>
            <w:top w:w="85" w:type="dxa"/>
            <w:left w:w="85" w:type="dxa"/>
            <w:bottom w:w="85" w:type="dxa"/>
            <w:right w:w="85" w:type="dxa"/>
          </w:tblCellMar>
        </w:tblPrEx>
        <w:trPr>
          <w:jc w:val="center"/>
        </w:trPr>
        <w:tc>
          <w:tcPr>
            <w:tcW w:w="2861" w:type="dxa"/>
            <w:noWrap/>
            <w:vAlign w:val="center"/>
          </w:tcPr>
          <w:p>
            <w:pPr>
              <w:widowControl/>
              <w:overflowPunct w:val="0"/>
              <w:spacing w:line="240" w:lineRule="auto"/>
              <w:textAlignment w:val="auto"/>
              <w:rPr>
                <w:rFonts w:ascii="Arial" w:hAnsi="Arial" w:eastAsia="华文细黑" w:cs="宋体"/>
                <w:sz w:val="18"/>
                <w:szCs w:val="21"/>
              </w:rPr>
            </w:pPr>
            <w:r>
              <w:rPr>
                <w:rFonts w:hint="eastAsia" w:ascii="Arial" w:hAnsi="Arial" w:eastAsia="华文细黑" w:cs="宋体"/>
                <w:sz w:val="18"/>
                <w:szCs w:val="21"/>
              </w:rPr>
              <w:t>规划限制条件</w:t>
            </w:r>
          </w:p>
        </w:tc>
        <w:tc>
          <w:tcPr>
            <w:tcW w:w="6438" w:type="dxa"/>
            <w:noWrap/>
            <w:vAlign w:val="center"/>
          </w:tcPr>
          <w:p>
            <w:pPr>
              <w:widowControl/>
              <w:overflowPunct w:val="0"/>
              <w:spacing w:line="240" w:lineRule="auto"/>
              <w:textAlignment w:val="auto"/>
              <w:rPr>
                <w:rFonts w:ascii="Arial" w:hAnsi="Arial" w:eastAsia="华文细黑" w:cs="宋体"/>
                <w:sz w:val="18"/>
                <w:szCs w:val="21"/>
              </w:rPr>
            </w:pPr>
            <w:r>
              <w:rPr>
                <w:rFonts w:hint="eastAsia" w:ascii="Arial" w:hAnsi="Arial" w:eastAsia="华文细黑" w:cs="宋体"/>
                <w:sz w:val="18"/>
                <w:szCs w:val="21"/>
              </w:rPr>
              <w:t>根据估价委托人提供的相关资料及规划的一般情况，估价对象所属项目规划在建筑高度、绿地率等方面有一定的限制。估价对象土地地势、地质、水文状况均符合项目建设条件。</w:t>
            </w:r>
          </w:p>
        </w:tc>
      </w:tr>
    </w:tbl>
    <w:p>
      <w:pPr>
        <w:overflowPunct w:val="0"/>
        <w:spacing w:line="480" w:lineRule="auto"/>
        <w:ind w:firstLine="360" w:firstLineChars="200"/>
        <w:jc w:val="both"/>
        <w:textAlignment w:val="auto"/>
        <w:rPr>
          <w:rFonts w:ascii="Arial" w:hAnsi="Arial"/>
          <w:bCs/>
          <w:color w:val="000000"/>
          <w:sz w:val="18"/>
          <w:szCs w:val="18"/>
        </w:rPr>
      </w:pPr>
    </w:p>
    <w:p>
      <w:pPr>
        <w:overflowPunct w:val="0"/>
        <w:spacing w:line="480" w:lineRule="auto"/>
        <w:jc w:val="both"/>
        <w:textAlignment w:val="auto"/>
        <w:rPr>
          <w:rFonts w:ascii="Arial" w:hAnsi="Arial"/>
          <w:b/>
          <w:bCs/>
          <w:color w:val="000000"/>
          <w:sz w:val="21"/>
          <w:szCs w:val="21"/>
        </w:rPr>
      </w:pPr>
      <w:r>
        <w:rPr>
          <w:rFonts w:hint="eastAsia" w:ascii="Arial" w:hAnsi="Arial"/>
          <w:b/>
          <w:bCs/>
          <w:color w:val="000000"/>
          <w:sz w:val="21"/>
          <w:szCs w:val="21"/>
        </w:rPr>
        <w:t>（四）权益状况</w:t>
      </w:r>
    </w:p>
    <w:p>
      <w:pPr>
        <w:overflowPunct w:val="0"/>
        <w:spacing w:line="480" w:lineRule="auto"/>
        <w:ind w:firstLine="420" w:firstLineChars="200"/>
        <w:jc w:val="both"/>
        <w:textAlignment w:val="auto"/>
        <w:rPr>
          <w:rFonts w:ascii="Arial" w:hAnsi="Arial"/>
          <w:color w:val="000000"/>
          <w:sz w:val="21"/>
          <w:szCs w:val="21"/>
        </w:rPr>
      </w:pPr>
      <w:r>
        <w:rPr>
          <w:rFonts w:hint="eastAsia" w:ascii="Arial" w:hAnsi="Arial"/>
          <w:color w:val="000000"/>
          <w:sz w:val="21"/>
          <w:szCs w:val="21"/>
        </w:rPr>
        <w:t>1.抵押权</w:t>
      </w:r>
    </w:p>
    <w:p>
      <w:pPr>
        <w:overflowPunct w:val="0"/>
        <w:spacing w:line="480" w:lineRule="auto"/>
        <w:ind w:firstLine="420" w:firstLineChars="200"/>
        <w:jc w:val="both"/>
        <w:textAlignment w:val="auto"/>
        <w:rPr>
          <w:rFonts w:ascii="Arial" w:hAnsi="Arial"/>
          <w:color w:val="E36C0A"/>
          <w:kern w:val="2"/>
          <w:sz w:val="21"/>
          <w:szCs w:val="21"/>
        </w:rPr>
      </w:pPr>
      <w:r>
        <w:rPr>
          <w:rFonts w:hint="eastAsia" w:ascii="Arial" w:hAnsi="Arial"/>
          <w:kern w:val="2"/>
          <w:sz w:val="21"/>
        </w:rPr>
        <w:t>根据估价委托人提供的《不动产权利及其他事项登记信息》[不动产单元号：110115003001GB00194F00050144]复印件</w:t>
      </w:r>
      <w:r>
        <w:rPr>
          <w:rFonts w:hint="eastAsia" w:ascii="Arial" w:hAnsi="Arial"/>
          <w:sz w:val="21"/>
          <w:szCs w:val="21"/>
        </w:rPr>
        <w:t>，估价对象已设定抵押，抵押权人为山西尧都农村商业银行股份有限公司，设定日期为2019年1月31日，债权数额为454万元，债务履行期限自2</w:t>
      </w:r>
      <w:r>
        <w:rPr>
          <w:rFonts w:ascii="Arial" w:hAnsi="Arial"/>
          <w:sz w:val="21"/>
          <w:szCs w:val="21"/>
        </w:rPr>
        <w:t>019</w:t>
      </w:r>
      <w:r>
        <w:rPr>
          <w:rFonts w:hint="eastAsia" w:ascii="Arial" w:hAnsi="Arial"/>
          <w:sz w:val="21"/>
          <w:szCs w:val="21"/>
        </w:rPr>
        <w:t>年1月2</w:t>
      </w:r>
      <w:r>
        <w:rPr>
          <w:rFonts w:ascii="Arial" w:hAnsi="Arial"/>
          <w:sz w:val="21"/>
          <w:szCs w:val="21"/>
        </w:rPr>
        <w:t>9</w:t>
      </w:r>
      <w:r>
        <w:rPr>
          <w:rFonts w:hint="eastAsia" w:ascii="Arial" w:hAnsi="Arial"/>
          <w:sz w:val="21"/>
          <w:szCs w:val="21"/>
        </w:rPr>
        <w:t>日至2</w:t>
      </w:r>
      <w:r>
        <w:rPr>
          <w:rFonts w:ascii="Arial" w:hAnsi="Arial"/>
          <w:sz w:val="21"/>
          <w:szCs w:val="21"/>
        </w:rPr>
        <w:t>020</w:t>
      </w:r>
      <w:r>
        <w:rPr>
          <w:rFonts w:hint="eastAsia" w:ascii="Arial" w:hAnsi="Arial"/>
          <w:sz w:val="21"/>
          <w:szCs w:val="21"/>
        </w:rPr>
        <w:t>年7月2</w:t>
      </w:r>
      <w:r>
        <w:rPr>
          <w:rFonts w:ascii="Arial" w:hAnsi="Arial"/>
          <w:sz w:val="21"/>
          <w:szCs w:val="21"/>
        </w:rPr>
        <w:t>9</w:t>
      </w:r>
      <w:r>
        <w:rPr>
          <w:rFonts w:hint="eastAsia" w:ascii="Arial" w:hAnsi="Arial"/>
          <w:sz w:val="21"/>
          <w:szCs w:val="21"/>
        </w:rPr>
        <w:t>日止。</w:t>
      </w:r>
      <w:r>
        <w:rPr>
          <w:rFonts w:hint="eastAsia" w:ascii="Arial" w:hAnsi="Arial"/>
          <w:bCs/>
          <w:sz w:val="21"/>
          <w:szCs w:val="21"/>
        </w:rPr>
        <w:t>截至价值时点，上述抵押权未注销。</w:t>
      </w:r>
    </w:p>
    <w:p>
      <w:pPr>
        <w:overflowPunct w:val="0"/>
        <w:spacing w:line="480" w:lineRule="auto"/>
        <w:ind w:firstLine="420" w:firstLineChars="200"/>
        <w:jc w:val="both"/>
        <w:textAlignment w:val="auto"/>
        <w:rPr>
          <w:rFonts w:ascii="Arial" w:hAnsi="Arial"/>
          <w:color w:val="000000"/>
          <w:sz w:val="21"/>
          <w:szCs w:val="21"/>
        </w:rPr>
      </w:pPr>
      <w:r>
        <w:rPr>
          <w:rFonts w:hint="eastAsia" w:ascii="Arial" w:hAnsi="Arial"/>
          <w:color w:val="000000"/>
          <w:sz w:val="21"/>
          <w:szCs w:val="21"/>
        </w:rPr>
        <w:t>2.</w:t>
      </w:r>
      <w:r>
        <w:rPr>
          <w:rFonts w:hint="eastAsia" w:ascii="Arial" w:hAnsi="Arial"/>
          <w:sz w:val="21"/>
          <w:szCs w:val="21"/>
        </w:rPr>
        <w:t>租赁权及其他</w:t>
      </w:r>
    </w:p>
    <w:p>
      <w:pPr>
        <w:overflowPunct w:val="0"/>
        <w:spacing w:line="480" w:lineRule="auto"/>
        <w:ind w:firstLine="420" w:firstLineChars="200"/>
        <w:jc w:val="both"/>
        <w:textAlignment w:val="auto"/>
        <w:rPr>
          <w:rFonts w:ascii="Arial" w:hAnsi="Arial"/>
          <w:sz w:val="21"/>
          <w:szCs w:val="21"/>
        </w:rPr>
      </w:pPr>
      <w:r>
        <w:rPr>
          <w:rFonts w:hint="eastAsia" w:ascii="Arial" w:hAnsi="Arial"/>
          <w:sz w:val="21"/>
          <w:szCs w:val="21"/>
        </w:rPr>
        <w:t>根据估价委托人介绍，截至价值时点，估价对象未设定租赁、地役权等其他他项权利。本次评估设定估价对象不存在租赁、地役权等其他他项权利。</w:t>
      </w:r>
    </w:p>
    <w:p>
      <w:pPr>
        <w:overflowPunct w:val="0"/>
        <w:spacing w:line="480" w:lineRule="auto"/>
        <w:jc w:val="both"/>
        <w:textAlignment w:val="auto"/>
        <w:rPr>
          <w:rFonts w:ascii="Arial" w:hAnsi="Arial"/>
          <w:b/>
          <w:bCs/>
          <w:color w:val="000000"/>
          <w:sz w:val="21"/>
          <w:szCs w:val="21"/>
        </w:rPr>
      </w:pPr>
      <w:r>
        <w:rPr>
          <w:rFonts w:hint="eastAsia" w:ascii="Arial" w:hAnsi="Arial"/>
          <w:b/>
          <w:bCs/>
          <w:color w:val="000000"/>
          <w:sz w:val="21"/>
          <w:szCs w:val="21"/>
        </w:rPr>
        <w:t>（五）实物状况</w:t>
      </w:r>
    </w:p>
    <w:p>
      <w:pPr>
        <w:widowControl/>
        <w:overflowPunct w:val="0"/>
        <w:spacing w:line="240" w:lineRule="auto"/>
        <w:ind w:firstLine="420" w:firstLineChars="200"/>
        <w:jc w:val="both"/>
        <w:textAlignment w:val="auto"/>
        <w:rPr>
          <w:rFonts w:ascii="Arial" w:hAnsi="Arial"/>
          <w:color w:val="000000"/>
          <w:sz w:val="21"/>
          <w:szCs w:val="21"/>
        </w:rPr>
      </w:pPr>
      <w:r>
        <w:rPr>
          <w:rFonts w:hint="eastAsia" w:ascii="Arial" w:hAnsi="Arial"/>
          <w:color w:val="000000"/>
          <w:sz w:val="21"/>
          <w:szCs w:val="21"/>
        </w:rPr>
        <w:t>1.公共部分：</w:t>
      </w:r>
    </w:p>
    <w:tbl>
      <w:tblPr>
        <w:tblStyle w:val="32"/>
        <w:tblW w:w="9299" w:type="dxa"/>
        <w:jc w:val="center"/>
        <w:tblBorders>
          <w:top w:val="single" w:color="404040" w:sz="2" w:space="0"/>
          <w:left w:val="single" w:color="404040" w:sz="2" w:space="0"/>
          <w:bottom w:val="single" w:color="404040" w:sz="2" w:space="0"/>
          <w:right w:val="single" w:color="404040" w:sz="2" w:space="0"/>
          <w:insideH w:val="single" w:color="404040" w:sz="2" w:space="0"/>
          <w:insideV w:val="single" w:color="404040" w:sz="2" w:space="0"/>
        </w:tblBorders>
        <w:tblLayout w:type="fixed"/>
        <w:tblCellMar>
          <w:top w:w="85" w:type="dxa"/>
          <w:left w:w="85" w:type="dxa"/>
          <w:bottom w:w="85" w:type="dxa"/>
          <w:right w:w="85" w:type="dxa"/>
        </w:tblCellMar>
      </w:tblPr>
      <w:tblGrid>
        <w:gridCol w:w="2324"/>
        <w:gridCol w:w="2325"/>
        <w:gridCol w:w="2325"/>
        <w:gridCol w:w="2325"/>
      </w:tblGrid>
      <w:tr>
        <w:tblPrEx>
          <w:tblBorders>
            <w:top w:val="single" w:color="404040" w:sz="2" w:space="0"/>
            <w:left w:val="single" w:color="404040" w:sz="2" w:space="0"/>
            <w:bottom w:val="single" w:color="404040" w:sz="2" w:space="0"/>
            <w:right w:val="single" w:color="404040" w:sz="2" w:space="0"/>
            <w:insideH w:val="single" w:color="404040" w:sz="2" w:space="0"/>
            <w:insideV w:val="single" w:color="404040" w:sz="2" w:space="0"/>
          </w:tblBorders>
          <w:tblCellMar>
            <w:top w:w="85" w:type="dxa"/>
            <w:left w:w="85" w:type="dxa"/>
            <w:bottom w:w="85" w:type="dxa"/>
            <w:right w:w="85" w:type="dxa"/>
          </w:tblCellMar>
        </w:tblPrEx>
        <w:trPr>
          <w:jc w:val="center"/>
        </w:trPr>
        <w:tc>
          <w:tcPr>
            <w:tcW w:w="2324" w:type="dxa"/>
            <w:noWrap/>
            <w:vAlign w:val="center"/>
          </w:tcPr>
          <w:p>
            <w:pPr>
              <w:keepNext w:val="0"/>
              <w:keepLines w:val="0"/>
              <w:pageBreakBefore w:val="0"/>
              <w:widowControl/>
              <w:kinsoku/>
              <w:wordWrap/>
              <w:overflowPunct w:val="0"/>
              <w:topLinePunct w:val="0"/>
              <w:autoSpaceDE/>
              <w:autoSpaceDN/>
              <w:bidi w:val="0"/>
              <w:adjustRightInd w:val="0"/>
              <w:snapToGrid/>
              <w:spacing w:line="240" w:lineRule="exact"/>
              <w:textAlignment w:val="auto"/>
              <w:rPr>
                <w:rFonts w:hint="default" w:ascii="Arial" w:hAnsi="Arial" w:eastAsia="华文细黑" w:cs="Arial"/>
                <w:color w:val="000000"/>
                <w:sz w:val="18"/>
                <w:szCs w:val="18"/>
              </w:rPr>
            </w:pPr>
            <w:r>
              <w:rPr>
                <w:rFonts w:hint="default" w:ascii="Arial" w:hAnsi="Arial" w:eastAsia="华文细黑" w:cs="Arial"/>
                <w:color w:val="000000"/>
                <w:sz w:val="18"/>
                <w:szCs w:val="18"/>
              </w:rPr>
              <w:t>结构形式</w:t>
            </w:r>
          </w:p>
        </w:tc>
        <w:tc>
          <w:tcPr>
            <w:tcW w:w="2325" w:type="dxa"/>
            <w:vAlign w:val="center"/>
          </w:tcPr>
          <w:p>
            <w:pPr>
              <w:keepNext w:val="0"/>
              <w:keepLines w:val="0"/>
              <w:pageBreakBefore w:val="0"/>
              <w:widowControl/>
              <w:kinsoku/>
              <w:wordWrap/>
              <w:overflowPunct w:val="0"/>
              <w:topLinePunct w:val="0"/>
              <w:autoSpaceDE/>
              <w:autoSpaceDN/>
              <w:bidi w:val="0"/>
              <w:adjustRightInd w:val="0"/>
              <w:snapToGrid/>
              <w:spacing w:line="240" w:lineRule="exact"/>
              <w:textAlignment w:val="auto"/>
              <w:rPr>
                <w:rFonts w:hint="default" w:ascii="Arial" w:hAnsi="Arial" w:eastAsia="华文细黑" w:cs="Arial"/>
                <w:color w:val="000000"/>
                <w:sz w:val="18"/>
                <w:szCs w:val="18"/>
              </w:rPr>
            </w:pPr>
            <w:r>
              <w:rPr>
                <w:rFonts w:hint="default" w:ascii="Arial" w:hAnsi="Arial" w:eastAsia="华文细黑" w:cs="Arial"/>
                <w:color w:val="000000"/>
                <w:sz w:val="18"/>
                <w:szCs w:val="18"/>
              </w:rPr>
              <w:t>钢筋混凝土结构</w:t>
            </w:r>
          </w:p>
        </w:tc>
        <w:tc>
          <w:tcPr>
            <w:tcW w:w="2325" w:type="dxa"/>
            <w:vAlign w:val="center"/>
          </w:tcPr>
          <w:p>
            <w:pPr>
              <w:keepNext w:val="0"/>
              <w:keepLines w:val="0"/>
              <w:pageBreakBefore w:val="0"/>
              <w:widowControl/>
              <w:kinsoku/>
              <w:wordWrap/>
              <w:overflowPunct w:val="0"/>
              <w:topLinePunct w:val="0"/>
              <w:autoSpaceDE/>
              <w:autoSpaceDN/>
              <w:bidi w:val="0"/>
              <w:adjustRightInd w:val="0"/>
              <w:snapToGrid/>
              <w:spacing w:line="240" w:lineRule="exact"/>
              <w:textAlignment w:val="auto"/>
              <w:rPr>
                <w:rFonts w:hint="default" w:ascii="Arial" w:hAnsi="Arial" w:eastAsia="华文细黑" w:cs="Arial"/>
                <w:color w:val="000000"/>
                <w:sz w:val="18"/>
                <w:szCs w:val="18"/>
              </w:rPr>
            </w:pPr>
            <w:r>
              <w:rPr>
                <w:rFonts w:hint="default" w:ascii="Arial" w:hAnsi="Arial" w:eastAsia="华文细黑" w:cs="Arial"/>
                <w:color w:val="000000"/>
                <w:sz w:val="18"/>
                <w:szCs w:val="18"/>
              </w:rPr>
              <w:t>建筑类型</w:t>
            </w:r>
          </w:p>
        </w:tc>
        <w:tc>
          <w:tcPr>
            <w:tcW w:w="2325" w:type="dxa"/>
            <w:vAlign w:val="center"/>
          </w:tcPr>
          <w:p>
            <w:pPr>
              <w:keepNext w:val="0"/>
              <w:keepLines w:val="0"/>
              <w:pageBreakBefore w:val="0"/>
              <w:widowControl/>
              <w:kinsoku/>
              <w:wordWrap/>
              <w:overflowPunct w:val="0"/>
              <w:topLinePunct w:val="0"/>
              <w:autoSpaceDE/>
              <w:autoSpaceDN/>
              <w:bidi w:val="0"/>
              <w:adjustRightInd w:val="0"/>
              <w:snapToGrid/>
              <w:spacing w:line="240" w:lineRule="exact"/>
              <w:textAlignment w:val="auto"/>
              <w:rPr>
                <w:rFonts w:hint="default" w:ascii="Arial" w:hAnsi="Arial" w:eastAsia="华文细黑" w:cs="Arial"/>
                <w:color w:val="000000"/>
                <w:sz w:val="18"/>
                <w:szCs w:val="18"/>
              </w:rPr>
            </w:pPr>
            <w:r>
              <w:rPr>
                <w:rFonts w:hint="default" w:ascii="Arial" w:hAnsi="Arial" w:eastAsia="华文细黑" w:cs="Arial"/>
                <w:color w:val="000000"/>
                <w:sz w:val="18"/>
                <w:szCs w:val="18"/>
              </w:rPr>
              <w:t>高层板楼</w:t>
            </w:r>
          </w:p>
        </w:tc>
      </w:tr>
      <w:tr>
        <w:tblPrEx>
          <w:tblBorders>
            <w:top w:val="single" w:color="404040" w:sz="2" w:space="0"/>
            <w:left w:val="single" w:color="404040" w:sz="2" w:space="0"/>
            <w:bottom w:val="single" w:color="404040" w:sz="2" w:space="0"/>
            <w:right w:val="single" w:color="404040" w:sz="2" w:space="0"/>
            <w:insideH w:val="single" w:color="404040" w:sz="2" w:space="0"/>
            <w:insideV w:val="single" w:color="404040" w:sz="2" w:space="0"/>
          </w:tblBorders>
          <w:tblCellMar>
            <w:top w:w="85" w:type="dxa"/>
            <w:left w:w="85" w:type="dxa"/>
            <w:bottom w:w="85" w:type="dxa"/>
            <w:right w:w="85" w:type="dxa"/>
          </w:tblCellMar>
        </w:tblPrEx>
        <w:trPr>
          <w:jc w:val="center"/>
        </w:trPr>
        <w:tc>
          <w:tcPr>
            <w:tcW w:w="2324" w:type="dxa"/>
            <w:noWrap/>
            <w:vAlign w:val="center"/>
          </w:tcPr>
          <w:p>
            <w:pPr>
              <w:keepNext w:val="0"/>
              <w:keepLines w:val="0"/>
              <w:pageBreakBefore w:val="0"/>
              <w:widowControl/>
              <w:kinsoku/>
              <w:wordWrap/>
              <w:overflowPunct w:val="0"/>
              <w:topLinePunct w:val="0"/>
              <w:autoSpaceDE/>
              <w:autoSpaceDN/>
              <w:bidi w:val="0"/>
              <w:adjustRightInd w:val="0"/>
              <w:snapToGrid/>
              <w:spacing w:line="240" w:lineRule="exact"/>
              <w:textAlignment w:val="auto"/>
              <w:rPr>
                <w:rFonts w:hint="default" w:ascii="Arial" w:hAnsi="Arial" w:eastAsia="华文细黑" w:cs="Arial"/>
                <w:color w:val="000000"/>
                <w:sz w:val="18"/>
                <w:szCs w:val="18"/>
              </w:rPr>
            </w:pPr>
            <w:r>
              <w:rPr>
                <w:rFonts w:hint="default" w:ascii="Arial" w:hAnsi="Arial" w:eastAsia="华文细黑" w:cs="Arial"/>
                <w:color w:val="000000"/>
                <w:sz w:val="18"/>
                <w:szCs w:val="18"/>
              </w:rPr>
              <w:t>外立面装饰</w:t>
            </w:r>
          </w:p>
        </w:tc>
        <w:tc>
          <w:tcPr>
            <w:tcW w:w="6975" w:type="dxa"/>
            <w:gridSpan w:val="3"/>
            <w:vAlign w:val="center"/>
          </w:tcPr>
          <w:p>
            <w:pPr>
              <w:keepNext w:val="0"/>
              <w:keepLines w:val="0"/>
              <w:pageBreakBefore w:val="0"/>
              <w:widowControl/>
              <w:kinsoku/>
              <w:wordWrap/>
              <w:overflowPunct w:val="0"/>
              <w:topLinePunct w:val="0"/>
              <w:autoSpaceDE/>
              <w:autoSpaceDN/>
              <w:bidi w:val="0"/>
              <w:adjustRightInd w:val="0"/>
              <w:snapToGrid/>
              <w:spacing w:line="240" w:lineRule="exact"/>
              <w:textAlignment w:val="auto"/>
              <w:rPr>
                <w:rFonts w:hint="default" w:ascii="Arial" w:hAnsi="Arial" w:eastAsia="华文细黑" w:cs="Arial"/>
                <w:color w:val="000000"/>
                <w:sz w:val="18"/>
                <w:szCs w:val="18"/>
              </w:rPr>
            </w:pPr>
            <w:r>
              <w:rPr>
                <w:rFonts w:hint="default" w:ascii="Arial" w:hAnsi="Arial" w:eastAsia="华文细黑" w:cs="Arial"/>
                <w:color w:val="000000"/>
                <w:sz w:val="18"/>
                <w:szCs w:val="18"/>
              </w:rPr>
              <w:t>墙砖、涂料</w:t>
            </w:r>
          </w:p>
        </w:tc>
      </w:tr>
      <w:tr>
        <w:tblPrEx>
          <w:tblBorders>
            <w:top w:val="single" w:color="404040" w:sz="2" w:space="0"/>
            <w:left w:val="single" w:color="404040" w:sz="2" w:space="0"/>
            <w:bottom w:val="single" w:color="404040" w:sz="2" w:space="0"/>
            <w:right w:val="single" w:color="404040" w:sz="2" w:space="0"/>
            <w:insideH w:val="single" w:color="404040" w:sz="2" w:space="0"/>
            <w:insideV w:val="single" w:color="404040" w:sz="2" w:space="0"/>
          </w:tblBorders>
          <w:tblCellMar>
            <w:top w:w="85" w:type="dxa"/>
            <w:left w:w="85" w:type="dxa"/>
            <w:bottom w:w="85" w:type="dxa"/>
            <w:right w:w="85" w:type="dxa"/>
          </w:tblCellMar>
        </w:tblPrEx>
        <w:trPr>
          <w:jc w:val="center"/>
        </w:trPr>
        <w:tc>
          <w:tcPr>
            <w:tcW w:w="2324" w:type="dxa"/>
            <w:noWrap/>
            <w:vAlign w:val="center"/>
          </w:tcPr>
          <w:p>
            <w:pPr>
              <w:keepNext w:val="0"/>
              <w:keepLines w:val="0"/>
              <w:pageBreakBefore w:val="0"/>
              <w:widowControl/>
              <w:kinsoku/>
              <w:wordWrap/>
              <w:overflowPunct w:val="0"/>
              <w:topLinePunct w:val="0"/>
              <w:autoSpaceDE/>
              <w:autoSpaceDN/>
              <w:bidi w:val="0"/>
              <w:adjustRightInd w:val="0"/>
              <w:snapToGrid/>
              <w:spacing w:line="240" w:lineRule="exact"/>
              <w:textAlignment w:val="auto"/>
              <w:rPr>
                <w:rFonts w:hint="default" w:ascii="Arial" w:hAnsi="Arial" w:eastAsia="华文细黑" w:cs="Arial"/>
                <w:color w:val="000000"/>
                <w:sz w:val="18"/>
                <w:szCs w:val="18"/>
              </w:rPr>
            </w:pPr>
            <w:r>
              <w:rPr>
                <w:rFonts w:hint="default" w:ascii="Arial" w:hAnsi="Arial" w:eastAsia="华文细黑" w:cs="Arial"/>
                <w:color w:val="000000"/>
                <w:sz w:val="18"/>
                <w:szCs w:val="18"/>
              </w:rPr>
              <w:t>楼梯间装修</w:t>
            </w:r>
          </w:p>
        </w:tc>
        <w:tc>
          <w:tcPr>
            <w:tcW w:w="6975" w:type="dxa"/>
            <w:gridSpan w:val="3"/>
            <w:vAlign w:val="center"/>
          </w:tcPr>
          <w:p>
            <w:pPr>
              <w:keepNext w:val="0"/>
              <w:keepLines w:val="0"/>
              <w:pageBreakBefore w:val="0"/>
              <w:widowControl/>
              <w:kinsoku/>
              <w:wordWrap/>
              <w:overflowPunct w:val="0"/>
              <w:topLinePunct w:val="0"/>
              <w:autoSpaceDE/>
              <w:autoSpaceDN/>
              <w:bidi w:val="0"/>
              <w:adjustRightInd w:val="0"/>
              <w:snapToGrid/>
              <w:spacing w:line="240" w:lineRule="exact"/>
              <w:textAlignment w:val="auto"/>
              <w:rPr>
                <w:rFonts w:hint="default" w:ascii="Arial" w:hAnsi="Arial" w:eastAsia="华文细黑" w:cs="Arial"/>
                <w:color w:val="000000"/>
                <w:sz w:val="18"/>
                <w:szCs w:val="18"/>
              </w:rPr>
            </w:pPr>
            <w:r>
              <w:rPr>
                <w:rFonts w:hint="default" w:ascii="Arial" w:hAnsi="Arial" w:eastAsia="华文细黑" w:cs="Arial"/>
                <w:color w:val="000000"/>
                <w:sz w:val="18"/>
                <w:szCs w:val="18"/>
              </w:rPr>
              <w:t>顶棚：涂料；墙面：涂料；地面：地砖</w:t>
            </w:r>
          </w:p>
        </w:tc>
      </w:tr>
      <w:tr>
        <w:tblPrEx>
          <w:tblBorders>
            <w:top w:val="single" w:color="404040" w:sz="2" w:space="0"/>
            <w:left w:val="single" w:color="404040" w:sz="2" w:space="0"/>
            <w:bottom w:val="single" w:color="404040" w:sz="2" w:space="0"/>
            <w:right w:val="single" w:color="404040" w:sz="2" w:space="0"/>
            <w:insideH w:val="single" w:color="404040" w:sz="2" w:space="0"/>
            <w:insideV w:val="single" w:color="404040" w:sz="2" w:space="0"/>
          </w:tblBorders>
          <w:tblCellMar>
            <w:top w:w="85" w:type="dxa"/>
            <w:left w:w="85" w:type="dxa"/>
            <w:bottom w:w="85" w:type="dxa"/>
            <w:right w:w="85" w:type="dxa"/>
          </w:tblCellMar>
        </w:tblPrEx>
        <w:trPr>
          <w:jc w:val="center"/>
        </w:trPr>
        <w:tc>
          <w:tcPr>
            <w:tcW w:w="2324" w:type="dxa"/>
            <w:noWrap/>
            <w:vAlign w:val="center"/>
          </w:tcPr>
          <w:p>
            <w:pPr>
              <w:keepNext w:val="0"/>
              <w:keepLines w:val="0"/>
              <w:pageBreakBefore w:val="0"/>
              <w:widowControl/>
              <w:kinsoku/>
              <w:wordWrap/>
              <w:overflowPunct w:val="0"/>
              <w:topLinePunct w:val="0"/>
              <w:autoSpaceDE/>
              <w:autoSpaceDN/>
              <w:bidi w:val="0"/>
              <w:adjustRightInd w:val="0"/>
              <w:snapToGrid/>
              <w:spacing w:line="240" w:lineRule="exact"/>
              <w:textAlignment w:val="auto"/>
              <w:rPr>
                <w:rFonts w:hint="default" w:ascii="Arial" w:hAnsi="Arial" w:eastAsia="华文细黑" w:cs="Arial"/>
                <w:color w:val="000000"/>
                <w:sz w:val="18"/>
                <w:szCs w:val="18"/>
              </w:rPr>
            </w:pPr>
            <w:r>
              <w:rPr>
                <w:rFonts w:hint="default" w:ascii="Arial" w:hAnsi="Arial" w:eastAsia="华文细黑" w:cs="Arial"/>
                <w:color w:val="000000"/>
                <w:sz w:val="18"/>
                <w:szCs w:val="18"/>
              </w:rPr>
              <w:t>首层电梯间装饰</w:t>
            </w:r>
          </w:p>
        </w:tc>
        <w:tc>
          <w:tcPr>
            <w:tcW w:w="6975" w:type="dxa"/>
            <w:gridSpan w:val="3"/>
            <w:vAlign w:val="center"/>
          </w:tcPr>
          <w:p>
            <w:pPr>
              <w:keepNext w:val="0"/>
              <w:keepLines w:val="0"/>
              <w:pageBreakBefore w:val="0"/>
              <w:widowControl/>
              <w:kinsoku/>
              <w:wordWrap/>
              <w:overflowPunct w:val="0"/>
              <w:topLinePunct w:val="0"/>
              <w:autoSpaceDE/>
              <w:autoSpaceDN/>
              <w:bidi w:val="0"/>
              <w:adjustRightInd w:val="0"/>
              <w:snapToGrid/>
              <w:spacing w:line="240" w:lineRule="exact"/>
              <w:textAlignment w:val="auto"/>
              <w:rPr>
                <w:rFonts w:hint="default" w:ascii="Arial" w:hAnsi="Arial" w:eastAsia="华文细黑" w:cs="Arial"/>
                <w:color w:val="000000"/>
                <w:sz w:val="18"/>
                <w:szCs w:val="18"/>
              </w:rPr>
            </w:pPr>
            <w:r>
              <w:rPr>
                <w:rFonts w:hint="default" w:ascii="Arial" w:hAnsi="Arial" w:eastAsia="华文细黑" w:cs="Arial"/>
                <w:color w:val="000000"/>
                <w:sz w:val="18"/>
                <w:szCs w:val="18"/>
              </w:rPr>
              <w:t>顶棚：涂料；墙面：涂料；地面：地砖</w:t>
            </w:r>
          </w:p>
        </w:tc>
      </w:tr>
      <w:tr>
        <w:tblPrEx>
          <w:tblBorders>
            <w:top w:val="single" w:color="404040" w:sz="2" w:space="0"/>
            <w:left w:val="single" w:color="404040" w:sz="2" w:space="0"/>
            <w:bottom w:val="single" w:color="404040" w:sz="2" w:space="0"/>
            <w:right w:val="single" w:color="404040" w:sz="2" w:space="0"/>
            <w:insideH w:val="single" w:color="404040" w:sz="2" w:space="0"/>
            <w:insideV w:val="single" w:color="404040" w:sz="2" w:space="0"/>
          </w:tblBorders>
          <w:tblCellMar>
            <w:top w:w="85" w:type="dxa"/>
            <w:left w:w="85" w:type="dxa"/>
            <w:bottom w:w="85" w:type="dxa"/>
            <w:right w:w="85" w:type="dxa"/>
          </w:tblCellMar>
        </w:tblPrEx>
        <w:trPr>
          <w:jc w:val="center"/>
        </w:trPr>
        <w:tc>
          <w:tcPr>
            <w:tcW w:w="9299" w:type="dxa"/>
            <w:gridSpan w:val="4"/>
            <w:noWrap/>
            <w:vAlign w:val="center"/>
          </w:tcPr>
          <w:p>
            <w:pPr>
              <w:keepNext w:val="0"/>
              <w:keepLines w:val="0"/>
              <w:pageBreakBefore w:val="0"/>
              <w:widowControl/>
              <w:kinsoku/>
              <w:wordWrap/>
              <w:overflowPunct w:val="0"/>
              <w:topLinePunct w:val="0"/>
              <w:autoSpaceDE/>
              <w:autoSpaceDN/>
              <w:bidi w:val="0"/>
              <w:adjustRightInd w:val="0"/>
              <w:snapToGrid/>
              <w:spacing w:line="240" w:lineRule="exact"/>
              <w:textAlignment w:val="auto"/>
              <w:rPr>
                <w:rFonts w:hint="default" w:ascii="Arial" w:hAnsi="Arial" w:eastAsia="华文细黑" w:cs="Arial"/>
                <w:color w:val="000000"/>
                <w:sz w:val="18"/>
                <w:szCs w:val="18"/>
              </w:rPr>
            </w:pPr>
            <w:r>
              <w:rPr>
                <w:rFonts w:hint="default" w:ascii="Arial" w:hAnsi="Arial" w:eastAsia="华文细黑" w:cs="Arial"/>
                <w:color w:val="000000"/>
                <w:sz w:val="18"/>
                <w:szCs w:val="18"/>
              </w:rPr>
              <w:t>基础设施情况</w:t>
            </w:r>
          </w:p>
        </w:tc>
      </w:tr>
      <w:tr>
        <w:tblPrEx>
          <w:tblBorders>
            <w:top w:val="single" w:color="404040" w:sz="2" w:space="0"/>
            <w:left w:val="single" w:color="404040" w:sz="2" w:space="0"/>
            <w:bottom w:val="single" w:color="404040" w:sz="2" w:space="0"/>
            <w:right w:val="single" w:color="404040" w:sz="2" w:space="0"/>
            <w:insideH w:val="single" w:color="404040" w:sz="2" w:space="0"/>
            <w:insideV w:val="single" w:color="404040" w:sz="2" w:space="0"/>
          </w:tblBorders>
          <w:tblCellMar>
            <w:top w:w="85" w:type="dxa"/>
            <w:left w:w="85" w:type="dxa"/>
            <w:bottom w:w="85" w:type="dxa"/>
            <w:right w:w="85" w:type="dxa"/>
          </w:tblCellMar>
        </w:tblPrEx>
        <w:trPr>
          <w:jc w:val="center"/>
        </w:trPr>
        <w:tc>
          <w:tcPr>
            <w:tcW w:w="2324" w:type="dxa"/>
            <w:noWrap/>
            <w:vAlign w:val="center"/>
          </w:tcPr>
          <w:p>
            <w:pPr>
              <w:keepNext w:val="0"/>
              <w:keepLines w:val="0"/>
              <w:pageBreakBefore w:val="0"/>
              <w:widowControl/>
              <w:kinsoku/>
              <w:wordWrap/>
              <w:overflowPunct w:val="0"/>
              <w:topLinePunct w:val="0"/>
              <w:autoSpaceDE/>
              <w:autoSpaceDN/>
              <w:bidi w:val="0"/>
              <w:adjustRightInd w:val="0"/>
              <w:snapToGrid/>
              <w:spacing w:line="240" w:lineRule="exact"/>
              <w:textAlignment w:val="auto"/>
              <w:rPr>
                <w:rFonts w:hint="default" w:ascii="Arial" w:hAnsi="Arial" w:eastAsia="华文细黑" w:cs="Arial"/>
                <w:color w:val="000000"/>
                <w:sz w:val="18"/>
                <w:szCs w:val="18"/>
              </w:rPr>
            </w:pPr>
            <w:r>
              <w:rPr>
                <w:rFonts w:hint="default" w:ascii="Arial" w:hAnsi="Arial" w:eastAsia="华文细黑" w:cs="Arial"/>
                <w:color w:val="000000"/>
                <w:sz w:val="18"/>
                <w:szCs w:val="18"/>
              </w:rPr>
              <w:t>道路</w:t>
            </w:r>
          </w:p>
        </w:tc>
        <w:tc>
          <w:tcPr>
            <w:tcW w:w="2325" w:type="dxa"/>
            <w:vAlign w:val="center"/>
          </w:tcPr>
          <w:p>
            <w:pPr>
              <w:keepNext w:val="0"/>
              <w:keepLines w:val="0"/>
              <w:pageBreakBefore w:val="0"/>
              <w:widowControl/>
              <w:kinsoku/>
              <w:wordWrap/>
              <w:overflowPunct w:val="0"/>
              <w:topLinePunct w:val="0"/>
              <w:autoSpaceDE/>
              <w:autoSpaceDN/>
              <w:bidi w:val="0"/>
              <w:adjustRightInd w:val="0"/>
              <w:snapToGrid/>
              <w:spacing w:line="240" w:lineRule="exact"/>
              <w:textAlignment w:val="auto"/>
              <w:rPr>
                <w:rFonts w:hint="default" w:ascii="Arial" w:hAnsi="Arial" w:eastAsia="华文细黑" w:cs="Arial"/>
                <w:color w:val="000000"/>
                <w:sz w:val="18"/>
                <w:szCs w:val="18"/>
              </w:rPr>
            </w:pPr>
            <w:r>
              <w:rPr>
                <w:rFonts w:hint="default" w:ascii="Arial" w:hAnsi="Arial" w:eastAsia="华文细黑" w:cs="Arial"/>
                <w:color w:val="000000"/>
                <w:sz w:val="18"/>
                <w:szCs w:val="18"/>
              </w:rPr>
              <w:t>城市支路-康庄路</w:t>
            </w:r>
          </w:p>
        </w:tc>
        <w:tc>
          <w:tcPr>
            <w:tcW w:w="2325" w:type="dxa"/>
            <w:vAlign w:val="center"/>
          </w:tcPr>
          <w:p>
            <w:pPr>
              <w:keepNext w:val="0"/>
              <w:keepLines w:val="0"/>
              <w:pageBreakBefore w:val="0"/>
              <w:widowControl/>
              <w:kinsoku/>
              <w:wordWrap/>
              <w:overflowPunct w:val="0"/>
              <w:topLinePunct w:val="0"/>
              <w:autoSpaceDE/>
              <w:autoSpaceDN/>
              <w:bidi w:val="0"/>
              <w:adjustRightInd w:val="0"/>
              <w:snapToGrid/>
              <w:spacing w:line="240" w:lineRule="exact"/>
              <w:textAlignment w:val="auto"/>
              <w:rPr>
                <w:rFonts w:hint="default" w:ascii="Arial" w:hAnsi="Arial" w:eastAsia="华文细黑" w:cs="Arial"/>
                <w:color w:val="000000"/>
                <w:sz w:val="18"/>
                <w:szCs w:val="18"/>
              </w:rPr>
            </w:pPr>
            <w:r>
              <w:rPr>
                <w:rFonts w:hint="default" w:ascii="Arial" w:hAnsi="Arial" w:eastAsia="华文细黑" w:cs="Arial"/>
                <w:color w:val="000000"/>
                <w:sz w:val="18"/>
                <w:szCs w:val="18"/>
              </w:rPr>
              <w:t>供水</w:t>
            </w:r>
          </w:p>
        </w:tc>
        <w:tc>
          <w:tcPr>
            <w:tcW w:w="2325" w:type="dxa"/>
            <w:vAlign w:val="center"/>
          </w:tcPr>
          <w:p>
            <w:pPr>
              <w:keepNext w:val="0"/>
              <w:keepLines w:val="0"/>
              <w:pageBreakBefore w:val="0"/>
              <w:widowControl/>
              <w:kinsoku/>
              <w:wordWrap/>
              <w:overflowPunct w:val="0"/>
              <w:topLinePunct w:val="0"/>
              <w:autoSpaceDE/>
              <w:autoSpaceDN/>
              <w:bidi w:val="0"/>
              <w:adjustRightInd w:val="0"/>
              <w:snapToGrid/>
              <w:spacing w:line="240" w:lineRule="exact"/>
              <w:textAlignment w:val="auto"/>
              <w:rPr>
                <w:rFonts w:hint="default" w:ascii="Arial" w:hAnsi="Arial" w:eastAsia="华文细黑" w:cs="Arial"/>
                <w:color w:val="000000"/>
                <w:sz w:val="18"/>
                <w:szCs w:val="18"/>
              </w:rPr>
            </w:pPr>
            <w:r>
              <w:rPr>
                <w:rFonts w:hint="default" w:ascii="Arial" w:hAnsi="Arial" w:eastAsia="华文细黑" w:cs="Arial"/>
                <w:sz w:val="18"/>
                <w:szCs w:val="18"/>
              </w:rPr>
              <w:t>市政管网供水</w:t>
            </w:r>
          </w:p>
        </w:tc>
      </w:tr>
      <w:tr>
        <w:tblPrEx>
          <w:tblBorders>
            <w:top w:val="single" w:color="404040" w:sz="2" w:space="0"/>
            <w:left w:val="single" w:color="404040" w:sz="2" w:space="0"/>
            <w:bottom w:val="single" w:color="404040" w:sz="2" w:space="0"/>
            <w:right w:val="single" w:color="404040" w:sz="2" w:space="0"/>
            <w:insideH w:val="single" w:color="404040" w:sz="2" w:space="0"/>
            <w:insideV w:val="single" w:color="404040" w:sz="2" w:space="0"/>
          </w:tblBorders>
          <w:tblCellMar>
            <w:top w:w="85" w:type="dxa"/>
            <w:left w:w="85" w:type="dxa"/>
            <w:bottom w:w="85" w:type="dxa"/>
            <w:right w:w="85" w:type="dxa"/>
          </w:tblCellMar>
        </w:tblPrEx>
        <w:trPr>
          <w:jc w:val="center"/>
        </w:trPr>
        <w:tc>
          <w:tcPr>
            <w:tcW w:w="2324" w:type="dxa"/>
            <w:noWrap/>
            <w:vAlign w:val="center"/>
          </w:tcPr>
          <w:p>
            <w:pPr>
              <w:keepNext w:val="0"/>
              <w:keepLines w:val="0"/>
              <w:pageBreakBefore w:val="0"/>
              <w:widowControl/>
              <w:kinsoku/>
              <w:wordWrap/>
              <w:overflowPunct w:val="0"/>
              <w:topLinePunct w:val="0"/>
              <w:autoSpaceDE/>
              <w:autoSpaceDN/>
              <w:bidi w:val="0"/>
              <w:adjustRightInd w:val="0"/>
              <w:snapToGrid/>
              <w:spacing w:line="240" w:lineRule="exact"/>
              <w:textAlignment w:val="auto"/>
              <w:rPr>
                <w:rFonts w:hint="default" w:ascii="Arial" w:hAnsi="Arial" w:eastAsia="华文细黑" w:cs="Arial"/>
                <w:color w:val="000000"/>
                <w:sz w:val="18"/>
                <w:szCs w:val="18"/>
              </w:rPr>
            </w:pPr>
            <w:r>
              <w:rPr>
                <w:rFonts w:hint="default" w:ascii="Arial" w:hAnsi="Arial" w:eastAsia="华文细黑" w:cs="Arial"/>
                <w:color w:val="000000"/>
                <w:sz w:val="18"/>
                <w:szCs w:val="18"/>
              </w:rPr>
              <w:t>排水</w:t>
            </w:r>
          </w:p>
        </w:tc>
        <w:tc>
          <w:tcPr>
            <w:tcW w:w="2325" w:type="dxa"/>
            <w:vAlign w:val="center"/>
          </w:tcPr>
          <w:p>
            <w:pPr>
              <w:keepNext w:val="0"/>
              <w:keepLines w:val="0"/>
              <w:pageBreakBefore w:val="0"/>
              <w:widowControl/>
              <w:kinsoku/>
              <w:wordWrap/>
              <w:overflowPunct w:val="0"/>
              <w:topLinePunct w:val="0"/>
              <w:autoSpaceDE/>
              <w:autoSpaceDN/>
              <w:bidi w:val="0"/>
              <w:adjustRightInd w:val="0"/>
              <w:snapToGrid/>
              <w:spacing w:line="240" w:lineRule="exact"/>
              <w:textAlignment w:val="auto"/>
              <w:rPr>
                <w:rFonts w:hint="default" w:ascii="Arial" w:hAnsi="Arial" w:eastAsia="华文细黑" w:cs="Arial"/>
                <w:color w:val="000000"/>
                <w:sz w:val="18"/>
                <w:szCs w:val="18"/>
              </w:rPr>
            </w:pPr>
            <w:r>
              <w:rPr>
                <w:rFonts w:hint="default" w:ascii="Arial" w:hAnsi="Arial" w:eastAsia="华文细黑" w:cs="Arial"/>
                <w:sz w:val="18"/>
                <w:szCs w:val="18"/>
              </w:rPr>
              <w:t>市政管网排水</w:t>
            </w:r>
          </w:p>
        </w:tc>
        <w:tc>
          <w:tcPr>
            <w:tcW w:w="2325" w:type="dxa"/>
            <w:vAlign w:val="center"/>
          </w:tcPr>
          <w:p>
            <w:pPr>
              <w:keepNext w:val="0"/>
              <w:keepLines w:val="0"/>
              <w:pageBreakBefore w:val="0"/>
              <w:widowControl/>
              <w:kinsoku/>
              <w:wordWrap/>
              <w:overflowPunct w:val="0"/>
              <w:topLinePunct w:val="0"/>
              <w:autoSpaceDE/>
              <w:autoSpaceDN/>
              <w:bidi w:val="0"/>
              <w:adjustRightInd w:val="0"/>
              <w:snapToGrid/>
              <w:spacing w:line="240" w:lineRule="exact"/>
              <w:textAlignment w:val="auto"/>
              <w:rPr>
                <w:rFonts w:hint="default" w:ascii="Arial" w:hAnsi="Arial" w:eastAsia="华文细黑" w:cs="Arial"/>
                <w:color w:val="000000"/>
                <w:sz w:val="18"/>
                <w:szCs w:val="18"/>
              </w:rPr>
            </w:pPr>
            <w:r>
              <w:rPr>
                <w:rFonts w:hint="default" w:ascii="Arial" w:hAnsi="Arial" w:eastAsia="华文细黑" w:cs="Arial"/>
                <w:color w:val="000000"/>
                <w:sz w:val="18"/>
                <w:szCs w:val="18"/>
              </w:rPr>
              <w:t>供电</w:t>
            </w:r>
          </w:p>
        </w:tc>
        <w:tc>
          <w:tcPr>
            <w:tcW w:w="2325" w:type="dxa"/>
            <w:vAlign w:val="center"/>
          </w:tcPr>
          <w:p>
            <w:pPr>
              <w:keepNext w:val="0"/>
              <w:keepLines w:val="0"/>
              <w:pageBreakBefore w:val="0"/>
              <w:widowControl/>
              <w:kinsoku/>
              <w:wordWrap/>
              <w:overflowPunct w:val="0"/>
              <w:topLinePunct w:val="0"/>
              <w:autoSpaceDE/>
              <w:autoSpaceDN/>
              <w:bidi w:val="0"/>
              <w:adjustRightInd w:val="0"/>
              <w:snapToGrid/>
              <w:spacing w:line="240" w:lineRule="exact"/>
              <w:textAlignment w:val="auto"/>
              <w:rPr>
                <w:rFonts w:hint="default" w:ascii="Arial" w:hAnsi="Arial" w:eastAsia="华文细黑" w:cs="Arial"/>
                <w:color w:val="000000"/>
                <w:sz w:val="18"/>
                <w:szCs w:val="18"/>
              </w:rPr>
            </w:pPr>
            <w:r>
              <w:rPr>
                <w:rFonts w:hint="default" w:ascii="Arial" w:hAnsi="Arial" w:eastAsia="华文细黑" w:cs="Arial"/>
                <w:sz w:val="18"/>
                <w:szCs w:val="18"/>
              </w:rPr>
              <w:t>市政供电</w:t>
            </w:r>
          </w:p>
        </w:tc>
      </w:tr>
      <w:tr>
        <w:tblPrEx>
          <w:tblBorders>
            <w:top w:val="single" w:color="404040" w:sz="2" w:space="0"/>
            <w:left w:val="single" w:color="404040" w:sz="2" w:space="0"/>
            <w:bottom w:val="single" w:color="404040" w:sz="2" w:space="0"/>
            <w:right w:val="single" w:color="404040" w:sz="2" w:space="0"/>
            <w:insideH w:val="single" w:color="404040" w:sz="2" w:space="0"/>
            <w:insideV w:val="single" w:color="404040" w:sz="2" w:space="0"/>
          </w:tblBorders>
          <w:tblCellMar>
            <w:top w:w="85" w:type="dxa"/>
            <w:left w:w="85" w:type="dxa"/>
            <w:bottom w:w="85" w:type="dxa"/>
            <w:right w:w="85" w:type="dxa"/>
          </w:tblCellMar>
        </w:tblPrEx>
        <w:trPr>
          <w:jc w:val="center"/>
        </w:trPr>
        <w:tc>
          <w:tcPr>
            <w:tcW w:w="2324" w:type="dxa"/>
            <w:noWrap/>
            <w:vAlign w:val="center"/>
          </w:tcPr>
          <w:p>
            <w:pPr>
              <w:keepNext w:val="0"/>
              <w:keepLines w:val="0"/>
              <w:pageBreakBefore w:val="0"/>
              <w:widowControl/>
              <w:kinsoku/>
              <w:wordWrap/>
              <w:overflowPunct w:val="0"/>
              <w:topLinePunct w:val="0"/>
              <w:autoSpaceDE/>
              <w:autoSpaceDN/>
              <w:bidi w:val="0"/>
              <w:adjustRightInd w:val="0"/>
              <w:snapToGrid/>
              <w:spacing w:line="240" w:lineRule="exact"/>
              <w:textAlignment w:val="auto"/>
              <w:rPr>
                <w:rFonts w:hint="default" w:ascii="Arial" w:hAnsi="Arial" w:eastAsia="华文细黑" w:cs="Arial"/>
                <w:color w:val="000000"/>
                <w:sz w:val="18"/>
                <w:szCs w:val="18"/>
              </w:rPr>
            </w:pPr>
            <w:r>
              <w:rPr>
                <w:rFonts w:hint="default" w:ascii="Arial" w:hAnsi="Arial" w:eastAsia="华文细黑" w:cs="Arial"/>
                <w:color w:val="000000"/>
                <w:sz w:val="18"/>
                <w:szCs w:val="18"/>
              </w:rPr>
              <w:t>供暖</w:t>
            </w:r>
          </w:p>
        </w:tc>
        <w:tc>
          <w:tcPr>
            <w:tcW w:w="2325" w:type="dxa"/>
            <w:vAlign w:val="center"/>
          </w:tcPr>
          <w:p>
            <w:pPr>
              <w:keepNext w:val="0"/>
              <w:keepLines w:val="0"/>
              <w:pageBreakBefore w:val="0"/>
              <w:widowControl/>
              <w:kinsoku/>
              <w:wordWrap/>
              <w:overflowPunct w:val="0"/>
              <w:topLinePunct w:val="0"/>
              <w:autoSpaceDE/>
              <w:autoSpaceDN/>
              <w:bidi w:val="0"/>
              <w:adjustRightInd w:val="0"/>
              <w:snapToGrid/>
              <w:spacing w:line="240" w:lineRule="exact"/>
              <w:textAlignment w:val="auto"/>
              <w:rPr>
                <w:rFonts w:hint="default" w:ascii="Arial" w:hAnsi="Arial" w:eastAsia="华文细黑" w:cs="Arial"/>
                <w:color w:val="000000"/>
                <w:sz w:val="18"/>
                <w:szCs w:val="18"/>
              </w:rPr>
            </w:pPr>
            <w:r>
              <w:rPr>
                <w:rFonts w:hint="default" w:ascii="Arial" w:hAnsi="Arial" w:eastAsia="华文细黑" w:cs="Arial"/>
                <w:sz w:val="18"/>
                <w:szCs w:val="18"/>
              </w:rPr>
              <w:t>市政供暖</w:t>
            </w:r>
          </w:p>
        </w:tc>
        <w:tc>
          <w:tcPr>
            <w:tcW w:w="2325" w:type="dxa"/>
            <w:vAlign w:val="center"/>
          </w:tcPr>
          <w:p>
            <w:pPr>
              <w:keepNext w:val="0"/>
              <w:keepLines w:val="0"/>
              <w:pageBreakBefore w:val="0"/>
              <w:widowControl/>
              <w:kinsoku/>
              <w:wordWrap/>
              <w:overflowPunct w:val="0"/>
              <w:topLinePunct w:val="0"/>
              <w:autoSpaceDE/>
              <w:autoSpaceDN/>
              <w:bidi w:val="0"/>
              <w:adjustRightInd w:val="0"/>
              <w:snapToGrid/>
              <w:spacing w:line="240" w:lineRule="exact"/>
              <w:textAlignment w:val="auto"/>
              <w:rPr>
                <w:rFonts w:hint="default" w:ascii="Arial" w:hAnsi="Arial" w:eastAsia="华文细黑" w:cs="Arial"/>
                <w:color w:val="000000"/>
                <w:sz w:val="18"/>
                <w:szCs w:val="18"/>
              </w:rPr>
            </w:pPr>
            <w:r>
              <w:rPr>
                <w:rFonts w:hint="default" w:ascii="Arial" w:hAnsi="Arial" w:eastAsia="华文细黑" w:cs="Arial"/>
                <w:color w:val="000000"/>
                <w:sz w:val="18"/>
                <w:szCs w:val="18"/>
              </w:rPr>
              <w:t>供气</w:t>
            </w:r>
          </w:p>
        </w:tc>
        <w:tc>
          <w:tcPr>
            <w:tcW w:w="2325" w:type="dxa"/>
            <w:vAlign w:val="center"/>
          </w:tcPr>
          <w:p>
            <w:pPr>
              <w:keepNext w:val="0"/>
              <w:keepLines w:val="0"/>
              <w:pageBreakBefore w:val="0"/>
              <w:widowControl/>
              <w:kinsoku/>
              <w:wordWrap/>
              <w:overflowPunct w:val="0"/>
              <w:topLinePunct w:val="0"/>
              <w:autoSpaceDE/>
              <w:autoSpaceDN/>
              <w:bidi w:val="0"/>
              <w:adjustRightInd w:val="0"/>
              <w:snapToGrid/>
              <w:spacing w:line="240" w:lineRule="exact"/>
              <w:textAlignment w:val="auto"/>
              <w:rPr>
                <w:rFonts w:hint="default" w:ascii="Arial" w:hAnsi="Arial" w:eastAsia="华文细黑" w:cs="Arial"/>
                <w:color w:val="000000"/>
                <w:sz w:val="18"/>
                <w:szCs w:val="18"/>
              </w:rPr>
            </w:pPr>
            <w:r>
              <w:rPr>
                <w:rFonts w:hint="default" w:ascii="Arial" w:hAnsi="Arial" w:eastAsia="华文细黑" w:cs="Arial"/>
                <w:sz w:val="18"/>
                <w:szCs w:val="18"/>
              </w:rPr>
              <w:t>管道天然气</w:t>
            </w:r>
          </w:p>
        </w:tc>
      </w:tr>
      <w:tr>
        <w:tblPrEx>
          <w:tblBorders>
            <w:top w:val="single" w:color="404040" w:sz="2" w:space="0"/>
            <w:left w:val="single" w:color="404040" w:sz="2" w:space="0"/>
            <w:bottom w:val="single" w:color="404040" w:sz="2" w:space="0"/>
            <w:right w:val="single" w:color="404040" w:sz="2" w:space="0"/>
            <w:insideH w:val="single" w:color="404040" w:sz="2" w:space="0"/>
            <w:insideV w:val="single" w:color="404040" w:sz="2" w:space="0"/>
          </w:tblBorders>
          <w:tblCellMar>
            <w:top w:w="85" w:type="dxa"/>
            <w:left w:w="85" w:type="dxa"/>
            <w:bottom w:w="85" w:type="dxa"/>
            <w:right w:w="85" w:type="dxa"/>
          </w:tblCellMar>
        </w:tblPrEx>
        <w:trPr>
          <w:jc w:val="center"/>
        </w:trPr>
        <w:tc>
          <w:tcPr>
            <w:tcW w:w="2324" w:type="dxa"/>
            <w:noWrap/>
            <w:vAlign w:val="center"/>
          </w:tcPr>
          <w:p>
            <w:pPr>
              <w:keepNext w:val="0"/>
              <w:keepLines w:val="0"/>
              <w:pageBreakBefore w:val="0"/>
              <w:widowControl/>
              <w:kinsoku/>
              <w:wordWrap/>
              <w:overflowPunct w:val="0"/>
              <w:topLinePunct w:val="0"/>
              <w:autoSpaceDE/>
              <w:autoSpaceDN/>
              <w:bidi w:val="0"/>
              <w:adjustRightInd w:val="0"/>
              <w:snapToGrid/>
              <w:spacing w:line="240" w:lineRule="exact"/>
              <w:textAlignment w:val="auto"/>
              <w:rPr>
                <w:rFonts w:hint="default" w:ascii="Arial" w:hAnsi="Arial" w:eastAsia="华文细黑" w:cs="Arial"/>
                <w:color w:val="000000"/>
                <w:sz w:val="18"/>
                <w:szCs w:val="18"/>
              </w:rPr>
            </w:pPr>
            <w:r>
              <w:rPr>
                <w:rFonts w:hint="default" w:ascii="Arial" w:hAnsi="Arial" w:eastAsia="华文细黑" w:cs="Arial"/>
                <w:color w:val="000000"/>
                <w:sz w:val="18"/>
                <w:szCs w:val="18"/>
              </w:rPr>
              <w:t>通讯</w:t>
            </w:r>
          </w:p>
        </w:tc>
        <w:tc>
          <w:tcPr>
            <w:tcW w:w="2325" w:type="dxa"/>
            <w:vAlign w:val="center"/>
          </w:tcPr>
          <w:p>
            <w:pPr>
              <w:keepNext w:val="0"/>
              <w:keepLines w:val="0"/>
              <w:pageBreakBefore w:val="0"/>
              <w:widowControl/>
              <w:kinsoku/>
              <w:wordWrap/>
              <w:overflowPunct w:val="0"/>
              <w:topLinePunct w:val="0"/>
              <w:autoSpaceDE/>
              <w:autoSpaceDN/>
              <w:bidi w:val="0"/>
              <w:adjustRightInd w:val="0"/>
              <w:snapToGrid/>
              <w:spacing w:line="240" w:lineRule="exact"/>
              <w:textAlignment w:val="auto"/>
              <w:rPr>
                <w:rFonts w:hint="default" w:ascii="Arial" w:hAnsi="Arial" w:eastAsia="华文细黑" w:cs="Arial"/>
                <w:color w:val="000000"/>
                <w:sz w:val="18"/>
                <w:szCs w:val="18"/>
              </w:rPr>
            </w:pPr>
            <w:r>
              <w:rPr>
                <w:rFonts w:hint="default" w:ascii="Arial" w:hAnsi="Arial" w:eastAsia="华文细黑" w:cs="Arial"/>
                <w:sz w:val="18"/>
                <w:szCs w:val="18"/>
              </w:rPr>
              <w:t>电话线入户、有线电视入户、宽带入户</w:t>
            </w:r>
          </w:p>
        </w:tc>
        <w:tc>
          <w:tcPr>
            <w:tcW w:w="2325" w:type="dxa"/>
            <w:vAlign w:val="center"/>
          </w:tcPr>
          <w:p>
            <w:pPr>
              <w:keepNext w:val="0"/>
              <w:keepLines w:val="0"/>
              <w:pageBreakBefore w:val="0"/>
              <w:widowControl/>
              <w:kinsoku/>
              <w:wordWrap/>
              <w:overflowPunct w:val="0"/>
              <w:topLinePunct w:val="0"/>
              <w:autoSpaceDE/>
              <w:autoSpaceDN/>
              <w:bidi w:val="0"/>
              <w:adjustRightInd w:val="0"/>
              <w:snapToGrid/>
              <w:spacing w:line="240" w:lineRule="exact"/>
              <w:textAlignment w:val="auto"/>
              <w:rPr>
                <w:rFonts w:hint="default" w:ascii="Arial" w:hAnsi="Arial" w:eastAsia="华文细黑" w:cs="Arial"/>
                <w:color w:val="000000"/>
                <w:sz w:val="18"/>
                <w:szCs w:val="18"/>
              </w:rPr>
            </w:pPr>
            <w:r>
              <w:rPr>
                <w:rFonts w:hint="default" w:ascii="Arial" w:hAnsi="Arial" w:eastAsia="华文细黑" w:cs="Arial"/>
                <w:color w:val="000000"/>
                <w:sz w:val="18"/>
                <w:szCs w:val="18"/>
              </w:rPr>
              <w:t>通风空调系统</w:t>
            </w:r>
          </w:p>
        </w:tc>
        <w:tc>
          <w:tcPr>
            <w:tcW w:w="2325" w:type="dxa"/>
            <w:vAlign w:val="center"/>
          </w:tcPr>
          <w:p>
            <w:pPr>
              <w:keepNext w:val="0"/>
              <w:keepLines w:val="0"/>
              <w:pageBreakBefore w:val="0"/>
              <w:widowControl/>
              <w:kinsoku/>
              <w:wordWrap/>
              <w:overflowPunct w:val="0"/>
              <w:topLinePunct w:val="0"/>
              <w:autoSpaceDE/>
              <w:autoSpaceDN/>
              <w:bidi w:val="0"/>
              <w:adjustRightInd w:val="0"/>
              <w:snapToGrid/>
              <w:spacing w:line="240" w:lineRule="exact"/>
              <w:textAlignment w:val="auto"/>
              <w:rPr>
                <w:rFonts w:hint="default" w:ascii="Arial" w:hAnsi="Arial" w:eastAsia="华文细黑" w:cs="Arial"/>
                <w:color w:val="000000"/>
                <w:sz w:val="18"/>
                <w:szCs w:val="18"/>
              </w:rPr>
            </w:pPr>
            <w:r>
              <w:rPr>
                <w:rFonts w:hint="default" w:ascii="Arial" w:hAnsi="Arial" w:eastAsia="华文细黑" w:cs="Arial"/>
                <w:color w:val="000000"/>
                <w:sz w:val="18"/>
                <w:szCs w:val="18"/>
              </w:rPr>
              <w:t>——</w:t>
            </w:r>
          </w:p>
        </w:tc>
      </w:tr>
      <w:tr>
        <w:tblPrEx>
          <w:tblBorders>
            <w:top w:val="single" w:color="404040" w:sz="2" w:space="0"/>
            <w:left w:val="single" w:color="404040" w:sz="2" w:space="0"/>
            <w:bottom w:val="single" w:color="404040" w:sz="2" w:space="0"/>
            <w:right w:val="single" w:color="404040" w:sz="2" w:space="0"/>
            <w:insideH w:val="single" w:color="404040" w:sz="2" w:space="0"/>
            <w:insideV w:val="single" w:color="404040" w:sz="2" w:space="0"/>
          </w:tblBorders>
          <w:tblCellMar>
            <w:top w:w="85" w:type="dxa"/>
            <w:left w:w="85" w:type="dxa"/>
            <w:bottom w:w="85" w:type="dxa"/>
            <w:right w:w="85" w:type="dxa"/>
          </w:tblCellMar>
        </w:tblPrEx>
        <w:trPr>
          <w:jc w:val="center"/>
        </w:trPr>
        <w:tc>
          <w:tcPr>
            <w:tcW w:w="2324" w:type="dxa"/>
            <w:noWrap/>
            <w:vAlign w:val="center"/>
          </w:tcPr>
          <w:p>
            <w:pPr>
              <w:keepNext w:val="0"/>
              <w:keepLines w:val="0"/>
              <w:pageBreakBefore w:val="0"/>
              <w:widowControl/>
              <w:kinsoku/>
              <w:wordWrap/>
              <w:overflowPunct w:val="0"/>
              <w:topLinePunct w:val="0"/>
              <w:autoSpaceDE/>
              <w:autoSpaceDN/>
              <w:bidi w:val="0"/>
              <w:adjustRightInd w:val="0"/>
              <w:snapToGrid/>
              <w:spacing w:line="240" w:lineRule="exact"/>
              <w:textAlignment w:val="auto"/>
              <w:rPr>
                <w:rFonts w:hint="default" w:ascii="Arial" w:hAnsi="Arial" w:eastAsia="华文细黑" w:cs="Arial"/>
                <w:color w:val="000000"/>
                <w:sz w:val="18"/>
                <w:szCs w:val="18"/>
              </w:rPr>
            </w:pPr>
            <w:r>
              <w:rPr>
                <w:rFonts w:hint="default" w:ascii="Arial" w:hAnsi="Arial" w:eastAsia="华文细黑" w:cs="Arial"/>
                <w:color w:val="000000"/>
                <w:sz w:val="18"/>
                <w:szCs w:val="18"/>
              </w:rPr>
              <w:t>消防系统</w:t>
            </w:r>
          </w:p>
        </w:tc>
        <w:tc>
          <w:tcPr>
            <w:tcW w:w="6975" w:type="dxa"/>
            <w:gridSpan w:val="3"/>
            <w:vAlign w:val="center"/>
          </w:tcPr>
          <w:p>
            <w:pPr>
              <w:keepNext w:val="0"/>
              <w:keepLines w:val="0"/>
              <w:pageBreakBefore w:val="0"/>
              <w:widowControl/>
              <w:kinsoku/>
              <w:wordWrap/>
              <w:overflowPunct w:val="0"/>
              <w:topLinePunct w:val="0"/>
              <w:autoSpaceDE/>
              <w:autoSpaceDN/>
              <w:bidi w:val="0"/>
              <w:adjustRightInd w:val="0"/>
              <w:snapToGrid/>
              <w:spacing w:line="240" w:lineRule="exact"/>
              <w:textAlignment w:val="auto"/>
              <w:rPr>
                <w:rFonts w:hint="default" w:ascii="Arial" w:hAnsi="Arial" w:eastAsia="华文细黑" w:cs="Arial"/>
                <w:color w:val="000000"/>
                <w:sz w:val="18"/>
                <w:szCs w:val="18"/>
              </w:rPr>
            </w:pPr>
            <w:r>
              <w:rPr>
                <w:rFonts w:hint="default" w:ascii="Arial" w:hAnsi="Arial" w:eastAsia="华文细黑" w:cs="Arial"/>
                <w:color w:val="000000"/>
                <w:sz w:val="18"/>
                <w:szCs w:val="18"/>
              </w:rPr>
              <w:t>消防栓</w:t>
            </w:r>
          </w:p>
        </w:tc>
      </w:tr>
      <w:tr>
        <w:tblPrEx>
          <w:tblBorders>
            <w:top w:val="single" w:color="404040" w:sz="2" w:space="0"/>
            <w:left w:val="single" w:color="404040" w:sz="2" w:space="0"/>
            <w:bottom w:val="single" w:color="404040" w:sz="2" w:space="0"/>
            <w:right w:val="single" w:color="404040" w:sz="2" w:space="0"/>
            <w:insideH w:val="single" w:color="404040" w:sz="2" w:space="0"/>
            <w:insideV w:val="single" w:color="404040" w:sz="2" w:space="0"/>
          </w:tblBorders>
          <w:tblCellMar>
            <w:top w:w="85" w:type="dxa"/>
            <w:left w:w="85" w:type="dxa"/>
            <w:bottom w:w="85" w:type="dxa"/>
            <w:right w:w="85" w:type="dxa"/>
          </w:tblCellMar>
        </w:tblPrEx>
        <w:trPr>
          <w:jc w:val="center"/>
        </w:trPr>
        <w:tc>
          <w:tcPr>
            <w:tcW w:w="2324" w:type="dxa"/>
            <w:noWrap/>
            <w:vAlign w:val="center"/>
          </w:tcPr>
          <w:p>
            <w:pPr>
              <w:keepNext w:val="0"/>
              <w:keepLines w:val="0"/>
              <w:pageBreakBefore w:val="0"/>
              <w:widowControl/>
              <w:kinsoku/>
              <w:wordWrap/>
              <w:overflowPunct w:val="0"/>
              <w:topLinePunct w:val="0"/>
              <w:autoSpaceDE/>
              <w:autoSpaceDN/>
              <w:bidi w:val="0"/>
              <w:adjustRightInd w:val="0"/>
              <w:snapToGrid/>
              <w:spacing w:line="240" w:lineRule="exact"/>
              <w:textAlignment w:val="auto"/>
              <w:rPr>
                <w:rFonts w:hint="default" w:ascii="Arial" w:hAnsi="Arial" w:eastAsia="华文细黑" w:cs="Arial"/>
                <w:color w:val="000000"/>
                <w:sz w:val="18"/>
                <w:szCs w:val="18"/>
              </w:rPr>
            </w:pPr>
            <w:r>
              <w:rPr>
                <w:rFonts w:hint="default" w:ascii="Arial" w:hAnsi="Arial" w:eastAsia="华文细黑" w:cs="Arial"/>
                <w:color w:val="000000"/>
                <w:sz w:val="18"/>
                <w:szCs w:val="18"/>
              </w:rPr>
              <w:t>安全系统</w:t>
            </w:r>
          </w:p>
        </w:tc>
        <w:tc>
          <w:tcPr>
            <w:tcW w:w="6975" w:type="dxa"/>
            <w:gridSpan w:val="3"/>
            <w:vAlign w:val="center"/>
          </w:tcPr>
          <w:p>
            <w:pPr>
              <w:keepNext w:val="0"/>
              <w:keepLines w:val="0"/>
              <w:pageBreakBefore w:val="0"/>
              <w:widowControl/>
              <w:kinsoku/>
              <w:wordWrap/>
              <w:overflowPunct w:val="0"/>
              <w:topLinePunct w:val="0"/>
              <w:autoSpaceDE/>
              <w:autoSpaceDN/>
              <w:bidi w:val="0"/>
              <w:adjustRightInd w:val="0"/>
              <w:snapToGrid/>
              <w:spacing w:line="240" w:lineRule="exact"/>
              <w:textAlignment w:val="auto"/>
              <w:rPr>
                <w:rFonts w:hint="default" w:ascii="Arial" w:hAnsi="Arial" w:eastAsia="华文细黑" w:cs="Arial"/>
                <w:color w:val="000000"/>
                <w:sz w:val="18"/>
                <w:szCs w:val="18"/>
              </w:rPr>
            </w:pPr>
            <w:r>
              <w:rPr>
                <w:rFonts w:hint="default" w:ascii="Arial" w:hAnsi="Arial" w:eastAsia="华文细黑" w:cs="Arial"/>
                <w:sz w:val="18"/>
                <w:szCs w:val="18"/>
              </w:rPr>
              <w:t>小区出入口人车辆管理、保安、楼宇对讲门禁</w:t>
            </w:r>
          </w:p>
        </w:tc>
      </w:tr>
      <w:tr>
        <w:tblPrEx>
          <w:tblBorders>
            <w:top w:val="single" w:color="404040" w:sz="2" w:space="0"/>
            <w:left w:val="single" w:color="404040" w:sz="2" w:space="0"/>
            <w:bottom w:val="single" w:color="404040" w:sz="2" w:space="0"/>
            <w:right w:val="single" w:color="404040" w:sz="2" w:space="0"/>
            <w:insideH w:val="single" w:color="404040" w:sz="2" w:space="0"/>
            <w:insideV w:val="single" w:color="404040" w:sz="2" w:space="0"/>
          </w:tblBorders>
          <w:tblCellMar>
            <w:top w:w="85" w:type="dxa"/>
            <w:left w:w="85" w:type="dxa"/>
            <w:bottom w:w="85" w:type="dxa"/>
            <w:right w:w="85" w:type="dxa"/>
          </w:tblCellMar>
        </w:tblPrEx>
        <w:trPr>
          <w:jc w:val="center"/>
        </w:trPr>
        <w:tc>
          <w:tcPr>
            <w:tcW w:w="2324" w:type="dxa"/>
            <w:noWrap/>
            <w:vAlign w:val="center"/>
          </w:tcPr>
          <w:p>
            <w:pPr>
              <w:keepNext w:val="0"/>
              <w:keepLines w:val="0"/>
              <w:pageBreakBefore w:val="0"/>
              <w:widowControl/>
              <w:kinsoku/>
              <w:wordWrap/>
              <w:overflowPunct w:val="0"/>
              <w:topLinePunct w:val="0"/>
              <w:autoSpaceDE/>
              <w:autoSpaceDN/>
              <w:bidi w:val="0"/>
              <w:adjustRightInd w:val="0"/>
              <w:snapToGrid/>
              <w:spacing w:line="240" w:lineRule="exact"/>
              <w:textAlignment w:val="auto"/>
              <w:rPr>
                <w:rFonts w:hint="default" w:ascii="Arial" w:hAnsi="Arial" w:eastAsia="华文细黑" w:cs="Arial"/>
                <w:color w:val="000000"/>
                <w:sz w:val="18"/>
                <w:szCs w:val="18"/>
              </w:rPr>
            </w:pPr>
            <w:r>
              <w:rPr>
                <w:rFonts w:hint="default" w:ascii="Arial" w:hAnsi="Arial" w:eastAsia="华文细黑" w:cs="Arial"/>
                <w:color w:val="000000"/>
                <w:sz w:val="18"/>
                <w:szCs w:val="18"/>
              </w:rPr>
              <w:t>停车</w:t>
            </w:r>
          </w:p>
        </w:tc>
        <w:tc>
          <w:tcPr>
            <w:tcW w:w="6975" w:type="dxa"/>
            <w:gridSpan w:val="3"/>
            <w:vAlign w:val="center"/>
          </w:tcPr>
          <w:p>
            <w:pPr>
              <w:keepNext w:val="0"/>
              <w:keepLines w:val="0"/>
              <w:pageBreakBefore w:val="0"/>
              <w:widowControl/>
              <w:kinsoku/>
              <w:wordWrap/>
              <w:overflowPunct w:val="0"/>
              <w:topLinePunct w:val="0"/>
              <w:autoSpaceDE/>
              <w:autoSpaceDN/>
              <w:bidi w:val="0"/>
              <w:adjustRightInd w:val="0"/>
              <w:snapToGrid/>
              <w:spacing w:line="240" w:lineRule="exact"/>
              <w:textAlignment w:val="auto"/>
              <w:rPr>
                <w:rFonts w:hint="default" w:ascii="Arial" w:hAnsi="Arial" w:eastAsia="华文细黑" w:cs="Arial"/>
                <w:color w:val="000000"/>
                <w:sz w:val="18"/>
                <w:szCs w:val="18"/>
              </w:rPr>
            </w:pPr>
            <w:r>
              <w:rPr>
                <w:rFonts w:hint="default" w:ascii="Arial" w:hAnsi="Arial" w:eastAsia="华文细黑" w:cs="Arial"/>
                <w:color w:val="000000"/>
                <w:sz w:val="18"/>
                <w:szCs w:val="18"/>
              </w:rPr>
              <w:t>地面可停车</w:t>
            </w:r>
          </w:p>
        </w:tc>
      </w:tr>
      <w:tr>
        <w:tblPrEx>
          <w:tblBorders>
            <w:top w:val="single" w:color="404040" w:sz="2" w:space="0"/>
            <w:left w:val="single" w:color="404040" w:sz="2" w:space="0"/>
            <w:bottom w:val="single" w:color="404040" w:sz="2" w:space="0"/>
            <w:right w:val="single" w:color="404040" w:sz="2" w:space="0"/>
            <w:insideH w:val="single" w:color="404040" w:sz="2" w:space="0"/>
            <w:insideV w:val="single" w:color="404040" w:sz="2" w:space="0"/>
          </w:tblBorders>
          <w:tblCellMar>
            <w:top w:w="85" w:type="dxa"/>
            <w:left w:w="85" w:type="dxa"/>
            <w:bottom w:w="85" w:type="dxa"/>
            <w:right w:w="85" w:type="dxa"/>
          </w:tblCellMar>
        </w:tblPrEx>
        <w:trPr>
          <w:jc w:val="center"/>
        </w:trPr>
        <w:tc>
          <w:tcPr>
            <w:tcW w:w="2324" w:type="dxa"/>
            <w:noWrap/>
            <w:vAlign w:val="center"/>
          </w:tcPr>
          <w:p>
            <w:pPr>
              <w:keepNext w:val="0"/>
              <w:keepLines w:val="0"/>
              <w:pageBreakBefore w:val="0"/>
              <w:widowControl/>
              <w:kinsoku/>
              <w:wordWrap/>
              <w:overflowPunct w:val="0"/>
              <w:topLinePunct w:val="0"/>
              <w:autoSpaceDE/>
              <w:autoSpaceDN/>
              <w:bidi w:val="0"/>
              <w:adjustRightInd w:val="0"/>
              <w:snapToGrid/>
              <w:spacing w:line="240" w:lineRule="exact"/>
              <w:textAlignment w:val="auto"/>
              <w:rPr>
                <w:rFonts w:hint="default" w:ascii="Arial" w:hAnsi="Arial" w:eastAsia="华文细黑" w:cs="Arial"/>
                <w:color w:val="000000"/>
                <w:sz w:val="18"/>
                <w:szCs w:val="18"/>
              </w:rPr>
            </w:pPr>
            <w:r>
              <w:rPr>
                <w:rFonts w:hint="default" w:ascii="Arial" w:hAnsi="Arial" w:eastAsia="华文细黑" w:cs="Arial"/>
                <w:color w:val="000000"/>
                <w:sz w:val="18"/>
                <w:szCs w:val="18"/>
              </w:rPr>
              <w:t>物业管理</w:t>
            </w:r>
          </w:p>
        </w:tc>
        <w:tc>
          <w:tcPr>
            <w:tcW w:w="6975" w:type="dxa"/>
            <w:gridSpan w:val="3"/>
            <w:vAlign w:val="center"/>
          </w:tcPr>
          <w:p>
            <w:pPr>
              <w:keepNext w:val="0"/>
              <w:keepLines w:val="0"/>
              <w:pageBreakBefore w:val="0"/>
              <w:widowControl/>
              <w:kinsoku/>
              <w:wordWrap/>
              <w:overflowPunct w:val="0"/>
              <w:topLinePunct w:val="0"/>
              <w:autoSpaceDE/>
              <w:autoSpaceDN/>
              <w:bidi w:val="0"/>
              <w:adjustRightInd w:val="0"/>
              <w:snapToGrid/>
              <w:spacing w:line="240" w:lineRule="exact"/>
              <w:textAlignment w:val="auto"/>
              <w:rPr>
                <w:rFonts w:hint="default" w:ascii="Arial" w:hAnsi="Arial" w:eastAsia="华文细黑" w:cs="Arial"/>
                <w:color w:val="000000"/>
                <w:sz w:val="18"/>
                <w:szCs w:val="18"/>
              </w:rPr>
            </w:pPr>
            <w:r>
              <w:rPr>
                <w:rFonts w:hint="default" w:ascii="Arial" w:hAnsi="Arial" w:eastAsia="华文细黑" w:cs="Arial"/>
                <w:sz w:val="18"/>
                <w:szCs w:val="18"/>
              </w:rPr>
              <w:t>物业公司管理</w:t>
            </w:r>
          </w:p>
        </w:tc>
      </w:tr>
    </w:tbl>
    <w:p>
      <w:pPr>
        <w:widowControl/>
        <w:overflowPunct w:val="0"/>
        <w:spacing w:line="480" w:lineRule="auto"/>
        <w:ind w:firstLine="360" w:firstLineChars="200"/>
        <w:jc w:val="both"/>
        <w:textAlignment w:val="auto"/>
        <w:rPr>
          <w:rFonts w:ascii="Arial" w:hAnsi="Arial"/>
          <w:color w:val="000000"/>
          <w:sz w:val="18"/>
          <w:szCs w:val="18"/>
        </w:rPr>
      </w:pPr>
    </w:p>
    <w:p>
      <w:pPr>
        <w:widowControl/>
        <w:overflowPunct w:val="0"/>
        <w:spacing w:line="240" w:lineRule="auto"/>
        <w:ind w:firstLine="420" w:firstLineChars="200"/>
        <w:jc w:val="both"/>
        <w:textAlignment w:val="auto"/>
        <w:rPr>
          <w:rFonts w:ascii="Arial" w:hAnsi="Arial"/>
          <w:color w:val="000000"/>
          <w:sz w:val="21"/>
          <w:szCs w:val="21"/>
        </w:rPr>
      </w:pPr>
      <w:r>
        <w:rPr>
          <w:rFonts w:hint="eastAsia" w:ascii="Arial" w:hAnsi="Arial"/>
          <w:color w:val="000000"/>
          <w:sz w:val="21"/>
          <w:szCs w:val="21"/>
        </w:rPr>
        <w:t>2.户内部分：</w:t>
      </w:r>
    </w:p>
    <w:tbl>
      <w:tblPr>
        <w:tblStyle w:val="32"/>
        <w:tblW w:w="929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85" w:type="dxa"/>
          <w:left w:w="28" w:type="dxa"/>
          <w:bottom w:w="85" w:type="dxa"/>
          <w:right w:w="28" w:type="dxa"/>
        </w:tblCellMar>
      </w:tblPr>
      <w:tblGrid>
        <w:gridCol w:w="1330"/>
        <w:gridCol w:w="1771"/>
        <w:gridCol w:w="1771"/>
        <w:gridCol w:w="1623"/>
        <w:gridCol w:w="28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85" w:type="dxa"/>
            <w:left w:w="28" w:type="dxa"/>
            <w:bottom w:w="85" w:type="dxa"/>
            <w:right w:w="28" w:type="dxa"/>
          </w:tblCellMar>
        </w:tblPrEx>
        <w:trPr>
          <w:cantSplit/>
          <w:trHeight w:val="221" w:hRule="atLeast"/>
          <w:jc w:val="center"/>
        </w:trPr>
        <w:tc>
          <w:tcPr>
            <w:tcW w:w="1330" w:type="dxa"/>
            <w:vAlign w:val="center"/>
          </w:tcPr>
          <w:p>
            <w:pPr>
              <w:keepNext w:val="0"/>
              <w:keepLines w:val="0"/>
              <w:pageBreakBefore w:val="0"/>
              <w:widowControl w:val="0"/>
              <w:kinsoku/>
              <w:wordWrap/>
              <w:overflowPunct w:val="0"/>
              <w:topLinePunct w:val="0"/>
              <w:autoSpaceDE/>
              <w:autoSpaceDN/>
              <w:bidi w:val="0"/>
              <w:adjustRightInd w:val="0"/>
              <w:snapToGrid/>
              <w:spacing w:line="240" w:lineRule="exact"/>
              <w:textAlignment w:val="auto"/>
              <w:rPr>
                <w:rFonts w:ascii="Arial" w:hAnsi="Arial" w:eastAsia="华文细黑"/>
                <w:color w:val="000000"/>
                <w:sz w:val="18"/>
                <w:szCs w:val="18"/>
              </w:rPr>
            </w:pPr>
            <w:r>
              <w:rPr>
                <w:rFonts w:hint="eastAsia" w:ascii="Arial" w:hAnsi="Arial" w:eastAsia="华文细黑"/>
                <w:color w:val="000000"/>
                <w:sz w:val="18"/>
                <w:szCs w:val="18"/>
              </w:rPr>
              <w:t>单元类型</w:t>
            </w:r>
          </w:p>
        </w:tc>
        <w:tc>
          <w:tcPr>
            <w:tcW w:w="3542" w:type="dxa"/>
            <w:gridSpan w:val="2"/>
            <w:tcMar>
              <w:bottom w:w="0" w:type="dxa"/>
            </w:tcMar>
            <w:vAlign w:val="center"/>
          </w:tcPr>
          <w:p>
            <w:pPr>
              <w:keepNext w:val="0"/>
              <w:keepLines w:val="0"/>
              <w:pageBreakBefore w:val="0"/>
              <w:widowControl w:val="0"/>
              <w:kinsoku/>
              <w:wordWrap/>
              <w:overflowPunct w:val="0"/>
              <w:topLinePunct w:val="0"/>
              <w:autoSpaceDE/>
              <w:autoSpaceDN/>
              <w:bidi w:val="0"/>
              <w:adjustRightInd w:val="0"/>
              <w:snapToGrid/>
              <w:spacing w:line="240" w:lineRule="exact"/>
              <w:textAlignment w:val="auto"/>
              <w:rPr>
                <w:rFonts w:ascii="Arial" w:hAnsi="Arial" w:eastAsia="华文细黑"/>
                <w:color w:val="000000"/>
                <w:sz w:val="18"/>
                <w:szCs w:val="18"/>
              </w:rPr>
            </w:pPr>
            <w:r>
              <w:rPr>
                <w:rFonts w:hint="eastAsia" w:ascii="Arial" w:hAnsi="Arial" w:eastAsia="华文细黑"/>
                <w:color w:val="000000"/>
                <w:sz w:val="18"/>
                <w:szCs w:val="18"/>
              </w:rPr>
              <w:t>平层</w:t>
            </w:r>
          </w:p>
        </w:tc>
        <w:tc>
          <w:tcPr>
            <w:tcW w:w="1623" w:type="dxa"/>
            <w:vAlign w:val="center"/>
          </w:tcPr>
          <w:p>
            <w:pPr>
              <w:keepNext w:val="0"/>
              <w:keepLines w:val="0"/>
              <w:pageBreakBefore w:val="0"/>
              <w:widowControl w:val="0"/>
              <w:kinsoku/>
              <w:wordWrap/>
              <w:overflowPunct w:val="0"/>
              <w:topLinePunct w:val="0"/>
              <w:autoSpaceDE/>
              <w:autoSpaceDN/>
              <w:bidi w:val="0"/>
              <w:adjustRightInd w:val="0"/>
              <w:snapToGrid/>
              <w:spacing w:line="240" w:lineRule="exact"/>
              <w:textAlignment w:val="auto"/>
              <w:rPr>
                <w:rFonts w:ascii="Arial" w:hAnsi="Arial" w:eastAsia="华文细黑"/>
                <w:color w:val="000000"/>
                <w:sz w:val="18"/>
                <w:szCs w:val="18"/>
              </w:rPr>
            </w:pPr>
            <w:r>
              <w:rPr>
                <w:rFonts w:hint="eastAsia" w:ascii="Arial" w:hAnsi="Arial" w:eastAsia="华文细黑"/>
                <w:color w:val="000000"/>
                <w:sz w:val="18"/>
                <w:szCs w:val="18"/>
              </w:rPr>
              <w:t>朝向</w:t>
            </w:r>
          </w:p>
        </w:tc>
        <w:tc>
          <w:tcPr>
            <w:tcW w:w="2803" w:type="dxa"/>
            <w:vAlign w:val="center"/>
          </w:tcPr>
          <w:p>
            <w:pPr>
              <w:keepNext w:val="0"/>
              <w:keepLines w:val="0"/>
              <w:pageBreakBefore w:val="0"/>
              <w:widowControl w:val="0"/>
              <w:kinsoku/>
              <w:wordWrap/>
              <w:overflowPunct w:val="0"/>
              <w:topLinePunct w:val="0"/>
              <w:autoSpaceDE/>
              <w:autoSpaceDN/>
              <w:bidi w:val="0"/>
              <w:adjustRightInd w:val="0"/>
              <w:snapToGrid/>
              <w:spacing w:line="240" w:lineRule="exact"/>
              <w:textAlignment w:val="auto"/>
              <w:rPr>
                <w:rFonts w:ascii="Arial" w:hAnsi="Arial" w:eastAsia="华文细黑"/>
                <w:color w:val="000000"/>
                <w:sz w:val="18"/>
                <w:szCs w:val="18"/>
              </w:rPr>
            </w:pPr>
            <w:r>
              <w:rPr>
                <w:rFonts w:hint="eastAsia" w:ascii="Arial" w:hAnsi="Arial" w:eastAsia="华文细黑"/>
                <w:color w:val="000000"/>
                <w:sz w:val="18"/>
                <w:szCs w:val="18"/>
              </w:rPr>
              <w:t>南北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85" w:type="dxa"/>
            <w:left w:w="28" w:type="dxa"/>
            <w:bottom w:w="85" w:type="dxa"/>
            <w:right w:w="28" w:type="dxa"/>
          </w:tblCellMar>
        </w:tblPrEx>
        <w:trPr>
          <w:cantSplit/>
          <w:trHeight w:val="89" w:hRule="atLeast"/>
          <w:jc w:val="center"/>
        </w:trPr>
        <w:tc>
          <w:tcPr>
            <w:tcW w:w="1330" w:type="dxa"/>
            <w:vAlign w:val="center"/>
          </w:tcPr>
          <w:p>
            <w:pPr>
              <w:keepNext w:val="0"/>
              <w:keepLines w:val="0"/>
              <w:pageBreakBefore w:val="0"/>
              <w:widowControl w:val="0"/>
              <w:kinsoku/>
              <w:wordWrap/>
              <w:overflowPunct w:val="0"/>
              <w:topLinePunct w:val="0"/>
              <w:autoSpaceDE/>
              <w:autoSpaceDN/>
              <w:bidi w:val="0"/>
              <w:adjustRightInd w:val="0"/>
              <w:snapToGrid/>
              <w:spacing w:line="240" w:lineRule="exact"/>
              <w:textAlignment w:val="auto"/>
              <w:rPr>
                <w:rFonts w:ascii="Arial" w:hAnsi="Arial" w:eastAsia="华文细黑"/>
                <w:color w:val="000000"/>
                <w:sz w:val="18"/>
                <w:szCs w:val="18"/>
              </w:rPr>
            </w:pPr>
            <w:r>
              <w:rPr>
                <w:rFonts w:hint="eastAsia" w:ascii="Arial" w:hAnsi="Arial" w:eastAsia="华文细黑"/>
                <w:color w:val="000000"/>
                <w:sz w:val="18"/>
                <w:szCs w:val="18"/>
              </w:rPr>
              <w:t>户型</w:t>
            </w:r>
          </w:p>
        </w:tc>
        <w:tc>
          <w:tcPr>
            <w:tcW w:w="7968" w:type="dxa"/>
            <w:gridSpan w:val="4"/>
            <w:tcMar>
              <w:bottom w:w="0" w:type="dxa"/>
            </w:tcMar>
            <w:vAlign w:val="center"/>
          </w:tcPr>
          <w:p>
            <w:pPr>
              <w:keepNext w:val="0"/>
              <w:keepLines w:val="0"/>
              <w:pageBreakBefore w:val="0"/>
              <w:widowControl w:val="0"/>
              <w:kinsoku/>
              <w:wordWrap/>
              <w:overflowPunct w:val="0"/>
              <w:topLinePunct w:val="0"/>
              <w:autoSpaceDE/>
              <w:autoSpaceDN/>
              <w:bidi w:val="0"/>
              <w:adjustRightInd w:val="0"/>
              <w:snapToGrid/>
              <w:spacing w:line="240" w:lineRule="exact"/>
              <w:textAlignment w:val="auto"/>
              <w:rPr>
                <w:rFonts w:ascii="Arial" w:hAnsi="Arial" w:eastAsia="华文细黑"/>
                <w:color w:val="000000"/>
                <w:sz w:val="18"/>
                <w:szCs w:val="18"/>
              </w:rPr>
            </w:pPr>
            <w:r>
              <w:rPr>
                <w:rFonts w:hint="eastAsia" w:ascii="Arial" w:hAnsi="Arial" w:eastAsia="华文细黑"/>
                <w:color w:val="000000"/>
                <w:sz w:val="18"/>
                <w:szCs w:val="18"/>
              </w:rPr>
              <w:t>二室二厅二卫一厨二阳台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85" w:type="dxa"/>
            <w:left w:w="28" w:type="dxa"/>
            <w:bottom w:w="85" w:type="dxa"/>
            <w:right w:w="28" w:type="dxa"/>
          </w:tblCellMar>
        </w:tblPrEx>
        <w:trPr>
          <w:cantSplit/>
          <w:trHeight w:val="205" w:hRule="atLeast"/>
          <w:jc w:val="center"/>
        </w:trPr>
        <w:tc>
          <w:tcPr>
            <w:tcW w:w="1330" w:type="dxa"/>
            <w:vAlign w:val="center"/>
          </w:tcPr>
          <w:p>
            <w:pPr>
              <w:keepNext w:val="0"/>
              <w:keepLines w:val="0"/>
              <w:pageBreakBefore w:val="0"/>
              <w:widowControl w:val="0"/>
              <w:kinsoku/>
              <w:wordWrap/>
              <w:overflowPunct w:val="0"/>
              <w:topLinePunct w:val="0"/>
              <w:autoSpaceDE/>
              <w:autoSpaceDN/>
              <w:bidi w:val="0"/>
              <w:adjustRightInd w:val="0"/>
              <w:snapToGrid/>
              <w:spacing w:line="240" w:lineRule="exact"/>
              <w:textAlignment w:val="auto"/>
              <w:rPr>
                <w:rFonts w:ascii="Arial" w:hAnsi="Arial" w:eastAsia="华文细黑"/>
                <w:color w:val="000000"/>
                <w:sz w:val="18"/>
                <w:szCs w:val="18"/>
              </w:rPr>
            </w:pPr>
            <w:r>
              <w:rPr>
                <w:rFonts w:hint="eastAsia" w:ascii="Arial" w:hAnsi="Arial" w:eastAsia="华文细黑"/>
                <w:color w:val="000000"/>
                <w:sz w:val="18"/>
                <w:szCs w:val="18"/>
              </w:rPr>
              <w:t>外门窗</w:t>
            </w:r>
          </w:p>
        </w:tc>
        <w:tc>
          <w:tcPr>
            <w:tcW w:w="3542" w:type="dxa"/>
            <w:gridSpan w:val="2"/>
            <w:tcMar>
              <w:bottom w:w="0" w:type="dxa"/>
            </w:tcMar>
            <w:vAlign w:val="center"/>
          </w:tcPr>
          <w:p>
            <w:pPr>
              <w:keepNext w:val="0"/>
              <w:keepLines w:val="0"/>
              <w:pageBreakBefore w:val="0"/>
              <w:widowControl w:val="0"/>
              <w:kinsoku/>
              <w:wordWrap/>
              <w:overflowPunct w:val="0"/>
              <w:topLinePunct w:val="0"/>
              <w:autoSpaceDE/>
              <w:autoSpaceDN/>
              <w:bidi w:val="0"/>
              <w:adjustRightInd w:val="0"/>
              <w:snapToGrid/>
              <w:spacing w:line="240" w:lineRule="exact"/>
              <w:textAlignment w:val="auto"/>
              <w:rPr>
                <w:rFonts w:ascii="Arial" w:hAnsi="Arial" w:eastAsia="华文细黑"/>
                <w:color w:val="000000"/>
                <w:sz w:val="18"/>
                <w:szCs w:val="18"/>
              </w:rPr>
            </w:pPr>
            <w:r>
              <w:rPr>
                <w:rFonts w:hint="eastAsia" w:ascii="Arial" w:hAnsi="Arial" w:eastAsia="华文细黑"/>
                <w:color w:val="000000"/>
                <w:sz w:val="18"/>
                <w:szCs w:val="18"/>
              </w:rPr>
              <w:t>防盗门、塑钢窗</w:t>
            </w:r>
          </w:p>
        </w:tc>
        <w:tc>
          <w:tcPr>
            <w:tcW w:w="1623" w:type="dxa"/>
            <w:vAlign w:val="center"/>
          </w:tcPr>
          <w:p>
            <w:pPr>
              <w:keepNext w:val="0"/>
              <w:keepLines w:val="0"/>
              <w:pageBreakBefore w:val="0"/>
              <w:widowControl w:val="0"/>
              <w:kinsoku/>
              <w:wordWrap/>
              <w:overflowPunct w:val="0"/>
              <w:topLinePunct w:val="0"/>
              <w:autoSpaceDE/>
              <w:autoSpaceDN/>
              <w:bidi w:val="0"/>
              <w:adjustRightInd w:val="0"/>
              <w:snapToGrid/>
              <w:spacing w:line="240" w:lineRule="exact"/>
              <w:textAlignment w:val="auto"/>
              <w:rPr>
                <w:rFonts w:ascii="Arial" w:hAnsi="Arial" w:eastAsia="华文细黑"/>
                <w:color w:val="000000"/>
                <w:sz w:val="18"/>
                <w:szCs w:val="18"/>
              </w:rPr>
            </w:pPr>
            <w:r>
              <w:rPr>
                <w:rFonts w:hint="eastAsia" w:ascii="Arial" w:hAnsi="Arial" w:eastAsia="华文细黑"/>
                <w:color w:val="000000"/>
                <w:sz w:val="18"/>
                <w:szCs w:val="18"/>
              </w:rPr>
              <w:t>内门</w:t>
            </w:r>
          </w:p>
        </w:tc>
        <w:tc>
          <w:tcPr>
            <w:tcW w:w="2803" w:type="dxa"/>
            <w:vAlign w:val="center"/>
          </w:tcPr>
          <w:p>
            <w:pPr>
              <w:keepNext w:val="0"/>
              <w:keepLines w:val="0"/>
              <w:pageBreakBefore w:val="0"/>
              <w:widowControl w:val="0"/>
              <w:kinsoku/>
              <w:wordWrap/>
              <w:overflowPunct w:val="0"/>
              <w:topLinePunct w:val="0"/>
              <w:autoSpaceDE/>
              <w:autoSpaceDN/>
              <w:bidi w:val="0"/>
              <w:adjustRightInd w:val="0"/>
              <w:snapToGrid/>
              <w:spacing w:line="240" w:lineRule="exact"/>
              <w:textAlignment w:val="auto"/>
              <w:rPr>
                <w:rFonts w:ascii="Arial" w:hAnsi="Arial" w:eastAsia="华文细黑"/>
                <w:color w:val="000000"/>
                <w:sz w:val="18"/>
                <w:szCs w:val="18"/>
              </w:rPr>
            </w:pPr>
            <w:r>
              <w:rPr>
                <w:rFonts w:hint="eastAsia" w:ascii="Arial" w:hAnsi="Arial" w:eastAsia="华文细黑"/>
                <w:color w:val="000000"/>
                <w:sz w:val="18"/>
                <w:szCs w:val="18"/>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85" w:type="dxa"/>
            <w:left w:w="28" w:type="dxa"/>
            <w:bottom w:w="85" w:type="dxa"/>
            <w:right w:w="28" w:type="dxa"/>
          </w:tblCellMar>
        </w:tblPrEx>
        <w:trPr>
          <w:cantSplit/>
          <w:trHeight w:val="210" w:hRule="atLeast"/>
          <w:jc w:val="center"/>
        </w:trPr>
        <w:tc>
          <w:tcPr>
            <w:tcW w:w="1330" w:type="dxa"/>
            <w:vAlign w:val="center"/>
          </w:tcPr>
          <w:p>
            <w:pPr>
              <w:keepNext w:val="0"/>
              <w:keepLines w:val="0"/>
              <w:pageBreakBefore w:val="0"/>
              <w:widowControl w:val="0"/>
              <w:kinsoku/>
              <w:wordWrap/>
              <w:overflowPunct w:val="0"/>
              <w:topLinePunct w:val="0"/>
              <w:autoSpaceDE/>
              <w:autoSpaceDN/>
              <w:bidi w:val="0"/>
              <w:adjustRightInd w:val="0"/>
              <w:snapToGrid/>
              <w:spacing w:line="240" w:lineRule="exact"/>
              <w:textAlignment w:val="auto"/>
              <w:rPr>
                <w:rFonts w:ascii="Arial" w:hAnsi="Arial" w:eastAsia="华文细黑"/>
                <w:color w:val="000000"/>
                <w:sz w:val="18"/>
                <w:szCs w:val="18"/>
              </w:rPr>
            </w:pPr>
            <w:r>
              <w:rPr>
                <w:rFonts w:hint="eastAsia" w:ascii="Arial" w:hAnsi="Arial" w:eastAsia="华文细黑"/>
                <w:color w:val="000000"/>
                <w:sz w:val="18"/>
                <w:szCs w:val="18"/>
              </w:rPr>
              <w:t>建设内容</w:t>
            </w:r>
          </w:p>
        </w:tc>
        <w:tc>
          <w:tcPr>
            <w:tcW w:w="1771" w:type="dxa"/>
            <w:tcMar>
              <w:bottom w:w="0" w:type="dxa"/>
            </w:tcMar>
            <w:vAlign w:val="center"/>
          </w:tcPr>
          <w:p>
            <w:pPr>
              <w:keepNext w:val="0"/>
              <w:keepLines w:val="0"/>
              <w:pageBreakBefore w:val="0"/>
              <w:widowControl w:val="0"/>
              <w:kinsoku/>
              <w:wordWrap/>
              <w:overflowPunct w:val="0"/>
              <w:topLinePunct w:val="0"/>
              <w:autoSpaceDE/>
              <w:autoSpaceDN/>
              <w:bidi w:val="0"/>
              <w:adjustRightInd w:val="0"/>
              <w:snapToGrid/>
              <w:spacing w:line="240" w:lineRule="exact"/>
              <w:textAlignment w:val="auto"/>
              <w:rPr>
                <w:rFonts w:ascii="Arial" w:hAnsi="Arial" w:eastAsia="华文细黑"/>
                <w:color w:val="000000"/>
                <w:sz w:val="18"/>
                <w:szCs w:val="18"/>
              </w:rPr>
            </w:pPr>
            <w:r>
              <w:rPr>
                <w:rFonts w:hint="eastAsia" w:ascii="Arial" w:hAnsi="Arial" w:eastAsia="华文细黑"/>
                <w:color w:val="000000"/>
                <w:sz w:val="18"/>
                <w:szCs w:val="18"/>
              </w:rPr>
              <w:t>顶棚</w:t>
            </w:r>
          </w:p>
        </w:tc>
        <w:tc>
          <w:tcPr>
            <w:tcW w:w="1771" w:type="dxa"/>
            <w:vAlign w:val="center"/>
          </w:tcPr>
          <w:p>
            <w:pPr>
              <w:keepNext w:val="0"/>
              <w:keepLines w:val="0"/>
              <w:pageBreakBefore w:val="0"/>
              <w:widowControl w:val="0"/>
              <w:kinsoku/>
              <w:wordWrap/>
              <w:overflowPunct w:val="0"/>
              <w:topLinePunct w:val="0"/>
              <w:autoSpaceDE/>
              <w:autoSpaceDN/>
              <w:bidi w:val="0"/>
              <w:adjustRightInd w:val="0"/>
              <w:snapToGrid/>
              <w:spacing w:line="240" w:lineRule="exact"/>
              <w:textAlignment w:val="auto"/>
              <w:rPr>
                <w:rFonts w:ascii="Arial" w:hAnsi="Arial" w:eastAsia="华文细黑"/>
                <w:color w:val="000000"/>
                <w:sz w:val="18"/>
                <w:szCs w:val="18"/>
              </w:rPr>
            </w:pPr>
            <w:r>
              <w:rPr>
                <w:rFonts w:hint="eastAsia" w:ascii="Arial" w:hAnsi="Arial" w:eastAsia="华文细黑"/>
                <w:color w:val="000000"/>
                <w:sz w:val="18"/>
                <w:szCs w:val="18"/>
              </w:rPr>
              <w:t>墙面</w:t>
            </w:r>
          </w:p>
        </w:tc>
        <w:tc>
          <w:tcPr>
            <w:tcW w:w="1623" w:type="dxa"/>
            <w:vAlign w:val="center"/>
          </w:tcPr>
          <w:p>
            <w:pPr>
              <w:keepNext w:val="0"/>
              <w:keepLines w:val="0"/>
              <w:pageBreakBefore w:val="0"/>
              <w:widowControl w:val="0"/>
              <w:kinsoku/>
              <w:wordWrap/>
              <w:overflowPunct w:val="0"/>
              <w:topLinePunct w:val="0"/>
              <w:autoSpaceDE/>
              <w:autoSpaceDN/>
              <w:bidi w:val="0"/>
              <w:adjustRightInd w:val="0"/>
              <w:snapToGrid/>
              <w:spacing w:line="240" w:lineRule="exact"/>
              <w:textAlignment w:val="auto"/>
              <w:rPr>
                <w:rFonts w:ascii="Arial" w:hAnsi="Arial" w:eastAsia="华文细黑"/>
                <w:color w:val="000000"/>
                <w:sz w:val="18"/>
                <w:szCs w:val="18"/>
              </w:rPr>
            </w:pPr>
            <w:r>
              <w:rPr>
                <w:rFonts w:hint="eastAsia" w:ascii="Arial" w:hAnsi="Arial" w:eastAsia="华文细黑"/>
                <w:color w:val="000000"/>
                <w:sz w:val="18"/>
                <w:szCs w:val="18"/>
              </w:rPr>
              <w:t>地面</w:t>
            </w:r>
          </w:p>
        </w:tc>
        <w:tc>
          <w:tcPr>
            <w:tcW w:w="2803" w:type="dxa"/>
            <w:vAlign w:val="center"/>
          </w:tcPr>
          <w:p>
            <w:pPr>
              <w:keepNext w:val="0"/>
              <w:keepLines w:val="0"/>
              <w:pageBreakBefore w:val="0"/>
              <w:widowControl w:val="0"/>
              <w:kinsoku/>
              <w:wordWrap/>
              <w:overflowPunct w:val="0"/>
              <w:topLinePunct w:val="0"/>
              <w:autoSpaceDE/>
              <w:autoSpaceDN/>
              <w:bidi w:val="0"/>
              <w:adjustRightInd w:val="0"/>
              <w:snapToGrid/>
              <w:spacing w:line="240" w:lineRule="exact"/>
              <w:textAlignment w:val="auto"/>
              <w:rPr>
                <w:rFonts w:ascii="Arial" w:hAnsi="Arial" w:eastAsia="华文细黑"/>
                <w:color w:val="000000"/>
                <w:sz w:val="18"/>
                <w:szCs w:val="18"/>
              </w:rPr>
            </w:pPr>
            <w:r>
              <w:rPr>
                <w:rFonts w:hint="eastAsia" w:ascii="Arial" w:hAnsi="Arial" w:eastAsia="华文细黑"/>
                <w:color w:val="000000"/>
                <w:sz w:val="18"/>
                <w:szCs w:val="18"/>
              </w:rPr>
              <w:t>建筑装饰配件及附属设备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85" w:type="dxa"/>
            <w:left w:w="28" w:type="dxa"/>
            <w:bottom w:w="85" w:type="dxa"/>
            <w:right w:w="28" w:type="dxa"/>
          </w:tblCellMar>
        </w:tblPrEx>
        <w:trPr>
          <w:cantSplit/>
          <w:trHeight w:val="46" w:hRule="atLeast"/>
          <w:jc w:val="center"/>
        </w:trPr>
        <w:tc>
          <w:tcPr>
            <w:tcW w:w="1330" w:type="dxa"/>
            <w:vAlign w:val="center"/>
          </w:tcPr>
          <w:p>
            <w:pPr>
              <w:keepNext w:val="0"/>
              <w:keepLines w:val="0"/>
              <w:pageBreakBefore w:val="0"/>
              <w:widowControl w:val="0"/>
              <w:kinsoku/>
              <w:wordWrap/>
              <w:overflowPunct w:val="0"/>
              <w:topLinePunct w:val="0"/>
              <w:autoSpaceDE/>
              <w:autoSpaceDN/>
              <w:bidi w:val="0"/>
              <w:adjustRightInd w:val="0"/>
              <w:snapToGrid/>
              <w:spacing w:line="240" w:lineRule="exact"/>
              <w:textAlignment w:val="auto"/>
              <w:rPr>
                <w:rFonts w:ascii="Arial" w:hAnsi="Arial" w:eastAsia="华文细黑"/>
                <w:color w:val="000000"/>
                <w:sz w:val="18"/>
                <w:szCs w:val="18"/>
              </w:rPr>
            </w:pPr>
            <w:r>
              <w:rPr>
                <w:rFonts w:hint="eastAsia" w:ascii="Arial" w:hAnsi="Arial" w:eastAsia="华文细黑"/>
                <w:color w:val="000000"/>
                <w:sz w:val="18"/>
                <w:szCs w:val="18"/>
              </w:rPr>
              <w:t>客厅及卧室</w:t>
            </w:r>
          </w:p>
        </w:tc>
        <w:tc>
          <w:tcPr>
            <w:tcW w:w="1771" w:type="dxa"/>
            <w:tcMar>
              <w:top w:w="85" w:type="dxa"/>
              <w:left w:w="16" w:type="dxa"/>
              <w:bottom w:w="85" w:type="dxa"/>
              <w:right w:w="16" w:type="dxa"/>
            </w:tcMar>
            <w:vAlign w:val="center"/>
          </w:tcPr>
          <w:p>
            <w:pPr>
              <w:keepNext w:val="0"/>
              <w:keepLines w:val="0"/>
              <w:pageBreakBefore w:val="0"/>
              <w:widowControl w:val="0"/>
              <w:kinsoku/>
              <w:wordWrap/>
              <w:overflowPunct w:val="0"/>
              <w:topLinePunct w:val="0"/>
              <w:autoSpaceDE/>
              <w:autoSpaceDN/>
              <w:bidi w:val="0"/>
              <w:adjustRightInd w:val="0"/>
              <w:snapToGrid/>
              <w:spacing w:line="240" w:lineRule="exact"/>
              <w:textAlignment w:val="auto"/>
              <w:rPr>
                <w:rFonts w:ascii="Arial" w:hAnsi="Arial" w:eastAsia="华文细黑"/>
                <w:color w:val="000000"/>
                <w:sz w:val="18"/>
                <w:szCs w:val="18"/>
              </w:rPr>
            </w:pPr>
            <w:r>
              <w:rPr>
                <w:rFonts w:hint="eastAsia" w:ascii="Arial" w:hAnsi="Arial" w:eastAsia="华文细黑"/>
                <w:color w:val="000000"/>
                <w:sz w:val="18"/>
                <w:szCs w:val="18"/>
              </w:rPr>
              <w:t>涂料</w:t>
            </w:r>
          </w:p>
        </w:tc>
        <w:tc>
          <w:tcPr>
            <w:tcW w:w="1771" w:type="dxa"/>
            <w:vAlign w:val="center"/>
          </w:tcPr>
          <w:p>
            <w:pPr>
              <w:keepNext w:val="0"/>
              <w:keepLines w:val="0"/>
              <w:pageBreakBefore w:val="0"/>
              <w:widowControl w:val="0"/>
              <w:kinsoku/>
              <w:wordWrap/>
              <w:overflowPunct w:val="0"/>
              <w:topLinePunct w:val="0"/>
              <w:autoSpaceDE/>
              <w:autoSpaceDN/>
              <w:bidi w:val="0"/>
              <w:adjustRightInd w:val="0"/>
              <w:snapToGrid/>
              <w:spacing w:line="240" w:lineRule="exact"/>
              <w:textAlignment w:val="auto"/>
              <w:rPr>
                <w:rFonts w:ascii="Arial" w:hAnsi="Arial" w:eastAsia="华文细黑"/>
                <w:color w:val="000000"/>
                <w:sz w:val="18"/>
                <w:szCs w:val="18"/>
              </w:rPr>
            </w:pPr>
            <w:r>
              <w:rPr>
                <w:rFonts w:hint="eastAsia" w:ascii="Arial" w:hAnsi="Arial" w:eastAsia="华文细黑"/>
                <w:color w:val="000000"/>
                <w:sz w:val="18"/>
                <w:szCs w:val="18"/>
              </w:rPr>
              <w:t>涂料</w:t>
            </w:r>
          </w:p>
        </w:tc>
        <w:tc>
          <w:tcPr>
            <w:tcW w:w="1623" w:type="dxa"/>
            <w:vAlign w:val="center"/>
          </w:tcPr>
          <w:p>
            <w:pPr>
              <w:keepNext w:val="0"/>
              <w:keepLines w:val="0"/>
              <w:pageBreakBefore w:val="0"/>
              <w:widowControl w:val="0"/>
              <w:kinsoku/>
              <w:wordWrap/>
              <w:overflowPunct w:val="0"/>
              <w:topLinePunct w:val="0"/>
              <w:autoSpaceDE/>
              <w:autoSpaceDN/>
              <w:bidi w:val="0"/>
              <w:adjustRightInd w:val="0"/>
              <w:snapToGrid/>
              <w:spacing w:line="240" w:lineRule="exact"/>
              <w:textAlignment w:val="auto"/>
              <w:rPr>
                <w:rFonts w:ascii="Arial" w:hAnsi="Arial" w:eastAsia="华文细黑"/>
                <w:color w:val="000000"/>
                <w:sz w:val="18"/>
                <w:szCs w:val="18"/>
              </w:rPr>
            </w:pPr>
            <w:r>
              <w:rPr>
                <w:rFonts w:hint="eastAsia" w:ascii="Arial" w:hAnsi="Arial" w:eastAsia="华文细黑"/>
                <w:color w:val="000000"/>
                <w:sz w:val="18"/>
                <w:szCs w:val="18"/>
              </w:rPr>
              <w:t>地砖</w:t>
            </w:r>
          </w:p>
        </w:tc>
        <w:tc>
          <w:tcPr>
            <w:tcW w:w="2803" w:type="dxa"/>
            <w:vAlign w:val="center"/>
          </w:tcPr>
          <w:p>
            <w:pPr>
              <w:keepNext w:val="0"/>
              <w:keepLines w:val="0"/>
              <w:pageBreakBefore w:val="0"/>
              <w:widowControl w:val="0"/>
              <w:kinsoku/>
              <w:wordWrap/>
              <w:overflowPunct w:val="0"/>
              <w:topLinePunct w:val="0"/>
              <w:autoSpaceDE/>
              <w:autoSpaceDN/>
              <w:bidi w:val="0"/>
              <w:adjustRightInd w:val="0"/>
              <w:snapToGrid/>
              <w:spacing w:line="240" w:lineRule="exact"/>
              <w:textAlignment w:val="auto"/>
              <w:rPr>
                <w:rFonts w:ascii="Arial" w:hAnsi="Arial" w:eastAsia="华文细黑"/>
                <w:color w:val="000000"/>
                <w:sz w:val="18"/>
                <w:szCs w:val="18"/>
              </w:rPr>
            </w:pPr>
            <w:r>
              <w:rPr>
                <w:rFonts w:hint="eastAsia" w:ascii="Arial" w:hAnsi="Arial" w:eastAsia="华文细黑"/>
                <w:color w:val="000000"/>
                <w:sz w:val="18"/>
                <w:szCs w:val="18"/>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85" w:type="dxa"/>
            <w:left w:w="28" w:type="dxa"/>
            <w:bottom w:w="85" w:type="dxa"/>
            <w:right w:w="28" w:type="dxa"/>
          </w:tblCellMar>
        </w:tblPrEx>
        <w:trPr>
          <w:cantSplit/>
          <w:trHeight w:val="226" w:hRule="atLeast"/>
          <w:jc w:val="center"/>
        </w:trPr>
        <w:tc>
          <w:tcPr>
            <w:tcW w:w="1330" w:type="dxa"/>
            <w:vAlign w:val="center"/>
          </w:tcPr>
          <w:p>
            <w:pPr>
              <w:keepNext w:val="0"/>
              <w:keepLines w:val="0"/>
              <w:pageBreakBefore w:val="0"/>
              <w:widowControl w:val="0"/>
              <w:kinsoku/>
              <w:wordWrap/>
              <w:overflowPunct w:val="0"/>
              <w:topLinePunct w:val="0"/>
              <w:autoSpaceDE/>
              <w:autoSpaceDN/>
              <w:bidi w:val="0"/>
              <w:adjustRightInd w:val="0"/>
              <w:snapToGrid/>
              <w:spacing w:line="240" w:lineRule="exact"/>
              <w:textAlignment w:val="auto"/>
              <w:rPr>
                <w:rFonts w:ascii="Arial" w:hAnsi="Arial" w:eastAsia="华文细黑"/>
                <w:color w:val="000000"/>
                <w:sz w:val="18"/>
                <w:szCs w:val="18"/>
              </w:rPr>
            </w:pPr>
            <w:r>
              <w:rPr>
                <w:rFonts w:hint="eastAsia" w:ascii="Arial" w:hAnsi="Arial" w:eastAsia="华文细黑"/>
                <w:color w:val="000000"/>
                <w:sz w:val="18"/>
                <w:szCs w:val="18"/>
              </w:rPr>
              <w:t>厨房</w:t>
            </w:r>
          </w:p>
        </w:tc>
        <w:tc>
          <w:tcPr>
            <w:tcW w:w="1771" w:type="dxa"/>
            <w:tcMar>
              <w:top w:w="85" w:type="dxa"/>
              <w:left w:w="16" w:type="dxa"/>
              <w:bottom w:w="85" w:type="dxa"/>
              <w:right w:w="16" w:type="dxa"/>
            </w:tcMar>
            <w:vAlign w:val="center"/>
          </w:tcPr>
          <w:p>
            <w:pPr>
              <w:keepNext w:val="0"/>
              <w:keepLines w:val="0"/>
              <w:pageBreakBefore w:val="0"/>
              <w:widowControl w:val="0"/>
              <w:kinsoku/>
              <w:wordWrap/>
              <w:overflowPunct w:val="0"/>
              <w:topLinePunct w:val="0"/>
              <w:autoSpaceDE/>
              <w:autoSpaceDN/>
              <w:bidi w:val="0"/>
              <w:adjustRightInd w:val="0"/>
              <w:snapToGrid/>
              <w:spacing w:line="240" w:lineRule="exact"/>
              <w:textAlignment w:val="auto"/>
              <w:rPr>
                <w:rFonts w:ascii="Arial" w:hAnsi="Arial" w:eastAsia="华文细黑"/>
                <w:color w:val="000000"/>
                <w:sz w:val="18"/>
                <w:szCs w:val="18"/>
              </w:rPr>
            </w:pPr>
            <w:r>
              <w:rPr>
                <w:rFonts w:hint="eastAsia" w:ascii="Arial" w:hAnsi="Arial" w:eastAsia="华文细黑"/>
                <w:color w:val="000000"/>
                <w:sz w:val="18"/>
                <w:szCs w:val="18"/>
              </w:rPr>
              <w:t>涂料</w:t>
            </w:r>
          </w:p>
        </w:tc>
        <w:tc>
          <w:tcPr>
            <w:tcW w:w="1771" w:type="dxa"/>
            <w:vAlign w:val="center"/>
          </w:tcPr>
          <w:p>
            <w:pPr>
              <w:keepNext w:val="0"/>
              <w:keepLines w:val="0"/>
              <w:pageBreakBefore w:val="0"/>
              <w:widowControl w:val="0"/>
              <w:kinsoku/>
              <w:wordWrap/>
              <w:overflowPunct w:val="0"/>
              <w:topLinePunct w:val="0"/>
              <w:autoSpaceDE/>
              <w:autoSpaceDN/>
              <w:bidi w:val="0"/>
              <w:adjustRightInd w:val="0"/>
              <w:snapToGrid/>
              <w:spacing w:line="240" w:lineRule="exact"/>
              <w:textAlignment w:val="auto"/>
              <w:rPr>
                <w:rFonts w:ascii="Arial" w:hAnsi="Arial" w:eastAsia="华文细黑"/>
                <w:color w:val="000000"/>
                <w:sz w:val="18"/>
                <w:szCs w:val="18"/>
              </w:rPr>
            </w:pPr>
            <w:r>
              <w:rPr>
                <w:rFonts w:hint="eastAsia" w:ascii="Arial" w:hAnsi="Arial" w:eastAsia="华文细黑"/>
                <w:color w:val="000000"/>
                <w:sz w:val="18"/>
                <w:szCs w:val="18"/>
              </w:rPr>
              <w:t>墙砖</w:t>
            </w:r>
          </w:p>
        </w:tc>
        <w:tc>
          <w:tcPr>
            <w:tcW w:w="1623" w:type="dxa"/>
            <w:vAlign w:val="center"/>
          </w:tcPr>
          <w:p>
            <w:pPr>
              <w:keepNext w:val="0"/>
              <w:keepLines w:val="0"/>
              <w:pageBreakBefore w:val="0"/>
              <w:widowControl w:val="0"/>
              <w:kinsoku/>
              <w:wordWrap/>
              <w:overflowPunct w:val="0"/>
              <w:topLinePunct w:val="0"/>
              <w:autoSpaceDE/>
              <w:autoSpaceDN/>
              <w:bidi w:val="0"/>
              <w:adjustRightInd w:val="0"/>
              <w:snapToGrid/>
              <w:spacing w:line="240" w:lineRule="exact"/>
              <w:textAlignment w:val="auto"/>
              <w:rPr>
                <w:rFonts w:ascii="Arial" w:hAnsi="Arial" w:eastAsia="华文细黑"/>
                <w:color w:val="000000"/>
                <w:sz w:val="18"/>
                <w:szCs w:val="18"/>
              </w:rPr>
            </w:pPr>
            <w:r>
              <w:rPr>
                <w:rFonts w:hint="eastAsia" w:ascii="Arial" w:hAnsi="Arial" w:eastAsia="华文细黑"/>
                <w:color w:val="000000"/>
                <w:sz w:val="18"/>
                <w:szCs w:val="18"/>
              </w:rPr>
              <w:t>地砖</w:t>
            </w:r>
          </w:p>
        </w:tc>
        <w:tc>
          <w:tcPr>
            <w:tcW w:w="2803" w:type="dxa"/>
            <w:vAlign w:val="center"/>
          </w:tcPr>
          <w:p>
            <w:pPr>
              <w:keepNext w:val="0"/>
              <w:keepLines w:val="0"/>
              <w:pageBreakBefore w:val="0"/>
              <w:widowControl w:val="0"/>
              <w:kinsoku/>
              <w:wordWrap/>
              <w:overflowPunct w:val="0"/>
              <w:topLinePunct w:val="0"/>
              <w:autoSpaceDE/>
              <w:autoSpaceDN/>
              <w:bidi w:val="0"/>
              <w:adjustRightInd w:val="0"/>
              <w:snapToGrid/>
              <w:spacing w:line="240" w:lineRule="exact"/>
              <w:textAlignment w:val="auto"/>
              <w:rPr>
                <w:rFonts w:ascii="Arial" w:hAnsi="Arial" w:eastAsia="华文细黑"/>
                <w:color w:val="000000"/>
                <w:sz w:val="18"/>
                <w:szCs w:val="18"/>
              </w:rPr>
            </w:pPr>
            <w:r>
              <w:rPr>
                <w:rFonts w:hint="eastAsia" w:ascii="Arial" w:hAnsi="Arial" w:eastAsia="华文细黑"/>
                <w:color w:val="000000"/>
                <w:sz w:val="18"/>
                <w:szCs w:val="18"/>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85" w:type="dxa"/>
            <w:left w:w="28" w:type="dxa"/>
            <w:bottom w:w="85" w:type="dxa"/>
            <w:right w:w="28" w:type="dxa"/>
          </w:tblCellMar>
        </w:tblPrEx>
        <w:trPr>
          <w:cantSplit/>
          <w:trHeight w:val="218" w:hRule="atLeast"/>
          <w:jc w:val="center"/>
        </w:trPr>
        <w:tc>
          <w:tcPr>
            <w:tcW w:w="1330" w:type="dxa"/>
            <w:vAlign w:val="center"/>
          </w:tcPr>
          <w:p>
            <w:pPr>
              <w:keepNext w:val="0"/>
              <w:keepLines w:val="0"/>
              <w:pageBreakBefore w:val="0"/>
              <w:widowControl w:val="0"/>
              <w:kinsoku/>
              <w:wordWrap/>
              <w:overflowPunct w:val="0"/>
              <w:topLinePunct w:val="0"/>
              <w:autoSpaceDE/>
              <w:autoSpaceDN/>
              <w:bidi w:val="0"/>
              <w:adjustRightInd w:val="0"/>
              <w:snapToGrid/>
              <w:spacing w:line="240" w:lineRule="exact"/>
              <w:textAlignment w:val="auto"/>
              <w:rPr>
                <w:rFonts w:ascii="Arial" w:hAnsi="Arial" w:eastAsia="华文细黑"/>
                <w:color w:val="000000"/>
                <w:sz w:val="18"/>
                <w:szCs w:val="18"/>
              </w:rPr>
            </w:pPr>
            <w:r>
              <w:rPr>
                <w:rFonts w:hint="eastAsia" w:ascii="Arial" w:hAnsi="Arial" w:eastAsia="华文细黑"/>
                <w:color w:val="000000"/>
                <w:sz w:val="18"/>
                <w:szCs w:val="18"/>
              </w:rPr>
              <w:t>卫生间</w:t>
            </w:r>
          </w:p>
        </w:tc>
        <w:tc>
          <w:tcPr>
            <w:tcW w:w="1771" w:type="dxa"/>
            <w:tcMar>
              <w:top w:w="85" w:type="dxa"/>
              <w:left w:w="16" w:type="dxa"/>
              <w:bottom w:w="85" w:type="dxa"/>
              <w:right w:w="16" w:type="dxa"/>
            </w:tcMar>
            <w:vAlign w:val="center"/>
          </w:tcPr>
          <w:p>
            <w:pPr>
              <w:keepNext w:val="0"/>
              <w:keepLines w:val="0"/>
              <w:pageBreakBefore w:val="0"/>
              <w:widowControl w:val="0"/>
              <w:kinsoku/>
              <w:wordWrap/>
              <w:overflowPunct w:val="0"/>
              <w:topLinePunct w:val="0"/>
              <w:autoSpaceDE/>
              <w:autoSpaceDN/>
              <w:bidi w:val="0"/>
              <w:adjustRightInd w:val="0"/>
              <w:snapToGrid/>
              <w:spacing w:line="240" w:lineRule="exact"/>
              <w:textAlignment w:val="auto"/>
              <w:rPr>
                <w:rFonts w:ascii="Arial" w:hAnsi="Arial" w:eastAsia="华文细黑"/>
                <w:color w:val="000000"/>
                <w:sz w:val="18"/>
                <w:szCs w:val="18"/>
              </w:rPr>
            </w:pPr>
            <w:r>
              <w:rPr>
                <w:rFonts w:hint="eastAsia" w:ascii="Arial" w:hAnsi="Arial" w:eastAsia="华文细黑"/>
                <w:color w:val="000000"/>
                <w:sz w:val="18"/>
                <w:szCs w:val="18"/>
              </w:rPr>
              <w:t>涂料</w:t>
            </w:r>
          </w:p>
        </w:tc>
        <w:tc>
          <w:tcPr>
            <w:tcW w:w="1771" w:type="dxa"/>
            <w:vAlign w:val="center"/>
          </w:tcPr>
          <w:p>
            <w:pPr>
              <w:keepNext w:val="0"/>
              <w:keepLines w:val="0"/>
              <w:pageBreakBefore w:val="0"/>
              <w:widowControl w:val="0"/>
              <w:kinsoku/>
              <w:wordWrap/>
              <w:overflowPunct w:val="0"/>
              <w:topLinePunct w:val="0"/>
              <w:autoSpaceDE/>
              <w:autoSpaceDN/>
              <w:bidi w:val="0"/>
              <w:adjustRightInd w:val="0"/>
              <w:snapToGrid/>
              <w:spacing w:line="240" w:lineRule="exact"/>
              <w:textAlignment w:val="auto"/>
              <w:rPr>
                <w:rFonts w:ascii="Arial" w:hAnsi="Arial" w:eastAsia="华文细黑"/>
                <w:color w:val="000000"/>
                <w:sz w:val="18"/>
                <w:szCs w:val="18"/>
              </w:rPr>
            </w:pPr>
            <w:r>
              <w:rPr>
                <w:rFonts w:hint="eastAsia" w:ascii="Arial" w:hAnsi="Arial" w:eastAsia="华文细黑"/>
                <w:color w:val="000000"/>
                <w:sz w:val="18"/>
                <w:szCs w:val="18"/>
              </w:rPr>
              <w:t>墙砖</w:t>
            </w:r>
          </w:p>
        </w:tc>
        <w:tc>
          <w:tcPr>
            <w:tcW w:w="1623" w:type="dxa"/>
            <w:vAlign w:val="center"/>
          </w:tcPr>
          <w:p>
            <w:pPr>
              <w:keepNext w:val="0"/>
              <w:keepLines w:val="0"/>
              <w:pageBreakBefore w:val="0"/>
              <w:widowControl w:val="0"/>
              <w:kinsoku/>
              <w:wordWrap/>
              <w:overflowPunct w:val="0"/>
              <w:topLinePunct w:val="0"/>
              <w:autoSpaceDE/>
              <w:autoSpaceDN/>
              <w:bidi w:val="0"/>
              <w:adjustRightInd w:val="0"/>
              <w:snapToGrid/>
              <w:spacing w:line="240" w:lineRule="exact"/>
              <w:textAlignment w:val="auto"/>
              <w:rPr>
                <w:rFonts w:ascii="Arial" w:hAnsi="Arial" w:eastAsia="华文细黑"/>
                <w:color w:val="000000"/>
                <w:sz w:val="18"/>
                <w:szCs w:val="18"/>
              </w:rPr>
            </w:pPr>
            <w:r>
              <w:rPr>
                <w:rFonts w:hint="eastAsia" w:ascii="Arial" w:hAnsi="Arial" w:eastAsia="华文细黑"/>
                <w:color w:val="000000"/>
                <w:sz w:val="18"/>
                <w:szCs w:val="18"/>
              </w:rPr>
              <w:t>地砖</w:t>
            </w:r>
          </w:p>
        </w:tc>
        <w:tc>
          <w:tcPr>
            <w:tcW w:w="2803" w:type="dxa"/>
            <w:vAlign w:val="center"/>
          </w:tcPr>
          <w:p>
            <w:pPr>
              <w:keepNext w:val="0"/>
              <w:keepLines w:val="0"/>
              <w:pageBreakBefore w:val="0"/>
              <w:widowControl w:val="0"/>
              <w:kinsoku/>
              <w:wordWrap/>
              <w:overflowPunct w:val="0"/>
              <w:topLinePunct w:val="0"/>
              <w:autoSpaceDE/>
              <w:autoSpaceDN/>
              <w:bidi w:val="0"/>
              <w:adjustRightInd w:val="0"/>
              <w:snapToGrid/>
              <w:spacing w:line="240" w:lineRule="exact"/>
              <w:textAlignment w:val="auto"/>
              <w:rPr>
                <w:rFonts w:ascii="Arial" w:hAnsi="Arial" w:eastAsia="华文细黑"/>
                <w:color w:val="000000"/>
                <w:sz w:val="18"/>
                <w:szCs w:val="18"/>
              </w:rPr>
            </w:pPr>
            <w:r>
              <w:rPr>
                <w:rFonts w:hint="eastAsia" w:ascii="Arial" w:hAnsi="Arial" w:eastAsia="华文细黑"/>
                <w:color w:val="000000"/>
                <w:sz w:val="18"/>
                <w:szCs w:val="18"/>
              </w:rPr>
              <w:t>陶瓷洗手池、坐便器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85" w:type="dxa"/>
            <w:left w:w="28" w:type="dxa"/>
            <w:bottom w:w="85" w:type="dxa"/>
            <w:right w:w="28" w:type="dxa"/>
          </w:tblCellMar>
        </w:tblPrEx>
        <w:trPr>
          <w:cantSplit/>
          <w:trHeight w:val="82" w:hRule="atLeast"/>
          <w:jc w:val="center"/>
        </w:trPr>
        <w:tc>
          <w:tcPr>
            <w:tcW w:w="1330" w:type="dxa"/>
            <w:vAlign w:val="center"/>
          </w:tcPr>
          <w:p>
            <w:pPr>
              <w:keepNext w:val="0"/>
              <w:keepLines w:val="0"/>
              <w:pageBreakBefore w:val="0"/>
              <w:widowControl w:val="0"/>
              <w:kinsoku/>
              <w:wordWrap/>
              <w:overflowPunct w:val="0"/>
              <w:topLinePunct w:val="0"/>
              <w:autoSpaceDE/>
              <w:autoSpaceDN/>
              <w:bidi w:val="0"/>
              <w:adjustRightInd w:val="0"/>
              <w:snapToGrid/>
              <w:spacing w:line="240" w:lineRule="exact"/>
              <w:textAlignment w:val="auto"/>
              <w:rPr>
                <w:rFonts w:ascii="Arial" w:hAnsi="Arial" w:eastAsia="华文细黑"/>
                <w:color w:val="000000"/>
                <w:sz w:val="18"/>
                <w:szCs w:val="18"/>
              </w:rPr>
            </w:pPr>
            <w:r>
              <w:rPr>
                <w:rFonts w:hint="eastAsia" w:ascii="Arial" w:hAnsi="Arial" w:eastAsia="华文细黑"/>
                <w:color w:val="000000"/>
                <w:sz w:val="18"/>
                <w:szCs w:val="18"/>
              </w:rPr>
              <w:t>封闭式阳台</w:t>
            </w:r>
          </w:p>
        </w:tc>
        <w:tc>
          <w:tcPr>
            <w:tcW w:w="1771" w:type="dxa"/>
            <w:tcMar>
              <w:top w:w="85" w:type="dxa"/>
              <w:left w:w="16" w:type="dxa"/>
              <w:bottom w:w="85" w:type="dxa"/>
              <w:right w:w="16" w:type="dxa"/>
            </w:tcMar>
            <w:vAlign w:val="center"/>
          </w:tcPr>
          <w:p>
            <w:pPr>
              <w:keepNext w:val="0"/>
              <w:keepLines w:val="0"/>
              <w:pageBreakBefore w:val="0"/>
              <w:widowControl w:val="0"/>
              <w:kinsoku/>
              <w:wordWrap/>
              <w:overflowPunct w:val="0"/>
              <w:topLinePunct w:val="0"/>
              <w:autoSpaceDE/>
              <w:autoSpaceDN/>
              <w:bidi w:val="0"/>
              <w:adjustRightInd w:val="0"/>
              <w:snapToGrid/>
              <w:spacing w:line="240" w:lineRule="exact"/>
              <w:textAlignment w:val="auto"/>
              <w:rPr>
                <w:rFonts w:ascii="Arial" w:hAnsi="Arial" w:eastAsia="华文细黑"/>
                <w:color w:val="000000"/>
                <w:sz w:val="18"/>
                <w:szCs w:val="18"/>
              </w:rPr>
            </w:pPr>
            <w:r>
              <w:rPr>
                <w:rFonts w:hint="eastAsia" w:ascii="Arial" w:hAnsi="Arial" w:eastAsia="华文细黑"/>
                <w:color w:val="000000"/>
                <w:sz w:val="18"/>
                <w:szCs w:val="18"/>
              </w:rPr>
              <w:t>涂料</w:t>
            </w:r>
          </w:p>
        </w:tc>
        <w:tc>
          <w:tcPr>
            <w:tcW w:w="1771" w:type="dxa"/>
            <w:vAlign w:val="center"/>
          </w:tcPr>
          <w:p>
            <w:pPr>
              <w:keepNext w:val="0"/>
              <w:keepLines w:val="0"/>
              <w:pageBreakBefore w:val="0"/>
              <w:widowControl w:val="0"/>
              <w:kinsoku/>
              <w:wordWrap/>
              <w:overflowPunct w:val="0"/>
              <w:topLinePunct w:val="0"/>
              <w:autoSpaceDE/>
              <w:autoSpaceDN/>
              <w:bidi w:val="0"/>
              <w:adjustRightInd w:val="0"/>
              <w:snapToGrid/>
              <w:spacing w:line="240" w:lineRule="exact"/>
              <w:textAlignment w:val="auto"/>
              <w:rPr>
                <w:rFonts w:ascii="Arial" w:hAnsi="Arial" w:eastAsia="华文细黑"/>
                <w:color w:val="000000"/>
                <w:sz w:val="18"/>
                <w:szCs w:val="18"/>
              </w:rPr>
            </w:pPr>
            <w:r>
              <w:rPr>
                <w:rFonts w:hint="eastAsia" w:ascii="Arial" w:hAnsi="Arial" w:eastAsia="华文细黑"/>
                <w:color w:val="000000"/>
                <w:sz w:val="18"/>
                <w:szCs w:val="18"/>
              </w:rPr>
              <w:t>涂料</w:t>
            </w:r>
          </w:p>
        </w:tc>
        <w:tc>
          <w:tcPr>
            <w:tcW w:w="1623" w:type="dxa"/>
            <w:vAlign w:val="center"/>
          </w:tcPr>
          <w:p>
            <w:pPr>
              <w:keepNext w:val="0"/>
              <w:keepLines w:val="0"/>
              <w:pageBreakBefore w:val="0"/>
              <w:widowControl w:val="0"/>
              <w:kinsoku/>
              <w:wordWrap/>
              <w:overflowPunct w:val="0"/>
              <w:topLinePunct w:val="0"/>
              <w:autoSpaceDE/>
              <w:autoSpaceDN/>
              <w:bidi w:val="0"/>
              <w:adjustRightInd w:val="0"/>
              <w:snapToGrid/>
              <w:spacing w:line="240" w:lineRule="exact"/>
              <w:textAlignment w:val="auto"/>
              <w:rPr>
                <w:rFonts w:ascii="Arial" w:hAnsi="Arial" w:eastAsia="华文细黑"/>
                <w:color w:val="000000"/>
                <w:sz w:val="18"/>
                <w:szCs w:val="18"/>
              </w:rPr>
            </w:pPr>
            <w:r>
              <w:rPr>
                <w:rFonts w:hint="eastAsia" w:ascii="Arial" w:hAnsi="Arial" w:eastAsia="华文细黑"/>
                <w:color w:val="000000"/>
                <w:sz w:val="18"/>
                <w:szCs w:val="18"/>
              </w:rPr>
              <w:t>地砖</w:t>
            </w:r>
          </w:p>
        </w:tc>
        <w:tc>
          <w:tcPr>
            <w:tcW w:w="2803" w:type="dxa"/>
            <w:vAlign w:val="center"/>
          </w:tcPr>
          <w:p>
            <w:pPr>
              <w:keepNext w:val="0"/>
              <w:keepLines w:val="0"/>
              <w:pageBreakBefore w:val="0"/>
              <w:widowControl w:val="0"/>
              <w:kinsoku/>
              <w:wordWrap/>
              <w:overflowPunct w:val="0"/>
              <w:topLinePunct w:val="0"/>
              <w:autoSpaceDE/>
              <w:autoSpaceDN/>
              <w:bidi w:val="0"/>
              <w:adjustRightInd w:val="0"/>
              <w:snapToGrid/>
              <w:spacing w:line="240" w:lineRule="exact"/>
              <w:textAlignment w:val="auto"/>
              <w:rPr>
                <w:rFonts w:ascii="Arial" w:hAnsi="Arial" w:eastAsia="华文细黑"/>
                <w:color w:val="000000"/>
                <w:sz w:val="18"/>
                <w:szCs w:val="18"/>
              </w:rPr>
            </w:pPr>
            <w:r>
              <w:rPr>
                <w:rFonts w:hint="eastAsia" w:ascii="Arial" w:hAnsi="Arial" w:eastAsia="华文细黑"/>
                <w:color w:val="000000"/>
                <w:sz w:val="18"/>
                <w:szCs w:val="18"/>
              </w:rPr>
              <w:t>——</w:t>
            </w:r>
          </w:p>
        </w:tc>
      </w:tr>
    </w:tbl>
    <w:p>
      <w:pPr>
        <w:widowControl/>
        <w:overflowPunct w:val="0"/>
        <w:spacing w:line="240" w:lineRule="auto"/>
        <w:ind w:firstLine="420" w:firstLineChars="200"/>
        <w:jc w:val="both"/>
        <w:textAlignment w:val="auto"/>
        <w:rPr>
          <w:rFonts w:hint="eastAsia" w:ascii="Arial" w:hAnsi="Arial"/>
          <w:color w:val="000000"/>
          <w:sz w:val="21"/>
          <w:szCs w:val="21"/>
        </w:rPr>
      </w:pPr>
    </w:p>
    <w:p>
      <w:pPr>
        <w:widowControl/>
        <w:overflowPunct w:val="0"/>
        <w:spacing w:line="240" w:lineRule="auto"/>
        <w:ind w:firstLine="420" w:firstLineChars="200"/>
        <w:jc w:val="both"/>
        <w:textAlignment w:val="auto"/>
        <w:rPr>
          <w:rFonts w:ascii="Arial" w:hAnsi="Arial"/>
          <w:color w:val="000000"/>
          <w:sz w:val="21"/>
          <w:szCs w:val="21"/>
        </w:rPr>
      </w:pPr>
      <w:r>
        <w:rPr>
          <w:rFonts w:hint="eastAsia" w:ascii="Arial" w:hAnsi="Arial"/>
          <w:color w:val="000000"/>
          <w:sz w:val="21"/>
          <w:szCs w:val="21"/>
        </w:rPr>
        <w:t>3.估价对象装修及设备的维护保养状况：</w:t>
      </w:r>
    </w:p>
    <w:tbl>
      <w:tblPr>
        <w:tblStyle w:val="32"/>
        <w:tblW w:w="9299" w:type="dxa"/>
        <w:jc w:val="center"/>
        <w:tblBorders>
          <w:top w:val="single" w:color="404040" w:sz="2" w:space="0"/>
          <w:left w:val="single" w:color="404040" w:sz="2" w:space="0"/>
          <w:bottom w:val="single" w:color="404040" w:sz="2" w:space="0"/>
          <w:right w:val="single" w:color="404040" w:sz="2" w:space="0"/>
          <w:insideH w:val="single" w:color="404040" w:sz="2" w:space="0"/>
          <w:insideV w:val="single" w:color="404040" w:sz="2" w:space="0"/>
        </w:tblBorders>
        <w:tblLayout w:type="fixed"/>
        <w:tblCellMar>
          <w:top w:w="85" w:type="dxa"/>
          <w:left w:w="85" w:type="dxa"/>
          <w:bottom w:w="85" w:type="dxa"/>
          <w:right w:w="85" w:type="dxa"/>
        </w:tblCellMar>
      </w:tblPr>
      <w:tblGrid>
        <w:gridCol w:w="426"/>
        <w:gridCol w:w="1898"/>
        <w:gridCol w:w="6975"/>
      </w:tblGrid>
      <w:tr>
        <w:tblPrEx>
          <w:tblBorders>
            <w:top w:val="single" w:color="404040" w:sz="2" w:space="0"/>
            <w:left w:val="single" w:color="404040" w:sz="2" w:space="0"/>
            <w:bottom w:val="single" w:color="404040" w:sz="2" w:space="0"/>
            <w:right w:val="single" w:color="404040" w:sz="2" w:space="0"/>
            <w:insideH w:val="single" w:color="404040" w:sz="2" w:space="0"/>
            <w:insideV w:val="single" w:color="404040" w:sz="2" w:space="0"/>
          </w:tblBorders>
          <w:tblCellMar>
            <w:top w:w="85" w:type="dxa"/>
            <w:left w:w="85" w:type="dxa"/>
            <w:bottom w:w="85" w:type="dxa"/>
            <w:right w:w="85" w:type="dxa"/>
          </w:tblCellMar>
        </w:tblPrEx>
        <w:trPr>
          <w:jc w:val="center"/>
        </w:trPr>
        <w:tc>
          <w:tcPr>
            <w:tcW w:w="2324" w:type="dxa"/>
            <w:gridSpan w:val="2"/>
          </w:tcPr>
          <w:p>
            <w:pPr>
              <w:keepNext w:val="0"/>
              <w:keepLines w:val="0"/>
              <w:pageBreakBefore w:val="0"/>
              <w:widowControl w:val="0"/>
              <w:kinsoku/>
              <w:wordWrap/>
              <w:overflowPunct w:val="0"/>
              <w:topLinePunct w:val="0"/>
              <w:autoSpaceDE/>
              <w:autoSpaceDN/>
              <w:bidi w:val="0"/>
              <w:adjustRightInd w:val="0"/>
              <w:snapToGrid/>
              <w:spacing w:line="240" w:lineRule="exact"/>
              <w:textAlignment w:val="auto"/>
              <w:rPr>
                <w:rFonts w:ascii="Arial" w:hAnsi="Arial" w:eastAsia="华文细黑"/>
                <w:color w:val="000000"/>
                <w:sz w:val="18"/>
                <w:szCs w:val="18"/>
              </w:rPr>
            </w:pPr>
            <w:r>
              <w:rPr>
                <w:rFonts w:hint="eastAsia" w:ascii="Arial" w:hAnsi="Arial" w:eastAsia="华文细黑"/>
                <w:color w:val="000000"/>
                <w:sz w:val="18"/>
                <w:szCs w:val="18"/>
              </w:rPr>
              <w:t>建设内容</w:t>
            </w:r>
          </w:p>
        </w:tc>
        <w:tc>
          <w:tcPr>
            <w:tcW w:w="6975" w:type="dxa"/>
          </w:tcPr>
          <w:p>
            <w:pPr>
              <w:keepNext w:val="0"/>
              <w:keepLines w:val="0"/>
              <w:pageBreakBefore w:val="0"/>
              <w:widowControl w:val="0"/>
              <w:kinsoku/>
              <w:wordWrap/>
              <w:overflowPunct w:val="0"/>
              <w:topLinePunct w:val="0"/>
              <w:autoSpaceDE/>
              <w:autoSpaceDN/>
              <w:bidi w:val="0"/>
              <w:adjustRightInd w:val="0"/>
              <w:snapToGrid/>
              <w:spacing w:line="240" w:lineRule="exact"/>
              <w:textAlignment w:val="auto"/>
              <w:rPr>
                <w:rFonts w:ascii="Arial" w:hAnsi="Arial" w:eastAsia="华文细黑"/>
                <w:color w:val="000000"/>
                <w:sz w:val="18"/>
                <w:szCs w:val="18"/>
              </w:rPr>
            </w:pPr>
            <w:r>
              <w:rPr>
                <w:rFonts w:hint="eastAsia" w:ascii="Arial" w:hAnsi="Arial" w:eastAsia="华文细黑"/>
                <w:color w:val="000000"/>
                <w:sz w:val="18"/>
                <w:szCs w:val="18"/>
              </w:rPr>
              <w:t>折旧程度</w:t>
            </w:r>
          </w:p>
        </w:tc>
      </w:tr>
      <w:tr>
        <w:tblPrEx>
          <w:tblBorders>
            <w:top w:val="single" w:color="404040" w:sz="2" w:space="0"/>
            <w:left w:val="single" w:color="404040" w:sz="2" w:space="0"/>
            <w:bottom w:val="single" w:color="404040" w:sz="2" w:space="0"/>
            <w:right w:val="single" w:color="404040" w:sz="2" w:space="0"/>
            <w:insideH w:val="single" w:color="404040" w:sz="2" w:space="0"/>
            <w:insideV w:val="single" w:color="404040" w:sz="2" w:space="0"/>
          </w:tblBorders>
          <w:tblCellMar>
            <w:top w:w="85" w:type="dxa"/>
            <w:left w:w="85" w:type="dxa"/>
            <w:bottom w:w="85" w:type="dxa"/>
            <w:right w:w="85" w:type="dxa"/>
          </w:tblCellMar>
        </w:tblPrEx>
        <w:trPr>
          <w:jc w:val="center"/>
        </w:trPr>
        <w:tc>
          <w:tcPr>
            <w:tcW w:w="426" w:type="dxa"/>
            <w:vMerge w:val="restart"/>
            <w:vAlign w:val="center"/>
          </w:tcPr>
          <w:p>
            <w:pPr>
              <w:keepNext w:val="0"/>
              <w:keepLines w:val="0"/>
              <w:pageBreakBefore w:val="0"/>
              <w:widowControl w:val="0"/>
              <w:kinsoku/>
              <w:wordWrap/>
              <w:overflowPunct w:val="0"/>
              <w:topLinePunct w:val="0"/>
              <w:autoSpaceDE/>
              <w:autoSpaceDN/>
              <w:bidi w:val="0"/>
              <w:adjustRightInd w:val="0"/>
              <w:snapToGrid/>
              <w:spacing w:line="240" w:lineRule="exact"/>
              <w:textAlignment w:val="auto"/>
              <w:rPr>
                <w:rFonts w:ascii="Arial" w:hAnsi="Arial" w:eastAsia="华文细黑"/>
                <w:color w:val="000000"/>
                <w:sz w:val="18"/>
                <w:szCs w:val="18"/>
              </w:rPr>
            </w:pPr>
            <w:r>
              <w:rPr>
                <w:rFonts w:hint="eastAsia" w:ascii="Arial" w:hAnsi="Arial" w:eastAsia="华文细黑"/>
                <w:color w:val="000000"/>
                <w:sz w:val="18"/>
                <w:szCs w:val="18"/>
              </w:rPr>
              <w:t>装饰部分</w:t>
            </w:r>
          </w:p>
        </w:tc>
        <w:tc>
          <w:tcPr>
            <w:tcW w:w="1898" w:type="dxa"/>
          </w:tcPr>
          <w:p>
            <w:pPr>
              <w:keepNext w:val="0"/>
              <w:keepLines w:val="0"/>
              <w:pageBreakBefore w:val="0"/>
              <w:widowControl w:val="0"/>
              <w:kinsoku/>
              <w:wordWrap/>
              <w:overflowPunct w:val="0"/>
              <w:topLinePunct w:val="0"/>
              <w:autoSpaceDE/>
              <w:autoSpaceDN/>
              <w:bidi w:val="0"/>
              <w:adjustRightInd w:val="0"/>
              <w:snapToGrid/>
              <w:spacing w:line="240" w:lineRule="exact"/>
              <w:textAlignment w:val="auto"/>
              <w:rPr>
                <w:rFonts w:ascii="Arial" w:hAnsi="Arial" w:eastAsia="华文细黑"/>
                <w:color w:val="000000"/>
                <w:sz w:val="18"/>
                <w:szCs w:val="18"/>
              </w:rPr>
            </w:pPr>
            <w:r>
              <w:rPr>
                <w:rFonts w:hint="eastAsia" w:ascii="Arial" w:hAnsi="Arial" w:eastAsia="华文细黑"/>
                <w:color w:val="000000"/>
                <w:sz w:val="18"/>
                <w:szCs w:val="18"/>
              </w:rPr>
              <w:t>外墙面</w:t>
            </w:r>
          </w:p>
        </w:tc>
        <w:tc>
          <w:tcPr>
            <w:tcW w:w="6975" w:type="dxa"/>
          </w:tcPr>
          <w:p>
            <w:pPr>
              <w:keepNext w:val="0"/>
              <w:keepLines w:val="0"/>
              <w:pageBreakBefore w:val="0"/>
              <w:widowControl w:val="0"/>
              <w:kinsoku/>
              <w:wordWrap/>
              <w:overflowPunct w:val="0"/>
              <w:topLinePunct w:val="0"/>
              <w:autoSpaceDE/>
              <w:autoSpaceDN/>
              <w:bidi w:val="0"/>
              <w:adjustRightInd w:val="0"/>
              <w:snapToGrid/>
              <w:spacing w:line="240" w:lineRule="exact"/>
              <w:textAlignment w:val="auto"/>
              <w:rPr>
                <w:rFonts w:ascii="Arial" w:hAnsi="Arial" w:eastAsia="华文细黑"/>
                <w:sz w:val="18"/>
                <w:szCs w:val="18"/>
              </w:rPr>
            </w:pPr>
            <w:r>
              <w:rPr>
                <w:rFonts w:hint="eastAsia" w:ascii="Arial" w:hAnsi="Arial" w:eastAsia="华文细黑"/>
                <w:sz w:val="18"/>
                <w:szCs w:val="18"/>
              </w:rPr>
              <w:t>基本完整</w:t>
            </w:r>
          </w:p>
        </w:tc>
      </w:tr>
      <w:tr>
        <w:tblPrEx>
          <w:tblBorders>
            <w:top w:val="single" w:color="404040" w:sz="2" w:space="0"/>
            <w:left w:val="single" w:color="404040" w:sz="2" w:space="0"/>
            <w:bottom w:val="single" w:color="404040" w:sz="2" w:space="0"/>
            <w:right w:val="single" w:color="404040" w:sz="2" w:space="0"/>
            <w:insideH w:val="single" w:color="404040" w:sz="2" w:space="0"/>
            <w:insideV w:val="single" w:color="404040" w:sz="2" w:space="0"/>
          </w:tblBorders>
          <w:tblCellMar>
            <w:top w:w="85" w:type="dxa"/>
            <w:left w:w="85" w:type="dxa"/>
            <w:bottom w:w="85" w:type="dxa"/>
            <w:right w:w="85" w:type="dxa"/>
          </w:tblCellMar>
        </w:tblPrEx>
        <w:trPr>
          <w:jc w:val="center"/>
        </w:trPr>
        <w:tc>
          <w:tcPr>
            <w:tcW w:w="426" w:type="dxa"/>
            <w:vMerge w:val="continue"/>
            <w:vAlign w:val="center"/>
          </w:tcPr>
          <w:p>
            <w:pPr>
              <w:keepNext w:val="0"/>
              <w:keepLines w:val="0"/>
              <w:pageBreakBefore w:val="0"/>
              <w:widowControl w:val="0"/>
              <w:kinsoku/>
              <w:wordWrap/>
              <w:overflowPunct w:val="0"/>
              <w:topLinePunct w:val="0"/>
              <w:autoSpaceDE/>
              <w:autoSpaceDN/>
              <w:bidi w:val="0"/>
              <w:adjustRightInd w:val="0"/>
              <w:snapToGrid/>
              <w:spacing w:line="240" w:lineRule="exact"/>
              <w:textAlignment w:val="auto"/>
              <w:rPr>
                <w:rFonts w:ascii="Arial" w:hAnsi="Arial" w:eastAsia="华文细黑"/>
                <w:color w:val="000000"/>
                <w:sz w:val="18"/>
                <w:szCs w:val="18"/>
              </w:rPr>
            </w:pPr>
          </w:p>
        </w:tc>
        <w:tc>
          <w:tcPr>
            <w:tcW w:w="1898" w:type="dxa"/>
          </w:tcPr>
          <w:p>
            <w:pPr>
              <w:keepNext w:val="0"/>
              <w:keepLines w:val="0"/>
              <w:pageBreakBefore w:val="0"/>
              <w:widowControl w:val="0"/>
              <w:kinsoku/>
              <w:wordWrap/>
              <w:overflowPunct w:val="0"/>
              <w:topLinePunct w:val="0"/>
              <w:autoSpaceDE/>
              <w:autoSpaceDN/>
              <w:bidi w:val="0"/>
              <w:adjustRightInd w:val="0"/>
              <w:snapToGrid/>
              <w:spacing w:line="240" w:lineRule="exact"/>
              <w:textAlignment w:val="auto"/>
              <w:rPr>
                <w:rFonts w:ascii="Arial" w:hAnsi="Arial" w:eastAsia="华文细黑"/>
                <w:color w:val="000000"/>
                <w:sz w:val="18"/>
                <w:szCs w:val="18"/>
              </w:rPr>
            </w:pPr>
            <w:r>
              <w:rPr>
                <w:rFonts w:hint="eastAsia" w:ascii="Arial" w:hAnsi="Arial" w:eastAsia="华文细黑"/>
                <w:color w:val="000000"/>
                <w:sz w:val="18"/>
                <w:szCs w:val="18"/>
              </w:rPr>
              <w:t>内墙面</w:t>
            </w:r>
          </w:p>
        </w:tc>
        <w:tc>
          <w:tcPr>
            <w:tcW w:w="6975" w:type="dxa"/>
          </w:tcPr>
          <w:p>
            <w:pPr>
              <w:keepNext w:val="0"/>
              <w:keepLines w:val="0"/>
              <w:pageBreakBefore w:val="0"/>
              <w:widowControl w:val="0"/>
              <w:kinsoku/>
              <w:wordWrap/>
              <w:overflowPunct w:val="0"/>
              <w:topLinePunct w:val="0"/>
              <w:autoSpaceDE/>
              <w:autoSpaceDN/>
              <w:bidi w:val="0"/>
              <w:adjustRightInd w:val="0"/>
              <w:snapToGrid/>
              <w:spacing w:line="240" w:lineRule="exact"/>
              <w:textAlignment w:val="auto"/>
              <w:rPr>
                <w:rFonts w:ascii="Arial" w:hAnsi="Arial" w:eastAsia="华文细黑"/>
                <w:sz w:val="18"/>
                <w:szCs w:val="18"/>
              </w:rPr>
            </w:pPr>
            <w:r>
              <w:rPr>
                <w:rFonts w:hint="eastAsia" w:ascii="Arial" w:hAnsi="Arial" w:eastAsia="华文细黑"/>
                <w:sz w:val="18"/>
                <w:szCs w:val="18"/>
              </w:rPr>
              <w:t>部分墙砖脱落，其余基本完整</w:t>
            </w:r>
          </w:p>
        </w:tc>
      </w:tr>
      <w:tr>
        <w:tblPrEx>
          <w:tblBorders>
            <w:top w:val="single" w:color="404040" w:sz="2" w:space="0"/>
            <w:left w:val="single" w:color="404040" w:sz="2" w:space="0"/>
            <w:bottom w:val="single" w:color="404040" w:sz="2" w:space="0"/>
            <w:right w:val="single" w:color="404040" w:sz="2" w:space="0"/>
            <w:insideH w:val="single" w:color="404040" w:sz="2" w:space="0"/>
            <w:insideV w:val="single" w:color="404040" w:sz="2" w:space="0"/>
          </w:tblBorders>
          <w:tblCellMar>
            <w:top w:w="85" w:type="dxa"/>
            <w:left w:w="85" w:type="dxa"/>
            <w:bottom w:w="85" w:type="dxa"/>
            <w:right w:w="85" w:type="dxa"/>
          </w:tblCellMar>
        </w:tblPrEx>
        <w:trPr>
          <w:jc w:val="center"/>
        </w:trPr>
        <w:tc>
          <w:tcPr>
            <w:tcW w:w="426" w:type="dxa"/>
            <w:vMerge w:val="continue"/>
            <w:vAlign w:val="center"/>
          </w:tcPr>
          <w:p>
            <w:pPr>
              <w:keepNext w:val="0"/>
              <w:keepLines w:val="0"/>
              <w:pageBreakBefore w:val="0"/>
              <w:widowControl w:val="0"/>
              <w:kinsoku/>
              <w:wordWrap/>
              <w:overflowPunct w:val="0"/>
              <w:topLinePunct w:val="0"/>
              <w:autoSpaceDE/>
              <w:autoSpaceDN/>
              <w:bidi w:val="0"/>
              <w:adjustRightInd w:val="0"/>
              <w:snapToGrid/>
              <w:spacing w:line="240" w:lineRule="exact"/>
              <w:textAlignment w:val="auto"/>
              <w:rPr>
                <w:rFonts w:ascii="Arial" w:hAnsi="Arial" w:eastAsia="华文细黑"/>
                <w:color w:val="000000"/>
                <w:sz w:val="18"/>
                <w:szCs w:val="18"/>
              </w:rPr>
            </w:pPr>
          </w:p>
        </w:tc>
        <w:tc>
          <w:tcPr>
            <w:tcW w:w="1898" w:type="dxa"/>
          </w:tcPr>
          <w:p>
            <w:pPr>
              <w:keepNext w:val="0"/>
              <w:keepLines w:val="0"/>
              <w:pageBreakBefore w:val="0"/>
              <w:widowControl w:val="0"/>
              <w:kinsoku/>
              <w:wordWrap/>
              <w:overflowPunct w:val="0"/>
              <w:topLinePunct w:val="0"/>
              <w:autoSpaceDE/>
              <w:autoSpaceDN/>
              <w:bidi w:val="0"/>
              <w:adjustRightInd w:val="0"/>
              <w:snapToGrid/>
              <w:spacing w:line="240" w:lineRule="exact"/>
              <w:textAlignment w:val="auto"/>
              <w:rPr>
                <w:rFonts w:ascii="Arial" w:hAnsi="Arial" w:eastAsia="华文细黑"/>
                <w:color w:val="000000"/>
                <w:sz w:val="18"/>
                <w:szCs w:val="18"/>
              </w:rPr>
            </w:pPr>
            <w:r>
              <w:rPr>
                <w:rFonts w:hint="eastAsia" w:ascii="Arial" w:hAnsi="Arial" w:eastAsia="华文细黑"/>
                <w:color w:val="000000"/>
                <w:sz w:val="18"/>
                <w:szCs w:val="18"/>
              </w:rPr>
              <w:t>门窗</w:t>
            </w:r>
          </w:p>
        </w:tc>
        <w:tc>
          <w:tcPr>
            <w:tcW w:w="6975" w:type="dxa"/>
          </w:tcPr>
          <w:p>
            <w:pPr>
              <w:keepNext w:val="0"/>
              <w:keepLines w:val="0"/>
              <w:pageBreakBefore w:val="0"/>
              <w:widowControl w:val="0"/>
              <w:kinsoku/>
              <w:wordWrap/>
              <w:overflowPunct w:val="0"/>
              <w:topLinePunct w:val="0"/>
              <w:autoSpaceDE/>
              <w:autoSpaceDN/>
              <w:bidi w:val="0"/>
              <w:adjustRightInd w:val="0"/>
              <w:snapToGrid/>
              <w:spacing w:line="240" w:lineRule="exact"/>
              <w:textAlignment w:val="auto"/>
              <w:rPr>
                <w:rFonts w:ascii="Arial" w:hAnsi="Arial" w:eastAsia="华文细黑"/>
                <w:sz w:val="18"/>
                <w:szCs w:val="18"/>
              </w:rPr>
            </w:pPr>
            <w:r>
              <w:rPr>
                <w:rFonts w:hint="eastAsia" w:ascii="Arial" w:hAnsi="Arial" w:eastAsia="华文细黑"/>
                <w:sz w:val="18"/>
                <w:szCs w:val="18"/>
              </w:rPr>
              <w:t>基本完整</w:t>
            </w:r>
          </w:p>
        </w:tc>
      </w:tr>
      <w:tr>
        <w:tblPrEx>
          <w:tblBorders>
            <w:top w:val="single" w:color="404040" w:sz="2" w:space="0"/>
            <w:left w:val="single" w:color="404040" w:sz="2" w:space="0"/>
            <w:bottom w:val="single" w:color="404040" w:sz="2" w:space="0"/>
            <w:right w:val="single" w:color="404040" w:sz="2" w:space="0"/>
            <w:insideH w:val="single" w:color="404040" w:sz="2" w:space="0"/>
            <w:insideV w:val="single" w:color="404040" w:sz="2" w:space="0"/>
          </w:tblBorders>
          <w:tblCellMar>
            <w:top w:w="85" w:type="dxa"/>
            <w:left w:w="85" w:type="dxa"/>
            <w:bottom w:w="85" w:type="dxa"/>
            <w:right w:w="85" w:type="dxa"/>
          </w:tblCellMar>
        </w:tblPrEx>
        <w:trPr>
          <w:jc w:val="center"/>
        </w:trPr>
        <w:tc>
          <w:tcPr>
            <w:tcW w:w="426" w:type="dxa"/>
            <w:vMerge w:val="continue"/>
            <w:vAlign w:val="center"/>
          </w:tcPr>
          <w:p>
            <w:pPr>
              <w:keepNext w:val="0"/>
              <w:keepLines w:val="0"/>
              <w:pageBreakBefore w:val="0"/>
              <w:widowControl w:val="0"/>
              <w:kinsoku/>
              <w:wordWrap/>
              <w:overflowPunct w:val="0"/>
              <w:topLinePunct w:val="0"/>
              <w:autoSpaceDE/>
              <w:autoSpaceDN/>
              <w:bidi w:val="0"/>
              <w:adjustRightInd w:val="0"/>
              <w:snapToGrid/>
              <w:spacing w:line="240" w:lineRule="exact"/>
              <w:textAlignment w:val="auto"/>
              <w:rPr>
                <w:rFonts w:ascii="Arial" w:hAnsi="Arial" w:eastAsia="华文细黑"/>
                <w:color w:val="000000"/>
                <w:sz w:val="18"/>
                <w:szCs w:val="18"/>
              </w:rPr>
            </w:pPr>
          </w:p>
        </w:tc>
        <w:tc>
          <w:tcPr>
            <w:tcW w:w="1898" w:type="dxa"/>
          </w:tcPr>
          <w:p>
            <w:pPr>
              <w:keepNext w:val="0"/>
              <w:keepLines w:val="0"/>
              <w:pageBreakBefore w:val="0"/>
              <w:widowControl w:val="0"/>
              <w:kinsoku/>
              <w:wordWrap/>
              <w:overflowPunct w:val="0"/>
              <w:topLinePunct w:val="0"/>
              <w:autoSpaceDE/>
              <w:autoSpaceDN/>
              <w:bidi w:val="0"/>
              <w:adjustRightInd w:val="0"/>
              <w:snapToGrid/>
              <w:spacing w:line="240" w:lineRule="exact"/>
              <w:textAlignment w:val="auto"/>
              <w:rPr>
                <w:rFonts w:ascii="Arial" w:hAnsi="Arial" w:eastAsia="华文细黑"/>
                <w:color w:val="000000"/>
                <w:sz w:val="18"/>
                <w:szCs w:val="18"/>
              </w:rPr>
            </w:pPr>
            <w:r>
              <w:rPr>
                <w:rFonts w:hint="eastAsia" w:ascii="Arial" w:hAnsi="Arial" w:eastAsia="华文细黑"/>
                <w:color w:val="000000"/>
                <w:sz w:val="18"/>
                <w:szCs w:val="18"/>
              </w:rPr>
              <w:t>顶棚</w:t>
            </w:r>
          </w:p>
        </w:tc>
        <w:tc>
          <w:tcPr>
            <w:tcW w:w="6975" w:type="dxa"/>
          </w:tcPr>
          <w:p>
            <w:pPr>
              <w:keepNext w:val="0"/>
              <w:keepLines w:val="0"/>
              <w:pageBreakBefore w:val="0"/>
              <w:widowControl w:val="0"/>
              <w:kinsoku/>
              <w:wordWrap/>
              <w:overflowPunct w:val="0"/>
              <w:topLinePunct w:val="0"/>
              <w:autoSpaceDE/>
              <w:autoSpaceDN/>
              <w:bidi w:val="0"/>
              <w:adjustRightInd w:val="0"/>
              <w:snapToGrid/>
              <w:spacing w:line="240" w:lineRule="exact"/>
              <w:textAlignment w:val="auto"/>
              <w:rPr>
                <w:rFonts w:ascii="Arial" w:hAnsi="Arial" w:eastAsia="华文细黑"/>
                <w:sz w:val="18"/>
                <w:szCs w:val="18"/>
              </w:rPr>
            </w:pPr>
            <w:r>
              <w:rPr>
                <w:rFonts w:hint="eastAsia" w:ascii="Arial" w:hAnsi="Arial" w:eastAsia="华文细黑"/>
                <w:sz w:val="18"/>
                <w:szCs w:val="18"/>
              </w:rPr>
              <w:t>部分涂料脱落，其余基本完整</w:t>
            </w:r>
          </w:p>
        </w:tc>
      </w:tr>
      <w:tr>
        <w:tblPrEx>
          <w:tblBorders>
            <w:top w:val="single" w:color="404040" w:sz="2" w:space="0"/>
            <w:left w:val="single" w:color="404040" w:sz="2" w:space="0"/>
            <w:bottom w:val="single" w:color="404040" w:sz="2" w:space="0"/>
            <w:right w:val="single" w:color="404040" w:sz="2" w:space="0"/>
            <w:insideH w:val="single" w:color="404040" w:sz="2" w:space="0"/>
            <w:insideV w:val="single" w:color="404040" w:sz="2" w:space="0"/>
          </w:tblBorders>
          <w:tblCellMar>
            <w:top w:w="85" w:type="dxa"/>
            <w:left w:w="85" w:type="dxa"/>
            <w:bottom w:w="85" w:type="dxa"/>
            <w:right w:w="85" w:type="dxa"/>
          </w:tblCellMar>
        </w:tblPrEx>
        <w:trPr>
          <w:jc w:val="center"/>
        </w:trPr>
        <w:tc>
          <w:tcPr>
            <w:tcW w:w="426" w:type="dxa"/>
            <w:vMerge w:val="continue"/>
            <w:vAlign w:val="center"/>
          </w:tcPr>
          <w:p>
            <w:pPr>
              <w:keepNext w:val="0"/>
              <w:keepLines w:val="0"/>
              <w:pageBreakBefore w:val="0"/>
              <w:widowControl w:val="0"/>
              <w:kinsoku/>
              <w:wordWrap/>
              <w:overflowPunct w:val="0"/>
              <w:topLinePunct w:val="0"/>
              <w:autoSpaceDE/>
              <w:autoSpaceDN/>
              <w:bidi w:val="0"/>
              <w:adjustRightInd w:val="0"/>
              <w:snapToGrid/>
              <w:spacing w:line="240" w:lineRule="exact"/>
              <w:textAlignment w:val="auto"/>
              <w:rPr>
                <w:rFonts w:ascii="Arial" w:hAnsi="Arial" w:eastAsia="华文细黑"/>
                <w:color w:val="000000"/>
                <w:sz w:val="18"/>
                <w:szCs w:val="18"/>
              </w:rPr>
            </w:pPr>
          </w:p>
        </w:tc>
        <w:tc>
          <w:tcPr>
            <w:tcW w:w="1898" w:type="dxa"/>
          </w:tcPr>
          <w:p>
            <w:pPr>
              <w:keepNext w:val="0"/>
              <w:keepLines w:val="0"/>
              <w:pageBreakBefore w:val="0"/>
              <w:widowControl w:val="0"/>
              <w:kinsoku/>
              <w:wordWrap/>
              <w:overflowPunct w:val="0"/>
              <w:topLinePunct w:val="0"/>
              <w:autoSpaceDE/>
              <w:autoSpaceDN/>
              <w:bidi w:val="0"/>
              <w:adjustRightInd w:val="0"/>
              <w:snapToGrid/>
              <w:spacing w:line="240" w:lineRule="exact"/>
              <w:textAlignment w:val="auto"/>
              <w:rPr>
                <w:rFonts w:ascii="Arial" w:hAnsi="Arial" w:eastAsia="华文细黑"/>
                <w:color w:val="000000"/>
                <w:sz w:val="18"/>
                <w:szCs w:val="18"/>
              </w:rPr>
            </w:pPr>
            <w:r>
              <w:rPr>
                <w:rFonts w:hint="eastAsia" w:ascii="Arial" w:hAnsi="Arial" w:eastAsia="华文细黑"/>
                <w:color w:val="000000"/>
                <w:sz w:val="18"/>
                <w:szCs w:val="18"/>
              </w:rPr>
              <w:t>楼地面</w:t>
            </w:r>
          </w:p>
        </w:tc>
        <w:tc>
          <w:tcPr>
            <w:tcW w:w="6975" w:type="dxa"/>
          </w:tcPr>
          <w:p>
            <w:pPr>
              <w:keepNext w:val="0"/>
              <w:keepLines w:val="0"/>
              <w:pageBreakBefore w:val="0"/>
              <w:widowControl w:val="0"/>
              <w:kinsoku/>
              <w:wordWrap/>
              <w:overflowPunct w:val="0"/>
              <w:topLinePunct w:val="0"/>
              <w:autoSpaceDE/>
              <w:autoSpaceDN/>
              <w:bidi w:val="0"/>
              <w:adjustRightInd w:val="0"/>
              <w:snapToGrid/>
              <w:spacing w:line="240" w:lineRule="exact"/>
              <w:textAlignment w:val="auto"/>
              <w:rPr>
                <w:rFonts w:ascii="Arial" w:hAnsi="Arial" w:eastAsia="华文细黑"/>
                <w:sz w:val="18"/>
                <w:szCs w:val="18"/>
              </w:rPr>
            </w:pPr>
            <w:r>
              <w:rPr>
                <w:rFonts w:hint="eastAsia" w:ascii="Arial" w:hAnsi="Arial" w:eastAsia="华文细黑"/>
                <w:sz w:val="18"/>
                <w:szCs w:val="18"/>
              </w:rPr>
              <w:t>基本完好</w:t>
            </w:r>
          </w:p>
        </w:tc>
      </w:tr>
      <w:tr>
        <w:tblPrEx>
          <w:tblBorders>
            <w:top w:val="single" w:color="404040" w:sz="2" w:space="0"/>
            <w:left w:val="single" w:color="404040" w:sz="2" w:space="0"/>
            <w:bottom w:val="single" w:color="404040" w:sz="2" w:space="0"/>
            <w:right w:val="single" w:color="404040" w:sz="2" w:space="0"/>
            <w:insideH w:val="single" w:color="404040" w:sz="2" w:space="0"/>
            <w:insideV w:val="single" w:color="404040" w:sz="2" w:space="0"/>
          </w:tblBorders>
          <w:tblCellMar>
            <w:top w:w="85" w:type="dxa"/>
            <w:left w:w="85" w:type="dxa"/>
            <w:bottom w:w="85" w:type="dxa"/>
            <w:right w:w="85" w:type="dxa"/>
          </w:tblCellMar>
        </w:tblPrEx>
        <w:trPr>
          <w:jc w:val="center"/>
        </w:trPr>
        <w:tc>
          <w:tcPr>
            <w:tcW w:w="426" w:type="dxa"/>
            <w:vMerge w:val="restart"/>
            <w:vAlign w:val="center"/>
          </w:tcPr>
          <w:p>
            <w:pPr>
              <w:keepNext w:val="0"/>
              <w:keepLines w:val="0"/>
              <w:pageBreakBefore w:val="0"/>
              <w:widowControl w:val="0"/>
              <w:kinsoku/>
              <w:wordWrap/>
              <w:overflowPunct w:val="0"/>
              <w:topLinePunct w:val="0"/>
              <w:autoSpaceDE/>
              <w:autoSpaceDN/>
              <w:bidi w:val="0"/>
              <w:adjustRightInd w:val="0"/>
              <w:snapToGrid/>
              <w:spacing w:line="240" w:lineRule="exact"/>
              <w:textAlignment w:val="auto"/>
              <w:rPr>
                <w:rFonts w:ascii="Arial" w:hAnsi="Arial" w:eastAsia="华文细黑"/>
                <w:color w:val="000000"/>
                <w:sz w:val="18"/>
                <w:szCs w:val="18"/>
              </w:rPr>
            </w:pPr>
            <w:r>
              <w:rPr>
                <w:rFonts w:hint="eastAsia" w:ascii="Arial" w:hAnsi="Arial" w:eastAsia="华文细黑"/>
                <w:color w:val="000000"/>
                <w:sz w:val="18"/>
                <w:szCs w:val="18"/>
              </w:rPr>
              <w:t>设备部分</w:t>
            </w:r>
          </w:p>
        </w:tc>
        <w:tc>
          <w:tcPr>
            <w:tcW w:w="1898" w:type="dxa"/>
          </w:tcPr>
          <w:p>
            <w:pPr>
              <w:keepNext w:val="0"/>
              <w:keepLines w:val="0"/>
              <w:pageBreakBefore w:val="0"/>
              <w:widowControl w:val="0"/>
              <w:kinsoku/>
              <w:wordWrap/>
              <w:overflowPunct w:val="0"/>
              <w:topLinePunct w:val="0"/>
              <w:autoSpaceDE/>
              <w:autoSpaceDN/>
              <w:bidi w:val="0"/>
              <w:adjustRightInd w:val="0"/>
              <w:snapToGrid/>
              <w:spacing w:line="240" w:lineRule="exact"/>
              <w:textAlignment w:val="auto"/>
              <w:rPr>
                <w:rFonts w:ascii="Arial" w:hAnsi="Arial" w:eastAsia="华文细黑"/>
                <w:color w:val="000000"/>
                <w:sz w:val="18"/>
                <w:szCs w:val="18"/>
              </w:rPr>
            </w:pPr>
            <w:r>
              <w:rPr>
                <w:rFonts w:hint="eastAsia" w:ascii="Arial" w:hAnsi="Arial" w:eastAsia="华文细黑"/>
                <w:color w:val="000000"/>
                <w:sz w:val="18"/>
                <w:szCs w:val="18"/>
              </w:rPr>
              <w:t>水卫</w:t>
            </w:r>
          </w:p>
        </w:tc>
        <w:tc>
          <w:tcPr>
            <w:tcW w:w="6975" w:type="dxa"/>
          </w:tcPr>
          <w:p>
            <w:pPr>
              <w:keepNext w:val="0"/>
              <w:keepLines w:val="0"/>
              <w:pageBreakBefore w:val="0"/>
              <w:widowControl w:val="0"/>
              <w:kinsoku/>
              <w:wordWrap/>
              <w:overflowPunct w:val="0"/>
              <w:topLinePunct w:val="0"/>
              <w:autoSpaceDE/>
              <w:autoSpaceDN/>
              <w:bidi w:val="0"/>
              <w:adjustRightInd w:val="0"/>
              <w:snapToGrid/>
              <w:spacing w:line="240" w:lineRule="exact"/>
              <w:textAlignment w:val="auto"/>
              <w:rPr>
                <w:rFonts w:ascii="Arial" w:hAnsi="Arial" w:eastAsia="华文细黑"/>
                <w:sz w:val="18"/>
                <w:szCs w:val="18"/>
              </w:rPr>
            </w:pPr>
            <w:r>
              <w:rPr>
                <w:rFonts w:hint="eastAsia" w:ascii="Arial" w:hAnsi="Arial" w:eastAsia="华文细黑"/>
                <w:sz w:val="18"/>
                <w:szCs w:val="18"/>
              </w:rPr>
              <w:t>上、下水基本畅通</w:t>
            </w:r>
          </w:p>
        </w:tc>
      </w:tr>
      <w:tr>
        <w:tblPrEx>
          <w:tblBorders>
            <w:top w:val="single" w:color="404040" w:sz="2" w:space="0"/>
            <w:left w:val="single" w:color="404040" w:sz="2" w:space="0"/>
            <w:bottom w:val="single" w:color="404040" w:sz="2" w:space="0"/>
            <w:right w:val="single" w:color="404040" w:sz="2" w:space="0"/>
            <w:insideH w:val="single" w:color="404040" w:sz="2" w:space="0"/>
            <w:insideV w:val="single" w:color="404040" w:sz="2" w:space="0"/>
          </w:tblBorders>
          <w:tblCellMar>
            <w:top w:w="85" w:type="dxa"/>
            <w:left w:w="85" w:type="dxa"/>
            <w:bottom w:w="85" w:type="dxa"/>
            <w:right w:w="85" w:type="dxa"/>
          </w:tblCellMar>
        </w:tblPrEx>
        <w:trPr>
          <w:jc w:val="center"/>
        </w:trPr>
        <w:tc>
          <w:tcPr>
            <w:tcW w:w="426" w:type="dxa"/>
            <w:vMerge w:val="continue"/>
            <w:vAlign w:val="center"/>
          </w:tcPr>
          <w:p>
            <w:pPr>
              <w:keepNext w:val="0"/>
              <w:keepLines w:val="0"/>
              <w:pageBreakBefore w:val="0"/>
              <w:widowControl w:val="0"/>
              <w:kinsoku/>
              <w:wordWrap/>
              <w:overflowPunct w:val="0"/>
              <w:topLinePunct w:val="0"/>
              <w:autoSpaceDE/>
              <w:autoSpaceDN/>
              <w:bidi w:val="0"/>
              <w:adjustRightInd w:val="0"/>
              <w:snapToGrid/>
              <w:spacing w:line="240" w:lineRule="exact"/>
              <w:textAlignment w:val="auto"/>
              <w:rPr>
                <w:rFonts w:ascii="Arial" w:hAnsi="Arial" w:eastAsia="华文细黑"/>
                <w:color w:val="000000"/>
                <w:sz w:val="18"/>
                <w:szCs w:val="18"/>
              </w:rPr>
            </w:pPr>
          </w:p>
        </w:tc>
        <w:tc>
          <w:tcPr>
            <w:tcW w:w="1898" w:type="dxa"/>
          </w:tcPr>
          <w:p>
            <w:pPr>
              <w:keepNext w:val="0"/>
              <w:keepLines w:val="0"/>
              <w:pageBreakBefore w:val="0"/>
              <w:widowControl w:val="0"/>
              <w:kinsoku/>
              <w:wordWrap/>
              <w:overflowPunct w:val="0"/>
              <w:topLinePunct w:val="0"/>
              <w:autoSpaceDE/>
              <w:autoSpaceDN/>
              <w:bidi w:val="0"/>
              <w:adjustRightInd w:val="0"/>
              <w:snapToGrid/>
              <w:spacing w:line="240" w:lineRule="exact"/>
              <w:textAlignment w:val="auto"/>
              <w:rPr>
                <w:rFonts w:ascii="Arial" w:hAnsi="Arial" w:eastAsia="华文细黑"/>
                <w:color w:val="000000"/>
                <w:sz w:val="18"/>
                <w:szCs w:val="18"/>
              </w:rPr>
            </w:pPr>
            <w:r>
              <w:rPr>
                <w:rFonts w:hint="eastAsia" w:ascii="Arial" w:hAnsi="Arial" w:eastAsia="华文细黑"/>
                <w:color w:val="000000"/>
                <w:sz w:val="18"/>
                <w:szCs w:val="18"/>
              </w:rPr>
              <w:t>电照</w:t>
            </w:r>
          </w:p>
        </w:tc>
        <w:tc>
          <w:tcPr>
            <w:tcW w:w="6975" w:type="dxa"/>
          </w:tcPr>
          <w:p>
            <w:pPr>
              <w:keepNext w:val="0"/>
              <w:keepLines w:val="0"/>
              <w:pageBreakBefore w:val="0"/>
              <w:widowControl w:val="0"/>
              <w:kinsoku/>
              <w:wordWrap/>
              <w:overflowPunct w:val="0"/>
              <w:topLinePunct w:val="0"/>
              <w:autoSpaceDE/>
              <w:autoSpaceDN/>
              <w:bidi w:val="0"/>
              <w:adjustRightInd w:val="0"/>
              <w:snapToGrid/>
              <w:spacing w:line="240" w:lineRule="exact"/>
              <w:textAlignment w:val="auto"/>
              <w:rPr>
                <w:rFonts w:ascii="Arial" w:hAnsi="Arial" w:eastAsia="华文细黑"/>
                <w:sz w:val="18"/>
                <w:szCs w:val="18"/>
              </w:rPr>
            </w:pPr>
            <w:r>
              <w:rPr>
                <w:rFonts w:hint="eastAsia" w:ascii="Arial" w:hAnsi="Arial" w:eastAsia="华文细黑"/>
                <w:sz w:val="18"/>
                <w:szCs w:val="18"/>
              </w:rPr>
              <w:t>线路和各种照明装置基本完好</w:t>
            </w:r>
          </w:p>
        </w:tc>
      </w:tr>
      <w:tr>
        <w:tblPrEx>
          <w:tblBorders>
            <w:top w:val="single" w:color="404040" w:sz="2" w:space="0"/>
            <w:left w:val="single" w:color="404040" w:sz="2" w:space="0"/>
            <w:bottom w:val="single" w:color="404040" w:sz="2" w:space="0"/>
            <w:right w:val="single" w:color="404040" w:sz="2" w:space="0"/>
            <w:insideH w:val="single" w:color="404040" w:sz="2" w:space="0"/>
            <w:insideV w:val="single" w:color="404040" w:sz="2" w:space="0"/>
          </w:tblBorders>
          <w:tblCellMar>
            <w:top w:w="85" w:type="dxa"/>
            <w:left w:w="85" w:type="dxa"/>
            <w:bottom w:w="85" w:type="dxa"/>
            <w:right w:w="85" w:type="dxa"/>
          </w:tblCellMar>
        </w:tblPrEx>
        <w:trPr>
          <w:jc w:val="center"/>
        </w:trPr>
        <w:tc>
          <w:tcPr>
            <w:tcW w:w="426" w:type="dxa"/>
            <w:vMerge w:val="continue"/>
            <w:vAlign w:val="center"/>
          </w:tcPr>
          <w:p>
            <w:pPr>
              <w:keepNext w:val="0"/>
              <w:keepLines w:val="0"/>
              <w:pageBreakBefore w:val="0"/>
              <w:widowControl w:val="0"/>
              <w:kinsoku/>
              <w:wordWrap/>
              <w:overflowPunct w:val="0"/>
              <w:topLinePunct w:val="0"/>
              <w:autoSpaceDE/>
              <w:autoSpaceDN/>
              <w:bidi w:val="0"/>
              <w:adjustRightInd w:val="0"/>
              <w:snapToGrid/>
              <w:spacing w:line="240" w:lineRule="exact"/>
              <w:textAlignment w:val="auto"/>
              <w:rPr>
                <w:rFonts w:ascii="Arial" w:hAnsi="Arial" w:eastAsia="华文细黑"/>
                <w:color w:val="000000"/>
                <w:sz w:val="18"/>
                <w:szCs w:val="18"/>
              </w:rPr>
            </w:pPr>
          </w:p>
        </w:tc>
        <w:tc>
          <w:tcPr>
            <w:tcW w:w="1898" w:type="dxa"/>
          </w:tcPr>
          <w:p>
            <w:pPr>
              <w:keepNext w:val="0"/>
              <w:keepLines w:val="0"/>
              <w:pageBreakBefore w:val="0"/>
              <w:widowControl w:val="0"/>
              <w:kinsoku/>
              <w:wordWrap/>
              <w:overflowPunct w:val="0"/>
              <w:topLinePunct w:val="0"/>
              <w:autoSpaceDE/>
              <w:autoSpaceDN/>
              <w:bidi w:val="0"/>
              <w:adjustRightInd w:val="0"/>
              <w:snapToGrid/>
              <w:spacing w:line="240" w:lineRule="exact"/>
              <w:textAlignment w:val="auto"/>
              <w:rPr>
                <w:rFonts w:ascii="Arial" w:hAnsi="Arial" w:eastAsia="华文细黑"/>
                <w:color w:val="000000"/>
                <w:sz w:val="18"/>
                <w:szCs w:val="18"/>
              </w:rPr>
            </w:pPr>
            <w:r>
              <w:rPr>
                <w:rFonts w:hint="eastAsia" w:ascii="Arial" w:hAnsi="Arial" w:eastAsia="华文细黑"/>
                <w:color w:val="000000"/>
                <w:sz w:val="18"/>
                <w:szCs w:val="18"/>
              </w:rPr>
              <w:t>特种设备</w:t>
            </w:r>
          </w:p>
        </w:tc>
        <w:tc>
          <w:tcPr>
            <w:tcW w:w="6975" w:type="dxa"/>
          </w:tcPr>
          <w:p>
            <w:pPr>
              <w:keepNext w:val="0"/>
              <w:keepLines w:val="0"/>
              <w:pageBreakBefore w:val="0"/>
              <w:widowControl w:val="0"/>
              <w:kinsoku/>
              <w:wordWrap/>
              <w:overflowPunct w:val="0"/>
              <w:topLinePunct w:val="0"/>
              <w:autoSpaceDE/>
              <w:autoSpaceDN/>
              <w:bidi w:val="0"/>
              <w:adjustRightInd w:val="0"/>
              <w:snapToGrid/>
              <w:spacing w:line="240" w:lineRule="exact"/>
              <w:textAlignment w:val="auto"/>
              <w:rPr>
                <w:rFonts w:ascii="Arial" w:hAnsi="Arial" w:eastAsia="华文细黑"/>
                <w:sz w:val="18"/>
                <w:szCs w:val="18"/>
              </w:rPr>
            </w:pPr>
            <w:r>
              <w:rPr>
                <w:rFonts w:hint="eastAsia" w:ascii="Arial" w:hAnsi="Arial" w:eastAsia="华文细黑"/>
                <w:sz w:val="18"/>
                <w:szCs w:val="18"/>
              </w:rPr>
              <w:t>——</w:t>
            </w:r>
          </w:p>
        </w:tc>
      </w:tr>
    </w:tbl>
    <w:p>
      <w:pPr>
        <w:overflowPunct w:val="0"/>
        <w:spacing w:line="480" w:lineRule="auto"/>
        <w:ind w:firstLine="360" w:firstLineChars="200"/>
        <w:jc w:val="both"/>
        <w:textAlignment w:val="auto"/>
        <w:rPr>
          <w:rFonts w:ascii="Arial" w:hAnsi="Arial"/>
          <w:color w:val="000000"/>
          <w:sz w:val="18"/>
          <w:szCs w:val="18"/>
        </w:rPr>
      </w:pPr>
    </w:p>
    <w:p>
      <w:pPr>
        <w:overflowPunct w:val="0"/>
        <w:spacing w:line="480" w:lineRule="auto"/>
        <w:ind w:firstLine="420" w:firstLineChars="200"/>
        <w:jc w:val="both"/>
        <w:textAlignment w:val="auto"/>
        <w:rPr>
          <w:rFonts w:ascii="Arial" w:hAnsi="Arial"/>
          <w:sz w:val="21"/>
          <w:szCs w:val="21"/>
        </w:rPr>
      </w:pPr>
      <w:r>
        <w:rPr>
          <w:rFonts w:hint="eastAsia" w:ascii="Arial" w:hAnsi="Arial"/>
          <w:color w:val="000000"/>
          <w:sz w:val="21"/>
          <w:szCs w:val="21"/>
        </w:rPr>
        <w:t>截至价值时点，结合估价对象的建成年代、装修、设备的维护保养状况，综合确定估价对象成新率</w:t>
      </w:r>
      <w:r>
        <w:rPr>
          <w:rFonts w:hint="eastAsia" w:ascii="Arial" w:hAnsi="Arial"/>
          <w:sz w:val="21"/>
          <w:szCs w:val="21"/>
        </w:rPr>
        <w:t>为73%。</w:t>
      </w:r>
    </w:p>
    <w:p>
      <w:pPr>
        <w:overflowPunct w:val="0"/>
        <w:spacing w:line="480" w:lineRule="auto"/>
        <w:jc w:val="both"/>
        <w:textAlignment w:val="auto"/>
        <w:rPr>
          <w:rFonts w:ascii="Arial" w:hAnsi="Arial"/>
          <w:b/>
          <w:bCs/>
          <w:color w:val="000000"/>
          <w:sz w:val="21"/>
          <w:szCs w:val="21"/>
        </w:rPr>
      </w:pPr>
      <w:r>
        <w:rPr>
          <w:rFonts w:hint="eastAsia" w:ascii="Arial" w:hAnsi="Arial"/>
          <w:b/>
          <w:bCs/>
          <w:color w:val="000000"/>
          <w:sz w:val="21"/>
          <w:szCs w:val="21"/>
        </w:rPr>
        <w:t>（六）区位状况</w:t>
      </w:r>
    </w:p>
    <w:tbl>
      <w:tblPr>
        <w:tblStyle w:val="32"/>
        <w:tblW w:w="9299" w:type="dxa"/>
        <w:jc w:val="center"/>
        <w:tblBorders>
          <w:top w:val="single" w:color="404040" w:sz="2" w:space="0"/>
          <w:left w:val="single" w:color="404040" w:sz="2" w:space="0"/>
          <w:bottom w:val="single" w:color="404040" w:sz="2" w:space="0"/>
          <w:right w:val="single" w:color="404040" w:sz="2" w:space="0"/>
          <w:insideH w:val="single" w:color="404040" w:sz="2" w:space="0"/>
          <w:insideV w:val="single" w:color="404040" w:sz="2" w:space="0"/>
        </w:tblBorders>
        <w:tblLayout w:type="fixed"/>
        <w:tblCellMar>
          <w:top w:w="85" w:type="dxa"/>
          <w:left w:w="85" w:type="dxa"/>
          <w:bottom w:w="85" w:type="dxa"/>
          <w:right w:w="85" w:type="dxa"/>
        </w:tblCellMar>
      </w:tblPr>
      <w:tblGrid>
        <w:gridCol w:w="2324"/>
        <w:gridCol w:w="6975"/>
      </w:tblGrid>
      <w:tr>
        <w:tblPrEx>
          <w:tblBorders>
            <w:top w:val="single" w:color="404040" w:sz="2" w:space="0"/>
            <w:left w:val="single" w:color="404040" w:sz="2" w:space="0"/>
            <w:bottom w:val="single" w:color="404040" w:sz="2" w:space="0"/>
            <w:right w:val="single" w:color="404040" w:sz="2" w:space="0"/>
            <w:insideH w:val="single" w:color="404040" w:sz="2" w:space="0"/>
            <w:insideV w:val="single" w:color="404040" w:sz="2" w:space="0"/>
          </w:tblBorders>
          <w:tblCellMar>
            <w:top w:w="85" w:type="dxa"/>
            <w:left w:w="85" w:type="dxa"/>
            <w:bottom w:w="85" w:type="dxa"/>
            <w:right w:w="85" w:type="dxa"/>
          </w:tblCellMar>
        </w:tblPrEx>
        <w:trPr>
          <w:jc w:val="center"/>
        </w:trPr>
        <w:tc>
          <w:tcPr>
            <w:tcW w:w="2324" w:type="dxa"/>
            <w:vMerge w:val="restart"/>
            <w:vAlign w:val="center"/>
          </w:tcPr>
          <w:p>
            <w:pPr>
              <w:keepNext w:val="0"/>
              <w:keepLines w:val="0"/>
              <w:pageBreakBefore w:val="0"/>
              <w:kinsoku/>
              <w:wordWrap/>
              <w:overflowPunct w:val="0"/>
              <w:topLinePunct w:val="0"/>
              <w:autoSpaceDE/>
              <w:autoSpaceDN/>
              <w:bidi w:val="0"/>
              <w:adjustRightInd w:val="0"/>
              <w:snapToGrid/>
              <w:spacing w:line="240" w:lineRule="exact"/>
              <w:textAlignment w:val="auto"/>
              <w:rPr>
                <w:rFonts w:hint="default" w:ascii="Arial" w:hAnsi="Arial" w:eastAsia="华文细黑" w:cs="Arial"/>
                <w:color w:val="000000"/>
                <w:sz w:val="18"/>
                <w:szCs w:val="18"/>
              </w:rPr>
            </w:pPr>
            <w:r>
              <w:rPr>
                <w:rFonts w:hint="default" w:ascii="Arial" w:hAnsi="Arial" w:eastAsia="华文细黑" w:cs="Arial"/>
                <w:color w:val="000000"/>
                <w:sz w:val="18"/>
                <w:szCs w:val="18"/>
              </w:rPr>
              <w:t>估</w:t>
            </w:r>
            <w:r>
              <w:rPr>
                <w:rFonts w:hint="default" w:ascii="Arial" w:hAnsi="Arial" w:eastAsia="华文细黑" w:cs="Arial"/>
                <w:sz w:val="18"/>
                <w:szCs w:val="18"/>
              </w:rPr>
              <w:t>价对象所属楼宇四至</w:t>
            </w:r>
          </w:p>
        </w:tc>
        <w:tc>
          <w:tcPr>
            <w:tcW w:w="6975" w:type="dxa"/>
            <w:vAlign w:val="center"/>
          </w:tcPr>
          <w:p>
            <w:pPr>
              <w:keepNext w:val="0"/>
              <w:keepLines w:val="0"/>
              <w:pageBreakBefore w:val="0"/>
              <w:widowControl/>
              <w:kinsoku/>
              <w:wordWrap/>
              <w:overflowPunct w:val="0"/>
              <w:topLinePunct w:val="0"/>
              <w:autoSpaceDE/>
              <w:autoSpaceDN/>
              <w:bidi w:val="0"/>
              <w:adjustRightInd w:val="0"/>
              <w:snapToGrid/>
              <w:spacing w:line="240" w:lineRule="exact"/>
              <w:textAlignment w:val="auto"/>
              <w:rPr>
                <w:rFonts w:hint="default" w:ascii="Arial" w:hAnsi="Arial" w:eastAsia="华文细黑" w:cs="Arial"/>
                <w:color w:val="000000"/>
                <w:sz w:val="18"/>
                <w:szCs w:val="18"/>
              </w:rPr>
            </w:pPr>
            <w:r>
              <w:rPr>
                <w:rFonts w:hint="default" w:ascii="Arial" w:hAnsi="Arial" w:eastAsia="华文细黑" w:cs="Arial"/>
                <w:color w:val="000000"/>
                <w:sz w:val="18"/>
                <w:szCs w:val="18"/>
              </w:rPr>
              <w:t>东至：小区内道路</w:t>
            </w:r>
          </w:p>
        </w:tc>
      </w:tr>
      <w:tr>
        <w:tblPrEx>
          <w:tblBorders>
            <w:top w:val="single" w:color="404040" w:sz="2" w:space="0"/>
            <w:left w:val="single" w:color="404040" w:sz="2" w:space="0"/>
            <w:bottom w:val="single" w:color="404040" w:sz="2" w:space="0"/>
            <w:right w:val="single" w:color="404040" w:sz="2" w:space="0"/>
            <w:insideH w:val="single" w:color="404040" w:sz="2" w:space="0"/>
            <w:insideV w:val="single" w:color="404040" w:sz="2" w:space="0"/>
          </w:tblBorders>
          <w:tblCellMar>
            <w:top w:w="85" w:type="dxa"/>
            <w:left w:w="85" w:type="dxa"/>
            <w:bottom w:w="85" w:type="dxa"/>
            <w:right w:w="85" w:type="dxa"/>
          </w:tblCellMar>
        </w:tblPrEx>
        <w:trPr>
          <w:jc w:val="center"/>
        </w:trPr>
        <w:tc>
          <w:tcPr>
            <w:tcW w:w="2324" w:type="dxa"/>
            <w:vMerge w:val="continue"/>
            <w:vAlign w:val="center"/>
          </w:tcPr>
          <w:p>
            <w:pPr>
              <w:keepNext w:val="0"/>
              <w:keepLines w:val="0"/>
              <w:pageBreakBefore w:val="0"/>
              <w:kinsoku/>
              <w:wordWrap/>
              <w:overflowPunct w:val="0"/>
              <w:topLinePunct w:val="0"/>
              <w:autoSpaceDE/>
              <w:autoSpaceDN/>
              <w:bidi w:val="0"/>
              <w:adjustRightInd w:val="0"/>
              <w:snapToGrid/>
              <w:spacing w:line="240" w:lineRule="exact"/>
              <w:textAlignment w:val="auto"/>
              <w:rPr>
                <w:rFonts w:hint="default" w:ascii="Arial" w:hAnsi="Arial" w:eastAsia="华文细黑" w:cs="Arial"/>
                <w:color w:val="000000"/>
                <w:sz w:val="18"/>
                <w:szCs w:val="18"/>
              </w:rPr>
            </w:pPr>
          </w:p>
        </w:tc>
        <w:tc>
          <w:tcPr>
            <w:tcW w:w="6975" w:type="dxa"/>
            <w:vAlign w:val="center"/>
          </w:tcPr>
          <w:p>
            <w:pPr>
              <w:keepNext w:val="0"/>
              <w:keepLines w:val="0"/>
              <w:pageBreakBefore w:val="0"/>
              <w:widowControl/>
              <w:kinsoku/>
              <w:wordWrap/>
              <w:overflowPunct w:val="0"/>
              <w:topLinePunct w:val="0"/>
              <w:autoSpaceDE/>
              <w:autoSpaceDN/>
              <w:bidi w:val="0"/>
              <w:adjustRightInd w:val="0"/>
              <w:snapToGrid/>
              <w:spacing w:line="240" w:lineRule="exact"/>
              <w:textAlignment w:val="auto"/>
              <w:rPr>
                <w:rFonts w:hint="default" w:ascii="Arial" w:hAnsi="Arial" w:eastAsia="华文细黑" w:cs="Arial"/>
                <w:color w:val="000000"/>
                <w:sz w:val="18"/>
                <w:szCs w:val="18"/>
              </w:rPr>
            </w:pPr>
            <w:r>
              <w:rPr>
                <w:rFonts w:hint="default" w:ascii="Arial" w:hAnsi="Arial" w:eastAsia="华文细黑" w:cs="Arial"/>
                <w:color w:val="000000"/>
                <w:sz w:val="18"/>
                <w:szCs w:val="18"/>
              </w:rPr>
              <w:t>南至：小区内道路</w:t>
            </w:r>
          </w:p>
        </w:tc>
      </w:tr>
      <w:tr>
        <w:tblPrEx>
          <w:tblBorders>
            <w:top w:val="single" w:color="404040" w:sz="2" w:space="0"/>
            <w:left w:val="single" w:color="404040" w:sz="2" w:space="0"/>
            <w:bottom w:val="single" w:color="404040" w:sz="2" w:space="0"/>
            <w:right w:val="single" w:color="404040" w:sz="2" w:space="0"/>
            <w:insideH w:val="single" w:color="404040" w:sz="2" w:space="0"/>
            <w:insideV w:val="single" w:color="404040" w:sz="2" w:space="0"/>
          </w:tblBorders>
          <w:tblCellMar>
            <w:top w:w="85" w:type="dxa"/>
            <w:left w:w="85" w:type="dxa"/>
            <w:bottom w:w="85" w:type="dxa"/>
            <w:right w:w="85" w:type="dxa"/>
          </w:tblCellMar>
        </w:tblPrEx>
        <w:trPr>
          <w:jc w:val="center"/>
        </w:trPr>
        <w:tc>
          <w:tcPr>
            <w:tcW w:w="2324" w:type="dxa"/>
            <w:vMerge w:val="continue"/>
            <w:vAlign w:val="center"/>
          </w:tcPr>
          <w:p>
            <w:pPr>
              <w:keepNext w:val="0"/>
              <w:keepLines w:val="0"/>
              <w:pageBreakBefore w:val="0"/>
              <w:kinsoku/>
              <w:wordWrap/>
              <w:overflowPunct w:val="0"/>
              <w:topLinePunct w:val="0"/>
              <w:autoSpaceDE/>
              <w:autoSpaceDN/>
              <w:bidi w:val="0"/>
              <w:adjustRightInd w:val="0"/>
              <w:snapToGrid/>
              <w:spacing w:line="240" w:lineRule="exact"/>
              <w:textAlignment w:val="auto"/>
              <w:rPr>
                <w:rFonts w:hint="default" w:ascii="Arial" w:hAnsi="Arial" w:eastAsia="华文细黑" w:cs="Arial"/>
                <w:color w:val="000000"/>
                <w:sz w:val="18"/>
                <w:szCs w:val="18"/>
              </w:rPr>
            </w:pPr>
          </w:p>
        </w:tc>
        <w:tc>
          <w:tcPr>
            <w:tcW w:w="6975" w:type="dxa"/>
            <w:vAlign w:val="center"/>
          </w:tcPr>
          <w:p>
            <w:pPr>
              <w:keepNext w:val="0"/>
              <w:keepLines w:val="0"/>
              <w:pageBreakBefore w:val="0"/>
              <w:widowControl/>
              <w:kinsoku/>
              <w:wordWrap/>
              <w:overflowPunct w:val="0"/>
              <w:topLinePunct w:val="0"/>
              <w:autoSpaceDE/>
              <w:autoSpaceDN/>
              <w:bidi w:val="0"/>
              <w:adjustRightInd w:val="0"/>
              <w:snapToGrid/>
              <w:spacing w:line="240" w:lineRule="exact"/>
              <w:textAlignment w:val="auto"/>
              <w:rPr>
                <w:rFonts w:hint="default" w:ascii="Arial" w:hAnsi="Arial" w:eastAsia="华文细黑" w:cs="Arial"/>
                <w:color w:val="000000"/>
                <w:sz w:val="18"/>
                <w:szCs w:val="18"/>
              </w:rPr>
            </w:pPr>
            <w:r>
              <w:rPr>
                <w:rFonts w:hint="default" w:ascii="Arial" w:hAnsi="Arial" w:eastAsia="华文细黑" w:cs="Arial"/>
                <w:color w:val="000000"/>
                <w:sz w:val="18"/>
                <w:szCs w:val="18"/>
              </w:rPr>
              <w:t>西至：小区内道路</w:t>
            </w:r>
          </w:p>
        </w:tc>
      </w:tr>
      <w:tr>
        <w:tblPrEx>
          <w:tblBorders>
            <w:top w:val="single" w:color="404040" w:sz="2" w:space="0"/>
            <w:left w:val="single" w:color="404040" w:sz="2" w:space="0"/>
            <w:bottom w:val="single" w:color="404040" w:sz="2" w:space="0"/>
            <w:right w:val="single" w:color="404040" w:sz="2" w:space="0"/>
            <w:insideH w:val="single" w:color="404040" w:sz="2" w:space="0"/>
            <w:insideV w:val="single" w:color="404040" w:sz="2" w:space="0"/>
          </w:tblBorders>
          <w:tblCellMar>
            <w:top w:w="85" w:type="dxa"/>
            <w:left w:w="85" w:type="dxa"/>
            <w:bottom w:w="85" w:type="dxa"/>
            <w:right w:w="85" w:type="dxa"/>
          </w:tblCellMar>
        </w:tblPrEx>
        <w:trPr>
          <w:jc w:val="center"/>
        </w:trPr>
        <w:tc>
          <w:tcPr>
            <w:tcW w:w="2324" w:type="dxa"/>
            <w:vMerge w:val="continue"/>
            <w:vAlign w:val="center"/>
          </w:tcPr>
          <w:p>
            <w:pPr>
              <w:keepNext w:val="0"/>
              <w:keepLines w:val="0"/>
              <w:pageBreakBefore w:val="0"/>
              <w:kinsoku/>
              <w:wordWrap/>
              <w:overflowPunct w:val="0"/>
              <w:topLinePunct w:val="0"/>
              <w:autoSpaceDE/>
              <w:autoSpaceDN/>
              <w:bidi w:val="0"/>
              <w:adjustRightInd w:val="0"/>
              <w:snapToGrid/>
              <w:spacing w:line="240" w:lineRule="exact"/>
              <w:textAlignment w:val="auto"/>
              <w:rPr>
                <w:rFonts w:hint="default" w:ascii="Arial" w:hAnsi="Arial" w:eastAsia="华文细黑" w:cs="Arial"/>
                <w:color w:val="000000"/>
                <w:sz w:val="18"/>
                <w:szCs w:val="18"/>
              </w:rPr>
            </w:pPr>
          </w:p>
        </w:tc>
        <w:tc>
          <w:tcPr>
            <w:tcW w:w="6975" w:type="dxa"/>
            <w:vAlign w:val="center"/>
          </w:tcPr>
          <w:p>
            <w:pPr>
              <w:keepNext w:val="0"/>
              <w:keepLines w:val="0"/>
              <w:pageBreakBefore w:val="0"/>
              <w:widowControl/>
              <w:kinsoku/>
              <w:wordWrap/>
              <w:overflowPunct w:val="0"/>
              <w:topLinePunct w:val="0"/>
              <w:autoSpaceDE/>
              <w:autoSpaceDN/>
              <w:bidi w:val="0"/>
              <w:adjustRightInd w:val="0"/>
              <w:snapToGrid/>
              <w:spacing w:line="240" w:lineRule="exact"/>
              <w:textAlignment w:val="auto"/>
              <w:rPr>
                <w:rFonts w:hint="default" w:ascii="Arial" w:hAnsi="Arial" w:eastAsia="华文细黑" w:cs="Arial"/>
                <w:color w:val="000000"/>
                <w:sz w:val="18"/>
                <w:szCs w:val="18"/>
              </w:rPr>
            </w:pPr>
            <w:r>
              <w:rPr>
                <w:rFonts w:hint="default" w:ascii="Arial" w:hAnsi="Arial" w:eastAsia="华文细黑" w:cs="Arial"/>
                <w:color w:val="000000"/>
                <w:sz w:val="18"/>
                <w:szCs w:val="18"/>
              </w:rPr>
              <w:t>北至：滨河北里4号楼</w:t>
            </w:r>
          </w:p>
        </w:tc>
      </w:tr>
      <w:tr>
        <w:tblPrEx>
          <w:tblBorders>
            <w:top w:val="single" w:color="404040" w:sz="2" w:space="0"/>
            <w:left w:val="single" w:color="404040" w:sz="2" w:space="0"/>
            <w:bottom w:val="single" w:color="404040" w:sz="2" w:space="0"/>
            <w:right w:val="single" w:color="404040" w:sz="2" w:space="0"/>
            <w:insideH w:val="single" w:color="404040" w:sz="2" w:space="0"/>
            <w:insideV w:val="single" w:color="404040" w:sz="2" w:space="0"/>
          </w:tblBorders>
          <w:tblCellMar>
            <w:top w:w="85" w:type="dxa"/>
            <w:left w:w="85" w:type="dxa"/>
            <w:bottom w:w="85" w:type="dxa"/>
            <w:right w:w="85" w:type="dxa"/>
          </w:tblCellMar>
        </w:tblPrEx>
        <w:trPr>
          <w:jc w:val="center"/>
        </w:trPr>
        <w:tc>
          <w:tcPr>
            <w:tcW w:w="2324" w:type="dxa"/>
            <w:vAlign w:val="center"/>
          </w:tcPr>
          <w:p>
            <w:pPr>
              <w:keepNext w:val="0"/>
              <w:keepLines w:val="0"/>
              <w:pageBreakBefore w:val="0"/>
              <w:widowControl/>
              <w:kinsoku/>
              <w:wordWrap/>
              <w:overflowPunct w:val="0"/>
              <w:topLinePunct w:val="0"/>
              <w:autoSpaceDE/>
              <w:autoSpaceDN/>
              <w:bidi w:val="0"/>
              <w:adjustRightInd w:val="0"/>
              <w:snapToGrid/>
              <w:spacing w:line="240" w:lineRule="exact"/>
              <w:textAlignment w:val="auto"/>
              <w:rPr>
                <w:rFonts w:hint="default" w:ascii="Arial" w:hAnsi="Arial" w:eastAsia="华文细黑" w:cs="Arial"/>
                <w:color w:val="000000"/>
                <w:sz w:val="18"/>
                <w:szCs w:val="18"/>
              </w:rPr>
            </w:pPr>
            <w:r>
              <w:rPr>
                <w:rFonts w:hint="default" w:ascii="Arial" w:hAnsi="Arial" w:eastAsia="华文细黑" w:cs="Arial"/>
                <w:color w:val="000000"/>
                <w:sz w:val="18"/>
                <w:szCs w:val="18"/>
              </w:rPr>
              <w:t>土地级别</w:t>
            </w:r>
          </w:p>
        </w:tc>
        <w:tc>
          <w:tcPr>
            <w:tcW w:w="6975" w:type="dxa"/>
            <w:vAlign w:val="center"/>
          </w:tcPr>
          <w:p>
            <w:pPr>
              <w:keepNext w:val="0"/>
              <w:keepLines w:val="0"/>
              <w:pageBreakBefore w:val="0"/>
              <w:widowControl/>
              <w:kinsoku/>
              <w:wordWrap/>
              <w:overflowPunct w:val="0"/>
              <w:topLinePunct w:val="0"/>
              <w:autoSpaceDE/>
              <w:autoSpaceDN/>
              <w:bidi w:val="0"/>
              <w:adjustRightInd w:val="0"/>
              <w:snapToGrid/>
              <w:spacing w:line="240" w:lineRule="exact"/>
              <w:textAlignment w:val="auto"/>
              <w:rPr>
                <w:rFonts w:hint="default" w:ascii="Arial" w:hAnsi="Arial" w:eastAsia="华文细黑" w:cs="Arial"/>
                <w:color w:val="E36C0A"/>
                <w:sz w:val="18"/>
                <w:szCs w:val="18"/>
              </w:rPr>
            </w:pPr>
            <w:r>
              <w:rPr>
                <w:rFonts w:hint="default" w:ascii="Arial" w:hAnsi="Arial" w:eastAsia="华文细黑" w:cs="Arial"/>
                <w:sz w:val="18"/>
                <w:szCs w:val="18"/>
              </w:rPr>
              <w:t>居住类七级地价区</w:t>
            </w:r>
          </w:p>
        </w:tc>
      </w:tr>
      <w:tr>
        <w:tblPrEx>
          <w:tblBorders>
            <w:top w:val="single" w:color="404040" w:sz="2" w:space="0"/>
            <w:left w:val="single" w:color="404040" w:sz="2" w:space="0"/>
            <w:bottom w:val="single" w:color="404040" w:sz="2" w:space="0"/>
            <w:right w:val="single" w:color="404040" w:sz="2" w:space="0"/>
            <w:insideH w:val="single" w:color="404040" w:sz="2" w:space="0"/>
            <w:insideV w:val="single" w:color="404040" w:sz="2" w:space="0"/>
          </w:tblBorders>
          <w:tblCellMar>
            <w:top w:w="85" w:type="dxa"/>
            <w:left w:w="85" w:type="dxa"/>
            <w:bottom w:w="85" w:type="dxa"/>
            <w:right w:w="85" w:type="dxa"/>
          </w:tblCellMar>
        </w:tblPrEx>
        <w:trPr>
          <w:jc w:val="center"/>
        </w:trPr>
        <w:tc>
          <w:tcPr>
            <w:tcW w:w="2324" w:type="dxa"/>
            <w:vAlign w:val="center"/>
          </w:tcPr>
          <w:p>
            <w:pPr>
              <w:keepNext w:val="0"/>
              <w:keepLines w:val="0"/>
              <w:pageBreakBefore w:val="0"/>
              <w:widowControl/>
              <w:kinsoku/>
              <w:wordWrap/>
              <w:overflowPunct w:val="0"/>
              <w:topLinePunct w:val="0"/>
              <w:autoSpaceDE/>
              <w:autoSpaceDN/>
              <w:bidi w:val="0"/>
              <w:adjustRightInd w:val="0"/>
              <w:snapToGrid/>
              <w:spacing w:line="240" w:lineRule="exact"/>
              <w:textAlignment w:val="auto"/>
              <w:rPr>
                <w:rFonts w:hint="default" w:ascii="Arial" w:hAnsi="Arial" w:eastAsia="华文细黑" w:cs="Arial"/>
                <w:color w:val="000000"/>
                <w:sz w:val="18"/>
                <w:szCs w:val="18"/>
              </w:rPr>
            </w:pPr>
            <w:r>
              <w:rPr>
                <w:rFonts w:hint="default" w:ascii="Arial" w:hAnsi="Arial" w:eastAsia="华文细黑" w:cs="Arial"/>
                <w:sz w:val="18"/>
                <w:szCs w:val="18"/>
              </w:rPr>
              <w:t>居住社区成熟度</w:t>
            </w:r>
          </w:p>
        </w:tc>
        <w:tc>
          <w:tcPr>
            <w:tcW w:w="6975" w:type="dxa"/>
            <w:vAlign w:val="center"/>
          </w:tcPr>
          <w:p>
            <w:pPr>
              <w:keepNext w:val="0"/>
              <w:keepLines w:val="0"/>
              <w:pageBreakBefore w:val="0"/>
              <w:widowControl/>
              <w:kinsoku/>
              <w:wordWrap/>
              <w:overflowPunct w:val="0"/>
              <w:topLinePunct w:val="0"/>
              <w:autoSpaceDE/>
              <w:autoSpaceDN/>
              <w:bidi w:val="0"/>
              <w:adjustRightInd w:val="0"/>
              <w:snapToGrid/>
              <w:spacing w:line="240" w:lineRule="exact"/>
              <w:textAlignment w:val="auto"/>
              <w:rPr>
                <w:rFonts w:hint="default" w:ascii="Arial" w:hAnsi="Arial" w:eastAsia="华文细黑" w:cs="Arial"/>
                <w:color w:val="E36C0A"/>
                <w:sz w:val="18"/>
                <w:szCs w:val="18"/>
              </w:rPr>
            </w:pPr>
            <w:r>
              <w:rPr>
                <w:rFonts w:hint="default" w:ascii="Arial" w:hAnsi="Arial" w:eastAsia="华文细黑" w:cs="Arial"/>
                <w:sz w:val="18"/>
                <w:szCs w:val="18"/>
              </w:rPr>
              <w:t>估价对象周边有滨河西路北区社区、首邑上城小区、康顺园小区等居住小区，居住小区规模较大，综合评价居住社区成熟度较好。</w:t>
            </w:r>
          </w:p>
        </w:tc>
      </w:tr>
      <w:tr>
        <w:tblPrEx>
          <w:tblBorders>
            <w:top w:val="single" w:color="404040" w:sz="2" w:space="0"/>
            <w:left w:val="single" w:color="404040" w:sz="2" w:space="0"/>
            <w:bottom w:val="single" w:color="404040" w:sz="2" w:space="0"/>
            <w:right w:val="single" w:color="404040" w:sz="2" w:space="0"/>
            <w:insideH w:val="single" w:color="404040" w:sz="2" w:space="0"/>
            <w:insideV w:val="single" w:color="404040" w:sz="2" w:space="0"/>
          </w:tblBorders>
          <w:tblCellMar>
            <w:top w:w="85" w:type="dxa"/>
            <w:left w:w="85" w:type="dxa"/>
            <w:bottom w:w="85" w:type="dxa"/>
            <w:right w:w="85" w:type="dxa"/>
          </w:tblCellMar>
        </w:tblPrEx>
        <w:trPr>
          <w:jc w:val="center"/>
        </w:trPr>
        <w:tc>
          <w:tcPr>
            <w:tcW w:w="2324" w:type="dxa"/>
            <w:vAlign w:val="center"/>
          </w:tcPr>
          <w:p>
            <w:pPr>
              <w:keepNext w:val="0"/>
              <w:keepLines w:val="0"/>
              <w:pageBreakBefore w:val="0"/>
              <w:widowControl/>
              <w:kinsoku/>
              <w:wordWrap/>
              <w:overflowPunct w:val="0"/>
              <w:topLinePunct w:val="0"/>
              <w:autoSpaceDE/>
              <w:autoSpaceDN/>
              <w:bidi w:val="0"/>
              <w:adjustRightInd w:val="0"/>
              <w:snapToGrid/>
              <w:spacing w:line="240" w:lineRule="exact"/>
              <w:textAlignment w:val="auto"/>
              <w:rPr>
                <w:rFonts w:hint="default" w:ascii="Arial" w:hAnsi="Arial" w:eastAsia="华文细黑" w:cs="Arial"/>
                <w:color w:val="000000"/>
                <w:sz w:val="18"/>
                <w:szCs w:val="18"/>
              </w:rPr>
            </w:pPr>
            <w:r>
              <w:rPr>
                <w:rFonts w:hint="default" w:ascii="Arial" w:hAnsi="Arial" w:eastAsia="华文细黑" w:cs="Arial"/>
                <w:color w:val="000000"/>
                <w:sz w:val="18"/>
                <w:szCs w:val="18"/>
              </w:rPr>
              <w:t>交通便捷度</w:t>
            </w:r>
          </w:p>
        </w:tc>
        <w:tc>
          <w:tcPr>
            <w:tcW w:w="6975" w:type="dxa"/>
            <w:vAlign w:val="center"/>
          </w:tcPr>
          <w:p>
            <w:pPr>
              <w:keepNext w:val="0"/>
              <w:keepLines w:val="0"/>
              <w:pageBreakBefore w:val="0"/>
              <w:kinsoku/>
              <w:wordWrap/>
              <w:overflowPunct w:val="0"/>
              <w:topLinePunct w:val="0"/>
              <w:autoSpaceDE/>
              <w:autoSpaceDN/>
              <w:bidi w:val="0"/>
              <w:adjustRightInd w:val="0"/>
              <w:snapToGrid/>
              <w:spacing w:line="240" w:lineRule="exact"/>
              <w:textAlignment w:val="auto"/>
              <w:rPr>
                <w:rFonts w:hint="default" w:ascii="Arial" w:hAnsi="Arial" w:eastAsia="华文细黑" w:cs="Arial"/>
                <w:color w:val="000000"/>
                <w:sz w:val="18"/>
                <w:szCs w:val="18"/>
              </w:rPr>
            </w:pPr>
            <w:r>
              <w:rPr>
                <w:rFonts w:hint="default" w:ascii="Arial" w:hAnsi="Arial" w:eastAsia="华文细黑" w:cs="Arial"/>
                <w:sz w:val="18"/>
                <w:szCs w:val="18"/>
              </w:rPr>
              <w:t>估价对象距离地铁4号线枣园站约700米，周边设有兴12路、兴14路、兴37路、兴68路、848路首邑上城小区站及兴14路、兴37路华堂商场站等多条公交线路，综合评价交通便捷度较好。</w:t>
            </w:r>
          </w:p>
        </w:tc>
      </w:tr>
      <w:tr>
        <w:tblPrEx>
          <w:tblBorders>
            <w:top w:val="single" w:color="404040" w:sz="2" w:space="0"/>
            <w:left w:val="single" w:color="404040" w:sz="2" w:space="0"/>
            <w:bottom w:val="single" w:color="404040" w:sz="2" w:space="0"/>
            <w:right w:val="single" w:color="404040" w:sz="2" w:space="0"/>
            <w:insideH w:val="single" w:color="404040" w:sz="2" w:space="0"/>
            <w:insideV w:val="single" w:color="404040" w:sz="2" w:space="0"/>
          </w:tblBorders>
          <w:tblCellMar>
            <w:top w:w="85" w:type="dxa"/>
            <w:left w:w="85" w:type="dxa"/>
            <w:bottom w:w="85" w:type="dxa"/>
            <w:right w:w="85" w:type="dxa"/>
          </w:tblCellMar>
        </w:tblPrEx>
        <w:trPr>
          <w:jc w:val="center"/>
        </w:trPr>
        <w:tc>
          <w:tcPr>
            <w:tcW w:w="2324" w:type="dxa"/>
            <w:vAlign w:val="center"/>
          </w:tcPr>
          <w:p>
            <w:pPr>
              <w:keepNext w:val="0"/>
              <w:keepLines w:val="0"/>
              <w:pageBreakBefore w:val="0"/>
              <w:widowControl/>
              <w:kinsoku/>
              <w:wordWrap/>
              <w:overflowPunct w:val="0"/>
              <w:topLinePunct w:val="0"/>
              <w:autoSpaceDE/>
              <w:autoSpaceDN/>
              <w:bidi w:val="0"/>
              <w:adjustRightInd w:val="0"/>
              <w:snapToGrid/>
              <w:spacing w:line="240" w:lineRule="exact"/>
              <w:textAlignment w:val="auto"/>
              <w:rPr>
                <w:rFonts w:hint="default" w:ascii="Arial" w:hAnsi="Arial" w:eastAsia="华文细黑" w:cs="Arial"/>
                <w:color w:val="000000"/>
                <w:sz w:val="18"/>
                <w:szCs w:val="18"/>
              </w:rPr>
            </w:pPr>
            <w:r>
              <w:rPr>
                <w:rFonts w:hint="default" w:ascii="Arial" w:hAnsi="Arial" w:eastAsia="华文细黑" w:cs="Arial"/>
                <w:sz w:val="18"/>
                <w:szCs w:val="18"/>
              </w:rPr>
              <w:t>自然人文环境</w:t>
            </w:r>
          </w:p>
        </w:tc>
        <w:tc>
          <w:tcPr>
            <w:tcW w:w="6975" w:type="dxa"/>
            <w:vAlign w:val="center"/>
          </w:tcPr>
          <w:p>
            <w:pPr>
              <w:keepNext w:val="0"/>
              <w:keepLines w:val="0"/>
              <w:pageBreakBefore w:val="0"/>
              <w:kinsoku/>
              <w:wordWrap/>
              <w:overflowPunct w:val="0"/>
              <w:topLinePunct w:val="0"/>
              <w:autoSpaceDE/>
              <w:autoSpaceDN/>
              <w:bidi w:val="0"/>
              <w:adjustRightInd w:val="0"/>
              <w:snapToGrid/>
              <w:spacing w:line="240" w:lineRule="exact"/>
              <w:textAlignment w:val="auto"/>
              <w:rPr>
                <w:rFonts w:hint="default" w:ascii="Arial" w:hAnsi="Arial" w:eastAsia="华文细黑" w:cs="Arial"/>
                <w:sz w:val="18"/>
                <w:szCs w:val="18"/>
              </w:rPr>
            </w:pPr>
            <w:r>
              <w:rPr>
                <w:rFonts w:hint="default" w:ascii="Arial" w:hAnsi="Arial" w:eastAsia="华文细黑" w:cs="Arial"/>
                <w:sz w:val="18"/>
                <w:szCs w:val="18"/>
              </w:rPr>
              <w:t>自然环境：金星公园、康庄公园等绿化景观；</w:t>
            </w:r>
          </w:p>
          <w:p>
            <w:pPr>
              <w:keepNext w:val="0"/>
              <w:keepLines w:val="0"/>
              <w:pageBreakBefore w:val="0"/>
              <w:kinsoku/>
              <w:wordWrap/>
              <w:overflowPunct w:val="0"/>
              <w:topLinePunct w:val="0"/>
              <w:autoSpaceDE/>
              <w:autoSpaceDN/>
              <w:bidi w:val="0"/>
              <w:adjustRightInd w:val="0"/>
              <w:snapToGrid/>
              <w:spacing w:line="240" w:lineRule="exact"/>
              <w:textAlignment w:val="auto"/>
              <w:rPr>
                <w:rFonts w:hint="default" w:ascii="Arial" w:hAnsi="Arial" w:eastAsia="华文细黑" w:cs="Arial"/>
                <w:sz w:val="18"/>
                <w:szCs w:val="18"/>
              </w:rPr>
            </w:pPr>
            <w:r>
              <w:rPr>
                <w:rFonts w:hint="default" w:ascii="Arial" w:hAnsi="Arial" w:eastAsia="华文细黑" w:cs="Arial"/>
                <w:sz w:val="18"/>
                <w:szCs w:val="18"/>
              </w:rPr>
              <w:t>人文环境：北京印刷学院、北京石油化工学院等人文机构；</w:t>
            </w:r>
          </w:p>
          <w:p>
            <w:pPr>
              <w:keepNext w:val="0"/>
              <w:keepLines w:val="0"/>
              <w:pageBreakBefore w:val="0"/>
              <w:kinsoku/>
              <w:wordWrap/>
              <w:overflowPunct w:val="0"/>
              <w:topLinePunct w:val="0"/>
              <w:autoSpaceDE/>
              <w:autoSpaceDN/>
              <w:bidi w:val="0"/>
              <w:adjustRightInd w:val="0"/>
              <w:snapToGrid/>
              <w:spacing w:line="240" w:lineRule="exact"/>
              <w:textAlignment w:val="auto"/>
              <w:rPr>
                <w:rFonts w:hint="default" w:ascii="Arial" w:hAnsi="Arial" w:eastAsia="华文细黑" w:cs="Arial"/>
                <w:color w:val="E36C0A"/>
                <w:sz w:val="18"/>
                <w:szCs w:val="18"/>
              </w:rPr>
            </w:pPr>
            <w:r>
              <w:rPr>
                <w:rFonts w:hint="default" w:ascii="Arial" w:hAnsi="Arial" w:eastAsia="华文细黑" w:cs="Arial"/>
                <w:sz w:val="18"/>
                <w:szCs w:val="18"/>
              </w:rPr>
              <w:t>综上，自然及人文环境较好。</w:t>
            </w:r>
          </w:p>
        </w:tc>
      </w:tr>
      <w:tr>
        <w:tblPrEx>
          <w:tblBorders>
            <w:top w:val="single" w:color="404040" w:sz="2" w:space="0"/>
            <w:left w:val="single" w:color="404040" w:sz="2" w:space="0"/>
            <w:bottom w:val="single" w:color="404040" w:sz="2" w:space="0"/>
            <w:right w:val="single" w:color="404040" w:sz="2" w:space="0"/>
            <w:insideH w:val="single" w:color="404040" w:sz="2" w:space="0"/>
            <w:insideV w:val="single" w:color="404040" w:sz="2" w:space="0"/>
          </w:tblBorders>
          <w:tblCellMar>
            <w:top w:w="85" w:type="dxa"/>
            <w:left w:w="85" w:type="dxa"/>
            <w:bottom w:w="85" w:type="dxa"/>
            <w:right w:w="85" w:type="dxa"/>
          </w:tblCellMar>
        </w:tblPrEx>
        <w:trPr>
          <w:jc w:val="center"/>
        </w:trPr>
        <w:tc>
          <w:tcPr>
            <w:tcW w:w="2324" w:type="dxa"/>
            <w:vAlign w:val="center"/>
          </w:tcPr>
          <w:p>
            <w:pPr>
              <w:keepNext w:val="0"/>
              <w:keepLines w:val="0"/>
              <w:pageBreakBefore w:val="0"/>
              <w:widowControl/>
              <w:kinsoku/>
              <w:wordWrap/>
              <w:overflowPunct w:val="0"/>
              <w:topLinePunct w:val="0"/>
              <w:autoSpaceDE/>
              <w:autoSpaceDN/>
              <w:bidi w:val="0"/>
              <w:adjustRightInd w:val="0"/>
              <w:snapToGrid/>
              <w:spacing w:line="240" w:lineRule="exact"/>
              <w:textAlignment w:val="auto"/>
              <w:rPr>
                <w:rFonts w:hint="default" w:ascii="Arial" w:hAnsi="Arial" w:eastAsia="华文细黑" w:cs="Arial"/>
                <w:color w:val="000000"/>
                <w:sz w:val="18"/>
                <w:szCs w:val="18"/>
                <w:highlight w:val="yellow"/>
              </w:rPr>
            </w:pPr>
            <w:r>
              <w:rPr>
                <w:rFonts w:hint="default" w:ascii="Arial" w:hAnsi="Arial" w:eastAsia="华文细黑" w:cs="Arial"/>
                <w:color w:val="000000"/>
                <w:sz w:val="18"/>
                <w:szCs w:val="18"/>
              </w:rPr>
              <w:t>道路状况</w:t>
            </w:r>
          </w:p>
        </w:tc>
        <w:tc>
          <w:tcPr>
            <w:tcW w:w="6975" w:type="dxa"/>
            <w:vAlign w:val="center"/>
          </w:tcPr>
          <w:p>
            <w:pPr>
              <w:keepNext w:val="0"/>
              <w:keepLines w:val="0"/>
              <w:pageBreakBefore w:val="0"/>
              <w:kinsoku/>
              <w:wordWrap/>
              <w:overflowPunct w:val="0"/>
              <w:topLinePunct w:val="0"/>
              <w:autoSpaceDE/>
              <w:autoSpaceDN/>
              <w:bidi w:val="0"/>
              <w:adjustRightInd w:val="0"/>
              <w:snapToGrid/>
              <w:spacing w:line="240" w:lineRule="exact"/>
              <w:textAlignment w:val="auto"/>
              <w:rPr>
                <w:rFonts w:hint="default" w:ascii="Arial" w:hAnsi="Arial" w:eastAsia="华文细黑" w:cs="Arial"/>
                <w:color w:val="E36C0A"/>
                <w:sz w:val="18"/>
                <w:szCs w:val="18"/>
              </w:rPr>
            </w:pPr>
            <w:r>
              <w:rPr>
                <w:rFonts w:hint="default" w:ascii="Arial" w:hAnsi="Arial" w:eastAsia="华文细黑" w:cs="Arial"/>
                <w:sz w:val="18"/>
                <w:szCs w:val="18"/>
              </w:rPr>
              <w:t>估价对象所属项目临近康庄路，为城市支路；</w:t>
            </w:r>
          </w:p>
        </w:tc>
      </w:tr>
      <w:tr>
        <w:tblPrEx>
          <w:tblBorders>
            <w:top w:val="single" w:color="404040" w:sz="2" w:space="0"/>
            <w:left w:val="single" w:color="404040" w:sz="2" w:space="0"/>
            <w:bottom w:val="single" w:color="404040" w:sz="2" w:space="0"/>
            <w:right w:val="single" w:color="404040" w:sz="2" w:space="0"/>
            <w:insideH w:val="single" w:color="404040" w:sz="2" w:space="0"/>
            <w:insideV w:val="single" w:color="404040" w:sz="2" w:space="0"/>
          </w:tblBorders>
          <w:tblCellMar>
            <w:top w:w="85" w:type="dxa"/>
            <w:left w:w="85" w:type="dxa"/>
            <w:bottom w:w="85" w:type="dxa"/>
            <w:right w:w="85" w:type="dxa"/>
          </w:tblCellMar>
        </w:tblPrEx>
        <w:trPr>
          <w:jc w:val="center"/>
        </w:trPr>
        <w:tc>
          <w:tcPr>
            <w:tcW w:w="2324" w:type="dxa"/>
            <w:vAlign w:val="center"/>
          </w:tcPr>
          <w:p>
            <w:pPr>
              <w:keepNext w:val="0"/>
              <w:keepLines w:val="0"/>
              <w:pageBreakBefore w:val="0"/>
              <w:widowControl/>
              <w:kinsoku/>
              <w:wordWrap/>
              <w:overflowPunct w:val="0"/>
              <w:topLinePunct w:val="0"/>
              <w:autoSpaceDE/>
              <w:autoSpaceDN/>
              <w:bidi w:val="0"/>
              <w:adjustRightInd w:val="0"/>
              <w:snapToGrid/>
              <w:spacing w:line="240" w:lineRule="exact"/>
              <w:textAlignment w:val="auto"/>
              <w:rPr>
                <w:rFonts w:hint="default" w:ascii="Arial" w:hAnsi="Arial" w:eastAsia="华文细黑" w:cs="Arial"/>
                <w:color w:val="000000"/>
                <w:sz w:val="18"/>
                <w:szCs w:val="18"/>
              </w:rPr>
            </w:pPr>
            <w:r>
              <w:rPr>
                <w:rFonts w:hint="default" w:ascii="Arial" w:hAnsi="Arial" w:eastAsia="华文细黑" w:cs="Arial"/>
                <w:color w:val="000000"/>
                <w:sz w:val="18"/>
                <w:szCs w:val="18"/>
              </w:rPr>
              <w:t>公共服务设施</w:t>
            </w:r>
          </w:p>
        </w:tc>
        <w:tc>
          <w:tcPr>
            <w:tcW w:w="6975" w:type="dxa"/>
            <w:vAlign w:val="center"/>
          </w:tcPr>
          <w:p>
            <w:pPr>
              <w:keepNext w:val="0"/>
              <w:keepLines w:val="0"/>
              <w:pageBreakBefore w:val="0"/>
              <w:kinsoku/>
              <w:wordWrap/>
              <w:overflowPunct w:val="0"/>
              <w:topLinePunct w:val="0"/>
              <w:autoSpaceDE/>
              <w:autoSpaceDN/>
              <w:bidi w:val="0"/>
              <w:adjustRightInd w:val="0"/>
              <w:snapToGrid/>
              <w:spacing w:line="240" w:lineRule="exact"/>
              <w:textAlignment w:val="auto"/>
              <w:rPr>
                <w:rFonts w:hint="default" w:ascii="Arial" w:hAnsi="Arial" w:eastAsia="华文细黑" w:cs="Arial"/>
                <w:color w:val="000000"/>
                <w:sz w:val="18"/>
                <w:szCs w:val="18"/>
              </w:rPr>
            </w:pPr>
            <w:r>
              <w:rPr>
                <w:rFonts w:hint="default" w:ascii="Arial" w:hAnsi="Arial" w:eastAsia="华文细黑" w:cs="Arial"/>
                <w:color w:val="000000"/>
                <w:sz w:val="18"/>
                <w:szCs w:val="18"/>
              </w:rPr>
              <w:t>银行：中国邮政储蓄银行、北京农村商业银行、中国建设银行等金融网点；</w:t>
            </w:r>
          </w:p>
          <w:p>
            <w:pPr>
              <w:keepNext w:val="0"/>
              <w:keepLines w:val="0"/>
              <w:pageBreakBefore w:val="0"/>
              <w:kinsoku/>
              <w:wordWrap/>
              <w:overflowPunct w:val="0"/>
              <w:topLinePunct w:val="0"/>
              <w:autoSpaceDE/>
              <w:autoSpaceDN/>
              <w:bidi w:val="0"/>
              <w:adjustRightInd w:val="0"/>
              <w:snapToGrid/>
              <w:spacing w:line="240" w:lineRule="exact"/>
              <w:textAlignment w:val="auto"/>
              <w:rPr>
                <w:rFonts w:hint="default" w:ascii="Arial" w:hAnsi="Arial" w:eastAsia="华文细黑" w:cs="Arial"/>
                <w:color w:val="000000"/>
                <w:sz w:val="18"/>
                <w:szCs w:val="18"/>
              </w:rPr>
            </w:pPr>
            <w:r>
              <w:rPr>
                <w:rFonts w:hint="default" w:ascii="Arial" w:hAnsi="Arial" w:eastAsia="华文细黑" w:cs="Arial"/>
                <w:color w:val="000000"/>
                <w:sz w:val="18"/>
                <w:szCs w:val="18"/>
              </w:rPr>
              <w:t>医院：北京华中皮肤医院、北京永林医院、北京市大兴区城镇枣园社区卫生服务站等医疗网点；</w:t>
            </w:r>
          </w:p>
          <w:p>
            <w:pPr>
              <w:keepNext w:val="0"/>
              <w:keepLines w:val="0"/>
              <w:pageBreakBefore w:val="0"/>
              <w:kinsoku/>
              <w:wordWrap/>
              <w:overflowPunct w:val="0"/>
              <w:topLinePunct w:val="0"/>
              <w:autoSpaceDE/>
              <w:autoSpaceDN/>
              <w:bidi w:val="0"/>
              <w:adjustRightInd w:val="0"/>
              <w:snapToGrid/>
              <w:spacing w:line="240" w:lineRule="exact"/>
              <w:textAlignment w:val="auto"/>
              <w:rPr>
                <w:rFonts w:hint="default" w:ascii="Arial" w:hAnsi="Arial" w:eastAsia="华文细黑" w:cs="Arial"/>
                <w:color w:val="000000"/>
                <w:sz w:val="18"/>
                <w:szCs w:val="18"/>
              </w:rPr>
            </w:pPr>
            <w:r>
              <w:rPr>
                <w:rFonts w:hint="default" w:ascii="Arial" w:hAnsi="Arial" w:eastAsia="华文细黑" w:cs="Arial"/>
                <w:color w:val="000000"/>
                <w:sz w:val="18"/>
                <w:szCs w:val="18"/>
              </w:rPr>
              <w:t>学校：大兴区第七中学、大兴区第五小学、大兴区第九小学、大兴区第九幼儿园等教育机构；</w:t>
            </w:r>
          </w:p>
          <w:p>
            <w:pPr>
              <w:keepNext w:val="0"/>
              <w:keepLines w:val="0"/>
              <w:pageBreakBefore w:val="0"/>
              <w:kinsoku/>
              <w:wordWrap/>
              <w:overflowPunct w:val="0"/>
              <w:topLinePunct w:val="0"/>
              <w:autoSpaceDE/>
              <w:autoSpaceDN/>
              <w:bidi w:val="0"/>
              <w:adjustRightInd w:val="0"/>
              <w:snapToGrid/>
              <w:spacing w:line="240" w:lineRule="exact"/>
              <w:textAlignment w:val="auto"/>
              <w:rPr>
                <w:rFonts w:hint="default" w:ascii="Arial" w:hAnsi="Arial" w:eastAsia="华文细黑" w:cs="Arial"/>
                <w:color w:val="000000"/>
                <w:sz w:val="18"/>
                <w:szCs w:val="18"/>
              </w:rPr>
            </w:pPr>
            <w:r>
              <w:rPr>
                <w:rFonts w:hint="default" w:ascii="Arial" w:hAnsi="Arial" w:eastAsia="华文细黑" w:cs="Arial"/>
                <w:color w:val="000000"/>
                <w:sz w:val="18"/>
                <w:szCs w:val="18"/>
              </w:rPr>
              <w:t>商业：绿地缤纷城、正光天和商业广场等商业网点；</w:t>
            </w:r>
          </w:p>
          <w:p>
            <w:pPr>
              <w:keepNext w:val="0"/>
              <w:keepLines w:val="0"/>
              <w:pageBreakBefore w:val="0"/>
              <w:kinsoku/>
              <w:wordWrap/>
              <w:overflowPunct w:val="0"/>
              <w:topLinePunct w:val="0"/>
              <w:autoSpaceDE/>
              <w:autoSpaceDN/>
              <w:bidi w:val="0"/>
              <w:adjustRightInd w:val="0"/>
              <w:snapToGrid/>
              <w:spacing w:line="240" w:lineRule="exact"/>
              <w:textAlignment w:val="auto"/>
              <w:rPr>
                <w:rFonts w:hint="default" w:ascii="Arial" w:hAnsi="Arial" w:eastAsia="华文细黑" w:cs="Arial"/>
                <w:color w:val="000000"/>
                <w:sz w:val="18"/>
                <w:szCs w:val="18"/>
              </w:rPr>
            </w:pPr>
            <w:r>
              <w:rPr>
                <w:rFonts w:hint="default" w:ascii="Arial" w:hAnsi="Arial" w:eastAsia="华文细黑" w:cs="Arial"/>
                <w:color w:val="000000"/>
                <w:sz w:val="18"/>
                <w:szCs w:val="18"/>
              </w:rPr>
              <w:t>综上，公共配套设施较好。</w:t>
            </w:r>
          </w:p>
        </w:tc>
      </w:tr>
    </w:tbl>
    <w:p>
      <w:pPr>
        <w:overflowPunct w:val="0"/>
        <w:spacing w:line="480" w:lineRule="auto"/>
        <w:ind w:firstLine="420" w:firstLineChars="200"/>
        <w:jc w:val="both"/>
        <w:textAlignment w:val="auto"/>
        <w:rPr>
          <w:rFonts w:ascii="Arial" w:hAnsi="Arial"/>
          <w:color w:val="E36C0A"/>
          <w:sz w:val="21"/>
          <w:szCs w:val="21"/>
        </w:rPr>
      </w:pPr>
    </w:p>
    <w:p>
      <w:pPr>
        <w:pStyle w:val="3"/>
        <w:numPr>
          <w:ilvl w:val="0"/>
          <w:numId w:val="0"/>
        </w:numPr>
        <w:tabs>
          <w:tab w:val="clear" w:pos="360"/>
        </w:tabs>
        <w:overflowPunct w:val="0"/>
        <w:spacing w:line="480" w:lineRule="auto"/>
        <w:ind w:left="358" w:hanging="358" w:hangingChars="170"/>
        <w:jc w:val="both"/>
        <w:textAlignment w:val="auto"/>
        <w:rPr>
          <w:rFonts w:eastAsia="宋体"/>
          <w:kern w:val="2"/>
          <w:sz w:val="21"/>
          <w:szCs w:val="21"/>
        </w:rPr>
      </w:pPr>
      <w:bookmarkStart w:id="16" w:name="_Toc500322967"/>
      <w:r>
        <w:rPr>
          <w:rFonts w:hint="eastAsia" w:eastAsia="宋体"/>
          <w:kern w:val="2"/>
          <w:sz w:val="21"/>
          <w:szCs w:val="21"/>
        </w:rPr>
        <w:t>五、影响房地产价格因素分析</w:t>
      </w:r>
      <w:bookmarkEnd w:id="16"/>
    </w:p>
    <w:p>
      <w:pPr>
        <w:overflowPunct w:val="0"/>
        <w:spacing w:line="480" w:lineRule="auto"/>
        <w:ind w:firstLine="420" w:firstLineChars="200"/>
        <w:jc w:val="both"/>
        <w:textAlignment w:val="auto"/>
        <w:rPr>
          <w:rFonts w:ascii="Arial" w:hAnsi="Arial" w:cs="Arial"/>
          <w:sz w:val="21"/>
          <w:szCs w:val="21"/>
        </w:rPr>
      </w:pPr>
      <w:r>
        <w:rPr>
          <w:rFonts w:hint="eastAsia" w:ascii="Arial" w:hAnsi="Arial" w:cs="Arial"/>
          <w:sz w:val="21"/>
          <w:szCs w:val="21"/>
        </w:rPr>
        <w:t>1.宏观环境</w:t>
      </w:r>
    </w:p>
    <w:p>
      <w:pPr>
        <w:widowControl/>
        <w:adjustRightInd/>
        <w:spacing w:line="480" w:lineRule="auto"/>
        <w:ind w:firstLine="525" w:firstLineChars="250"/>
        <w:jc w:val="both"/>
        <w:textAlignment w:val="auto"/>
        <w:rPr>
          <w:rFonts w:ascii="Arial" w:hAnsi="Arial"/>
          <w:sz w:val="21"/>
          <w:szCs w:val="21"/>
        </w:rPr>
      </w:pPr>
      <w:r>
        <w:rPr>
          <w:rFonts w:hint="eastAsia" w:ascii="Arial" w:hAnsi="Arial"/>
          <w:sz w:val="21"/>
          <w:szCs w:val="21"/>
        </w:rPr>
        <w:t>根据地区生产总值统一核算结果，上半年北京市实现地区生产总值19228.0亿元，按可比价格计算，同比增长13.4%，比一季度回落3.7个百分点，与2019年同期相比，两年平均增长4.8%，高于一季度0.2个百分点。分产业看，第一产业实现增加值40.4亿元，同比增长1.9%，两年平均下降10.2%；第二产业实现增加值3293.2亿元，同比增长32.5%，两年平均增长12.7%；第三产业实现增加值15894.4亿元，同比增长10.1%，两年平均增长3.3%。</w:t>
      </w:r>
    </w:p>
    <w:p>
      <w:pPr>
        <w:widowControl/>
        <w:adjustRightInd/>
        <w:spacing w:line="480" w:lineRule="auto"/>
        <w:ind w:firstLine="525" w:firstLineChars="250"/>
        <w:jc w:val="both"/>
        <w:textAlignment w:val="auto"/>
        <w:rPr>
          <w:rFonts w:ascii="Arial" w:hAnsi="Arial"/>
          <w:sz w:val="21"/>
          <w:szCs w:val="21"/>
        </w:rPr>
      </w:pPr>
      <w:r>
        <w:rPr>
          <w:rFonts w:hint="eastAsia" w:ascii="Arial" w:hAnsi="Arial"/>
          <w:sz w:val="21"/>
          <w:szCs w:val="21"/>
        </w:rPr>
        <w:t>上半年，北京市固定资产投资（不含农户）同比增长9.2%，两年平均增长3.7%。分产业看，第一产业投资同比下降65.3%，两年平均下降46.1%；第二产业投资同比增长20.5%，两年平均增长31.7%；第三产业投资同比增长9.7%，两年平均增长2.8%。分行业看，制造业投资同比增长31.8%，两年平均增长66.5%，其中高技术制造业投资同比增长38.6%，两年平均增长75.0%；金融业投资同比增长6.6倍，两年平均增长72.4%；教育投资同比增长3.5%，两年平均增长18.5%。分领域看，基础设施投资同比下降12.4%，两年平均下降16.3%；房地产开发投资同比增长18.1%，两年平均增长10.8%。</w:t>
      </w:r>
    </w:p>
    <w:p>
      <w:pPr>
        <w:widowControl/>
        <w:adjustRightInd/>
        <w:spacing w:line="480" w:lineRule="auto"/>
        <w:ind w:firstLine="525" w:firstLineChars="250"/>
        <w:jc w:val="both"/>
        <w:textAlignment w:val="auto"/>
        <w:rPr>
          <w:rFonts w:ascii="Arial" w:hAnsi="Arial"/>
          <w:sz w:val="21"/>
          <w:szCs w:val="21"/>
        </w:rPr>
      </w:pPr>
      <w:r>
        <w:rPr>
          <w:rFonts w:hint="eastAsia" w:ascii="Arial" w:hAnsi="Arial"/>
          <w:sz w:val="21"/>
          <w:szCs w:val="21"/>
        </w:rPr>
        <w:t>截至6月末，北京市商品房施工面积13082.5万平方米，同比增长9.3%，其中住宅施工面积6381.4万平方米，增长12.8%。保障性住房建设稳步推进，新开工面积占商品房新开工面积的49.3%。上半年，全市商品房销售面积488.7万平方米，同比增长65.0%，两年平均增长12.3%。</w:t>
      </w:r>
    </w:p>
    <w:p>
      <w:pPr>
        <w:widowControl/>
        <w:adjustRightInd/>
        <w:spacing w:line="480" w:lineRule="auto"/>
        <w:ind w:firstLine="525" w:firstLineChars="250"/>
        <w:jc w:val="both"/>
        <w:textAlignment w:val="auto"/>
        <w:rPr>
          <w:rFonts w:ascii="Arial" w:hAnsi="Arial" w:cs="宋体"/>
          <w:sz w:val="21"/>
          <w:szCs w:val="21"/>
        </w:rPr>
      </w:pPr>
      <w:r>
        <w:rPr>
          <w:rFonts w:hint="eastAsia" w:ascii="Arial" w:hAnsi="Arial"/>
          <w:sz w:val="21"/>
          <w:szCs w:val="21"/>
        </w:rPr>
        <w:t>总的来看，上半年北京市经济稳步恢复，发展质量继续提升。但国际环境依然错综复杂，不稳定不确定因素较多，国内经济稳定恢复发展的基础仍需巩固。下阶段北京市政府的工作目标是进一步统筹好疫情防控和经济社会发展，保持经济运行在合理区间，持续推动首都高质量发展。</w:t>
      </w:r>
    </w:p>
    <w:p>
      <w:pPr>
        <w:widowControl/>
        <w:overflowPunct w:val="0"/>
        <w:adjustRightInd/>
        <w:spacing w:line="480" w:lineRule="auto"/>
        <w:ind w:firstLine="420" w:firstLineChars="200"/>
        <w:jc w:val="both"/>
        <w:textAlignment w:val="auto"/>
        <w:rPr>
          <w:rFonts w:ascii="Arial" w:hAnsi="Arial"/>
          <w:sz w:val="21"/>
          <w:szCs w:val="21"/>
        </w:rPr>
      </w:pPr>
      <w:r>
        <w:rPr>
          <w:rFonts w:ascii="Arial" w:hAnsi="Arial"/>
          <w:sz w:val="21"/>
          <w:szCs w:val="21"/>
        </w:rPr>
        <w:t>2.</w:t>
      </w:r>
      <w:r>
        <w:rPr>
          <w:rFonts w:hint="eastAsia" w:ascii="Arial" w:hAnsi="Arial"/>
          <w:sz w:val="21"/>
          <w:szCs w:val="21"/>
        </w:rPr>
        <w:t>土地市场</w:t>
      </w:r>
    </w:p>
    <w:p>
      <w:pPr>
        <w:widowControl/>
        <w:overflowPunct w:val="0"/>
        <w:adjustRightInd/>
        <w:spacing w:line="480" w:lineRule="auto"/>
        <w:ind w:firstLine="420" w:firstLineChars="200"/>
        <w:jc w:val="both"/>
        <w:textAlignment w:val="auto"/>
        <w:rPr>
          <w:rFonts w:ascii="Arial" w:hAnsi="Arial"/>
          <w:sz w:val="21"/>
          <w:szCs w:val="21"/>
        </w:rPr>
      </w:pPr>
      <w:r>
        <w:rPr>
          <w:rFonts w:hint="eastAsia" w:ascii="Arial" w:hAnsi="Arial"/>
          <w:sz w:val="21"/>
          <w:szCs w:val="21"/>
        </w:rPr>
        <w:t>（1）土地供求情况</w:t>
      </w:r>
    </w:p>
    <w:p>
      <w:pPr>
        <w:widowControl/>
        <w:overflowPunct w:val="0"/>
        <w:adjustRightInd/>
        <w:spacing w:line="480" w:lineRule="auto"/>
        <w:ind w:firstLine="420" w:firstLineChars="200"/>
        <w:jc w:val="both"/>
        <w:textAlignment w:val="auto"/>
        <w:rPr>
          <w:rFonts w:ascii="Arial" w:hAnsi="Arial"/>
          <w:sz w:val="21"/>
          <w:szCs w:val="21"/>
        </w:rPr>
      </w:pPr>
      <w:r>
        <w:rPr>
          <w:rFonts w:hint="eastAsia" w:ascii="Arial" w:hAnsi="Arial"/>
          <w:sz w:val="21"/>
          <w:szCs w:val="21"/>
        </w:rPr>
        <w:t>2021年上半年北京商品住宅用地（含共有产权房）共推出37宗，累计供应规划建面438.27万平方米，同比增长16%，供应总量达2020年全年供应规模的68%；上半年北京累计成交36宗商品住宅用地（含共有产权房），成交规划建面429.21万平方米，同比增长29%，成交总量达2020年成交规模的71%。</w:t>
      </w:r>
    </w:p>
    <w:p>
      <w:pPr>
        <w:widowControl/>
        <w:overflowPunct w:val="0"/>
        <w:adjustRightInd/>
        <w:spacing w:line="480" w:lineRule="auto"/>
        <w:jc w:val="center"/>
        <w:textAlignment w:val="auto"/>
        <w:rPr>
          <w:rFonts w:ascii="Arial" w:hAnsi="Arial"/>
          <w:sz w:val="21"/>
          <w:szCs w:val="21"/>
        </w:rPr>
      </w:pPr>
      <w:r>
        <w:drawing>
          <wp:inline distT="0" distB="0" distL="114300" distR="114300">
            <wp:extent cx="5899150" cy="1440815"/>
            <wp:effectExtent l="0" t="0" r="6350" b="6985"/>
            <wp:docPr id="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7"/>
                    <pic:cNvPicPr>
                      <a:picLocks noChangeAspect="1"/>
                    </pic:cNvPicPr>
                  </pic:nvPicPr>
                  <pic:blipFill>
                    <a:blip r:embed="rId19"/>
                    <a:stretch>
                      <a:fillRect/>
                    </a:stretch>
                  </pic:blipFill>
                  <pic:spPr>
                    <a:xfrm>
                      <a:off x="0" y="0"/>
                      <a:ext cx="5899150" cy="1440815"/>
                    </a:xfrm>
                    <a:prstGeom prst="rect">
                      <a:avLst/>
                    </a:prstGeom>
                    <a:noFill/>
                    <a:ln>
                      <a:noFill/>
                    </a:ln>
                  </pic:spPr>
                </pic:pic>
              </a:graphicData>
            </a:graphic>
          </wp:inline>
        </w:drawing>
      </w:r>
    </w:p>
    <w:p>
      <w:pPr>
        <w:widowControl/>
        <w:overflowPunct w:val="0"/>
        <w:adjustRightInd/>
        <w:spacing w:line="480" w:lineRule="auto"/>
        <w:ind w:firstLine="420" w:firstLineChars="200"/>
        <w:jc w:val="both"/>
        <w:textAlignment w:val="auto"/>
        <w:rPr>
          <w:rFonts w:ascii="Arial" w:hAnsi="Arial"/>
          <w:sz w:val="21"/>
          <w:szCs w:val="21"/>
        </w:rPr>
      </w:pPr>
      <w:r>
        <w:rPr>
          <w:rFonts w:hint="eastAsia" w:ascii="Arial" w:hAnsi="Arial"/>
          <w:sz w:val="21"/>
          <w:szCs w:val="21"/>
        </w:rPr>
        <w:t>（2）土地成交价格</w:t>
      </w:r>
    </w:p>
    <w:p>
      <w:pPr>
        <w:overflowPunct w:val="0"/>
        <w:spacing w:line="480" w:lineRule="auto"/>
        <w:ind w:firstLine="420" w:firstLineChars="200"/>
        <w:jc w:val="both"/>
        <w:textAlignment w:val="auto"/>
        <w:rPr>
          <w:rFonts w:ascii="Arial" w:hAnsi="Arial"/>
          <w:sz w:val="21"/>
          <w:szCs w:val="21"/>
        </w:rPr>
      </w:pPr>
      <w:r>
        <w:rPr>
          <w:rFonts w:hint="eastAsia" w:ascii="Arial" w:hAnsi="Arial"/>
          <w:sz w:val="21"/>
          <w:szCs w:val="21"/>
        </w:rPr>
        <w:t>2021年上半年，北京住宅用地整体成交楼面均价为30785元/平方米，同比下降9%。一方面，北京逐步落实“房地联动，一地一策”机制，并通过两集中多元土拍规则对地价进行严控，使得整体溢价率保持低位；另一方面，2020年同期不限价、优质地块增加，推高整体成交楼面均价，导致整体成交楼面价均价基数较高。</w:t>
      </w:r>
    </w:p>
    <w:p>
      <w:pPr>
        <w:overflowPunct w:val="0"/>
        <w:spacing w:line="480" w:lineRule="auto"/>
        <w:jc w:val="center"/>
        <w:textAlignment w:val="auto"/>
        <w:rPr>
          <w:rFonts w:ascii="Arial" w:hAnsi="Arial" w:cs="Arial"/>
          <w:sz w:val="21"/>
          <w:szCs w:val="21"/>
          <w:highlight w:val="lightGray"/>
        </w:rPr>
      </w:pPr>
      <w:r>
        <w:drawing>
          <wp:inline distT="0" distB="0" distL="114300" distR="114300">
            <wp:extent cx="4064000" cy="2129790"/>
            <wp:effectExtent l="0" t="0" r="12700" b="3810"/>
            <wp:docPr id="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8"/>
                    <pic:cNvPicPr>
                      <a:picLocks noChangeAspect="1"/>
                    </pic:cNvPicPr>
                  </pic:nvPicPr>
                  <pic:blipFill>
                    <a:blip r:embed="rId20"/>
                    <a:stretch>
                      <a:fillRect/>
                    </a:stretch>
                  </pic:blipFill>
                  <pic:spPr>
                    <a:xfrm>
                      <a:off x="0" y="0"/>
                      <a:ext cx="4064000" cy="2129790"/>
                    </a:xfrm>
                    <a:prstGeom prst="rect">
                      <a:avLst/>
                    </a:prstGeom>
                    <a:noFill/>
                    <a:ln>
                      <a:noFill/>
                    </a:ln>
                  </pic:spPr>
                </pic:pic>
              </a:graphicData>
            </a:graphic>
          </wp:inline>
        </w:drawing>
      </w:r>
    </w:p>
    <w:p>
      <w:pPr>
        <w:overflowPunct w:val="0"/>
        <w:spacing w:line="480" w:lineRule="auto"/>
        <w:ind w:firstLine="420" w:firstLineChars="200"/>
        <w:jc w:val="both"/>
        <w:textAlignment w:val="auto"/>
        <w:rPr>
          <w:rFonts w:ascii="Arial" w:hAnsi="Arial"/>
          <w:sz w:val="21"/>
        </w:rPr>
      </w:pPr>
      <w:r>
        <w:rPr>
          <w:rFonts w:hint="eastAsia" w:ascii="Arial" w:hAnsi="Arial" w:cs="宋体"/>
          <w:sz w:val="21"/>
          <w:szCs w:val="21"/>
        </w:rPr>
        <w:t>（</w:t>
      </w:r>
      <w:r>
        <w:rPr>
          <w:rFonts w:hint="eastAsia" w:ascii="Arial" w:hAnsi="Arial"/>
          <w:sz w:val="21"/>
        </w:rPr>
        <w:t>3</w:t>
      </w:r>
      <w:r>
        <w:rPr>
          <w:rFonts w:hint="eastAsia" w:ascii="Arial" w:hAnsi="Arial" w:cs="宋体"/>
          <w:sz w:val="21"/>
          <w:szCs w:val="21"/>
        </w:rPr>
        <w:t>）区域成交情况</w:t>
      </w:r>
    </w:p>
    <w:p>
      <w:pPr>
        <w:spacing w:line="480" w:lineRule="auto"/>
        <w:ind w:firstLine="420" w:firstLineChars="200"/>
        <w:jc w:val="both"/>
        <w:rPr>
          <w:rFonts w:ascii="Arial" w:hAnsi="Arial"/>
          <w:sz w:val="21"/>
        </w:rPr>
      </w:pPr>
      <w:r>
        <w:rPr>
          <w:rFonts w:hint="eastAsia" w:ascii="Arial" w:hAnsi="Arial"/>
          <w:sz w:val="21"/>
        </w:rPr>
        <w:t>2021年上半年近郊六区仍为北京住宅用地成交主力区域，累计成交规模236.01万平方米，占比55%，其中大兴、顺义、通州为成交主力区域，累计成交规模均超50万平方米；中心城区成交规模157.16万平方米，朝阳为成交主力区，累计成交规模94.97万平方米；远郊四区成交规模36.05万平方米，其中怀柔成交规模21.17万平方米，为远郊成交最多区域，平谷上半年没有住宅用地成交。</w:t>
      </w:r>
    </w:p>
    <w:p>
      <w:pPr>
        <w:spacing w:line="480" w:lineRule="auto"/>
        <w:jc w:val="center"/>
        <w:rPr>
          <w:rFonts w:ascii="Arial" w:hAnsi="Arial" w:cs="Arial"/>
          <w:sz w:val="21"/>
          <w:szCs w:val="21"/>
          <w:highlight w:val="lightGray"/>
        </w:rPr>
      </w:pPr>
      <w:r>
        <w:drawing>
          <wp:inline distT="0" distB="0" distL="114300" distR="114300">
            <wp:extent cx="5909945" cy="1785620"/>
            <wp:effectExtent l="0" t="0" r="14605" b="5080"/>
            <wp:docPr id="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9"/>
                    <pic:cNvPicPr>
                      <a:picLocks noChangeAspect="1"/>
                    </pic:cNvPicPr>
                  </pic:nvPicPr>
                  <pic:blipFill>
                    <a:blip r:embed="rId21"/>
                    <a:stretch>
                      <a:fillRect/>
                    </a:stretch>
                  </pic:blipFill>
                  <pic:spPr>
                    <a:xfrm>
                      <a:off x="0" y="0"/>
                      <a:ext cx="5909945" cy="1785620"/>
                    </a:xfrm>
                    <a:prstGeom prst="rect">
                      <a:avLst/>
                    </a:prstGeom>
                    <a:noFill/>
                    <a:ln>
                      <a:noFill/>
                    </a:ln>
                  </pic:spPr>
                </pic:pic>
              </a:graphicData>
            </a:graphic>
          </wp:inline>
        </w:drawing>
      </w:r>
    </w:p>
    <w:p>
      <w:pPr>
        <w:spacing w:line="480" w:lineRule="auto"/>
        <w:ind w:firstLine="420" w:firstLineChars="200"/>
        <w:rPr>
          <w:rFonts w:ascii="Arial" w:hAnsi="Arial" w:cs="Arial"/>
          <w:sz w:val="21"/>
          <w:szCs w:val="21"/>
        </w:rPr>
      </w:pPr>
      <w:r>
        <w:rPr>
          <w:rFonts w:hint="eastAsia" w:ascii="Arial" w:hAnsi="Arial" w:cs="Arial"/>
          <w:sz w:val="21"/>
          <w:szCs w:val="21"/>
        </w:rPr>
        <w:t>成交楼面均价方面，中心城区楼面均价相对较高，海淀、石景山、朝阳成交楼面均价在4万元/平方米以上，且高于北京整体楼面均价，其中海淀树村成交的2宗宅地楼面价超过6万/平方米。石景山衙门口及北辛安地块，朝阳东坝、金盏、崔各庄宅地，成交楼面均价突破4万元/平方米。从楼面均价变化来看，中心城区的海淀、石景山成交楼面价同比涨幅较大，涨幅均超过40%，丰台成交楼面价同比领跌，跌幅达53%。</w:t>
      </w:r>
    </w:p>
    <w:p>
      <w:pPr>
        <w:spacing w:line="480" w:lineRule="auto"/>
        <w:ind w:firstLine="420" w:firstLineChars="200"/>
        <w:rPr>
          <w:rFonts w:ascii="Arial" w:hAnsi="Arial" w:cs="Arial"/>
          <w:sz w:val="21"/>
          <w:szCs w:val="21"/>
        </w:rPr>
      </w:pPr>
      <w:r>
        <w:rPr>
          <w:rFonts w:hint="eastAsia" w:ascii="Arial" w:hAnsi="Arial" w:cs="Arial"/>
          <w:sz w:val="21"/>
          <w:szCs w:val="21"/>
        </w:rPr>
        <w:t>溢价率方面，各区域整体溢价率保持低位运行。近郊中顺义平均溢价率达19%，为北京上半年宅地市场热度最高区域，其次为远郊区密云，平均溢价率达15%，门头沟、怀柔均以底价成交。</w:t>
      </w:r>
    </w:p>
    <w:p>
      <w:pPr>
        <w:spacing w:line="480" w:lineRule="auto"/>
        <w:jc w:val="center"/>
        <w:rPr>
          <w:rFonts w:ascii="Arial" w:hAnsi="Arial" w:cs="Arial"/>
          <w:sz w:val="21"/>
          <w:szCs w:val="21"/>
        </w:rPr>
      </w:pPr>
      <w:r>
        <w:drawing>
          <wp:inline distT="0" distB="0" distL="114300" distR="114300">
            <wp:extent cx="5898515" cy="1805305"/>
            <wp:effectExtent l="0" t="0" r="6985" b="4445"/>
            <wp:docPr id="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0"/>
                    <pic:cNvPicPr>
                      <a:picLocks noChangeAspect="1"/>
                    </pic:cNvPicPr>
                  </pic:nvPicPr>
                  <pic:blipFill>
                    <a:blip r:embed="rId22"/>
                    <a:stretch>
                      <a:fillRect/>
                    </a:stretch>
                  </pic:blipFill>
                  <pic:spPr>
                    <a:xfrm>
                      <a:off x="0" y="0"/>
                      <a:ext cx="5898515" cy="1805305"/>
                    </a:xfrm>
                    <a:prstGeom prst="rect">
                      <a:avLst/>
                    </a:prstGeom>
                    <a:noFill/>
                    <a:ln>
                      <a:noFill/>
                    </a:ln>
                  </pic:spPr>
                </pic:pic>
              </a:graphicData>
            </a:graphic>
          </wp:inline>
        </w:drawing>
      </w:r>
    </w:p>
    <w:p>
      <w:pPr>
        <w:spacing w:line="480" w:lineRule="auto"/>
        <w:ind w:firstLine="420" w:firstLineChars="200"/>
        <w:rPr>
          <w:rFonts w:ascii="宋体" w:cs="宋体"/>
          <w:sz w:val="21"/>
          <w:szCs w:val="21"/>
        </w:rPr>
      </w:pPr>
      <w:r>
        <w:rPr>
          <w:rFonts w:hint="eastAsia" w:ascii="Arial" w:hAnsi="Arial" w:cs="Arial"/>
          <w:sz w:val="21"/>
          <w:szCs w:val="21"/>
        </w:rPr>
        <w:t>（4</w:t>
      </w:r>
      <w:r>
        <w:rPr>
          <w:rFonts w:hint="eastAsia" w:ascii="宋体" w:hAnsi="宋体" w:cs="宋体"/>
          <w:sz w:val="21"/>
          <w:szCs w:val="21"/>
        </w:rPr>
        <w:t>）集中供地</w:t>
      </w:r>
    </w:p>
    <w:p>
      <w:pPr>
        <w:overflowPunct w:val="0"/>
        <w:spacing w:line="480" w:lineRule="auto"/>
        <w:ind w:firstLine="420" w:firstLineChars="200"/>
        <w:jc w:val="both"/>
        <w:textAlignment w:val="auto"/>
        <w:rPr>
          <w:rFonts w:ascii="Arial" w:hAnsi="Arial" w:cs="Arial"/>
          <w:sz w:val="21"/>
          <w:szCs w:val="21"/>
        </w:rPr>
      </w:pPr>
      <w:r>
        <w:rPr>
          <w:rFonts w:hint="eastAsia" w:ascii="Arial" w:hAnsi="Arial" w:cs="Arial"/>
          <w:sz w:val="21"/>
          <w:szCs w:val="21"/>
        </w:rPr>
        <w:t>2021年3月31日北京市规自委和市住建委联合发布了2021年度第一批次商品住宅用地出让公告，共推出30宗地块，土地面积约169公顷，建筑规模约345万平方米，同时公布了2021年度北京后两批住宅用地的集中供应时间，分别将于7月左右和11月左右发布出让公告。</w:t>
      </w:r>
    </w:p>
    <w:p>
      <w:pPr>
        <w:overflowPunct w:val="0"/>
        <w:spacing w:line="480" w:lineRule="auto"/>
        <w:jc w:val="both"/>
        <w:textAlignment w:val="auto"/>
        <w:rPr>
          <w:rFonts w:ascii="Arial" w:hAnsi="Arial" w:cs="Arial"/>
          <w:sz w:val="21"/>
          <w:szCs w:val="21"/>
        </w:rPr>
      </w:pPr>
      <w:r>
        <w:drawing>
          <wp:inline distT="0" distB="0" distL="114300" distR="114300">
            <wp:extent cx="5905500" cy="4749165"/>
            <wp:effectExtent l="0" t="0" r="0" b="13335"/>
            <wp:docPr id="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1"/>
                    <pic:cNvPicPr>
                      <a:picLocks noChangeAspect="1"/>
                    </pic:cNvPicPr>
                  </pic:nvPicPr>
                  <pic:blipFill>
                    <a:blip r:embed="rId23"/>
                    <a:stretch>
                      <a:fillRect/>
                    </a:stretch>
                  </pic:blipFill>
                  <pic:spPr>
                    <a:xfrm>
                      <a:off x="0" y="0"/>
                      <a:ext cx="5905500" cy="4749165"/>
                    </a:xfrm>
                    <a:prstGeom prst="rect">
                      <a:avLst/>
                    </a:prstGeom>
                    <a:noFill/>
                    <a:ln>
                      <a:noFill/>
                    </a:ln>
                  </pic:spPr>
                </pic:pic>
              </a:graphicData>
            </a:graphic>
          </wp:inline>
        </w:drawing>
      </w:r>
    </w:p>
    <w:p>
      <w:pPr>
        <w:overflowPunct w:val="0"/>
        <w:spacing w:line="480" w:lineRule="auto"/>
        <w:ind w:firstLine="420" w:firstLineChars="200"/>
        <w:jc w:val="both"/>
        <w:textAlignment w:val="auto"/>
        <w:rPr>
          <w:rFonts w:ascii="Arial" w:hAnsi="Arial" w:cs="Arial"/>
          <w:sz w:val="21"/>
          <w:szCs w:val="21"/>
        </w:rPr>
      </w:pPr>
      <w:r>
        <w:rPr>
          <w:rFonts w:hint="eastAsia" w:ascii="Arial" w:hAnsi="Arial" w:cs="Arial"/>
          <w:sz w:val="21"/>
          <w:szCs w:val="21"/>
        </w:rPr>
        <w:t>2021年北京首批集中供地规模占全年计划供地33%；涉及12个区域，中心城区、多点及副中心地区、生态涵养区规划建面占比分别为44%、44%、12%；加大了朝阳、昌平供应比例，减少了顺义、海淀、石景山供应比例。首批供应地块均设置地价上限，重启了竟配建公租房出让方式，弱化公产房和限竞房出让方式，并推出了“竞政府持有共有产权份额”和“竞建按高品质住宅”的出让方式。设置了高标准商品住房投报环节，首次引入房屋销售价格引导机制，户型限制条件将“套型面积”调整为“套均面积”，近2/3的项目执行套内“70/90”要求。</w:t>
      </w:r>
    </w:p>
    <w:p>
      <w:pPr>
        <w:overflowPunct w:val="0"/>
        <w:spacing w:line="480" w:lineRule="auto"/>
        <w:ind w:firstLine="420" w:firstLineChars="200"/>
        <w:jc w:val="both"/>
        <w:textAlignment w:val="auto"/>
        <w:rPr>
          <w:rFonts w:ascii="Arial" w:hAnsi="Arial" w:cs="Arial"/>
          <w:sz w:val="21"/>
          <w:szCs w:val="21"/>
        </w:rPr>
      </w:pPr>
      <w:r>
        <w:rPr>
          <w:rFonts w:hint="eastAsia" w:ascii="Arial" w:hAnsi="Arial" w:cs="Arial"/>
          <w:sz w:val="21"/>
          <w:szCs w:val="21"/>
        </w:rPr>
        <w:t>此次集中供地在区域供应结构、土地供应规模及土地出让方式上都做出了综合性考量，真正落地实施“房地联动、一地一策”机制，从供、销两端实现联动引导，将在一定程度上遏制非理性拿地行为，落实“稳地价、稳房价、稳预期”的三稳政策。同时，此次集中供地在户型限制上也适当做出了调整，将“套型面积”调整为“套内面积”，为房企户型设计灵活度、住宅品质提升方面预留了合理空间，在“重调控”、“强保障”和“稳品质”上寻求了一定的平衡。</w:t>
      </w:r>
    </w:p>
    <w:p>
      <w:pPr>
        <w:overflowPunct w:val="0"/>
        <w:spacing w:line="480" w:lineRule="auto"/>
        <w:ind w:firstLine="420" w:firstLineChars="200"/>
        <w:jc w:val="both"/>
        <w:textAlignment w:val="auto"/>
        <w:rPr>
          <w:rFonts w:ascii="Arial" w:hAnsi="Arial"/>
          <w:sz w:val="21"/>
          <w:szCs w:val="28"/>
        </w:rPr>
      </w:pPr>
      <w:r>
        <w:rPr>
          <w:rFonts w:hint="eastAsia" w:ascii="Arial" w:hAnsi="Arial"/>
          <w:sz w:val="21"/>
          <w:szCs w:val="28"/>
        </w:rPr>
        <w:t>3.商品房住宅市场</w:t>
      </w:r>
    </w:p>
    <w:p>
      <w:pPr>
        <w:overflowPunct w:val="0"/>
        <w:spacing w:line="480" w:lineRule="auto"/>
        <w:ind w:firstLine="420" w:firstLineChars="200"/>
        <w:jc w:val="both"/>
        <w:textAlignment w:val="auto"/>
        <w:rPr>
          <w:rFonts w:ascii="Arial" w:hAnsi="Arial"/>
          <w:sz w:val="21"/>
          <w:szCs w:val="28"/>
        </w:rPr>
      </w:pPr>
      <w:r>
        <w:rPr>
          <w:rFonts w:hint="eastAsia" w:ascii="Arial" w:hAnsi="Arial"/>
          <w:sz w:val="21"/>
          <w:szCs w:val="28"/>
        </w:rPr>
        <w:t>（1）商品住宅供给状况</w:t>
      </w:r>
    </w:p>
    <w:p>
      <w:pPr>
        <w:overflowPunct w:val="0"/>
        <w:spacing w:line="480" w:lineRule="auto"/>
        <w:ind w:firstLine="420" w:firstLineChars="200"/>
        <w:jc w:val="both"/>
        <w:textAlignment w:val="auto"/>
        <w:rPr>
          <w:rFonts w:ascii="Arial" w:hAnsi="Arial"/>
          <w:sz w:val="21"/>
        </w:rPr>
      </w:pPr>
      <w:r>
        <w:rPr>
          <w:rFonts w:hint="eastAsia" w:ascii="Arial" w:hAnsi="Arial"/>
          <w:sz w:val="21"/>
        </w:rPr>
        <w:t>2021年一季度在前期热点片区情绪高涨带动下、就地过年倡导背景下，房企在京积极推售和营销，3月进入传统销售旺季，新房供应节奏进一步加快，累计供应规模仅80万平方米；二季度初期，北京新房供应保持高供应节奏，但中下旬供应量明显缩减，上半年商品住宅（不含保障房）累计供应487.69万平方米，同比增长42%，创近五年同期新高。2021年上半年商品住宅市场供销比为1.04，同比上升0.42个点，整体处于供求弱平衡状态。</w:t>
      </w:r>
    </w:p>
    <w:p>
      <w:pPr>
        <w:overflowPunct w:val="0"/>
        <w:spacing w:line="480" w:lineRule="auto"/>
        <w:jc w:val="center"/>
        <w:textAlignment w:val="auto"/>
        <w:rPr>
          <w:rFonts w:ascii="Arial" w:hAnsi="Arial"/>
          <w:sz w:val="21"/>
          <w:highlight w:val="lightGray"/>
        </w:rPr>
      </w:pPr>
      <w:r>
        <w:drawing>
          <wp:inline distT="0" distB="0" distL="114300" distR="114300">
            <wp:extent cx="5910580" cy="1748790"/>
            <wp:effectExtent l="0" t="0" r="13970" b="3810"/>
            <wp:docPr id="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2"/>
                    <pic:cNvPicPr>
                      <a:picLocks noChangeAspect="1"/>
                    </pic:cNvPicPr>
                  </pic:nvPicPr>
                  <pic:blipFill>
                    <a:blip r:embed="rId24"/>
                    <a:stretch>
                      <a:fillRect/>
                    </a:stretch>
                  </pic:blipFill>
                  <pic:spPr>
                    <a:xfrm>
                      <a:off x="0" y="0"/>
                      <a:ext cx="5910580" cy="1748790"/>
                    </a:xfrm>
                    <a:prstGeom prst="rect">
                      <a:avLst/>
                    </a:prstGeom>
                    <a:noFill/>
                    <a:ln>
                      <a:noFill/>
                    </a:ln>
                  </pic:spPr>
                </pic:pic>
              </a:graphicData>
            </a:graphic>
          </wp:inline>
        </w:drawing>
      </w:r>
    </w:p>
    <w:p>
      <w:pPr>
        <w:overflowPunct w:val="0"/>
        <w:spacing w:line="480" w:lineRule="auto"/>
        <w:ind w:firstLine="420" w:firstLineChars="200"/>
        <w:jc w:val="both"/>
        <w:textAlignment w:val="auto"/>
        <w:rPr>
          <w:rFonts w:ascii="Arial" w:hAnsi="Arial"/>
          <w:sz w:val="21"/>
          <w:szCs w:val="28"/>
        </w:rPr>
      </w:pPr>
      <w:r>
        <w:rPr>
          <w:rFonts w:hint="eastAsia" w:ascii="Arial" w:hAnsi="Arial"/>
          <w:sz w:val="21"/>
          <w:szCs w:val="28"/>
        </w:rPr>
        <w:t>截至6月底，北京商品住宅（不含保障房）库存量为1153.89万平方米，较去年同期微降1%；上半年商品住宅供应节奏及销售去化速度均较快，库存规模相对平稳，库存出清周期维持在13.7个月（6月底出清周期），结构性库存风险仍存在。</w:t>
      </w:r>
    </w:p>
    <w:p>
      <w:pPr>
        <w:overflowPunct w:val="0"/>
        <w:spacing w:line="480" w:lineRule="auto"/>
        <w:jc w:val="center"/>
        <w:textAlignment w:val="auto"/>
        <w:rPr>
          <w:rFonts w:ascii="Arial" w:hAnsi="Arial"/>
          <w:sz w:val="21"/>
          <w:szCs w:val="28"/>
          <w:highlight w:val="lightGray"/>
        </w:rPr>
      </w:pPr>
      <w:r>
        <w:drawing>
          <wp:inline distT="0" distB="0" distL="114300" distR="114300">
            <wp:extent cx="5904865" cy="1848485"/>
            <wp:effectExtent l="0" t="0" r="635" b="18415"/>
            <wp:docPr id="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3"/>
                    <pic:cNvPicPr>
                      <a:picLocks noChangeAspect="1"/>
                    </pic:cNvPicPr>
                  </pic:nvPicPr>
                  <pic:blipFill>
                    <a:blip r:embed="rId25"/>
                    <a:stretch>
                      <a:fillRect/>
                    </a:stretch>
                  </pic:blipFill>
                  <pic:spPr>
                    <a:xfrm>
                      <a:off x="0" y="0"/>
                      <a:ext cx="5904865" cy="1848485"/>
                    </a:xfrm>
                    <a:prstGeom prst="rect">
                      <a:avLst/>
                    </a:prstGeom>
                    <a:noFill/>
                    <a:ln>
                      <a:noFill/>
                    </a:ln>
                  </pic:spPr>
                </pic:pic>
              </a:graphicData>
            </a:graphic>
          </wp:inline>
        </w:drawing>
      </w:r>
    </w:p>
    <w:p>
      <w:pPr>
        <w:overflowPunct w:val="0"/>
        <w:spacing w:line="480" w:lineRule="auto"/>
        <w:ind w:firstLine="420" w:firstLineChars="200"/>
        <w:jc w:val="both"/>
        <w:textAlignment w:val="auto"/>
        <w:rPr>
          <w:rFonts w:ascii="Arial" w:hAnsi="Arial"/>
          <w:bCs/>
          <w:sz w:val="21"/>
          <w:szCs w:val="28"/>
        </w:rPr>
      </w:pPr>
      <w:r>
        <w:rPr>
          <w:rFonts w:hint="eastAsia" w:ascii="Arial" w:hAnsi="Arial"/>
          <w:sz w:val="21"/>
          <w:szCs w:val="28"/>
        </w:rPr>
        <w:t>（2）商品</w:t>
      </w:r>
      <w:r>
        <w:rPr>
          <w:rFonts w:hint="eastAsia" w:ascii="Arial" w:hAnsi="Arial"/>
          <w:bCs/>
          <w:sz w:val="21"/>
          <w:szCs w:val="28"/>
        </w:rPr>
        <w:t>住宅成交情况</w:t>
      </w:r>
    </w:p>
    <w:p>
      <w:pPr>
        <w:tabs>
          <w:tab w:val="left" w:pos="426"/>
        </w:tabs>
        <w:overflowPunct w:val="0"/>
        <w:spacing w:line="480" w:lineRule="auto"/>
        <w:ind w:firstLine="420" w:firstLineChars="200"/>
        <w:jc w:val="both"/>
        <w:textAlignment w:val="auto"/>
        <w:rPr>
          <w:rFonts w:ascii="Arial" w:hAnsi="Arial"/>
          <w:sz w:val="21"/>
        </w:rPr>
      </w:pPr>
      <w:r>
        <w:rPr>
          <w:rFonts w:hint="eastAsia" w:ascii="Arial" w:hAnsi="Arial"/>
          <w:sz w:val="21"/>
        </w:rPr>
        <w:t>1）成交量</w:t>
      </w:r>
    </w:p>
    <w:p>
      <w:pPr>
        <w:tabs>
          <w:tab w:val="left" w:pos="426"/>
        </w:tabs>
        <w:overflowPunct w:val="0"/>
        <w:spacing w:line="480" w:lineRule="auto"/>
        <w:ind w:firstLine="420" w:firstLineChars="200"/>
        <w:jc w:val="both"/>
        <w:textAlignment w:val="auto"/>
        <w:rPr>
          <w:rFonts w:ascii="Arial" w:hAnsi="Arial"/>
          <w:sz w:val="21"/>
        </w:rPr>
      </w:pPr>
      <w:r>
        <w:rPr>
          <w:rFonts w:hint="eastAsia" w:ascii="Arial" w:hAnsi="Arial"/>
          <w:sz w:val="21"/>
        </w:rPr>
        <w:t>2021年一季度在“就地过年”、热点片区学区房成交带动、信贷预期收紧、供应端改善等多因素共同推动影响下，商品住宅成交规模同比涨幅超200%。二季度在新一轮市场秩序整治下，新房市场情绪比较平稳，刚需释放较快，商品住宅成交规模快速回升，6月单月成交规模超120万平方米，刷新近两年单月成交规模新高，上半年累计成交505.51万平方米，同比增长136%，创近五年同期新高。</w:t>
      </w:r>
    </w:p>
    <w:p>
      <w:pPr>
        <w:tabs>
          <w:tab w:val="left" w:pos="426"/>
        </w:tabs>
        <w:overflowPunct w:val="0"/>
        <w:spacing w:line="480" w:lineRule="auto"/>
        <w:jc w:val="center"/>
        <w:textAlignment w:val="auto"/>
        <w:rPr>
          <w:rFonts w:ascii="Arial" w:hAnsi="Arial"/>
          <w:sz w:val="21"/>
          <w:highlight w:val="lightGray"/>
        </w:rPr>
      </w:pPr>
      <w:r>
        <w:drawing>
          <wp:inline distT="0" distB="0" distL="114300" distR="114300">
            <wp:extent cx="5905500" cy="1873250"/>
            <wp:effectExtent l="0" t="0" r="0" b="12700"/>
            <wp:docPr id="1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4"/>
                    <pic:cNvPicPr>
                      <a:picLocks noChangeAspect="1"/>
                    </pic:cNvPicPr>
                  </pic:nvPicPr>
                  <pic:blipFill>
                    <a:blip r:embed="rId26"/>
                    <a:stretch>
                      <a:fillRect/>
                    </a:stretch>
                  </pic:blipFill>
                  <pic:spPr>
                    <a:xfrm>
                      <a:off x="0" y="0"/>
                      <a:ext cx="5905500" cy="1873250"/>
                    </a:xfrm>
                    <a:prstGeom prst="rect">
                      <a:avLst/>
                    </a:prstGeom>
                    <a:noFill/>
                    <a:ln>
                      <a:noFill/>
                    </a:ln>
                  </pic:spPr>
                </pic:pic>
              </a:graphicData>
            </a:graphic>
          </wp:inline>
        </w:drawing>
      </w:r>
    </w:p>
    <w:p>
      <w:pPr>
        <w:overflowPunct w:val="0"/>
        <w:spacing w:line="480" w:lineRule="auto"/>
        <w:ind w:firstLine="420" w:firstLineChars="200"/>
        <w:textAlignment w:val="auto"/>
        <w:rPr>
          <w:rFonts w:ascii="Arial" w:hAnsi="Arial"/>
          <w:sz w:val="21"/>
        </w:rPr>
      </w:pPr>
      <w:r>
        <w:rPr>
          <w:rFonts w:hint="eastAsia" w:ascii="Arial" w:hAnsi="Arial"/>
          <w:sz w:val="21"/>
        </w:rPr>
        <w:t>2）成交价格</w:t>
      </w:r>
    </w:p>
    <w:p>
      <w:pPr>
        <w:overflowPunct w:val="0"/>
        <w:spacing w:line="480" w:lineRule="auto"/>
        <w:ind w:firstLine="420" w:firstLineChars="200"/>
        <w:textAlignment w:val="auto"/>
        <w:rPr>
          <w:rFonts w:ascii="Arial" w:hAnsi="Arial"/>
          <w:sz w:val="21"/>
          <w:szCs w:val="28"/>
        </w:rPr>
      </w:pPr>
      <w:r>
        <w:rPr>
          <w:rFonts w:hint="eastAsia" w:ascii="Arial" w:hAnsi="Arial"/>
          <w:sz w:val="21"/>
          <w:szCs w:val="28"/>
        </w:rPr>
        <w:t>A.成交价格</w:t>
      </w:r>
    </w:p>
    <w:p>
      <w:pPr>
        <w:overflowPunct w:val="0"/>
        <w:spacing w:line="480" w:lineRule="auto"/>
        <w:ind w:firstLine="420" w:firstLineChars="200"/>
        <w:textAlignment w:val="auto"/>
        <w:rPr>
          <w:rFonts w:ascii="Arial" w:hAnsi="Arial"/>
          <w:sz w:val="21"/>
          <w:szCs w:val="28"/>
        </w:rPr>
      </w:pPr>
      <w:r>
        <w:rPr>
          <w:rFonts w:hint="eastAsia" w:ascii="Arial" w:hAnsi="Arial"/>
          <w:sz w:val="21"/>
          <w:szCs w:val="28"/>
        </w:rPr>
        <w:t>整体来看，上半年北京商品住宅成交均价为47266元/平方米，同比小幅回调5%，环比小幅走高3%。一方面，上半年在新入市项目价格走高刺激下，限竞房、共有产权房及刚需产品等低价项目去化速度加快，拉低整体成交均价；另一方面，受北京豪宅项目集中成交影响，2020年上半年商品住宅成交均价基数相对较高。伴随不限价地块项目逐步入市、改善型项目成交不断增加，未来短期市场价格或将回升，但在政策严控、房地联动、引入房屋销售价格机制等多因素综合影响下，预计后期市场价格结构性回升幅度恐将有限。</w:t>
      </w:r>
    </w:p>
    <w:p>
      <w:pPr>
        <w:overflowPunct w:val="0"/>
        <w:spacing w:line="480" w:lineRule="auto"/>
        <w:jc w:val="center"/>
        <w:textAlignment w:val="auto"/>
        <w:rPr>
          <w:rFonts w:ascii="Arial" w:hAnsi="Arial"/>
          <w:sz w:val="21"/>
          <w:szCs w:val="28"/>
          <w:highlight w:val="lightGray"/>
        </w:rPr>
      </w:pPr>
      <w:r>
        <w:drawing>
          <wp:inline distT="0" distB="0" distL="114300" distR="114300">
            <wp:extent cx="5911215" cy="1768475"/>
            <wp:effectExtent l="0" t="0" r="13335" b="3175"/>
            <wp:docPr id="1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5"/>
                    <pic:cNvPicPr>
                      <a:picLocks noChangeAspect="1"/>
                    </pic:cNvPicPr>
                  </pic:nvPicPr>
                  <pic:blipFill>
                    <a:blip r:embed="rId27"/>
                    <a:stretch>
                      <a:fillRect/>
                    </a:stretch>
                  </pic:blipFill>
                  <pic:spPr>
                    <a:xfrm>
                      <a:off x="0" y="0"/>
                      <a:ext cx="5911215" cy="1768475"/>
                    </a:xfrm>
                    <a:prstGeom prst="rect">
                      <a:avLst/>
                    </a:prstGeom>
                    <a:noFill/>
                    <a:ln>
                      <a:noFill/>
                    </a:ln>
                  </pic:spPr>
                </pic:pic>
              </a:graphicData>
            </a:graphic>
          </wp:inline>
        </w:drawing>
      </w:r>
    </w:p>
    <w:p>
      <w:pPr>
        <w:overflowPunct w:val="0"/>
        <w:spacing w:line="480" w:lineRule="auto"/>
        <w:ind w:firstLine="420" w:firstLineChars="200"/>
        <w:textAlignment w:val="auto"/>
        <w:rPr>
          <w:rFonts w:ascii="Arial" w:hAnsi="Arial"/>
          <w:sz w:val="21"/>
          <w:szCs w:val="28"/>
        </w:rPr>
      </w:pPr>
      <w:r>
        <w:rPr>
          <w:rFonts w:hint="eastAsia" w:ascii="Arial" w:hAnsi="Arial"/>
          <w:sz w:val="21"/>
          <w:szCs w:val="28"/>
        </w:rPr>
        <w:t>B.</w:t>
      </w:r>
      <w:r>
        <w:rPr>
          <w:rFonts w:hint="eastAsia"/>
        </w:rPr>
        <w:t xml:space="preserve"> </w:t>
      </w:r>
      <w:r>
        <w:rPr>
          <w:rFonts w:hint="eastAsia" w:ascii="Arial" w:hAnsi="Arial"/>
          <w:sz w:val="21"/>
          <w:szCs w:val="28"/>
        </w:rPr>
        <w:t>成交结构</w:t>
      </w:r>
    </w:p>
    <w:p>
      <w:pPr>
        <w:tabs>
          <w:tab w:val="left" w:pos="426"/>
        </w:tabs>
        <w:overflowPunct w:val="0"/>
        <w:spacing w:line="480" w:lineRule="auto"/>
        <w:ind w:firstLine="420" w:firstLineChars="200"/>
        <w:jc w:val="both"/>
        <w:textAlignment w:val="auto"/>
        <w:rPr>
          <w:rFonts w:ascii="Arial" w:hAnsi="Arial"/>
          <w:sz w:val="21"/>
          <w:szCs w:val="28"/>
        </w:rPr>
      </w:pPr>
      <w:r>
        <w:rPr>
          <w:rFonts w:hint="eastAsia" w:ascii="Arial" w:hAnsi="Arial"/>
          <w:sz w:val="21"/>
          <w:szCs w:val="28"/>
        </w:rPr>
        <w:t>2021年上半年商品住宅成交面积段主要集中在80-90平方米，成交套数占比37%，整体仍以90平方米以下刚需产品为主；成交总价段主要集中在300-500万总价段，成交套数占比37%，整体仍以总价500万以下产品为主。改善型需求逐步释放，叠加不限价地块项目入市、改善型产品供应改善影响，新房成交逐步向中高面积段转移，中高面积段产品成交占比提升9.2个百分点；成交总价段向高价位产品上移，成交套数占比提升2.0个百分点。</w:t>
      </w:r>
    </w:p>
    <w:p>
      <w:pPr>
        <w:tabs>
          <w:tab w:val="left" w:pos="426"/>
        </w:tabs>
        <w:overflowPunct w:val="0"/>
        <w:spacing w:line="480" w:lineRule="auto"/>
        <w:jc w:val="center"/>
        <w:textAlignment w:val="auto"/>
        <w:rPr>
          <w:rFonts w:ascii="Arial" w:hAnsi="Arial"/>
          <w:sz w:val="21"/>
          <w:highlight w:val="lightGray"/>
        </w:rPr>
      </w:pPr>
      <w:r>
        <w:drawing>
          <wp:inline distT="0" distB="0" distL="114300" distR="114300">
            <wp:extent cx="5908040" cy="1786890"/>
            <wp:effectExtent l="0" t="0" r="16510" b="3810"/>
            <wp:docPr id="1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6"/>
                    <pic:cNvPicPr>
                      <a:picLocks noChangeAspect="1"/>
                    </pic:cNvPicPr>
                  </pic:nvPicPr>
                  <pic:blipFill>
                    <a:blip r:embed="rId28"/>
                    <a:stretch>
                      <a:fillRect/>
                    </a:stretch>
                  </pic:blipFill>
                  <pic:spPr>
                    <a:xfrm>
                      <a:off x="0" y="0"/>
                      <a:ext cx="5908040" cy="1786890"/>
                    </a:xfrm>
                    <a:prstGeom prst="rect">
                      <a:avLst/>
                    </a:prstGeom>
                    <a:noFill/>
                    <a:ln>
                      <a:noFill/>
                    </a:ln>
                  </pic:spPr>
                </pic:pic>
              </a:graphicData>
            </a:graphic>
          </wp:inline>
        </w:drawing>
      </w:r>
    </w:p>
    <w:p>
      <w:pPr>
        <w:overflowPunct w:val="0"/>
        <w:spacing w:line="480" w:lineRule="auto"/>
        <w:ind w:firstLine="420" w:firstLineChars="200"/>
        <w:textAlignment w:val="auto"/>
        <w:rPr>
          <w:rFonts w:ascii="Arial" w:hAnsi="Arial"/>
          <w:sz w:val="21"/>
        </w:rPr>
      </w:pPr>
      <w:r>
        <w:rPr>
          <w:rFonts w:hint="eastAsia" w:ascii="Arial" w:hAnsi="Arial"/>
          <w:sz w:val="21"/>
        </w:rPr>
        <w:t>3）区域成交</w:t>
      </w:r>
    </w:p>
    <w:p>
      <w:pPr>
        <w:overflowPunct w:val="0"/>
        <w:spacing w:line="480" w:lineRule="auto"/>
        <w:ind w:firstLine="420" w:firstLineChars="200"/>
        <w:textAlignment w:val="auto"/>
        <w:rPr>
          <w:rFonts w:ascii="Arial" w:hAnsi="Arial"/>
          <w:sz w:val="21"/>
        </w:rPr>
      </w:pPr>
      <w:r>
        <w:rPr>
          <w:rFonts w:hint="eastAsia" w:ascii="Arial" w:hAnsi="Arial"/>
          <w:sz w:val="21"/>
        </w:rPr>
        <w:t>从成交规模来看，近郊六区已成为北京商品住宅（不含保障房）成交主力区域。2021年1-6月近郊六区成交279.17万平方米，占比达55.2%；其中，大兴、顺义等区域累计成交均超过60万平方米，分别居北京各区销售规模第一、第三位。</w:t>
      </w:r>
    </w:p>
    <w:p>
      <w:pPr>
        <w:overflowPunct w:val="0"/>
        <w:spacing w:line="480" w:lineRule="auto"/>
        <w:ind w:firstLine="420" w:firstLineChars="200"/>
        <w:textAlignment w:val="auto"/>
        <w:rPr>
          <w:rFonts w:ascii="Arial" w:hAnsi="Arial"/>
          <w:sz w:val="21"/>
        </w:rPr>
      </w:pPr>
      <w:r>
        <w:rPr>
          <w:rFonts w:hint="eastAsia" w:ascii="Arial" w:hAnsi="Arial"/>
          <w:sz w:val="21"/>
        </w:rPr>
        <w:t>价格方面，2021年上半年中心城区商品住宅（不含保障房）成交均价最高，其中东、西城成交均价最高，均超80000元/平方米，远郊区整体成交均价最低，其中平谷和密云成交均价最低，全年成交均价不足23000元/平方米。2021年上半年中心城区商品住宅成交均价同比涨幅最大，其中东、西城成交价格同比涨幅均超过20%，涨幅居全市前二；近郊区成交均价同比下降7%，其中，顺义、通州成交均价同比降幅较大，均在15%及以上。</w:t>
      </w:r>
    </w:p>
    <w:p>
      <w:pPr>
        <w:overflowPunct w:val="0"/>
        <w:spacing w:line="480" w:lineRule="auto"/>
        <w:jc w:val="center"/>
        <w:textAlignment w:val="auto"/>
        <w:rPr>
          <w:rFonts w:ascii="Arial" w:hAnsi="Arial"/>
          <w:sz w:val="21"/>
        </w:rPr>
      </w:pPr>
      <w:r>
        <w:drawing>
          <wp:inline distT="0" distB="0" distL="114300" distR="114300">
            <wp:extent cx="5901690" cy="1921510"/>
            <wp:effectExtent l="0" t="0" r="3810" b="2540"/>
            <wp:docPr id="13"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7"/>
                    <pic:cNvPicPr>
                      <a:picLocks noChangeAspect="1"/>
                    </pic:cNvPicPr>
                  </pic:nvPicPr>
                  <pic:blipFill>
                    <a:blip r:embed="rId29"/>
                    <a:stretch>
                      <a:fillRect/>
                    </a:stretch>
                  </pic:blipFill>
                  <pic:spPr>
                    <a:xfrm>
                      <a:off x="0" y="0"/>
                      <a:ext cx="5901690" cy="1921510"/>
                    </a:xfrm>
                    <a:prstGeom prst="rect">
                      <a:avLst/>
                    </a:prstGeom>
                    <a:noFill/>
                    <a:ln>
                      <a:noFill/>
                    </a:ln>
                  </pic:spPr>
                </pic:pic>
              </a:graphicData>
            </a:graphic>
          </wp:inline>
        </w:drawing>
      </w:r>
    </w:p>
    <w:p>
      <w:pPr>
        <w:widowControl/>
        <w:overflowPunct w:val="0"/>
        <w:adjustRightInd/>
        <w:spacing w:line="480" w:lineRule="auto"/>
        <w:ind w:firstLine="420" w:firstLineChars="200"/>
        <w:jc w:val="both"/>
        <w:textAlignment w:val="auto"/>
        <w:rPr>
          <w:rFonts w:ascii="Arial" w:hAnsi="Arial"/>
          <w:bCs/>
          <w:sz w:val="21"/>
          <w:szCs w:val="28"/>
        </w:rPr>
      </w:pPr>
      <w:r>
        <w:rPr>
          <w:rFonts w:hint="eastAsia" w:ascii="Arial" w:hAnsi="Arial"/>
          <w:bCs/>
          <w:sz w:val="21"/>
          <w:szCs w:val="28"/>
        </w:rPr>
        <w:t>（3）存量房住宅市场</w:t>
      </w:r>
    </w:p>
    <w:p>
      <w:pPr>
        <w:overflowPunct w:val="0"/>
        <w:spacing w:line="480" w:lineRule="auto"/>
        <w:ind w:firstLine="420" w:firstLineChars="200"/>
        <w:jc w:val="both"/>
        <w:textAlignment w:val="auto"/>
        <w:rPr>
          <w:rFonts w:ascii="Arial" w:hAnsi="Arial"/>
          <w:sz w:val="21"/>
        </w:rPr>
      </w:pPr>
      <w:r>
        <w:rPr>
          <w:rFonts w:hint="eastAsia" w:ascii="Arial" w:hAnsi="Arial"/>
          <w:sz w:val="21"/>
        </w:rPr>
        <w:t>1）市场运行状况</w:t>
      </w:r>
    </w:p>
    <w:p>
      <w:pPr>
        <w:tabs>
          <w:tab w:val="left" w:pos="426"/>
        </w:tabs>
        <w:overflowPunct w:val="0"/>
        <w:spacing w:line="480" w:lineRule="auto"/>
        <w:ind w:firstLine="420" w:firstLineChars="200"/>
        <w:jc w:val="both"/>
        <w:textAlignment w:val="auto"/>
        <w:rPr>
          <w:rFonts w:ascii="Arial" w:hAnsi="Arial"/>
          <w:sz w:val="21"/>
        </w:rPr>
      </w:pPr>
      <w:r>
        <w:rPr>
          <w:rFonts w:hint="eastAsia" w:ascii="Arial" w:hAnsi="Arial"/>
          <w:sz w:val="21"/>
        </w:rPr>
        <w:t>在热点片区学区房阶段性走高带动下，一季度北京二手房成交量走高，累计成交套数约5.19万套；二季度在新入市项目价格走高、部分片区新房供应减少等因素综合影响下，部分刚需被挤向二手房市场，助推成交规模继续保持高位运行。整体来看，上半年二手房累计成交10.88万套，同比上涨69%，创近五年同期新高。</w:t>
      </w:r>
    </w:p>
    <w:p>
      <w:pPr>
        <w:tabs>
          <w:tab w:val="left" w:pos="426"/>
        </w:tabs>
        <w:overflowPunct w:val="0"/>
        <w:spacing w:line="480" w:lineRule="auto"/>
        <w:ind w:firstLine="420" w:firstLineChars="200"/>
        <w:jc w:val="both"/>
        <w:textAlignment w:val="auto"/>
        <w:rPr>
          <w:rFonts w:ascii="Arial" w:hAnsi="Arial"/>
          <w:sz w:val="21"/>
        </w:rPr>
      </w:pPr>
      <w:r>
        <w:rPr>
          <w:rFonts w:hint="eastAsia" w:ascii="Arial" w:hAnsi="Arial"/>
          <w:sz w:val="21"/>
        </w:rPr>
        <w:t>上半年北京二手房成交均价约为60132元/平方米，同比增长8%。在信贷收紧、监管收紧、新房增加等综合影响下，预计未来二手房市场成交热度将有所下降，价格或将趋于平稳。</w:t>
      </w:r>
    </w:p>
    <w:p>
      <w:pPr>
        <w:tabs>
          <w:tab w:val="left" w:pos="426"/>
        </w:tabs>
        <w:overflowPunct w:val="0"/>
        <w:spacing w:line="480" w:lineRule="auto"/>
        <w:jc w:val="center"/>
        <w:textAlignment w:val="auto"/>
        <w:rPr>
          <w:rFonts w:ascii="Arial" w:hAnsi="Arial"/>
          <w:sz w:val="21"/>
        </w:rPr>
      </w:pPr>
      <w:r>
        <w:drawing>
          <wp:inline distT="0" distB="0" distL="114300" distR="114300">
            <wp:extent cx="5906770" cy="1458595"/>
            <wp:effectExtent l="0" t="0" r="17780" b="8255"/>
            <wp:docPr id="14"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8"/>
                    <pic:cNvPicPr>
                      <a:picLocks noChangeAspect="1"/>
                    </pic:cNvPicPr>
                  </pic:nvPicPr>
                  <pic:blipFill>
                    <a:blip r:embed="rId30"/>
                    <a:stretch>
                      <a:fillRect/>
                    </a:stretch>
                  </pic:blipFill>
                  <pic:spPr>
                    <a:xfrm>
                      <a:off x="0" y="0"/>
                      <a:ext cx="5906770" cy="1458595"/>
                    </a:xfrm>
                    <a:prstGeom prst="rect">
                      <a:avLst/>
                    </a:prstGeom>
                    <a:noFill/>
                    <a:ln>
                      <a:noFill/>
                    </a:ln>
                  </pic:spPr>
                </pic:pic>
              </a:graphicData>
            </a:graphic>
          </wp:inline>
        </w:drawing>
      </w:r>
    </w:p>
    <w:p>
      <w:pPr>
        <w:overflowPunct w:val="0"/>
        <w:spacing w:line="480" w:lineRule="auto"/>
        <w:ind w:firstLine="420" w:firstLineChars="200"/>
        <w:jc w:val="both"/>
        <w:textAlignment w:val="auto"/>
        <w:rPr>
          <w:rFonts w:ascii="Arial" w:hAnsi="Arial"/>
          <w:sz w:val="21"/>
        </w:rPr>
      </w:pPr>
      <w:r>
        <w:rPr>
          <w:rFonts w:hint="eastAsia" w:ascii="Arial" w:hAnsi="Arial"/>
          <w:sz w:val="21"/>
        </w:rPr>
        <w:t>2）各区县统计</w:t>
      </w:r>
    </w:p>
    <w:p>
      <w:pPr>
        <w:tabs>
          <w:tab w:val="left" w:pos="426"/>
        </w:tabs>
        <w:overflowPunct w:val="0"/>
        <w:spacing w:line="480" w:lineRule="auto"/>
        <w:ind w:firstLine="420" w:firstLineChars="200"/>
        <w:jc w:val="both"/>
        <w:textAlignment w:val="auto"/>
        <w:rPr>
          <w:rFonts w:ascii="Arial" w:hAnsi="Arial"/>
          <w:sz w:val="21"/>
        </w:rPr>
      </w:pPr>
      <w:r>
        <w:rPr>
          <w:rFonts w:hint="eastAsia" w:ascii="Arial" w:hAnsi="Arial"/>
          <w:sz w:val="21"/>
        </w:rPr>
        <w:t>分区域来看，西城成交价格最高，达114680元/平方米，其次为东城区和海淀区，分别为94420元/平方米和88045元/平方米；朝阳、海淀二手房成交规模较大，成交面积均超过100万平方米，其中朝阳区成交量达213.69万平方米，居各区第一位；海淀、朝阳、东城及丰台成交规模同比涨幅较大，涨幅均超60%。</w:t>
      </w:r>
    </w:p>
    <w:p>
      <w:pPr>
        <w:tabs>
          <w:tab w:val="left" w:pos="426"/>
        </w:tabs>
        <w:overflowPunct w:val="0"/>
        <w:spacing w:line="480" w:lineRule="auto"/>
        <w:jc w:val="center"/>
        <w:textAlignment w:val="auto"/>
        <w:rPr>
          <w:rFonts w:ascii="Arial" w:hAnsi="Arial"/>
          <w:sz w:val="21"/>
          <w:highlight w:val="lightGray"/>
        </w:rPr>
      </w:pPr>
      <w:r>
        <w:drawing>
          <wp:inline distT="0" distB="0" distL="114300" distR="114300">
            <wp:extent cx="5899785" cy="2205355"/>
            <wp:effectExtent l="0" t="0" r="5715" b="4445"/>
            <wp:docPr id="15"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9"/>
                    <pic:cNvPicPr>
                      <a:picLocks noChangeAspect="1"/>
                    </pic:cNvPicPr>
                  </pic:nvPicPr>
                  <pic:blipFill>
                    <a:blip r:embed="rId31"/>
                    <a:stretch>
                      <a:fillRect/>
                    </a:stretch>
                  </pic:blipFill>
                  <pic:spPr>
                    <a:xfrm>
                      <a:off x="0" y="0"/>
                      <a:ext cx="5899785" cy="2205355"/>
                    </a:xfrm>
                    <a:prstGeom prst="rect">
                      <a:avLst/>
                    </a:prstGeom>
                    <a:noFill/>
                    <a:ln>
                      <a:noFill/>
                    </a:ln>
                  </pic:spPr>
                </pic:pic>
              </a:graphicData>
            </a:graphic>
          </wp:inline>
        </w:drawing>
      </w:r>
    </w:p>
    <w:p>
      <w:pPr>
        <w:overflowPunct w:val="0"/>
        <w:spacing w:line="480" w:lineRule="auto"/>
        <w:ind w:firstLine="420" w:firstLineChars="200"/>
        <w:jc w:val="both"/>
        <w:textAlignment w:val="auto"/>
        <w:rPr>
          <w:rFonts w:ascii="Arial" w:hAnsi="Arial"/>
          <w:sz w:val="21"/>
          <w:szCs w:val="28"/>
        </w:rPr>
      </w:pPr>
      <w:r>
        <w:rPr>
          <w:rFonts w:hint="eastAsia" w:ascii="Arial" w:hAnsi="Arial"/>
          <w:sz w:val="21"/>
          <w:szCs w:val="28"/>
        </w:rPr>
        <w:t>4.产业政策</w:t>
      </w:r>
    </w:p>
    <w:p>
      <w:pPr>
        <w:overflowPunct w:val="0"/>
        <w:spacing w:line="480" w:lineRule="auto"/>
        <w:ind w:firstLine="420"/>
        <w:jc w:val="both"/>
        <w:textAlignment w:val="auto"/>
        <w:rPr>
          <w:rFonts w:ascii="Arial" w:hAnsi="Arial"/>
          <w:b/>
          <w:sz w:val="21"/>
        </w:rPr>
      </w:pPr>
      <w:r>
        <w:rPr>
          <w:rFonts w:hint="eastAsia" w:ascii="Arial" w:hAnsi="Arial"/>
          <w:b/>
          <w:sz w:val="21"/>
        </w:rPr>
        <w:t>全国政策：</w:t>
      </w:r>
    </w:p>
    <w:p>
      <w:pPr>
        <w:overflowPunct w:val="0"/>
        <w:spacing w:line="480" w:lineRule="auto"/>
        <w:ind w:firstLine="420"/>
        <w:jc w:val="both"/>
        <w:textAlignment w:val="auto"/>
        <w:rPr>
          <w:rFonts w:ascii="Arial" w:hAnsi="Arial"/>
          <w:sz w:val="21"/>
        </w:rPr>
      </w:pPr>
      <w:r>
        <w:rPr>
          <w:rFonts w:hint="eastAsia" w:ascii="Arial" w:hAnsi="Arial"/>
          <w:sz w:val="21"/>
        </w:rPr>
        <w:t>2021年政府工作报告中，关于房地产调控内容整体延续了往年提法，除了“房住不炒”外，“稳地价、稳房价、稳预期”目标亦写入政府工作报告，2021年“房住不炒”总基调不变，短期调控政策仍将保持连续性和稳定性，整个政策环境的松紧程度仍将体现在因城施策方面。</w:t>
      </w:r>
    </w:p>
    <w:p>
      <w:pPr>
        <w:overflowPunct w:val="0"/>
        <w:spacing w:line="480" w:lineRule="auto"/>
        <w:ind w:firstLine="420"/>
        <w:jc w:val="both"/>
        <w:textAlignment w:val="auto"/>
        <w:rPr>
          <w:rFonts w:ascii="Arial" w:hAnsi="Arial"/>
          <w:sz w:val="21"/>
        </w:rPr>
      </w:pPr>
      <w:r>
        <w:rPr>
          <w:rFonts w:hint="eastAsia" w:ascii="Arial" w:hAnsi="Arial"/>
          <w:sz w:val="21"/>
        </w:rPr>
        <w:t>2021年2月底，按照自然资源部住宅用地分类调控文件要求，22个重点城市实现“两集中”，2021年发布住宅用地公告不能超过3次。</w:t>
      </w:r>
    </w:p>
    <w:p>
      <w:pPr>
        <w:overflowPunct w:val="0"/>
        <w:spacing w:line="480" w:lineRule="auto"/>
        <w:ind w:firstLine="420"/>
        <w:jc w:val="both"/>
        <w:textAlignment w:val="auto"/>
        <w:rPr>
          <w:rFonts w:ascii="Arial" w:hAnsi="Arial"/>
          <w:sz w:val="21"/>
        </w:rPr>
      </w:pPr>
      <w:r>
        <w:rPr>
          <w:rFonts w:hint="eastAsia" w:ascii="Arial" w:hAnsi="Arial"/>
          <w:sz w:val="21"/>
        </w:rPr>
        <w:t>2021年3月13日，全国人大通过《中华人民共和国国民经济和社会发展第十四个五年规划和2035年远景目标纲要》，指出完善住房市场体系和住房保障体系。坚持房子是用来住的、不是用来炒的定位，加快建立多主体供给、多渠道保障、租购并举的住房制度，让全体人民住有所居、职住平衡。坚持因地制宜、多策并举，夯实城市政府主体责任，稳定地价、房价和预期。建立住房和土地联动机制，加强房地产金融调控，发挥住房税收调节作用，支持合理自住需求，遏制投资投机性需求。“房子是用来住的，不是用来炒的”自2016年中央经济工作会议首次提出，今年将这一表述列入《“十四五”规划纲要》，充分表明房地产远离投资属性是大势所趋，投机炒房行为将被严厉禁止。未来五年或更长时间内，“房住不炒”都将是房地产调控的基本原则和底线。另外，强调“建立住房和土地联动机制，加强房地产金融调控，发挥住房税收调节作用，支持合理自住需求，遏制投资投机性需求”，未来，土地、金融、财税等方面的政策将有所侧重，进一步发挥其在促进房地产市场健康平稳发展中的积极作用。</w:t>
      </w:r>
    </w:p>
    <w:p>
      <w:pPr>
        <w:overflowPunct w:val="0"/>
        <w:spacing w:line="480" w:lineRule="auto"/>
        <w:ind w:firstLine="420"/>
        <w:jc w:val="both"/>
        <w:textAlignment w:val="auto"/>
        <w:rPr>
          <w:rFonts w:ascii="Arial" w:hAnsi="Arial"/>
          <w:sz w:val="21"/>
        </w:rPr>
      </w:pPr>
      <w:r>
        <w:rPr>
          <w:rFonts w:hint="eastAsia" w:ascii="Arial" w:hAnsi="Arial"/>
          <w:sz w:val="21"/>
        </w:rPr>
        <w:t>2021年3月26日，中国银保监会办公厅、住房和城乡建设部办公厅、中国人民银行办公厅发布《关于防止经营用途贷款违规流入房地产领域的通知》（以下简称‘《通知》’）。《通知》提出，一是加强借款人资质核查。切实加强经营用途贷款“三查”，落实好各项授信审批要求。二是加强信贷需求审核。要对经营用途贷款需求进行穿透式、实质性审核，不得因抵押充足而放松对真实贷款需求的审查，不得向资金流水与经营情况明显不匹配的企业发放经营性贷款。三是加强贷款期限管理。要根据借款人实际需求合理确定贷款期限。对期限超过3年的经营用途贷款进一步加强内部管理，确保资金真正用于企业经营。四是加强贷款抵押物管理。要合理把握贷款抵押成数，重点审查房产交易完成后短期内申请经营用途贷款的融资需求合理性。五是加强贷中贷后管理。要严格落实资金受托支付要求，加强贷后资金流向监测和预警。要和借款人签订资金用途承诺函，明确一旦发现贷款被挪用于房地产领域的要立刻收回贷款，压降授信额度，并追究相应法律责任。六是加强银行内部管理。要落实主体责任，完善内部制度，强化内部问责，加强经营用途贷款监测分析和员工异常行为监控。七是加强中介机构管理。建立合作机构“白名单”。对存在协助借款人套取经营用途贷款行为的中介机构，一律不得进行合作。房地产中介机构不得为购房人提供或与其他机构合作提供房抵经营贷等金融产品的咨询和服务，不得诱导购房人违规使用经营用途资金。</w:t>
      </w:r>
    </w:p>
    <w:p>
      <w:pPr>
        <w:overflowPunct w:val="0"/>
        <w:spacing w:line="480" w:lineRule="auto"/>
        <w:ind w:firstLine="420"/>
        <w:jc w:val="both"/>
        <w:textAlignment w:val="auto"/>
        <w:rPr>
          <w:rFonts w:ascii="Arial" w:hAnsi="Arial"/>
          <w:sz w:val="21"/>
        </w:rPr>
      </w:pPr>
      <w:r>
        <w:rPr>
          <w:rFonts w:hint="eastAsia" w:ascii="Arial" w:hAnsi="Arial"/>
          <w:sz w:val="21"/>
        </w:rPr>
        <w:t>2021年6月1日中国银保监会召开新闻发布会，在回答记者提问环节中强调，在银行业金融机构房地产贷款集中度管理执行过程中，发现的一些地方中小银行利用大型银行退出的时机，争抢房地产贷款市场份额，房地产贷款增速较快，房地产贷款集中度有所上升的情形，银保监会对新增房地产贷款占比较高的银行实施名单制管理，督促这些银行落实房地产金融调控要求，合理控制房地产贷款增速。</w:t>
      </w:r>
    </w:p>
    <w:p>
      <w:pPr>
        <w:overflowPunct w:val="0"/>
        <w:spacing w:line="480" w:lineRule="auto"/>
        <w:ind w:firstLine="420"/>
        <w:jc w:val="both"/>
        <w:textAlignment w:val="auto"/>
        <w:rPr>
          <w:rFonts w:ascii="Arial" w:hAnsi="Arial"/>
          <w:b/>
          <w:sz w:val="21"/>
        </w:rPr>
      </w:pPr>
      <w:r>
        <w:rPr>
          <w:rFonts w:hint="eastAsia" w:ascii="Arial" w:hAnsi="Arial"/>
          <w:b/>
          <w:sz w:val="21"/>
        </w:rPr>
        <w:t>地方政策：</w:t>
      </w:r>
    </w:p>
    <w:p>
      <w:pPr>
        <w:overflowPunct w:val="0"/>
        <w:spacing w:line="480" w:lineRule="auto"/>
        <w:ind w:firstLine="420"/>
        <w:jc w:val="both"/>
        <w:textAlignment w:val="auto"/>
        <w:rPr>
          <w:rFonts w:ascii="Arial" w:hAnsi="Arial"/>
          <w:sz w:val="21"/>
        </w:rPr>
      </w:pPr>
      <w:r>
        <w:rPr>
          <w:rFonts w:hint="eastAsia" w:ascii="Arial" w:hAnsi="Arial"/>
          <w:sz w:val="21"/>
        </w:rPr>
        <w:t>2021年上半年，北京精准调控纵深推进，调整土地供应结构，构建房地联动、一地一策机制，同时强化市场监管，严查经营贷、首付贷，打击渲染、炒作等行为，严格执行多校划片、派位入学政策，并坚决遏制、精准打击部分投机性需求恶意炒作学区房行为。</w:t>
      </w:r>
    </w:p>
    <w:p>
      <w:pPr>
        <w:overflowPunct w:val="0"/>
        <w:spacing w:line="480" w:lineRule="auto"/>
        <w:ind w:firstLine="420"/>
        <w:jc w:val="both"/>
        <w:textAlignment w:val="auto"/>
        <w:rPr>
          <w:rFonts w:ascii="Arial" w:hAnsi="Arial"/>
          <w:sz w:val="21"/>
        </w:rPr>
      </w:pPr>
      <w:r>
        <w:rPr>
          <w:rFonts w:hint="eastAsia" w:ascii="Arial" w:hAnsi="Arial"/>
          <w:sz w:val="21"/>
        </w:rPr>
        <w:t>2021年1月5日，北京市住建委等部门联合印发了《关于进一步加强全市集体土地租赁住房规划建设管理的意见》。</w:t>
      </w:r>
    </w:p>
    <w:p>
      <w:pPr>
        <w:overflowPunct w:val="0"/>
        <w:spacing w:line="480" w:lineRule="auto"/>
        <w:ind w:firstLine="420"/>
        <w:jc w:val="both"/>
        <w:textAlignment w:val="auto"/>
        <w:rPr>
          <w:rFonts w:ascii="Arial" w:hAnsi="Arial"/>
          <w:sz w:val="21"/>
        </w:rPr>
      </w:pPr>
      <w:r>
        <w:rPr>
          <w:rFonts w:hint="eastAsia" w:ascii="Arial" w:hAnsi="Arial"/>
          <w:sz w:val="21"/>
        </w:rPr>
        <w:t>2021年1月13日，北京市住房和城乡建设委员会发布关于对《北京市租赁住房建设导则（试行）》（征求意见稿）公开征集意见的公告。在中央提出解决好大城市住房突出问题的背景下，北京发布租赁住房建设导则的征求意见稿，《导则》意见稿所指的租赁住房是由企业整体运营并实施集中管理，出租用于居住的房屋，主要包括住宅型、宿舍型和公寓型。意见稿发布后，将有助于政治集中式租赁住房的市场乱象，规范行业的建设标准，更好地满足不同租赁群体的租住需求。2021年2月20日，北京市住房和城乡建设委员会就《导则》意见稿向社会公开征集的意见进行反馈，采纳了部分意见建议并对《导则》进行了相应的调整。</w:t>
      </w:r>
    </w:p>
    <w:p>
      <w:pPr>
        <w:overflowPunct w:val="0"/>
        <w:spacing w:line="480" w:lineRule="auto"/>
        <w:ind w:firstLine="420"/>
        <w:jc w:val="both"/>
        <w:textAlignment w:val="auto"/>
        <w:rPr>
          <w:rFonts w:ascii="Arial" w:hAnsi="Arial"/>
          <w:sz w:val="21"/>
        </w:rPr>
      </w:pPr>
      <w:r>
        <w:rPr>
          <w:rFonts w:hint="eastAsia" w:ascii="Arial" w:hAnsi="Arial"/>
          <w:sz w:val="21"/>
        </w:rPr>
        <w:t>2021年2月2日，北京发布《关于规范本市住房租赁企业经营活动的通知》，住房租赁企业向承租人预收的租金数额原则上不得超过3个月租金，收、付租金的周期应当匹配；住房租赁企业向承租人收取的押金应当通过北京房地产中介行业协会建立的专用账户托管，收取的押金数额不得超过1个月租金；银行业金融机构、小额贷款公司等机构不得将承租人申请的“租金贷”资金拨付给住房租赁企业。这三条内容管控了三种资金，包括租金、押金和首付贷资金。</w:t>
      </w:r>
    </w:p>
    <w:p>
      <w:pPr>
        <w:overflowPunct w:val="0"/>
        <w:spacing w:line="480" w:lineRule="auto"/>
        <w:ind w:firstLine="420"/>
        <w:jc w:val="both"/>
        <w:textAlignment w:val="auto"/>
        <w:rPr>
          <w:rFonts w:ascii="Arial" w:hAnsi="Arial"/>
          <w:sz w:val="21"/>
        </w:rPr>
      </w:pPr>
      <w:r>
        <w:rPr>
          <w:rFonts w:hint="eastAsia" w:ascii="Arial" w:hAnsi="Arial"/>
          <w:sz w:val="21"/>
        </w:rPr>
        <w:t>2021年2月10日，北京银保监局、人行营业管理部发布《关于加强个人经营性贷款管理 防范信贷资金违规流入房地产市场的通知》。要求严格实施贷前调查，加强客户资质和信用状况审核，关注客户获得经营性贷款借款人资格的时间，审慎发放仅以企业实际控制人身份申请的个人经营性贷款，审慎向近期申请过个人住房按揭贷款或购买住房的客户发放个人经营性贷款。切实加强支付管理，严格执行受托支付制度，对借款人受托支付对象的资质和背景情况予以关注，防止信贷资金转入与借款人经营活动无关的账户。尽职落实贷后管理，采取有效措施跟踪贷款资金使用情况，及时关注借款人经营及变化情况。</w:t>
      </w:r>
    </w:p>
    <w:p>
      <w:pPr>
        <w:overflowPunct w:val="0"/>
        <w:spacing w:line="480" w:lineRule="auto"/>
        <w:ind w:firstLine="420"/>
        <w:jc w:val="both"/>
        <w:textAlignment w:val="auto"/>
        <w:rPr>
          <w:rFonts w:ascii="Arial" w:hAnsi="Arial"/>
          <w:sz w:val="21"/>
        </w:rPr>
      </w:pPr>
      <w:r>
        <w:rPr>
          <w:rFonts w:hint="eastAsia" w:ascii="Arial" w:hAnsi="Arial"/>
          <w:sz w:val="21"/>
        </w:rPr>
        <w:t>2021年2月22日，北京市住建委发布《北京市共有产权住房规划设计宜居建设导则（2020年修订版）》（征求意见稿），对共有产权房的项目选址和套型面积等11个方面作出新的修订。与原文件相比，修订版不仅放宽了中心城区共有产权房的套型面积上限，且对于城六区以外的其他区，允许开发建设单位按市场调查合理确定共有产权房项目中大套型的比例。此次层数+套型建筑面积双重控制设计标准的修订，有利于不同楼栋户型品质的改善和提升，将进一步提高共有产权房的舒适度、宜居性，同时也有利于满足不同家庭结构、不同生活阶段的多样化需求，将进一步扩大职业者群体范围。</w:t>
      </w:r>
    </w:p>
    <w:p>
      <w:pPr>
        <w:overflowPunct w:val="0"/>
        <w:spacing w:line="480" w:lineRule="auto"/>
        <w:ind w:firstLine="420"/>
        <w:jc w:val="both"/>
        <w:textAlignment w:val="auto"/>
        <w:rPr>
          <w:rFonts w:ascii="Arial" w:hAnsi="Arial"/>
          <w:sz w:val="21"/>
        </w:rPr>
      </w:pPr>
      <w:r>
        <w:rPr>
          <w:rFonts w:hint="eastAsia" w:ascii="Arial" w:hAnsi="Arial"/>
          <w:sz w:val="21"/>
        </w:rPr>
        <w:t>2021年3月9日，北京发改委及规自委联合发布《北京市2021年度建设用地供地计划》。2021年度安排建设用地供应总量与2020年持平，住宅用地计划供应量较2020年供应计划增加60公顷，并且土地供应更像租赁住宅倾斜，占比由2020年的13%提高到30%。未来北京将继续大力发展租赁住房，积极解决来京人员的租住问题。</w:t>
      </w:r>
    </w:p>
    <w:p>
      <w:pPr>
        <w:overflowPunct w:val="0"/>
        <w:spacing w:line="480" w:lineRule="auto"/>
        <w:ind w:firstLine="420"/>
        <w:jc w:val="both"/>
        <w:textAlignment w:val="auto"/>
        <w:rPr>
          <w:rFonts w:ascii="Arial" w:hAnsi="Arial"/>
          <w:sz w:val="21"/>
        </w:rPr>
      </w:pPr>
      <w:r>
        <w:rPr>
          <w:rFonts w:hint="eastAsia" w:ascii="Arial" w:hAnsi="Arial"/>
          <w:sz w:val="21"/>
        </w:rPr>
        <w:t>2021年3月23日，北京银保监局发布消息称，涉嫌违规流入北京房地产市场的个人经营性贷款金额约3.4亿元，约占经营贷自查业务总量的0.35%。北京银保监局要求：切实加快整改进度，对未结清业务实施名单制管理；严格落实内部问责；认真对照《北京银保监局、人民银行营业管理部关于加强个人经营性贷款管理严防信贷资金违规流入房地产市场的通知》，对本行内部制度、机制流程进行修订完善；全面加强授信业务管理、内部员工管理以及合作中介机构管理。目前北京银保监局已经启动对4家银行的行政处罚立案程序和调查取证工作。</w:t>
      </w:r>
    </w:p>
    <w:p>
      <w:pPr>
        <w:overflowPunct w:val="0"/>
        <w:spacing w:line="480" w:lineRule="auto"/>
        <w:ind w:firstLine="420"/>
        <w:jc w:val="both"/>
        <w:textAlignment w:val="auto"/>
        <w:rPr>
          <w:rFonts w:ascii="Arial" w:hAnsi="Arial"/>
          <w:sz w:val="21"/>
        </w:rPr>
      </w:pPr>
      <w:r>
        <w:rPr>
          <w:rFonts w:hint="eastAsia" w:ascii="Arial" w:hAnsi="Arial"/>
          <w:sz w:val="21"/>
        </w:rPr>
        <w:t>2021年4月22日，北京市住房和城乡建设委员会发布《关于进一步加强房地产市场秩序整治工作的通知》，工作目标是重点针对近期群众反映强烈的机构炒作学区房、经营贷违规进入楼市、群租房治理等问题，依法从严惩处，形成高压态势，规范市场秩序；引导房地产开发企业、房地产经纪机构、住房租赁企业及从业人员增强守法意识，自觉守法守规经营，共同营造良好市场环境；切实解决群众关切的问题，推动解决重点民生诉求，研究形成巩固成果、防止问题反弹的日常管理长效工作机制，确保房地产市场平稳健康发展。</w:t>
      </w:r>
    </w:p>
    <w:p>
      <w:pPr>
        <w:overflowPunct w:val="0"/>
        <w:spacing w:line="480" w:lineRule="auto"/>
        <w:ind w:firstLine="420"/>
        <w:jc w:val="both"/>
        <w:textAlignment w:val="auto"/>
        <w:rPr>
          <w:rFonts w:ascii="Arial" w:hAnsi="Arial"/>
          <w:sz w:val="21"/>
        </w:rPr>
      </w:pPr>
      <w:r>
        <w:rPr>
          <w:rFonts w:hint="eastAsia" w:ascii="Arial" w:hAnsi="Arial"/>
          <w:sz w:val="21"/>
        </w:rPr>
        <w:t>5.未来市场预期</w:t>
      </w:r>
    </w:p>
    <w:p>
      <w:pPr>
        <w:overflowPunct w:val="0"/>
        <w:spacing w:line="480" w:lineRule="auto"/>
        <w:ind w:firstLine="420"/>
        <w:jc w:val="both"/>
        <w:textAlignment w:val="auto"/>
        <w:rPr>
          <w:rFonts w:ascii="Arial" w:hAnsi="Arial"/>
          <w:sz w:val="21"/>
        </w:rPr>
      </w:pPr>
      <w:r>
        <w:rPr>
          <w:rFonts w:hint="eastAsia" w:ascii="Arial" w:hAnsi="Arial"/>
          <w:sz w:val="21"/>
        </w:rPr>
        <w:t>从目前的市场环境来看，一方面，信贷环境收紧，银行贷款额度减少及放款周期延长，叠加资金监管趋严，部分购房需求延后或被抑制；另一方面，新房入市项目价格走高，限竞房等刚需产品减少，叠加部分区域新增供应不足，部分购房需求将受抑制或转向二手房市场。预计下半年新房成交规模将小幅回调，但整体将保持高位。</w:t>
      </w:r>
    </w:p>
    <w:p>
      <w:pPr>
        <w:overflowPunct w:val="0"/>
        <w:spacing w:line="480" w:lineRule="auto"/>
        <w:ind w:firstLine="420" w:firstLineChars="200"/>
        <w:jc w:val="both"/>
        <w:textAlignment w:val="auto"/>
        <w:rPr>
          <w:rFonts w:ascii="Arial" w:hAnsi="Arial" w:cs="Arial"/>
          <w:bCs/>
          <w:color w:val="548DD4"/>
          <w:sz w:val="21"/>
          <w:szCs w:val="21"/>
        </w:rPr>
      </w:pPr>
      <w:r>
        <w:rPr>
          <w:rFonts w:hint="eastAsia" w:ascii="Arial" w:hAnsi="Arial"/>
          <w:sz w:val="21"/>
        </w:rPr>
        <w:t>前两年成交的不限价地块项目入市增加，中高端改善型产品供应及成交比例不断增加，将在一定程度上带动房价结构性上涨，但在“三稳”主基调、主体政策不放松、房屋销售价格引导机制等因素综合影响下，价格的上涨幅度有限。</w:t>
      </w:r>
    </w:p>
    <w:p>
      <w:pPr>
        <w:overflowPunct w:val="0"/>
        <w:spacing w:line="480" w:lineRule="auto"/>
        <w:jc w:val="both"/>
        <w:textAlignment w:val="auto"/>
        <w:rPr>
          <w:rFonts w:ascii="Arial" w:hAnsi="Arial"/>
          <w:b/>
          <w:bCs/>
          <w:color w:val="000000"/>
          <w:sz w:val="21"/>
          <w:szCs w:val="21"/>
        </w:rPr>
      </w:pPr>
      <w:r>
        <w:rPr>
          <w:rFonts w:hint="eastAsia" w:ascii="Arial" w:hAnsi="Arial"/>
          <w:b/>
          <w:bCs/>
          <w:color w:val="000000"/>
          <w:sz w:val="21"/>
          <w:szCs w:val="21"/>
        </w:rPr>
        <w:t>（二）估价对象所在区域相应用途房地产市场状况</w:t>
      </w:r>
    </w:p>
    <w:p>
      <w:pPr>
        <w:overflowPunct w:val="0"/>
        <w:spacing w:line="480" w:lineRule="auto"/>
        <w:ind w:firstLine="420" w:firstLineChars="200"/>
        <w:jc w:val="both"/>
        <w:textAlignment w:val="auto"/>
        <w:rPr>
          <w:rFonts w:ascii="Helvetica" w:hAnsi="Helvetica"/>
          <w:color w:val="333333"/>
          <w:sz w:val="21"/>
          <w:szCs w:val="21"/>
          <w:shd w:val="clear" w:color="auto" w:fill="FFFFFF"/>
        </w:rPr>
      </w:pPr>
      <w:r>
        <w:rPr>
          <w:rFonts w:ascii="Arial" w:hAnsi="Arial" w:cs="Arial"/>
          <w:sz w:val="21"/>
          <w:szCs w:val="21"/>
        </w:rPr>
        <w:t>估价对象位于北京市</w:t>
      </w:r>
      <w:r>
        <w:rPr>
          <w:rFonts w:hint="eastAsia" w:ascii="Arial" w:hAnsi="Arial" w:cs="Arial"/>
          <w:sz w:val="21"/>
          <w:szCs w:val="21"/>
        </w:rPr>
        <w:t>大兴区清源街道</w:t>
      </w:r>
      <w:r>
        <w:rPr>
          <w:rFonts w:ascii="Arial" w:hAnsi="Arial" w:cs="Arial"/>
          <w:sz w:val="21"/>
          <w:szCs w:val="21"/>
        </w:rPr>
        <w:t>。</w:t>
      </w:r>
      <w:r>
        <w:rPr>
          <w:rFonts w:hint="eastAsia" w:ascii="Arial" w:hAnsi="Arial" w:cs="Arial"/>
          <w:sz w:val="21"/>
          <w:szCs w:val="21"/>
        </w:rPr>
        <w:t>清源街道地处大兴新城北部，位于东经116°17'50"~116°20"20"，北纬39°44′28"~39°46′34"之间。东邻京开路与观音寺街道接壤，南起清源路与兴丰街道相连，西至京九铁路与黄村镇毗邻，北至北兴路、五环路与西红门镇相接。街道面积10.9平方千米。清源街道路网较密集，设有高米店北站、高米店南站、枣园站和清源路站等地铁站。</w:t>
      </w:r>
    </w:p>
    <w:p>
      <w:pPr>
        <w:overflowPunct w:val="0"/>
        <w:spacing w:line="480" w:lineRule="auto"/>
        <w:ind w:firstLine="420" w:firstLineChars="200"/>
        <w:jc w:val="both"/>
        <w:textAlignment w:val="auto"/>
        <w:rPr>
          <w:rFonts w:ascii="Arial" w:hAnsi="Arial"/>
          <w:color w:val="E36C0A"/>
          <w:sz w:val="21"/>
          <w:szCs w:val="21"/>
        </w:rPr>
      </w:pPr>
      <w:r>
        <w:rPr>
          <w:rFonts w:hint="eastAsia" w:ascii="Arial" w:hAnsi="Arial" w:cs="Arial"/>
          <w:sz w:val="21"/>
          <w:szCs w:val="21"/>
        </w:rPr>
        <w:t>清源街道</w:t>
      </w:r>
      <w:r>
        <w:rPr>
          <w:rFonts w:ascii="Arial" w:hAnsi="Arial" w:cs="Arial"/>
          <w:sz w:val="21"/>
          <w:szCs w:val="21"/>
        </w:rPr>
        <w:t>住宅小区较集中，估价对象周边有</w:t>
      </w:r>
      <w:r>
        <w:rPr>
          <w:rFonts w:hint="eastAsia" w:ascii="Arial" w:hAnsi="Arial" w:cs="Arial"/>
          <w:sz w:val="21"/>
          <w:szCs w:val="21"/>
        </w:rPr>
        <w:t>滨河西路北区社区、首邑上城小区、康顺园小区等</w:t>
      </w:r>
      <w:r>
        <w:rPr>
          <w:rFonts w:ascii="Arial" w:hAnsi="Arial" w:cs="Arial"/>
          <w:sz w:val="21"/>
          <w:szCs w:val="21"/>
        </w:rPr>
        <w:t>居住社区</w:t>
      </w:r>
      <w:r>
        <w:rPr>
          <w:rFonts w:hint="eastAsia" w:ascii="Arial" w:hAnsi="Arial" w:cs="Arial"/>
          <w:sz w:val="21"/>
          <w:szCs w:val="21"/>
        </w:rPr>
        <w:t>，</w:t>
      </w:r>
      <w:r>
        <w:rPr>
          <w:rFonts w:ascii="Arial" w:hAnsi="Arial" w:cs="Arial"/>
          <w:sz w:val="21"/>
          <w:szCs w:val="21"/>
        </w:rPr>
        <w:t>可供选择的类型较丰富。与估价对象类似的</w:t>
      </w:r>
      <w:r>
        <w:rPr>
          <w:rFonts w:hint="eastAsia" w:ascii="Arial" w:hAnsi="Arial" w:cs="Arial"/>
          <w:sz w:val="21"/>
          <w:szCs w:val="21"/>
        </w:rPr>
        <w:t>住宅</w:t>
      </w:r>
      <w:r>
        <w:rPr>
          <w:rFonts w:ascii="Arial" w:hAnsi="Arial" w:cs="Arial"/>
          <w:sz w:val="21"/>
          <w:szCs w:val="21"/>
        </w:rPr>
        <w:t>用房销售价格约</w:t>
      </w:r>
      <w:r>
        <w:rPr>
          <w:rFonts w:hint="eastAsia" w:ascii="Arial" w:hAnsi="Arial" w:cs="Arial"/>
          <w:sz w:val="21"/>
          <w:szCs w:val="21"/>
        </w:rPr>
        <w:t>3</w:t>
      </w:r>
      <w:r>
        <w:rPr>
          <w:rFonts w:ascii="Arial" w:hAnsi="Arial" w:cs="Arial"/>
          <w:sz w:val="21"/>
          <w:szCs w:val="21"/>
        </w:rPr>
        <w:t>5</w:t>
      </w:r>
      <w:r>
        <w:rPr>
          <w:rFonts w:hint="eastAsia" w:ascii="Arial" w:hAnsi="Arial" w:cs="Arial"/>
          <w:sz w:val="21"/>
          <w:szCs w:val="21"/>
        </w:rPr>
        <w:t>000</w:t>
      </w:r>
      <w:r>
        <w:rPr>
          <w:rFonts w:ascii="Arial" w:hAnsi="Arial" w:cs="Arial"/>
          <w:sz w:val="21"/>
          <w:szCs w:val="21"/>
        </w:rPr>
        <w:t>-</w:t>
      </w:r>
      <w:r>
        <w:rPr>
          <w:rFonts w:hint="eastAsia" w:ascii="Arial" w:hAnsi="Arial" w:cs="Arial"/>
          <w:sz w:val="21"/>
          <w:szCs w:val="21"/>
        </w:rPr>
        <w:t>4</w:t>
      </w:r>
      <w:r>
        <w:rPr>
          <w:rFonts w:ascii="Arial" w:hAnsi="Arial" w:cs="Arial"/>
          <w:sz w:val="21"/>
          <w:szCs w:val="21"/>
        </w:rPr>
        <w:t>5000元/平方米。</w:t>
      </w:r>
    </w:p>
    <w:p>
      <w:pPr>
        <w:pStyle w:val="3"/>
        <w:numPr>
          <w:ilvl w:val="0"/>
          <w:numId w:val="0"/>
        </w:numPr>
        <w:tabs>
          <w:tab w:val="clear" w:pos="360"/>
        </w:tabs>
        <w:overflowPunct w:val="0"/>
        <w:spacing w:line="480" w:lineRule="auto"/>
        <w:ind w:left="358" w:hanging="358" w:hangingChars="170"/>
        <w:jc w:val="both"/>
        <w:textAlignment w:val="auto"/>
        <w:rPr>
          <w:rFonts w:eastAsia="宋体"/>
          <w:kern w:val="2"/>
          <w:sz w:val="21"/>
          <w:szCs w:val="21"/>
        </w:rPr>
      </w:pPr>
      <w:bookmarkStart w:id="17" w:name="_Toc500322968"/>
      <w:r>
        <w:rPr>
          <w:rFonts w:hint="eastAsia" w:eastAsia="宋体"/>
          <w:kern w:val="2"/>
          <w:sz w:val="21"/>
          <w:szCs w:val="21"/>
        </w:rPr>
        <w:t>六、价值时点</w:t>
      </w:r>
      <w:bookmarkEnd w:id="17"/>
    </w:p>
    <w:p>
      <w:pPr>
        <w:pStyle w:val="17"/>
        <w:overflowPunct w:val="0"/>
        <w:spacing w:line="480" w:lineRule="auto"/>
        <w:ind w:firstLine="420" w:firstLineChars="200"/>
        <w:textAlignment w:val="auto"/>
        <w:rPr>
          <w:rFonts w:ascii="Arial" w:hAnsi="Arial" w:eastAsia="宋体" w:cs="Arial"/>
          <w:b w:val="0"/>
          <w:bCs/>
          <w:color w:val="E36C0A"/>
          <w:sz w:val="21"/>
          <w:szCs w:val="21"/>
        </w:rPr>
      </w:pPr>
      <w:r>
        <w:rPr>
          <w:rFonts w:hint="eastAsia" w:ascii="Arial" w:hAnsi="Arial" w:eastAsia="宋体" w:cs="Arial"/>
          <w:b w:val="0"/>
          <w:bCs/>
          <w:sz w:val="21"/>
          <w:szCs w:val="21"/>
        </w:rPr>
        <w:t>2021年10月20日</w:t>
      </w:r>
      <w:r>
        <w:rPr>
          <w:rFonts w:ascii="Arial" w:hAnsi="Arial" w:eastAsia="宋体" w:cs="Arial"/>
          <w:b w:val="0"/>
          <w:bCs/>
          <w:sz w:val="21"/>
          <w:szCs w:val="21"/>
        </w:rPr>
        <w:t>（评估专业人员实地查勘之日）</w:t>
      </w:r>
    </w:p>
    <w:p>
      <w:pPr>
        <w:overflowPunct w:val="0"/>
        <w:spacing w:line="480" w:lineRule="auto"/>
        <w:ind w:firstLine="420" w:firstLineChars="200"/>
        <w:jc w:val="both"/>
        <w:textAlignment w:val="auto"/>
        <w:rPr>
          <w:rFonts w:ascii="Arial" w:hAnsi="Arial"/>
          <w:sz w:val="21"/>
          <w:szCs w:val="21"/>
        </w:rPr>
      </w:pPr>
    </w:p>
    <w:p>
      <w:pPr>
        <w:pStyle w:val="3"/>
        <w:numPr>
          <w:ilvl w:val="0"/>
          <w:numId w:val="0"/>
        </w:numPr>
        <w:tabs>
          <w:tab w:val="clear" w:pos="360"/>
        </w:tabs>
        <w:overflowPunct w:val="0"/>
        <w:spacing w:line="480" w:lineRule="auto"/>
        <w:ind w:left="358" w:hanging="358" w:hangingChars="170"/>
        <w:jc w:val="both"/>
        <w:textAlignment w:val="auto"/>
        <w:rPr>
          <w:rFonts w:eastAsia="宋体"/>
          <w:kern w:val="2"/>
          <w:sz w:val="21"/>
          <w:szCs w:val="21"/>
        </w:rPr>
      </w:pPr>
      <w:bookmarkStart w:id="18" w:name="_Toc500322969"/>
      <w:r>
        <w:rPr>
          <w:rFonts w:hint="eastAsia" w:eastAsia="宋体"/>
          <w:kern w:val="2"/>
          <w:sz w:val="21"/>
          <w:szCs w:val="21"/>
        </w:rPr>
        <w:t>七、价值类型</w:t>
      </w:r>
      <w:bookmarkEnd w:id="18"/>
    </w:p>
    <w:p>
      <w:pPr>
        <w:spacing w:line="480" w:lineRule="auto"/>
        <w:ind w:firstLine="420" w:firstLineChars="200"/>
        <w:jc w:val="both"/>
        <w:rPr>
          <w:rFonts w:eastAsia="楷体_GB2312"/>
          <w:sz w:val="28"/>
          <w:szCs w:val="28"/>
        </w:rPr>
      </w:pPr>
      <w:r>
        <w:rPr>
          <w:rFonts w:hint="eastAsia" w:ascii="Arial" w:hAnsi="Arial"/>
          <w:kern w:val="2"/>
          <w:sz w:val="21"/>
        </w:rPr>
        <w:t>根据房地产估价规范、国家现行有关标准规定和项目的具体要求，本次评估采用的是市场价值标准。</w:t>
      </w:r>
      <w:r>
        <w:rPr>
          <w:rFonts w:ascii="Arial" w:hAnsi="Arial"/>
          <w:kern w:val="2"/>
          <w:sz w:val="21"/>
        </w:rPr>
        <w:t>根据</w:t>
      </w:r>
      <w:r>
        <w:rPr>
          <w:rFonts w:hint="eastAsia" w:ascii="Arial" w:hAnsi="Arial"/>
          <w:sz w:val="21"/>
          <w:szCs w:val="28"/>
        </w:rPr>
        <w:t>《房地产估价基本术语标准》</w:t>
      </w:r>
      <w:r>
        <w:rPr>
          <w:rFonts w:hint="eastAsia" w:ascii="Arial" w:hAnsi="Arial"/>
          <w:kern w:val="2"/>
          <w:sz w:val="21"/>
        </w:rPr>
        <w:t>[GB/T50899-2013]，</w:t>
      </w:r>
      <w:r>
        <w:rPr>
          <w:rFonts w:ascii="Arial" w:hAnsi="Arial"/>
          <w:kern w:val="2"/>
          <w:sz w:val="21"/>
        </w:rPr>
        <w:t>市场价值是经适当营销后，由熟悉情况、谨慎行事且不受强迫的交易双方，以公平交易方式在价值时点自愿进行交易的金额</w:t>
      </w:r>
      <w:r>
        <w:rPr>
          <w:rFonts w:hint="eastAsia" w:ascii="Arial" w:hAnsi="Arial"/>
          <w:kern w:val="2"/>
          <w:sz w:val="21"/>
        </w:rPr>
        <w:t>。</w:t>
      </w:r>
    </w:p>
    <w:p>
      <w:pPr>
        <w:spacing w:line="480" w:lineRule="auto"/>
        <w:ind w:firstLine="420" w:firstLineChars="200"/>
        <w:jc w:val="both"/>
        <w:rPr>
          <w:rFonts w:ascii="Arial" w:hAnsi="Arial"/>
          <w:sz w:val="21"/>
          <w:szCs w:val="21"/>
        </w:rPr>
      </w:pPr>
      <w:r>
        <w:rPr>
          <w:rFonts w:hint="eastAsia" w:ascii="Arial" w:hAnsi="Arial"/>
          <w:sz w:val="21"/>
          <w:szCs w:val="28"/>
        </w:rPr>
        <w:t>本次估价的“房地产市场价值”是指在正常市场情况下，在价值时点2021年10月20日，估价对象用途为住宅，</w:t>
      </w:r>
      <w:r>
        <w:rPr>
          <w:rFonts w:ascii="Arial" w:hAnsi="Arial"/>
          <w:sz w:val="21"/>
          <w:szCs w:val="28"/>
        </w:rPr>
        <w:t>土地取得方式为</w:t>
      </w:r>
      <w:r>
        <w:rPr>
          <w:rFonts w:hint="eastAsia" w:ascii="Arial" w:hAnsi="Arial"/>
          <w:sz w:val="21"/>
          <w:szCs w:val="28"/>
        </w:rPr>
        <w:t>出让的房地产市场价值</w:t>
      </w:r>
      <w:r>
        <w:rPr>
          <w:rFonts w:hint="eastAsia" w:ascii="Arial" w:hAnsi="Arial"/>
          <w:sz w:val="21"/>
        </w:rPr>
        <w:t>。</w:t>
      </w:r>
    </w:p>
    <w:p>
      <w:pPr>
        <w:overflowPunct w:val="0"/>
        <w:spacing w:line="480" w:lineRule="auto"/>
        <w:ind w:firstLine="420" w:firstLineChars="200"/>
        <w:jc w:val="both"/>
        <w:textAlignment w:val="auto"/>
        <w:rPr>
          <w:rFonts w:ascii="Arial" w:hAnsi="Arial"/>
          <w:sz w:val="21"/>
          <w:szCs w:val="21"/>
        </w:rPr>
      </w:pPr>
    </w:p>
    <w:p>
      <w:pPr>
        <w:pStyle w:val="3"/>
        <w:numPr>
          <w:ilvl w:val="0"/>
          <w:numId w:val="0"/>
        </w:numPr>
        <w:tabs>
          <w:tab w:val="clear" w:pos="360"/>
        </w:tabs>
        <w:overflowPunct w:val="0"/>
        <w:spacing w:line="480" w:lineRule="auto"/>
        <w:ind w:left="358" w:hanging="358" w:hangingChars="170"/>
        <w:jc w:val="both"/>
        <w:textAlignment w:val="auto"/>
        <w:rPr>
          <w:rFonts w:eastAsia="宋体"/>
          <w:kern w:val="2"/>
          <w:sz w:val="21"/>
          <w:szCs w:val="21"/>
        </w:rPr>
      </w:pPr>
      <w:bookmarkStart w:id="19" w:name="_Toc168225819"/>
      <w:bookmarkStart w:id="20" w:name="_Toc500322970"/>
      <w:r>
        <w:rPr>
          <w:rFonts w:hint="eastAsia" w:eastAsia="宋体"/>
          <w:kern w:val="2"/>
          <w:sz w:val="21"/>
          <w:szCs w:val="21"/>
        </w:rPr>
        <w:t>八、估价原则</w:t>
      </w:r>
      <w:bookmarkEnd w:id="19"/>
      <w:bookmarkEnd w:id="20"/>
    </w:p>
    <w:p>
      <w:pPr>
        <w:wordWrap w:val="0"/>
        <w:overflowPunct w:val="0"/>
        <w:spacing w:line="480" w:lineRule="auto"/>
        <w:jc w:val="both"/>
        <w:textAlignment w:val="auto"/>
        <w:rPr>
          <w:rFonts w:ascii="Arial" w:hAnsi="Arial" w:cs="Arial"/>
          <w:sz w:val="21"/>
          <w:szCs w:val="21"/>
        </w:rPr>
      </w:pPr>
      <w:r>
        <w:rPr>
          <w:rFonts w:ascii="Arial" w:hAnsi="Arial" w:cs="Arial"/>
          <w:sz w:val="21"/>
          <w:szCs w:val="21"/>
        </w:rPr>
        <w:t>我们在本次估价时遵循了以下原则：</w:t>
      </w:r>
    </w:p>
    <w:p>
      <w:pPr>
        <w:wordWrap w:val="0"/>
        <w:overflowPunct w:val="0"/>
        <w:spacing w:line="480" w:lineRule="auto"/>
        <w:jc w:val="both"/>
        <w:textAlignment w:val="auto"/>
        <w:rPr>
          <w:rFonts w:ascii="Arial" w:hAnsi="Arial" w:cs="Arial"/>
          <w:b/>
          <w:sz w:val="21"/>
          <w:szCs w:val="21"/>
        </w:rPr>
      </w:pPr>
      <w:r>
        <w:rPr>
          <w:rFonts w:ascii="Arial" w:hAnsi="Arial" w:cs="Arial"/>
          <w:b/>
          <w:sz w:val="21"/>
          <w:szCs w:val="21"/>
        </w:rPr>
        <w:t>（一）独立、客观、公正原则</w:t>
      </w:r>
    </w:p>
    <w:p>
      <w:pPr>
        <w:wordWrap w:val="0"/>
        <w:overflowPunct w:val="0"/>
        <w:spacing w:line="480" w:lineRule="auto"/>
        <w:ind w:firstLine="420" w:firstLineChars="200"/>
        <w:jc w:val="both"/>
        <w:textAlignment w:val="auto"/>
        <w:rPr>
          <w:rFonts w:ascii="Arial" w:hAnsi="Arial" w:cs="Arial"/>
          <w:sz w:val="21"/>
          <w:szCs w:val="21"/>
        </w:rPr>
      </w:pPr>
      <w:r>
        <w:rPr>
          <w:rFonts w:ascii="Arial" w:hAnsi="Arial" w:cs="Arial"/>
          <w:sz w:val="21"/>
          <w:szCs w:val="21"/>
        </w:rPr>
        <w:t>独立、客观、公正原则要求</w:t>
      </w:r>
      <w:r>
        <w:rPr>
          <w:rFonts w:hint="eastAsia" w:ascii="Arial" w:hAnsi="Arial" w:cs="Arial"/>
          <w:sz w:val="21"/>
          <w:szCs w:val="21"/>
        </w:rPr>
        <w:t>评估专业人员</w:t>
      </w:r>
      <w:r>
        <w:rPr>
          <w:rFonts w:ascii="Arial" w:hAnsi="Arial" w:cs="Arial"/>
          <w:sz w:val="21"/>
          <w:szCs w:val="21"/>
        </w:rPr>
        <w:t>站在中立的立场上，评估出对各方当事人来说均是公平合理的价格。独立、客观、公正原则是房地产估价的基本原则，也是房地产市场价值估价中的最高行为准则。</w:t>
      </w:r>
    </w:p>
    <w:p>
      <w:pPr>
        <w:wordWrap w:val="0"/>
        <w:overflowPunct w:val="0"/>
        <w:spacing w:line="480" w:lineRule="auto"/>
        <w:jc w:val="both"/>
        <w:textAlignment w:val="auto"/>
        <w:rPr>
          <w:rFonts w:ascii="Arial" w:hAnsi="Arial" w:cs="Arial"/>
          <w:b/>
          <w:sz w:val="21"/>
          <w:szCs w:val="21"/>
        </w:rPr>
      </w:pPr>
      <w:r>
        <w:rPr>
          <w:rFonts w:ascii="Arial" w:hAnsi="Arial" w:cs="Arial"/>
          <w:b/>
          <w:sz w:val="21"/>
          <w:szCs w:val="21"/>
        </w:rPr>
        <w:t>（二）合法原则</w:t>
      </w:r>
    </w:p>
    <w:p>
      <w:pPr>
        <w:wordWrap w:val="0"/>
        <w:overflowPunct w:val="0"/>
        <w:spacing w:line="480" w:lineRule="auto"/>
        <w:ind w:firstLine="420" w:firstLineChars="200"/>
        <w:jc w:val="both"/>
        <w:textAlignment w:val="auto"/>
        <w:rPr>
          <w:rFonts w:ascii="Arial" w:hAnsi="Arial" w:cs="Arial"/>
          <w:sz w:val="21"/>
          <w:szCs w:val="21"/>
        </w:rPr>
      </w:pPr>
      <w:r>
        <w:rPr>
          <w:rFonts w:ascii="Arial" w:hAnsi="Arial" w:cs="Arial"/>
          <w:sz w:val="21"/>
          <w:szCs w:val="21"/>
        </w:rPr>
        <w:t>房地产估价遵循合法原则，应当以估价对象的合法产权、合法使用、合法交易为前提进行。</w:t>
      </w:r>
    </w:p>
    <w:p>
      <w:pPr>
        <w:wordWrap w:val="0"/>
        <w:overflowPunct w:val="0"/>
        <w:spacing w:line="480" w:lineRule="auto"/>
        <w:ind w:firstLine="420" w:firstLineChars="200"/>
        <w:jc w:val="both"/>
        <w:textAlignment w:val="auto"/>
        <w:rPr>
          <w:rFonts w:ascii="Arial" w:hAnsi="Arial" w:cs="Arial"/>
          <w:sz w:val="21"/>
          <w:szCs w:val="21"/>
        </w:rPr>
      </w:pPr>
      <w:r>
        <w:rPr>
          <w:rFonts w:ascii="Arial" w:hAnsi="Arial" w:cs="Arial"/>
          <w:sz w:val="21"/>
          <w:szCs w:val="21"/>
        </w:rPr>
        <w:t>估价对象在价值时点具有合法的产权且用途合法。估价对象在价值时点处分方式是合法的。</w:t>
      </w:r>
      <w:r>
        <w:rPr>
          <w:rFonts w:hint="eastAsia" w:ascii="Arial" w:hAnsi="Arial" w:cs="Arial"/>
          <w:sz w:val="21"/>
          <w:szCs w:val="21"/>
        </w:rPr>
        <w:t>根据《中华人民共和国城市房地产管理法》[主席令第72号]，估价对象符合司法拍卖的法律规定。</w:t>
      </w:r>
    </w:p>
    <w:p>
      <w:pPr>
        <w:wordWrap w:val="0"/>
        <w:overflowPunct w:val="0"/>
        <w:spacing w:line="480" w:lineRule="auto"/>
        <w:jc w:val="both"/>
        <w:textAlignment w:val="auto"/>
        <w:rPr>
          <w:rFonts w:ascii="Arial" w:hAnsi="Arial" w:cs="Arial"/>
          <w:b/>
          <w:sz w:val="21"/>
          <w:szCs w:val="21"/>
        </w:rPr>
      </w:pPr>
      <w:r>
        <w:rPr>
          <w:rFonts w:ascii="Arial" w:hAnsi="Arial" w:cs="Arial"/>
          <w:b/>
          <w:sz w:val="21"/>
          <w:szCs w:val="21"/>
        </w:rPr>
        <w:t>（三）最高最佳利用原则</w:t>
      </w:r>
    </w:p>
    <w:p>
      <w:pPr>
        <w:wordWrap w:val="0"/>
        <w:overflowPunct w:val="0"/>
        <w:spacing w:line="480" w:lineRule="auto"/>
        <w:ind w:firstLine="420" w:firstLineChars="200"/>
        <w:jc w:val="both"/>
        <w:textAlignment w:val="auto"/>
        <w:rPr>
          <w:rFonts w:ascii="Arial" w:hAnsi="Arial" w:cs="Arial"/>
          <w:sz w:val="21"/>
          <w:szCs w:val="21"/>
        </w:rPr>
      </w:pPr>
      <w:r>
        <w:rPr>
          <w:rFonts w:ascii="Arial" w:hAnsi="Arial" w:cs="Arial"/>
          <w:sz w:val="21"/>
          <w:szCs w:val="21"/>
        </w:rPr>
        <w:t>由于房地产具有用途的多样性，不同的利用方式能为权利人带来不同的收益，且房地产权利人都期望从其占有的房地产上获得更多的收益，并以能满足这一目的为确定房地产利用方式的依据。所以，最高最佳利用是在法律上可行、技术上可能、经济上可行，经过充分合理的论证，能使估价对象价值达到最大、最可能的使用。估价对象用途为</w:t>
      </w:r>
      <w:r>
        <w:rPr>
          <w:rFonts w:hint="eastAsia" w:ascii="Arial" w:hAnsi="Arial" w:cs="Arial"/>
          <w:sz w:val="21"/>
          <w:szCs w:val="21"/>
        </w:rPr>
        <w:t>住宅</w:t>
      </w:r>
      <w:r>
        <w:rPr>
          <w:rFonts w:ascii="Arial" w:hAnsi="Arial" w:cs="Arial"/>
          <w:sz w:val="21"/>
          <w:szCs w:val="21"/>
        </w:rPr>
        <w:t>，符合最高最佳利用原则。</w:t>
      </w:r>
    </w:p>
    <w:p>
      <w:pPr>
        <w:wordWrap w:val="0"/>
        <w:overflowPunct w:val="0"/>
        <w:spacing w:line="480" w:lineRule="auto"/>
        <w:jc w:val="both"/>
        <w:textAlignment w:val="auto"/>
        <w:rPr>
          <w:rFonts w:ascii="Arial" w:hAnsi="Arial" w:cs="Arial"/>
          <w:b/>
          <w:sz w:val="21"/>
          <w:szCs w:val="21"/>
        </w:rPr>
      </w:pPr>
      <w:r>
        <w:rPr>
          <w:rFonts w:ascii="Arial" w:hAnsi="Arial" w:cs="Arial"/>
          <w:b/>
          <w:sz w:val="21"/>
          <w:szCs w:val="21"/>
        </w:rPr>
        <w:t>（四）替代原则</w:t>
      </w:r>
    </w:p>
    <w:p>
      <w:pPr>
        <w:wordWrap w:val="0"/>
        <w:overflowPunct w:val="0"/>
        <w:spacing w:line="480" w:lineRule="auto"/>
        <w:ind w:firstLine="420" w:firstLineChars="200"/>
        <w:jc w:val="both"/>
        <w:textAlignment w:val="auto"/>
        <w:rPr>
          <w:rFonts w:ascii="Arial" w:hAnsi="Arial" w:cs="Arial"/>
          <w:sz w:val="21"/>
          <w:szCs w:val="21"/>
        </w:rPr>
      </w:pPr>
      <w:r>
        <w:rPr>
          <w:rFonts w:ascii="Arial" w:hAnsi="Arial" w:cs="Arial"/>
          <w:sz w:val="21"/>
          <w:szCs w:val="21"/>
        </w:rPr>
        <w:t>替代原则的理论依据是同一市场上相同物品具有相同市场价值的经济学原理。替代原则是保证房地产估价能够通过运用市场资料进行和完成的重要理论前提：只有承认同一市场上相同物品具有相同的市场价值，才有可能根据市场资料对估价对象进行估价。</w:t>
      </w:r>
    </w:p>
    <w:p>
      <w:pPr>
        <w:wordWrap w:val="0"/>
        <w:overflowPunct w:val="0"/>
        <w:spacing w:line="480" w:lineRule="auto"/>
        <w:ind w:firstLine="420" w:firstLineChars="200"/>
        <w:jc w:val="both"/>
        <w:textAlignment w:val="auto"/>
        <w:rPr>
          <w:rFonts w:ascii="Arial" w:hAnsi="Arial" w:cs="Arial"/>
          <w:sz w:val="21"/>
          <w:szCs w:val="21"/>
        </w:rPr>
      </w:pPr>
      <w:r>
        <w:rPr>
          <w:rFonts w:ascii="Arial" w:hAnsi="Arial" w:cs="Arial"/>
          <w:sz w:val="21"/>
          <w:szCs w:val="21"/>
        </w:rPr>
        <w:t>替代原则也反映了房地产估价的基本原理和最一般的估价过程：房地产估价所要确定的估价结论是估价对象的客观合理价值。对于房地产交易目的而言，该客观合理价值应当是在公开市场上最可能形成或者成立的价格，房地产估价就是参照公开市场上足够数量的类似房地产的近期成交价格来确定估价对象的客观合理价值的。</w:t>
      </w:r>
    </w:p>
    <w:p>
      <w:pPr>
        <w:wordWrap w:val="0"/>
        <w:overflowPunct w:val="0"/>
        <w:spacing w:line="480" w:lineRule="auto"/>
        <w:jc w:val="both"/>
        <w:textAlignment w:val="auto"/>
        <w:rPr>
          <w:rFonts w:ascii="Arial" w:hAnsi="Arial" w:cs="Arial"/>
          <w:b/>
          <w:sz w:val="21"/>
          <w:szCs w:val="21"/>
        </w:rPr>
      </w:pPr>
      <w:r>
        <w:rPr>
          <w:rFonts w:ascii="Arial" w:hAnsi="Arial" w:cs="Arial"/>
          <w:b/>
          <w:sz w:val="21"/>
          <w:szCs w:val="21"/>
        </w:rPr>
        <w:t>（五）价值时点原则</w:t>
      </w:r>
    </w:p>
    <w:p>
      <w:pPr>
        <w:wordWrap w:val="0"/>
        <w:overflowPunct w:val="0"/>
        <w:spacing w:line="480" w:lineRule="auto"/>
        <w:ind w:firstLine="420" w:firstLineChars="200"/>
        <w:jc w:val="both"/>
        <w:textAlignment w:val="auto"/>
        <w:rPr>
          <w:rFonts w:ascii="Arial" w:hAnsi="Arial" w:cs="Arial"/>
          <w:sz w:val="21"/>
          <w:szCs w:val="21"/>
        </w:rPr>
      </w:pPr>
      <w:r>
        <w:rPr>
          <w:rFonts w:ascii="Arial" w:hAnsi="Arial" w:cs="Arial"/>
          <w:sz w:val="21"/>
          <w:szCs w:val="21"/>
        </w:rPr>
        <w:t>估价结论首先具有很强的时间相关性，这主要是考虑到资金的时间价值，在不同的时间点上发生的现金流量对其价值影响是不同的。所以，在房地产估价时统一规定：如果一些款项的发生时点与价值时点不一致，应当折算为价值时点的现值。</w:t>
      </w:r>
    </w:p>
    <w:p>
      <w:pPr>
        <w:wordWrap w:val="0"/>
        <w:overflowPunct w:val="0"/>
        <w:spacing w:line="480" w:lineRule="auto"/>
        <w:ind w:firstLine="420" w:firstLineChars="200"/>
        <w:jc w:val="both"/>
        <w:textAlignment w:val="auto"/>
        <w:rPr>
          <w:rFonts w:ascii="Arial" w:hAnsi="Arial" w:cs="Arial"/>
          <w:sz w:val="21"/>
          <w:szCs w:val="21"/>
        </w:rPr>
      </w:pPr>
      <w:r>
        <w:rPr>
          <w:rFonts w:ascii="Arial" w:hAnsi="Arial" w:cs="Arial"/>
          <w:sz w:val="21"/>
          <w:szCs w:val="21"/>
        </w:rPr>
        <w:t>估价结论同时具有很强的时效性，这主要是考虑到房地产市场价格的波动性，同一估价对象在不同时点会具有不同的市场价格。所以强调：估价结果是估价对象在价值时点的价值体现，不能将估价结果作为估价对象在其他时点的价值。</w:t>
      </w:r>
    </w:p>
    <w:p>
      <w:pPr>
        <w:overflowPunct w:val="0"/>
        <w:spacing w:line="480" w:lineRule="auto"/>
        <w:ind w:firstLine="420" w:firstLineChars="200"/>
        <w:jc w:val="both"/>
        <w:textAlignment w:val="auto"/>
        <w:rPr>
          <w:rFonts w:ascii="Arial" w:hAnsi="Arial"/>
          <w:sz w:val="21"/>
          <w:szCs w:val="21"/>
        </w:rPr>
      </w:pPr>
    </w:p>
    <w:p>
      <w:pPr>
        <w:pStyle w:val="3"/>
        <w:numPr>
          <w:ilvl w:val="0"/>
          <w:numId w:val="0"/>
        </w:numPr>
        <w:tabs>
          <w:tab w:val="clear" w:pos="360"/>
        </w:tabs>
        <w:overflowPunct w:val="0"/>
        <w:spacing w:line="480" w:lineRule="auto"/>
        <w:ind w:left="358" w:hanging="358" w:hangingChars="170"/>
        <w:jc w:val="both"/>
        <w:textAlignment w:val="auto"/>
        <w:rPr>
          <w:rFonts w:eastAsia="宋体"/>
          <w:kern w:val="2"/>
          <w:sz w:val="21"/>
          <w:szCs w:val="21"/>
        </w:rPr>
      </w:pPr>
      <w:bookmarkStart w:id="21" w:name="_Toc168225820"/>
      <w:bookmarkStart w:id="22" w:name="_Toc500322971"/>
      <w:r>
        <w:rPr>
          <w:rFonts w:hint="eastAsia" w:eastAsia="宋体"/>
          <w:kern w:val="2"/>
          <w:sz w:val="21"/>
          <w:szCs w:val="21"/>
        </w:rPr>
        <w:t>九、估价</w:t>
      </w:r>
      <w:bookmarkEnd w:id="21"/>
      <w:r>
        <w:rPr>
          <w:rFonts w:hint="eastAsia" w:eastAsia="宋体"/>
          <w:kern w:val="2"/>
          <w:sz w:val="21"/>
          <w:szCs w:val="21"/>
        </w:rPr>
        <w:t>依据</w:t>
      </w:r>
      <w:bookmarkEnd w:id="22"/>
    </w:p>
    <w:p>
      <w:pPr>
        <w:overflowPunct w:val="0"/>
        <w:spacing w:line="480" w:lineRule="auto"/>
        <w:jc w:val="both"/>
        <w:textAlignment w:val="auto"/>
        <w:rPr>
          <w:rFonts w:ascii="Arial" w:hAnsi="Arial"/>
          <w:b/>
          <w:sz w:val="21"/>
          <w:szCs w:val="21"/>
        </w:rPr>
      </w:pPr>
      <w:r>
        <w:rPr>
          <w:rFonts w:hint="eastAsia" w:ascii="Arial" w:hAnsi="Arial"/>
          <w:b/>
          <w:sz w:val="21"/>
          <w:szCs w:val="21"/>
        </w:rPr>
        <w:t>（一）有关的法律、法规及技术标准文件</w:t>
      </w:r>
    </w:p>
    <w:p>
      <w:pPr>
        <w:numPr>
          <w:ilvl w:val="0"/>
          <w:numId w:val="7"/>
        </w:numPr>
        <w:overflowPunct w:val="0"/>
        <w:spacing w:line="480" w:lineRule="auto"/>
        <w:ind w:left="0" w:firstLine="420" w:firstLineChars="200"/>
        <w:jc w:val="both"/>
        <w:textAlignment w:val="auto"/>
        <w:rPr>
          <w:rFonts w:ascii="Arial" w:hAnsi="Arial" w:cs="Arial"/>
          <w:sz w:val="21"/>
          <w:szCs w:val="21"/>
        </w:rPr>
      </w:pPr>
      <w:r>
        <w:rPr>
          <w:rFonts w:hint="eastAsia" w:ascii="Arial" w:hAnsi="Arial" w:cs="Arial"/>
          <w:sz w:val="21"/>
          <w:szCs w:val="21"/>
        </w:rPr>
        <w:t>《中华人民共和国土地管理法》（</w:t>
      </w:r>
      <w:r>
        <w:rPr>
          <w:rFonts w:ascii="Arial" w:hAnsi="Arial" w:cs="Arial"/>
          <w:sz w:val="21"/>
          <w:szCs w:val="21"/>
        </w:rPr>
        <w:t>1986</w:t>
      </w:r>
      <w:r>
        <w:rPr>
          <w:rFonts w:hint="eastAsia" w:ascii="Arial" w:hAnsi="Arial" w:cs="Arial"/>
          <w:sz w:val="21"/>
          <w:szCs w:val="21"/>
        </w:rPr>
        <w:t>年</w:t>
      </w:r>
      <w:r>
        <w:rPr>
          <w:rFonts w:ascii="Arial" w:hAnsi="Arial" w:cs="Arial"/>
          <w:sz w:val="21"/>
          <w:szCs w:val="21"/>
        </w:rPr>
        <w:t>6</w:t>
      </w:r>
      <w:r>
        <w:rPr>
          <w:rFonts w:hint="eastAsia" w:ascii="Arial" w:hAnsi="Arial" w:cs="Arial"/>
          <w:sz w:val="21"/>
          <w:szCs w:val="21"/>
        </w:rPr>
        <w:t>月</w:t>
      </w:r>
      <w:r>
        <w:rPr>
          <w:rFonts w:ascii="Arial" w:hAnsi="Arial" w:cs="Arial"/>
          <w:sz w:val="21"/>
          <w:szCs w:val="21"/>
        </w:rPr>
        <w:t>25</w:t>
      </w:r>
      <w:r>
        <w:rPr>
          <w:rFonts w:hint="eastAsia" w:ascii="Arial" w:hAnsi="Arial" w:cs="Arial"/>
          <w:sz w:val="21"/>
          <w:szCs w:val="21"/>
        </w:rPr>
        <w:t>日第六届全国人民代表大会常务委员会第十六次会议通过，中华人民共和国主席令第</w:t>
      </w:r>
      <w:r>
        <w:rPr>
          <w:rFonts w:ascii="Arial" w:hAnsi="Arial" w:cs="Arial"/>
          <w:sz w:val="21"/>
          <w:szCs w:val="21"/>
        </w:rPr>
        <w:t>41</w:t>
      </w:r>
      <w:r>
        <w:rPr>
          <w:rFonts w:hint="eastAsia" w:ascii="Arial" w:hAnsi="Arial" w:cs="Arial"/>
          <w:sz w:val="21"/>
          <w:szCs w:val="21"/>
        </w:rPr>
        <w:t>号公布，</w:t>
      </w:r>
      <w:r>
        <w:rPr>
          <w:rFonts w:ascii="Arial" w:hAnsi="Arial" w:cs="Arial"/>
          <w:sz w:val="21"/>
          <w:szCs w:val="21"/>
        </w:rPr>
        <w:t>1987</w:t>
      </w:r>
      <w:r>
        <w:rPr>
          <w:rFonts w:hint="eastAsia" w:ascii="Arial" w:hAnsi="Arial" w:cs="Arial"/>
          <w:sz w:val="21"/>
          <w:szCs w:val="21"/>
        </w:rPr>
        <w:t>年</w:t>
      </w:r>
      <w:r>
        <w:rPr>
          <w:rFonts w:ascii="Arial" w:hAnsi="Arial" w:cs="Arial"/>
          <w:sz w:val="21"/>
          <w:szCs w:val="21"/>
        </w:rPr>
        <w:t>1</w:t>
      </w:r>
      <w:r>
        <w:rPr>
          <w:rFonts w:hint="eastAsia" w:ascii="Arial" w:hAnsi="Arial" w:cs="Arial"/>
          <w:sz w:val="21"/>
          <w:szCs w:val="21"/>
        </w:rPr>
        <w:t>月</w:t>
      </w:r>
      <w:r>
        <w:rPr>
          <w:rFonts w:ascii="Arial" w:hAnsi="Arial" w:cs="Arial"/>
          <w:sz w:val="21"/>
          <w:szCs w:val="21"/>
        </w:rPr>
        <w:t>1</w:t>
      </w:r>
      <w:r>
        <w:rPr>
          <w:rFonts w:hint="eastAsia" w:ascii="Arial" w:hAnsi="Arial" w:cs="Arial"/>
          <w:sz w:val="21"/>
          <w:szCs w:val="21"/>
        </w:rPr>
        <w:t>日起施行；</w:t>
      </w:r>
      <w:r>
        <w:rPr>
          <w:rFonts w:ascii="Arial" w:hAnsi="Arial" w:cs="Arial"/>
          <w:sz w:val="21"/>
          <w:szCs w:val="21"/>
        </w:rPr>
        <w:t>1988</w:t>
      </w:r>
      <w:r>
        <w:rPr>
          <w:rFonts w:hint="eastAsia" w:ascii="Arial" w:hAnsi="Arial" w:cs="Arial"/>
          <w:sz w:val="21"/>
          <w:szCs w:val="21"/>
        </w:rPr>
        <w:t>年</w:t>
      </w:r>
      <w:r>
        <w:rPr>
          <w:rFonts w:ascii="Arial" w:hAnsi="Arial" w:cs="Arial"/>
          <w:sz w:val="21"/>
          <w:szCs w:val="21"/>
        </w:rPr>
        <w:t>12</w:t>
      </w:r>
      <w:r>
        <w:rPr>
          <w:rFonts w:hint="eastAsia" w:ascii="Arial" w:hAnsi="Arial" w:cs="Arial"/>
          <w:sz w:val="21"/>
          <w:szCs w:val="21"/>
        </w:rPr>
        <w:t>月</w:t>
      </w:r>
      <w:r>
        <w:rPr>
          <w:rFonts w:ascii="Arial" w:hAnsi="Arial" w:cs="Arial"/>
          <w:sz w:val="21"/>
          <w:szCs w:val="21"/>
        </w:rPr>
        <w:t>29</w:t>
      </w:r>
      <w:r>
        <w:rPr>
          <w:rFonts w:hint="eastAsia" w:ascii="Arial" w:hAnsi="Arial" w:cs="Arial"/>
          <w:sz w:val="21"/>
          <w:szCs w:val="21"/>
        </w:rPr>
        <w:t>日第七届全国人民代表大会常务委员会第五次会议第一次修正通过，自</w:t>
      </w:r>
      <w:r>
        <w:rPr>
          <w:rFonts w:ascii="Arial" w:hAnsi="Arial" w:cs="Arial"/>
          <w:sz w:val="21"/>
          <w:szCs w:val="21"/>
        </w:rPr>
        <w:t>1988</w:t>
      </w:r>
      <w:r>
        <w:rPr>
          <w:rFonts w:hint="eastAsia" w:ascii="Arial" w:hAnsi="Arial" w:cs="Arial"/>
          <w:sz w:val="21"/>
          <w:szCs w:val="21"/>
        </w:rPr>
        <w:t>年</w:t>
      </w:r>
      <w:r>
        <w:rPr>
          <w:rFonts w:ascii="Arial" w:hAnsi="Arial" w:cs="Arial"/>
          <w:sz w:val="21"/>
          <w:szCs w:val="21"/>
        </w:rPr>
        <w:t>12</w:t>
      </w:r>
      <w:r>
        <w:rPr>
          <w:rFonts w:hint="eastAsia" w:ascii="Arial" w:hAnsi="Arial" w:cs="Arial"/>
          <w:sz w:val="21"/>
          <w:szCs w:val="21"/>
        </w:rPr>
        <w:t>月</w:t>
      </w:r>
      <w:r>
        <w:rPr>
          <w:rFonts w:ascii="Arial" w:hAnsi="Arial" w:cs="Arial"/>
          <w:sz w:val="21"/>
          <w:szCs w:val="21"/>
        </w:rPr>
        <w:t>29</w:t>
      </w:r>
      <w:r>
        <w:rPr>
          <w:rFonts w:hint="eastAsia" w:ascii="Arial" w:hAnsi="Arial" w:cs="Arial"/>
          <w:sz w:val="21"/>
          <w:szCs w:val="21"/>
        </w:rPr>
        <w:t>日起施行；</w:t>
      </w:r>
      <w:r>
        <w:rPr>
          <w:rFonts w:ascii="Arial" w:hAnsi="Arial" w:cs="Arial"/>
          <w:sz w:val="21"/>
          <w:szCs w:val="21"/>
        </w:rPr>
        <w:t>1998</w:t>
      </w:r>
      <w:r>
        <w:rPr>
          <w:rFonts w:hint="eastAsia" w:ascii="Arial" w:hAnsi="Arial" w:cs="Arial"/>
          <w:sz w:val="21"/>
          <w:szCs w:val="21"/>
        </w:rPr>
        <w:t>年</w:t>
      </w:r>
      <w:r>
        <w:rPr>
          <w:rFonts w:ascii="Arial" w:hAnsi="Arial" w:cs="Arial"/>
          <w:sz w:val="21"/>
          <w:szCs w:val="21"/>
        </w:rPr>
        <w:t>8</w:t>
      </w:r>
      <w:r>
        <w:rPr>
          <w:rFonts w:hint="eastAsia" w:ascii="Arial" w:hAnsi="Arial" w:cs="Arial"/>
          <w:sz w:val="21"/>
          <w:szCs w:val="21"/>
        </w:rPr>
        <w:t>月</w:t>
      </w:r>
      <w:r>
        <w:rPr>
          <w:rFonts w:ascii="Arial" w:hAnsi="Arial" w:cs="Arial"/>
          <w:sz w:val="21"/>
          <w:szCs w:val="21"/>
        </w:rPr>
        <w:t>29</w:t>
      </w:r>
      <w:r>
        <w:rPr>
          <w:rFonts w:hint="eastAsia" w:ascii="Arial" w:hAnsi="Arial" w:cs="Arial"/>
          <w:sz w:val="21"/>
          <w:szCs w:val="21"/>
        </w:rPr>
        <w:t>日第九届全国人民代表大会常务委员会第四次会议修订通过，中华人民共和国主席令第</w:t>
      </w:r>
      <w:r>
        <w:rPr>
          <w:rFonts w:ascii="Arial" w:hAnsi="Arial" w:cs="Arial"/>
          <w:sz w:val="21"/>
          <w:szCs w:val="21"/>
        </w:rPr>
        <w:t>8</w:t>
      </w:r>
      <w:r>
        <w:rPr>
          <w:rFonts w:hint="eastAsia" w:ascii="Arial" w:hAnsi="Arial" w:cs="Arial"/>
          <w:sz w:val="21"/>
          <w:szCs w:val="21"/>
        </w:rPr>
        <w:t>号公布，自</w:t>
      </w:r>
      <w:r>
        <w:rPr>
          <w:rFonts w:ascii="Arial" w:hAnsi="Arial" w:cs="Arial"/>
          <w:sz w:val="21"/>
          <w:szCs w:val="21"/>
        </w:rPr>
        <w:t>1999</w:t>
      </w:r>
      <w:r>
        <w:rPr>
          <w:rFonts w:hint="eastAsia" w:ascii="Arial" w:hAnsi="Arial" w:cs="Arial"/>
          <w:sz w:val="21"/>
          <w:szCs w:val="21"/>
        </w:rPr>
        <w:t>年</w:t>
      </w:r>
      <w:r>
        <w:rPr>
          <w:rFonts w:ascii="Arial" w:hAnsi="Arial" w:cs="Arial"/>
          <w:sz w:val="21"/>
          <w:szCs w:val="21"/>
        </w:rPr>
        <w:t>1</w:t>
      </w:r>
      <w:r>
        <w:rPr>
          <w:rFonts w:hint="eastAsia" w:ascii="Arial" w:hAnsi="Arial" w:cs="Arial"/>
          <w:sz w:val="21"/>
          <w:szCs w:val="21"/>
        </w:rPr>
        <w:t>月</w:t>
      </w:r>
      <w:r>
        <w:rPr>
          <w:rFonts w:ascii="Arial" w:hAnsi="Arial" w:cs="Arial"/>
          <w:sz w:val="21"/>
          <w:szCs w:val="21"/>
        </w:rPr>
        <w:t>1</w:t>
      </w:r>
      <w:r>
        <w:rPr>
          <w:rFonts w:hint="eastAsia" w:ascii="Arial" w:hAnsi="Arial" w:cs="Arial"/>
          <w:sz w:val="21"/>
          <w:szCs w:val="21"/>
        </w:rPr>
        <w:t>日起施行；</w:t>
      </w:r>
      <w:r>
        <w:rPr>
          <w:rFonts w:ascii="Arial" w:hAnsi="Arial" w:cs="Arial"/>
          <w:sz w:val="21"/>
          <w:szCs w:val="21"/>
        </w:rPr>
        <w:t>2004</w:t>
      </w:r>
      <w:r>
        <w:rPr>
          <w:rFonts w:hint="eastAsia" w:ascii="Arial" w:hAnsi="Arial" w:cs="Arial"/>
          <w:sz w:val="21"/>
          <w:szCs w:val="21"/>
        </w:rPr>
        <w:t>年</w:t>
      </w:r>
      <w:r>
        <w:rPr>
          <w:rFonts w:ascii="Arial" w:hAnsi="Arial" w:cs="Arial"/>
          <w:sz w:val="21"/>
          <w:szCs w:val="21"/>
        </w:rPr>
        <w:t>8</w:t>
      </w:r>
      <w:r>
        <w:rPr>
          <w:rFonts w:hint="eastAsia" w:ascii="Arial" w:hAnsi="Arial" w:cs="Arial"/>
          <w:sz w:val="21"/>
          <w:szCs w:val="21"/>
        </w:rPr>
        <w:t>月</w:t>
      </w:r>
      <w:r>
        <w:rPr>
          <w:rFonts w:ascii="Arial" w:hAnsi="Arial" w:cs="Arial"/>
          <w:sz w:val="21"/>
          <w:szCs w:val="21"/>
        </w:rPr>
        <w:t>28</w:t>
      </w:r>
      <w:r>
        <w:rPr>
          <w:rFonts w:hint="eastAsia" w:ascii="Arial" w:hAnsi="Arial" w:cs="Arial"/>
          <w:sz w:val="21"/>
          <w:szCs w:val="21"/>
        </w:rPr>
        <w:t>日第十届全国人民代表大会常务委员会第十一次会议第二次修正通过，中华人民共和国主席令第</w:t>
      </w:r>
      <w:r>
        <w:rPr>
          <w:rFonts w:ascii="Arial" w:hAnsi="Arial" w:cs="Arial"/>
          <w:sz w:val="21"/>
          <w:szCs w:val="21"/>
        </w:rPr>
        <w:t>28</w:t>
      </w:r>
      <w:r>
        <w:rPr>
          <w:rFonts w:hint="eastAsia" w:ascii="Arial" w:hAnsi="Arial" w:cs="Arial"/>
          <w:sz w:val="21"/>
          <w:szCs w:val="21"/>
        </w:rPr>
        <w:t>号公布，自公布起日起施行；</w:t>
      </w:r>
      <w:r>
        <w:rPr>
          <w:rFonts w:ascii="Arial" w:hAnsi="Arial" w:cs="Arial"/>
          <w:sz w:val="21"/>
          <w:szCs w:val="21"/>
        </w:rPr>
        <w:t>2019</w:t>
      </w:r>
      <w:r>
        <w:rPr>
          <w:rFonts w:hint="eastAsia" w:ascii="Arial" w:hAnsi="Arial" w:cs="Arial"/>
          <w:sz w:val="21"/>
          <w:szCs w:val="21"/>
        </w:rPr>
        <w:t>年</w:t>
      </w:r>
      <w:r>
        <w:rPr>
          <w:rFonts w:ascii="Arial" w:hAnsi="Arial" w:cs="Arial"/>
          <w:sz w:val="21"/>
          <w:szCs w:val="21"/>
        </w:rPr>
        <w:t>8</w:t>
      </w:r>
      <w:r>
        <w:rPr>
          <w:rFonts w:hint="eastAsia" w:ascii="Arial" w:hAnsi="Arial" w:cs="Arial"/>
          <w:sz w:val="21"/>
          <w:szCs w:val="21"/>
        </w:rPr>
        <w:t>月</w:t>
      </w:r>
      <w:r>
        <w:rPr>
          <w:rFonts w:ascii="Arial" w:hAnsi="Arial" w:cs="Arial"/>
          <w:sz w:val="21"/>
          <w:szCs w:val="21"/>
        </w:rPr>
        <w:t>26</w:t>
      </w:r>
      <w:r>
        <w:rPr>
          <w:rFonts w:hint="eastAsia" w:ascii="Arial" w:hAnsi="Arial" w:cs="Arial"/>
          <w:sz w:val="21"/>
          <w:szCs w:val="21"/>
        </w:rPr>
        <w:t>日第十三届全国人民代表大会常务委员会第十二次会议第三次修正通过，自</w:t>
      </w:r>
      <w:r>
        <w:rPr>
          <w:rFonts w:ascii="Arial" w:hAnsi="Arial" w:cs="Arial"/>
          <w:sz w:val="21"/>
          <w:szCs w:val="21"/>
        </w:rPr>
        <w:t>2020</w:t>
      </w:r>
      <w:r>
        <w:rPr>
          <w:rFonts w:hint="eastAsia" w:ascii="Arial" w:hAnsi="Arial" w:cs="Arial"/>
          <w:sz w:val="21"/>
          <w:szCs w:val="21"/>
        </w:rPr>
        <w:t>年</w:t>
      </w:r>
      <w:r>
        <w:rPr>
          <w:rFonts w:ascii="Arial" w:hAnsi="Arial" w:cs="Arial"/>
          <w:sz w:val="21"/>
          <w:szCs w:val="21"/>
        </w:rPr>
        <w:t>1</w:t>
      </w:r>
      <w:r>
        <w:rPr>
          <w:rFonts w:hint="eastAsia" w:ascii="Arial" w:hAnsi="Arial" w:cs="Arial"/>
          <w:sz w:val="21"/>
          <w:szCs w:val="21"/>
        </w:rPr>
        <w:t>月</w:t>
      </w:r>
      <w:r>
        <w:rPr>
          <w:rFonts w:ascii="Arial" w:hAnsi="Arial" w:cs="Arial"/>
          <w:sz w:val="21"/>
          <w:szCs w:val="21"/>
        </w:rPr>
        <w:t>1</w:t>
      </w:r>
      <w:r>
        <w:rPr>
          <w:rFonts w:hint="eastAsia" w:ascii="Arial" w:hAnsi="Arial" w:cs="Arial"/>
          <w:sz w:val="21"/>
          <w:szCs w:val="21"/>
        </w:rPr>
        <w:t>日起施行）</w:t>
      </w:r>
    </w:p>
    <w:p>
      <w:pPr>
        <w:numPr>
          <w:ilvl w:val="0"/>
          <w:numId w:val="7"/>
        </w:numPr>
        <w:overflowPunct w:val="0"/>
        <w:spacing w:line="480" w:lineRule="auto"/>
        <w:ind w:left="0" w:firstLine="420" w:firstLineChars="200"/>
        <w:jc w:val="both"/>
        <w:textAlignment w:val="auto"/>
        <w:rPr>
          <w:rFonts w:ascii="Arial" w:hAnsi="Arial" w:cs="Arial"/>
          <w:sz w:val="21"/>
          <w:szCs w:val="21"/>
        </w:rPr>
      </w:pPr>
      <w:r>
        <w:rPr>
          <w:rFonts w:hint="eastAsia" w:ascii="Arial" w:hAnsi="Arial" w:cs="Arial"/>
          <w:sz w:val="21"/>
          <w:szCs w:val="21"/>
        </w:rPr>
        <w:t>《中华人民共和国城市房地产管理法》（</w:t>
      </w:r>
      <w:r>
        <w:rPr>
          <w:rFonts w:ascii="Arial" w:hAnsi="Arial" w:cs="Arial"/>
          <w:sz w:val="21"/>
          <w:szCs w:val="21"/>
        </w:rPr>
        <w:t>1994</w:t>
      </w:r>
      <w:r>
        <w:rPr>
          <w:rFonts w:hint="eastAsia" w:ascii="Arial" w:hAnsi="Arial" w:cs="Arial"/>
          <w:sz w:val="21"/>
          <w:szCs w:val="21"/>
        </w:rPr>
        <w:t>年</w:t>
      </w:r>
      <w:r>
        <w:rPr>
          <w:rFonts w:ascii="Arial" w:hAnsi="Arial" w:cs="Arial"/>
          <w:sz w:val="21"/>
          <w:szCs w:val="21"/>
        </w:rPr>
        <w:t>7</w:t>
      </w:r>
      <w:r>
        <w:rPr>
          <w:rFonts w:hint="eastAsia" w:ascii="Arial" w:hAnsi="Arial" w:cs="Arial"/>
          <w:sz w:val="21"/>
          <w:szCs w:val="21"/>
        </w:rPr>
        <w:t>月</w:t>
      </w:r>
      <w:r>
        <w:rPr>
          <w:rFonts w:ascii="Arial" w:hAnsi="Arial" w:cs="Arial"/>
          <w:sz w:val="21"/>
          <w:szCs w:val="21"/>
        </w:rPr>
        <w:t>5</w:t>
      </w:r>
      <w:r>
        <w:rPr>
          <w:rFonts w:hint="eastAsia" w:ascii="Arial" w:hAnsi="Arial" w:cs="Arial"/>
          <w:sz w:val="21"/>
          <w:szCs w:val="21"/>
        </w:rPr>
        <w:t>日第八届全国人民代表大会常务委员会第八次会议通过，中华人民共和国主席令第</w:t>
      </w:r>
      <w:r>
        <w:rPr>
          <w:rFonts w:ascii="Arial" w:hAnsi="Arial" w:cs="Arial"/>
          <w:sz w:val="21"/>
          <w:szCs w:val="21"/>
        </w:rPr>
        <w:t>29</w:t>
      </w:r>
      <w:r>
        <w:rPr>
          <w:rFonts w:hint="eastAsia" w:ascii="Arial" w:hAnsi="Arial" w:cs="Arial"/>
          <w:sz w:val="21"/>
          <w:szCs w:val="21"/>
        </w:rPr>
        <w:t>号公布，自</w:t>
      </w:r>
      <w:r>
        <w:rPr>
          <w:rFonts w:ascii="Arial" w:hAnsi="Arial" w:cs="Arial"/>
          <w:sz w:val="21"/>
          <w:szCs w:val="21"/>
        </w:rPr>
        <w:t>1995</w:t>
      </w:r>
      <w:r>
        <w:rPr>
          <w:rFonts w:hint="eastAsia" w:ascii="Arial" w:hAnsi="Arial" w:cs="Arial"/>
          <w:sz w:val="21"/>
          <w:szCs w:val="21"/>
        </w:rPr>
        <w:t>年</w:t>
      </w:r>
      <w:r>
        <w:rPr>
          <w:rFonts w:ascii="Arial" w:hAnsi="Arial" w:cs="Arial"/>
          <w:sz w:val="21"/>
          <w:szCs w:val="21"/>
        </w:rPr>
        <w:t>1</w:t>
      </w:r>
      <w:r>
        <w:rPr>
          <w:rFonts w:hint="eastAsia" w:ascii="Arial" w:hAnsi="Arial" w:cs="Arial"/>
          <w:sz w:val="21"/>
          <w:szCs w:val="21"/>
        </w:rPr>
        <w:t>月</w:t>
      </w:r>
      <w:r>
        <w:rPr>
          <w:rFonts w:ascii="Arial" w:hAnsi="Arial" w:cs="Arial"/>
          <w:sz w:val="21"/>
          <w:szCs w:val="21"/>
        </w:rPr>
        <w:t>1</w:t>
      </w:r>
      <w:r>
        <w:rPr>
          <w:rFonts w:hint="eastAsia" w:ascii="Arial" w:hAnsi="Arial" w:cs="Arial"/>
          <w:sz w:val="21"/>
          <w:szCs w:val="21"/>
        </w:rPr>
        <w:t>日起施行；</w:t>
      </w:r>
      <w:r>
        <w:rPr>
          <w:rFonts w:ascii="Arial" w:hAnsi="Arial" w:cs="Arial"/>
          <w:sz w:val="21"/>
          <w:szCs w:val="21"/>
        </w:rPr>
        <w:t>2007</w:t>
      </w:r>
      <w:r>
        <w:rPr>
          <w:rFonts w:hint="eastAsia" w:ascii="Arial" w:hAnsi="Arial" w:cs="Arial"/>
          <w:sz w:val="21"/>
          <w:szCs w:val="21"/>
        </w:rPr>
        <w:t>年</w:t>
      </w:r>
      <w:r>
        <w:rPr>
          <w:rFonts w:ascii="Arial" w:hAnsi="Arial" w:cs="Arial"/>
          <w:sz w:val="21"/>
          <w:szCs w:val="21"/>
        </w:rPr>
        <w:t>8</w:t>
      </w:r>
      <w:r>
        <w:rPr>
          <w:rFonts w:hint="eastAsia" w:ascii="Arial" w:hAnsi="Arial" w:cs="Arial"/>
          <w:sz w:val="21"/>
          <w:szCs w:val="21"/>
        </w:rPr>
        <w:t>月</w:t>
      </w:r>
      <w:r>
        <w:rPr>
          <w:rFonts w:ascii="Arial" w:hAnsi="Arial" w:cs="Arial"/>
          <w:sz w:val="21"/>
          <w:szCs w:val="21"/>
        </w:rPr>
        <w:t>30</w:t>
      </w:r>
      <w:r>
        <w:rPr>
          <w:rFonts w:hint="eastAsia" w:ascii="Arial" w:hAnsi="Arial" w:cs="Arial"/>
          <w:sz w:val="21"/>
          <w:szCs w:val="21"/>
        </w:rPr>
        <w:t>日第十届全国人民代表大会常务委员会第二十九次会议通过第一次修正通过，中华人民共和国主席令第</w:t>
      </w:r>
      <w:r>
        <w:rPr>
          <w:rFonts w:ascii="Arial" w:hAnsi="Arial" w:cs="Arial"/>
          <w:sz w:val="21"/>
          <w:szCs w:val="21"/>
        </w:rPr>
        <w:t>72</w:t>
      </w:r>
      <w:r>
        <w:rPr>
          <w:rFonts w:hint="eastAsia" w:ascii="Arial" w:hAnsi="Arial" w:cs="Arial"/>
          <w:sz w:val="21"/>
          <w:szCs w:val="21"/>
        </w:rPr>
        <w:t>号公布，自公布之日起施行；</w:t>
      </w:r>
      <w:r>
        <w:rPr>
          <w:rFonts w:ascii="Arial" w:hAnsi="Arial" w:cs="Arial"/>
          <w:sz w:val="21"/>
          <w:szCs w:val="21"/>
        </w:rPr>
        <w:t>2009</w:t>
      </w:r>
      <w:r>
        <w:rPr>
          <w:rFonts w:hint="eastAsia" w:ascii="Arial" w:hAnsi="Arial" w:cs="Arial"/>
          <w:sz w:val="21"/>
          <w:szCs w:val="21"/>
        </w:rPr>
        <w:t>年</w:t>
      </w:r>
      <w:r>
        <w:rPr>
          <w:rFonts w:ascii="Arial" w:hAnsi="Arial" w:cs="Arial"/>
          <w:sz w:val="21"/>
          <w:szCs w:val="21"/>
        </w:rPr>
        <w:t>8</w:t>
      </w:r>
      <w:r>
        <w:rPr>
          <w:rFonts w:hint="eastAsia" w:ascii="Arial" w:hAnsi="Arial" w:cs="Arial"/>
          <w:sz w:val="21"/>
          <w:szCs w:val="21"/>
        </w:rPr>
        <w:t>月</w:t>
      </w:r>
      <w:r>
        <w:rPr>
          <w:rFonts w:ascii="Arial" w:hAnsi="Arial" w:cs="Arial"/>
          <w:sz w:val="21"/>
          <w:szCs w:val="21"/>
        </w:rPr>
        <w:t>27</w:t>
      </w:r>
      <w:r>
        <w:rPr>
          <w:rFonts w:hint="eastAsia" w:ascii="Arial" w:hAnsi="Arial" w:cs="Arial"/>
          <w:sz w:val="21"/>
          <w:szCs w:val="21"/>
        </w:rPr>
        <w:t>日第十一届全国人民代表大会常务委员会第十次会议第二次修正通过，中华人民共和国主席令第</w:t>
      </w:r>
      <w:r>
        <w:rPr>
          <w:rFonts w:ascii="Arial" w:hAnsi="Arial" w:cs="Arial"/>
          <w:sz w:val="21"/>
          <w:szCs w:val="21"/>
        </w:rPr>
        <w:t>18</w:t>
      </w:r>
      <w:r>
        <w:rPr>
          <w:rFonts w:hint="eastAsia" w:ascii="Arial" w:hAnsi="Arial" w:cs="Arial"/>
          <w:sz w:val="21"/>
          <w:szCs w:val="21"/>
        </w:rPr>
        <w:t>号公布，自公布之日起施行；</w:t>
      </w:r>
      <w:r>
        <w:rPr>
          <w:rFonts w:ascii="Arial" w:hAnsi="Arial" w:cs="Arial"/>
          <w:sz w:val="21"/>
          <w:szCs w:val="21"/>
        </w:rPr>
        <w:t>2019</w:t>
      </w:r>
      <w:r>
        <w:rPr>
          <w:rFonts w:hint="eastAsia" w:ascii="Arial" w:hAnsi="Arial" w:cs="Arial"/>
          <w:sz w:val="21"/>
          <w:szCs w:val="21"/>
        </w:rPr>
        <w:t>年</w:t>
      </w:r>
      <w:r>
        <w:rPr>
          <w:rFonts w:ascii="Arial" w:hAnsi="Arial" w:cs="Arial"/>
          <w:sz w:val="21"/>
          <w:szCs w:val="21"/>
        </w:rPr>
        <w:t>8</w:t>
      </w:r>
      <w:r>
        <w:rPr>
          <w:rFonts w:hint="eastAsia" w:ascii="Arial" w:hAnsi="Arial" w:cs="Arial"/>
          <w:sz w:val="21"/>
          <w:szCs w:val="21"/>
        </w:rPr>
        <w:t>月</w:t>
      </w:r>
      <w:r>
        <w:rPr>
          <w:rFonts w:ascii="Arial" w:hAnsi="Arial" w:cs="Arial"/>
          <w:sz w:val="21"/>
          <w:szCs w:val="21"/>
        </w:rPr>
        <w:t>26</w:t>
      </w:r>
      <w:r>
        <w:rPr>
          <w:rFonts w:hint="eastAsia" w:ascii="Arial" w:hAnsi="Arial" w:cs="Arial"/>
          <w:sz w:val="21"/>
          <w:szCs w:val="21"/>
        </w:rPr>
        <w:t>日第十三届全国人大常委会第十二次会议通过第三次修正，自</w:t>
      </w:r>
      <w:r>
        <w:rPr>
          <w:rFonts w:ascii="Arial" w:hAnsi="Arial" w:cs="Arial"/>
          <w:sz w:val="21"/>
          <w:szCs w:val="21"/>
        </w:rPr>
        <w:t>2020</w:t>
      </w:r>
      <w:r>
        <w:rPr>
          <w:rFonts w:hint="eastAsia" w:ascii="Arial" w:hAnsi="Arial" w:cs="Arial"/>
          <w:sz w:val="21"/>
          <w:szCs w:val="21"/>
        </w:rPr>
        <w:t>年</w:t>
      </w:r>
      <w:r>
        <w:rPr>
          <w:rFonts w:ascii="Arial" w:hAnsi="Arial" w:cs="Arial"/>
          <w:sz w:val="21"/>
          <w:szCs w:val="21"/>
        </w:rPr>
        <w:t>1</w:t>
      </w:r>
      <w:r>
        <w:rPr>
          <w:rFonts w:hint="eastAsia" w:ascii="Arial" w:hAnsi="Arial" w:cs="Arial"/>
          <w:sz w:val="21"/>
          <w:szCs w:val="21"/>
        </w:rPr>
        <w:t>月</w:t>
      </w:r>
      <w:r>
        <w:rPr>
          <w:rFonts w:ascii="Arial" w:hAnsi="Arial" w:cs="Arial"/>
          <w:sz w:val="21"/>
          <w:szCs w:val="21"/>
        </w:rPr>
        <w:t>1</w:t>
      </w:r>
      <w:r>
        <w:rPr>
          <w:rFonts w:hint="eastAsia" w:ascii="Arial" w:hAnsi="Arial" w:cs="Arial"/>
          <w:sz w:val="21"/>
          <w:szCs w:val="21"/>
        </w:rPr>
        <w:t>日起施行）</w:t>
      </w:r>
    </w:p>
    <w:p>
      <w:pPr>
        <w:numPr>
          <w:ilvl w:val="0"/>
          <w:numId w:val="7"/>
        </w:numPr>
        <w:overflowPunct w:val="0"/>
        <w:spacing w:line="480" w:lineRule="auto"/>
        <w:ind w:left="0" w:firstLine="420" w:firstLineChars="200"/>
        <w:jc w:val="both"/>
        <w:textAlignment w:val="auto"/>
        <w:rPr>
          <w:rFonts w:ascii="Arial" w:hAnsi="Arial" w:cs="Arial"/>
          <w:sz w:val="21"/>
          <w:szCs w:val="21"/>
        </w:rPr>
      </w:pPr>
      <w:r>
        <w:rPr>
          <w:rFonts w:hint="eastAsia" w:ascii="Arial" w:hAnsi="Arial" w:cs="Arial"/>
          <w:sz w:val="21"/>
          <w:szCs w:val="21"/>
        </w:rPr>
        <w:t>《中华人民共和国城乡规划法》（</w:t>
      </w:r>
      <w:r>
        <w:rPr>
          <w:rFonts w:ascii="Arial" w:hAnsi="Arial" w:cs="Arial"/>
          <w:sz w:val="21"/>
          <w:szCs w:val="21"/>
        </w:rPr>
        <w:t xml:space="preserve">2007 </w:t>
      </w:r>
      <w:r>
        <w:rPr>
          <w:rFonts w:hint="eastAsia" w:ascii="Arial" w:hAnsi="Arial" w:cs="Arial"/>
          <w:sz w:val="21"/>
          <w:szCs w:val="21"/>
        </w:rPr>
        <w:t>年</w:t>
      </w:r>
      <w:r>
        <w:rPr>
          <w:rFonts w:ascii="Arial" w:hAnsi="Arial" w:cs="Arial"/>
          <w:sz w:val="21"/>
          <w:szCs w:val="21"/>
        </w:rPr>
        <w:t xml:space="preserve"> 10 </w:t>
      </w:r>
      <w:r>
        <w:rPr>
          <w:rFonts w:hint="eastAsia" w:ascii="Arial" w:hAnsi="Arial" w:cs="Arial"/>
          <w:sz w:val="21"/>
          <w:szCs w:val="21"/>
        </w:rPr>
        <w:t>月</w:t>
      </w:r>
      <w:r>
        <w:rPr>
          <w:rFonts w:ascii="Arial" w:hAnsi="Arial" w:cs="Arial"/>
          <w:sz w:val="21"/>
          <w:szCs w:val="21"/>
        </w:rPr>
        <w:t xml:space="preserve"> 28 </w:t>
      </w:r>
      <w:r>
        <w:rPr>
          <w:rFonts w:hint="eastAsia" w:ascii="Arial" w:hAnsi="Arial" w:cs="Arial"/>
          <w:sz w:val="21"/>
          <w:szCs w:val="21"/>
        </w:rPr>
        <w:t>日第十届全国人民代表大会常务委员会第三十次会议通过，中华人民共和国主席令第</w:t>
      </w:r>
      <w:r>
        <w:rPr>
          <w:rFonts w:ascii="Arial" w:hAnsi="Arial" w:cs="Arial"/>
          <w:sz w:val="21"/>
          <w:szCs w:val="21"/>
        </w:rPr>
        <w:t>74</w:t>
      </w:r>
      <w:r>
        <w:rPr>
          <w:rFonts w:hint="eastAsia" w:ascii="Arial" w:hAnsi="Arial" w:cs="Arial"/>
          <w:sz w:val="21"/>
          <w:szCs w:val="21"/>
        </w:rPr>
        <w:t>号，自公布之日起施行；根据</w:t>
      </w:r>
      <w:r>
        <w:rPr>
          <w:rFonts w:ascii="Arial" w:hAnsi="Arial" w:cs="Arial"/>
          <w:sz w:val="21"/>
          <w:szCs w:val="21"/>
        </w:rPr>
        <w:t xml:space="preserve"> 2015 </w:t>
      </w:r>
      <w:r>
        <w:rPr>
          <w:rFonts w:hint="eastAsia" w:ascii="Arial" w:hAnsi="Arial" w:cs="Arial"/>
          <w:sz w:val="21"/>
          <w:szCs w:val="21"/>
        </w:rPr>
        <w:t>年</w:t>
      </w:r>
      <w:r>
        <w:rPr>
          <w:rFonts w:ascii="Arial" w:hAnsi="Arial" w:cs="Arial"/>
          <w:sz w:val="21"/>
          <w:szCs w:val="21"/>
        </w:rPr>
        <w:t xml:space="preserve"> 4 </w:t>
      </w:r>
      <w:r>
        <w:rPr>
          <w:rFonts w:hint="eastAsia" w:ascii="Arial" w:hAnsi="Arial" w:cs="Arial"/>
          <w:sz w:val="21"/>
          <w:szCs w:val="21"/>
        </w:rPr>
        <w:t>月</w:t>
      </w:r>
      <w:r>
        <w:rPr>
          <w:rFonts w:ascii="Arial" w:hAnsi="Arial" w:cs="Arial"/>
          <w:sz w:val="21"/>
          <w:szCs w:val="21"/>
        </w:rPr>
        <w:t xml:space="preserve"> 24 </w:t>
      </w:r>
      <w:r>
        <w:rPr>
          <w:rFonts w:hint="eastAsia" w:ascii="Arial" w:hAnsi="Arial" w:cs="Arial"/>
          <w:sz w:val="21"/>
          <w:szCs w:val="21"/>
        </w:rPr>
        <w:t>日第十二届全国人民代表大会常务委员会第十四次会议通过第一次修正，中华人民共和国主席令第</w:t>
      </w:r>
      <w:r>
        <w:rPr>
          <w:rFonts w:ascii="Arial" w:hAnsi="Arial" w:cs="Arial"/>
          <w:sz w:val="21"/>
          <w:szCs w:val="21"/>
        </w:rPr>
        <w:t>23</w:t>
      </w:r>
      <w:r>
        <w:rPr>
          <w:rFonts w:hint="eastAsia" w:ascii="Arial" w:hAnsi="Arial" w:cs="Arial"/>
          <w:sz w:val="21"/>
          <w:szCs w:val="21"/>
        </w:rPr>
        <w:t>号公布，自公布之日起施行）</w:t>
      </w:r>
    </w:p>
    <w:p>
      <w:pPr>
        <w:numPr>
          <w:ilvl w:val="0"/>
          <w:numId w:val="7"/>
        </w:numPr>
        <w:overflowPunct w:val="0"/>
        <w:spacing w:line="480" w:lineRule="auto"/>
        <w:ind w:left="0" w:firstLine="420" w:firstLineChars="200"/>
        <w:jc w:val="both"/>
        <w:textAlignment w:val="auto"/>
        <w:rPr>
          <w:rFonts w:ascii="Arial" w:hAnsi="Arial" w:cs="Arial"/>
          <w:sz w:val="21"/>
          <w:szCs w:val="21"/>
        </w:rPr>
      </w:pPr>
      <w:r>
        <w:rPr>
          <w:rFonts w:hint="eastAsia" w:ascii="Arial" w:hAnsi="Arial" w:cs="Arial"/>
          <w:sz w:val="21"/>
          <w:szCs w:val="21"/>
        </w:rPr>
        <w:t>《中华人民共和国资产评估法》（</w:t>
      </w:r>
      <w:r>
        <w:rPr>
          <w:rFonts w:ascii="Arial" w:hAnsi="Arial" w:cs="Arial"/>
          <w:sz w:val="21"/>
          <w:szCs w:val="21"/>
        </w:rPr>
        <w:t>2016</w:t>
      </w:r>
      <w:r>
        <w:rPr>
          <w:rFonts w:hint="eastAsia" w:ascii="Arial" w:hAnsi="Arial" w:cs="Arial"/>
          <w:sz w:val="21"/>
          <w:szCs w:val="21"/>
        </w:rPr>
        <w:t>年</w:t>
      </w:r>
      <w:r>
        <w:rPr>
          <w:rFonts w:ascii="Arial" w:hAnsi="Arial" w:cs="Arial"/>
          <w:sz w:val="21"/>
          <w:szCs w:val="21"/>
        </w:rPr>
        <w:t>7</w:t>
      </w:r>
      <w:r>
        <w:rPr>
          <w:rFonts w:hint="eastAsia" w:ascii="Arial" w:hAnsi="Arial" w:cs="Arial"/>
          <w:sz w:val="21"/>
          <w:szCs w:val="21"/>
        </w:rPr>
        <w:t>月</w:t>
      </w:r>
      <w:r>
        <w:rPr>
          <w:rFonts w:ascii="Arial" w:hAnsi="Arial" w:cs="Arial"/>
          <w:sz w:val="21"/>
          <w:szCs w:val="21"/>
        </w:rPr>
        <w:t>2</w:t>
      </w:r>
      <w:r>
        <w:rPr>
          <w:rFonts w:hint="eastAsia" w:ascii="Arial" w:hAnsi="Arial" w:cs="Arial"/>
          <w:sz w:val="21"/>
          <w:szCs w:val="21"/>
        </w:rPr>
        <w:t>日第十二届全国人民代表大会常务委员会第二十一次会议通过，</w:t>
      </w:r>
      <w:r>
        <w:rPr>
          <w:rFonts w:ascii="Arial" w:hAnsi="Arial" w:cs="Arial"/>
          <w:sz w:val="21"/>
          <w:szCs w:val="21"/>
        </w:rPr>
        <w:t>2016</w:t>
      </w:r>
      <w:r>
        <w:rPr>
          <w:rFonts w:hint="eastAsia" w:ascii="Arial" w:hAnsi="Arial" w:cs="Arial"/>
          <w:sz w:val="21"/>
          <w:szCs w:val="21"/>
        </w:rPr>
        <w:t>年</w:t>
      </w:r>
      <w:r>
        <w:rPr>
          <w:rFonts w:ascii="Arial" w:hAnsi="Arial" w:cs="Arial"/>
          <w:sz w:val="21"/>
          <w:szCs w:val="21"/>
        </w:rPr>
        <w:t>3</w:t>
      </w:r>
      <w:r>
        <w:rPr>
          <w:rFonts w:hint="eastAsia" w:ascii="Arial" w:hAnsi="Arial" w:cs="Arial"/>
          <w:sz w:val="21"/>
          <w:szCs w:val="21"/>
        </w:rPr>
        <w:t>月</w:t>
      </w:r>
      <w:r>
        <w:rPr>
          <w:rFonts w:ascii="Arial" w:hAnsi="Arial" w:cs="Arial"/>
          <w:sz w:val="21"/>
          <w:szCs w:val="21"/>
        </w:rPr>
        <w:t>16</w:t>
      </w:r>
      <w:r>
        <w:rPr>
          <w:rFonts w:hint="eastAsia" w:ascii="Arial" w:hAnsi="Arial" w:cs="Arial"/>
          <w:sz w:val="21"/>
          <w:szCs w:val="21"/>
        </w:rPr>
        <w:t>日中华人民共和国主席令第</w:t>
      </w:r>
      <w:r>
        <w:rPr>
          <w:rFonts w:ascii="Arial" w:hAnsi="Arial" w:cs="Arial"/>
          <w:sz w:val="21"/>
          <w:szCs w:val="21"/>
        </w:rPr>
        <w:t>46</w:t>
      </w:r>
      <w:r>
        <w:rPr>
          <w:rFonts w:hint="eastAsia" w:ascii="Arial" w:hAnsi="Arial" w:cs="Arial"/>
          <w:sz w:val="21"/>
          <w:szCs w:val="21"/>
        </w:rPr>
        <w:t>号公布，自</w:t>
      </w:r>
      <w:r>
        <w:rPr>
          <w:rFonts w:ascii="Arial" w:hAnsi="Arial" w:cs="Arial"/>
          <w:sz w:val="21"/>
          <w:szCs w:val="21"/>
        </w:rPr>
        <w:t>2016</w:t>
      </w:r>
      <w:r>
        <w:rPr>
          <w:rFonts w:hint="eastAsia" w:ascii="Arial" w:hAnsi="Arial" w:cs="Arial"/>
          <w:sz w:val="21"/>
          <w:szCs w:val="21"/>
        </w:rPr>
        <w:t>年</w:t>
      </w:r>
      <w:r>
        <w:rPr>
          <w:rFonts w:ascii="Arial" w:hAnsi="Arial" w:cs="Arial"/>
          <w:sz w:val="21"/>
          <w:szCs w:val="21"/>
        </w:rPr>
        <w:t>12</w:t>
      </w:r>
      <w:r>
        <w:rPr>
          <w:rFonts w:hint="eastAsia" w:ascii="Arial" w:hAnsi="Arial" w:cs="Arial"/>
          <w:sz w:val="21"/>
          <w:szCs w:val="21"/>
        </w:rPr>
        <w:t>月</w:t>
      </w:r>
      <w:r>
        <w:rPr>
          <w:rFonts w:ascii="Arial" w:hAnsi="Arial" w:cs="Arial"/>
          <w:sz w:val="21"/>
          <w:szCs w:val="21"/>
        </w:rPr>
        <w:t>1</w:t>
      </w:r>
      <w:r>
        <w:rPr>
          <w:rFonts w:hint="eastAsia" w:ascii="Arial" w:hAnsi="Arial" w:cs="Arial"/>
          <w:sz w:val="21"/>
          <w:szCs w:val="21"/>
        </w:rPr>
        <w:t>日起施行）</w:t>
      </w:r>
    </w:p>
    <w:p>
      <w:pPr>
        <w:numPr>
          <w:ilvl w:val="0"/>
          <w:numId w:val="7"/>
        </w:numPr>
        <w:overflowPunct w:val="0"/>
        <w:spacing w:line="480" w:lineRule="auto"/>
        <w:ind w:left="0" w:firstLine="420" w:firstLineChars="200"/>
        <w:jc w:val="both"/>
        <w:textAlignment w:val="auto"/>
        <w:rPr>
          <w:rFonts w:ascii="Arial" w:hAnsi="Arial" w:cs="Arial"/>
          <w:sz w:val="21"/>
          <w:szCs w:val="21"/>
        </w:rPr>
      </w:pPr>
      <w:r>
        <w:rPr>
          <w:rFonts w:hint="eastAsia" w:ascii="Arial" w:hAnsi="Arial" w:cs="Arial"/>
          <w:sz w:val="21"/>
          <w:szCs w:val="21"/>
        </w:rPr>
        <w:t>《中华人民共和国民法典》（</w:t>
      </w:r>
      <w:r>
        <w:rPr>
          <w:rFonts w:ascii="Arial" w:hAnsi="Arial" w:cs="Arial"/>
          <w:sz w:val="21"/>
          <w:szCs w:val="21"/>
        </w:rPr>
        <w:t>2020</w:t>
      </w:r>
      <w:r>
        <w:rPr>
          <w:rFonts w:hint="eastAsia" w:ascii="Arial" w:hAnsi="Arial" w:cs="Arial"/>
          <w:sz w:val="21"/>
          <w:szCs w:val="21"/>
        </w:rPr>
        <w:t>年</w:t>
      </w:r>
      <w:r>
        <w:rPr>
          <w:rFonts w:ascii="Arial" w:hAnsi="Arial" w:cs="Arial"/>
          <w:sz w:val="21"/>
          <w:szCs w:val="21"/>
        </w:rPr>
        <w:t>5</w:t>
      </w:r>
      <w:r>
        <w:rPr>
          <w:rFonts w:hint="eastAsia" w:ascii="Arial" w:hAnsi="Arial" w:cs="Arial"/>
          <w:sz w:val="21"/>
          <w:szCs w:val="21"/>
        </w:rPr>
        <w:t>月</w:t>
      </w:r>
      <w:r>
        <w:rPr>
          <w:rFonts w:ascii="Arial" w:hAnsi="Arial" w:cs="Arial"/>
          <w:sz w:val="21"/>
          <w:szCs w:val="21"/>
        </w:rPr>
        <w:t>28</w:t>
      </w:r>
      <w:r>
        <w:rPr>
          <w:rFonts w:hint="eastAsia" w:ascii="Arial" w:hAnsi="Arial" w:cs="Arial"/>
          <w:sz w:val="21"/>
          <w:szCs w:val="21"/>
        </w:rPr>
        <w:t>日第十三届全国人大三次会议表决通过，自</w:t>
      </w:r>
      <w:r>
        <w:rPr>
          <w:rFonts w:ascii="Arial" w:hAnsi="Arial" w:cs="Arial"/>
          <w:sz w:val="21"/>
          <w:szCs w:val="21"/>
        </w:rPr>
        <w:t>2021</w:t>
      </w:r>
      <w:r>
        <w:rPr>
          <w:rFonts w:hint="eastAsia" w:ascii="Arial" w:hAnsi="Arial" w:cs="Arial"/>
          <w:sz w:val="21"/>
          <w:szCs w:val="21"/>
        </w:rPr>
        <w:t>年</w:t>
      </w:r>
      <w:r>
        <w:rPr>
          <w:rFonts w:ascii="Arial" w:hAnsi="Arial" w:cs="Arial"/>
          <w:sz w:val="21"/>
          <w:szCs w:val="21"/>
        </w:rPr>
        <w:t>1</w:t>
      </w:r>
      <w:r>
        <w:rPr>
          <w:rFonts w:hint="eastAsia" w:ascii="Arial" w:hAnsi="Arial" w:cs="Arial"/>
          <w:sz w:val="21"/>
          <w:szCs w:val="21"/>
        </w:rPr>
        <w:t>月</w:t>
      </w:r>
      <w:r>
        <w:rPr>
          <w:rFonts w:ascii="Arial" w:hAnsi="Arial" w:cs="Arial"/>
          <w:sz w:val="21"/>
          <w:szCs w:val="21"/>
        </w:rPr>
        <w:t>1</w:t>
      </w:r>
      <w:r>
        <w:rPr>
          <w:rFonts w:hint="eastAsia" w:ascii="Arial" w:hAnsi="Arial" w:cs="Arial"/>
          <w:sz w:val="21"/>
          <w:szCs w:val="21"/>
        </w:rPr>
        <w:t>日起施行）</w:t>
      </w:r>
    </w:p>
    <w:p>
      <w:pPr>
        <w:numPr>
          <w:ilvl w:val="0"/>
          <w:numId w:val="7"/>
        </w:numPr>
        <w:overflowPunct w:val="0"/>
        <w:spacing w:line="480" w:lineRule="auto"/>
        <w:ind w:left="0" w:firstLine="420" w:firstLineChars="200"/>
        <w:jc w:val="both"/>
        <w:textAlignment w:val="auto"/>
        <w:rPr>
          <w:rFonts w:ascii="Arial" w:hAnsi="Arial" w:cs="Arial"/>
          <w:sz w:val="21"/>
          <w:szCs w:val="21"/>
        </w:rPr>
      </w:pPr>
      <w:r>
        <w:rPr>
          <w:rFonts w:hint="eastAsia" w:ascii="Arial" w:hAnsi="Arial" w:cs="Arial"/>
          <w:sz w:val="21"/>
          <w:szCs w:val="21"/>
        </w:rPr>
        <w:t>《中华人民共和国城镇国有土地使用权出让和转让暂行条例》（</w:t>
      </w:r>
      <w:r>
        <w:rPr>
          <w:rFonts w:ascii="Arial" w:hAnsi="Arial" w:cs="Arial"/>
          <w:sz w:val="21"/>
          <w:szCs w:val="21"/>
        </w:rPr>
        <w:t>1990</w:t>
      </w:r>
      <w:r>
        <w:rPr>
          <w:rFonts w:hint="eastAsia" w:ascii="Arial" w:hAnsi="Arial" w:cs="Arial"/>
          <w:sz w:val="21"/>
          <w:szCs w:val="21"/>
        </w:rPr>
        <w:t>年</w:t>
      </w:r>
      <w:r>
        <w:rPr>
          <w:rFonts w:ascii="Arial" w:hAnsi="Arial" w:cs="Arial"/>
          <w:sz w:val="21"/>
          <w:szCs w:val="21"/>
        </w:rPr>
        <w:t>5</w:t>
      </w:r>
      <w:r>
        <w:rPr>
          <w:rFonts w:hint="eastAsia" w:ascii="Arial" w:hAnsi="Arial" w:cs="Arial"/>
          <w:sz w:val="21"/>
          <w:szCs w:val="21"/>
        </w:rPr>
        <w:t>月</w:t>
      </w:r>
      <w:r>
        <w:rPr>
          <w:rFonts w:ascii="Arial" w:hAnsi="Arial" w:cs="Arial"/>
          <w:sz w:val="21"/>
          <w:szCs w:val="21"/>
        </w:rPr>
        <w:t>19</w:t>
      </w:r>
      <w:r>
        <w:rPr>
          <w:rFonts w:hint="eastAsia" w:ascii="Arial" w:hAnsi="Arial" w:cs="Arial"/>
          <w:sz w:val="21"/>
          <w:szCs w:val="21"/>
        </w:rPr>
        <w:t>日中华人民共和国国务院令第</w:t>
      </w:r>
      <w:r>
        <w:rPr>
          <w:rFonts w:ascii="Arial" w:hAnsi="Arial" w:cs="Arial"/>
          <w:sz w:val="21"/>
          <w:szCs w:val="21"/>
        </w:rPr>
        <w:t>55</w:t>
      </w:r>
      <w:r>
        <w:rPr>
          <w:rFonts w:hint="eastAsia" w:ascii="Arial" w:hAnsi="Arial" w:cs="Arial"/>
          <w:sz w:val="21"/>
          <w:szCs w:val="21"/>
        </w:rPr>
        <w:t>号发布，自发布之日起施行）</w:t>
      </w:r>
    </w:p>
    <w:p>
      <w:pPr>
        <w:numPr>
          <w:ilvl w:val="0"/>
          <w:numId w:val="7"/>
        </w:numPr>
        <w:overflowPunct w:val="0"/>
        <w:spacing w:line="480" w:lineRule="auto"/>
        <w:ind w:left="0" w:firstLine="420" w:firstLineChars="200"/>
        <w:jc w:val="both"/>
        <w:textAlignment w:val="auto"/>
        <w:rPr>
          <w:rFonts w:ascii="Arial" w:hAnsi="Arial" w:cs="Arial"/>
          <w:sz w:val="21"/>
          <w:szCs w:val="21"/>
        </w:rPr>
      </w:pPr>
      <w:r>
        <w:rPr>
          <w:rFonts w:hint="eastAsia" w:ascii="Arial" w:hAnsi="Arial" w:cs="Arial"/>
          <w:sz w:val="21"/>
          <w:szCs w:val="21"/>
        </w:rPr>
        <w:t>《中华人民共和国土地管理法实施条例》（</w:t>
      </w:r>
      <w:r>
        <w:rPr>
          <w:rFonts w:ascii="Arial" w:hAnsi="Arial" w:cs="Arial"/>
          <w:sz w:val="21"/>
          <w:szCs w:val="21"/>
        </w:rPr>
        <w:t>1998</w:t>
      </w:r>
      <w:r>
        <w:rPr>
          <w:rFonts w:hint="eastAsia" w:ascii="Arial" w:hAnsi="Arial" w:cs="Arial"/>
          <w:sz w:val="21"/>
          <w:szCs w:val="21"/>
        </w:rPr>
        <w:t>年</w:t>
      </w:r>
      <w:r>
        <w:rPr>
          <w:rFonts w:ascii="Arial" w:hAnsi="Arial" w:cs="Arial"/>
          <w:sz w:val="21"/>
          <w:szCs w:val="21"/>
        </w:rPr>
        <w:t>12</w:t>
      </w:r>
      <w:r>
        <w:rPr>
          <w:rFonts w:hint="eastAsia" w:ascii="Arial" w:hAnsi="Arial" w:cs="Arial"/>
          <w:sz w:val="21"/>
          <w:szCs w:val="21"/>
        </w:rPr>
        <w:t>月</w:t>
      </w:r>
      <w:r>
        <w:rPr>
          <w:rFonts w:ascii="Arial" w:hAnsi="Arial" w:cs="Arial"/>
          <w:sz w:val="21"/>
          <w:szCs w:val="21"/>
        </w:rPr>
        <w:t>24</w:t>
      </w:r>
      <w:r>
        <w:rPr>
          <w:rFonts w:hint="eastAsia" w:ascii="Arial" w:hAnsi="Arial" w:cs="Arial"/>
          <w:sz w:val="21"/>
          <w:szCs w:val="21"/>
        </w:rPr>
        <w:t>日国务院第</w:t>
      </w:r>
      <w:r>
        <w:rPr>
          <w:rFonts w:ascii="Arial" w:hAnsi="Arial" w:cs="Arial"/>
          <w:sz w:val="21"/>
          <w:szCs w:val="21"/>
        </w:rPr>
        <w:t>12</w:t>
      </w:r>
      <w:r>
        <w:rPr>
          <w:rFonts w:hint="eastAsia" w:ascii="Arial" w:hAnsi="Arial" w:cs="Arial"/>
          <w:sz w:val="21"/>
          <w:szCs w:val="21"/>
        </w:rPr>
        <w:t>次常务会议通过</w:t>
      </w:r>
      <w:r>
        <w:rPr>
          <w:rFonts w:ascii="Arial" w:hAnsi="Arial" w:cs="Arial"/>
          <w:sz w:val="21"/>
          <w:szCs w:val="21"/>
        </w:rPr>
        <w:t xml:space="preserve"> </w:t>
      </w:r>
      <w:r>
        <w:rPr>
          <w:rFonts w:hint="eastAsia" w:ascii="Arial" w:hAnsi="Arial" w:cs="Arial"/>
          <w:sz w:val="21"/>
          <w:szCs w:val="21"/>
        </w:rPr>
        <w:t>，</w:t>
      </w:r>
      <w:r>
        <w:rPr>
          <w:rFonts w:ascii="Arial" w:hAnsi="Arial" w:cs="Arial"/>
          <w:sz w:val="21"/>
          <w:szCs w:val="21"/>
        </w:rPr>
        <w:t>1998</w:t>
      </w:r>
      <w:r>
        <w:rPr>
          <w:rFonts w:hint="eastAsia" w:ascii="Arial" w:hAnsi="Arial" w:cs="Arial"/>
          <w:sz w:val="21"/>
          <w:szCs w:val="21"/>
        </w:rPr>
        <w:t>年</w:t>
      </w:r>
      <w:r>
        <w:rPr>
          <w:rFonts w:ascii="Arial" w:hAnsi="Arial" w:cs="Arial"/>
          <w:sz w:val="21"/>
          <w:szCs w:val="21"/>
        </w:rPr>
        <w:t>12</w:t>
      </w:r>
      <w:r>
        <w:rPr>
          <w:rFonts w:hint="eastAsia" w:ascii="Arial" w:hAnsi="Arial" w:cs="Arial"/>
          <w:sz w:val="21"/>
          <w:szCs w:val="21"/>
        </w:rPr>
        <w:t>月</w:t>
      </w:r>
      <w:r>
        <w:rPr>
          <w:rFonts w:ascii="Arial" w:hAnsi="Arial" w:cs="Arial"/>
          <w:sz w:val="21"/>
          <w:szCs w:val="21"/>
        </w:rPr>
        <w:t>27</w:t>
      </w:r>
      <w:r>
        <w:rPr>
          <w:rFonts w:hint="eastAsia" w:ascii="Arial" w:hAnsi="Arial" w:cs="Arial"/>
          <w:sz w:val="21"/>
          <w:szCs w:val="21"/>
        </w:rPr>
        <w:t>日中华人民共和国国务院令第</w:t>
      </w:r>
      <w:r>
        <w:rPr>
          <w:rFonts w:ascii="Arial" w:hAnsi="Arial" w:cs="Arial"/>
          <w:sz w:val="21"/>
          <w:szCs w:val="21"/>
        </w:rPr>
        <w:t>256</w:t>
      </w:r>
      <w:r>
        <w:rPr>
          <w:rFonts w:hint="eastAsia" w:ascii="Arial" w:hAnsi="Arial" w:cs="Arial"/>
          <w:sz w:val="21"/>
          <w:szCs w:val="21"/>
        </w:rPr>
        <w:t>号发布，自</w:t>
      </w:r>
      <w:r>
        <w:rPr>
          <w:rFonts w:ascii="Arial" w:hAnsi="Arial" w:cs="Arial"/>
          <w:sz w:val="21"/>
          <w:szCs w:val="21"/>
        </w:rPr>
        <w:t>1999</w:t>
      </w:r>
      <w:r>
        <w:rPr>
          <w:rFonts w:hint="eastAsia" w:ascii="Arial" w:hAnsi="Arial" w:cs="Arial"/>
          <w:sz w:val="21"/>
          <w:szCs w:val="21"/>
        </w:rPr>
        <w:t>年</w:t>
      </w:r>
      <w:r>
        <w:rPr>
          <w:rFonts w:ascii="Arial" w:hAnsi="Arial" w:cs="Arial"/>
          <w:sz w:val="21"/>
          <w:szCs w:val="21"/>
        </w:rPr>
        <w:t>1</w:t>
      </w:r>
      <w:r>
        <w:rPr>
          <w:rFonts w:hint="eastAsia" w:ascii="Arial" w:hAnsi="Arial" w:cs="Arial"/>
          <w:sz w:val="21"/>
          <w:szCs w:val="21"/>
        </w:rPr>
        <w:t>月</w:t>
      </w:r>
      <w:r>
        <w:rPr>
          <w:rFonts w:ascii="Arial" w:hAnsi="Arial" w:cs="Arial"/>
          <w:sz w:val="21"/>
          <w:szCs w:val="21"/>
        </w:rPr>
        <w:t>1</w:t>
      </w:r>
      <w:r>
        <w:rPr>
          <w:rFonts w:hint="eastAsia" w:ascii="Arial" w:hAnsi="Arial" w:cs="Arial"/>
          <w:sz w:val="21"/>
          <w:szCs w:val="21"/>
        </w:rPr>
        <w:t>日起施行；</w:t>
      </w:r>
      <w:r>
        <w:rPr>
          <w:rFonts w:ascii="Arial" w:hAnsi="Arial" w:cs="Arial"/>
          <w:sz w:val="21"/>
          <w:szCs w:val="21"/>
        </w:rPr>
        <w:t>2010</w:t>
      </w:r>
      <w:r>
        <w:rPr>
          <w:rFonts w:hint="eastAsia" w:ascii="Arial" w:hAnsi="Arial" w:cs="Arial"/>
          <w:sz w:val="21"/>
          <w:szCs w:val="21"/>
        </w:rPr>
        <w:t>年</w:t>
      </w:r>
      <w:r>
        <w:rPr>
          <w:rFonts w:ascii="Arial" w:hAnsi="Arial" w:cs="Arial"/>
          <w:sz w:val="21"/>
          <w:szCs w:val="21"/>
        </w:rPr>
        <w:t>12</w:t>
      </w:r>
      <w:r>
        <w:rPr>
          <w:rFonts w:hint="eastAsia" w:ascii="Arial" w:hAnsi="Arial" w:cs="Arial"/>
          <w:sz w:val="21"/>
          <w:szCs w:val="21"/>
        </w:rPr>
        <w:t>月</w:t>
      </w:r>
      <w:r>
        <w:rPr>
          <w:rFonts w:ascii="Arial" w:hAnsi="Arial" w:cs="Arial"/>
          <w:sz w:val="21"/>
          <w:szCs w:val="21"/>
        </w:rPr>
        <w:t>29</w:t>
      </w:r>
      <w:r>
        <w:rPr>
          <w:rFonts w:hint="eastAsia" w:ascii="Arial" w:hAnsi="Arial" w:cs="Arial"/>
          <w:sz w:val="21"/>
          <w:szCs w:val="21"/>
        </w:rPr>
        <w:t>日国务院第</w:t>
      </w:r>
      <w:r>
        <w:rPr>
          <w:rFonts w:ascii="Arial" w:hAnsi="Arial" w:cs="Arial"/>
          <w:sz w:val="21"/>
          <w:szCs w:val="21"/>
        </w:rPr>
        <w:t>138</w:t>
      </w:r>
      <w:r>
        <w:rPr>
          <w:rFonts w:hint="eastAsia" w:ascii="Arial" w:hAnsi="Arial" w:cs="Arial"/>
          <w:sz w:val="21"/>
          <w:szCs w:val="21"/>
        </w:rPr>
        <w:t>次常务会议第一次修正通过，</w:t>
      </w:r>
      <w:r>
        <w:rPr>
          <w:rFonts w:ascii="Arial" w:hAnsi="Arial" w:cs="Arial"/>
          <w:sz w:val="21"/>
          <w:szCs w:val="21"/>
        </w:rPr>
        <w:t>2011</w:t>
      </w:r>
      <w:r>
        <w:rPr>
          <w:rFonts w:hint="eastAsia" w:ascii="Arial" w:hAnsi="Arial" w:cs="Arial"/>
          <w:sz w:val="21"/>
          <w:szCs w:val="21"/>
        </w:rPr>
        <w:t>年</w:t>
      </w:r>
      <w:r>
        <w:rPr>
          <w:rFonts w:ascii="Arial" w:hAnsi="Arial" w:cs="Arial"/>
          <w:sz w:val="21"/>
          <w:szCs w:val="21"/>
        </w:rPr>
        <w:t>1</w:t>
      </w:r>
      <w:r>
        <w:rPr>
          <w:rFonts w:hint="eastAsia" w:ascii="Arial" w:hAnsi="Arial" w:cs="Arial"/>
          <w:sz w:val="21"/>
          <w:szCs w:val="21"/>
        </w:rPr>
        <w:t>月</w:t>
      </w:r>
      <w:r>
        <w:rPr>
          <w:rFonts w:ascii="Arial" w:hAnsi="Arial" w:cs="Arial"/>
          <w:sz w:val="21"/>
          <w:szCs w:val="21"/>
        </w:rPr>
        <w:t>8</w:t>
      </w:r>
      <w:r>
        <w:rPr>
          <w:rFonts w:hint="eastAsia" w:ascii="Arial" w:hAnsi="Arial" w:cs="Arial"/>
          <w:sz w:val="21"/>
          <w:szCs w:val="21"/>
        </w:rPr>
        <w:t>日中华人民共和国国务院令第</w:t>
      </w:r>
      <w:r>
        <w:rPr>
          <w:rFonts w:ascii="Arial" w:hAnsi="Arial" w:cs="Arial"/>
          <w:sz w:val="21"/>
          <w:szCs w:val="21"/>
        </w:rPr>
        <w:t>588</w:t>
      </w:r>
      <w:r>
        <w:rPr>
          <w:rFonts w:hint="eastAsia" w:ascii="Arial" w:hAnsi="Arial" w:cs="Arial"/>
          <w:sz w:val="21"/>
          <w:szCs w:val="21"/>
        </w:rPr>
        <w:t>号发布，自发布之日起施行；</w:t>
      </w:r>
      <w:r>
        <w:rPr>
          <w:rFonts w:ascii="Arial" w:hAnsi="Arial" w:cs="Arial"/>
          <w:sz w:val="21"/>
          <w:szCs w:val="21"/>
        </w:rPr>
        <w:t>2014</w:t>
      </w:r>
      <w:r>
        <w:rPr>
          <w:rFonts w:hint="eastAsia" w:ascii="Arial" w:hAnsi="Arial" w:cs="Arial"/>
          <w:sz w:val="21"/>
          <w:szCs w:val="21"/>
        </w:rPr>
        <w:t>年</w:t>
      </w:r>
      <w:r>
        <w:rPr>
          <w:rFonts w:ascii="Arial" w:hAnsi="Arial" w:cs="Arial"/>
          <w:sz w:val="21"/>
          <w:szCs w:val="21"/>
        </w:rPr>
        <w:t>7</w:t>
      </w:r>
      <w:r>
        <w:rPr>
          <w:rFonts w:hint="eastAsia" w:ascii="Arial" w:hAnsi="Arial" w:cs="Arial"/>
          <w:sz w:val="21"/>
          <w:szCs w:val="21"/>
        </w:rPr>
        <w:t>月</w:t>
      </w:r>
      <w:r>
        <w:rPr>
          <w:rFonts w:ascii="Arial" w:hAnsi="Arial" w:cs="Arial"/>
          <w:sz w:val="21"/>
          <w:szCs w:val="21"/>
        </w:rPr>
        <w:t>9</w:t>
      </w:r>
      <w:r>
        <w:rPr>
          <w:rFonts w:hint="eastAsia" w:ascii="Arial" w:hAnsi="Arial" w:cs="Arial"/>
          <w:sz w:val="21"/>
          <w:szCs w:val="21"/>
        </w:rPr>
        <w:t>日国务院第</w:t>
      </w:r>
      <w:r>
        <w:rPr>
          <w:rFonts w:ascii="Arial" w:hAnsi="Arial" w:cs="Arial"/>
          <w:sz w:val="21"/>
          <w:szCs w:val="21"/>
        </w:rPr>
        <w:t>54</w:t>
      </w:r>
      <w:r>
        <w:rPr>
          <w:rFonts w:hint="eastAsia" w:ascii="Arial" w:hAnsi="Arial" w:cs="Arial"/>
          <w:sz w:val="21"/>
          <w:szCs w:val="21"/>
        </w:rPr>
        <w:t>次常务会议第二次修正通过，</w:t>
      </w:r>
      <w:r>
        <w:rPr>
          <w:rFonts w:ascii="Arial" w:hAnsi="Arial" w:cs="Arial"/>
          <w:sz w:val="21"/>
          <w:szCs w:val="21"/>
        </w:rPr>
        <w:t>2014</w:t>
      </w:r>
      <w:r>
        <w:rPr>
          <w:rFonts w:hint="eastAsia" w:ascii="Arial" w:hAnsi="Arial" w:cs="Arial"/>
          <w:sz w:val="21"/>
          <w:szCs w:val="21"/>
        </w:rPr>
        <w:t>年</w:t>
      </w:r>
      <w:r>
        <w:rPr>
          <w:rFonts w:ascii="Arial" w:hAnsi="Arial" w:cs="Arial"/>
          <w:sz w:val="21"/>
          <w:szCs w:val="21"/>
        </w:rPr>
        <w:t>7</w:t>
      </w:r>
      <w:r>
        <w:rPr>
          <w:rFonts w:hint="eastAsia" w:ascii="Arial" w:hAnsi="Arial" w:cs="Arial"/>
          <w:sz w:val="21"/>
          <w:szCs w:val="21"/>
        </w:rPr>
        <w:t>月</w:t>
      </w:r>
      <w:r>
        <w:rPr>
          <w:rFonts w:ascii="Arial" w:hAnsi="Arial" w:cs="Arial"/>
          <w:sz w:val="21"/>
          <w:szCs w:val="21"/>
        </w:rPr>
        <w:t>29</w:t>
      </w:r>
      <w:r>
        <w:rPr>
          <w:rFonts w:hint="eastAsia" w:ascii="Arial" w:hAnsi="Arial" w:cs="Arial"/>
          <w:sz w:val="21"/>
          <w:szCs w:val="21"/>
        </w:rPr>
        <w:t>日中华人民共和国国务院令第</w:t>
      </w:r>
      <w:r>
        <w:rPr>
          <w:rFonts w:ascii="Arial" w:hAnsi="Arial" w:cs="Arial"/>
          <w:sz w:val="21"/>
          <w:szCs w:val="21"/>
        </w:rPr>
        <w:t>653</w:t>
      </w:r>
      <w:r>
        <w:rPr>
          <w:rFonts w:hint="eastAsia" w:ascii="Arial" w:hAnsi="Arial" w:cs="Arial"/>
          <w:sz w:val="21"/>
          <w:szCs w:val="21"/>
        </w:rPr>
        <w:t>号公布，自公布之日起施行；</w:t>
      </w:r>
      <w:r>
        <w:rPr>
          <w:rFonts w:ascii="Arial" w:hAnsi="Arial" w:cs="Arial"/>
          <w:sz w:val="21"/>
          <w:szCs w:val="21"/>
        </w:rPr>
        <w:t>2021</w:t>
      </w:r>
      <w:r>
        <w:rPr>
          <w:rFonts w:hint="eastAsia" w:ascii="Arial" w:hAnsi="Arial" w:cs="Arial"/>
          <w:sz w:val="21"/>
          <w:szCs w:val="21"/>
        </w:rPr>
        <w:t>年</w:t>
      </w:r>
      <w:r>
        <w:rPr>
          <w:rFonts w:ascii="Arial" w:hAnsi="Arial" w:cs="Arial"/>
          <w:sz w:val="21"/>
          <w:szCs w:val="21"/>
        </w:rPr>
        <w:t>4</w:t>
      </w:r>
      <w:r>
        <w:rPr>
          <w:rFonts w:hint="eastAsia" w:ascii="Arial" w:hAnsi="Arial" w:cs="Arial"/>
          <w:sz w:val="21"/>
          <w:szCs w:val="21"/>
        </w:rPr>
        <w:t>月</w:t>
      </w:r>
      <w:r>
        <w:rPr>
          <w:rFonts w:ascii="Arial" w:hAnsi="Arial" w:cs="Arial"/>
          <w:sz w:val="21"/>
          <w:szCs w:val="21"/>
        </w:rPr>
        <w:t>21</w:t>
      </w:r>
      <w:r>
        <w:rPr>
          <w:rFonts w:hint="eastAsia" w:ascii="Arial" w:hAnsi="Arial" w:cs="Arial"/>
          <w:sz w:val="21"/>
          <w:szCs w:val="21"/>
        </w:rPr>
        <w:t>日，国务院第</w:t>
      </w:r>
      <w:r>
        <w:rPr>
          <w:rFonts w:ascii="Arial" w:hAnsi="Arial" w:cs="Arial"/>
          <w:sz w:val="21"/>
          <w:szCs w:val="21"/>
        </w:rPr>
        <w:t>132</w:t>
      </w:r>
      <w:r>
        <w:rPr>
          <w:rFonts w:hint="eastAsia" w:ascii="Arial" w:hAnsi="Arial" w:cs="Arial"/>
          <w:sz w:val="21"/>
          <w:szCs w:val="21"/>
        </w:rPr>
        <w:t>次会议第三次修订通过，</w:t>
      </w:r>
      <w:r>
        <w:rPr>
          <w:rFonts w:ascii="Arial" w:hAnsi="Arial" w:cs="Arial"/>
          <w:sz w:val="21"/>
          <w:szCs w:val="21"/>
        </w:rPr>
        <w:t>2021</w:t>
      </w:r>
      <w:r>
        <w:rPr>
          <w:rFonts w:hint="eastAsia" w:ascii="Arial" w:hAnsi="Arial" w:cs="Arial"/>
          <w:sz w:val="21"/>
          <w:szCs w:val="21"/>
        </w:rPr>
        <w:t>年</w:t>
      </w:r>
      <w:r>
        <w:rPr>
          <w:rFonts w:ascii="Arial" w:hAnsi="Arial" w:cs="Arial"/>
          <w:sz w:val="21"/>
          <w:szCs w:val="21"/>
        </w:rPr>
        <w:t>7</w:t>
      </w:r>
      <w:r>
        <w:rPr>
          <w:rFonts w:hint="eastAsia" w:ascii="Arial" w:hAnsi="Arial" w:cs="Arial"/>
          <w:sz w:val="21"/>
          <w:szCs w:val="21"/>
        </w:rPr>
        <w:t>月</w:t>
      </w:r>
      <w:r>
        <w:rPr>
          <w:rFonts w:ascii="Arial" w:hAnsi="Arial" w:cs="Arial"/>
          <w:sz w:val="21"/>
          <w:szCs w:val="21"/>
        </w:rPr>
        <w:t>2</w:t>
      </w:r>
      <w:r>
        <w:rPr>
          <w:rFonts w:hint="eastAsia" w:ascii="Arial" w:hAnsi="Arial" w:cs="Arial"/>
          <w:sz w:val="21"/>
          <w:szCs w:val="21"/>
        </w:rPr>
        <w:t>日中华人民共和国国务院令第</w:t>
      </w:r>
      <w:r>
        <w:rPr>
          <w:rFonts w:ascii="Arial" w:hAnsi="Arial" w:cs="Arial"/>
          <w:sz w:val="21"/>
          <w:szCs w:val="21"/>
        </w:rPr>
        <w:t>743</w:t>
      </w:r>
      <w:r>
        <w:rPr>
          <w:rFonts w:hint="eastAsia" w:ascii="Arial" w:hAnsi="Arial" w:cs="Arial"/>
          <w:sz w:val="21"/>
          <w:szCs w:val="21"/>
        </w:rPr>
        <w:t>号公布，自</w:t>
      </w:r>
      <w:r>
        <w:rPr>
          <w:rFonts w:ascii="Arial" w:hAnsi="Arial" w:cs="Arial"/>
          <w:sz w:val="21"/>
          <w:szCs w:val="21"/>
        </w:rPr>
        <w:t>2021</w:t>
      </w:r>
      <w:r>
        <w:rPr>
          <w:rFonts w:hint="eastAsia" w:ascii="Arial" w:hAnsi="Arial" w:cs="Arial"/>
          <w:sz w:val="21"/>
          <w:szCs w:val="21"/>
        </w:rPr>
        <w:t>年</w:t>
      </w:r>
      <w:r>
        <w:rPr>
          <w:rFonts w:ascii="Arial" w:hAnsi="Arial" w:cs="Arial"/>
          <w:sz w:val="21"/>
          <w:szCs w:val="21"/>
        </w:rPr>
        <w:t>9</w:t>
      </w:r>
      <w:r>
        <w:rPr>
          <w:rFonts w:hint="eastAsia" w:ascii="Arial" w:hAnsi="Arial" w:cs="Arial"/>
          <w:sz w:val="21"/>
          <w:szCs w:val="21"/>
        </w:rPr>
        <w:t>月</w:t>
      </w:r>
      <w:r>
        <w:rPr>
          <w:rFonts w:ascii="Arial" w:hAnsi="Arial" w:cs="Arial"/>
          <w:sz w:val="21"/>
          <w:szCs w:val="21"/>
        </w:rPr>
        <w:t>1</w:t>
      </w:r>
      <w:r>
        <w:rPr>
          <w:rFonts w:hint="eastAsia" w:ascii="Arial" w:hAnsi="Arial" w:cs="Arial"/>
          <w:sz w:val="21"/>
          <w:szCs w:val="21"/>
        </w:rPr>
        <w:t>日起施行）</w:t>
      </w:r>
    </w:p>
    <w:p>
      <w:pPr>
        <w:numPr>
          <w:ilvl w:val="0"/>
          <w:numId w:val="7"/>
        </w:numPr>
        <w:overflowPunct w:val="0"/>
        <w:spacing w:line="480" w:lineRule="auto"/>
        <w:ind w:left="0" w:firstLine="420" w:firstLineChars="200"/>
        <w:jc w:val="both"/>
        <w:textAlignment w:val="auto"/>
        <w:rPr>
          <w:rFonts w:ascii="Arial" w:hAnsi="Arial" w:cs="Arial"/>
          <w:sz w:val="21"/>
          <w:szCs w:val="21"/>
        </w:rPr>
      </w:pPr>
      <w:r>
        <w:rPr>
          <w:rFonts w:hint="eastAsia" w:ascii="Arial" w:hAnsi="Arial" w:cs="Arial"/>
          <w:sz w:val="21"/>
          <w:szCs w:val="21"/>
        </w:rPr>
        <w:t>《最高人民法院 关于人民法院确定财产处置参考价若干问题的规定》[法释[2018]15号]</w:t>
      </w:r>
    </w:p>
    <w:p>
      <w:pPr>
        <w:numPr>
          <w:ilvl w:val="0"/>
          <w:numId w:val="7"/>
        </w:numPr>
        <w:overflowPunct w:val="0"/>
        <w:spacing w:line="480" w:lineRule="auto"/>
        <w:ind w:left="0" w:firstLine="420" w:firstLineChars="200"/>
        <w:jc w:val="both"/>
        <w:textAlignment w:val="auto"/>
        <w:rPr>
          <w:rFonts w:ascii="Arial" w:hAnsi="Arial" w:cs="Arial"/>
          <w:sz w:val="21"/>
          <w:szCs w:val="21"/>
        </w:rPr>
      </w:pPr>
      <w:r>
        <w:rPr>
          <w:rFonts w:hint="eastAsia" w:ascii="Arial" w:hAnsi="Arial" w:cs="Arial"/>
          <w:sz w:val="21"/>
          <w:szCs w:val="21"/>
        </w:rPr>
        <w:t>《关于印发《人民法院委托评估工作规范》的通知》[法办]2018[273号]</w:t>
      </w:r>
    </w:p>
    <w:p>
      <w:pPr>
        <w:numPr>
          <w:ilvl w:val="0"/>
          <w:numId w:val="7"/>
        </w:numPr>
        <w:overflowPunct w:val="0"/>
        <w:spacing w:line="480" w:lineRule="auto"/>
        <w:ind w:left="0" w:firstLine="420" w:firstLineChars="200"/>
        <w:jc w:val="both"/>
        <w:textAlignment w:val="auto"/>
        <w:rPr>
          <w:rFonts w:ascii="Arial" w:hAnsi="Arial" w:cs="Arial"/>
          <w:sz w:val="21"/>
          <w:szCs w:val="21"/>
        </w:rPr>
      </w:pPr>
      <w:r>
        <w:rPr>
          <w:rFonts w:ascii="Arial" w:hAnsi="Arial" w:cs="Arial"/>
          <w:sz w:val="21"/>
          <w:szCs w:val="21"/>
        </w:rPr>
        <w:t>《房地产估价规范》[GB/T</w:t>
      </w:r>
      <w:r>
        <w:rPr>
          <w:rFonts w:hint="eastAsia" w:ascii="Arial" w:hAnsi="Arial" w:cs="Arial"/>
          <w:sz w:val="21"/>
          <w:szCs w:val="21"/>
        </w:rPr>
        <w:t xml:space="preserve"> </w:t>
      </w:r>
      <w:r>
        <w:rPr>
          <w:rFonts w:ascii="Arial" w:hAnsi="Arial" w:cs="Arial"/>
          <w:sz w:val="21"/>
          <w:szCs w:val="21"/>
        </w:rPr>
        <w:t>50291-2015]</w:t>
      </w:r>
    </w:p>
    <w:p>
      <w:pPr>
        <w:numPr>
          <w:ilvl w:val="0"/>
          <w:numId w:val="7"/>
        </w:numPr>
        <w:overflowPunct w:val="0"/>
        <w:spacing w:line="480" w:lineRule="auto"/>
        <w:ind w:left="0" w:firstLine="420" w:firstLineChars="200"/>
        <w:jc w:val="both"/>
        <w:textAlignment w:val="auto"/>
        <w:rPr>
          <w:rFonts w:ascii="Arial" w:hAnsi="Arial" w:cs="Arial"/>
          <w:bCs/>
          <w:spacing w:val="10"/>
          <w:sz w:val="21"/>
          <w:szCs w:val="21"/>
        </w:rPr>
      </w:pPr>
      <w:r>
        <w:rPr>
          <w:rFonts w:hint="eastAsia" w:ascii="Arial" w:hAnsi="Arial" w:cs="Arial"/>
          <w:sz w:val="21"/>
          <w:szCs w:val="21"/>
        </w:rPr>
        <w:t>《</w:t>
      </w:r>
      <w:r>
        <w:rPr>
          <w:rFonts w:ascii="Arial" w:hAnsi="Arial" w:cs="Arial"/>
          <w:sz w:val="21"/>
          <w:szCs w:val="21"/>
        </w:rPr>
        <w:t>房地产估价基本术语标</w:t>
      </w:r>
      <w:r>
        <w:rPr>
          <w:rFonts w:hint="eastAsia" w:ascii="Arial" w:hAnsi="Arial" w:cs="Arial"/>
          <w:bCs/>
          <w:spacing w:val="10"/>
          <w:sz w:val="21"/>
          <w:szCs w:val="21"/>
        </w:rPr>
        <w:t>准</w:t>
      </w:r>
      <w:r>
        <w:rPr>
          <w:rFonts w:hint="eastAsia" w:ascii="Arial" w:hAnsi="Arial" w:cs="Arial"/>
          <w:sz w:val="21"/>
          <w:szCs w:val="21"/>
        </w:rPr>
        <w:t>》</w:t>
      </w:r>
      <w:r>
        <w:rPr>
          <w:rFonts w:ascii="Arial" w:hAnsi="Arial" w:cs="Arial"/>
          <w:bCs/>
          <w:spacing w:val="10"/>
          <w:sz w:val="21"/>
          <w:szCs w:val="21"/>
        </w:rPr>
        <w:t>[GB/T</w:t>
      </w:r>
      <w:r>
        <w:rPr>
          <w:rFonts w:hint="eastAsia" w:ascii="Arial" w:hAnsi="Arial" w:cs="Arial"/>
          <w:bCs/>
          <w:spacing w:val="10"/>
          <w:sz w:val="21"/>
          <w:szCs w:val="21"/>
        </w:rPr>
        <w:t xml:space="preserve"> </w:t>
      </w:r>
      <w:r>
        <w:rPr>
          <w:rFonts w:ascii="Arial" w:hAnsi="Arial" w:cs="Arial"/>
          <w:bCs/>
          <w:spacing w:val="10"/>
          <w:sz w:val="21"/>
          <w:szCs w:val="21"/>
        </w:rPr>
        <w:t>50899-2013]</w:t>
      </w:r>
    </w:p>
    <w:p>
      <w:pPr>
        <w:numPr>
          <w:ilvl w:val="0"/>
          <w:numId w:val="7"/>
        </w:numPr>
        <w:overflowPunct w:val="0"/>
        <w:spacing w:line="480" w:lineRule="auto"/>
        <w:ind w:left="0" w:firstLine="420" w:firstLineChars="200"/>
        <w:jc w:val="both"/>
        <w:textAlignment w:val="auto"/>
        <w:rPr>
          <w:rFonts w:ascii="Arial" w:hAnsi="Arial" w:cs="Arial"/>
          <w:bCs/>
          <w:spacing w:val="10"/>
          <w:sz w:val="21"/>
          <w:szCs w:val="21"/>
        </w:rPr>
      </w:pPr>
      <w:r>
        <w:rPr>
          <w:rFonts w:ascii="Arial" w:hAnsi="Arial" w:cs="Arial"/>
          <w:sz w:val="21"/>
          <w:szCs w:val="21"/>
        </w:rPr>
        <w:t>《北京市人民政府关于更新出让国有建设用地使用权基准地价的通知》</w:t>
      </w:r>
      <w:r>
        <w:rPr>
          <w:rFonts w:ascii="Arial" w:hAnsi="Arial" w:cs="Arial"/>
          <w:bCs/>
          <w:spacing w:val="10"/>
          <w:sz w:val="21"/>
          <w:szCs w:val="21"/>
        </w:rPr>
        <w:t>[京政发[2014]26号]</w:t>
      </w:r>
      <w:r>
        <w:rPr>
          <w:rFonts w:hint="eastAsia" w:ascii="Arial" w:hAnsi="Arial" w:cs="Arial"/>
          <w:bCs/>
          <w:spacing w:val="10"/>
          <w:sz w:val="21"/>
          <w:szCs w:val="21"/>
        </w:rPr>
        <w:t xml:space="preserve"> </w:t>
      </w:r>
    </w:p>
    <w:p>
      <w:pPr>
        <w:overflowPunct w:val="0"/>
        <w:spacing w:line="480" w:lineRule="auto"/>
        <w:jc w:val="both"/>
        <w:textAlignment w:val="auto"/>
        <w:rPr>
          <w:rFonts w:ascii="Arial" w:hAnsi="Arial"/>
          <w:b/>
          <w:sz w:val="21"/>
          <w:szCs w:val="21"/>
        </w:rPr>
      </w:pPr>
      <w:r>
        <w:rPr>
          <w:rFonts w:hint="eastAsia" w:ascii="Arial" w:hAnsi="Arial"/>
          <w:b/>
          <w:sz w:val="21"/>
          <w:szCs w:val="21"/>
        </w:rPr>
        <w:t>（二）估价委托人提供的资料</w:t>
      </w:r>
    </w:p>
    <w:p>
      <w:pPr>
        <w:numPr>
          <w:ilvl w:val="0"/>
          <w:numId w:val="8"/>
        </w:numPr>
        <w:wordWrap w:val="0"/>
        <w:overflowPunct w:val="0"/>
        <w:spacing w:line="480" w:lineRule="auto"/>
        <w:jc w:val="both"/>
        <w:textAlignment w:val="auto"/>
        <w:rPr>
          <w:rFonts w:ascii="Arial" w:hAnsi="Arial" w:cs="Arial"/>
          <w:sz w:val="21"/>
          <w:szCs w:val="21"/>
        </w:rPr>
      </w:pPr>
      <w:r>
        <w:rPr>
          <w:rFonts w:hint="eastAsia" w:ascii="Arial" w:hAnsi="Arial" w:cs="Arial"/>
          <w:sz w:val="21"/>
          <w:szCs w:val="21"/>
        </w:rPr>
        <w:t>《临汾市尧都区人民法院委托书》[（2020）晋1002执2638号]</w:t>
      </w:r>
    </w:p>
    <w:p>
      <w:pPr>
        <w:numPr>
          <w:ilvl w:val="0"/>
          <w:numId w:val="8"/>
        </w:numPr>
        <w:wordWrap w:val="0"/>
        <w:overflowPunct w:val="0"/>
        <w:spacing w:line="480" w:lineRule="auto"/>
        <w:ind w:left="0" w:firstLine="420"/>
        <w:jc w:val="both"/>
        <w:textAlignment w:val="auto"/>
        <w:rPr>
          <w:rFonts w:ascii="Arial" w:hAnsi="Arial" w:cs="Arial"/>
          <w:sz w:val="21"/>
          <w:szCs w:val="21"/>
        </w:rPr>
      </w:pPr>
      <w:r>
        <w:rPr>
          <w:rFonts w:hint="eastAsia" w:ascii="Arial" w:hAnsi="Arial" w:cs="Arial"/>
          <w:sz w:val="21"/>
          <w:szCs w:val="21"/>
        </w:rPr>
        <w:t>《不动产权利及其他事项登记信息》[不动产单元号：110115003001GB00194F00050144]复印件</w:t>
      </w:r>
    </w:p>
    <w:p>
      <w:pPr>
        <w:numPr>
          <w:ilvl w:val="0"/>
          <w:numId w:val="8"/>
        </w:numPr>
        <w:wordWrap w:val="0"/>
        <w:overflowPunct w:val="0"/>
        <w:spacing w:line="480" w:lineRule="auto"/>
        <w:ind w:left="0" w:firstLine="420"/>
        <w:jc w:val="both"/>
        <w:textAlignment w:val="auto"/>
        <w:rPr>
          <w:rFonts w:ascii="Arial" w:hAnsi="Arial" w:cs="Arial"/>
          <w:sz w:val="21"/>
          <w:szCs w:val="21"/>
        </w:rPr>
      </w:pPr>
      <w:r>
        <w:rPr>
          <w:rFonts w:hint="eastAsia" w:ascii="Arial" w:hAnsi="Arial"/>
          <w:kern w:val="2"/>
          <w:sz w:val="21"/>
        </w:rPr>
        <w:t>《商品房买卖合同》[合同编号：0779997]部分复印件</w:t>
      </w:r>
    </w:p>
    <w:p>
      <w:pPr>
        <w:overflowPunct w:val="0"/>
        <w:spacing w:line="480" w:lineRule="auto"/>
        <w:jc w:val="both"/>
        <w:textAlignment w:val="auto"/>
        <w:rPr>
          <w:rFonts w:ascii="Arial" w:hAnsi="Arial"/>
          <w:b/>
          <w:sz w:val="21"/>
          <w:szCs w:val="21"/>
        </w:rPr>
      </w:pPr>
      <w:r>
        <w:rPr>
          <w:rFonts w:hint="eastAsia" w:ascii="Arial" w:hAnsi="Arial"/>
          <w:b/>
          <w:sz w:val="21"/>
          <w:szCs w:val="21"/>
        </w:rPr>
        <w:t>（三）评估专业人员实地查勘的有关资料</w:t>
      </w:r>
    </w:p>
    <w:p>
      <w:pPr>
        <w:overflowPunct w:val="0"/>
        <w:spacing w:line="480" w:lineRule="auto"/>
        <w:jc w:val="both"/>
        <w:textAlignment w:val="auto"/>
        <w:rPr>
          <w:rFonts w:ascii="Arial" w:hAnsi="Arial"/>
          <w:b/>
          <w:color w:val="000000"/>
          <w:sz w:val="21"/>
          <w:szCs w:val="21"/>
        </w:rPr>
      </w:pPr>
      <w:r>
        <w:rPr>
          <w:rFonts w:hint="eastAsia" w:ascii="Arial" w:hAnsi="Arial"/>
          <w:b/>
          <w:sz w:val="21"/>
          <w:szCs w:val="21"/>
        </w:rPr>
        <w:t>（四）房地产估价</w:t>
      </w:r>
      <w:r>
        <w:rPr>
          <w:rFonts w:hint="eastAsia" w:ascii="Arial" w:hAnsi="Arial"/>
          <w:b/>
          <w:color w:val="000000"/>
          <w:sz w:val="21"/>
          <w:szCs w:val="21"/>
        </w:rPr>
        <w:t>机构资质证书</w:t>
      </w:r>
    </w:p>
    <w:p>
      <w:pPr>
        <w:overflowPunct w:val="0"/>
        <w:spacing w:line="480" w:lineRule="auto"/>
        <w:ind w:firstLine="420" w:firstLineChars="200"/>
        <w:jc w:val="both"/>
        <w:textAlignment w:val="auto"/>
        <w:rPr>
          <w:rFonts w:ascii="Arial" w:hAnsi="Arial"/>
          <w:sz w:val="21"/>
          <w:szCs w:val="21"/>
        </w:rPr>
      </w:pPr>
      <w:bookmarkStart w:id="23" w:name="_Toc168225821"/>
    </w:p>
    <w:p>
      <w:pPr>
        <w:pStyle w:val="3"/>
        <w:numPr>
          <w:ilvl w:val="0"/>
          <w:numId w:val="0"/>
        </w:numPr>
        <w:tabs>
          <w:tab w:val="clear" w:pos="360"/>
        </w:tabs>
        <w:overflowPunct w:val="0"/>
        <w:spacing w:line="480" w:lineRule="auto"/>
        <w:ind w:left="358" w:hanging="358" w:hangingChars="170"/>
        <w:jc w:val="both"/>
        <w:textAlignment w:val="auto"/>
        <w:rPr>
          <w:rFonts w:eastAsia="宋体"/>
          <w:kern w:val="2"/>
          <w:sz w:val="21"/>
          <w:szCs w:val="21"/>
        </w:rPr>
      </w:pPr>
      <w:bookmarkStart w:id="24" w:name="_Toc500322972"/>
      <w:r>
        <w:rPr>
          <w:rFonts w:hint="eastAsia" w:eastAsia="宋体"/>
          <w:kern w:val="2"/>
          <w:sz w:val="21"/>
          <w:szCs w:val="21"/>
        </w:rPr>
        <w:t>十、估价方法</w:t>
      </w:r>
      <w:bookmarkEnd w:id="23"/>
      <w:bookmarkEnd w:id="24"/>
    </w:p>
    <w:p>
      <w:pPr>
        <w:pStyle w:val="40"/>
        <w:overflowPunct w:val="0"/>
        <w:autoSpaceDE w:val="0"/>
        <w:autoSpaceDN w:val="0"/>
        <w:spacing w:line="480" w:lineRule="auto"/>
        <w:ind w:right="140" w:firstLine="420" w:firstLineChars="200"/>
        <w:jc w:val="both"/>
        <w:textAlignment w:val="auto"/>
        <w:rPr>
          <w:rFonts w:ascii="Arial" w:hAnsi="Arial"/>
          <w:sz w:val="21"/>
          <w:szCs w:val="21"/>
        </w:rPr>
      </w:pPr>
      <w:r>
        <w:rPr>
          <w:rFonts w:ascii="Arial" w:hAnsi="Arial" w:cs="Arial"/>
          <w:sz w:val="21"/>
          <w:szCs w:val="21"/>
        </w:rPr>
        <w:t>由于本次评估是</w:t>
      </w:r>
      <w:r>
        <w:rPr>
          <w:rFonts w:hint="eastAsia" w:ascii="Arial" w:hAnsi="Arial"/>
          <w:kern w:val="2"/>
          <w:sz w:val="21"/>
        </w:rPr>
        <w:t>为人民法院确定财产处置参考价提供参考依据</w:t>
      </w:r>
      <w:r>
        <w:rPr>
          <w:rFonts w:ascii="Arial" w:hAnsi="Arial" w:cs="Arial"/>
          <w:sz w:val="21"/>
          <w:szCs w:val="21"/>
        </w:rPr>
        <w:t>，</w:t>
      </w:r>
      <w:r>
        <w:rPr>
          <w:rFonts w:hint="eastAsia" w:ascii="Arial" w:hAnsi="Arial" w:cs="Arial"/>
          <w:sz w:val="21"/>
          <w:szCs w:val="21"/>
        </w:rPr>
        <w:t>因此我们在认真分析研究估价对象的相关资料，并通过对邻近地区同类物业调查的基础上，根据《房地产估价规范》(GB/T 50291-2015)的估价程序，选用比较法、收益法</w:t>
      </w:r>
      <w:r>
        <w:rPr>
          <w:rFonts w:hint="eastAsia" w:ascii="Arial" w:hAnsi="Arial"/>
          <w:sz w:val="21"/>
          <w:szCs w:val="21"/>
        </w:rPr>
        <w:t>为评估方法进行估价。然后</w:t>
      </w:r>
      <w:r>
        <w:rPr>
          <w:rFonts w:hint="eastAsia" w:ascii="Arial" w:hAnsi="Arial" w:cs="Arial"/>
          <w:sz w:val="21"/>
          <w:szCs w:val="21"/>
        </w:rPr>
        <w:t>依据各方法的估价结果，算术平均确定</w:t>
      </w:r>
      <w:r>
        <w:rPr>
          <w:rFonts w:hint="eastAsia" w:ascii="Arial" w:hAnsi="Arial"/>
          <w:sz w:val="21"/>
          <w:szCs w:val="21"/>
        </w:rPr>
        <w:t>估价对象房地产市场价值</w:t>
      </w:r>
      <w:r>
        <w:rPr>
          <w:rFonts w:hint="eastAsia" w:ascii="Arial" w:hAnsi="Arial" w:cs="Arial"/>
          <w:sz w:val="21"/>
          <w:szCs w:val="21"/>
        </w:rPr>
        <w:t>。</w:t>
      </w:r>
    </w:p>
    <w:p>
      <w:pPr>
        <w:pStyle w:val="40"/>
        <w:overflowPunct w:val="0"/>
        <w:autoSpaceDE w:val="0"/>
        <w:autoSpaceDN w:val="0"/>
        <w:spacing w:line="480" w:lineRule="auto"/>
        <w:ind w:right="140" w:firstLine="420" w:firstLineChars="200"/>
        <w:jc w:val="both"/>
        <w:textAlignment w:val="auto"/>
        <w:rPr>
          <w:rFonts w:ascii="Arial" w:hAnsi="Arial"/>
          <w:sz w:val="21"/>
          <w:szCs w:val="21"/>
        </w:rPr>
      </w:pPr>
      <w:r>
        <w:rPr>
          <w:rFonts w:hint="eastAsia" w:ascii="Arial" w:hAnsi="Arial"/>
          <w:sz w:val="21"/>
          <w:szCs w:val="21"/>
        </w:rPr>
        <w:t>估价方法简述如下：</w:t>
      </w:r>
    </w:p>
    <w:p>
      <w:pPr>
        <w:pStyle w:val="40"/>
        <w:overflowPunct w:val="0"/>
        <w:autoSpaceDE w:val="0"/>
        <w:autoSpaceDN w:val="0"/>
        <w:spacing w:line="480" w:lineRule="auto"/>
        <w:ind w:right="6" w:firstLine="420" w:firstLineChars="200"/>
        <w:jc w:val="both"/>
        <w:textAlignment w:val="auto"/>
        <w:rPr>
          <w:rFonts w:ascii="Arial" w:hAnsi="Arial"/>
          <w:sz w:val="21"/>
          <w:szCs w:val="21"/>
        </w:rPr>
      </w:pPr>
      <w:r>
        <w:rPr>
          <w:rFonts w:hint="eastAsia" w:ascii="Arial" w:hAnsi="Arial"/>
          <w:sz w:val="21"/>
          <w:szCs w:val="21"/>
        </w:rPr>
        <w:t>比较法：比较法是选取一定数量的可比实例，将它们与估价对象进行比较，根据其间的差异对可比实例成交价格进行处理后得到估价对象价值或价格的方法。比较法主要用于同类房地产数量较多、经常发生交易且具有一定可比性的房地产。</w:t>
      </w:r>
    </w:p>
    <w:p>
      <w:pPr>
        <w:overflowPunct w:val="0"/>
        <w:spacing w:line="480" w:lineRule="auto"/>
        <w:ind w:firstLine="420" w:firstLineChars="200"/>
        <w:jc w:val="both"/>
        <w:textAlignment w:val="auto"/>
        <w:rPr>
          <w:rFonts w:ascii="Arial" w:hAnsi="Arial"/>
          <w:b/>
          <w:color w:val="E36C0A"/>
          <w:kern w:val="2"/>
          <w:sz w:val="21"/>
          <w:szCs w:val="21"/>
        </w:rPr>
      </w:pPr>
      <w:r>
        <w:rPr>
          <w:rFonts w:hint="eastAsia" w:ascii="Arial" w:hAnsi="Arial"/>
          <w:sz w:val="21"/>
          <w:szCs w:val="21"/>
        </w:rPr>
        <w:t>收益法：收益法是预测估价对象的未来收益，利用报酬率或资本化率、收益乘数将未来收益转换为价值得到估价价值或价格的方法。收益法适用于估价对象或其同类房地产通常有租金等经济收入的收益性房地产。</w:t>
      </w:r>
    </w:p>
    <w:p>
      <w:pPr>
        <w:overflowPunct w:val="0"/>
        <w:spacing w:line="480" w:lineRule="auto"/>
        <w:ind w:firstLine="420" w:firstLineChars="200"/>
        <w:jc w:val="both"/>
        <w:textAlignment w:val="auto"/>
        <w:rPr>
          <w:rFonts w:ascii="Arial" w:hAnsi="Arial"/>
          <w:sz w:val="21"/>
          <w:szCs w:val="21"/>
        </w:rPr>
      </w:pPr>
    </w:p>
    <w:p>
      <w:pPr>
        <w:pStyle w:val="3"/>
        <w:numPr>
          <w:ilvl w:val="0"/>
          <w:numId w:val="0"/>
        </w:numPr>
        <w:tabs>
          <w:tab w:val="clear" w:pos="360"/>
        </w:tabs>
        <w:overflowPunct w:val="0"/>
        <w:spacing w:line="480" w:lineRule="auto"/>
        <w:ind w:left="358" w:hanging="358" w:hangingChars="170"/>
        <w:jc w:val="both"/>
        <w:textAlignment w:val="auto"/>
        <w:rPr>
          <w:rFonts w:eastAsia="宋体"/>
          <w:kern w:val="2"/>
          <w:sz w:val="21"/>
          <w:szCs w:val="21"/>
        </w:rPr>
      </w:pPr>
      <w:bookmarkStart w:id="25" w:name="_Toc500322973"/>
      <w:r>
        <w:rPr>
          <w:rFonts w:hint="eastAsia" w:eastAsia="宋体"/>
          <w:kern w:val="2"/>
          <w:sz w:val="21"/>
          <w:szCs w:val="21"/>
        </w:rPr>
        <w:t>十一、</w:t>
      </w:r>
      <w:bookmarkStart w:id="26" w:name="_Toc168225822"/>
      <w:r>
        <w:rPr>
          <w:rFonts w:hint="eastAsia" w:eastAsia="宋体"/>
          <w:kern w:val="2"/>
          <w:sz w:val="21"/>
          <w:szCs w:val="21"/>
        </w:rPr>
        <w:t>估价结果</w:t>
      </w:r>
      <w:bookmarkEnd w:id="25"/>
      <w:bookmarkEnd w:id="26"/>
    </w:p>
    <w:p>
      <w:pPr>
        <w:overflowPunct w:val="0"/>
        <w:spacing w:line="480" w:lineRule="auto"/>
        <w:ind w:firstLine="420" w:firstLineChars="200"/>
        <w:jc w:val="both"/>
        <w:textAlignment w:val="auto"/>
        <w:rPr>
          <w:rFonts w:ascii="Arial" w:hAnsi="Arial"/>
          <w:sz w:val="21"/>
          <w:szCs w:val="21"/>
        </w:rPr>
      </w:pPr>
      <w:bookmarkStart w:id="27" w:name="_Toc168225824"/>
      <w:r>
        <w:rPr>
          <w:rFonts w:hint="eastAsia" w:ascii="Arial" w:hAnsi="Arial"/>
          <w:sz w:val="21"/>
          <w:szCs w:val="21"/>
        </w:rPr>
        <w:t>评估专业人员根据估价的目的，按照估价的程序，采用科学的估价方法，在认真分析现有资料的基础上，通过仔细测算和认真分析各种影响房地产价格的因素，确定估价对象在价值时点的</w:t>
      </w:r>
      <w:r>
        <w:rPr>
          <w:rFonts w:hint="eastAsia" w:ascii="Arial" w:hAnsi="Arial"/>
          <w:color w:val="000000"/>
          <w:sz w:val="21"/>
          <w:szCs w:val="21"/>
        </w:rPr>
        <w:t>房地产评估价值，详见估价结果一览表</w:t>
      </w:r>
      <w:r>
        <w:rPr>
          <w:rFonts w:hint="eastAsia" w:ascii="Arial" w:hAnsi="Arial"/>
          <w:sz w:val="21"/>
          <w:szCs w:val="21"/>
        </w:rPr>
        <w:t>。</w:t>
      </w:r>
    </w:p>
    <w:p>
      <w:pPr>
        <w:spacing w:line="240" w:lineRule="auto"/>
        <w:jc w:val="center"/>
        <w:rPr>
          <w:rFonts w:ascii="Arial" w:hAnsi="Arial" w:eastAsia="方正黑体简体"/>
          <w:szCs w:val="24"/>
        </w:rPr>
      </w:pPr>
      <w:r>
        <w:rPr>
          <w:rFonts w:hint="eastAsia" w:ascii="Arial" w:hAnsi="Arial" w:eastAsia="方正黑体简体"/>
          <w:szCs w:val="24"/>
        </w:rPr>
        <w:t>估价结果一览表</w:t>
      </w:r>
    </w:p>
    <w:tbl>
      <w:tblPr>
        <w:tblStyle w:val="32"/>
        <w:tblW w:w="9299" w:type="dxa"/>
        <w:jc w:val="center"/>
        <w:tblBorders>
          <w:top w:val="thinThickThinSmallGap" w:color="404040" w:sz="12" w:space="0"/>
          <w:left w:val="dotted" w:color="404040" w:sz="2" w:space="0"/>
          <w:bottom w:val="thinThickThinSmallGap" w:color="404040" w:sz="12" w:space="0"/>
          <w:right w:val="dotted" w:color="404040" w:sz="2" w:space="0"/>
          <w:insideH w:val="dotted" w:color="404040" w:sz="2" w:space="0"/>
          <w:insideV w:val="dotted" w:color="404040" w:sz="2" w:space="0"/>
        </w:tblBorders>
        <w:tblLayout w:type="fixed"/>
        <w:tblCellMar>
          <w:top w:w="85" w:type="dxa"/>
          <w:left w:w="85" w:type="dxa"/>
          <w:bottom w:w="85" w:type="dxa"/>
          <w:right w:w="85" w:type="dxa"/>
        </w:tblCellMar>
      </w:tblPr>
      <w:tblGrid>
        <w:gridCol w:w="2324"/>
        <w:gridCol w:w="1504"/>
        <w:gridCol w:w="2735"/>
        <w:gridCol w:w="2736"/>
      </w:tblGrid>
      <w:tr>
        <w:tblPrEx>
          <w:tblBorders>
            <w:top w:val="thinThickThinSmallGap" w:color="404040" w:sz="12" w:space="0"/>
            <w:left w:val="dotted" w:color="404040" w:sz="2" w:space="0"/>
            <w:bottom w:val="thinThickThinSmallGap" w:color="404040" w:sz="12" w:space="0"/>
            <w:right w:val="dotted" w:color="404040" w:sz="2" w:space="0"/>
            <w:insideH w:val="dotted" w:color="404040" w:sz="2" w:space="0"/>
            <w:insideV w:val="dotted" w:color="404040" w:sz="2" w:space="0"/>
          </w:tblBorders>
          <w:tblCellMar>
            <w:top w:w="85" w:type="dxa"/>
            <w:left w:w="85" w:type="dxa"/>
            <w:bottom w:w="85" w:type="dxa"/>
            <w:right w:w="85" w:type="dxa"/>
          </w:tblCellMar>
        </w:tblPrEx>
        <w:trPr>
          <w:jc w:val="center"/>
        </w:trPr>
        <w:tc>
          <w:tcPr>
            <w:tcW w:w="3828" w:type="dxa"/>
            <w:gridSpan w:val="2"/>
            <w:vAlign w:val="center"/>
          </w:tcPr>
          <w:p>
            <w:pPr>
              <w:widowControl/>
              <w:adjustRightInd/>
              <w:spacing w:line="240" w:lineRule="auto"/>
              <w:jc w:val="right"/>
              <w:textAlignment w:val="auto"/>
              <w:rPr>
                <w:rFonts w:ascii="Arial" w:hAnsi="Arial" w:eastAsia="华文细黑" w:cs="宋体"/>
                <w:color w:val="000000"/>
                <w:sz w:val="18"/>
                <w:szCs w:val="18"/>
              </w:rPr>
            </w:pPr>
            <w:r>
              <w:rPr>
                <w:rFonts w:ascii="Arial" w:hAnsi="Arial"/>
              </w:rPr>
              <mc:AlternateContent>
                <mc:Choice Requires="wps">
                  <w:drawing>
                    <wp:anchor distT="0" distB="0" distL="114300" distR="114300" simplePos="0" relativeHeight="251659264" behindDoc="0" locked="0" layoutInCell="1" allowOverlap="1">
                      <wp:simplePos x="0" y="0"/>
                      <wp:positionH relativeFrom="column">
                        <wp:posOffset>-64770</wp:posOffset>
                      </wp:positionH>
                      <wp:positionV relativeFrom="paragraph">
                        <wp:posOffset>-79375</wp:posOffset>
                      </wp:positionV>
                      <wp:extent cx="2442210" cy="448310"/>
                      <wp:effectExtent l="635" t="4445" r="14605" b="23495"/>
                      <wp:wrapNone/>
                      <wp:docPr id="1" name="直接连接符 60"/>
                      <wp:cNvGraphicFramePr/>
                      <a:graphic xmlns:a="http://schemas.openxmlformats.org/drawingml/2006/main">
                        <a:graphicData uri="http://schemas.microsoft.com/office/word/2010/wordprocessingShape">
                          <wps:wsp>
                            <wps:cNvCnPr/>
                            <wps:spPr>
                              <a:xfrm>
                                <a:off x="0" y="0"/>
                                <a:ext cx="2442210" cy="448310"/>
                              </a:xfrm>
                              <a:prstGeom prst="line">
                                <a:avLst/>
                              </a:prstGeom>
                              <a:ln w="6350" cap="flat" cmpd="sng">
                                <a:solidFill>
                                  <a:srgbClr val="404040"/>
                                </a:solidFill>
                                <a:prstDash val="sysDot"/>
                                <a:headEnd type="none" w="med" len="med"/>
                                <a:tailEnd type="none" w="med" len="med"/>
                              </a:ln>
                            </wps:spPr>
                            <wps:bodyPr/>
                          </wps:wsp>
                        </a:graphicData>
                      </a:graphic>
                    </wp:anchor>
                  </w:drawing>
                </mc:Choice>
                <mc:Fallback>
                  <w:pict>
                    <v:line id="直接连接符 60" o:spid="_x0000_s1026" o:spt="20" style="position:absolute;left:0pt;margin-left:-5.1pt;margin-top:-6.25pt;height:35.3pt;width:192.3pt;z-index:251659264;mso-width-relative:page;mso-height-relative:page;" filled="f" stroked="t" coordsize="21600,21600" o:gfxdata="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DZw4ca2gAAAAoBAAAPAAAAAAAAAAEAIAAAACIAAABkcnMvZG93bnJldi54bWxQSwEC&#10;FAAUAAAACACHTuJAVSxl1vIBAADfAwAADgAAAAAAAAABACAAAAApAQAAZHJzL2Uyb0RvYy54bWxQ&#10;SwUGAAAAAAYABgBZAQAAjQUAAAAA&#10;">
                      <v:fill on="f" focussize="0,0"/>
                      <v:stroke weight="0.5pt" color="#404040" joinstyle="round" dashstyle="1 1"/>
                      <v:imagedata o:title=""/>
                      <o:lock v:ext="edit" aspectratio="f"/>
                    </v:line>
                  </w:pict>
                </mc:Fallback>
              </mc:AlternateContent>
            </w:r>
            <w:r>
              <w:rPr>
                <w:rFonts w:hint="eastAsia" w:ascii="Arial" w:hAnsi="Arial" w:eastAsia="华文细黑" w:cs="宋体"/>
                <w:color w:val="000000"/>
                <w:sz w:val="18"/>
                <w:szCs w:val="18"/>
              </w:rPr>
              <w:t>估价方法</w:t>
            </w:r>
          </w:p>
          <w:p>
            <w:pPr>
              <w:spacing w:line="240" w:lineRule="auto"/>
              <w:rPr>
                <w:rFonts w:ascii="Arial" w:hAnsi="Arial" w:cs="Arial"/>
                <w:b/>
                <w:bCs/>
                <w:sz w:val="21"/>
                <w:szCs w:val="21"/>
              </w:rPr>
            </w:pPr>
            <w:r>
              <w:rPr>
                <w:rFonts w:hint="eastAsia" w:ascii="Arial" w:hAnsi="Arial" w:eastAsia="华文细黑" w:cs="宋体"/>
                <w:color w:val="000000"/>
                <w:sz w:val="18"/>
                <w:szCs w:val="18"/>
              </w:rPr>
              <w:t>估价对象及结果</w:t>
            </w:r>
          </w:p>
        </w:tc>
        <w:tc>
          <w:tcPr>
            <w:tcW w:w="2735" w:type="dxa"/>
            <w:vAlign w:val="center"/>
          </w:tcPr>
          <w:p>
            <w:pPr>
              <w:widowControl/>
              <w:adjustRightInd/>
              <w:spacing w:line="240" w:lineRule="auto"/>
              <w:textAlignment w:val="auto"/>
              <w:rPr>
                <w:rFonts w:ascii="Arial" w:hAnsi="Arial" w:eastAsia="华文细黑" w:cs="宋体"/>
                <w:color w:val="E36C0A"/>
                <w:sz w:val="18"/>
                <w:szCs w:val="18"/>
              </w:rPr>
            </w:pPr>
            <w:r>
              <w:rPr>
                <w:rFonts w:hint="eastAsia" w:ascii="Arial" w:hAnsi="Arial" w:eastAsia="华文细黑" w:cs="宋体"/>
                <w:sz w:val="18"/>
                <w:szCs w:val="18"/>
              </w:rPr>
              <w:t>比较法</w:t>
            </w:r>
          </w:p>
        </w:tc>
        <w:tc>
          <w:tcPr>
            <w:tcW w:w="2736" w:type="dxa"/>
            <w:vAlign w:val="center"/>
          </w:tcPr>
          <w:p>
            <w:pPr>
              <w:widowControl/>
              <w:adjustRightInd/>
              <w:spacing w:line="240" w:lineRule="auto"/>
              <w:textAlignment w:val="auto"/>
              <w:rPr>
                <w:rFonts w:ascii="Arial" w:hAnsi="Arial" w:eastAsia="华文细黑" w:cs="宋体"/>
                <w:color w:val="E36C0A"/>
                <w:sz w:val="18"/>
                <w:szCs w:val="18"/>
              </w:rPr>
            </w:pPr>
            <w:r>
              <w:rPr>
                <w:rFonts w:hint="eastAsia" w:ascii="Arial" w:hAnsi="Arial" w:eastAsia="华文细黑" w:cs="宋体"/>
                <w:sz w:val="18"/>
                <w:szCs w:val="18"/>
              </w:rPr>
              <w:t>收益法</w:t>
            </w:r>
          </w:p>
        </w:tc>
      </w:tr>
      <w:tr>
        <w:tblPrEx>
          <w:tblBorders>
            <w:top w:val="thinThickThinSmallGap" w:color="404040" w:sz="12" w:space="0"/>
            <w:left w:val="dotted" w:color="404040" w:sz="2" w:space="0"/>
            <w:bottom w:val="thinThickThinSmallGap" w:color="404040" w:sz="12" w:space="0"/>
            <w:right w:val="dotted" w:color="404040" w:sz="2" w:space="0"/>
            <w:insideH w:val="dotted" w:color="404040" w:sz="2" w:space="0"/>
            <w:insideV w:val="dotted" w:color="404040" w:sz="2" w:space="0"/>
          </w:tblBorders>
          <w:tblCellMar>
            <w:top w:w="85" w:type="dxa"/>
            <w:left w:w="85" w:type="dxa"/>
            <w:bottom w:w="85" w:type="dxa"/>
            <w:right w:w="85" w:type="dxa"/>
          </w:tblCellMar>
        </w:tblPrEx>
        <w:trPr>
          <w:jc w:val="center"/>
        </w:trPr>
        <w:tc>
          <w:tcPr>
            <w:tcW w:w="2324" w:type="dxa"/>
            <w:vAlign w:val="center"/>
          </w:tcPr>
          <w:p>
            <w:pPr>
              <w:widowControl/>
              <w:adjustRightInd/>
              <w:spacing w:line="240" w:lineRule="auto"/>
              <w:textAlignment w:val="auto"/>
              <w:rPr>
                <w:rFonts w:ascii="Arial" w:hAnsi="Arial" w:cs="Arial"/>
                <w:b/>
                <w:bCs/>
                <w:sz w:val="21"/>
                <w:szCs w:val="21"/>
              </w:rPr>
            </w:pPr>
            <w:r>
              <w:rPr>
                <w:rFonts w:hint="eastAsia" w:ascii="Arial" w:hAnsi="Arial" w:eastAsia="华文细黑" w:cs="宋体"/>
                <w:color w:val="000000"/>
                <w:sz w:val="18"/>
                <w:szCs w:val="18"/>
              </w:rPr>
              <w:t>测算结果</w:t>
            </w:r>
          </w:p>
        </w:tc>
        <w:tc>
          <w:tcPr>
            <w:tcW w:w="1504" w:type="dxa"/>
            <w:vAlign w:val="center"/>
          </w:tcPr>
          <w:p>
            <w:pPr>
              <w:widowControl/>
              <w:adjustRightInd/>
              <w:spacing w:line="240" w:lineRule="auto"/>
              <w:jc w:val="both"/>
              <w:textAlignment w:val="auto"/>
              <w:rPr>
                <w:rFonts w:ascii="Arial" w:hAnsi="Arial" w:eastAsia="华文细黑" w:cs="宋体"/>
                <w:color w:val="000000"/>
                <w:sz w:val="18"/>
                <w:szCs w:val="18"/>
              </w:rPr>
            </w:pPr>
            <w:r>
              <w:rPr>
                <w:rFonts w:hint="eastAsia" w:ascii="Arial" w:hAnsi="Arial" w:eastAsia="华文细黑" w:cs="宋体"/>
                <w:color w:val="000000"/>
                <w:sz w:val="18"/>
                <w:szCs w:val="18"/>
              </w:rPr>
              <w:t>单价</w:t>
            </w:r>
          </w:p>
        </w:tc>
        <w:tc>
          <w:tcPr>
            <w:tcW w:w="2735" w:type="dxa"/>
            <w:vAlign w:val="center"/>
          </w:tcPr>
          <w:p>
            <w:pPr>
              <w:widowControl/>
              <w:adjustRightInd/>
              <w:spacing w:line="240" w:lineRule="auto"/>
              <w:textAlignment w:val="auto"/>
              <w:rPr>
                <w:rFonts w:ascii="Arial" w:hAnsi="Arial" w:eastAsia="华文细黑" w:cs="Arial"/>
                <w:color w:val="000000"/>
                <w:sz w:val="18"/>
                <w:szCs w:val="18"/>
              </w:rPr>
            </w:pPr>
            <w:r>
              <w:rPr>
                <w:rFonts w:hint="eastAsia" w:ascii="Arial" w:hAnsi="Arial" w:eastAsia="华文细黑" w:cs="Arial"/>
                <w:color w:val="000000"/>
                <w:sz w:val="18"/>
                <w:szCs w:val="18"/>
              </w:rPr>
              <w:t>41978</w:t>
            </w:r>
          </w:p>
        </w:tc>
        <w:tc>
          <w:tcPr>
            <w:tcW w:w="2736" w:type="dxa"/>
            <w:vAlign w:val="center"/>
          </w:tcPr>
          <w:p>
            <w:pPr>
              <w:widowControl/>
              <w:adjustRightInd/>
              <w:spacing w:line="240" w:lineRule="auto"/>
              <w:textAlignment w:val="auto"/>
              <w:rPr>
                <w:rFonts w:ascii="Arial" w:hAnsi="Arial" w:eastAsia="华文细黑" w:cs="Arial"/>
                <w:color w:val="000000"/>
                <w:sz w:val="18"/>
                <w:szCs w:val="18"/>
              </w:rPr>
            </w:pPr>
            <w:r>
              <w:rPr>
                <w:rFonts w:hint="eastAsia" w:ascii="Arial" w:hAnsi="Arial" w:eastAsia="华文细黑" w:cs="Arial"/>
                <w:color w:val="000000"/>
                <w:sz w:val="18"/>
                <w:szCs w:val="18"/>
              </w:rPr>
              <w:t>12317</w:t>
            </w:r>
          </w:p>
        </w:tc>
      </w:tr>
      <w:tr>
        <w:tblPrEx>
          <w:tblBorders>
            <w:top w:val="thinThickThinSmallGap" w:color="404040" w:sz="12" w:space="0"/>
            <w:left w:val="dotted" w:color="404040" w:sz="2" w:space="0"/>
            <w:bottom w:val="thinThickThinSmallGap" w:color="404040" w:sz="12" w:space="0"/>
            <w:right w:val="dotted" w:color="404040" w:sz="2" w:space="0"/>
            <w:insideH w:val="dotted" w:color="404040" w:sz="2" w:space="0"/>
            <w:insideV w:val="dotted" w:color="404040" w:sz="2" w:space="0"/>
          </w:tblBorders>
          <w:tblCellMar>
            <w:top w:w="85" w:type="dxa"/>
            <w:left w:w="85" w:type="dxa"/>
            <w:bottom w:w="85" w:type="dxa"/>
            <w:right w:w="85" w:type="dxa"/>
          </w:tblCellMar>
        </w:tblPrEx>
        <w:trPr>
          <w:jc w:val="center"/>
        </w:trPr>
        <w:tc>
          <w:tcPr>
            <w:tcW w:w="2324" w:type="dxa"/>
            <w:vMerge w:val="restart"/>
            <w:vAlign w:val="center"/>
          </w:tcPr>
          <w:p>
            <w:pPr>
              <w:widowControl/>
              <w:adjustRightInd/>
              <w:spacing w:line="240" w:lineRule="auto"/>
              <w:textAlignment w:val="auto"/>
              <w:rPr>
                <w:rFonts w:ascii="Arial" w:hAnsi="Arial" w:eastAsia="华文细黑" w:cs="宋体"/>
                <w:color w:val="000000"/>
                <w:sz w:val="18"/>
                <w:szCs w:val="18"/>
              </w:rPr>
            </w:pPr>
            <w:r>
              <w:rPr>
                <w:rFonts w:hint="eastAsia" w:ascii="Arial" w:hAnsi="Arial" w:eastAsia="华文细黑" w:cs="宋体"/>
                <w:color w:val="000000"/>
                <w:sz w:val="18"/>
                <w:szCs w:val="18"/>
              </w:rPr>
              <w:t>评估价值</w:t>
            </w:r>
          </w:p>
        </w:tc>
        <w:tc>
          <w:tcPr>
            <w:tcW w:w="1504" w:type="dxa"/>
            <w:vAlign w:val="center"/>
          </w:tcPr>
          <w:p>
            <w:pPr>
              <w:widowControl/>
              <w:adjustRightInd/>
              <w:spacing w:line="240" w:lineRule="auto"/>
              <w:jc w:val="both"/>
              <w:textAlignment w:val="auto"/>
              <w:rPr>
                <w:rFonts w:ascii="Arial" w:hAnsi="Arial" w:eastAsia="华文细黑" w:cs="宋体"/>
                <w:color w:val="000000"/>
                <w:sz w:val="18"/>
                <w:szCs w:val="18"/>
              </w:rPr>
            </w:pPr>
            <w:r>
              <w:rPr>
                <w:rFonts w:hint="eastAsia" w:ascii="Arial" w:hAnsi="Arial" w:eastAsia="华文细黑" w:cs="宋体"/>
                <w:color w:val="000000"/>
                <w:sz w:val="18"/>
                <w:szCs w:val="18"/>
              </w:rPr>
              <w:t>总价</w:t>
            </w:r>
          </w:p>
        </w:tc>
        <w:tc>
          <w:tcPr>
            <w:tcW w:w="5471" w:type="dxa"/>
            <w:gridSpan w:val="2"/>
            <w:vAlign w:val="center"/>
          </w:tcPr>
          <w:p>
            <w:pPr>
              <w:widowControl/>
              <w:adjustRightInd/>
              <w:spacing w:line="240" w:lineRule="auto"/>
              <w:jc w:val="both"/>
              <w:textAlignment w:val="auto"/>
              <w:rPr>
                <w:rFonts w:ascii="Arial" w:hAnsi="Arial" w:eastAsia="华文细黑" w:cs="Arial"/>
                <w:color w:val="000000"/>
                <w:sz w:val="18"/>
                <w:szCs w:val="18"/>
              </w:rPr>
            </w:pPr>
            <w:r>
              <w:rPr>
                <w:rFonts w:hint="eastAsia" w:ascii="Arial" w:hAnsi="Arial" w:eastAsia="华文细黑" w:cs="Arial"/>
                <w:color w:val="000000"/>
                <w:sz w:val="18"/>
                <w:szCs w:val="18"/>
              </w:rPr>
              <w:t>4855757</w:t>
            </w:r>
          </w:p>
        </w:tc>
      </w:tr>
      <w:tr>
        <w:tblPrEx>
          <w:tblBorders>
            <w:top w:val="thinThickThinSmallGap" w:color="404040" w:sz="12" w:space="0"/>
            <w:left w:val="dotted" w:color="404040" w:sz="2" w:space="0"/>
            <w:bottom w:val="thinThickThinSmallGap" w:color="404040" w:sz="12" w:space="0"/>
            <w:right w:val="dotted" w:color="404040" w:sz="2" w:space="0"/>
            <w:insideH w:val="dotted" w:color="404040" w:sz="2" w:space="0"/>
            <w:insideV w:val="dotted" w:color="404040" w:sz="2" w:space="0"/>
          </w:tblBorders>
          <w:tblCellMar>
            <w:top w:w="85" w:type="dxa"/>
            <w:left w:w="85" w:type="dxa"/>
            <w:bottom w:w="85" w:type="dxa"/>
            <w:right w:w="85" w:type="dxa"/>
          </w:tblCellMar>
        </w:tblPrEx>
        <w:trPr>
          <w:jc w:val="center"/>
        </w:trPr>
        <w:tc>
          <w:tcPr>
            <w:tcW w:w="2324" w:type="dxa"/>
            <w:vMerge w:val="continue"/>
            <w:vAlign w:val="center"/>
          </w:tcPr>
          <w:p>
            <w:pPr>
              <w:spacing w:line="240" w:lineRule="auto"/>
              <w:rPr>
                <w:rFonts w:ascii="Arial" w:hAnsi="Arial" w:cs="Arial"/>
                <w:b/>
                <w:bCs/>
                <w:sz w:val="21"/>
                <w:szCs w:val="21"/>
              </w:rPr>
            </w:pPr>
          </w:p>
        </w:tc>
        <w:tc>
          <w:tcPr>
            <w:tcW w:w="1504" w:type="dxa"/>
            <w:vAlign w:val="center"/>
          </w:tcPr>
          <w:p>
            <w:pPr>
              <w:widowControl/>
              <w:adjustRightInd/>
              <w:spacing w:line="240" w:lineRule="auto"/>
              <w:jc w:val="both"/>
              <w:textAlignment w:val="auto"/>
              <w:rPr>
                <w:rFonts w:ascii="Arial" w:hAnsi="Arial" w:eastAsia="华文细黑" w:cs="宋体"/>
                <w:color w:val="000000"/>
                <w:sz w:val="18"/>
                <w:szCs w:val="18"/>
              </w:rPr>
            </w:pPr>
            <w:r>
              <w:rPr>
                <w:rFonts w:hint="eastAsia" w:ascii="Arial" w:hAnsi="Arial" w:eastAsia="华文细黑" w:cs="宋体"/>
                <w:color w:val="000000"/>
                <w:sz w:val="18"/>
                <w:szCs w:val="18"/>
              </w:rPr>
              <w:t>大写金额</w:t>
            </w:r>
          </w:p>
        </w:tc>
        <w:tc>
          <w:tcPr>
            <w:tcW w:w="5471" w:type="dxa"/>
            <w:gridSpan w:val="2"/>
            <w:vAlign w:val="center"/>
          </w:tcPr>
          <w:p>
            <w:pPr>
              <w:widowControl/>
              <w:adjustRightInd/>
              <w:spacing w:line="240" w:lineRule="auto"/>
              <w:jc w:val="both"/>
              <w:textAlignment w:val="auto"/>
              <w:rPr>
                <w:rFonts w:ascii="Arial" w:hAnsi="Arial" w:eastAsia="华文细黑" w:cs="宋体"/>
                <w:color w:val="000000"/>
                <w:sz w:val="18"/>
                <w:szCs w:val="18"/>
              </w:rPr>
            </w:pPr>
            <w:r>
              <w:rPr>
                <w:rFonts w:hint="eastAsia" w:ascii="Arial" w:hAnsi="Arial" w:eastAsia="华文细黑" w:cs="宋体"/>
                <w:color w:val="000000"/>
                <w:sz w:val="18"/>
                <w:szCs w:val="18"/>
              </w:rPr>
              <w:t>肆佰捌拾伍万伍仟柒佰伍拾柒元整</w:t>
            </w:r>
          </w:p>
        </w:tc>
      </w:tr>
      <w:tr>
        <w:tblPrEx>
          <w:tblBorders>
            <w:top w:val="thinThickThinSmallGap" w:color="404040" w:sz="12" w:space="0"/>
            <w:left w:val="dotted" w:color="404040" w:sz="2" w:space="0"/>
            <w:bottom w:val="thinThickThinSmallGap" w:color="404040" w:sz="12" w:space="0"/>
            <w:right w:val="dotted" w:color="404040" w:sz="2" w:space="0"/>
            <w:insideH w:val="dotted" w:color="404040" w:sz="2" w:space="0"/>
            <w:insideV w:val="dotted" w:color="404040" w:sz="2" w:space="0"/>
          </w:tblBorders>
          <w:tblCellMar>
            <w:top w:w="85" w:type="dxa"/>
            <w:left w:w="85" w:type="dxa"/>
            <w:bottom w:w="85" w:type="dxa"/>
            <w:right w:w="85" w:type="dxa"/>
          </w:tblCellMar>
        </w:tblPrEx>
        <w:trPr>
          <w:jc w:val="center"/>
        </w:trPr>
        <w:tc>
          <w:tcPr>
            <w:tcW w:w="2324" w:type="dxa"/>
            <w:vMerge w:val="continue"/>
            <w:vAlign w:val="center"/>
          </w:tcPr>
          <w:p>
            <w:pPr>
              <w:spacing w:line="240" w:lineRule="auto"/>
              <w:rPr>
                <w:rFonts w:ascii="Arial" w:hAnsi="Arial" w:cs="Arial"/>
                <w:b/>
                <w:bCs/>
                <w:sz w:val="21"/>
                <w:szCs w:val="21"/>
              </w:rPr>
            </w:pPr>
          </w:p>
        </w:tc>
        <w:tc>
          <w:tcPr>
            <w:tcW w:w="1504" w:type="dxa"/>
            <w:vAlign w:val="center"/>
          </w:tcPr>
          <w:p>
            <w:pPr>
              <w:widowControl/>
              <w:adjustRightInd/>
              <w:spacing w:line="240" w:lineRule="auto"/>
              <w:jc w:val="both"/>
              <w:textAlignment w:val="auto"/>
              <w:rPr>
                <w:rFonts w:ascii="Arial" w:hAnsi="Arial" w:eastAsia="华文细黑" w:cs="宋体"/>
                <w:color w:val="000000"/>
                <w:sz w:val="18"/>
                <w:szCs w:val="18"/>
              </w:rPr>
            </w:pPr>
            <w:r>
              <w:rPr>
                <w:rFonts w:hint="eastAsia" w:ascii="Arial" w:hAnsi="Arial" w:eastAsia="华文细黑" w:cs="宋体"/>
                <w:color w:val="000000"/>
                <w:sz w:val="18"/>
                <w:szCs w:val="18"/>
              </w:rPr>
              <w:t>单价</w:t>
            </w:r>
          </w:p>
        </w:tc>
        <w:tc>
          <w:tcPr>
            <w:tcW w:w="5471" w:type="dxa"/>
            <w:gridSpan w:val="2"/>
            <w:vAlign w:val="center"/>
          </w:tcPr>
          <w:p>
            <w:pPr>
              <w:widowControl/>
              <w:adjustRightInd/>
              <w:spacing w:line="240" w:lineRule="auto"/>
              <w:jc w:val="both"/>
              <w:textAlignment w:val="auto"/>
              <w:rPr>
                <w:rFonts w:ascii="Arial" w:hAnsi="Arial" w:eastAsia="华文细黑" w:cs="Arial"/>
                <w:color w:val="000000"/>
                <w:sz w:val="18"/>
                <w:szCs w:val="18"/>
              </w:rPr>
            </w:pPr>
            <w:r>
              <w:rPr>
                <w:rFonts w:hint="eastAsia" w:ascii="Arial" w:hAnsi="Arial" w:eastAsia="华文细黑" w:cs="Arial"/>
                <w:color w:val="000000"/>
                <w:sz w:val="18"/>
                <w:szCs w:val="18"/>
              </w:rPr>
              <w:t>36046</w:t>
            </w:r>
          </w:p>
        </w:tc>
      </w:tr>
    </w:tbl>
    <w:p>
      <w:pPr>
        <w:spacing w:line="360" w:lineRule="auto"/>
        <w:ind w:right="17"/>
        <w:rPr>
          <w:rFonts w:ascii="Arial" w:hAnsi="Arial" w:eastAsia="华文细黑" w:cs="Arial"/>
          <w:sz w:val="18"/>
          <w:szCs w:val="18"/>
        </w:rPr>
      </w:pPr>
      <w:r>
        <w:rPr>
          <w:rFonts w:hint="eastAsia" w:ascii="Arial" w:hAnsi="Arial" w:eastAsia="华文细黑"/>
          <w:sz w:val="18"/>
          <w:szCs w:val="18"/>
        </w:rPr>
        <w:t>单位：</w:t>
      </w:r>
      <w:r>
        <w:rPr>
          <w:rFonts w:ascii="Arial" w:hAnsi="Arial" w:eastAsia="华文细黑" w:cs="Arial"/>
          <w:sz w:val="18"/>
          <w:szCs w:val="18"/>
        </w:rPr>
        <w:t>元、元/平方米（币种：人民币）</w:t>
      </w:r>
    </w:p>
    <w:p>
      <w:pPr>
        <w:spacing w:line="360" w:lineRule="auto"/>
        <w:ind w:right="17"/>
        <w:rPr>
          <w:rFonts w:ascii="Arial" w:hAnsi="Arial" w:eastAsia="华文细黑"/>
          <w:sz w:val="18"/>
          <w:szCs w:val="18"/>
        </w:rPr>
      </w:pPr>
    </w:p>
    <w:p>
      <w:pPr>
        <w:spacing w:line="240" w:lineRule="auto"/>
        <w:jc w:val="center"/>
        <w:rPr>
          <w:rFonts w:ascii="Arial" w:hAnsi="Arial" w:eastAsia="方正黑体简体"/>
          <w:bCs/>
          <w:color w:val="000000"/>
          <w:szCs w:val="24"/>
        </w:rPr>
      </w:pPr>
      <w:r>
        <w:rPr>
          <w:rFonts w:hint="eastAsia" w:ascii="Arial" w:hAnsi="Arial" w:eastAsia="方正黑体简体"/>
          <w:bCs/>
          <w:color w:val="000000"/>
          <w:szCs w:val="24"/>
        </w:rPr>
        <w:t>特殊事项说明表</w:t>
      </w:r>
    </w:p>
    <w:tbl>
      <w:tblPr>
        <w:tblStyle w:val="32"/>
        <w:tblW w:w="9299" w:type="dxa"/>
        <w:jc w:val="center"/>
        <w:tblBorders>
          <w:top w:val="thinThickThinSmallGap" w:color="404040" w:sz="12" w:space="0"/>
          <w:left w:val="dotted" w:color="404040" w:sz="2" w:space="0"/>
          <w:bottom w:val="thinThickThinSmallGap" w:color="404040" w:sz="12" w:space="0"/>
          <w:right w:val="dotted" w:color="404040" w:sz="2" w:space="0"/>
          <w:insideH w:val="dotted" w:color="404040" w:sz="2" w:space="0"/>
          <w:insideV w:val="dotted" w:color="404040" w:sz="2" w:space="0"/>
        </w:tblBorders>
        <w:tblLayout w:type="fixed"/>
        <w:tblCellMar>
          <w:top w:w="85" w:type="dxa"/>
          <w:left w:w="85" w:type="dxa"/>
          <w:bottom w:w="85" w:type="dxa"/>
          <w:right w:w="85" w:type="dxa"/>
        </w:tblCellMar>
      </w:tblPr>
      <w:tblGrid>
        <w:gridCol w:w="2054"/>
        <w:gridCol w:w="1458"/>
        <w:gridCol w:w="1581"/>
        <w:gridCol w:w="1451"/>
        <w:gridCol w:w="1453"/>
        <w:gridCol w:w="1302"/>
      </w:tblGrid>
      <w:tr>
        <w:tblPrEx>
          <w:tblBorders>
            <w:top w:val="thinThickThinSmallGap" w:color="404040" w:sz="12" w:space="0"/>
            <w:left w:val="dotted" w:color="404040" w:sz="2" w:space="0"/>
            <w:bottom w:val="thinThickThinSmallGap" w:color="404040" w:sz="12" w:space="0"/>
            <w:right w:val="dotted" w:color="404040" w:sz="2" w:space="0"/>
            <w:insideH w:val="dotted" w:color="404040" w:sz="2" w:space="0"/>
            <w:insideV w:val="dotted" w:color="404040" w:sz="2" w:space="0"/>
          </w:tblBorders>
          <w:tblCellMar>
            <w:top w:w="85" w:type="dxa"/>
            <w:left w:w="85" w:type="dxa"/>
            <w:bottom w:w="85" w:type="dxa"/>
            <w:right w:w="85" w:type="dxa"/>
          </w:tblCellMar>
        </w:tblPrEx>
        <w:trPr>
          <w:cantSplit/>
          <w:jc w:val="center"/>
        </w:trPr>
        <w:tc>
          <w:tcPr>
            <w:tcW w:w="1105" w:type="pct"/>
            <w:noWrap/>
            <w:tcMar>
              <w:top w:w="16" w:type="dxa"/>
              <w:left w:w="16" w:type="dxa"/>
              <w:bottom w:w="0" w:type="dxa"/>
              <w:right w:w="16" w:type="dxa"/>
            </w:tcMar>
            <w:vAlign w:val="center"/>
          </w:tcPr>
          <w:p>
            <w:pPr>
              <w:spacing w:line="240" w:lineRule="auto"/>
              <w:rPr>
                <w:rFonts w:ascii="Arial" w:hAnsi="Arial" w:eastAsia="华文细黑"/>
                <w:b/>
                <w:bCs/>
                <w:sz w:val="18"/>
                <w:szCs w:val="18"/>
              </w:rPr>
            </w:pPr>
            <w:r>
              <w:rPr>
                <w:rFonts w:hint="eastAsia" w:ascii="Arial" w:hAnsi="Arial" w:eastAsia="华文细黑"/>
                <w:b/>
                <w:bCs/>
                <w:sz w:val="18"/>
                <w:szCs w:val="18"/>
              </w:rPr>
              <w:t>房屋性质</w:t>
            </w:r>
          </w:p>
        </w:tc>
        <w:tc>
          <w:tcPr>
            <w:tcW w:w="784" w:type="pct"/>
            <w:vAlign w:val="center"/>
          </w:tcPr>
          <w:p>
            <w:pPr>
              <w:spacing w:line="240" w:lineRule="auto"/>
              <w:rPr>
                <w:rFonts w:ascii="Arial" w:hAnsi="Arial" w:eastAsia="华文细黑"/>
                <w:b/>
                <w:bCs/>
                <w:sz w:val="18"/>
                <w:szCs w:val="18"/>
              </w:rPr>
            </w:pPr>
            <w:r>
              <w:rPr>
                <w:rFonts w:hint="eastAsia" w:ascii="Arial" w:hAnsi="Arial" w:eastAsia="华文细黑"/>
                <w:sz w:val="18"/>
                <w:szCs w:val="18"/>
              </w:rPr>
              <w:t>商品房</w:t>
            </w:r>
          </w:p>
        </w:tc>
        <w:tc>
          <w:tcPr>
            <w:tcW w:w="850" w:type="pct"/>
            <w:vAlign w:val="center"/>
          </w:tcPr>
          <w:p>
            <w:pPr>
              <w:spacing w:line="240" w:lineRule="auto"/>
              <w:rPr>
                <w:rFonts w:ascii="Arial" w:hAnsi="Arial" w:eastAsia="华文细黑"/>
                <w:b/>
                <w:sz w:val="18"/>
                <w:szCs w:val="18"/>
              </w:rPr>
            </w:pPr>
            <w:r>
              <w:rPr>
                <w:rFonts w:hint="eastAsia" w:ascii="Arial" w:hAnsi="Arial" w:eastAsia="华文细黑"/>
                <w:b/>
                <w:sz w:val="18"/>
                <w:szCs w:val="18"/>
              </w:rPr>
              <w:t>规划用途</w:t>
            </w:r>
          </w:p>
        </w:tc>
        <w:tc>
          <w:tcPr>
            <w:tcW w:w="780" w:type="pct"/>
            <w:vAlign w:val="center"/>
          </w:tcPr>
          <w:p>
            <w:pPr>
              <w:spacing w:line="240" w:lineRule="auto"/>
              <w:rPr>
                <w:rFonts w:ascii="Arial" w:hAnsi="Arial" w:eastAsia="华文细黑"/>
                <w:sz w:val="18"/>
                <w:szCs w:val="18"/>
              </w:rPr>
            </w:pPr>
            <w:r>
              <w:rPr>
                <w:rFonts w:hint="eastAsia" w:ascii="Arial" w:hAnsi="Arial" w:eastAsia="华文细黑"/>
                <w:sz w:val="18"/>
                <w:szCs w:val="18"/>
              </w:rPr>
              <w:t>住宅（居住）</w:t>
            </w:r>
          </w:p>
        </w:tc>
        <w:tc>
          <w:tcPr>
            <w:tcW w:w="781" w:type="pct"/>
            <w:vAlign w:val="center"/>
          </w:tcPr>
          <w:p>
            <w:pPr>
              <w:spacing w:line="240" w:lineRule="auto"/>
              <w:rPr>
                <w:rFonts w:ascii="Arial" w:hAnsi="Arial" w:eastAsia="华文细黑"/>
                <w:sz w:val="18"/>
                <w:szCs w:val="18"/>
              </w:rPr>
            </w:pPr>
            <w:r>
              <w:rPr>
                <w:rFonts w:hint="eastAsia" w:ascii="Arial" w:hAnsi="Arial" w:eastAsia="华文细黑"/>
                <w:b/>
                <w:sz w:val="18"/>
                <w:szCs w:val="18"/>
              </w:rPr>
              <w:t>现状用途</w:t>
            </w:r>
          </w:p>
        </w:tc>
        <w:tc>
          <w:tcPr>
            <w:tcW w:w="700" w:type="pct"/>
            <w:vAlign w:val="center"/>
          </w:tcPr>
          <w:p>
            <w:pPr>
              <w:spacing w:line="240" w:lineRule="auto"/>
              <w:rPr>
                <w:rFonts w:ascii="Arial" w:hAnsi="Arial" w:eastAsia="华文细黑"/>
                <w:sz w:val="18"/>
                <w:szCs w:val="18"/>
              </w:rPr>
            </w:pPr>
            <w:r>
              <w:rPr>
                <w:rFonts w:hint="eastAsia" w:ascii="Arial" w:hAnsi="Arial" w:eastAsia="华文细黑"/>
                <w:sz w:val="18"/>
                <w:szCs w:val="18"/>
              </w:rPr>
              <w:t>住宅（居住）</w:t>
            </w:r>
          </w:p>
        </w:tc>
      </w:tr>
      <w:tr>
        <w:tblPrEx>
          <w:tblBorders>
            <w:top w:val="thinThickThinSmallGap" w:color="404040" w:sz="12" w:space="0"/>
            <w:left w:val="dotted" w:color="404040" w:sz="2" w:space="0"/>
            <w:bottom w:val="thinThickThinSmallGap" w:color="404040" w:sz="12" w:space="0"/>
            <w:right w:val="dotted" w:color="404040" w:sz="2" w:space="0"/>
            <w:insideH w:val="dotted" w:color="404040" w:sz="2" w:space="0"/>
            <w:insideV w:val="dotted" w:color="404040" w:sz="2" w:space="0"/>
          </w:tblBorders>
          <w:tblCellMar>
            <w:top w:w="85" w:type="dxa"/>
            <w:left w:w="85" w:type="dxa"/>
            <w:bottom w:w="85" w:type="dxa"/>
            <w:right w:w="85" w:type="dxa"/>
          </w:tblCellMar>
        </w:tblPrEx>
        <w:trPr>
          <w:cantSplit/>
          <w:jc w:val="center"/>
        </w:trPr>
        <w:tc>
          <w:tcPr>
            <w:tcW w:w="1105" w:type="pct"/>
            <w:noWrap/>
            <w:tcMar>
              <w:top w:w="16" w:type="dxa"/>
              <w:left w:w="16" w:type="dxa"/>
              <w:bottom w:w="0" w:type="dxa"/>
              <w:right w:w="16" w:type="dxa"/>
            </w:tcMar>
            <w:vAlign w:val="center"/>
          </w:tcPr>
          <w:p>
            <w:pPr>
              <w:spacing w:line="240" w:lineRule="auto"/>
              <w:rPr>
                <w:rFonts w:ascii="Arial" w:hAnsi="Arial" w:eastAsia="华文细黑"/>
                <w:sz w:val="18"/>
                <w:szCs w:val="18"/>
              </w:rPr>
            </w:pPr>
            <w:r>
              <w:rPr>
                <w:rFonts w:hint="eastAsia" w:ascii="Arial" w:hAnsi="Arial" w:eastAsia="华文细黑"/>
                <w:b/>
                <w:bCs/>
                <w:sz w:val="18"/>
                <w:szCs w:val="18"/>
              </w:rPr>
              <w:t>房屋使用状况</w:t>
            </w:r>
          </w:p>
        </w:tc>
        <w:tc>
          <w:tcPr>
            <w:tcW w:w="1634" w:type="pct"/>
            <w:gridSpan w:val="2"/>
            <w:vAlign w:val="center"/>
          </w:tcPr>
          <w:p>
            <w:pPr>
              <w:spacing w:line="240" w:lineRule="auto"/>
              <w:rPr>
                <w:rFonts w:ascii="Arial" w:hAnsi="Arial" w:eastAsia="华文细黑"/>
                <w:sz w:val="18"/>
                <w:szCs w:val="18"/>
              </w:rPr>
            </w:pPr>
            <w:r>
              <w:rPr>
                <w:rFonts w:hint="eastAsia" w:ascii="Arial" w:hAnsi="Arial" w:eastAsia="华文细黑"/>
                <w:sz w:val="18"/>
                <w:szCs w:val="18"/>
              </w:rPr>
              <w:t>空置</w:t>
            </w:r>
          </w:p>
        </w:tc>
        <w:tc>
          <w:tcPr>
            <w:tcW w:w="780" w:type="pct"/>
            <w:vAlign w:val="center"/>
          </w:tcPr>
          <w:p>
            <w:pPr>
              <w:spacing w:line="240" w:lineRule="auto"/>
              <w:rPr>
                <w:rFonts w:ascii="Arial" w:hAnsi="Arial" w:eastAsia="华文细黑"/>
                <w:sz w:val="18"/>
                <w:szCs w:val="18"/>
              </w:rPr>
            </w:pPr>
            <w:r>
              <w:rPr>
                <w:rFonts w:hint="eastAsia" w:ascii="Arial" w:hAnsi="Arial" w:eastAsia="华文细黑"/>
                <w:b/>
                <w:bCs/>
                <w:sz w:val="18"/>
                <w:szCs w:val="18"/>
              </w:rPr>
              <w:t>建成年代</w:t>
            </w:r>
          </w:p>
        </w:tc>
        <w:tc>
          <w:tcPr>
            <w:tcW w:w="1481" w:type="pct"/>
            <w:gridSpan w:val="2"/>
            <w:vAlign w:val="center"/>
          </w:tcPr>
          <w:p>
            <w:pPr>
              <w:spacing w:line="240" w:lineRule="auto"/>
              <w:rPr>
                <w:rFonts w:ascii="Arial" w:hAnsi="Arial" w:eastAsia="华文细黑"/>
                <w:sz w:val="18"/>
                <w:szCs w:val="18"/>
              </w:rPr>
            </w:pPr>
            <w:r>
              <w:rPr>
                <w:rFonts w:hint="eastAsia" w:ascii="Arial" w:hAnsi="Arial" w:eastAsia="华文细黑"/>
                <w:sz w:val="18"/>
                <w:szCs w:val="18"/>
              </w:rPr>
              <w:t>设定为2005年</w:t>
            </w:r>
          </w:p>
        </w:tc>
      </w:tr>
      <w:tr>
        <w:tblPrEx>
          <w:tblBorders>
            <w:top w:val="thinThickThinSmallGap" w:color="404040" w:sz="12" w:space="0"/>
            <w:left w:val="dotted" w:color="404040" w:sz="2" w:space="0"/>
            <w:bottom w:val="thinThickThinSmallGap" w:color="404040" w:sz="12" w:space="0"/>
            <w:right w:val="dotted" w:color="404040" w:sz="2" w:space="0"/>
            <w:insideH w:val="dotted" w:color="404040" w:sz="2" w:space="0"/>
            <w:insideV w:val="dotted" w:color="404040" w:sz="2" w:space="0"/>
          </w:tblBorders>
          <w:tblCellMar>
            <w:top w:w="85" w:type="dxa"/>
            <w:left w:w="85" w:type="dxa"/>
            <w:bottom w:w="85" w:type="dxa"/>
            <w:right w:w="85" w:type="dxa"/>
          </w:tblCellMar>
        </w:tblPrEx>
        <w:trPr>
          <w:cantSplit/>
          <w:jc w:val="center"/>
        </w:trPr>
        <w:tc>
          <w:tcPr>
            <w:tcW w:w="1105" w:type="pct"/>
            <w:noWrap/>
            <w:tcMar>
              <w:top w:w="16" w:type="dxa"/>
              <w:left w:w="16" w:type="dxa"/>
              <w:bottom w:w="0" w:type="dxa"/>
              <w:right w:w="16" w:type="dxa"/>
            </w:tcMar>
            <w:vAlign w:val="center"/>
          </w:tcPr>
          <w:p>
            <w:pPr>
              <w:spacing w:line="240" w:lineRule="auto"/>
              <w:rPr>
                <w:rFonts w:ascii="Arial" w:hAnsi="Arial" w:eastAsia="华文细黑"/>
                <w:b/>
                <w:bCs/>
                <w:sz w:val="18"/>
                <w:szCs w:val="18"/>
              </w:rPr>
            </w:pPr>
            <w:r>
              <w:rPr>
                <w:rFonts w:hint="eastAsia" w:ascii="Arial" w:hAnsi="Arial" w:eastAsia="华文细黑"/>
                <w:b/>
                <w:bCs/>
                <w:sz w:val="18"/>
                <w:szCs w:val="18"/>
              </w:rPr>
              <w:t>土地使用权类型</w:t>
            </w:r>
          </w:p>
        </w:tc>
        <w:tc>
          <w:tcPr>
            <w:tcW w:w="784" w:type="pct"/>
            <w:vAlign w:val="center"/>
          </w:tcPr>
          <w:p>
            <w:pPr>
              <w:spacing w:line="240" w:lineRule="auto"/>
              <w:rPr>
                <w:rFonts w:ascii="Arial" w:hAnsi="Arial" w:eastAsia="华文细黑"/>
                <w:bCs/>
                <w:sz w:val="18"/>
                <w:szCs w:val="18"/>
              </w:rPr>
            </w:pPr>
            <w:r>
              <w:rPr>
                <w:rFonts w:hint="eastAsia" w:ascii="Arial" w:hAnsi="Arial" w:eastAsia="华文细黑"/>
                <w:bCs/>
                <w:sz w:val="18"/>
                <w:szCs w:val="18"/>
              </w:rPr>
              <w:t>有偿（出让）</w:t>
            </w:r>
          </w:p>
        </w:tc>
        <w:tc>
          <w:tcPr>
            <w:tcW w:w="850" w:type="pct"/>
            <w:vAlign w:val="center"/>
          </w:tcPr>
          <w:p>
            <w:pPr>
              <w:spacing w:line="240" w:lineRule="auto"/>
              <w:rPr>
                <w:rFonts w:ascii="Arial" w:hAnsi="Arial" w:eastAsia="华文细黑"/>
                <w:b/>
                <w:bCs/>
                <w:sz w:val="18"/>
                <w:szCs w:val="18"/>
              </w:rPr>
            </w:pPr>
            <w:r>
              <w:rPr>
                <w:rFonts w:hint="eastAsia" w:ascii="Arial" w:hAnsi="Arial" w:eastAsia="华文细黑"/>
                <w:b/>
                <w:bCs/>
                <w:sz w:val="18"/>
                <w:szCs w:val="18"/>
              </w:rPr>
              <w:t>法定最高土地</w:t>
            </w:r>
          </w:p>
          <w:p>
            <w:pPr>
              <w:spacing w:line="240" w:lineRule="auto"/>
              <w:rPr>
                <w:rFonts w:ascii="Arial" w:hAnsi="Arial" w:eastAsia="华文细黑"/>
                <w:sz w:val="18"/>
                <w:szCs w:val="18"/>
              </w:rPr>
            </w:pPr>
            <w:r>
              <w:rPr>
                <w:rFonts w:hint="eastAsia" w:ascii="Arial" w:hAnsi="Arial" w:eastAsia="华文细黑"/>
                <w:b/>
                <w:bCs/>
                <w:sz w:val="18"/>
                <w:szCs w:val="18"/>
              </w:rPr>
              <w:t>使用年限</w:t>
            </w:r>
          </w:p>
        </w:tc>
        <w:tc>
          <w:tcPr>
            <w:tcW w:w="780" w:type="pct"/>
            <w:vAlign w:val="center"/>
          </w:tcPr>
          <w:p>
            <w:pPr>
              <w:spacing w:line="240" w:lineRule="auto"/>
              <w:rPr>
                <w:rFonts w:ascii="Arial" w:hAnsi="Arial" w:eastAsia="华文细黑"/>
                <w:sz w:val="18"/>
                <w:szCs w:val="18"/>
              </w:rPr>
            </w:pPr>
            <w:r>
              <w:rPr>
                <w:rFonts w:hint="eastAsia" w:ascii="Arial" w:hAnsi="Arial" w:eastAsia="华文细黑"/>
                <w:sz w:val="18"/>
                <w:szCs w:val="18"/>
              </w:rPr>
              <w:t>70年</w:t>
            </w:r>
          </w:p>
        </w:tc>
        <w:tc>
          <w:tcPr>
            <w:tcW w:w="781" w:type="pct"/>
            <w:vAlign w:val="center"/>
          </w:tcPr>
          <w:p>
            <w:pPr>
              <w:spacing w:line="240" w:lineRule="auto"/>
              <w:rPr>
                <w:rFonts w:ascii="Arial" w:hAnsi="Arial" w:eastAsia="华文细黑"/>
                <w:b/>
                <w:sz w:val="18"/>
                <w:szCs w:val="18"/>
              </w:rPr>
            </w:pPr>
            <w:r>
              <w:rPr>
                <w:rFonts w:hint="eastAsia" w:ascii="Arial" w:hAnsi="Arial" w:eastAsia="华文细黑" w:cs="宋体"/>
                <w:b/>
                <w:sz w:val="18"/>
                <w:szCs w:val="18"/>
              </w:rPr>
              <w:t>土地使用年限</w:t>
            </w:r>
          </w:p>
        </w:tc>
        <w:tc>
          <w:tcPr>
            <w:tcW w:w="700" w:type="pct"/>
            <w:vAlign w:val="center"/>
          </w:tcPr>
          <w:p>
            <w:pPr>
              <w:spacing w:line="240" w:lineRule="auto"/>
              <w:rPr>
                <w:rFonts w:ascii="Arial" w:hAnsi="Arial" w:eastAsia="华文细黑"/>
                <w:sz w:val="18"/>
                <w:szCs w:val="18"/>
              </w:rPr>
            </w:pPr>
            <w:r>
              <w:rPr>
                <w:rFonts w:hint="eastAsia" w:ascii="Arial" w:hAnsi="Arial" w:eastAsia="华文细黑"/>
                <w:sz w:val="18"/>
                <w:szCs w:val="18"/>
              </w:rPr>
              <w:t>2003年5月15日至2073年5月14日</w:t>
            </w:r>
          </w:p>
        </w:tc>
      </w:tr>
      <w:tr>
        <w:tblPrEx>
          <w:tblBorders>
            <w:top w:val="thinThickThinSmallGap" w:color="404040" w:sz="12" w:space="0"/>
            <w:left w:val="dotted" w:color="404040" w:sz="2" w:space="0"/>
            <w:bottom w:val="thinThickThinSmallGap" w:color="404040" w:sz="12" w:space="0"/>
            <w:right w:val="dotted" w:color="404040" w:sz="2" w:space="0"/>
            <w:insideH w:val="dotted" w:color="404040" w:sz="2" w:space="0"/>
            <w:insideV w:val="dotted" w:color="404040" w:sz="2" w:space="0"/>
          </w:tblBorders>
          <w:tblCellMar>
            <w:top w:w="85" w:type="dxa"/>
            <w:left w:w="85" w:type="dxa"/>
            <w:bottom w:w="85" w:type="dxa"/>
            <w:right w:w="85" w:type="dxa"/>
          </w:tblCellMar>
        </w:tblPrEx>
        <w:trPr>
          <w:cantSplit/>
          <w:jc w:val="center"/>
        </w:trPr>
        <w:tc>
          <w:tcPr>
            <w:tcW w:w="1105" w:type="pct"/>
            <w:vMerge w:val="restart"/>
            <w:noWrap/>
            <w:tcMar>
              <w:top w:w="16" w:type="dxa"/>
              <w:left w:w="16" w:type="dxa"/>
              <w:bottom w:w="0" w:type="dxa"/>
              <w:right w:w="16" w:type="dxa"/>
            </w:tcMar>
            <w:vAlign w:val="center"/>
          </w:tcPr>
          <w:p>
            <w:pPr>
              <w:spacing w:line="240" w:lineRule="auto"/>
              <w:rPr>
                <w:rFonts w:ascii="Arial" w:hAnsi="Arial" w:eastAsia="华文细黑"/>
                <w:b/>
                <w:bCs/>
                <w:sz w:val="18"/>
                <w:szCs w:val="18"/>
              </w:rPr>
            </w:pPr>
            <w:r>
              <w:rPr>
                <w:rFonts w:hint="eastAsia" w:ascii="Arial" w:hAnsi="Arial" w:eastAsia="华文细黑"/>
                <w:b/>
                <w:bCs/>
                <w:sz w:val="18"/>
                <w:szCs w:val="18"/>
              </w:rPr>
              <w:t>法定优先受偿款</w:t>
            </w:r>
          </w:p>
          <w:p>
            <w:pPr>
              <w:spacing w:line="240" w:lineRule="auto"/>
              <w:rPr>
                <w:rFonts w:ascii="Arial" w:hAnsi="Arial" w:eastAsia="华文细黑"/>
                <w:b/>
                <w:bCs/>
                <w:sz w:val="18"/>
                <w:szCs w:val="18"/>
              </w:rPr>
            </w:pPr>
            <w:r>
              <w:rPr>
                <w:rFonts w:hint="eastAsia" w:ascii="Arial" w:hAnsi="Arial" w:eastAsia="华文细黑"/>
                <w:b/>
                <w:bCs/>
                <w:sz w:val="18"/>
                <w:szCs w:val="18"/>
              </w:rPr>
              <w:t>（单位：元）</w:t>
            </w:r>
          </w:p>
        </w:tc>
        <w:tc>
          <w:tcPr>
            <w:tcW w:w="1634" w:type="pct"/>
            <w:gridSpan w:val="2"/>
            <w:vAlign w:val="center"/>
          </w:tcPr>
          <w:p>
            <w:pPr>
              <w:spacing w:line="240" w:lineRule="auto"/>
              <w:rPr>
                <w:rFonts w:ascii="Arial" w:hAnsi="Arial" w:eastAsia="华文细黑"/>
                <w:bCs/>
                <w:sz w:val="18"/>
                <w:szCs w:val="18"/>
              </w:rPr>
            </w:pPr>
            <w:r>
              <w:rPr>
                <w:rFonts w:ascii="Arial" w:hAnsi="Arial" w:eastAsia="华文细黑"/>
                <w:bCs/>
                <w:sz w:val="18"/>
                <w:szCs w:val="18"/>
              </w:rPr>
              <w:t>已抵押担保的债权数额</w:t>
            </w:r>
          </w:p>
        </w:tc>
        <w:tc>
          <w:tcPr>
            <w:tcW w:w="2261" w:type="pct"/>
            <w:gridSpan w:val="3"/>
            <w:vAlign w:val="center"/>
          </w:tcPr>
          <w:p>
            <w:pPr>
              <w:spacing w:line="240" w:lineRule="auto"/>
              <w:rPr>
                <w:rFonts w:ascii="Arial" w:hAnsi="Arial" w:eastAsia="华文细黑"/>
                <w:bCs/>
                <w:sz w:val="18"/>
                <w:szCs w:val="18"/>
              </w:rPr>
            </w:pPr>
            <w:r>
              <w:rPr>
                <w:rFonts w:hint="eastAsia" w:ascii="Arial" w:hAnsi="Arial" w:eastAsia="华文细黑"/>
                <w:bCs/>
                <w:sz w:val="18"/>
                <w:szCs w:val="18"/>
              </w:rPr>
              <w:t>454万元；</w:t>
            </w:r>
          </w:p>
        </w:tc>
      </w:tr>
      <w:tr>
        <w:tblPrEx>
          <w:tblBorders>
            <w:top w:val="thinThickThinSmallGap" w:color="404040" w:sz="12" w:space="0"/>
            <w:left w:val="dotted" w:color="404040" w:sz="2" w:space="0"/>
            <w:bottom w:val="thinThickThinSmallGap" w:color="404040" w:sz="12" w:space="0"/>
            <w:right w:val="dotted" w:color="404040" w:sz="2" w:space="0"/>
            <w:insideH w:val="dotted" w:color="404040" w:sz="2" w:space="0"/>
            <w:insideV w:val="dotted" w:color="404040" w:sz="2" w:space="0"/>
          </w:tblBorders>
          <w:tblCellMar>
            <w:top w:w="85" w:type="dxa"/>
            <w:left w:w="85" w:type="dxa"/>
            <w:bottom w:w="85" w:type="dxa"/>
            <w:right w:w="85" w:type="dxa"/>
          </w:tblCellMar>
        </w:tblPrEx>
        <w:trPr>
          <w:cantSplit/>
          <w:jc w:val="center"/>
        </w:trPr>
        <w:tc>
          <w:tcPr>
            <w:tcW w:w="1105" w:type="pct"/>
            <w:vMerge w:val="continue"/>
            <w:noWrap/>
            <w:tcMar>
              <w:top w:w="16" w:type="dxa"/>
              <w:left w:w="16" w:type="dxa"/>
              <w:bottom w:w="0" w:type="dxa"/>
              <w:right w:w="16" w:type="dxa"/>
            </w:tcMar>
            <w:vAlign w:val="center"/>
          </w:tcPr>
          <w:p>
            <w:pPr>
              <w:spacing w:line="240" w:lineRule="auto"/>
              <w:rPr>
                <w:rFonts w:ascii="Arial" w:hAnsi="Arial" w:eastAsia="华文细黑"/>
                <w:b/>
                <w:bCs/>
                <w:sz w:val="18"/>
                <w:szCs w:val="18"/>
              </w:rPr>
            </w:pPr>
          </w:p>
        </w:tc>
        <w:tc>
          <w:tcPr>
            <w:tcW w:w="1634" w:type="pct"/>
            <w:gridSpan w:val="2"/>
            <w:vAlign w:val="center"/>
          </w:tcPr>
          <w:p>
            <w:pPr>
              <w:spacing w:line="240" w:lineRule="auto"/>
              <w:rPr>
                <w:rFonts w:ascii="Arial" w:hAnsi="Arial" w:eastAsia="华文细黑"/>
                <w:sz w:val="18"/>
                <w:szCs w:val="18"/>
              </w:rPr>
            </w:pPr>
            <w:r>
              <w:rPr>
                <w:rFonts w:hint="eastAsia" w:ascii="Arial" w:hAnsi="Arial" w:eastAsia="华文细黑"/>
                <w:sz w:val="18"/>
                <w:szCs w:val="18"/>
              </w:rPr>
              <w:t>土地出让金、综合地价款、</w:t>
            </w:r>
          </w:p>
          <w:p>
            <w:pPr>
              <w:spacing w:line="240" w:lineRule="auto"/>
              <w:rPr>
                <w:rFonts w:ascii="Arial" w:hAnsi="Arial" w:eastAsia="华文细黑"/>
                <w:sz w:val="18"/>
                <w:szCs w:val="18"/>
              </w:rPr>
            </w:pPr>
            <w:r>
              <w:rPr>
                <w:rFonts w:hint="eastAsia" w:ascii="Arial" w:hAnsi="Arial" w:eastAsia="华文细黑"/>
                <w:sz w:val="18"/>
                <w:szCs w:val="18"/>
              </w:rPr>
              <w:t>房价款</w:t>
            </w:r>
          </w:p>
        </w:tc>
        <w:tc>
          <w:tcPr>
            <w:tcW w:w="2261" w:type="pct"/>
            <w:gridSpan w:val="3"/>
            <w:vAlign w:val="center"/>
          </w:tcPr>
          <w:p>
            <w:pPr>
              <w:spacing w:line="240" w:lineRule="auto"/>
              <w:rPr>
                <w:rFonts w:ascii="Arial" w:hAnsi="Arial" w:eastAsia="华文细黑"/>
                <w:bCs/>
                <w:sz w:val="18"/>
                <w:szCs w:val="18"/>
              </w:rPr>
            </w:pPr>
            <w:r>
              <w:rPr>
                <w:rFonts w:hint="eastAsia" w:ascii="Arial" w:hAnsi="Arial" w:eastAsia="华文细黑"/>
                <w:bCs/>
                <w:sz w:val="18"/>
                <w:szCs w:val="18"/>
              </w:rPr>
              <w:t>——；</w:t>
            </w:r>
          </w:p>
        </w:tc>
      </w:tr>
      <w:tr>
        <w:tblPrEx>
          <w:tblBorders>
            <w:top w:val="thinThickThinSmallGap" w:color="404040" w:sz="12" w:space="0"/>
            <w:left w:val="dotted" w:color="404040" w:sz="2" w:space="0"/>
            <w:bottom w:val="thinThickThinSmallGap" w:color="404040" w:sz="12" w:space="0"/>
            <w:right w:val="dotted" w:color="404040" w:sz="2" w:space="0"/>
            <w:insideH w:val="dotted" w:color="404040" w:sz="2" w:space="0"/>
            <w:insideV w:val="dotted" w:color="404040" w:sz="2" w:space="0"/>
          </w:tblBorders>
          <w:tblCellMar>
            <w:top w:w="85" w:type="dxa"/>
            <w:left w:w="85" w:type="dxa"/>
            <w:bottom w:w="85" w:type="dxa"/>
            <w:right w:w="85" w:type="dxa"/>
          </w:tblCellMar>
        </w:tblPrEx>
        <w:trPr>
          <w:cantSplit/>
          <w:jc w:val="center"/>
        </w:trPr>
        <w:tc>
          <w:tcPr>
            <w:tcW w:w="1105" w:type="pct"/>
            <w:vMerge w:val="restart"/>
            <w:noWrap/>
            <w:tcMar>
              <w:top w:w="16" w:type="dxa"/>
              <w:left w:w="16" w:type="dxa"/>
              <w:bottom w:w="0" w:type="dxa"/>
              <w:right w:w="16" w:type="dxa"/>
            </w:tcMar>
            <w:vAlign w:val="center"/>
          </w:tcPr>
          <w:p>
            <w:pPr>
              <w:spacing w:line="240" w:lineRule="auto"/>
              <w:rPr>
                <w:rFonts w:ascii="Arial" w:hAnsi="Arial" w:eastAsia="华文细黑"/>
                <w:sz w:val="18"/>
                <w:szCs w:val="18"/>
              </w:rPr>
            </w:pPr>
            <w:r>
              <w:rPr>
                <w:rFonts w:hint="eastAsia" w:ascii="Arial" w:hAnsi="Arial" w:eastAsia="华文细黑"/>
                <w:b/>
                <w:bCs/>
                <w:sz w:val="18"/>
                <w:szCs w:val="18"/>
              </w:rPr>
              <w:t>他项权利状况</w:t>
            </w:r>
          </w:p>
        </w:tc>
        <w:tc>
          <w:tcPr>
            <w:tcW w:w="1634" w:type="pct"/>
            <w:gridSpan w:val="2"/>
            <w:vAlign w:val="center"/>
          </w:tcPr>
          <w:p>
            <w:pPr>
              <w:spacing w:line="240" w:lineRule="auto"/>
              <w:rPr>
                <w:rFonts w:ascii="Arial" w:hAnsi="Arial" w:eastAsia="华文细黑"/>
                <w:sz w:val="18"/>
                <w:szCs w:val="18"/>
              </w:rPr>
            </w:pPr>
            <w:r>
              <w:rPr>
                <w:rFonts w:hint="eastAsia" w:ascii="Arial" w:hAnsi="Arial" w:eastAsia="华文细黑"/>
                <w:bCs/>
                <w:sz w:val="18"/>
                <w:szCs w:val="18"/>
              </w:rPr>
              <w:t>抵押权</w:t>
            </w:r>
          </w:p>
        </w:tc>
        <w:tc>
          <w:tcPr>
            <w:tcW w:w="2261" w:type="pct"/>
            <w:gridSpan w:val="3"/>
            <w:vAlign w:val="center"/>
          </w:tcPr>
          <w:p>
            <w:pPr>
              <w:spacing w:line="240" w:lineRule="auto"/>
              <w:rPr>
                <w:rFonts w:ascii="Arial" w:hAnsi="Arial" w:eastAsia="华文细黑"/>
                <w:sz w:val="18"/>
                <w:szCs w:val="18"/>
              </w:rPr>
            </w:pPr>
            <w:r>
              <w:rPr>
                <w:rFonts w:hint="eastAsia" w:ascii="Arial" w:hAnsi="Arial" w:eastAsia="华文细黑"/>
                <w:sz w:val="18"/>
                <w:szCs w:val="18"/>
              </w:rPr>
              <w:t>已抵押；</w:t>
            </w:r>
          </w:p>
        </w:tc>
      </w:tr>
      <w:tr>
        <w:tblPrEx>
          <w:tblBorders>
            <w:top w:val="thinThickThinSmallGap" w:color="404040" w:sz="12" w:space="0"/>
            <w:left w:val="dotted" w:color="404040" w:sz="2" w:space="0"/>
            <w:bottom w:val="thinThickThinSmallGap" w:color="404040" w:sz="12" w:space="0"/>
            <w:right w:val="dotted" w:color="404040" w:sz="2" w:space="0"/>
            <w:insideH w:val="dotted" w:color="404040" w:sz="2" w:space="0"/>
            <w:insideV w:val="dotted" w:color="404040" w:sz="2" w:space="0"/>
          </w:tblBorders>
          <w:tblCellMar>
            <w:top w:w="85" w:type="dxa"/>
            <w:left w:w="85" w:type="dxa"/>
            <w:bottom w:w="85" w:type="dxa"/>
            <w:right w:w="85" w:type="dxa"/>
          </w:tblCellMar>
        </w:tblPrEx>
        <w:trPr>
          <w:cantSplit/>
          <w:jc w:val="center"/>
        </w:trPr>
        <w:tc>
          <w:tcPr>
            <w:tcW w:w="1105" w:type="pct"/>
            <w:vMerge w:val="continue"/>
            <w:noWrap/>
            <w:tcMar>
              <w:top w:w="16" w:type="dxa"/>
              <w:left w:w="16" w:type="dxa"/>
              <w:bottom w:w="0" w:type="dxa"/>
              <w:right w:w="16" w:type="dxa"/>
            </w:tcMar>
            <w:vAlign w:val="center"/>
          </w:tcPr>
          <w:p>
            <w:pPr>
              <w:spacing w:line="240" w:lineRule="auto"/>
              <w:rPr>
                <w:rFonts w:ascii="Arial" w:hAnsi="Arial" w:eastAsia="华文细黑"/>
                <w:sz w:val="18"/>
                <w:szCs w:val="18"/>
              </w:rPr>
            </w:pPr>
          </w:p>
        </w:tc>
        <w:tc>
          <w:tcPr>
            <w:tcW w:w="1634" w:type="pct"/>
            <w:gridSpan w:val="2"/>
            <w:vAlign w:val="center"/>
          </w:tcPr>
          <w:p>
            <w:pPr>
              <w:spacing w:line="240" w:lineRule="auto"/>
              <w:rPr>
                <w:rFonts w:ascii="Arial" w:hAnsi="Arial" w:eastAsia="华文细黑"/>
                <w:bCs/>
                <w:sz w:val="18"/>
                <w:szCs w:val="18"/>
              </w:rPr>
            </w:pPr>
            <w:r>
              <w:rPr>
                <w:rFonts w:hint="eastAsia" w:ascii="Arial" w:hAnsi="Arial" w:eastAsia="华文细黑"/>
                <w:bCs/>
                <w:sz w:val="18"/>
                <w:szCs w:val="18"/>
              </w:rPr>
              <w:t>租赁权</w:t>
            </w:r>
          </w:p>
        </w:tc>
        <w:tc>
          <w:tcPr>
            <w:tcW w:w="2261" w:type="pct"/>
            <w:gridSpan w:val="3"/>
            <w:vAlign w:val="center"/>
          </w:tcPr>
          <w:p>
            <w:pPr>
              <w:spacing w:line="240" w:lineRule="auto"/>
              <w:rPr>
                <w:rFonts w:ascii="Arial" w:hAnsi="Arial" w:eastAsia="华文细黑"/>
                <w:sz w:val="18"/>
                <w:szCs w:val="18"/>
              </w:rPr>
            </w:pPr>
            <w:r>
              <w:rPr>
                <w:rFonts w:hint="eastAsia" w:ascii="Arial" w:hAnsi="Arial" w:eastAsia="华文细黑"/>
                <w:sz w:val="18"/>
                <w:szCs w:val="18"/>
              </w:rPr>
              <w:t>——。</w:t>
            </w:r>
          </w:p>
        </w:tc>
      </w:tr>
    </w:tbl>
    <w:p>
      <w:pPr>
        <w:overflowPunct w:val="0"/>
        <w:spacing w:line="480" w:lineRule="auto"/>
        <w:jc w:val="both"/>
        <w:textAlignment w:val="auto"/>
        <w:rPr>
          <w:rFonts w:ascii="Arial" w:hAnsi="Arial"/>
          <w:sz w:val="21"/>
          <w:szCs w:val="21"/>
        </w:rPr>
      </w:pPr>
    </w:p>
    <w:p>
      <w:pPr>
        <w:overflowPunct w:val="0"/>
        <w:spacing w:line="480" w:lineRule="auto"/>
        <w:jc w:val="both"/>
        <w:textAlignment w:val="auto"/>
        <w:rPr>
          <w:rFonts w:ascii="Arial" w:hAnsi="Arial"/>
          <w:sz w:val="21"/>
          <w:szCs w:val="21"/>
        </w:rPr>
      </w:pPr>
    </w:p>
    <w:p>
      <w:pPr>
        <w:overflowPunct w:val="0"/>
        <w:spacing w:line="480" w:lineRule="auto"/>
        <w:jc w:val="both"/>
        <w:textAlignment w:val="auto"/>
        <w:rPr>
          <w:rFonts w:ascii="Arial" w:hAnsi="Arial"/>
          <w:sz w:val="21"/>
          <w:szCs w:val="21"/>
        </w:rPr>
      </w:pPr>
    </w:p>
    <w:p>
      <w:pPr>
        <w:overflowPunct w:val="0"/>
        <w:spacing w:line="480" w:lineRule="auto"/>
        <w:jc w:val="both"/>
        <w:textAlignment w:val="auto"/>
        <w:rPr>
          <w:rFonts w:ascii="Arial" w:hAnsi="Arial"/>
          <w:sz w:val="21"/>
          <w:szCs w:val="21"/>
        </w:rPr>
      </w:pPr>
    </w:p>
    <w:p>
      <w:pPr>
        <w:overflowPunct w:val="0"/>
        <w:spacing w:line="480" w:lineRule="auto"/>
        <w:jc w:val="both"/>
        <w:textAlignment w:val="auto"/>
        <w:rPr>
          <w:rFonts w:ascii="Arial" w:hAnsi="Arial"/>
          <w:sz w:val="21"/>
          <w:szCs w:val="21"/>
        </w:rPr>
      </w:pPr>
    </w:p>
    <w:p>
      <w:pPr>
        <w:overflowPunct w:val="0"/>
        <w:spacing w:line="480" w:lineRule="auto"/>
        <w:jc w:val="both"/>
        <w:textAlignment w:val="auto"/>
        <w:rPr>
          <w:rFonts w:ascii="Arial" w:hAnsi="Arial"/>
          <w:sz w:val="21"/>
          <w:szCs w:val="21"/>
        </w:rPr>
      </w:pPr>
    </w:p>
    <w:p>
      <w:pPr>
        <w:pStyle w:val="3"/>
        <w:numPr>
          <w:ilvl w:val="0"/>
          <w:numId w:val="0"/>
        </w:numPr>
        <w:tabs>
          <w:tab w:val="clear" w:pos="360"/>
        </w:tabs>
        <w:overflowPunct w:val="0"/>
        <w:spacing w:line="480" w:lineRule="auto"/>
        <w:ind w:left="358" w:hanging="358" w:hangingChars="170"/>
        <w:jc w:val="both"/>
        <w:textAlignment w:val="auto"/>
        <w:rPr>
          <w:rFonts w:eastAsia="宋体"/>
          <w:kern w:val="2"/>
          <w:sz w:val="21"/>
          <w:szCs w:val="21"/>
        </w:rPr>
      </w:pPr>
      <w:bookmarkStart w:id="28" w:name="_Toc500322974"/>
      <w:r>
        <w:rPr>
          <w:rFonts w:hint="eastAsia" w:eastAsia="宋体"/>
          <w:kern w:val="2"/>
          <w:sz w:val="21"/>
          <w:szCs w:val="21"/>
        </w:rPr>
        <w:t>十</w:t>
      </w:r>
      <w:bookmarkEnd w:id="27"/>
      <w:r>
        <w:rPr>
          <w:rFonts w:hint="eastAsia" w:eastAsia="宋体"/>
          <w:kern w:val="2"/>
          <w:sz w:val="21"/>
          <w:szCs w:val="21"/>
        </w:rPr>
        <w:t>二、参与本次估价工作的评估专业人员</w:t>
      </w:r>
      <w:bookmarkEnd w:id="28"/>
    </w:p>
    <w:tbl>
      <w:tblPr>
        <w:tblStyle w:val="32"/>
        <w:tblW w:w="9299" w:type="dxa"/>
        <w:jc w:val="center"/>
        <w:tblBorders>
          <w:top w:val="single" w:color="404040" w:sz="2" w:space="0"/>
          <w:left w:val="single" w:color="404040" w:sz="2" w:space="0"/>
          <w:bottom w:val="single" w:color="404040" w:sz="2" w:space="0"/>
          <w:right w:val="single" w:color="404040" w:sz="2" w:space="0"/>
          <w:insideH w:val="single" w:color="404040" w:sz="2" w:space="0"/>
          <w:insideV w:val="single" w:color="404040" w:sz="2" w:space="0"/>
        </w:tblBorders>
        <w:tblLayout w:type="autofit"/>
        <w:tblCellMar>
          <w:top w:w="0" w:type="dxa"/>
          <w:left w:w="108" w:type="dxa"/>
          <w:bottom w:w="0" w:type="dxa"/>
          <w:right w:w="108" w:type="dxa"/>
        </w:tblCellMar>
      </w:tblPr>
      <w:tblGrid>
        <w:gridCol w:w="1746"/>
        <w:gridCol w:w="2197"/>
        <w:gridCol w:w="2774"/>
        <w:gridCol w:w="2582"/>
      </w:tblGrid>
      <w:tr>
        <w:tblPrEx>
          <w:tblBorders>
            <w:top w:val="single" w:color="404040" w:sz="2" w:space="0"/>
            <w:left w:val="single" w:color="404040" w:sz="2" w:space="0"/>
            <w:bottom w:val="single" w:color="404040" w:sz="2" w:space="0"/>
            <w:right w:val="single" w:color="404040" w:sz="2" w:space="0"/>
            <w:insideH w:val="single" w:color="404040" w:sz="2" w:space="0"/>
            <w:insideV w:val="single" w:color="404040" w:sz="2" w:space="0"/>
          </w:tblBorders>
          <w:tblCellMar>
            <w:top w:w="0" w:type="dxa"/>
            <w:left w:w="108" w:type="dxa"/>
            <w:bottom w:w="0" w:type="dxa"/>
            <w:right w:w="108" w:type="dxa"/>
          </w:tblCellMar>
        </w:tblPrEx>
        <w:trPr>
          <w:trHeight w:val="454" w:hRule="exact"/>
          <w:jc w:val="center"/>
        </w:trPr>
        <w:tc>
          <w:tcPr>
            <w:tcW w:w="9299" w:type="dxa"/>
            <w:gridSpan w:val="4"/>
            <w:tcBorders>
              <w:bottom w:val="single" w:color="404040" w:sz="2" w:space="0"/>
            </w:tcBorders>
            <w:vAlign w:val="center"/>
          </w:tcPr>
          <w:p>
            <w:pPr>
              <w:tabs>
                <w:tab w:val="left" w:pos="5160"/>
              </w:tabs>
              <w:overflowPunct w:val="0"/>
              <w:spacing w:line="240" w:lineRule="auto"/>
              <w:rPr>
                <w:rFonts w:ascii="Arial" w:hAnsi="Arial" w:cs="Arial"/>
                <w:b/>
                <w:color w:val="000000"/>
                <w:sz w:val="21"/>
                <w:szCs w:val="21"/>
              </w:rPr>
            </w:pPr>
            <w:r>
              <w:rPr>
                <w:rFonts w:ascii="Arial" w:hAnsi="Arial" w:cs="Arial"/>
                <w:b/>
                <w:kern w:val="2"/>
                <w:sz w:val="21"/>
                <w:szCs w:val="21"/>
              </w:rPr>
              <w:t>注册房地产估价师</w:t>
            </w:r>
          </w:p>
        </w:tc>
      </w:tr>
      <w:tr>
        <w:tblPrEx>
          <w:tblBorders>
            <w:top w:val="single" w:color="404040" w:sz="2" w:space="0"/>
            <w:left w:val="single" w:color="404040" w:sz="2" w:space="0"/>
            <w:bottom w:val="single" w:color="404040" w:sz="2" w:space="0"/>
            <w:right w:val="single" w:color="404040" w:sz="2" w:space="0"/>
            <w:insideH w:val="single" w:color="404040" w:sz="2" w:space="0"/>
            <w:insideV w:val="single" w:color="404040" w:sz="2" w:space="0"/>
          </w:tblBorders>
          <w:tblCellMar>
            <w:top w:w="0" w:type="dxa"/>
            <w:left w:w="108" w:type="dxa"/>
            <w:bottom w:w="0" w:type="dxa"/>
            <w:right w:w="108" w:type="dxa"/>
          </w:tblCellMar>
        </w:tblPrEx>
        <w:trPr>
          <w:trHeight w:val="454" w:hRule="exact"/>
          <w:jc w:val="center"/>
        </w:trPr>
        <w:tc>
          <w:tcPr>
            <w:tcW w:w="1746" w:type="dxa"/>
            <w:vAlign w:val="center"/>
          </w:tcPr>
          <w:p>
            <w:pPr>
              <w:tabs>
                <w:tab w:val="left" w:pos="5160"/>
              </w:tabs>
              <w:overflowPunct w:val="0"/>
              <w:spacing w:line="240" w:lineRule="auto"/>
              <w:rPr>
                <w:rFonts w:ascii="Arial" w:hAnsi="Arial" w:cs="Arial"/>
                <w:color w:val="000000"/>
                <w:sz w:val="21"/>
                <w:szCs w:val="21"/>
              </w:rPr>
            </w:pPr>
            <w:r>
              <w:rPr>
                <w:rFonts w:ascii="Arial" w:hAnsi="Arial" w:cs="Arial"/>
                <w:color w:val="000000"/>
                <w:sz w:val="21"/>
                <w:szCs w:val="21"/>
              </w:rPr>
              <w:t>姓名</w:t>
            </w:r>
          </w:p>
        </w:tc>
        <w:tc>
          <w:tcPr>
            <w:tcW w:w="2197" w:type="dxa"/>
            <w:vAlign w:val="center"/>
          </w:tcPr>
          <w:p>
            <w:pPr>
              <w:tabs>
                <w:tab w:val="left" w:pos="5160"/>
              </w:tabs>
              <w:overflowPunct w:val="0"/>
              <w:spacing w:line="240" w:lineRule="auto"/>
              <w:rPr>
                <w:rFonts w:ascii="Arial" w:hAnsi="Arial" w:cs="Arial"/>
                <w:color w:val="000000"/>
                <w:sz w:val="21"/>
                <w:szCs w:val="21"/>
              </w:rPr>
            </w:pPr>
            <w:r>
              <w:rPr>
                <w:rFonts w:ascii="Arial" w:hAnsi="Arial" w:cs="Arial"/>
                <w:color w:val="000000"/>
                <w:sz w:val="21"/>
                <w:szCs w:val="21"/>
              </w:rPr>
              <w:t>注册号</w:t>
            </w:r>
          </w:p>
        </w:tc>
        <w:tc>
          <w:tcPr>
            <w:tcW w:w="2774" w:type="dxa"/>
            <w:vAlign w:val="center"/>
          </w:tcPr>
          <w:p>
            <w:pPr>
              <w:tabs>
                <w:tab w:val="left" w:pos="5160"/>
              </w:tabs>
              <w:overflowPunct w:val="0"/>
              <w:spacing w:line="240" w:lineRule="auto"/>
              <w:rPr>
                <w:rFonts w:ascii="Arial" w:hAnsi="Arial" w:cs="Arial"/>
                <w:color w:val="000000"/>
                <w:sz w:val="21"/>
                <w:szCs w:val="21"/>
              </w:rPr>
            </w:pPr>
            <w:r>
              <w:rPr>
                <w:rFonts w:ascii="Arial" w:hAnsi="Arial" w:cs="Arial"/>
                <w:color w:val="000000"/>
                <w:sz w:val="21"/>
                <w:szCs w:val="21"/>
              </w:rPr>
              <w:t>签名</w:t>
            </w:r>
          </w:p>
        </w:tc>
        <w:tc>
          <w:tcPr>
            <w:tcW w:w="2582" w:type="dxa"/>
            <w:vAlign w:val="center"/>
          </w:tcPr>
          <w:p>
            <w:pPr>
              <w:tabs>
                <w:tab w:val="left" w:pos="5160"/>
              </w:tabs>
              <w:overflowPunct w:val="0"/>
              <w:spacing w:line="240" w:lineRule="auto"/>
              <w:rPr>
                <w:rFonts w:ascii="Arial" w:hAnsi="Arial" w:cs="Arial"/>
                <w:color w:val="000000"/>
                <w:sz w:val="21"/>
                <w:szCs w:val="21"/>
              </w:rPr>
            </w:pPr>
            <w:r>
              <w:rPr>
                <w:rFonts w:ascii="Arial" w:hAnsi="Arial" w:cs="Arial"/>
                <w:color w:val="000000"/>
                <w:sz w:val="21"/>
                <w:szCs w:val="21"/>
              </w:rPr>
              <w:t>签名日期</w:t>
            </w:r>
          </w:p>
        </w:tc>
      </w:tr>
      <w:tr>
        <w:tblPrEx>
          <w:tblBorders>
            <w:top w:val="single" w:color="404040" w:sz="2" w:space="0"/>
            <w:left w:val="single" w:color="404040" w:sz="2" w:space="0"/>
            <w:bottom w:val="single" w:color="404040" w:sz="2" w:space="0"/>
            <w:right w:val="single" w:color="404040" w:sz="2" w:space="0"/>
            <w:insideH w:val="single" w:color="404040" w:sz="2" w:space="0"/>
            <w:insideV w:val="single" w:color="404040" w:sz="2" w:space="0"/>
          </w:tblBorders>
          <w:tblCellMar>
            <w:top w:w="0" w:type="dxa"/>
            <w:left w:w="108" w:type="dxa"/>
            <w:bottom w:w="0" w:type="dxa"/>
            <w:right w:w="108" w:type="dxa"/>
          </w:tblCellMar>
        </w:tblPrEx>
        <w:trPr>
          <w:trHeight w:val="1134" w:hRule="exact"/>
          <w:jc w:val="center"/>
        </w:trPr>
        <w:tc>
          <w:tcPr>
            <w:tcW w:w="1746" w:type="dxa"/>
            <w:vAlign w:val="center"/>
          </w:tcPr>
          <w:p>
            <w:pPr>
              <w:tabs>
                <w:tab w:val="left" w:pos="5160"/>
              </w:tabs>
              <w:overflowPunct w:val="0"/>
              <w:spacing w:line="240" w:lineRule="auto"/>
              <w:rPr>
                <w:rFonts w:ascii="Arial" w:hAnsi="Arial" w:cs="Arial"/>
                <w:color w:val="000000"/>
                <w:sz w:val="21"/>
                <w:szCs w:val="21"/>
              </w:rPr>
            </w:pPr>
            <w:r>
              <w:rPr>
                <w:rFonts w:hint="eastAsia" w:ascii="Arial" w:hAnsi="Arial" w:cs="Arial"/>
                <w:color w:val="000000"/>
                <w:sz w:val="21"/>
                <w:szCs w:val="21"/>
              </w:rPr>
              <w:t>陈  颖</w:t>
            </w:r>
          </w:p>
        </w:tc>
        <w:tc>
          <w:tcPr>
            <w:tcW w:w="2197" w:type="dxa"/>
            <w:vAlign w:val="center"/>
          </w:tcPr>
          <w:p>
            <w:pPr>
              <w:tabs>
                <w:tab w:val="left" w:pos="5160"/>
              </w:tabs>
              <w:overflowPunct w:val="0"/>
              <w:spacing w:line="240" w:lineRule="auto"/>
              <w:rPr>
                <w:rFonts w:ascii="Arial" w:hAnsi="Arial" w:cs="Arial"/>
                <w:color w:val="000000"/>
                <w:sz w:val="21"/>
                <w:szCs w:val="21"/>
              </w:rPr>
            </w:pPr>
            <w:r>
              <w:rPr>
                <w:rFonts w:ascii="Arial" w:hAnsi="Arial" w:cs="Arial"/>
                <w:color w:val="000000"/>
                <w:sz w:val="21"/>
                <w:szCs w:val="21"/>
              </w:rPr>
              <w:t>1120</w:t>
            </w:r>
            <w:r>
              <w:rPr>
                <w:rFonts w:hint="eastAsia" w:ascii="Arial" w:hAnsi="Arial" w:cs="Arial"/>
                <w:color w:val="000000"/>
                <w:sz w:val="21"/>
                <w:szCs w:val="21"/>
              </w:rPr>
              <w:t>060040</w:t>
            </w:r>
          </w:p>
        </w:tc>
        <w:tc>
          <w:tcPr>
            <w:tcW w:w="2774" w:type="dxa"/>
            <w:vAlign w:val="center"/>
          </w:tcPr>
          <w:p>
            <w:pPr>
              <w:tabs>
                <w:tab w:val="left" w:pos="5160"/>
              </w:tabs>
              <w:overflowPunct w:val="0"/>
              <w:spacing w:line="240" w:lineRule="auto"/>
              <w:rPr>
                <w:rFonts w:ascii="Arial" w:hAnsi="Arial" w:cs="Arial"/>
                <w:color w:val="000000"/>
                <w:sz w:val="21"/>
                <w:szCs w:val="21"/>
              </w:rPr>
            </w:pPr>
          </w:p>
        </w:tc>
        <w:tc>
          <w:tcPr>
            <w:tcW w:w="2582" w:type="dxa"/>
            <w:vAlign w:val="center"/>
          </w:tcPr>
          <w:p>
            <w:pPr>
              <w:tabs>
                <w:tab w:val="left" w:pos="5160"/>
              </w:tabs>
              <w:wordWrap w:val="0"/>
              <w:overflowPunct w:val="0"/>
              <w:spacing w:line="240" w:lineRule="auto"/>
              <w:ind w:firstLine="420" w:firstLineChars="200"/>
              <w:jc w:val="right"/>
              <w:rPr>
                <w:rFonts w:ascii="Arial" w:hAnsi="Arial" w:cs="Arial"/>
                <w:color w:val="000000"/>
                <w:sz w:val="21"/>
                <w:szCs w:val="21"/>
              </w:rPr>
            </w:pPr>
            <w:r>
              <w:rPr>
                <w:rFonts w:ascii="Arial" w:hAnsi="Arial" w:cs="Arial"/>
                <w:color w:val="000000"/>
                <w:sz w:val="21"/>
                <w:szCs w:val="21"/>
              </w:rPr>
              <w:t>年</w:t>
            </w:r>
            <w:r>
              <w:rPr>
                <w:rFonts w:hint="eastAsia" w:ascii="Arial" w:hAnsi="Arial" w:cs="Arial"/>
                <w:color w:val="000000"/>
                <w:sz w:val="21"/>
                <w:szCs w:val="21"/>
              </w:rPr>
              <w:t xml:space="preserve">    </w:t>
            </w:r>
            <w:r>
              <w:rPr>
                <w:rFonts w:ascii="Arial" w:hAnsi="Arial" w:cs="Arial"/>
                <w:color w:val="000000"/>
                <w:sz w:val="21"/>
                <w:szCs w:val="21"/>
              </w:rPr>
              <w:t>月</w:t>
            </w:r>
            <w:r>
              <w:rPr>
                <w:rFonts w:hint="eastAsia" w:ascii="Arial" w:hAnsi="Arial" w:cs="Arial"/>
                <w:color w:val="000000"/>
                <w:sz w:val="21"/>
                <w:szCs w:val="21"/>
              </w:rPr>
              <w:t xml:space="preserve">    </w:t>
            </w:r>
            <w:r>
              <w:rPr>
                <w:rFonts w:ascii="Arial" w:hAnsi="Arial" w:cs="Arial"/>
                <w:color w:val="000000"/>
                <w:sz w:val="21"/>
                <w:szCs w:val="21"/>
              </w:rPr>
              <w:t>日</w:t>
            </w:r>
          </w:p>
        </w:tc>
      </w:tr>
      <w:tr>
        <w:tblPrEx>
          <w:tblBorders>
            <w:top w:val="single" w:color="404040" w:sz="2" w:space="0"/>
            <w:left w:val="single" w:color="404040" w:sz="2" w:space="0"/>
            <w:bottom w:val="single" w:color="404040" w:sz="2" w:space="0"/>
            <w:right w:val="single" w:color="404040" w:sz="2" w:space="0"/>
            <w:insideH w:val="single" w:color="404040" w:sz="2" w:space="0"/>
            <w:insideV w:val="single" w:color="404040" w:sz="2" w:space="0"/>
          </w:tblBorders>
          <w:tblCellMar>
            <w:top w:w="0" w:type="dxa"/>
            <w:left w:w="108" w:type="dxa"/>
            <w:bottom w:w="0" w:type="dxa"/>
            <w:right w:w="108" w:type="dxa"/>
          </w:tblCellMar>
        </w:tblPrEx>
        <w:trPr>
          <w:trHeight w:val="1134" w:hRule="exact"/>
          <w:jc w:val="center"/>
        </w:trPr>
        <w:tc>
          <w:tcPr>
            <w:tcW w:w="1746" w:type="dxa"/>
            <w:vAlign w:val="center"/>
          </w:tcPr>
          <w:p>
            <w:pPr>
              <w:tabs>
                <w:tab w:val="left" w:pos="5160"/>
              </w:tabs>
              <w:overflowPunct w:val="0"/>
              <w:spacing w:line="240" w:lineRule="auto"/>
              <w:rPr>
                <w:rFonts w:ascii="Arial" w:hAnsi="Arial" w:cs="Arial"/>
                <w:color w:val="000000"/>
                <w:sz w:val="21"/>
                <w:szCs w:val="21"/>
              </w:rPr>
            </w:pPr>
            <w:r>
              <w:rPr>
                <w:rFonts w:hint="eastAsia" w:ascii="Arial" w:hAnsi="Arial" w:cs="Arial"/>
                <w:color w:val="000000"/>
                <w:sz w:val="21"/>
                <w:szCs w:val="21"/>
              </w:rPr>
              <w:t>刘朝阳</w:t>
            </w:r>
          </w:p>
        </w:tc>
        <w:tc>
          <w:tcPr>
            <w:tcW w:w="2197" w:type="dxa"/>
            <w:vAlign w:val="center"/>
          </w:tcPr>
          <w:p>
            <w:pPr>
              <w:tabs>
                <w:tab w:val="left" w:pos="5160"/>
              </w:tabs>
              <w:overflowPunct w:val="0"/>
              <w:spacing w:line="240" w:lineRule="auto"/>
              <w:rPr>
                <w:rFonts w:ascii="Arial" w:hAnsi="Arial" w:cs="Arial"/>
                <w:color w:val="000000"/>
                <w:sz w:val="21"/>
                <w:szCs w:val="21"/>
              </w:rPr>
            </w:pPr>
            <w:r>
              <w:rPr>
                <w:rFonts w:ascii="Arial" w:hAnsi="Arial" w:eastAsia="方正黑体简体"/>
                <w:sz w:val="21"/>
                <w:szCs w:val="21"/>
              </w:rPr>
              <w:t>1120060041</w:t>
            </w:r>
          </w:p>
        </w:tc>
        <w:tc>
          <w:tcPr>
            <w:tcW w:w="2774" w:type="dxa"/>
            <w:vAlign w:val="center"/>
          </w:tcPr>
          <w:p>
            <w:pPr>
              <w:tabs>
                <w:tab w:val="left" w:pos="5160"/>
              </w:tabs>
              <w:overflowPunct w:val="0"/>
              <w:spacing w:line="240" w:lineRule="auto"/>
              <w:rPr>
                <w:rFonts w:ascii="Arial" w:hAnsi="Arial" w:cs="Arial"/>
                <w:color w:val="000000"/>
                <w:sz w:val="21"/>
                <w:szCs w:val="21"/>
              </w:rPr>
            </w:pPr>
          </w:p>
        </w:tc>
        <w:tc>
          <w:tcPr>
            <w:tcW w:w="2582" w:type="dxa"/>
            <w:vAlign w:val="center"/>
          </w:tcPr>
          <w:p>
            <w:pPr>
              <w:tabs>
                <w:tab w:val="left" w:pos="5160"/>
              </w:tabs>
              <w:wordWrap w:val="0"/>
              <w:overflowPunct w:val="0"/>
              <w:spacing w:line="240" w:lineRule="auto"/>
              <w:ind w:firstLine="420" w:firstLineChars="200"/>
              <w:jc w:val="right"/>
              <w:rPr>
                <w:rFonts w:ascii="Arial" w:hAnsi="Arial" w:cs="Arial"/>
                <w:color w:val="000000"/>
                <w:sz w:val="21"/>
                <w:szCs w:val="21"/>
              </w:rPr>
            </w:pPr>
            <w:r>
              <w:rPr>
                <w:rFonts w:ascii="Arial" w:hAnsi="Arial" w:cs="Arial"/>
                <w:color w:val="000000"/>
                <w:sz w:val="21"/>
                <w:szCs w:val="21"/>
              </w:rPr>
              <w:t>年</w:t>
            </w:r>
            <w:r>
              <w:rPr>
                <w:rFonts w:hint="eastAsia" w:ascii="Arial" w:hAnsi="Arial" w:cs="Arial"/>
                <w:color w:val="000000"/>
                <w:sz w:val="21"/>
                <w:szCs w:val="21"/>
              </w:rPr>
              <w:t xml:space="preserve">    </w:t>
            </w:r>
            <w:r>
              <w:rPr>
                <w:rFonts w:ascii="Arial" w:hAnsi="Arial" w:cs="Arial"/>
                <w:color w:val="000000"/>
                <w:sz w:val="21"/>
                <w:szCs w:val="21"/>
              </w:rPr>
              <w:t>月</w:t>
            </w:r>
            <w:r>
              <w:rPr>
                <w:rFonts w:hint="eastAsia" w:ascii="Arial" w:hAnsi="Arial" w:cs="Arial"/>
                <w:color w:val="000000"/>
                <w:sz w:val="21"/>
                <w:szCs w:val="21"/>
              </w:rPr>
              <w:t xml:space="preserve">    </w:t>
            </w:r>
            <w:r>
              <w:rPr>
                <w:rFonts w:ascii="Arial" w:hAnsi="Arial" w:cs="Arial"/>
                <w:color w:val="000000"/>
                <w:sz w:val="21"/>
                <w:szCs w:val="21"/>
              </w:rPr>
              <w:t>日</w:t>
            </w:r>
          </w:p>
        </w:tc>
      </w:tr>
      <w:tr>
        <w:tblPrEx>
          <w:tblBorders>
            <w:top w:val="single" w:color="404040" w:sz="2" w:space="0"/>
            <w:left w:val="single" w:color="404040" w:sz="2" w:space="0"/>
            <w:bottom w:val="single" w:color="404040" w:sz="2" w:space="0"/>
            <w:right w:val="single" w:color="404040" w:sz="2" w:space="0"/>
            <w:insideH w:val="single" w:color="404040" w:sz="2" w:space="0"/>
            <w:insideV w:val="single" w:color="404040" w:sz="2" w:space="0"/>
          </w:tblBorders>
          <w:tblCellMar>
            <w:top w:w="0" w:type="dxa"/>
            <w:left w:w="108" w:type="dxa"/>
            <w:bottom w:w="0" w:type="dxa"/>
            <w:right w:w="108" w:type="dxa"/>
          </w:tblCellMar>
        </w:tblPrEx>
        <w:trPr>
          <w:trHeight w:val="454" w:hRule="exact"/>
          <w:jc w:val="center"/>
        </w:trPr>
        <w:tc>
          <w:tcPr>
            <w:tcW w:w="9299" w:type="dxa"/>
            <w:gridSpan w:val="4"/>
            <w:vAlign w:val="center"/>
          </w:tcPr>
          <w:p>
            <w:pPr>
              <w:tabs>
                <w:tab w:val="left" w:pos="5160"/>
              </w:tabs>
              <w:overflowPunct w:val="0"/>
              <w:spacing w:line="240" w:lineRule="auto"/>
              <w:rPr>
                <w:rFonts w:ascii="Arial" w:hAnsi="Arial" w:cs="Arial"/>
                <w:b/>
                <w:color w:val="000000"/>
                <w:kern w:val="2"/>
                <w:sz w:val="21"/>
                <w:szCs w:val="21"/>
              </w:rPr>
            </w:pPr>
            <w:r>
              <w:rPr>
                <w:rFonts w:hint="eastAsia" w:ascii="Arial" w:hAnsi="Arial" w:cs="Arial"/>
                <w:b/>
                <w:color w:val="000000"/>
                <w:kern w:val="2"/>
                <w:sz w:val="21"/>
                <w:szCs w:val="21"/>
              </w:rPr>
              <w:t>其他评估专业</w:t>
            </w:r>
            <w:r>
              <w:rPr>
                <w:rFonts w:ascii="Arial" w:hAnsi="Arial" w:cs="Arial"/>
                <w:b/>
                <w:color w:val="000000"/>
                <w:kern w:val="2"/>
                <w:sz w:val="21"/>
                <w:szCs w:val="21"/>
              </w:rPr>
              <w:t>人员</w:t>
            </w:r>
            <w:r>
              <w:rPr>
                <w:rFonts w:hint="eastAsia" w:ascii="Arial" w:hAnsi="Arial" w:cs="Arial"/>
                <w:b/>
                <w:color w:val="000000"/>
                <w:kern w:val="2"/>
                <w:sz w:val="21"/>
                <w:szCs w:val="21"/>
              </w:rPr>
              <w:t xml:space="preserve"> </w:t>
            </w:r>
          </w:p>
        </w:tc>
      </w:tr>
      <w:tr>
        <w:tblPrEx>
          <w:tblBorders>
            <w:top w:val="single" w:color="404040" w:sz="2" w:space="0"/>
            <w:left w:val="single" w:color="404040" w:sz="2" w:space="0"/>
            <w:bottom w:val="single" w:color="404040" w:sz="2" w:space="0"/>
            <w:right w:val="single" w:color="404040" w:sz="2" w:space="0"/>
            <w:insideH w:val="single" w:color="404040" w:sz="2" w:space="0"/>
            <w:insideV w:val="single" w:color="404040" w:sz="2" w:space="0"/>
          </w:tblBorders>
          <w:tblCellMar>
            <w:top w:w="0" w:type="dxa"/>
            <w:left w:w="108" w:type="dxa"/>
            <w:bottom w:w="0" w:type="dxa"/>
            <w:right w:w="108" w:type="dxa"/>
          </w:tblCellMar>
        </w:tblPrEx>
        <w:trPr>
          <w:trHeight w:val="454" w:hRule="exact"/>
          <w:jc w:val="center"/>
        </w:trPr>
        <w:tc>
          <w:tcPr>
            <w:tcW w:w="1746" w:type="dxa"/>
            <w:vAlign w:val="center"/>
          </w:tcPr>
          <w:p>
            <w:pPr>
              <w:tabs>
                <w:tab w:val="left" w:pos="5160"/>
              </w:tabs>
              <w:overflowPunct w:val="0"/>
              <w:spacing w:line="240" w:lineRule="auto"/>
              <w:rPr>
                <w:rFonts w:ascii="Arial" w:hAnsi="Arial" w:cs="Arial"/>
                <w:color w:val="000000"/>
                <w:sz w:val="21"/>
                <w:szCs w:val="21"/>
              </w:rPr>
            </w:pPr>
            <w:r>
              <w:rPr>
                <w:rFonts w:ascii="Arial" w:hAnsi="Arial" w:cs="Arial"/>
                <w:color w:val="000000"/>
                <w:sz w:val="21"/>
                <w:szCs w:val="21"/>
              </w:rPr>
              <w:t>姓名</w:t>
            </w:r>
          </w:p>
        </w:tc>
        <w:tc>
          <w:tcPr>
            <w:tcW w:w="2197" w:type="dxa"/>
            <w:vAlign w:val="center"/>
          </w:tcPr>
          <w:p>
            <w:pPr>
              <w:tabs>
                <w:tab w:val="left" w:pos="5160"/>
              </w:tabs>
              <w:overflowPunct w:val="0"/>
              <w:spacing w:line="240" w:lineRule="auto"/>
              <w:rPr>
                <w:rFonts w:ascii="Arial" w:hAnsi="Arial" w:cs="Arial"/>
                <w:color w:val="000000"/>
                <w:sz w:val="21"/>
                <w:szCs w:val="21"/>
              </w:rPr>
            </w:pPr>
            <w:r>
              <w:rPr>
                <w:rFonts w:ascii="Arial" w:hAnsi="Arial" w:cs="Arial"/>
                <w:color w:val="000000"/>
                <w:kern w:val="2"/>
                <w:sz w:val="21"/>
                <w:szCs w:val="21"/>
              </w:rPr>
              <w:t>相关资格或职称</w:t>
            </w:r>
          </w:p>
        </w:tc>
        <w:tc>
          <w:tcPr>
            <w:tcW w:w="2774" w:type="dxa"/>
            <w:vAlign w:val="center"/>
          </w:tcPr>
          <w:p>
            <w:pPr>
              <w:tabs>
                <w:tab w:val="left" w:pos="5160"/>
              </w:tabs>
              <w:overflowPunct w:val="0"/>
              <w:spacing w:line="240" w:lineRule="auto"/>
              <w:rPr>
                <w:rFonts w:ascii="Arial" w:hAnsi="Arial" w:cs="Arial"/>
                <w:color w:val="000000"/>
                <w:sz w:val="21"/>
                <w:szCs w:val="21"/>
              </w:rPr>
            </w:pPr>
            <w:r>
              <w:rPr>
                <w:rFonts w:ascii="Arial" w:hAnsi="Arial" w:cs="Arial"/>
                <w:color w:val="000000"/>
                <w:sz w:val="21"/>
                <w:szCs w:val="21"/>
              </w:rPr>
              <w:t>签名</w:t>
            </w:r>
          </w:p>
        </w:tc>
        <w:tc>
          <w:tcPr>
            <w:tcW w:w="2582" w:type="dxa"/>
            <w:vAlign w:val="center"/>
          </w:tcPr>
          <w:p>
            <w:pPr>
              <w:tabs>
                <w:tab w:val="left" w:pos="5160"/>
              </w:tabs>
              <w:overflowPunct w:val="0"/>
              <w:spacing w:line="240" w:lineRule="auto"/>
              <w:rPr>
                <w:rFonts w:ascii="Arial" w:hAnsi="Arial" w:cs="Arial"/>
                <w:color w:val="000000"/>
                <w:sz w:val="21"/>
                <w:szCs w:val="21"/>
              </w:rPr>
            </w:pPr>
            <w:r>
              <w:rPr>
                <w:rFonts w:ascii="Arial" w:hAnsi="Arial" w:cs="Arial"/>
                <w:color w:val="000000"/>
                <w:sz w:val="21"/>
                <w:szCs w:val="21"/>
              </w:rPr>
              <w:t>签名日期</w:t>
            </w:r>
          </w:p>
        </w:tc>
      </w:tr>
      <w:tr>
        <w:tblPrEx>
          <w:tblBorders>
            <w:top w:val="single" w:color="404040" w:sz="2" w:space="0"/>
            <w:left w:val="single" w:color="404040" w:sz="2" w:space="0"/>
            <w:bottom w:val="single" w:color="404040" w:sz="2" w:space="0"/>
            <w:right w:val="single" w:color="404040" w:sz="2" w:space="0"/>
            <w:insideH w:val="single" w:color="404040" w:sz="2" w:space="0"/>
            <w:insideV w:val="single" w:color="404040" w:sz="2" w:space="0"/>
          </w:tblBorders>
          <w:tblCellMar>
            <w:top w:w="0" w:type="dxa"/>
            <w:left w:w="108" w:type="dxa"/>
            <w:bottom w:w="0" w:type="dxa"/>
            <w:right w:w="108" w:type="dxa"/>
          </w:tblCellMar>
        </w:tblPrEx>
        <w:trPr>
          <w:trHeight w:val="1134" w:hRule="exact"/>
          <w:jc w:val="center"/>
        </w:trPr>
        <w:tc>
          <w:tcPr>
            <w:tcW w:w="1746" w:type="dxa"/>
            <w:vAlign w:val="center"/>
          </w:tcPr>
          <w:p>
            <w:pPr>
              <w:tabs>
                <w:tab w:val="left" w:pos="5160"/>
              </w:tabs>
              <w:overflowPunct w:val="0"/>
              <w:spacing w:line="240" w:lineRule="auto"/>
              <w:rPr>
                <w:rFonts w:ascii="Arial" w:hAnsi="Arial" w:cs="Arial"/>
                <w:color w:val="000000"/>
                <w:sz w:val="21"/>
                <w:szCs w:val="21"/>
              </w:rPr>
            </w:pPr>
            <w:r>
              <w:rPr>
                <w:rFonts w:hint="eastAsia" w:ascii="Arial" w:hAnsi="Arial" w:cs="Arial"/>
                <w:color w:val="000000"/>
                <w:sz w:val="21"/>
                <w:szCs w:val="21"/>
              </w:rPr>
              <w:t>边  远</w:t>
            </w:r>
          </w:p>
        </w:tc>
        <w:tc>
          <w:tcPr>
            <w:tcW w:w="2197" w:type="dxa"/>
            <w:vAlign w:val="center"/>
          </w:tcPr>
          <w:p>
            <w:pPr>
              <w:tabs>
                <w:tab w:val="left" w:pos="5160"/>
              </w:tabs>
              <w:overflowPunct w:val="0"/>
              <w:spacing w:line="240" w:lineRule="auto"/>
              <w:rPr>
                <w:rFonts w:ascii="楷体_GB2312" w:hAnsi="Tms Rmn" w:eastAsia="楷体_GB2312"/>
                <w:color w:val="000000"/>
                <w:sz w:val="28"/>
                <w:szCs w:val="28"/>
              </w:rPr>
            </w:pPr>
            <w:r>
              <w:rPr>
                <w:rFonts w:hint="eastAsia" w:ascii="楷体_GB2312" w:hAnsi="Tms Rmn" w:eastAsia="楷体_GB2312"/>
                <w:color w:val="000000"/>
                <w:sz w:val="28"/>
                <w:szCs w:val="28"/>
              </w:rPr>
              <w:t>——</w:t>
            </w:r>
          </w:p>
        </w:tc>
        <w:tc>
          <w:tcPr>
            <w:tcW w:w="2774" w:type="dxa"/>
            <w:vAlign w:val="center"/>
          </w:tcPr>
          <w:p>
            <w:pPr>
              <w:tabs>
                <w:tab w:val="left" w:pos="5160"/>
              </w:tabs>
              <w:overflowPunct w:val="0"/>
              <w:spacing w:line="240" w:lineRule="auto"/>
              <w:rPr>
                <w:rFonts w:ascii="Arial" w:hAnsi="Arial" w:cs="Arial"/>
                <w:color w:val="000000"/>
                <w:sz w:val="21"/>
                <w:szCs w:val="21"/>
              </w:rPr>
            </w:pPr>
          </w:p>
        </w:tc>
        <w:tc>
          <w:tcPr>
            <w:tcW w:w="2582" w:type="dxa"/>
            <w:vAlign w:val="center"/>
          </w:tcPr>
          <w:p>
            <w:pPr>
              <w:tabs>
                <w:tab w:val="left" w:pos="5160"/>
              </w:tabs>
              <w:wordWrap w:val="0"/>
              <w:overflowPunct w:val="0"/>
              <w:spacing w:line="240" w:lineRule="auto"/>
              <w:ind w:firstLine="420" w:firstLineChars="200"/>
              <w:jc w:val="right"/>
              <w:rPr>
                <w:rFonts w:ascii="Arial" w:hAnsi="Arial" w:cs="Arial"/>
                <w:color w:val="000000"/>
                <w:sz w:val="21"/>
                <w:szCs w:val="21"/>
              </w:rPr>
            </w:pPr>
            <w:r>
              <w:rPr>
                <w:rFonts w:ascii="Arial" w:hAnsi="Arial" w:cs="Arial"/>
                <w:color w:val="000000"/>
                <w:sz w:val="21"/>
                <w:szCs w:val="21"/>
              </w:rPr>
              <w:t>年</w:t>
            </w:r>
            <w:r>
              <w:rPr>
                <w:rFonts w:hint="eastAsia" w:ascii="Arial" w:hAnsi="Arial" w:cs="Arial"/>
                <w:color w:val="000000"/>
                <w:sz w:val="21"/>
                <w:szCs w:val="21"/>
              </w:rPr>
              <w:t xml:space="preserve">    </w:t>
            </w:r>
            <w:r>
              <w:rPr>
                <w:rFonts w:ascii="Arial" w:hAnsi="Arial" w:cs="Arial"/>
                <w:color w:val="000000"/>
                <w:sz w:val="21"/>
                <w:szCs w:val="21"/>
              </w:rPr>
              <w:t>月</w:t>
            </w:r>
            <w:r>
              <w:rPr>
                <w:rFonts w:hint="eastAsia" w:ascii="Arial" w:hAnsi="Arial" w:cs="Arial"/>
                <w:color w:val="000000"/>
                <w:sz w:val="21"/>
                <w:szCs w:val="21"/>
              </w:rPr>
              <w:t xml:space="preserve">    </w:t>
            </w:r>
            <w:r>
              <w:rPr>
                <w:rFonts w:ascii="Arial" w:hAnsi="Arial" w:cs="Arial"/>
                <w:color w:val="000000"/>
                <w:sz w:val="21"/>
                <w:szCs w:val="21"/>
              </w:rPr>
              <w:t>日</w:t>
            </w:r>
          </w:p>
        </w:tc>
      </w:tr>
    </w:tbl>
    <w:p>
      <w:pPr>
        <w:overflowPunct w:val="0"/>
        <w:spacing w:line="480" w:lineRule="auto"/>
        <w:jc w:val="both"/>
        <w:textAlignment w:val="auto"/>
        <w:rPr>
          <w:rFonts w:ascii="Arial" w:hAnsi="Arial"/>
          <w:kern w:val="2"/>
          <w:sz w:val="21"/>
          <w:szCs w:val="21"/>
        </w:rPr>
      </w:pPr>
    </w:p>
    <w:p>
      <w:pPr>
        <w:pStyle w:val="3"/>
        <w:numPr>
          <w:ilvl w:val="0"/>
          <w:numId w:val="0"/>
        </w:numPr>
        <w:tabs>
          <w:tab w:val="clear" w:pos="360"/>
        </w:tabs>
        <w:overflowPunct w:val="0"/>
        <w:spacing w:line="480" w:lineRule="auto"/>
        <w:ind w:left="358" w:hanging="358" w:hangingChars="170"/>
        <w:jc w:val="both"/>
        <w:textAlignment w:val="auto"/>
        <w:rPr>
          <w:rFonts w:eastAsia="宋体"/>
          <w:kern w:val="2"/>
          <w:sz w:val="21"/>
          <w:szCs w:val="21"/>
        </w:rPr>
      </w:pPr>
      <w:bookmarkStart w:id="29" w:name="_Toc500322975"/>
      <w:r>
        <w:rPr>
          <w:rFonts w:hint="eastAsia" w:eastAsia="宋体"/>
          <w:kern w:val="2"/>
          <w:sz w:val="21"/>
          <w:szCs w:val="21"/>
        </w:rPr>
        <w:t>十三、实地</w:t>
      </w:r>
      <w:r>
        <w:rPr>
          <w:rFonts w:eastAsia="宋体"/>
          <w:kern w:val="2"/>
          <w:sz w:val="21"/>
          <w:szCs w:val="21"/>
        </w:rPr>
        <w:t>查勘</w:t>
      </w:r>
      <w:r>
        <w:rPr>
          <w:rFonts w:hint="eastAsia" w:eastAsia="宋体"/>
          <w:kern w:val="2"/>
          <w:sz w:val="21"/>
          <w:szCs w:val="21"/>
        </w:rPr>
        <w:t>期</w:t>
      </w:r>
      <w:bookmarkEnd w:id="29"/>
    </w:p>
    <w:p>
      <w:pPr>
        <w:overflowPunct w:val="0"/>
        <w:spacing w:line="480" w:lineRule="auto"/>
        <w:ind w:firstLine="420" w:firstLineChars="200"/>
        <w:jc w:val="both"/>
        <w:textAlignment w:val="auto"/>
        <w:rPr>
          <w:rFonts w:ascii="Arial" w:hAnsi="Arial"/>
          <w:color w:val="E36C0A"/>
          <w:sz w:val="21"/>
          <w:szCs w:val="21"/>
        </w:rPr>
      </w:pPr>
      <w:r>
        <w:rPr>
          <w:rFonts w:hint="eastAsia" w:ascii="Arial" w:hAnsi="Arial"/>
          <w:sz w:val="21"/>
          <w:szCs w:val="21"/>
        </w:rPr>
        <w:t>2021年10月20日</w:t>
      </w:r>
    </w:p>
    <w:p>
      <w:pPr>
        <w:overflowPunct w:val="0"/>
        <w:spacing w:line="480" w:lineRule="auto"/>
        <w:ind w:firstLine="420" w:firstLineChars="200"/>
        <w:jc w:val="both"/>
        <w:textAlignment w:val="auto"/>
        <w:rPr>
          <w:rFonts w:ascii="Arial" w:hAnsi="Arial"/>
          <w:kern w:val="2"/>
          <w:sz w:val="21"/>
          <w:szCs w:val="21"/>
        </w:rPr>
      </w:pPr>
    </w:p>
    <w:p>
      <w:pPr>
        <w:pStyle w:val="3"/>
        <w:numPr>
          <w:ilvl w:val="0"/>
          <w:numId w:val="0"/>
        </w:numPr>
        <w:tabs>
          <w:tab w:val="clear" w:pos="360"/>
        </w:tabs>
        <w:overflowPunct w:val="0"/>
        <w:spacing w:line="480" w:lineRule="auto"/>
        <w:ind w:left="358" w:hanging="358" w:hangingChars="170"/>
        <w:jc w:val="both"/>
        <w:textAlignment w:val="auto"/>
        <w:rPr>
          <w:rFonts w:eastAsia="宋体"/>
          <w:kern w:val="2"/>
          <w:sz w:val="21"/>
          <w:szCs w:val="21"/>
        </w:rPr>
      </w:pPr>
      <w:bookmarkStart w:id="30" w:name="_Toc168225825"/>
      <w:bookmarkStart w:id="31" w:name="_Toc500322976"/>
      <w:r>
        <w:rPr>
          <w:rFonts w:hint="eastAsia" w:eastAsia="宋体"/>
          <w:kern w:val="2"/>
          <w:sz w:val="21"/>
          <w:szCs w:val="21"/>
        </w:rPr>
        <w:t>十四、估价作业期</w:t>
      </w:r>
      <w:bookmarkEnd w:id="30"/>
      <w:bookmarkEnd w:id="31"/>
      <w:r>
        <w:rPr>
          <w:rFonts w:hint="eastAsia" w:eastAsia="宋体"/>
          <w:kern w:val="2"/>
          <w:sz w:val="21"/>
          <w:szCs w:val="21"/>
        </w:rPr>
        <w:t xml:space="preserve">  </w:t>
      </w:r>
    </w:p>
    <w:p>
      <w:pPr>
        <w:overflowPunct w:val="0"/>
        <w:spacing w:line="480" w:lineRule="auto"/>
        <w:ind w:firstLine="420" w:firstLineChars="200"/>
        <w:jc w:val="both"/>
        <w:textAlignment w:val="auto"/>
        <w:rPr>
          <w:rFonts w:ascii="Arial" w:hAnsi="Arial"/>
          <w:color w:val="E36C0A"/>
          <w:sz w:val="21"/>
          <w:szCs w:val="21"/>
        </w:rPr>
      </w:pPr>
      <w:r>
        <w:rPr>
          <w:rFonts w:hint="eastAsia" w:ascii="Arial" w:hAnsi="Arial"/>
          <w:sz w:val="21"/>
          <w:szCs w:val="21"/>
        </w:rPr>
        <w:t>2021年10月20日至2021年11月5日</w:t>
      </w:r>
    </w:p>
    <w:p>
      <w:pPr>
        <w:overflowPunct w:val="0"/>
        <w:spacing w:line="480" w:lineRule="auto"/>
        <w:ind w:firstLine="422" w:firstLineChars="200"/>
        <w:jc w:val="both"/>
        <w:textAlignment w:val="auto"/>
        <w:outlineLvl w:val="0"/>
        <w:rPr>
          <w:rFonts w:ascii="Arial" w:hAnsi="Arial"/>
          <w:b/>
          <w:kern w:val="2"/>
          <w:sz w:val="21"/>
          <w:szCs w:val="21"/>
        </w:rPr>
        <w:sectPr>
          <w:headerReference r:id="rId15" w:type="default"/>
          <w:footerReference r:id="rId16" w:type="even"/>
          <w:pgSz w:w="11907" w:h="16840"/>
          <w:pgMar w:top="1843" w:right="1134" w:bottom="1191" w:left="1134" w:header="1134" w:footer="1134" w:gutter="340"/>
          <w:cols w:space="720" w:num="1"/>
          <w:docGrid w:linePitch="326" w:charSpace="0"/>
        </w:sectPr>
      </w:pPr>
    </w:p>
    <w:p>
      <w:pPr>
        <w:pStyle w:val="2"/>
        <w:numPr>
          <w:ilvl w:val="0"/>
          <w:numId w:val="0"/>
        </w:numPr>
        <w:tabs>
          <w:tab w:val="clear" w:pos="720"/>
        </w:tabs>
        <w:spacing w:line="480" w:lineRule="auto"/>
        <w:jc w:val="center"/>
        <w:rPr>
          <w:rFonts w:eastAsia="方正黑体简体"/>
          <w:b w:val="0"/>
          <w:kern w:val="2"/>
          <w:sz w:val="32"/>
          <w:szCs w:val="32"/>
        </w:rPr>
      </w:pPr>
      <w:bookmarkStart w:id="32" w:name="_Toc500322977"/>
      <w:r>
        <w:rPr>
          <w:rFonts w:hint="eastAsia" w:eastAsia="方正黑体简体"/>
          <w:b w:val="0"/>
          <w:kern w:val="2"/>
          <w:sz w:val="32"/>
          <w:szCs w:val="32"/>
        </w:rPr>
        <w:t>附   件</w:t>
      </w:r>
      <w:bookmarkEnd w:id="32"/>
    </w:p>
    <w:p>
      <w:pPr>
        <w:numPr>
          <w:ilvl w:val="0"/>
          <w:numId w:val="9"/>
        </w:numPr>
        <w:spacing w:line="420" w:lineRule="exact"/>
        <w:jc w:val="both"/>
        <w:rPr>
          <w:rFonts w:ascii="Arial" w:hAnsi="Arial"/>
          <w:sz w:val="21"/>
          <w:szCs w:val="24"/>
        </w:rPr>
      </w:pPr>
      <w:r>
        <w:rPr>
          <w:rFonts w:hint="eastAsia" w:ascii="Arial" w:hAnsi="Arial" w:cs="Arial"/>
          <w:sz w:val="21"/>
          <w:szCs w:val="21"/>
        </w:rPr>
        <w:t>《临汾市尧都区人民法院委托书》[（2020）晋1002执2638号]复印件</w:t>
      </w:r>
    </w:p>
    <w:p>
      <w:pPr>
        <w:numPr>
          <w:ilvl w:val="0"/>
          <w:numId w:val="9"/>
        </w:numPr>
        <w:spacing w:line="420" w:lineRule="exact"/>
        <w:jc w:val="both"/>
        <w:rPr>
          <w:rFonts w:ascii="Arial" w:hAnsi="Arial"/>
          <w:sz w:val="21"/>
          <w:szCs w:val="24"/>
        </w:rPr>
      </w:pPr>
      <w:r>
        <w:rPr>
          <w:rFonts w:hint="eastAsia" w:ascii="Arial" w:hAnsi="Arial"/>
          <w:sz w:val="21"/>
          <w:szCs w:val="24"/>
        </w:rPr>
        <w:t>估价对象所在位置示意图</w:t>
      </w:r>
    </w:p>
    <w:p>
      <w:pPr>
        <w:numPr>
          <w:ilvl w:val="0"/>
          <w:numId w:val="9"/>
        </w:numPr>
        <w:spacing w:line="420" w:lineRule="exact"/>
        <w:jc w:val="both"/>
        <w:rPr>
          <w:rFonts w:ascii="Arial" w:hAnsi="Arial"/>
          <w:sz w:val="21"/>
          <w:szCs w:val="24"/>
        </w:rPr>
      </w:pPr>
      <w:r>
        <w:rPr>
          <w:rFonts w:hint="eastAsia" w:ascii="Arial" w:hAnsi="Arial"/>
          <w:sz w:val="21"/>
          <w:szCs w:val="24"/>
        </w:rPr>
        <w:t>估价对象实地查勘情况和相关照片</w:t>
      </w:r>
    </w:p>
    <w:p>
      <w:pPr>
        <w:numPr>
          <w:ilvl w:val="0"/>
          <w:numId w:val="9"/>
        </w:numPr>
        <w:spacing w:line="420" w:lineRule="exact"/>
        <w:jc w:val="both"/>
        <w:rPr>
          <w:rFonts w:ascii="Arial" w:hAnsi="Arial"/>
          <w:sz w:val="21"/>
          <w:szCs w:val="24"/>
        </w:rPr>
      </w:pPr>
      <w:r>
        <w:rPr>
          <w:rFonts w:hint="eastAsia" w:ascii="Arial" w:hAnsi="Arial"/>
          <w:kern w:val="2"/>
          <w:sz w:val="21"/>
        </w:rPr>
        <w:t>《不动产权利及其他事项登记信息》[不动产单元号：110115003001GB00194F00050144]复印件</w:t>
      </w:r>
    </w:p>
    <w:p>
      <w:pPr>
        <w:numPr>
          <w:ilvl w:val="0"/>
          <w:numId w:val="9"/>
        </w:numPr>
        <w:spacing w:line="420" w:lineRule="exact"/>
        <w:jc w:val="both"/>
        <w:rPr>
          <w:rFonts w:ascii="Arial" w:hAnsi="Arial" w:cs="Arial"/>
          <w:sz w:val="21"/>
          <w:szCs w:val="24"/>
        </w:rPr>
      </w:pPr>
      <w:r>
        <w:rPr>
          <w:rFonts w:hint="eastAsia" w:ascii="Arial" w:hAnsi="Arial"/>
          <w:kern w:val="2"/>
          <w:sz w:val="21"/>
        </w:rPr>
        <w:t>《商品房买卖合同》[合同编号：0779997]部分复印件</w:t>
      </w:r>
    </w:p>
    <w:p>
      <w:pPr>
        <w:numPr>
          <w:ilvl w:val="0"/>
          <w:numId w:val="9"/>
        </w:numPr>
        <w:spacing w:line="420" w:lineRule="exact"/>
        <w:jc w:val="both"/>
        <w:rPr>
          <w:rFonts w:ascii="Arial" w:hAnsi="Arial" w:cs="Arial"/>
          <w:sz w:val="21"/>
          <w:szCs w:val="24"/>
        </w:rPr>
      </w:pPr>
      <w:r>
        <w:rPr>
          <w:rFonts w:ascii="Arial" w:hAnsi="Arial" w:cs="Arial"/>
          <w:sz w:val="21"/>
          <w:szCs w:val="24"/>
        </w:rPr>
        <w:t>房地产估价机构《营业执</w:t>
      </w:r>
      <w:r>
        <w:rPr>
          <w:rFonts w:ascii="Arial" w:hAnsi="Arial" w:cs="Arial"/>
          <w:sz w:val="21"/>
          <w:szCs w:val="21"/>
        </w:rPr>
        <w:t>照</w:t>
      </w:r>
      <w:r>
        <w:rPr>
          <w:rFonts w:ascii="Arial" w:hAnsi="Arial" w:cs="Arial"/>
          <w:sz w:val="21"/>
          <w:szCs w:val="24"/>
        </w:rPr>
        <w:t>（副本）》复印件</w:t>
      </w:r>
    </w:p>
    <w:p>
      <w:pPr>
        <w:numPr>
          <w:ilvl w:val="0"/>
          <w:numId w:val="9"/>
        </w:numPr>
        <w:spacing w:line="420" w:lineRule="exact"/>
        <w:jc w:val="both"/>
        <w:rPr>
          <w:rFonts w:ascii="Arial" w:hAnsi="Arial" w:cs="Arial"/>
          <w:sz w:val="21"/>
          <w:szCs w:val="24"/>
        </w:rPr>
      </w:pPr>
      <w:r>
        <w:rPr>
          <w:rFonts w:ascii="Arial" w:hAnsi="Arial" w:cs="Arial"/>
          <w:sz w:val="21"/>
          <w:szCs w:val="24"/>
        </w:rPr>
        <w:t>估价机构资质证书复印件</w:t>
      </w:r>
    </w:p>
    <w:p>
      <w:pPr>
        <w:numPr>
          <w:ilvl w:val="0"/>
          <w:numId w:val="9"/>
        </w:numPr>
        <w:spacing w:line="420" w:lineRule="exact"/>
        <w:jc w:val="both"/>
        <w:rPr>
          <w:rFonts w:ascii="Arial" w:hAnsi="Arial" w:cs="Arial"/>
          <w:sz w:val="21"/>
          <w:szCs w:val="24"/>
        </w:rPr>
      </w:pPr>
      <w:r>
        <w:rPr>
          <w:rFonts w:ascii="Arial" w:hAnsi="Arial" w:cs="Arial"/>
          <w:sz w:val="21"/>
          <w:szCs w:val="24"/>
        </w:rPr>
        <w:t>评估专业人员执业证书复印件</w:t>
      </w:r>
    </w:p>
    <w:sectPr>
      <w:headerReference r:id="rId17" w:type="default"/>
      <w:pgSz w:w="11907" w:h="16840"/>
      <w:pgMar w:top="1843" w:right="1134" w:bottom="1191" w:left="1134" w:header="1134" w:footer="1134" w:gutter="340"/>
      <w:cols w:space="720" w:num="1"/>
      <w:docGrid w:linePitch="326" w:charSpace="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comment w:id="0" w:author="kg" w:date="2021-11-01T14:12:00Z" w:initials="">
    <w:p w14:paraId="66DA447E">
      <w:pPr>
        <w:pStyle w:val="10"/>
      </w:pPr>
    </w:p>
  </w:comment>
  <w:comment w:id="1" w:author="俊然" w:date="2021-11-01T15:27:17Z" w:initials="">
    <w:p w14:paraId="15AF46EE">
      <w:pPr>
        <w:pStyle w:val="10"/>
        <w:rPr>
          <w:rFonts w:hint="default" w:eastAsia="宋体"/>
          <w:lang w:val="en-US" w:eastAsia="zh-CN"/>
        </w:rPr>
      </w:pPr>
      <w:r>
        <w:rPr>
          <w:rFonts w:hint="eastAsia"/>
          <w:lang w:eastAsia="zh-CN"/>
        </w:rPr>
        <w:t>那尔</w:t>
      </w:r>
      <w:r>
        <w:rPr>
          <w:rFonts w:hint="eastAsia"/>
          <w:lang w:val="en-US" w:eastAsia="zh-CN"/>
        </w:rPr>
        <w:t>102合同较清晰</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commentEx w15:paraId="66DA447E" w15:done="0"/>
  <w15:commentEx w15:paraId="15AF46EE" w15:done="0" w15:paraIdParent="66DA447E"/>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仿宋_GB2312">
    <w:altName w:val="仿宋"/>
    <w:panose1 w:val="00000000000000000000"/>
    <w:charset w:val="86"/>
    <w:family w:val="modern"/>
    <w:pitch w:val="default"/>
    <w:sig w:usb0="00000000" w:usb1="00000000" w:usb2="00000010" w:usb3="00000000" w:csb0="00040000" w:csb1="00000000"/>
  </w:font>
  <w:font w:name="仿宋">
    <w:panose1 w:val="02010609060101010101"/>
    <w:charset w:val="86"/>
    <w:family w:val="auto"/>
    <w:pitch w:val="default"/>
    <w:sig w:usb0="800002BF" w:usb1="38CF7CFA" w:usb2="00000016" w:usb3="00000000" w:csb0="00040001" w:csb1="00000000"/>
  </w:font>
  <w:font w:name="楷体_GB2312">
    <w:altName w:val="楷体"/>
    <w:panose1 w:val="00000000000000000000"/>
    <w:charset w:val="86"/>
    <w:family w:val="modern"/>
    <w:pitch w:val="default"/>
    <w:sig w:usb0="00000000" w:usb1="00000000" w:usb2="00000010" w:usb3="00000000" w:csb0="00040000" w:csb1="00000000"/>
  </w:font>
  <w:font w:name="楷体">
    <w:panose1 w:val="02010609060101010101"/>
    <w:charset w:val="86"/>
    <w:family w:val="auto"/>
    <w:pitch w:val="default"/>
    <w:sig w:usb0="800002BF" w:usb1="38CF7CFA" w:usb2="00000016" w:usb3="00000000" w:csb0="00040001" w:csb1="00000000"/>
  </w:font>
  <w:font w:name="GungsuhChe">
    <w:panose1 w:val="02030609000101010101"/>
    <w:charset w:val="81"/>
    <w:family w:val="modern"/>
    <w:pitch w:val="default"/>
    <w:sig w:usb0="B00002AF" w:usb1="69D77CFB" w:usb2="00000030" w:usb3="00000000" w:csb0="4008009F" w:csb1="DFD70000"/>
  </w:font>
  <w:font w:name="隶书">
    <w:panose1 w:val="02010509060101010101"/>
    <w:charset w:val="86"/>
    <w:family w:val="modern"/>
    <w:pitch w:val="default"/>
    <w:sig w:usb0="00000001" w:usb1="080E0000" w:usb2="00000000" w:usb3="00000000" w:csb0="00040000" w:csb1="00000000"/>
  </w:font>
  <w:font w:name="Arial Unicode MS">
    <w:altName w:val="宋体"/>
    <w:panose1 w:val="020B0604020202020204"/>
    <w:charset w:val="86"/>
    <w:family w:val="swiss"/>
    <w:pitch w:val="default"/>
    <w:sig w:usb0="00000000" w:usb1="00000000" w:usb2="0000003F" w:usb3="00000000" w:csb0="003F01FF" w:csb1="00000000"/>
  </w:font>
  <w:font w:name="微软雅黑">
    <w:panose1 w:val="020B0503020204020204"/>
    <w:charset w:val="86"/>
    <w:family w:val="swiss"/>
    <w:pitch w:val="default"/>
    <w:sig w:usb0="80000287" w:usb1="280F3C52" w:usb2="00000016" w:usb3="00000000" w:csb0="0004001F" w:csb1="00000000"/>
  </w:font>
  <w:font w:name="Adobe 黑体 Std R">
    <w:altName w:val="微软雅黑"/>
    <w:panose1 w:val="00000000000000000000"/>
    <w:charset w:val="86"/>
    <w:family w:val="swiss"/>
    <w:pitch w:val="default"/>
    <w:sig w:usb0="00000000" w:usb1="00000000" w:usb2="00000016" w:usb3="00000000" w:csb0="00060007" w:csb1="00000000"/>
  </w:font>
  <w:font w:name="方正黑体简体">
    <w:altName w:val="微软雅黑"/>
    <w:panose1 w:val="00000000000000000000"/>
    <w:charset w:val="86"/>
    <w:family w:val="auto"/>
    <w:pitch w:val="default"/>
    <w:sig w:usb0="00000000" w:usb1="00000000" w:usb2="00000010" w:usb3="00000000" w:csb0="00040000" w:csb1="00000000"/>
  </w:font>
  <w:font w:name="Cambria">
    <w:panose1 w:val="02040503050406030204"/>
    <w:charset w:val="00"/>
    <w:family w:val="roman"/>
    <w:pitch w:val="default"/>
    <w:sig w:usb0="E00002FF" w:usb1="400004FF" w:usb2="00000000" w:usb3="00000000" w:csb0="2000019F" w:csb1="00000000"/>
  </w:font>
  <w:font w:name="华文楷体">
    <w:panose1 w:val="02010600040101010101"/>
    <w:charset w:val="86"/>
    <w:family w:val="auto"/>
    <w:pitch w:val="default"/>
    <w:sig w:usb0="00000287" w:usb1="080F0000" w:usb2="00000000" w:usb3="00000000" w:csb0="0004009F" w:csb1="DFD70000"/>
  </w:font>
  <w:font w:name="华文细黑">
    <w:panose1 w:val="02010600040101010101"/>
    <w:charset w:val="86"/>
    <w:family w:val="auto"/>
    <w:pitch w:val="default"/>
    <w:sig w:usb0="00000287" w:usb1="080F0000" w:usb2="00000000" w:usb3="00000000" w:csb0="0004009F" w:csb1="DFD70000"/>
  </w:font>
  <w:font w:name="Helvetica">
    <w:altName w:val="Arial"/>
    <w:panose1 w:val="020B0604020202020204"/>
    <w:charset w:val="00"/>
    <w:family w:val="swiss"/>
    <w:pitch w:val="default"/>
    <w:sig w:usb0="00000000" w:usb1="00000000" w:usb2="00000009" w:usb3="00000000" w:csb0="000001FF" w:csb1="00000000"/>
  </w:font>
  <w:font w:name="Tms Rmn">
    <w:altName w:val="Segoe Print"/>
    <w:panose1 w:val="02020603040505020304"/>
    <w:charset w:val="00"/>
    <w:family w:val="roman"/>
    <w:pitch w:val="default"/>
    <w:sig w:usb0="00000000" w:usb1="00000000" w:usb2="00000000" w:usb3="00000000" w:csb0="00000001" w:csb1="00000000"/>
  </w:font>
  <w:font w:name="Segoe Print">
    <w:panose1 w:val="02000600000000000000"/>
    <w:charset w:val="00"/>
    <w:family w:val="auto"/>
    <w:pitch w:val="default"/>
    <w:sig w:usb0="0000028F" w:usb1="00000000" w:usb2="00000000" w:usb3="00000000" w:csb0="2000009F" w:csb1="4701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pBdr>
        <w:top w:val="single" w:color="auto" w:sz="4" w:space="1"/>
      </w:pBdr>
      <w:tabs>
        <w:tab w:val="right" w:pos="8647"/>
        <w:tab w:val="clear" w:pos="8306"/>
      </w:tabs>
      <w:ind w:right="17"/>
    </w:pPr>
    <w:r>
      <w:rPr>
        <w:rFonts w:hint="eastAsia"/>
      </w:rPr>
      <w:t>评估编号：</w:t>
    </w:r>
    <w:r>
      <w:rPr>
        <w:rFonts w:hint="eastAsia" w:ascii="Arial" w:hAnsi="Arial"/>
      </w:rPr>
      <w:t>2021-1-0562-F04SFZC6</w:t>
    </w:r>
    <w:r>
      <w:rPr>
        <w:rFonts w:hint="eastAsia"/>
      </w:rPr>
      <w:t xml:space="preserve">                                                                    </w:t>
    </w:r>
    <w:r>
      <w:rPr>
        <w:rFonts w:ascii="Calibri" w:hAnsi="Calibri"/>
      </w:rPr>
      <w:fldChar w:fldCharType="begin"/>
    </w:r>
    <w:r>
      <w:instrText xml:space="preserve">PAGE   \* MERGEFORMAT</w:instrText>
    </w:r>
    <w:r>
      <w:rPr>
        <w:rFonts w:ascii="Calibri" w:hAnsi="Calibri"/>
      </w:rPr>
      <w:fldChar w:fldCharType="separate"/>
    </w:r>
    <w:r>
      <w:rPr>
        <w:rFonts w:ascii="Arial" w:hAnsi="Arial"/>
        <w:lang w:val="zh-CN"/>
      </w:rPr>
      <w:t>21</w:t>
    </w:r>
    <w:r>
      <w:rPr>
        <w:rFonts w:ascii="Cambria" w:hAnsi="Cambria"/>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framePr w:wrap="around" w:vAnchor="text" w:hAnchor="margin" w:xAlign="center" w:y="1"/>
      <w:rPr>
        <w:rStyle w:val="36"/>
      </w:rPr>
    </w:pPr>
    <w:r>
      <w:rPr>
        <w:rStyle w:val="36"/>
      </w:rPr>
      <w:fldChar w:fldCharType="begin"/>
    </w:r>
    <w:r>
      <w:rPr>
        <w:rStyle w:val="36"/>
      </w:rPr>
      <w:instrText xml:space="preserve">PAGE  </w:instrText>
    </w:r>
    <w:r>
      <w:rPr>
        <w:rStyle w:val="36"/>
      </w:rPr>
      <w:fldChar w:fldCharType="end"/>
    </w:r>
  </w:p>
  <w:p>
    <w:pPr>
      <w:pStyle w:val="2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jc w:val="center"/>
    </w:pPr>
    <w:r>
      <w:fldChar w:fldCharType="begin"/>
    </w:r>
    <w:r>
      <w:instrText xml:space="preserve">PAGE   \* MERGEFORMAT</w:instrText>
    </w:r>
    <w:r>
      <w:fldChar w:fldCharType="separate"/>
    </w:r>
    <w:r>
      <w:rPr>
        <w:rFonts w:ascii="Arial" w:hAnsi="Arial"/>
        <w:lang w:val="zh-CN"/>
      </w:rPr>
      <w:t>12</w:t>
    </w:r>
    <w:r>
      <w:fldChar w:fldCharType="end"/>
    </w:r>
  </w:p>
  <w:p>
    <w:pPr>
      <w:pStyle w:val="2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framePr w:wrap="around" w:vAnchor="text" w:hAnchor="margin" w:xAlign="center" w:y="1"/>
      <w:rPr>
        <w:rStyle w:val="36"/>
      </w:rPr>
    </w:pPr>
    <w:r>
      <w:rPr>
        <w:rStyle w:val="36"/>
      </w:rPr>
      <w:fldChar w:fldCharType="begin"/>
    </w:r>
    <w:r>
      <w:rPr>
        <w:rStyle w:val="36"/>
      </w:rPr>
      <w:instrText xml:space="preserve">PAGE  </w:instrText>
    </w:r>
    <w:r>
      <w:rPr>
        <w:rStyle w:val="36"/>
      </w:rPr>
      <w:fldChar w:fldCharType="end"/>
    </w:r>
  </w:p>
  <w:p>
    <w:pPr>
      <w:pStyle w:val="2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1"/>
      <w:pBdr>
        <w:bottom w:val="none" w:color="auto" w:sz="0" w:space="0"/>
      </w:pBdr>
    </w:pPr>
    <w:r>
      <w:drawing>
        <wp:inline distT="0" distB="0" distL="114300" distR="114300">
          <wp:extent cx="5505450" cy="284480"/>
          <wp:effectExtent l="0" t="0" r="0" b="1270"/>
          <wp:docPr id="16" name="图片 0" descr="评估报告内页页眉.jpg"/>
          <wp:cNvGraphicFramePr/>
          <a:graphic xmlns:a="http://schemas.openxmlformats.org/drawingml/2006/main">
            <a:graphicData uri="http://schemas.openxmlformats.org/drawingml/2006/picture">
              <pic:pic xmlns:pic="http://schemas.openxmlformats.org/drawingml/2006/picture">
                <pic:nvPicPr>
                  <pic:cNvPr id="16" name="图片 0" descr="评估报告内页页眉.jpg"/>
                  <pic:cNvPicPr preferRelativeResize="0"/>
                </pic:nvPicPr>
                <pic:blipFill>
                  <a:blip r:embed="rId1"/>
                  <a:stretch>
                    <a:fillRect/>
                  </a:stretch>
                </pic:blipFill>
                <pic:spPr>
                  <a:xfrm>
                    <a:off x="0" y="0"/>
                    <a:ext cx="5505450" cy="284480"/>
                  </a:xfrm>
                  <a:prstGeom prst="rect">
                    <a:avLst/>
                  </a:prstGeom>
                  <a:noFill/>
                  <a:ln>
                    <a:noFill/>
                  </a:ln>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1"/>
      <w:pBdr>
        <w:bottom w:val="none" w:color="auto" w:sz="0" w:space="0"/>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1"/>
      <w:pBdr>
        <w:bottom w:val="none" w:color="auto" w:sz="0" w:space="0"/>
      </w:pBdr>
      <w:jc w:val="both"/>
      <w:rPr>
        <w:rFonts w:ascii="楷体_GB2312" w:eastAsia="楷体_GB2312"/>
        <w:color w:val="FF0000"/>
        <w:spacing w:val="-20"/>
        <w:sz w:val="21"/>
      </w:rPr>
    </w:pPr>
    <w:r>
      <w:drawing>
        <wp:inline distT="0" distB="0" distL="114300" distR="114300">
          <wp:extent cx="5902325" cy="285750"/>
          <wp:effectExtent l="0" t="0" r="3175" b="0"/>
          <wp:docPr id="17" name="图片 0" descr="评估报告内页页眉.jpg"/>
          <wp:cNvGraphicFramePr/>
          <a:graphic xmlns:a="http://schemas.openxmlformats.org/drawingml/2006/main">
            <a:graphicData uri="http://schemas.openxmlformats.org/drawingml/2006/picture">
              <pic:pic xmlns:pic="http://schemas.openxmlformats.org/drawingml/2006/picture">
                <pic:nvPicPr>
                  <pic:cNvPr id="17" name="图片 0" descr="评估报告内页页眉.jpg"/>
                  <pic:cNvPicPr preferRelativeResize="0"/>
                </pic:nvPicPr>
                <pic:blipFill>
                  <a:blip r:embed="rId1"/>
                  <a:stretch>
                    <a:fillRect/>
                  </a:stretch>
                </pic:blipFill>
                <pic:spPr>
                  <a:xfrm>
                    <a:off x="0" y="0"/>
                    <a:ext cx="5902325" cy="285750"/>
                  </a:xfrm>
                  <a:prstGeom prst="rect">
                    <a:avLst/>
                  </a:prstGeom>
                  <a:noFill/>
                  <a:ln>
                    <a:noFill/>
                  </a:ln>
                </pic:spPr>
              </pic:pic>
            </a:graphicData>
          </a:graphic>
        </wp:inline>
      </w:drawing>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1"/>
      <w:pBdr>
        <w:bottom w:val="none" w:color="auto" w:sz="0" w:space="0"/>
      </w:pBdr>
      <w:jc w:val="both"/>
      <w:rPr>
        <w:rFonts w:ascii="楷体_GB2312" w:eastAsia="楷体_GB2312"/>
        <w:color w:val="FF0000"/>
        <w:spacing w:val="-20"/>
        <w:sz w:val="21"/>
      </w:rPr>
    </w:pPr>
    <w:r>
      <w:drawing>
        <wp:inline distT="0" distB="0" distL="114300" distR="114300">
          <wp:extent cx="5902325" cy="285750"/>
          <wp:effectExtent l="0" t="0" r="3175" b="0"/>
          <wp:docPr id="18" name="图片 0" descr="评估报告内页页眉.jpg"/>
          <wp:cNvGraphicFramePr/>
          <a:graphic xmlns:a="http://schemas.openxmlformats.org/drawingml/2006/main">
            <a:graphicData uri="http://schemas.openxmlformats.org/drawingml/2006/picture">
              <pic:pic xmlns:pic="http://schemas.openxmlformats.org/drawingml/2006/picture">
                <pic:nvPicPr>
                  <pic:cNvPr id="18" name="图片 0" descr="评估报告内页页眉.jpg"/>
                  <pic:cNvPicPr preferRelativeResize="0"/>
                </pic:nvPicPr>
                <pic:blipFill>
                  <a:blip r:embed="rId1"/>
                  <a:stretch>
                    <a:fillRect/>
                  </a:stretch>
                </pic:blipFill>
                <pic:spPr>
                  <a:xfrm>
                    <a:off x="0" y="0"/>
                    <a:ext cx="5902325" cy="285750"/>
                  </a:xfrm>
                  <a:prstGeom prst="rect">
                    <a:avLst/>
                  </a:prstGeom>
                  <a:noFill/>
                  <a:ln>
                    <a:noFill/>
                  </a:ln>
                </pic:spPr>
              </pic:pic>
            </a:graphicData>
          </a:graphic>
        </wp:inline>
      </w:drawing>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1"/>
    </w:pPr>
    <w:r>
      <w:drawing>
        <wp:inline distT="0" distB="0" distL="114300" distR="114300">
          <wp:extent cx="5505450" cy="284480"/>
          <wp:effectExtent l="0" t="0" r="0" b="1270"/>
          <wp:docPr id="19" name="图片 0" descr="评估报告内页页眉.jpg"/>
          <wp:cNvGraphicFramePr/>
          <a:graphic xmlns:a="http://schemas.openxmlformats.org/drawingml/2006/main">
            <a:graphicData uri="http://schemas.openxmlformats.org/drawingml/2006/picture">
              <pic:pic xmlns:pic="http://schemas.openxmlformats.org/drawingml/2006/picture">
                <pic:nvPicPr>
                  <pic:cNvPr id="19" name="图片 0" descr="评估报告内页页眉.jpg"/>
                  <pic:cNvPicPr preferRelativeResize="0"/>
                </pic:nvPicPr>
                <pic:blipFill>
                  <a:blip r:embed="rId1"/>
                  <a:stretch>
                    <a:fillRect/>
                  </a:stretch>
                </pic:blipFill>
                <pic:spPr>
                  <a:xfrm>
                    <a:off x="0" y="0"/>
                    <a:ext cx="5505450" cy="284480"/>
                  </a:xfrm>
                  <a:prstGeom prst="rect">
                    <a:avLst/>
                  </a:prstGeom>
                  <a:noFill/>
                  <a:ln>
                    <a:noFill/>
                  </a:ln>
                </pic:spPr>
              </pic:pic>
            </a:graphicData>
          </a:graphic>
        </wp:inline>
      </w:drawing>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1"/>
      <w:pBdr>
        <w:bottom w:val="none" w:color="auto" w:sz="0" w:space="0"/>
      </w:pBdr>
      <w:jc w:val="both"/>
      <w:rPr>
        <w:rFonts w:ascii="楷体_GB2312" w:eastAsia="楷体_GB2312"/>
        <w:color w:val="FF0000"/>
        <w:spacing w:val="-20"/>
        <w:sz w:val="21"/>
      </w:rPr>
    </w:pPr>
    <w:r>
      <w:drawing>
        <wp:inline distT="0" distB="0" distL="114300" distR="114300">
          <wp:extent cx="5902325" cy="285750"/>
          <wp:effectExtent l="0" t="0" r="3175" b="0"/>
          <wp:docPr id="20" name="图片 0" descr="评估报告内页页眉.jpg"/>
          <wp:cNvGraphicFramePr/>
          <a:graphic xmlns:a="http://schemas.openxmlformats.org/drawingml/2006/main">
            <a:graphicData uri="http://schemas.openxmlformats.org/drawingml/2006/picture">
              <pic:pic xmlns:pic="http://schemas.openxmlformats.org/drawingml/2006/picture">
                <pic:nvPicPr>
                  <pic:cNvPr id="20" name="图片 0" descr="评估报告内页页眉.jpg"/>
                  <pic:cNvPicPr preferRelativeResize="0"/>
                </pic:nvPicPr>
                <pic:blipFill>
                  <a:blip r:embed="rId1"/>
                  <a:stretch>
                    <a:fillRect/>
                  </a:stretch>
                </pic:blipFill>
                <pic:spPr>
                  <a:xfrm>
                    <a:off x="0" y="0"/>
                    <a:ext cx="5902325" cy="285750"/>
                  </a:xfrm>
                  <a:prstGeom prst="rect">
                    <a:avLst/>
                  </a:prstGeom>
                  <a:noFill/>
                  <a:ln>
                    <a:noFill/>
                  </a:ln>
                </pic:spPr>
              </pic:pic>
            </a:graphicData>
          </a:graphic>
        </wp:inline>
      </w:drawing>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1"/>
      <w:pBdr>
        <w:bottom w:val="none" w:color="auto" w:sz="0" w:space="0"/>
      </w:pBdr>
    </w:pPr>
    <w:r>
      <w:drawing>
        <wp:inline distT="0" distB="0" distL="114300" distR="114300">
          <wp:extent cx="5902325" cy="285750"/>
          <wp:effectExtent l="0" t="0" r="3175" b="0"/>
          <wp:docPr id="21" name="图片 0" descr="评估报告内页页眉.jpg"/>
          <wp:cNvGraphicFramePr/>
          <a:graphic xmlns:a="http://schemas.openxmlformats.org/drawingml/2006/main">
            <a:graphicData uri="http://schemas.openxmlformats.org/drawingml/2006/picture">
              <pic:pic xmlns:pic="http://schemas.openxmlformats.org/drawingml/2006/picture">
                <pic:nvPicPr>
                  <pic:cNvPr id="21" name="图片 0" descr="评估报告内页页眉.jpg"/>
                  <pic:cNvPicPr preferRelativeResize="0"/>
                </pic:nvPicPr>
                <pic:blipFill>
                  <a:blip r:embed="rId1"/>
                  <a:stretch>
                    <a:fillRect/>
                  </a:stretch>
                </pic:blipFill>
                <pic:spPr>
                  <a:xfrm>
                    <a:off x="0" y="0"/>
                    <a:ext cx="5902325" cy="285750"/>
                  </a:xfrm>
                  <a:prstGeom prst="rect">
                    <a:avLst/>
                  </a:prstGeom>
                  <a:noFill/>
                  <a:ln>
                    <a:noFill/>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A396F27"/>
    <w:multiLevelType w:val="multilevel"/>
    <w:tmpl w:val="0A396F27"/>
    <w:lvl w:ilvl="0" w:tentative="0">
      <w:start w:val="1"/>
      <w:numFmt w:val="decimal"/>
      <w:lvlText w:val="%1."/>
      <w:lvlJc w:val="left"/>
      <w:pPr>
        <w:ind w:left="84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
    <w:nsid w:val="11163656"/>
    <w:multiLevelType w:val="multilevel"/>
    <w:tmpl w:val="11163656"/>
    <w:lvl w:ilvl="0" w:tentative="0">
      <w:start w:val="3"/>
      <w:numFmt w:val="decimal"/>
      <w:lvlText w:val="（%1）"/>
      <w:lvlJc w:val="left"/>
      <w:pPr>
        <w:tabs>
          <w:tab w:val="left" w:pos="1320"/>
        </w:tabs>
        <w:ind w:left="1320" w:hanging="720"/>
      </w:pPr>
      <w:rPr>
        <w:rFonts w:hint="eastAsia"/>
      </w:rPr>
    </w:lvl>
    <w:lvl w:ilvl="1" w:tentative="0">
      <w:start w:val="1"/>
      <w:numFmt w:val="upperLetter"/>
      <w:pStyle w:val="4"/>
      <w:lvlText w:val="%2、"/>
      <w:lvlJc w:val="left"/>
      <w:pPr>
        <w:tabs>
          <w:tab w:val="left" w:pos="1740"/>
        </w:tabs>
        <w:ind w:left="1740" w:hanging="720"/>
      </w:pPr>
      <w:rPr>
        <w:rFonts w:hint="eastAsia"/>
      </w:rPr>
    </w:lvl>
    <w:lvl w:ilvl="2" w:tentative="0">
      <w:start w:val="1"/>
      <w:numFmt w:val="lowerRoman"/>
      <w:lvlText w:val="%3."/>
      <w:lvlJc w:val="right"/>
      <w:pPr>
        <w:tabs>
          <w:tab w:val="left" w:pos="1860"/>
        </w:tabs>
        <w:ind w:left="1860" w:hanging="420"/>
      </w:pPr>
    </w:lvl>
    <w:lvl w:ilvl="3" w:tentative="0">
      <w:start w:val="1"/>
      <w:numFmt w:val="decimal"/>
      <w:lvlText w:val="%4."/>
      <w:lvlJc w:val="left"/>
      <w:pPr>
        <w:tabs>
          <w:tab w:val="left" w:pos="2280"/>
        </w:tabs>
        <w:ind w:left="2280" w:hanging="420"/>
      </w:pPr>
    </w:lvl>
    <w:lvl w:ilvl="4" w:tentative="0">
      <w:start w:val="1"/>
      <w:numFmt w:val="lowerLetter"/>
      <w:lvlText w:val="%5)"/>
      <w:lvlJc w:val="left"/>
      <w:pPr>
        <w:tabs>
          <w:tab w:val="left" w:pos="2700"/>
        </w:tabs>
        <w:ind w:left="2700" w:hanging="420"/>
      </w:pPr>
    </w:lvl>
    <w:lvl w:ilvl="5" w:tentative="0">
      <w:start w:val="1"/>
      <w:numFmt w:val="lowerRoman"/>
      <w:lvlText w:val="%6."/>
      <w:lvlJc w:val="right"/>
      <w:pPr>
        <w:tabs>
          <w:tab w:val="left" w:pos="3120"/>
        </w:tabs>
        <w:ind w:left="3120" w:hanging="420"/>
      </w:pPr>
    </w:lvl>
    <w:lvl w:ilvl="6" w:tentative="0">
      <w:start w:val="1"/>
      <w:numFmt w:val="decimal"/>
      <w:lvlText w:val="%7."/>
      <w:lvlJc w:val="left"/>
      <w:pPr>
        <w:tabs>
          <w:tab w:val="left" w:pos="3540"/>
        </w:tabs>
        <w:ind w:left="3540" w:hanging="420"/>
      </w:pPr>
    </w:lvl>
    <w:lvl w:ilvl="7" w:tentative="0">
      <w:start w:val="1"/>
      <w:numFmt w:val="lowerLetter"/>
      <w:lvlText w:val="%8)"/>
      <w:lvlJc w:val="left"/>
      <w:pPr>
        <w:tabs>
          <w:tab w:val="left" w:pos="3960"/>
        </w:tabs>
        <w:ind w:left="3960" w:hanging="420"/>
      </w:pPr>
    </w:lvl>
    <w:lvl w:ilvl="8" w:tentative="0">
      <w:start w:val="1"/>
      <w:numFmt w:val="lowerRoman"/>
      <w:lvlText w:val="%9."/>
      <w:lvlJc w:val="right"/>
      <w:pPr>
        <w:tabs>
          <w:tab w:val="left" w:pos="4380"/>
        </w:tabs>
        <w:ind w:left="4380" w:hanging="420"/>
      </w:pPr>
    </w:lvl>
  </w:abstractNum>
  <w:abstractNum w:abstractNumId="2">
    <w:nsid w:val="210A438F"/>
    <w:multiLevelType w:val="multilevel"/>
    <w:tmpl w:val="210A438F"/>
    <w:lvl w:ilvl="0" w:tentative="0">
      <w:start w:val="1"/>
      <w:numFmt w:val="decimal"/>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3">
    <w:nsid w:val="42F75245"/>
    <w:multiLevelType w:val="multilevel"/>
    <w:tmpl w:val="42F75245"/>
    <w:lvl w:ilvl="0" w:tentative="0">
      <w:start w:val="1"/>
      <w:numFmt w:val="decimal"/>
      <w:lvlText w:val="%1."/>
      <w:lvlJc w:val="left"/>
      <w:pPr>
        <w:ind w:left="660" w:hanging="420"/>
      </w:pPr>
      <w:rPr>
        <w:rFonts w:hint="default"/>
      </w:rPr>
    </w:lvl>
    <w:lvl w:ilvl="1" w:tentative="0">
      <w:start w:val="1"/>
      <w:numFmt w:val="bullet"/>
      <w:lvlText w:val=""/>
      <w:lvlJc w:val="left"/>
      <w:pPr>
        <w:ind w:left="1080" w:hanging="420"/>
      </w:pPr>
      <w:rPr>
        <w:rFonts w:hint="default" w:ascii="Wingdings" w:hAnsi="Wingdings"/>
      </w:rPr>
    </w:lvl>
    <w:lvl w:ilvl="2" w:tentative="0">
      <w:start w:val="1"/>
      <w:numFmt w:val="bullet"/>
      <w:lvlText w:val=""/>
      <w:lvlJc w:val="left"/>
      <w:pPr>
        <w:ind w:left="1500" w:hanging="420"/>
      </w:pPr>
      <w:rPr>
        <w:rFonts w:hint="default" w:ascii="Wingdings" w:hAnsi="Wingdings"/>
      </w:rPr>
    </w:lvl>
    <w:lvl w:ilvl="3" w:tentative="0">
      <w:start w:val="1"/>
      <w:numFmt w:val="bullet"/>
      <w:lvlText w:val=""/>
      <w:lvlJc w:val="left"/>
      <w:pPr>
        <w:ind w:left="1920" w:hanging="420"/>
      </w:pPr>
      <w:rPr>
        <w:rFonts w:hint="default" w:ascii="Wingdings" w:hAnsi="Wingdings"/>
      </w:rPr>
    </w:lvl>
    <w:lvl w:ilvl="4" w:tentative="0">
      <w:start w:val="1"/>
      <w:numFmt w:val="bullet"/>
      <w:lvlText w:val=""/>
      <w:lvlJc w:val="left"/>
      <w:pPr>
        <w:ind w:left="2340" w:hanging="420"/>
      </w:pPr>
      <w:rPr>
        <w:rFonts w:hint="default" w:ascii="Wingdings" w:hAnsi="Wingdings"/>
      </w:rPr>
    </w:lvl>
    <w:lvl w:ilvl="5" w:tentative="0">
      <w:start w:val="1"/>
      <w:numFmt w:val="bullet"/>
      <w:lvlText w:val=""/>
      <w:lvlJc w:val="left"/>
      <w:pPr>
        <w:ind w:left="2760" w:hanging="420"/>
      </w:pPr>
      <w:rPr>
        <w:rFonts w:hint="default" w:ascii="Wingdings" w:hAnsi="Wingdings"/>
      </w:rPr>
    </w:lvl>
    <w:lvl w:ilvl="6" w:tentative="0">
      <w:start w:val="1"/>
      <w:numFmt w:val="bullet"/>
      <w:lvlText w:val=""/>
      <w:lvlJc w:val="left"/>
      <w:pPr>
        <w:ind w:left="3180" w:hanging="420"/>
      </w:pPr>
      <w:rPr>
        <w:rFonts w:hint="default" w:ascii="Wingdings" w:hAnsi="Wingdings"/>
      </w:rPr>
    </w:lvl>
    <w:lvl w:ilvl="7" w:tentative="0">
      <w:start w:val="1"/>
      <w:numFmt w:val="bullet"/>
      <w:lvlText w:val=""/>
      <w:lvlJc w:val="left"/>
      <w:pPr>
        <w:ind w:left="3600" w:hanging="420"/>
      </w:pPr>
      <w:rPr>
        <w:rFonts w:hint="default" w:ascii="Wingdings" w:hAnsi="Wingdings"/>
      </w:rPr>
    </w:lvl>
    <w:lvl w:ilvl="8" w:tentative="0">
      <w:start w:val="1"/>
      <w:numFmt w:val="bullet"/>
      <w:lvlText w:val=""/>
      <w:lvlJc w:val="left"/>
      <w:pPr>
        <w:ind w:left="4020" w:hanging="420"/>
      </w:pPr>
      <w:rPr>
        <w:rFonts w:hint="default" w:ascii="Wingdings" w:hAnsi="Wingdings"/>
      </w:rPr>
    </w:lvl>
  </w:abstractNum>
  <w:abstractNum w:abstractNumId="4">
    <w:nsid w:val="5E2E5779"/>
    <w:multiLevelType w:val="multilevel"/>
    <w:tmpl w:val="5E2E5779"/>
    <w:lvl w:ilvl="0" w:tentative="0">
      <w:start w:val="0"/>
      <w:numFmt w:val="bullet"/>
      <w:lvlText w:val="—"/>
      <w:lvlJc w:val="left"/>
      <w:pPr>
        <w:ind w:left="360" w:hanging="360"/>
      </w:pPr>
      <w:rPr>
        <w:rFonts w:hint="eastAsia" w:ascii="微软雅黑" w:hAnsi="微软雅黑" w:eastAsia="微软雅黑" w:cs="Times New Roman"/>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5">
    <w:nsid w:val="5F6A3DC4"/>
    <w:multiLevelType w:val="multilevel"/>
    <w:tmpl w:val="5F6A3DC4"/>
    <w:lvl w:ilvl="0" w:tentative="0">
      <w:start w:val="1"/>
      <w:numFmt w:val="upperRoman"/>
      <w:pStyle w:val="5"/>
      <w:lvlText w:val="%1、"/>
      <w:lvlJc w:val="left"/>
      <w:pPr>
        <w:tabs>
          <w:tab w:val="left" w:pos="1605"/>
        </w:tabs>
        <w:ind w:left="1605" w:hanging="1080"/>
      </w:pPr>
      <w:rPr>
        <w:rFonts w:hint="eastAsia"/>
      </w:rPr>
    </w:lvl>
    <w:lvl w:ilvl="1" w:tentative="0">
      <w:start w:val="1"/>
      <w:numFmt w:val="lowerLetter"/>
      <w:lvlText w:val="%2)"/>
      <w:lvlJc w:val="left"/>
      <w:pPr>
        <w:tabs>
          <w:tab w:val="left" w:pos="1365"/>
        </w:tabs>
        <w:ind w:left="1365" w:hanging="420"/>
      </w:pPr>
    </w:lvl>
    <w:lvl w:ilvl="2" w:tentative="0">
      <w:start w:val="1"/>
      <w:numFmt w:val="lowerRoman"/>
      <w:lvlText w:val="%3."/>
      <w:lvlJc w:val="right"/>
      <w:pPr>
        <w:tabs>
          <w:tab w:val="left" w:pos="1785"/>
        </w:tabs>
        <w:ind w:left="1785" w:hanging="420"/>
      </w:pPr>
    </w:lvl>
    <w:lvl w:ilvl="3" w:tentative="0">
      <w:start w:val="1"/>
      <w:numFmt w:val="decimal"/>
      <w:lvlText w:val="%4."/>
      <w:lvlJc w:val="left"/>
      <w:pPr>
        <w:tabs>
          <w:tab w:val="left" w:pos="2205"/>
        </w:tabs>
        <w:ind w:left="2205" w:hanging="420"/>
      </w:pPr>
    </w:lvl>
    <w:lvl w:ilvl="4" w:tentative="0">
      <w:start w:val="1"/>
      <w:numFmt w:val="lowerLetter"/>
      <w:lvlText w:val="%5)"/>
      <w:lvlJc w:val="left"/>
      <w:pPr>
        <w:tabs>
          <w:tab w:val="left" w:pos="2625"/>
        </w:tabs>
        <w:ind w:left="2625" w:hanging="420"/>
      </w:pPr>
    </w:lvl>
    <w:lvl w:ilvl="5" w:tentative="0">
      <w:start w:val="1"/>
      <w:numFmt w:val="lowerRoman"/>
      <w:lvlText w:val="%6."/>
      <w:lvlJc w:val="right"/>
      <w:pPr>
        <w:tabs>
          <w:tab w:val="left" w:pos="3045"/>
        </w:tabs>
        <w:ind w:left="3045" w:hanging="420"/>
      </w:pPr>
    </w:lvl>
    <w:lvl w:ilvl="6" w:tentative="0">
      <w:start w:val="1"/>
      <w:numFmt w:val="decimal"/>
      <w:lvlText w:val="%7."/>
      <w:lvlJc w:val="left"/>
      <w:pPr>
        <w:tabs>
          <w:tab w:val="left" w:pos="3465"/>
        </w:tabs>
        <w:ind w:left="3465" w:hanging="420"/>
      </w:pPr>
    </w:lvl>
    <w:lvl w:ilvl="7" w:tentative="0">
      <w:start w:val="1"/>
      <w:numFmt w:val="lowerLetter"/>
      <w:lvlText w:val="%8)"/>
      <w:lvlJc w:val="left"/>
      <w:pPr>
        <w:tabs>
          <w:tab w:val="left" w:pos="3885"/>
        </w:tabs>
        <w:ind w:left="3885" w:hanging="420"/>
      </w:pPr>
    </w:lvl>
    <w:lvl w:ilvl="8" w:tentative="0">
      <w:start w:val="1"/>
      <w:numFmt w:val="lowerRoman"/>
      <w:lvlText w:val="%9."/>
      <w:lvlJc w:val="right"/>
      <w:pPr>
        <w:tabs>
          <w:tab w:val="left" w:pos="4305"/>
        </w:tabs>
        <w:ind w:left="4305" w:hanging="420"/>
      </w:pPr>
    </w:lvl>
  </w:abstractNum>
  <w:abstractNum w:abstractNumId="6">
    <w:nsid w:val="733B7460"/>
    <w:multiLevelType w:val="multilevel"/>
    <w:tmpl w:val="733B7460"/>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7">
    <w:nsid w:val="75A04673"/>
    <w:multiLevelType w:val="multilevel"/>
    <w:tmpl w:val="75A04673"/>
    <w:lvl w:ilvl="0" w:tentative="0">
      <w:start w:val="1"/>
      <w:numFmt w:val="upperLetter"/>
      <w:pStyle w:val="3"/>
      <w:lvlText w:val="%1."/>
      <w:lvlJc w:val="left"/>
      <w:pPr>
        <w:tabs>
          <w:tab w:val="left" w:pos="360"/>
        </w:tabs>
        <w:ind w:left="360" w:hanging="360"/>
      </w:pPr>
      <w:rPr>
        <w:rFonts w:hint="eastAsia"/>
        <w:b w:val="0"/>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8">
    <w:nsid w:val="7906362E"/>
    <w:multiLevelType w:val="multilevel"/>
    <w:tmpl w:val="7906362E"/>
    <w:lvl w:ilvl="0" w:tentative="0">
      <w:start w:val="1"/>
      <w:numFmt w:val="upperLetter"/>
      <w:pStyle w:val="2"/>
      <w:lvlText w:val="%1．"/>
      <w:lvlJc w:val="left"/>
      <w:pPr>
        <w:tabs>
          <w:tab w:val="left" w:pos="720"/>
        </w:tabs>
        <w:ind w:left="720" w:hanging="720"/>
      </w:pPr>
      <w:rPr>
        <w:rFonts w:hint="eastAsia"/>
      </w:rPr>
    </w:lvl>
    <w:lvl w:ilvl="1" w:tentative="0">
      <w:start w:val="1"/>
      <w:numFmt w:val="japaneseCounting"/>
      <w:lvlText w:val="（%2）"/>
      <w:lvlJc w:val="left"/>
      <w:pPr>
        <w:tabs>
          <w:tab w:val="left" w:pos="1275"/>
        </w:tabs>
        <w:ind w:left="1275" w:hanging="855"/>
      </w:pPr>
      <w:rPr>
        <w:rFonts w:hint="eastAsia"/>
      </w:r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num w:numId="1">
    <w:abstractNumId w:val="8"/>
  </w:num>
  <w:num w:numId="2">
    <w:abstractNumId w:val="7"/>
  </w:num>
  <w:num w:numId="3">
    <w:abstractNumId w:val="1"/>
  </w:num>
  <w:num w:numId="4">
    <w:abstractNumId w:val="5"/>
  </w:num>
  <w:num w:numId="5">
    <w:abstractNumId w:val="4"/>
  </w:num>
  <w:num w:numId="6">
    <w:abstractNumId w:val="3"/>
  </w:num>
  <w:num w:numId="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0"/>
  </w:num>
  <w:num w:numId="9">
    <w:abstractNumId w:val="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kg">
    <w15:presenceInfo w15:providerId="None" w15:userId="kg"/>
  </w15:person>
  <w15:person w15:author="俊然">
    <w15:presenceInfo w15:providerId="WPS Office" w15:userId="95337013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5"/>
  <w:doNotHyphenateCaps/>
  <w:drawingGridHorizontalSpacing w:val="120"/>
  <w:drawingGridVerticalSpacing w:val="163"/>
  <w:displayHorizontalDrawingGridEvery w:val="0"/>
  <w:displayVerticalDrawingGridEvery w:val="2"/>
  <w:characterSpacingControl w:val="compressPunctuation"/>
  <w:noLineBreaksAfter w:lang="zh-CN" w:val="$([{£¥·‘“〈《「『【〔〖〝﹙﹛﹝＄（．［｛￡￥"/>
  <w:noLineBreaksBefore w:lang="zh-CN" w:val="!%),.:;&gt;?]}¢¨°·ˇˉ―‖’”…‰′″›℃∶、。〃〉》」』】〕〗〞︶︺︾﹀﹄﹚﹜﹞！＂％＇），．：；？］｀｜｝～￠"/>
  <w:footnotePr>
    <w:footnote w:id="0"/>
    <w:footnote w:id="1"/>
  </w:footnotePr>
  <w:endnotePr>
    <w:endnote w:id="0"/>
    <w:endnote w:id="1"/>
  </w:endnotePr>
  <w:compat>
    <w:spaceForUL/>
    <w:balanceSingleByteDoubleByteWidth/>
    <w:doNotLeaveBackslashAlone/>
    <w:ulTrailSpace/>
    <w:doNotExpandShiftReturn/>
    <w:useFELayout/>
    <w:underlineTabInNumLis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F4C5B"/>
    <w:rsid w:val="00004D42"/>
    <w:rsid w:val="0001031A"/>
    <w:rsid w:val="0001237C"/>
    <w:rsid w:val="0001354F"/>
    <w:rsid w:val="00014F2D"/>
    <w:rsid w:val="00022827"/>
    <w:rsid w:val="00025398"/>
    <w:rsid w:val="00027D53"/>
    <w:rsid w:val="00030B79"/>
    <w:rsid w:val="0003345F"/>
    <w:rsid w:val="00035392"/>
    <w:rsid w:val="00037642"/>
    <w:rsid w:val="0003783C"/>
    <w:rsid w:val="00041390"/>
    <w:rsid w:val="0004288D"/>
    <w:rsid w:val="0004627B"/>
    <w:rsid w:val="00046421"/>
    <w:rsid w:val="00050104"/>
    <w:rsid w:val="00052348"/>
    <w:rsid w:val="00053031"/>
    <w:rsid w:val="000552B7"/>
    <w:rsid w:val="00057D66"/>
    <w:rsid w:val="000639A8"/>
    <w:rsid w:val="000647E7"/>
    <w:rsid w:val="00065379"/>
    <w:rsid w:val="000677C9"/>
    <w:rsid w:val="000728BE"/>
    <w:rsid w:val="00074C60"/>
    <w:rsid w:val="00074F45"/>
    <w:rsid w:val="00076979"/>
    <w:rsid w:val="00082C75"/>
    <w:rsid w:val="00084265"/>
    <w:rsid w:val="00085690"/>
    <w:rsid w:val="00090ADF"/>
    <w:rsid w:val="00090DD5"/>
    <w:rsid w:val="00092F3C"/>
    <w:rsid w:val="00092F51"/>
    <w:rsid w:val="0009464C"/>
    <w:rsid w:val="000951A8"/>
    <w:rsid w:val="000A1B10"/>
    <w:rsid w:val="000B0322"/>
    <w:rsid w:val="000B060E"/>
    <w:rsid w:val="000B737B"/>
    <w:rsid w:val="000B7C3D"/>
    <w:rsid w:val="000B7E14"/>
    <w:rsid w:val="000C3990"/>
    <w:rsid w:val="000C5413"/>
    <w:rsid w:val="000C5BB3"/>
    <w:rsid w:val="000D2845"/>
    <w:rsid w:val="000D362A"/>
    <w:rsid w:val="000D51B9"/>
    <w:rsid w:val="000D56DC"/>
    <w:rsid w:val="000D76F1"/>
    <w:rsid w:val="000E0128"/>
    <w:rsid w:val="000E01F1"/>
    <w:rsid w:val="000E1641"/>
    <w:rsid w:val="000E3902"/>
    <w:rsid w:val="000E4497"/>
    <w:rsid w:val="000E4856"/>
    <w:rsid w:val="000E4D45"/>
    <w:rsid w:val="000E5067"/>
    <w:rsid w:val="000E5749"/>
    <w:rsid w:val="000F746A"/>
    <w:rsid w:val="00103AC3"/>
    <w:rsid w:val="001055A0"/>
    <w:rsid w:val="00105F55"/>
    <w:rsid w:val="00106495"/>
    <w:rsid w:val="00110932"/>
    <w:rsid w:val="00112C6B"/>
    <w:rsid w:val="00116213"/>
    <w:rsid w:val="0011651C"/>
    <w:rsid w:val="00117997"/>
    <w:rsid w:val="001201A8"/>
    <w:rsid w:val="00121EB7"/>
    <w:rsid w:val="00121F4B"/>
    <w:rsid w:val="0012365E"/>
    <w:rsid w:val="0012550C"/>
    <w:rsid w:val="001267C9"/>
    <w:rsid w:val="00126809"/>
    <w:rsid w:val="00130392"/>
    <w:rsid w:val="0013092A"/>
    <w:rsid w:val="001309C4"/>
    <w:rsid w:val="00134710"/>
    <w:rsid w:val="00137B2B"/>
    <w:rsid w:val="001433AC"/>
    <w:rsid w:val="00145ADE"/>
    <w:rsid w:val="00150A2F"/>
    <w:rsid w:val="0015101C"/>
    <w:rsid w:val="00153D34"/>
    <w:rsid w:val="0015637F"/>
    <w:rsid w:val="00162718"/>
    <w:rsid w:val="0016376A"/>
    <w:rsid w:val="00167BBC"/>
    <w:rsid w:val="00170B7A"/>
    <w:rsid w:val="00171F28"/>
    <w:rsid w:val="0017359A"/>
    <w:rsid w:val="00174FED"/>
    <w:rsid w:val="0017520E"/>
    <w:rsid w:val="001752EA"/>
    <w:rsid w:val="0017647B"/>
    <w:rsid w:val="00181B68"/>
    <w:rsid w:val="0018215B"/>
    <w:rsid w:val="00182645"/>
    <w:rsid w:val="0018410F"/>
    <w:rsid w:val="00185D76"/>
    <w:rsid w:val="00186584"/>
    <w:rsid w:val="00190377"/>
    <w:rsid w:val="0019484B"/>
    <w:rsid w:val="00194A1F"/>
    <w:rsid w:val="00196A74"/>
    <w:rsid w:val="00197502"/>
    <w:rsid w:val="001A13ED"/>
    <w:rsid w:val="001A31DD"/>
    <w:rsid w:val="001A7B50"/>
    <w:rsid w:val="001A7FA2"/>
    <w:rsid w:val="001B1B96"/>
    <w:rsid w:val="001B427F"/>
    <w:rsid w:val="001B730A"/>
    <w:rsid w:val="001C178D"/>
    <w:rsid w:val="001C2A98"/>
    <w:rsid w:val="001C2C79"/>
    <w:rsid w:val="001C2DF8"/>
    <w:rsid w:val="001C44F5"/>
    <w:rsid w:val="001C4FA2"/>
    <w:rsid w:val="001C7458"/>
    <w:rsid w:val="001D1B18"/>
    <w:rsid w:val="001D4524"/>
    <w:rsid w:val="001D4FBC"/>
    <w:rsid w:val="001D650B"/>
    <w:rsid w:val="001D7D7A"/>
    <w:rsid w:val="001E0925"/>
    <w:rsid w:val="001E53E3"/>
    <w:rsid w:val="001F0888"/>
    <w:rsid w:val="001F2DA1"/>
    <w:rsid w:val="001F6090"/>
    <w:rsid w:val="002002BD"/>
    <w:rsid w:val="00200E28"/>
    <w:rsid w:val="00201A37"/>
    <w:rsid w:val="00202895"/>
    <w:rsid w:val="00206854"/>
    <w:rsid w:val="002072CC"/>
    <w:rsid w:val="0021285B"/>
    <w:rsid w:val="00212AAF"/>
    <w:rsid w:val="00212AEE"/>
    <w:rsid w:val="00221C8C"/>
    <w:rsid w:val="0022545A"/>
    <w:rsid w:val="00235EFE"/>
    <w:rsid w:val="002361E9"/>
    <w:rsid w:val="00237F00"/>
    <w:rsid w:val="002422F5"/>
    <w:rsid w:val="00243D67"/>
    <w:rsid w:val="0024429E"/>
    <w:rsid w:val="00244311"/>
    <w:rsid w:val="00244D93"/>
    <w:rsid w:val="00244F91"/>
    <w:rsid w:val="002455C6"/>
    <w:rsid w:val="00245AC4"/>
    <w:rsid w:val="00247052"/>
    <w:rsid w:val="00250828"/>
    <w:rsid w:val="00252130"/>
    <w:rsid w:val="00252E12"/>
    <w:rsid w:val="0025385C"/>
    <w:rsid w:val="002539C2"/>
    <w:rsid w:val="002547BD"/>
    <w:rsid w:val="00256148"/>
    <w:rsid w:val="00264B8C"/>
    <w:rsid w:val="00267E50"/>
    <w:rsid w:val="00270C1D"/>
    <w:rsid w:val="0027408F"/>
    <w:rsid w:val="00277CA3"/>
    <w:rsid w:val="00282EC8"/>
    <w:rsid w:val="002856FC"/>
    <w:rsid w:val="00296579"/>
    <w:rsid w:val="002975A8"/>
    <w:rsid w:val="002A136E"/>
    <w:rsid w:val="002A24B2"/>
    <w:rsid w:val="002A4036"/>
    <w:rsid w:val="002A4C30"/>
    <w:rsid w:val="002A53A9"/>
    <w:rsid w:val="002B35F7"/>
    <w:rsid w:val="002B384D"/>
    <w:rsid w:val="002C167B"/>
    <w:rsid w:val="002C3EAB"/>
    <w:rsid w:val="002C4410"/>
    <w:rsid w:val="002C6A9B"/>
    <w:rsid w:val="002C789A"/>
    <w:rsid w:val="002D19AE"/>
    <w:rsid w:val="002D3A09"/>
    <w:rsid w:val="002D3BA9"/>
    <w:rsid w:val="002D400F"/>
    <w:rsid w:val="002E1286"/>
    <w:rsid w:val="002E261C"/>
    <w:rsid w:val="002E58B3"/>
    <w:rsid w:val="002E6BD0"/>
    <w:rsid w:val="002E7F97"/>
    <w:rsid w:val="002F41E0"/>
    <w:rsid w:val="002F6A0D"/>
    <w:rsid w:val="00306AEA"/>
    <w:rsid w:val="0030795F"/>
    <w:rsid w:val="00312D2B"/>
    <w:rsid w:val="00315E58"/>
    <w:rsid w:val="00316467"/>
    <w:rsid w:val="00320786"/>
    <w:rsid w:val="00323163"/>
    <w:rsid w:val="00323C56"/>
    <w:rsid w:val="0032573F"/>
    <w:rsid w:val="00330243"/>
    <w:rsid w:val="00332156"/>
    <w:rsid w:val="00333BD4"/>
    <w:rsid w:val="003405BD"/>
    <w:rsid w:val="00346A47"/>
    <w:rsid w:val="0035067C"/>
    <w:rsid w:val="00351B58"/>
    <w:rsid w:val="00351CBA"/>
    <w:rsid w:val="00352066"/>
    <w:rsid w:val="00353B3D"/>
    <w:rsid w:val="00355D98"/>
    <w:rsid w:val="00357EEC"/>
    <w:rsid w:val="003636C1"/>
    <w:rsid w:val="0036385B"/>
    <w:rsid w:val="00364041"/>
    <w:rsid w:val="00364ED6"/>
    <w:rsid w:val="00375183"/>
    <w:rsid w:val="00376119"/>
    <w:rsid w:val="00377F0B"/>
    <w:rsid w:val="003843D8"/>
    <w:rsid w:val="00385340"/>
    <w:rsid w:val="00390D6F"/>
    <w:rsid w:val="00391276"/>
    <w:rsid w:val="003922BA"/>
    <w:rsid w:val="0039346A"/>
    <w:rsid w:val="00393A15"/>
    <w:rsid w:val="003958DE"/>
    <w:rsid w:val="003A15DC"/>
    <w:rsid w:val="003A38A4"/>
    <w:rsid w:val="003A48A3"/>
    <w:rsid w:val="003A4D8E"/>
    <w:rsid w:val="003A6366"/>
    <w:rsid w:val="003A7040"/>
    <w:rsid w:val="003B0E4C"/>
    <w:rsid w:val="003B1BD5"/>
    <w:rsid w:val="003B4EEF"/>
    <w:rsid w:val="003C235C"/>
    <w:rsid w:val="003C42C3"/>
    <w:rsid w:val="003D1BD6"/>
    <w:rsid w:val="003D27EF"/>
    <w:rsid w:val="003D28D3"/>
    <w:rsid w:val="003D2C2F"/>
    <w:rsid w:val="003D33D6"/>
    <w:rsid w:val="003D4A89"/>
    <w:rsid w:val="003D53D3"/>
    <w:rsid w:val="003E611B"/>
    <w:rsid w:val="003E64BD"/>
    <w:rsid w:val="003F01F2"/>
    <w:rsid w:val="003F17E9"/>
    <w:rsid w:val="003F7F99"/>
    <w:rsid w:val="004004FE"/>
    <w:rsid w:val="00403BC4"/>
    <w:rsid w:val="00404396"/>
    <w:rsid w:val="004109A6"/>
    <w:rsid w:val="0041133E"/>
    <w:rsid w:val="004150E4"/>
    <w:rsid w:val="0041611B"/>
    <w:rsid w:val="00420AA6"/>
    <w:rsid w:val="004213EA"/>
    <w:rsid w:val="00423270"/>
    <w:rsid w:val="00431786"/>
    <w:rsid w:val="00432405"/>
    <w:rsid w:val="00433765"/>
    <w:rsid w:val="00436D80"/>
    <w:rsid w:val="00440A23"/>
    <w:rsid w:val="00444961"/>
    <w:rsid w:val="00447F02"/>
    <w:rsid w:val="00450DCF"/>
    <w:rsid w:val="00452F36"/>
    <w:rsid w:val="00466C77"/>
    <w:rsid w:val="00472B83"/>
    <w:rsid w:val="0047506C"/>
    <w:rsid w:val="00476958"/>
    <w:rsid w:val="004810F5"/>
    <w:rsid w:val="00481308"/>
    <w:rsid w:val="00483265"/>
    <w:rsid w:val="004855EC"/>
    <w:rsid w:val="00491DF0"/>
    <w:rsid w:val="00496EDE"/>
    <w:rsid w:val="004A1653"/>
    <w:rsid w:val="004A22A1"/>
    <w:rsid w:val="004A42DB"/>
    <w:rsid w:val="004A541C"/>
    <w:rsid w:val="004A548D"/>
    <w:rsid w:val="004B0FC7"/>
    <w:rsid w:val="004B2641"/>
    <w:rsid w:val="004B312F"/>
    <w:rsid w:val="004B60D1"/>
    <w:rsid w:val="004C294D"/>
    <w:rsid w:val="004C3943"/>
    <w:rsid w:val="004C4FC0"/>
    <w:rsid w:val="004C7D88"/>
    <w:rsid w:val="004D0EE4"/>
    <w:rsid w:val="004D27D1"/>
    <w:rsid w:val="004D4D55"/>
    <w:rsid w:val="004D54CB"/>
    <w:rsid w:val="004D62BB"/>
    <w:rsid w:val="004E16A1"/>
    <w:rsid w:val="004E21FE"/>
    <w:rsid w:val="004E36E6"/>
    <w:rsid w:val="004E3F45"/>
    <w:rsid w:val="004E73CF"/>
    <w:rsid w:val="004F0C1D"/>
    <w:rsid w:val="004F14D2"/>
    <w:rsid w:val="004F3DA1"/>
    <w:rsid w:val="004F5293"/>
    <w:rsid w:val="004F7676"/>
    <w:rsid w:val="004F7AAC"/>
    <w:rsid w:val="005033AC"/>
    <w:rsid w:val="00505F77"/>
    <w:rsid w:val="005072D7"/>
    <w:rsid w:val="00513A5B"/>
    <w:rsid w:val="005167F1"/>
    <w:rsid w:val="005168D3"/>
    <w:rsid w:val="00516B79"/>
    <w:rsid w:val="00521F05"/>
    <w:rsid w:val="00523F10"/>
    <w:rsid w:val="00524C18"/>
    <w:rsid w:val="005251C8"/>
    <w:rsid w:val="00526456"/>
    <w:rsid w:val="00526554"/>
    <w:rsid w:val="00530D9D"/>
    <w:rsid w:val="00532D51"/>
    <w:rsid w:val="005334EA"/>
    <w:rsid w:val="00533DAE"/>
    <w:rsid w:val="00535553"/>
    <w:rsid w:val="005367E2"/>
    <w:rsid w:val="0054495D"/>
    <w:rsid w:val="00544C45"/>
    <w:rsid w:val="0054546A"/>
    <w:rsid w:val="00545BF4"/>
    <w:rsid w:val="00552741"/>
    <w:rsid w:val="005540F2"/>
    <w:rsid w:val="00560BCE"/>
    <w:rsid w:val="005610B7"/>
    <w:rsid w:val="0056169A"/>
    <w:rsid w:val="00561DDC"/>
    <w:rsid w:val="00573359"/>
    <w:rsid w:val="00575B58"/>
    <w:rsid w:val="005774F5"/>
    <w:rsid w:val="00577B2B"/>
    <w:rsid w:val="005827A4"/>
    <w:rsid w:val="00585457"/>
    <w:rsid w:val="005925BC"/>
    <w:rsid w:val="00593409"/>
    <w:rsid w:val="005934D2"/>
    <w:rsid w:val="005964B4"/>
    <w:rsid w:val="00597693"/>
    <w:rsid w:val="00597BD4"/>
    <w:rsid w:val="005A2C8D"/>
    <w:rsid w:val="005A33D9"/>
    <w:rsid w:val="005B0290"/>
    <w:rsid w:val="005B30DC"/>
    <w:rsid w:val="005B5015"/>
    <w:rsid w:val="005B6F2A"/>
    <w:rsid w:val="005B741B"/>
    <w:rsid w:val="005C2098"/>
    <w:rsid w:val="005C45E0"/>
    <w:rsid w:val="005D262F"/>
    <w:rsid w:val="005D4241"/>
    <w:rsid w:val="005D4276"/>
    <w:rsid w:val="005D4B6E"/>
    <w:rsid w:val="005D5C55"/>
    <w:rsid w:val="005D7924"/>
    <w:rsid w:val="005E4E9D"/>
    <w:rsid w:val="005E6E39"/>
    <w:rsid w:val="005E708A"/>
    <w:rsid w:val="005E7A2D"/>
    <w:rsid w:val="005F00BB"/>
    <w:rsid w:val="005F29B8"/>
    <w:rsid w:val="005F3A08"/>
    <w:rsid w:val="005F4469"/>
    <w:rsid w:val="00602105"/>
    <w:rsid w:val="006023C6"/>
    <w:rsid w:val="00602B7B"/>
    <w:rsid w:val="006033C4"/>
    <w:rsid w:val="0060386C"/>
    <w:rsid w:val="00605600"/>
    <w:rsid w:val="00605EB6"/>
    <w:rsid w:val="00606A14"/>
    <w:rsid w:val="00607FFD"/>
    <w:rsid w:val="0061090D"/>
    <w:rsid w:val="00611F0A"/>
    <w:rsid w:val="00613E7B"/>
    <w:rsid w:val="006206EC"/>
    <w:rsid w:val="00621CB2"/>
    <w:rsid w:val="0062248F"/>
    <w:rsid w:val="0062310F"/>
    <w:rsid w:val="006231D4"/>
    <w:rsid w:val="00623662"/>
    <w:rsid w:val="006247ED"/>
    <w:rsid w:val="00626508"/>
    <w:rsid w:val="00627C4D"/>
    <w:rsid w:val="006305A1"/>
    <w:rsid w:val="0063086A"/>
    <w:rsid w:val="006340BC"/>
    <w:rsid w:val="00640F31"/>
    <w:rsid w:val="006448ED"/>
    <w:rsid w:val="00644AEA"/>
    <w:rsid w:val="006452DE"/>
    <w:rsid w:val="006470B4"/>
    <w:rsid w:val="00653EBF"/>
    <w:rsid w:val="00654BA2"/>
    <w:rsid w:val="00655331"/>
    <w:rsid w:val="00656A9C"/>
    <w:rsid w:val="0066156E"/>
    <w:rsid w:val="00661701"/>
    <w:rsid w:val="00664273"/>
    <w:rsid w:val="00670B9F"/>
    <w:rsid w:val="006715BF"/>
    <w:rsid w:val="006717DA"/>
    <w:rsid w:val="00674EC0"/>
    <w:rsid w:val="00676850"/>
    <w:rsid w:val="00680B97"/>
    <w:rsid w:val="006827BC"/>
    <w:rsid w:val="00683DFE"/>
    <w:rsid w:val="006863BC"/>
    <w:rsid w:val="00686AFE"/>
    <w:rsid w:val="00687629"/>
    <w:rsid w:val="00691BD3"/>
    <w:rsid w:val="006950DF"/>
    <w:rsid w:val="00695ED8"/>
    <w:rsid w:val="006969CE"/>
    <w:rsid w:val="006A0A03"/>
    <w:rsid w:val="006A457B"/>
    <w:rsid w:val="006B4A2F"/>
    <w:rsid w:val="006C188F"/>
    <w:rsid w:val="006C547E"/>
    <w:rsid w:val="006C6921"/>
    <w:rsid w:val="006D0D42"/>
    <w:rsid w:val="006D256C"/>
    <w:rsid w:val="006D280A"/>
    <w:rsid w:val="006D2C3C"/>
    <w:rsid w:val="006D51AE"/>
    <w:rsid w:val="006D56D6"/>
    <w:rsid w:val="006D71F3"/>
    <w:rsid w:val="006E7B93"/>
    <w:rsid w:val="006F04B9"/>
    <w:rsid w:val="006F2864"/>
    <w:rsid w:val="006F73D4"/>
    <w:rsid w:val="0070221C"/>
    <w:rsid w:val="00704230"/>
    <w:rsid w:val="00707500"/>
    <w:rsid w:val="00711456"/>
    <w:rsid w:val="00711779"/>
    <w:rsid w:val="00713746"/>
    <w:rsid w:val="0071465E"/>
    <w:rsid w:val="0071645F"/>
    <w:rsid w:val="00721447"/>
    <w:rsid w:val="0072195E"/>
    <w:rsid w:val="00724FFE"/>
    <w:rsid w:val="00727C26"/>
    <w:rsid w:val="00733A9F"/>
    <w:rsid w:val="007353FF"/>
    <w:rsid w:val="0073750D"/>
    <w:rsid w:val="00737EFD"/>
    <w:rsid w:val="007401A9"/>
    <w:rsid w:val="00740F8B"/>
    <w:rsid w:val="00741FEB"/>
    <w:rsid w:val="00750298"/>
    <w:rsid w:val="007506C2"/>
    <w:rsid w:val="0075192C"/>
    <w:rsid w:val="00754393"/>
    <w:rsid w:val="00754E0D"/>
    <w:rsid w:val="007558A0"/>
    <w:rsid w:val="00762219"/>
    <w:rsid w:val="00762810"/>
    <w:rsid w:val="00763696"/>
    <w:rsid w:val="007676CC"/>
    <w:rsid w:val="00771556"/>
    <w:rsid w:val="00774CA1"/>
    <w:rsid w:val="007775FF"/>
    <w:rsid w:val="007778D5"/>
    <w:rsid w:val="0078149A"/>
    <w:rsid w:val="00783520"/>
    <w:rsid w:val="007838EE"/>
    <w:rsid w:val="00783AA9"/>
    <w:rsid w:val="0078750D"/>
    <w:rsid w:val="007917D9"/>
    <w:rsid w:val="00792A75"/>
    <w:rsid w:val="00792E8C"/>
    <w:rsid w:val="00795623"/>
    <w:rsid w:val="007A15BA"/>
    <w:rsid w:val="007A4132"/>
    <w:rsid w:val="007A539D"/>
    <w:rsid w:val="007A6766"/>
    <w:rsid w:val="007B00E2"/>
    <w:rsid w:val="007B130A"/>
    <w:rsid w:val="007B2169"/>
    <w:rsid w:val="007B25CA"/>
    <w:rsid w:val="007B35AC"/>
    <w:rsid w:val="007B62DE"/>
    <w:rsid w:val="007B64C9"/>
    <w:rsid w:val="007B6C55"/>
    <w:rsid w:val="007C1647"/>
    <w:rsid w:val="007C72BC"/>
    <w:rsid w:val="007D0FED"/>
    <w:rsid w:val="007D15AE"/>
    <w:rsid w:val="007D24E6"/>
    <w:rsid w:val="007D28F2"/>
    <w:rsid w:val="007D2F36"/>
    <w:rsid w:val="007D46D9"/>
    <w:rsid w:val="007D4826"/>
    <w:rsid w:val="007E0C41"/>
    <w:rsid w:val="007E2B40"/>
    <w:rsid w:val="007E490C"/>
    <w:rsid w:val="007E590D"/>
    <w:rsid w:val="007E6941"/>
    <w:rsid w:val="007E77FA"/>
    <w:rsid w:val="007F1537"/>
    <w:rsid w:val="007F3107"/>
    <w:rsid w:val="007F4EC2"/>
    <w:rsid w:val="007F6DE3"/>
    <w:rsid w:val="007F77CA"/>
    <w:rsid w:val="007F7F5B"/>
    <w:rsid w:val="008016EA"/>
    <w:rsid w:val="00802B56"/>
    <w:rsid w:val="00802CBB"/>
    <w:rsid w:val="00803847"/>
    <w:rsid w:val="00803D8E"/>
    <w:rsid w:val="00803E4D"/>
    <w:rsid w:val="00805D2A"/>
    <w:rsid w:val="00805F3F"/>
    <w:rsid w:val="00815372"/>
    <w:rsid w:val="0081686B"/>
    <w:rsid w:val="00823E5E"/>
    <w:rsid w:val="00826BDE"/>
    <w:rsid w:val="00830E5D"/>
    <w:rsid w:val="00831441"/>
    <w:rsid w:val="00831E03"/>
    <w:rsid w:val="00834451"/>
    <w:rsid w:val="008424C4"/>
    <w:rsid w:val="0084556C"/>
    <w:rsid w:val="008459C0"/>
    <w:rsid w:val="008464F8"/>
    <w:rsid w:val="00850B9E"/>
    <w:rsid w:val="008520CA"/>
    <w:rsid w:val="00855C34"/>
    <w:rsid w:val="00856390"/>
    <w:rsid w:val="00860C9A"/>
    <w:rsid w:val="00864E6C"/>
    <w:rsid w:val="00867524"/>
    <w:rsid w:val="00867534"/>
    <w:rsid w:val="008708AC"/>
    <w:rsid w:val="00871697"/>
    <w:rsid w:val="00873ED8"/>
    <w:rsid w:val="008741A3"/>
    <w:rsid w:val="00877485"/>
    <w:rsid w:val="0089390A"/>
    <w:rsid w:val="008944F2"/>
    <w:rsid w:val="00894BE1"/>
    <w:rsid w:val="00895C80"/>
    <w:rsid w:val="008A4342"/>
    <w:rsid w:val="008A4A5F"/>
    <w:rsid w:val="008A65BE"/>
    <w:rsid w:val="008A6DBC"/>
    <w:rsid w:val="008A6EC3"/>
    <w:rsid w:val="008B2FD7"/>
    <w:rsid w:val="008B64DA"/>
    <w:rsid w:val="008B72D0"/>
    <w:rsid w:val="008C02C5"/>
    <w:rsid w:val="008C25A1"/>
    <w:rsid w:val="008C2FD0"/>
    <w:rsid w:val="008C6DA7"/>
    <w:rsid w:val="008D1FC8"/>
    <w:rsid w:val="008D408F"/>
    <w:rsid w:val="008D7601"/>
    <w:rsid w:val="008E1B0B"/>
    <w:rsid w:val="008E326C"/>
    <w:rsid w:val="008E5AC6"/>
    <w:rsid w:val="008E6D93"/>
    <w:rsid w:val="008F0FB1"/>
    <w:rsid w:val="008F160E"/>
    <w:rsid w:val="008F1BD6"/>
    <w:rsid w:val="008F5C53"/>
    <w:rsid w:val="00903483"/>
    <w:rsid w:val="00905D6A"/>
    <w:rsid w:val="00911103"/>
    <w:rsid w:val="00913645"/>
    <w:rsid w:val="00917024"/>
    <w:rsid w:val="009171C2"/>
    <w:rsid w:val="009173A0"/>
    <w:rsid w:val="00920CF1"/>
    <w:rsid w:val="00921FB4"/>
    <w:rsid w:val="0093248F"/>
    <w:rsid w:val="009359E2"/>
    <w:rsid w:val="0094006B"/>
    <w:rsid w:val="009410E0"/>
    <w:rsid w:val="00942BAA"/>
    <w:rsid w:val="009437C5"/>
    <w:rsid w:val="00947511"/>
    <w:rsid w:val="00950BB5"/>
    <w:rsid w:val="00952C49"/>
    <w:rsid w:val="00955F94"/>
    <w:rsid w:val="00956025"/>
    <w:rsid w:val="00956659"/>
    <w:rsid w:val="009566A0"/>
    <w:rsid w:val="009574DB"/>
    <w:rsid w:val="00960D77"/>
    <w:rsid w:val="009615C3"/>
    <w:rsid w:val="00962326"/>
    <w:rsid w:val="009641FA"/>
    <w:rsid w:val="0096490C"/>
    <w:rsid w:val="00966EEF"/>
    <w:rsid w:val="00967AE9"/>
    <w:rsid w:val="00971743"/>
    <w:rsid w:val="00972581"/>
    <w:rsid w:val="009734E0"/>
    <w:rsid w:val="0098080F"/>
    <w:rsid w:val="00980DA4"/>
    <w:rsid w:val="00981C08"/>
    <w:rsid w:val="00981C3C"/>
    <w:rsid w:val="00984015"/>
    <w:rsid w:val="00987258"/>
    <w:rsid w:val="00992FE3"/>
    <w:rsid w:val="009975F9"/>
    <w:rsid w:val="009A032A"/>
    <w:rsid w:val="009A1001"/>
    <w:rsid w:val="009A2A1F"/>
    <w:rsid w:val="009A535E"/>
    <w:rsid w:val="009A64BC"/>
    <w:rsid w:val="009B04CC"/>
    <w:rsid w:val="009B08DB"/>
    <w:rsid w:val="009B5FD8"/>
    <w:rsid w:val="009B6FE9"/>
    <w:rsid w:val="009C5027"/>
    <w:rsid w:val="009C5287"/>
    <w:rsid w:val="009C530D"/>
    <w:rsid w:val="009C6A20"/>
    <w:rsid w:val="009D30C4"/>
    <w:rsid w:val="009E1A87"/>
    <w:rsid w:val="009E3C3F"/>
    <w:rsid w:val="009E424F"/>
    <w:rsid w:val="009E464E"/>
    <w:rsid w:val="009E669B"/>
    <w:rsid w:val="009E6A66"/>
    <w:rsid w:val="009E7AF8"/>
    <w:rsid w:val="009F4F05"/>
    <w:rsid w:val="009F76AD"/>
    <w:rsid w:val="00A0033C"/>
    <w:rsid w:val="00A03E05"/>
    <w:rsid w:val="00A03F45"/>
    <w:rsid w:val="00A06A7D"/>
    <w:rsid w:val="00A07B78"/>
    <w:rsid w:val="00A1102B"/>
    <w:rsid w:val="00A1572B"/>
    <w:rsid w:val="00A2091B"/>
    <w:rsid w:val="00A21DE3"/>
    <w:rsid w:val="00A244F8"/>
    <w:rsid w:val="00A269F8"/>
    <w:rsid w:val="00A30CD9"/>
    <w:rsid w:val="00A32C16"/>
    <w:rsid w:val="00A36326"/>
    <w:rsid w:val="00A3748E"/>
    <w:rsid w:val="00A40067"/>
    <w:rsid w:val="00A415C5"/>
    <w:rsid w:val="00A4306E"/>
    <w:rsid w:val="00A4388D"/>
    <w:rsid w:val="00A44C9A"/>
    <w:rsid w:val="00A44EE2"/>
    <w:rsid w:val="00A46649"/>
    <w:rsid w:val="00A569EA"/>
    <w:rsid w:val="00A56CC7"/>
    <w:rsid w:val="00A60821"/>
    <w:rsid w:val="00A7380D"/>
    <w:rsid w:val="00A75D5D"/>
    <w:rsid w:val="00A76FFB"/>
    <w:rsid w:val="00A83869"/>
    <w:rsid w:val="00A85404"/>
    <w:rsid w:val="00A873A2"/>
    <w:rsid w:val="00A90CE1"/>
    <w:rsid w:val="00A91B3F"/>
    <w:rsid w:val="00A931C3"/>
    <w:rsid w:val="00A935CF"/>
    <w:rsid w:val="00A93733"/>
    <w:rsid w:val="00A937DC"/>
    <w:rsid w:val="00AA1156"/>
    <w:rsid w:val="00AA1715"/>
    <w:rsid w:val="00AA29C5"/>
    <w:rsid w:val="00AA3276"/>
    <w:rsid w:val="00AA476B"/>
    <w:rsid w:val="00AA50DA"/>
    <w:rsid w:val="00AB320F"/>
    <w:rsid w:val="00AB6047"/>
    <w:rsid w:val="00AC09D8"/>
    <w:rsid w:val="00AC4564"/>
    <w:rsid w:val="00AC4C71"/>
    <w:rsid w:val="00AC4DED"/>
    <w:rsid w:val="00AC53DE"/>
    <w:rsid w:val="00AC7372"/>
    <w:rsid w:val="00AC7FC5"/>
    <w:rsid w:val="00AD1B9B"/>
    <w:rsid w:val="00AD2243"/>
    <w:rsid w:val="00AD31D5"/>
    <w:rsid w:val="00AD418C"/>
    <w:rsid w:val="00AE0BD2"/>
    <w:rsid w:val="00AE2B5C"/>
    <w:rsid w:val="00AE47DA"/>
    <w:rsid w:val="00AE7DC8"/>
    <w:rsid w:val="00AF027B"/>
    <w:rsid w:val="00AF0DFD"/>
    <w:rsid w:val="00AF3FA6"/>
    <w:rsid w:val="00AF4C5B"/>
    <w:rsid w:val="00AF577B"/>
    <w:rsid w:val="00AF5899"/>
    <w:rsid w:val="00AF6582"/>
    <w:rsid w:val="00AF681D"/>
    <w:rsid w:val="00AF7058"/>
    <w:rsid w:val="00AF79A7"/>
    <w:rsid w:val="00B0054C"/>
    <w:rsid w:val="00B04D69"/>
    <w:rsid w:val="00B05D7C"/>
    <w:rsid w:val="00B07EB9"/>
    <w:rsid w:val="00B07F9E"/>
    <w:rsid w:val="00B10026"/>
    <w:rsid w:val="00B13564"/>
    <w:rsid w:val="00B139E3"/>
    <w:rsid w:val="00B13D8E"/>
    <w:rsid w:val="00B15AE4"/>
    <w:rsid w:val="00B15D7C"/>
    <w:rsid w:val="00B16C20"/>
    <w:rsid w:val="00B17705"/>
    <w:rsid w:val="00B20F1A"/>
    <w:rsid w:val="00B322CC"/>
    <w:rsid w:val="00B36810"/>
    <w:rsid w:val="00B422D7"/>
    <w:rsid w:val="00B430F1"/>
    <w:rsid w:val="00B447D8"/>
    <w:rsid w:val="00B454E4"/>
    <w:rsid w:val="00B45F7A"/>
    <w:rsid w:val="00B50FF2"/>
    <w:rsid w:val="00B519E6"/>
    <w:rsid w:val="00B52A74"/>
    <w:rsid w:val="00B53D64"/>
    <w:rsid w:val="00B56814"/>
    <w:rsid w:val="00B57521"/>
    <w:rsid w:val="00B6090E"/>
    <w:rsid w:val="00B63BF4"/>
    <w:rsid w:val="00B648DA"/>
    <w:rsid w:val="00B65014"/>
    <w:rsid w:val="00B67B44"/>
    <w:rsid w:val="00B714C0"/>
    <w:rsid w:val="00B7218B"/>
    <w:rsid w:val="00B735D5"/>
    <w:rsid w:val="00B74A6C"/>
    <w:rsid w:val="00B8025A"/>
    <w:rsid w:val="00B805B7"/>
    <w:rsid w:val="00B80AE9"/>
    <w:rsid w:val="00B82926"/>
    <w:rsid w:val="00B836A7"/>
    <w:rsid w:val="00B84651"/>
    <w:rsid w:val="00B84A14"/>
    <w:rsid w:val="00B85B86"/>
    <w:rsid w:val="00B8624D"/>
    <w:rsid w:val="00B86B5B"/>
    <w:rsid w:val="00B93AD9"/>
    <w:rsid w:val="00B95457"/>
    <w:rsid w:val="00B96733"/>
    <w:rsid w:val="00B96967"/>
    <w:rsid w:val="00B97928"/>
    <w:rsid w:val="00BA15B5"/>
    <w:rsid w:val="00BA28A0"/>
    <w:rsid w:val="00BA2FCA"/>
    <w:rsid w:val="00BA4E72"/>
    <w:rsid w:val="00BA565A"/>
    <w:rsid w:val="00BA66EB"/>
    <w:rsid w:val="00BA695A"/>
    <w:rsid w:val="00BA7681"/>
    <w:rsid w:val="00BB54EF"/>
    <w:rsid w:val="00BC2D66"/>
    <w:rsid w:val="00BC63E9"/>
    <w:rsid w:val="00BC7B93"/>
    <w:rsid w:val="00BD0ED6"/>
    <w:rsid w:val="00BD41A5"/>
    <w:rsid w:val="00BD4DB9"/>
    <w:rsid w:val="00BD501C"/>
    <w:rsid w:val="00BD666F"/>
    <w:rsid w:val="00BE4971"/>
    <w:rsid w:val="00BF167A"/>
    <w:rsid w:val="00BF1ECF"/>
    <w:rsid w:val="00BF217B"/>
    <w:rsid w:val="00BF46F5"/>
    <w:rsid w:val="00BF4F89"/>
    <w:rsid w:val="00C00DFB"/>
    <w:rsid w:val="00C00FAB"/>
    <w:rsid w:val="00C02744"/>
    <w:rsid w:val="00C0378B"/>
    <w:rsid w:val="00C055CF"/>
    <w:rsid w:val="00C159F8"/>
    <w:rsid w:val="00C15D16"/>
    <w:rsid w:val="00C20527"/>
    <w:rsid w:val="00C24073"/>
    <w:rsid w:val="00C31A7F"/>
    <w:rsid w:val="00C345A6"/>
    <w:rsid w:val="00C348A7"/>
    <w:rsid w:val="00C406A7"/>
    <w:rsid w:val="00C40CDD"/>
    <w:rsid w:val="00C40FA9"/>
    <w:rsid w:val="00C41630"/>
    <w:rsid w:val="00C42081"/>
    <w:rsid w:val="00C43B42"/>
    <w:rsid w:val="00C45108"/>
    <w:rsid w:val="00C46703"/>
    <w:rsid w:val="00C50BF5"/>
    <w:rsid w:val="00C550F5"/>
    <w:rsid w:val="00C57913"/>
    <w:rsid w:val="00C604F8"/>
    <w:rsid w:val="00C64B39"/>
    <w:rsid w:val="00C650C6"/>
    <w:rsid w:val="00C675F3"/>
    <w:rsid w:val="00C705A0"/>
    <w:rsid w:val="00C708D4"/>
    <w:rsid w:val="00C71060"/>
    <w:rsid w:val="00C720FC"/>
    <w:rsid w:val="00C72F4B"/>
    <w:rsid w:val="00C750DB"/>
    <w:rsid w:val="00C80823"/>
    <w:rsid w:val="00C8580E"/>
    <w:rsid w:val="00C86F6F"/>
    <w:rsid w:val="00C92F5F"/>
    <w:rsid w:val="00CA2952"/>
    <w:rsid w:val="00CA52EC"/>
    <w:rsid w:val="00CB25CB"/>
    <w:rsid w:val="00CC30FE"/>
    <w:rsid w:val="00CC356D"/>
    <w:rsid w:val="00CC4ABE"/>
    <w:rsid w:val="00CC5AC7"/>
    <w:rsid w:val="00CC7449"/>
    <w:rsid w:val="00CD1323"/>
    <w:rsid w:val="00CD1407"/>
    <w:rsid w:val="00CD412F"/>
    <w:rsid w:val="00CE0A5D"/>
    <w:rsid w:val="00CE401A"/>
    <w:rsid w:val="00CE60D0"/>
    <w:rsid w:val="00CE629B"/>
    <w:rsid w:val="00CE6327"/>
    <w:rsid w:val="00CE719B"/>
    <w:rsid w:val="00CF3D0E"/>
    <w:rsid w:val="00CF51C3"/>
    <w:rsid w:val="00D1465F"/>
    <w:rsid w:val="00D3604C"/>
    <w:rsid w:val="00D461B9"/>
    <w:rsid w:val="00D46563"/>
    <w:rsid w:val="00D50577"/>
    <w:rsid w:val="00D52C10"/>
    <w:rsid w:val="00D542EB"/>
    <w:rsid w:val="00D55714"/>
    <w:rsid w:val="00D56B23"/>
    <w:rsid w:val="00D57950"/>
    <w:rsid w:val="00D60040"/>
    <w:rsid w:val="00D600F5"/>
    <w:rsid w:val="00D61272"/>
    <w:rsid w:val="00D64014"/>
    <w:rsid w:val="00D65054"/>
    <w:rsid w:val="00D65D6A"/>
    <w:rsid w:val="00D725DB"/>
    <w:rsid w:val="00D74494"/>
    <w:rsid w:val="00D87DDB"/>
    <w:rsid w:val="00D90D21"/>
    <w:rsid w:val="00D916A1"/>
    <w:rsid w:val="00D93E44"/>
    <w:rsid w:val="00D9438C"/>
    <w:rsid w:val="00D97943"/>
    <w:rsid w:val="00DA5FD6"/>
    <w:rsid w:val="00DA7E21"/>
    <w:rsid w:val="00DB016D"/>
    <w:rsid w:val="00DB1913"/>
    <w:rsid w:val="00DB2122"/>
    <w:rsid w:val="00DB5462"/>
    <w:rsid w:val="00DC0CA4"/>
    <w:rsid w:val="00DC2354"/>
    <w:rsid w:val="00DC43AC"/>
    <w:rsid w:val="00DC560F"/>
    <w:rsid w:val="00DD0BEA"/>
    <w:rsid w:val="00DD282B"/>
    <w:rsid w:val="00DD2C90"/>
    <w:rsid w:val="00DD36CF"/>
    <w:rsid w:val="00DD3E33"/>
    <w:rsid w:val="00DE11DC"/>
    <w:rsid w:val="00DE614D"/>
    <w:rsid w:val="00DF05D8"/>
    <w:rsid w:val="00DF324D"/>
    <w:rsid w:val="00DF35A9"/>
    <w:rsid w:val="00DF3E33"/>
    <w:rsid w:val="00DF5244"/>
    <w:rsid w:val="00E0273F"/>
    <w:rsid w:val="00E04DDE"/>
    <w:rsid w:val="00E06AEA"/>
    <w:rsid w:val="00E10134"/>
    <w:rsid w:val="00E10FBF"/>
    <w:rsid w:val="00E13EEC"/>
    <w:rsid w:val="00E14E05"/>
    <w:rsid w:val="00E222D9"/>
    <w:rsid w:val="00E23AE8"/>
    <w:rsid w:val="00E243D7"/>
    <w:rsid w:val="00E24711"/>
    <w:rsid w:val="00E273EF"/>
    <w:rsid w:val="00E27671"/>
    <w:rsid w:val="00E30567"/>
    <w:rsid w:val="00E31865"/>
    <w:rsid w:val="00E31B64"/>
    <w:rsid w:val="00E34634"/>
    <w:rsid w:val="00E35AF8"/>
    <w:rsid w:val="00E35E30"/>
    <w:rsid w:val="00E405C7"/>
    <w:rsid w:val="00E40DA2"/>
    <w:rsid w:val="00E418A5"/>
    <w:rsid w:val="00E44F29"/>
    <w:rsid w:val="00E50E1F"/>
    <w:rsid w:val="00E54034"/>
    <w:rsid w:val="00E56103"/>
    <w:rsid w:val="00E60910"/>
    <w:rsid w:val="00E60B40"/>
    <w:rsid w:val="00E64696"/>
    <w:rsid w:val="00E64D23"/>
    <w:rsid w:val="00E65928"/>
    <w:rsid w:val="00E65DB2"/>
    <w:rsid w:val="00E67EA2"/>
    <w:rsid w:val="00E70B02"/>
    <w:rsid w:val="00E717A2"/>
    <w:rsid w:val="00E71B45"/>
    <w:rsid w:val="00E7572B"/>
    <w:rsid w:val="00E75B4C"/>
    <w:rsid w:val="00E76844"/>
    <w:rsid w:val="00E801F0"/>
    <w:rsid w:val="00E80F99"/>
    <w:rsid w:val="00E858D6"/>
    <w:rsid w:val="00E8633C"/>
    <w:rsid w:val="00E93ADB"/>
    <w:rsid w:val="00E9475E"/>
    <w:rsid w:val="00EA1693"/>
    <w:rsid w:val="00EA3469"/>
    <w:rsid w:val="00EA53E6"/>
    <w:rsid w:val="00EB0E19"/>
    <w:rsid w:val="00EB1105"/>
    <w:rsid w:val="00EB624F"/>
    <w:rsid w:val="00EB78C9"/>
    <w:rsid w:val="00EC09A8"/>
    <w:rsid w:val="00EC5844"/>
    <w:rsid w:val="00EC6283"/>
    <w:rsid w:val="00EC7C33"/>
    <w:rsid w:val="00ED2978"/>
    <w:rsid w:val="00ED619A"/>
    <w:rsid w:val="00ED657F"/>
    <w:rsid w:val="00ED749D"/>
    <w:rsid w:val="00EE05EE"/>
    <w:rsid w:val="00EE470C"/>
    <w:rsid w:val="00EF30D4"/>
    <w:rsid w:val="00EF3B9C"/>
    <w:rsid w:val="00EF4826"/>
    <w:rsid w:val="00F0030A"/>
    <w:rsid w:val="00F01563"/>
    <w:rsid w:val="00F024F6"/>
    <w:rsid w:val="00F05A92"/>
    <w:rsid w:val="00F11EF5"/>
    <w:rsid w:val="00F130A9"/>
    <w:rsid w:val="00F14772"/>
    <w:rsid w:val="00F156A8"/>
    <w:rsid w:val="00F206BB"/>
    <w:rsid w:val="00F20A59"/>
    <w:rsid w:val="00F22B81"/>
    <w:rsid w:val="00F23A1F"/>
    <w:rsid w:val="00F23A5F"/>
    <w:rsid w:val="00F243D3"/>
    <w:rsid w:val="00F24B82"/>
    <w:rsid w:val="00F26E41"/>
    <w:rsid w:val="00F271B5"/>
    <w:rsid w:val="00F27BE6"/>
    <w:rsid w:val="00F30834"/>
    <w:rsid w:val="00F34098"/>
    <w:rsid w:val="00F3622B"/>
    <w:rsid w:val="00F41F64"/>
    <w:rsid w:val="00F43247"/>
    <w:rsid w:val="00F46671"/>
    <w:rsid w:val="00F47637"/>
    <w:rsid w:val="00F557E0"/>
    <w:rsid w:val="00F61B76"/>
    <w:rsid w:val="00F66151"/>
    <w:rsid w:val="00F73D46"/>
    <w:rsid w:val="00F74FB5"/>
    <w:rsid w:val="00F756BC"/>
    <w:rsid w:val="00F776C8"/>
    <w:rsid w:val="00F80796"/>
    <w:rsid w:val="00F84A08"/>
    <w:rsid w:val="00F85D27"/>
    <w:rsid w:val="00F86A25"/>
    <w:rsid w:val="00F92CCE"/>
    <w:rsid w:val="00F94FCC"/>
    <w:rsid w:val="00FA2FF8"/>
    <w:rsid w:val="00FA6FAD"/>
    <w:rsid w:val="00FB0C72"/>
    <w:rsid w:val="00FB0F73"/>
    <w:rsid w:val="00FB22A8"/>
    <w:rsid w:val="00FB2787"/>
    <w:rsid w:val="00FB389A"/>
    <w:rsid w:val="00FB5C67"/>
    <w:rsid w:val="00FC1D97"/>
    <w:rsid w:val="00FC297E"/>
    <w:rsid w:val="00FC2E46"/>
    <w:rsid w:val="00FC4345"/>
    <w:rsid w:val="00FD2047"/>
    <w:rsid w:val="00FD4B28"/>
    <w:rsid w:val="00FD5726"/>
    <w:rsid w:val="00FD6804"/>
    <w:rsid w:val="00FD72A9"/>
    <w:rsid w:val="00FD7818"/>
    <w:rsid w:val="00FE0B94"/>
    <w:rsid w:val="00FE1935"/>
    <w:rsid w:val="00FE4618"/>
    <w:rsid w:val="00FE51FE"/>
    <w:rsid w:val="00FE542D"/>
    <w:rsid w:val="00FE6669"/>
    <w:rsid w:val="00FE669E"/>
    <w:rsid w:val="00FE68B2"/>
    <w:rsid w:val="00FE7690"/>
    <w:rsid w:val="00FE7E03"/>
    <w:rsid w:val="00FF1746"/>
    <w:rsid w:val="00FF242D"/>
    <w:rsid w:val="00FF32E2"/>
    <w:rsid w:val="00FF3527"/>
    <w:rsid w:val="00FF3DD4"/>
    <w:rsid w:val="09BA137C"/>
    <w:rsid w:val="2BAF3442"/>
    <w:rsid w:val="43665F44"/>
    <w:rsid w:val="4473754D"/>
    <w:rsid w:val="4C296C5E"/>
    <w:rsid w:val="4F8B78D3"/>
    <w:rsid w:val="5B931130"/>
    <w:rsid w:val="69947C6A"/>
    <w:rsid w:val="6AFC6BDD"/>
    <w:rsid w:val="6DA95EA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nhideWhenUsed="0" w:uiPriority="39" w:semiHidden="0" w:name="toc 2"/>
    <w:lsdException w:qFormat="1" w:unhideWhenUsed="0" w:uiPriority="0" w:name="toc 3"/>
    <w:lsdException w:qFormat="1" w:unhideWhenUsed="0" w:uiPriority="0" w:name="toc 4"/>
    <w:lsdException w:qFormat="1" w:unhideWhenUsed="0" w:uiPriority="0" w:name="toc 5"/>
    <w:lsdException w:qFormat="1" w:unhideWhenUsed="0" w:uiPriority="0" w:name="toc 6"/>
    <w:lsdException w:qFormat="1" w:unhideWhenUsed="0" w:uiPriority="0" w:name="toc 7"/>
    <w:lsdException w:qFormat="1" w:unhideWhenUsed="0" w:uiPriority="0" w:name="toc 8"/>
    <w:lsdException w:qFormat="1" w:unhideWhenUsed="0" w:uiPriority="0" w:name="toc 9"/>
    <w:lsdException w:qFormat="1" w:unhideWhenUsed="0" w:uiPriority="0" w:name="Normal Indent"/>
    <w:lsdException w:uiPriority="99" w:name="footnote text"/>
    <w:lsdException w:qFormat="1" w:unhideWhenUsed="0" w:uiPriority="0" w:name="annotation text"/>
    <w:lsdException w:qFormat="1" w:unhideWhenUsed="0" w:uiPriority="99" w:semiHidden="0" w:name="header"/>
    <w:lsdException w:qFormat="1" w:unhideWhenUsed="0"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nhideWhenUsed="0" w:uiPriority="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name="Body Text"/>
    <w:lsdException w:qFormat="1" w:unhideWhenUsed="0" w:uiPriority="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nhideWhenUsed="0" w:uiPriority="0" w:name="Date"/>
    <w:lsdException w:qFormat="1" w:unhideWhenUsed="0" w:uiPriority="0" w:name="Body Text First Indent"/>
    <w:lsdException w:uiPriority="99" w:name="Body Text First Indent 2"/>
    <w:lsdException w:uiPriority="99" w:name="Note Heading"/>
    <w:lsdException w:qFormat="1" w:unhideWhenUsed="0" w:uiPriority="0" w:name="Body Text 2"/>
    <w:lsdException w:uiPriority="99" w:name="Body Text 3"/>
    <w:lsdException w:qFormat="1" w:unhideWhenUsed="0" w:uiPriority="0" w:name="Body Text Indent 2"/>
    <w:lsdException w:qFormat="1" w:unhideWhenUsed="0" w:uiPriority="0" w:name="Body Text Indent 3"/>
    <w:lsdException w:uiPriority="99" w:name="Block Text"/>
    <w:lsdException w:qFormat="1" w:unhideWhenUsed="0" w:uiPriority="99" w:semiHidden="0" w:name="Hyperlink"/>
    <w:lsdException w:qFormat="1" w:unhideWhenUsed="0" w:uiPriority="0" w:name="FollowedHyperlink"/>
    <w:lsdException w:qFormat="1" w:unhideWhenUsed="0" w:uiPriority="0" w:semiHidden="0" w:name="Strong"/>
    <w:lsdException w:qFormat="1" w:unhideWhenUsed="0" w:uiPriority="20" w:semiHidden="0" w:name="Emphasis"/>
    <w:lsdException w:qFormat="1" w:unhideWhenUsed="0" w:uiPriority="0" w:name="Document Map"/>
    <w:lsdException w:qFormat="1" w:unhideWhenUsed="0" w:uiPriority="0" w:name="Plain Text"/>
    <w:lsdException w:uiPriority="99" w:name="E-mail Signature"/>
    <w:lsdException w:qFormat="1" w:unhideWhenUsed="0" w:uiPriority="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nhideWhenUsed="0" w:uiPriority="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name="Balloon Text"/>
    <w:lsdException w:qFormat="1" w:unhideWhenUsed="0" w:uiPriority="59"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adjustRightInd w:val="0"/>
      <w:spacing w:line="360" w:lineRule="atLeast"/>
      <w:textAlignment w:val="baseline"/>
    </w:pPr>
    <w:rPr>
      <w:rFonts w:ascii="Times New Roman" w:hAnsi="Times New Roman" w:eastAsia="宋体" w:cs="Times New Roman"/>
      <w:sz w:val="24"/>
      <w:lang w:val="en-US" w:eastAsia="zh-CN" w:bidi="ar-SA"/>
    </w:rPr>
  </w:style>
  <w:style w:type="paragraph" w:styleId="2">
    <w:name w:val="heading 1"/>
    <w:basedOn w:val="1"/>
    <w:next w:val="1"/>
    <w:qFormat/>
    <w:uiPriority w:val="0"/>
    <w:pPr>
      <w:keepNext/>
      <w:numPr>
        <w:ilvl w:val="0"/>
        <w:numId w:val="1"/>
      </w:numPr>
      <w:spacing w:line="300" w:lineRule="auto"/>
      <w:jc w:val="both"/>
      <w:outlineLvl w:val="0"/>
    </w:pPr>
    <w:rPr>
      <w:rFonts w:ascii="Arial" w:hAnsi="Arial" w:eastAsia="仿宋_GB2312" w:cs="Arial"/>
      <w:b/>
      <w:sz w:val="28"/>
    </w:rPr>
  </w:style>
  <w:style w:type="paragraph" w:styleId="3">
    <w:name w:val="heading 2"/>
    <w:basedOn w:val="1"/>
    <w:next w:val="1"/>
    <w:qFormat/>
    <w:uiPriority w:val="0"/>
    <w:pPr>
      <w:keepNext/>
      <w:numPr>
        <w:ilvl w:val="0"/>
        <w:numId w:val="2"/>
      </w:numPr>
      <w:spacing w:line="300" w:lineRule="auto"/>
      <w:outlineLvl w:val="1"/>
    </w:pPr>
    <w:rPr>
      <w:rFonts w:ascii="Arial" w:hAnsi="Arial" w:eastAsia="仿宋_GB2312" w:cs="Arial"/>
      <w:b/>
      <w:bCs/>
      <w:sz w:val="28"/>
    </w:rPr>
  </w:style>
  <w:style w:type="paragraph" w:styleId="4">
    <w:name w:val="heading 3"/>
    <w:basedOn w:val="1"/>
    <w:next w:val="1"/>
    <w:qFormat/>
    <w:uiPriority w:val="0"/>
    <w:pPr>
      <w:keepNext/>
      <w:numPr>
        <w:ilvl w:val="1"/>
        <w:numId w:val="3"/>
      </w:numPr>
      <w:tabs>
        <w:tab w:val="left" w:pos="0"/>
        <w:tab w:val="left" w:pos="1200"/>
        <w:tab w:val="clear" w:pos="1740"/>
      </w:tabs>
      <w:spacing w:line="440" w:lineRule="atLeast"/>
      <w:ind w:left="1320" w:hanging="600"/>
      <w:jc w:val="both"/>
      <w:outlineLvl w:val="2"/>
    </w:pPr>
    <w:rPr>
      <w:rFonts w:ascii="仿宋_GB2312" w:hAnsi="Arial" w:eastAsia="仿宋_GB2312" w:cs="Arial"/>
      <w:sz w:val="28"/>
    </w:rPr>
  </w:style>
  <w:style w:type="paragraph" w:styleId="5">
    <w:name w:val="heading 4"/>
    <w:basedOn w:val="1"/>
    <w:next w:val="1"/>
    <w:qFormat/>
    <w:uiPriority w:val="0"/>
    <w:pPr>
      <w:keepNext/>
      <w:numPr>
        <w:ilvl w:val="0"/>
        <w:numId w:val="4"/>
      </w:numPr>
      <w:tabs>
        <w:tab w:val="clear" w:pos="1605"/>
      </w:tabs>
      <w:spacing w:line="440" w:lineRule="atLeast"/>
      <w:ind w:right="-22"/>
      <w:outlineLvl w:val="3"/>
    </w:pPr>
    <w:rPr>
      <w:rFonts w:ascii="仿宋_GB2312" w:eastAsia="仿宋_GB2312"/>
      <w:sz w:val="28"/>
    </w:rPr>
  </w:style>
  <w:style w:type="paragraph" w:styleId="6">
    <w:name w:val="heading 5"/>
    <w:basedOn w:val="1"/>
    <w:next w:val="1"/>
    <w:qFormat/>
    <w:uiPriority w:val="0"/>
    <w:pPr>
      <w:keepNext/>
      <w:spacing w:line="500" w:lineRule="exact"/>
      <w:jc w:val="center"/>
      <w:outlineLvl w:val="4"/>
    </w:pPr>
    <w:rPr>
      <w:rFonts w:ascii="楷体_GB2312" w:eastAsia="楷体_GB2312"/>
      <w:color w:val="000000"/>
      <w:sz w:val="28"/>
    </w:rPr>
  </w:style>
  <w:style w:type="character" w:default="1" w:styleId="34">
    <w:name w:val="Default Paragraph Font"/>
    <w:semiHidden/>
    <w:unhideWhenUsed/>
    <w:qFormat/>
    <w:uiPriority w:val="1"/>
  </w:style>
  <w:style w:type="table" w:default="1" w:styleId="32">
    <w:name w:val="Normal Table"/>
    <w:semiHidden/>
    <w:unhideWhenUsed/>
    <w:qFormat/>
    <w:uiPriority w:val="99"/>
    <w:tblPr>
      <w:tblCellMar>
        <w:top w:w="0" w:type="dxa"/>
        <w:left w:w="108" w:type="dxa"/>
        <w:bottom w:w="0" w:type="dxa"/>
        <w:right w:w="108" w:type="dxa"/>
      </w:tblCellMar>
    </w:tblPr>
  </w:style>
  <w:style w:type="paragraph" w:styleId="7">
    <w:name w:val="toc 7"/>
    <w:basedOn w:val="1"/>
    <w:next w:val="1"/>
    <w:semiHidden/>
    <w:qFormat/>
    <w:uiPriority w:val="0"/>
    <w:pPr>
      <w:ind w:left="2520" w:leftChars="1200"/>
    </w:pPr>
  </w:style>
  <w:style w:type="paragraph" w:styleId="8">
    <w:name w:val="Normal Indent"/>
    <w:basedOn w:val="1"/>
    <w:semiHidden/>
    <w:qFormat/>
    <w:uiPriority w:val="0"/>
    <w:pPr>
      <w:adjustRightInd/>
      <w:spacing w:line="240" w:lineRule="auto"/>
      <w:ind w:firstLine="560" w:firstLineChars="200"/>
      <w:jc w:val="both"/>
      <w:textAlignment w:val="auto"/>
    </w:pPr>
    <w:rPr>
      <w:rFonts w:eastAsia="GungsuhChe"/>
      <w:color w:val="FF0000"/>
      <w:kern w:val="2"/>
      <w:sz w:val="28"/>
      <w:szCs w:val="24"/>
    </w:rPr>
  </w:style>
  <w:style w:type="paragraph" w:styleId="9">
    <w:name w:val="Document Map"/>
    <w:basedOn w:val="1"/>
    <w:link w:val="49"/>
    <w:semiHidden/>
    <w:qFormat/>
    <w:uiPriority w:val="0"/>
    <w:pPr>
      <w:shd w:val="clear" w:color="auto" w:fill="000080"/>
    </w:pPr>
  </w:style>
  <w:style w:type="paragraph" w:styleId="10">
    <w:name w:val="annotation text"/>
    <w:basedOn w:val="1"/>
    <w:semiHidden/>
    <w:qFormat/>
    <w:uiPriority w:val="0"/>
  </w:style>
  <w:style w:type="paragraph" w:styleId="11">
    <w:name w:val="Body Text"/>
    <w:basedOn w:val="1"/>
    <w:semiHidden/>
    <w:qFormat/>
    <w:uiPriority w:val="0"/>
    <w:rPr>
      <w:rFonts w:eastAsia="隶书"/>
      <w:sz w:val="52"/>
    </w:rPr>
  </w:style>
  <w:style w:type="paragraph" w:styleId="12">
    <w:name w:val="Body Text Indent"/>
    <w:basedOn w:val="1"/>
    <w:semiHidden/>
    <w:qFormat/>
    <w:uiPriority w:val="0"/>
    <w:pPr>
      <w:spacing w:before="120" w:line="360" w:lineRule="auto"/>
      <w:ind w:left="1145"/>
    </w:pPr>
    <w:rPr>
      <w:rFonts w:ascii="楷体_GB2312" w:eastAsia="楷体_GB2312"/>
      <w:kern w:val="2"/>
      <w:sz w:val="28"/>
    </w:rPr>
  </w:style>
  <w:style w:type="paragraph" w:styleId="13">
    <w:name w:val="toc 5"/>
    <w:basedOn w:val="1"/>
    <w:next w:val="1"/>
    <w:semiHidden/>
    <w:qFormat/>
    <w:uiPriority w:val="0"/>
    <w:pPr>
      <w:ind w:left="1680" w:leftChars="800"/>
    </w:pPr>
  </w:style>
  <w:style w:type="paragraph" w:styleId="14">
    <w:name w:val="toc 3"/>
    <w:basedOn w:val="1"/>
    <w:next w:val="1"/>
    <w:semiHidden/>
    <w:qFormat/>
    <w:uiPriority w:val="0"/>
    <w:pPr>
      <w:ind w:left="840" w:leftChars="400"/>
    </w:pPr>
  </w:style>
  <w:style w:type="paragraph" w:styleId="15">
    <w:name w:val="Plain Text"/>
    <w:basedOn w:val="1"/>
    <w:semiHidden/>
    <w:qFormat/>
    <w:uiPriority w:val="0"/>
    <w:pPr>
      <w:adjustRightInd/>
      <w:spacing w:line="240" w:lineRule="auto"/>
      <w:jc w:val="both"/>
      <w:textAlignment w:val="auto"/>
    </w:pPr>
    <w:rPr>
      <w:rFonts w:ascii="宋体" w:hAnsi="Courier New"/>
      <w:kern w:val="2"/>
      <w:sz w:val="21"/>
    </w:rPr>
  </w:style>
  <w:style w:type="paragraph" w:styleId="16">
    <w:name w:val="toc 8"/>
    <w:basedOn w:val="1"/>
    <w:next w:val="1"/>
    <w:semiHidden/>
    <w:qFormat/>
    <w:uiPriority w:val="0"/>
    <w:pPr>
      <w:ind w:left="2940" w:leftChars="1400"/>
    </w:pPr>
  </w:style>
  <w:style w:type="paragraph" w:styleId="17">
    <w:name w:val="Date"/>
    <w:basedOn w:val="1"/>
    <w:next w:val="1"/>
    <w:semiHidden/>
    <w:qFormat/>
    <w:uiPriority w:val="0"/>
    <w:pPr>
      <w:jc w:val="both"/>
    </w:pPr>
    <w:rPr>
      <w:rFonts w:ascii="楷体_GB2312" w:eastAsia="楷体_GB2312"/>
      <w:b/>
      <w:sz w:val="28"/>
    </w:rPr>
  </w:style>
  <w:style w:type="paragraph" w:styleId="18">
    <w:name w:val="Body Text Indent 2"/>
    <w:basedOn w:val="1"/>
    <w:semiHidden/>
    <w:qFormat/>
    <w:uiPriority w:val="0"/>
    <w:pPr>
      <w:spacing w:before="120" w:line="360" w:lineRule="auto"/>
      <w:ind w:left="600" w:firstLine="480"/>
    </w:pPr>
    <w:rPr>
      <w:rFonts w:ascii="楷体_GB2312" w:eastAsia="楷体_GB2312"/>
      <w:kern w:val="2"/>
      <w:sz w:val="28"/>
    </w:rPr>
  </w:style>
  <w:style w:type="paragraph" w:styleId="19">
    <w:name w:val="Balloon Text"/>
    <w:basedOn w:val="1"/>
    <w:semiHidden/>
    <w:qFormat/>
    <w:uiPriority w:val="0"/>
    <w:rPr>
      <w:sz w:val="18"/>
      <w:szCs w:val="18"/>
    </w:rPr>
  </w:style>
  <w:style w:type="paragraph" w:styleId="20">
    <w:name w:val="footer"/>
    <w:basedOn w:val="1"/>
    <w:link w:val="50"/>
    <w:qFormat/>
    <w:uiPriority w:val="99"/>
    <w:pPr>
      <w:tabs>
        <w:tab w:val="center" w:pos="4153"/>
        <w:tab w:val="right" w:pos="8306"/>
      </w:tabs>
      <w:spacing w:line="240" w:lineRule="atLeast"/>
    </w:pPr>
    <w:rPr>
      <w:sz w:val="18"/>
    </w:rPr>
  </w:style>
  <w:style w:type="paragraph" w:styleId="21">
    <w:name w:val="header"/>
    <w:basedOn w:val="1"/>
    <w:link w:val="51"/>
    <w:qFormat/>
    <w:uiPriority w:val="99"/>
    <w:pPr>
      <w:pBdr>
        <w:bottom w:val="single" w:color="auto" w:sz="6" w:space="1"/>
      </w:pBdr>
      <w:tabs>
        <w:tab w:val="center" w:pos="4153"/>
        <w:tab w:val="right" w:pos="8306"/>
      </w:tabs>
      <w:snapToGrid w:val="0"/>
      <w:spacing w:line="240" w:lineRule="atLeast"/>
      <w:jc w:val="center"/>
    </w:pPr>
    <w:rPr>
      <w:sz w:val="18"/>
    </w:rPr>
  </w:style>
  <w:style w:type="paragraph" w:styleId="22">
    <w:name w:val="toc 1"/>
    <w:basedOn w:val="1"/>
    <w:next w:val="1"/>
    <w:qFormat/>
    <w:uiPriority w:val="39"/>
    <w:pPr>
      <w:tabs>
        <w:tab w:val="right" w:leader="dot" w:pos="9072"/>
      </w:tabs>
      <w:spacing w:line="500" w:lineRule="exact"/>
    </w:pPr>
    <w:rPr>
      <w:rFonts w:ascii="楷体_GB2312" w:eastAsia="楷体_GB2312"/>
      <w:b/>
      <w:bCs/>
      <w:sz w:val="30"/>
      <w:szCs w:val="30"/>
    </w:rPr>
  </w:style>
  <w:style w:type="paragraph" w:styleId="23">
    <w:name w:val="toc 4"/>
    <w:basedOn w:val="1"/>
    <w:next w:val="1"/>
    <w:semiHidden/>
    <w:qFormat/>
    <w:uiPriority w:val="0"/>
    <w:pPr>
      <w:ind w:left="1260" w:leftChars="600"/>
    </w:pPr>
  </w:style>
  <w:style w:type="paragraph" w:styleId="24">
    <w:name w:val="toc 6"/>
    <w:basedOn w:val="1"/>
    <w:next w:val="1"/>
    <w:semiHidden/>
    <w:qFormat/>
    <w:uiPriority w:val="0"/>
    <w:pPr>
      <w:ind w:left="2100" w:leftChars="1000"/>
    </w:pPr>
  </w:style>
  <w:style w:type="paragraph" w:styleId="25">
    <w:name w:val="Body Text Indent 3"/>
    <w:basedOn w:val="1"/>
    <w:semiHidden/>
    <w:qFormat/>
    <w:uiPriority w:val="0"/>
    <w:pPr>
      <w:spacing w:line="360" w:lineRule="auto"/>
      <w:ind w:left="600" w:firstLine="555"/>
      <w:outlineLvl w:val="0"/>
    </w:pPr>
    <w:rPr>
      <w:rFonts w:ascii="楷体_GB2312" w:eastAsia="楷体_GB2312"/>
      <w:kern w:val="2"/>
      <w:sz w:val="28"/>
    </w:rPr>
  </w:style>
  <w:style w:type="paragraph" w:styleId="26">
    <w:name w:val="toc 2"/>
    <w:basedOn w:val="1"/>
    <w:next w:val="1"/>
    <w:qFormat/>
    <w:uiPriority w:val="39"/>
    <w:pPr>
      <w:tabs>
        <w:tab w:val="right" w:leader="dot" w:pos="9072"/>
      </w:tabs>
      <w:spacing w:line="360" w:lineRule="auto"/>
      <w:ind w:left="480" w:leftChars="200"/>
    </w:pPr>
  </w:style>
  <w:style w:type="paragraph" w:styleId="27">
    <w:name w:val="toc 9"/>
    <w:basedOn w:val="1"/>
    <w:next w:val="1"/>
    <w:semiHidden/>
    <w:qFormat/>
    <w:uiPriority w:val="0"/>
    <w:pPr>
      <w:ind w:left="3360" w:leftChars="1600"/>
    </w:pPr>
  </w:style>
  <w:style w:type="paragraph" w:styleId="28">
    <w:name w:val="Body Text 2"/>
    <w:basedOn w:val="1"/>
    <w:semiHidden/>
    <w:qFormat/>
    <w:uiPriority w:val="0"/>
    <w:pPr>
      <w:spacing w:line="360" w:lineRule="auto"/>
      <w:ind w:right="2"/>
    </w:pPr>
    <w:rPr>
      <w:rFonts w:eastAsia="仿宋_GB2312"/>
      <w:sz w:val="28"/>
    </w:rPr>
  </w:style>
  <w:style w:type="paragraph" w:styleId="29">
    <w:name w:val="Normal (Web)"/>
    <w:basedOn w:val="1"/>
    <w:semiHidden/>
    <w:qFormat/>
    <w:uiPriority w:val="0"/>
    <w:pPr>
      <w:widowControl/>
      <w:adjustRightInd/>
      <w:spacing w:line="360" w:lineRule="auto"/>
      <w:textAlignment w:val="auto"/>
    </w:pPr>
    <w:rPr>
      <w:rFonts w:ascii="宋体" w:hAnsi="宋体"/>
      <w:sz w:val="18"/>
      <w:szCs w:val="18"/>
    </w:rPr>
  </w:style>
  <w:style w:type="paragraph" w:styleId="30">
    <w:name w:val="annotation subject"/>
    <w:basedOn w:val="10"/>
    <w:next w:val="10"/>
    <w:semiHidden/>
    <w:qFormat/>
    <w:uiPriority w:val="0"/>
    <w:rPr>
      <w:b/>
      <w:bCs/>
    </w:rPr>
  </w:style>
  <w:style w:type="paragraph" w:styleId="31">
    <w:name w:val="Body Text First Indent"/>
    <w:basedOn w:val="11"/>
    <w:semiHidden/>
    <w:qFormat/>
    <w:uiPriority w:val="0"/>
    <w:pPr>
      <w:adjustRightInd/>
      <w:spacing w:after="120" w:line="240" w:lineRule="auto"/>
      <w:ind w:firstLine="420"/>
      <w:jc w:val="both"/>
      <w:textAlignment w:val="auto"/>
    </w:pPr>
    <w:rPr>
      <w:rFonts w:eastAsia="宋体"/>
      <w:kern w:val="2"/>
      <w:sz w:val="21"/>
    </w:rPr>
  </w:style>
  <w:style w:type="table" w:styleId="33">
    <w:name w:val="Table Grid"/>
    <w:basedOn w:val="32"/>
    <w:qFormat/>
    <w:uiPriority w:val="59"/>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35">
    <w:name w:val="Strong"/>
    <w:qFormat/>
    <w:uiPriority w:val="0"/>
    <w:rPr>
      <w:b/>
      <w:bCs/>
    </w:rPr>
  </w:style>
  <w:style w:type="character" w:styleId="36">
    <w:name w:val="page number"/>
    <w:basedOn w:val="34"/>
    <w:qFormat/>
    <w:uiPriority w:val="0"/>
  </w:style>
  <w:style w:type="character" w:styleId="37">
    <w:name w:val="FollowedHyperlink"/>
    <w:semiHidden/>
    <w:qFormat/>
    <w:uiPriority w:val="0"/>
    <w:rPr>
      <w:color w:val="800080"/>
      <w:u w:val="single"/>
    </w:rPr>
  </w:style>
  <w:style w:type="character" w:styleId="38">
    <w:name w:val="Hyperlink"/>
    <w:qFormat/>
    <w:uiPriority w:val="99"/>
    <w:rPr>
      <w:color w:val="0000FF"/>
      <w:u w:val="single"/>
    </w:rPr>
  </w:style>
  <w:style w:type="character" w:styleId="39">
    <w:name w:val="annotation reference"/>
    <w:semiHidden/>
    <w:qFormat/>
    <w:uiPriority w:val="0"/>
    <w:rPr>
      <w:sz w:val="21"/>
      <w:szCs w:val="21"/>
    </w:rPr>
  </w:style>
  <w:style w:type="paragraph" w:customStyle="1" w:styleId="40">
    <w:name w:val="正文1"/>
    <w:qFormat/>
    <w:uiPriority w:val="0"/>
    <w:pPr>
      <w:widowControl w:val="0"/>
      <w:adjustRightInd w:val="0"/>
      <w:spacing w:line="360" w:lineRule="atLeast"/>
      <w:textAlignment w:val="baseline"/>
    </w:pPr>
    <w:rPr>
      <w:rFonts w:ascii="宋体" w:hAnsi="Times New Roman" w:eastAsia="宋体" w:cs="Times New Roman"/>
      <w:sz w:val="34"/>
      <w:lang w:val="en-US" w:eastAsia="zh-CN" w:bidi="ar-SA"/>
    </w:rPr>
  </w:style>
  <w:style w:type="paragraph" w:customStyle="1" w:styleId="41">
    <w:name w:val="xl30"/>
    <w:basedOn w:val="1"/>
    <w:qFormat/>
    <w:uiPriority w:val="0"/>
    <w:pPr>
      <w:widowControl/>
      <w:pBdr>
        <w:top w:val="single" w:color="auto" w:sz="4" w:space="0"/>
        <w:left w:val="single" w:color="auto" w:sz="4" w:space="0"/>
        <w:bottom w:val="single" w:color="auto" w:sz="4" w:space="0"/>
      </w:pBdr>
      <w:adjustRightInd/>
      <w:spacing w:before="100" w:beforeAutospacing="1" w:after="100" w:afterAutospacing="1" w:line="240" w:lineRule="auto"/>
      <w:jc w:val="center"/>
      <w:textAlignment w:val="auto"/>
    </w:pPr>
    <w:rPr>
      <w:rFonts w:ascii="Arial Unicode MS" w:hAnsi="Arial Unicode MS"/>
      <w:sz w:val="20"/>
    </w:rPr>
  </w:style>
  <w:style w:type="paragraph" w:customStyle="1" w:styleId="42">
    <w:name w:val="xl33"/>
    <w:basedOn w:val="1"/>
    <w:qFormat/>
    <w:uiPriority w:val="0"/>
    <w:pPr>
      <w:widowControl/>
      <w:pBdr>
        <w:top w:val="single" w:color="auto" w:sz="4" w:space="0"/>
        <w:bottom w:val="single" w:color="auto" w:sz="4" w:space="0"/>
      </w:pBdr>
      <w:adjustRightInd/>
      <w:spacing w:before="100" w:beforeAutospacing="1" w:after="100" w:afterAutospacing="1" w:line="240" w:lineRule="auto"/>
      <w:jc w:val="center"/>
      <w:textAlignment w:val="center"/>
    </w:pPr>
    <w:rPr>
      <w:rFonts w:ascii="Arial Unicode MS" w:hAnsi="Arial Unicode MS"/>
      <w:b/>
      <w:bCs/>
      <w:szCs w:val="24"/>
    </w:rPr>
  </w:style>
  <w:style w:type="paragraph" w:customStyle="1" w:styleId="43">
    <w:name w:val="font5"/>
    <w:basedOn w:val="1"/>
    <w:qFormat/>
    <w:uiPriority w:val="0"/>
    <w:pPr>
      <w:widowControl/>
      <w:adjustRightInd/>
      <w:spacing w:before="100" w:beforeAutospacing="1" w:after="100" w:afterAutospacing="1" w:line="240" w:lineRule="auto"/>
      <w:textAlignment w:val="auto"/>
    </w:pPr>
    <w:rPr>
      <w:rFonts w:hint="eastAsia" w:ascii="宋体" w:hAnsi="宋体"/>
      <w:sz w:val="18"/>
      <w:szCs w:val="18"/>
    </w:rPr>
  </w:style>
  <w:style w:type="paragraph" w:customStyle="1" w:styleId="44">
    <w:name w:val="xl28"/>
    <w:basedOn w:val="1"/>
    <w:qFormat/>
    <w:uiPriority w:val="0"/>
    <w:pPr>
      <w:widowControl/>
      <w:pBdr>
        <w:left w:val="single" w:color="auto" w:sz="4" w:space="0"/>
        <w:bottom w:val="single" w:color="auto" w:sz="4" w:space="0"/>
        <w:right w:val="single" w:color="auto" w:sz="4" w:space="0"/>
      </w:pBdr>
      <w:adjustRightInd/>
      <w:spacing w:before="100" w:beforeAutospacing="1" w:after="100" w:afterAutospacing="1" w:line="240" w:lineRule="auto"/>
      <w:jc w:val="center"/>
      <w:textAlignment w:val="auto"/>
    </w:pPr>
    <w:rPr>
      <w:rFonts w:eastAsia="Arial Unicode MS"/>
      <w:szCs w:val="24"/>
    </w:rPr>
  </w:style>
  <w:style w:type="paragraph" w:customStyle="1" w:styleId="45">
    <w:name w:val="Char Char1 Char"/>
    <w:basedOn w:val="1"/>
    <w:qFormat/>
    <w:uiPriority w:val="0"/>
    <w:pPr>
      <w:adjustRightInd/>
      <w:spacing w:line="240" w:lineRule="auto"/>
      <w:jc w:val="both"/>
      <w:textAlignment w:val="auto"/>
    </w:pPr>
    <w:rPr>
      <w:rFonts w:ascii="宋体" w:hAnsi="宋体" w:cs="Courier New"/>
      <w:kern w:val="2"/>
      <w:sz w:val="32"/>
      <w:szCs w:val="32"/>
    </w:rPr>
  </w:style>
  <w:style w:type="paragraph" w:customStyle="1" w:styleId="46">
    <w:name w:val="xl25"/>
    <w:basedOn w:val="1"/>
    <w:qFormat/>
    <w:uiPriority w:val="0"/>
    <w:pPr>
      <w:widowControl/>
      <w:adjustRightInd/>
      <w:spacing w:before="100" w:beforeAutospacing="1" w:after="100" w:afterAutospacing="1" w:line="240" w:lineRule="auto"/>
      <w:jc w:val="center"/>
      <w:textAlignment w:val="auto"/>
    </w:pPr>
    <w:rPr>
      <w:rFonts w:ascii="宋体" w:hAnsi="宋体"/>
      <w:szCs w:val="24"/>
    </w:rPr>
  </w:style>
  <w:style w:type="paragraph" w:styleId="47">
    <w:name w:val="List Paragraph"/>
    <w:basedOn w:val="1"/>
    <w:qFormat/>
    <w:uiPriority w:val="34"/>
    <w:pPr>
      <w:ind w:firstLine="420" w:firstLineChars="200"/>
    </w:pPr>
  </w:style>
  <w:style w:type="paragraph" w:styleId="48">
    <w:name w:val="No Spacing"/>
    <w:link w:val="57"/>
    <w:qFormat/>
    <w:uiPriority w:val="1"/>
    <w:rPr>
      <w:rFonts w:ascii="Calibri" w:hAnsi="Calibri" w:eastAsia="宋体" w:cs="Times New Roman"/>
      <w:sz w:val="22"/>
      <w:szCs w:val="22"/>
      <w:lang w:val="en-US" w:eastAsia="zh-CN" w:bidi="ar-SA"/>
    </w:rPr>
  </w:style>
  <w:style w:type="character" w:customStyle="1" w:styleId="49">
    <w:name w:val="文档结构图 字符"/>
    <w:link w:val="9"/>
    <w:semiHidden/>
    <w:qFormat/>
    <w:uiPriority w:val="0"/>
    <w:rPr>
      <w:sz w:val="24"/>
      <w:shd w:val="clear" w:color="auto" w:fill="000080"/>
    </w:rPr>
  </w:style>
  <w:style w:type="character" w:customStyle="1" w:styleId="50">
    <w:name w:val="页脚 字符"/>
    <w:link w:val="20"/>
    <w:qFormat/>
    <w:uiPriority w:val="99"/>
    <w:rPr>
      <w:sz w:val="18"/>
    </w:rPr>
  </w:style>
  <w:style w:type="character" w:customStyle="1" w:styleId="51">
    <w:name w:val="页眉 字符"/>
    <w:link w:val="21"/>
    <w:qFormat/>
    <w:uiPriority w:val="99"/>
    <w:rPr>
      <w:sz w:val="18"/>
    </w:rPr>
  </w:style>
  <w:style w:type="character" w:customStyle="1" w:styleId="52">
    <w:name w:val="text1"/>
    <w:qFormat/>
    <w:uiPriority w:val="0"/>
    <w:rPr>
      <w:spacing w:val="10"/>
      <w:sz w:val="28"/>
      <w:szCs w:val="28"/>
    </w:rPr>
  </w:style>
  <w:style w:type="character" w:customStyle="1" w:styleId="53">
    <w:name w:val="unnamed11"/>
    <w:qFormat/>
    <w:uiPriority w:val="0"/>
    <w:rPr>
      <w:rFonts w:hint="eastAsia" w:ascii="宋体" w:hAnsi="宋体" w:eastAsia="宋体"/>
      <w:color w:val="000000"/>
      <w:sz w:val="18"/>
      <w:szCs w:val="18"/>
      <w:u w:val="none"/>
    </w:rPr>
  </w:style>
  <w:style w:type="character" w:customStyle="1" w:styleId="54">
    <w:name w:val="t12h291"/>
    <w:qFormat/>
    <w:uiPriority w:val="0"/>
    <w:rPr>
      <w:color w:val="000000"/>
      <w:sz w:val="24"/>
      <w:szCs w:val="24"/>
    </w:rPr>
  </w:style>
  <w:style w:type="character" w:customStyle="1" w:styleId="55">
    <w:name w:val="nr1"/>
    <w:qFormat/>
    <w:uiPriority w:val="0"/>
    <w:rPr>
      <w:rFonts w:hint="eastAsia" w:ascii="楷体_GB2312" w:eastAsia="楷体_GB2312"/>
      <w:color w:val="000000"/>
      <w:sz w:val="24"/>
      <w:szCs w:val="24"/>
    </w:rPr>
  </w:style>
  <w:style w:type="character" w:customStyle="1" w:styleId="56">
    <w:name w:val="标题 5 Char"/>
    <w:qFormat/>
    <w:uiPriority w:val="0"/>
    <w:rPr>
      <w:rFonts w:ascii="楷体_GB2312" w:eastAsia="楷体_GB2312"/>
      <w:color w:val="000000"/>
      <w:sz w:val="28"/>
    </w:rPr>
  </w:style>
  <w:style w:type="character" w:customStyle="1" w:styleId="57">
    <w:name w:val="无间隔 字符"/>
    <w:link w:val="48"/>
    <w:qFormat/>
    <w:uiPriority w:val="1"/>
    <w:rPr>
      <w:rFonts w:ascii="Calibri" w:hAnsi="Calibri"/>
      <w:sz w:val="22"/>
      <w:szCs w:val="22"/>
    </w:rPr>
  </w:style>
</w:styles>
</file>

<file path=word/_rels/document.xml.rels><?xml version="1.0" encoding="UTF-8" standalone="yes"?>
<Relationships xmlns="http://schemas.openxmlformats.org/package/2006/relationships"><Relationship Id="rId9" Type="http://schemas.openxmlformats.org/officeDocument/2006/relationships/footer" Target="footer1.xml"/><Relationship Id="rId8" Type="http://schemas.openxmlformats.org/officeDocument/2006/relationships/header" Target="header2.xml"/><Relationship Id="rId7" Type="http://schemas.openxmlformats.org/officeDocument/2006/relationships/header" Target="header1.xml"/><Relationship Id="rId6" Type="http://schemas.openxmlformats.org/officeDocument/2006/relationships/endnotes" Target="endnotes.xml"/><Relationship Id="rId5" Type="http://schemas.openxmlformats.org/officeDocument/2006/relationships/footnotes" Target="footnotes.xml"/><Relationship Id="rId4" Type="http://schemas.microsoft.com/office/2011/relationships/commentsExtended" Target="commentsExtended.xml"/><Relationship Id="rId35" Type="http://schemas.microsoft.com/office/2011/relationships/people" Target="people.xml"/><Relationship Id="rId34" Type="http://schemas.openxmlformats.org/officeDocument/2006/relationships/fontTable" Target="fontTable.xml"/><Relationship Id="rId33" Type="http://schemas.openxmlformats.org/officeDocument/2006/relationships/numbering" Target="numbering.xml"/><Relationship Id="rId32" Type="http://schemas.openxmlformats.org/officeDocument/2006/relationships/customXml" Target="../customXml/item1.xml"/><Relationship Id="rId31" Type="http://schemas.openxmlformats.org/officeDocument/2006/relationships/image" Target="media/image14.png"/><Relationship Id="rId30" Type="http://schemas.openxmlformats.org/officeDocument/2006/relationships/image" Target="media/image13.png"/><Relationship Id="rId3" Type="http://schemas.openxmlformats.org/officeDocument/2006/relationships/comments" Target="comments.xml"/><Relationship Id="rId29" Type="http://schemas.openxmlformats.org/officeDocument/2006/relationships/image" Target="media/image12.png"/><Relationship Id="rId28" Type="http://schemas.openxmlformats.org/officeDocument/2006/relationships/image" Target="media/image11.png"/><Relationship Id="rId27" Type="http://schemas.openxmlformats.org/officeDocument/2006/relationships/image" Target="media/image10.png"/><Relationship Id="rId26" Type="http://schemas.openxmlformats.org/officeDocument/2006/relationships/image" Target="media/image9.png"/><Relationship Id="rId25" Type="http://schemas.openxmlformats.org/officeDocument/2006/relationships/image" Target="media/image8.png"/><Relationship Id="rId24" Type="http://schemas.openxmlformats.org/officeDocument/2006/relationships/image" Target="media/image7.png"/><Relationship Id="rId23" Type="http://schemas.openxmlformats.org/officeDocument/2006/relationships/image" Target="media/image6.png"/><Relationship Id="rId22" Type="http://schemas.openxmlformats.org/officeDocument/2006/relationships/image" Target="media/image5.png"/><Relationship Id="rId21" Type="http://schemas.openxmlformats.org/officeDocument/2006/relationships/image" Target="media/image4.png"/><Relationship Id="rId20" Type="http://schemas.openxmlformats.org/officeDocument/2006/relationships/image" Target="media/image3.png"/><Relationship Id="rId2" Type="http://schemas.openxmlformats.org/officeDocument/2006/relationships/settings" Target="settings.xml"/><Relationship Id="rId19" Type="http://schemas.openxmlformats.org/officeDocument/2006/relationships/image" Target="media/image2.png"/><Relationship Id="rId18" Type="http://schemas.openxmlformats.org/officeDocument/2006/relationships/theme" Target="theme/theme1.xml"/><Relationship Id="rId17" Type="http://schemas.openxmlformats.org/officeDocument/2006/relationships/header" Target="header7.xml"/><Relationship Id="rId16" Type="http://schemas.openxmlformats.org/officeDocument/2006/relationships/footer" Target="footer4.xml"/><Relationship Id="rId15" Type="http://schemas.openxmlformats.org/officeDocument/2006/relationships/header" Target="header6.xml"/><Relationship Id="rId14" Type="http://schemas.openxmlformats.org/officeDocument/2006/relationships/footer" Target="footer3.xml"/><Relationship Id="rId13" Type="http://schemas.openxmlformats.org/officeDocument/2006/relationships/header" Target="header5.xml"/><Relationship Id="rId12" Type="http://schemas.openxmlformats.org/officeDocument/2006/relationships/header" Target="header4.xml"/><Relationship Id="rId11" Type="http://schemas.openxmlformats.org/officeDocument/2006/relationships/header" Target="header3.xml"/><Relationship Id="rId10" Type="http://schemas.openxmlformats.org/officeDocument/2006/relationships/footer" Target="footer2.xml"/><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_rels/header5.xml.rels><?xml version="1.0" encoding="UTF-8" standalone="yes"?>
<Relationships xmlns="http://schemas.openxmlformats.org/package/2006/relationships"><Relationship Id="rId1" Type="http://schemas.openxmlformats.org/officeDocument/2006/relationships/image" Target="media/image1.jpeg"/></Relationships>
</file>

<file path=word/_rels/header6.xml.rels><?xml version="1.0" encoding="UTF-8" standalone="yes"?>
<Relationships xmlns="http://schemas.openxmlformats.org/package/2006/relationships"><Relationship Id="rId1" Type="http://schemas.openxmlformats.org/officeDocument/2006/relationships/image" Target="media/image1.jpeg"/></Relationships>
</file>

<file path=word/_rels/header7.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Sky123.Org</Company>
  <Pages>32</Pages>
  <Words>3125</Words>
  <Characters>17818</Characters>
  <Lines>148</Lines>
  <Paragraphs>41</Paragraphs>
  <TotalTime>8</TotalTime>
  <ScaleCrop>false</ScaleCrop>
  <LinksUpToDate>false</LinksUpToDate>
  <CharactersWithSpaces>20902</CharactersWithSpaces>
  <Application>WPS Office_11.1.0.11045_F1E327BC-269C-435d-A152-05C5408002CA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2020-05-12T04:47:00Z</dcterms:created>
  <dc:creator>djg</dc:creator>
  <cp:lastModifiedBy>俊然</cp:lastModifiedBy>
  <cp:lastPrinted>2017-09-06T09:18:00Z</cp:lastPrinted>
  <dcterms:modified xsi:type="dcterms:W3CDTF">2021-11-01T08:51:16Z</dcterms:modified>
  <dc:title>电 话：82253558  传真：82253565</dc:title>
  <cp:revision>10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2052-11.1.0.11045</vt:lpwstr>
  </property>
  <property fmtid="{D5CDD505-2E9C-101B-9397-08002B2CF9AE}" pid="3" name="ICV">
    <vt:lpwstr>55028595DA534C1696A78DF45DB89526</vt:lpwstr>
  </property>
</Properties>
</file>